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06</w:t>
      </w:r>
    </w:p>
    <w:p>
      <w:pPr>
        <w:pStyle w:val="4"/>
        <w:ind w:firstLine="602"/>
        <w:rPr>
          <w:rFonts w:hint="eastAsia" w:ascii="宋体" w:hAnsi="宋体" w:cs="宋体"/>
          <w:b/>
          <w:bCs/>
          <w:sz w:val="30"/>
          <w:szCs w:val="30"/>
          <w:highlight w:val="none"/>
        </w:rPr>
      </w:pPr>
    </w:p>
    <w:p>
      <w:pPr>
        <w:pStyle w:val="4"/>
        <w:ind w:firstLine="602"/>
        <w:rPr>
          <w:rFonts w:hint="eastAsia" w:ascii="宋体" w:hAnsi="宋体" w:cs="宋体"/>
          <w:b/>
          <w:bCs/>
          <w:sz w:val="30"/>
          <w:szCs w:val="30"/>
          <w:highlight w:val="none"/>
        </w:rPr>
      </w:pPr>
    </w:p>
    <w:p>
      <w:pPr>
        <w:rPr>
          <w:rFonts w:hint="eastAsia" w:ascii="宋体" w:hAnsi="宋体" w:cs="宋体"/>
          <w:b/>
          <w:bCs/>
          <w:highlight w:val="none"/>
        </w:rPr>
      </w:pPr>
    </w:p>
    <w:p>
      <w:pPr>
        <w:jc w:val="center"/>
        <w:rPr>
          <w:rFonts w:hint="default" w:ascii="宋体" w:hAnsi="宋体" w:eastAsia="宋体" w:cs="宋体"/>
          <w:b/>
          <w:bCs/>
          <w:sz w:val="36"/>
          <w:szCs w:val="36"/>
          <w:highlight w:val="none"/>
          <w:lang w:val="en-US" w:eastAsia="zh-CN"/>
        </w:rPr>
      </w:pPr>
      <w:r>
        <w:rPr>
          <w:rFonts w:hint="eastAsia" w:ascii="方正小标宋简体" w:hAnsi="方正小标宋简体" w:eastAsia="方正小标宋简体" w:cs="方正小标宋简体"/>
          <w:sz w:val="44"/>
          <w:szCs w:val="44"/>
          <w:lang w:val="en-US" w:eastAsia="zh-CN"/>
        </w:rPr>
        <w:t>呼图壁县2025年幼儿园园舍维修改造项目</w:t>
      </w:r>
    </w:p>
    <w:p>
      <w:pPr>
        <w:rPr>
          <w:rFonts w:hint="eastAsia" w:ascii="宋体" w:hAnsi="宋体" w:cs="宋体"/>
          <w:b/>
          <w:bCs/>
          <w:spacing w:val="20"/>
          <w:highlight w:val="none"/>
        </w:rPr>
      </w:pPr>
    </w:p>
    <w:p>
      <w:pPr>
        <w:rPr>
          <w:rFonts w:hint="eastAsia" w:ascii="宋体" w:hAnsi="宋体" w:cs="宋体"/>
          <w:b/>
          <w:bCs/>
          <w:highlight w:val="none"/>
        </w:rPr>
      </w:pPr>
    </w:p>
    <w:p>
      <w:pPr>
        <w:pStyle w:val="4"/>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4"/>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4"/>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pStyle w:val="18"/>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349573118"/>
          <w:bookmarkStart w:id="1" w:name="_Toc516489103"/>
          <w:bookmarkStart w:id="2" w:name="_Toc298240402"/>
          <w:bookmarkStart w:id="3" w:name="_Toc349637917"/>
        </w:p>
      </w:sdtContent>
    </w:sdt>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呼图壁县2025年幼儿园园舍维修改造项目</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https://www.zcygov.cn/获取采购</w:t>
      </w:r>
      <w:r>
        <w:rPr>
          <w:rFonts w:hint="eastAsia" w:ascii="宋体" w:hAnsi="宋体" w:eastAsia="宋体" w:cs="宋体"/>
          <w:b w:val="0"/>
          <w:i w:val="0"/>
          <w:color w:val="000000"/>
          <w:sz w:val="23"/>
          <w:highlight w:val="none"/>
          <w:u w:val="single"/>
        </w:rPr>
        <w:t>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8</w:t>
      </w:r>
      <w:r>
        <w:rPr>
          <w:rFonts w:hint="eastAsia" w:ascii="宋体" w:hAnsi="宋体" w:cs="宋体"/>
          <w:b w:val="0"/>
          <w:i w:val="0"/>
          <w:color w:val="000000"/>
          <w:sz w:val="23"/>
          <w:highlight w:val="none"/>
          <w:u w:val="single"/>
          <w:lang w:eastAsia="zh-CN"/>
        </w:rPr>
        <w:t>日</w:t>
      </w:r>
      <w:r>
        <w:rPr>
          <w:rFonts w:hint="eastAsia" w:ascii="宋体" w:hAnsi="宋体" w:cs="宋体"/>
          <w:b w:val="0"/>
          <w:i w:val="0"/>
          <w:color w:val="000000"/>
          <w:sz w:val="23"/>
          <w:highlight w:val="none"/>
          <w:u w:val="single"/>
          <w:lang w:val="en-US" w:eastAsia="zh-CN"/>
        </w:rPr>
        <w:t>10</w:t>
      </w:r>
      <w:r>
        <w:rPr>
          <w:rFonts w:hint="eastAsia" w:ascii="宋体" w:hAnsi="宋体" w:cs="宋体"/>
          <w:b w:val="0"/>
          <w:i w:val="0"/>
          <w:color w:val="000000"/>
          <w:sz w:val="23"/>
          <w:highlight w:val="none"/>
          <w:u w:val="single"/>
          <w:lang w:eastAsia="zh-CN"/>
        </w:rPr>
        <w:t>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w:t>
      </w:r>
      <w:r>
        <w:rPr>
          <w:rFonts w:hint="eastAsia" w:ascii="宋体" w:hAnsi="宋体" w:eastAsia="宋体" w:cs="宋体"/>
          <w:b w:val="0"/>
          <w:i w:val="0"/>
          <w:color w:val="000000"/>
          <w:sz w:val="23"/>
          <w:u w:val="single"/>
        </w:rPr>
        <w:t>件。</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35393790"/>
      <w:bookmarkStart w:id="5" w:name="_Toc3259"/>
      <w:bookmarkStart w:id="6" w:name="_Toc28359002"/>
      <w:bookmarkStart w:id="7" w:name="_Toc35393621"/>
      <w:bookmarkStart w:id="8" w:name="_Toc28359079"/>
      <w:bookmarkStart w:id="9" w:name="_Toc4199"/>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2025HTBZFCGZXgc0006</w:t>
      </w:r>
    </w:p>
    <w:p>
      <w:pPr>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呼图壁县2025年幼儿园园舍维修改造项目</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1127600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p>
      <w:pPr>
        <w:ind w:firstLine="480" w:firstLineChars="200"/>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eastAsia="宋体"/>
          <w:b w:val="0"/>
          <w:bCs w:val="0"/>
          <w:color w:val="auto"/>
          <w:sz w:val="24"/>
          <w:szCs w:val="24"/>
          <w:highlight w:val="none"/>
          <w:lang w:val="en-US" w:eastAsia="zh-CN"/>
        </w:rPr>
        <w:t>完成呼图壁县8所幼儿园维修改造。</w:t>
      </w:r>
      <w:r>
        <w:rPr>
          <w:rFonts w:hint="eastAsia" w:ascii="宋体" w:hAnsi="宋体" w:cs="宋体"/>
          <w:bCs/>
          <w:sz w:val="24"/>
          <w:szCs w:val="24"/>
          <w:highlight w:val="none"/>
          <w:shd w:val="clear" w:color="050000" w:fill="auto"/>
        </w:rPr>
        <w:t>（</w:t>
      </w:r>
      <w:r>
        <w:rPr>
          <w:rFonts w:hint="eastAsia"/>
          <w:b w:val="0"/>
          <w:bCs w:val="0"/>
          <w:color w:val="auto"/>
          <w:sz w:val="24"/>
          <w:szCs w:val="24"/>
          <w:highlight w:val="none"/>
          <w:lang w:val="en-US" w:eastAsia="zh-CN"/>
        </w:rPr>
        <w:t>详见附件中工程量清单</w:t>
      </w:r>
      <w:r>
        <w:rPr>
          <w:rFonts w:hint="eastAsia" w:ascii="宋体" w:hAnsi="宋体" w:cs="宋体"/>
          <w:bCs/>
          <w:sz w:val="24"/>
          <w:szCs w:val="24"/>
          <w:highlight w:val="none"/>
          <w:shd w:val="clear" w:color="050000" w:fill="auto"/>
        </w:rPr>
        <w:t>）</w:t>
      </w:r>
    </w:p>
    <w:p>
      <w:pPr>
        <w:spacing w:line="400" w:lineRule="exact"/>
        <w:ind w:firstLine="480" w:firstLineChars="200"/>
        <w:rPr>
          <w:rFonts w:hint="eastAsia" w:ascii="宋体" w:hAnsi="宋体" w:eastAsia="宋体" w:cs="宋体"/>
          <w:bCs/>
          <w:sz w:val="24"/>
          <w:szCs w:val="24"/>
          <w:highlight w:val="none"/>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w:t>
      </w:r>
      <w:r>
        <w:rPr>
          <w:rFonts w:hint="eastAsia" w:ascii="宋体" w:hAnsi="宋体" w:cs="宋体"/>
          <w:bCs/>
          <w:sz w:val="24"/>
          <w:szCs w:val="24"/>
          <w:highlight w:val="none"/>
          <w:shd w:val="clear" w:color="050000" w:fill="auto"/>
          <w:lang w:val="en-US" w:eastAsia="zh-CN"/>
        </w:rPr>
        <w:t>45</w:t>
      </w:r>
      <w:r>
        <w:rPr>
          <w:rFonts w:hint="eastAsia" w:ascii="宋体" w:hAnsi="宋体" w:eastAsia="宋体" w:cs="宋体"/>
          <w:bCs/>
          <w:sz w:val="24"/>
          <w:szCs w:val="24"/>
          <w:highlight w:val="none"/>
          <w:shd w:val="clear" w:color="050000" w:fill="auto"/>
          <w:lang w:val="en-US" w:eastAsia="zh-CN"/>
        </w:rPr>
        <w:t>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28359080"/>
      <w:bookmarkStart w:id="12" w:name="_Toc35393791"/>
      <w:bookmarkStart w:id="13" w:name="_Toc28359003"/>
      <w:bookmarkStart w:id="14" w:name="_Toc35393622"/>
      <w:bookmarkStart w:id="15" w:name="_Toc19928"/>
      <w:bookmarkStart w:id="16" w:name="_Toc14329"/>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28359081"/>
      <w:bookmarkStart w:id="18" w:name="_Toc17246"/>
      <w:bookmarkStart w:id="19" w:name="_Toc15133"/>
      <w:bookmarkStart w:id="20" w:name="_Toc35393623"/>
      <w:bookmarkStart w:id="21" w:name="_Toc35393792"/>
      <w:bookmarkStart w:id="22" w:name="_Toc28359004"/>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2.落实政府采购政策需满足的资格要求：标项1：需落实政府采购政策：符合政府采购优先（节约能源、保护环境）采购政策及促进中小企业（监狱企业、残疾人福利性单位）发展政策的，依据规定给予评审优惠。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仿宋_GB2312"/>
          <w:lang w:val="en-US" w:eastAsia="zh-CN"/>
        </w:rPr>
      </w:pPr>
      <w:r>
        <w:rPr>
          <w:rFonts w:hint="eastAsia" w:ascii="宋体" w:hAnsi="宋体" w:eastAsia="宋体" w:cs="宋体"/>
          <w:color w:val="auto"/>
          <w:kern w:val="2"/>
          <w:sz w:val="24"/>
          <w:szCs w:val="24"/>
          <w:highlight w:val="none"/>
          <w:lang w:val="en-US" w:eastAsia="zh-CN" w:bidi="ar-SA"/>
        </w:rPr>
        <w:t>（5）本项目专门面向中小企业。</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35393624"/>
      <w:bookmarkStart w:id="24" w:name="_Toc5998"/>
      <w:bookmarkStart w:id="25" w:name="_Toc28359082"/>
      <w:bookmarkStart w:id="26" w:name="_Toc35393793"/>
      <w:bookmarkStart w:id="27" w:name="_Toc28359005"/>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6月24日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7</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1</w:t>
      </w:r>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8"/>
        <w:rPr>
          <w:rFonts w:hint="default" w:eastAsia="宋体"/>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35393794"/>
      <w:bookmarkStart w:id="29" w:name="_Toc35393625"/>
      <w:bookmarkStart w:id="30" w:name="_Toc710"/>
      <w:bookmarkStart w:id="31" w:name="_Toc28359007"/>
      <w:bookmarkStart w:id="32" w:name="_Toc28359084"/>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8</w:t>
      </w:r>
      <w:r>
        <w:rPr>
          <w:rFonts w:hint="eastAsia" w:ascii="宋体" w:hAnsi="宋体" w:cs="宋体"/>
          <w:b w:val="0"/>
          <w:i w:val="0"/>
          <w:color w:val="000000"/>
          <w:sz w:val="23"/>
          <w:highlight w:val="none"/>
          <w:lang w:eastAsia="zh-CN"/>
        </w:rPr>
        <w:t>日</w:t>
      </w:r>
      <w:r>
        <w:rPr>
          <w:rFonts w:hint="eastAsia" w:ascii="宋体" w:hAnsi="宋体" w:cs="宋体"/>
          <w:b w:val="0"/>
          <w:i w:val="0"/>
          <w:color w:val="000000"/>
          <w:sz w:val="23"/>
          <w:highlight w:val="none"/>
          <w:lang w:val="en-US" w:eastAsia="zh-CN"/>
        </w:rPr>
        <w:t>10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8</w:t>
      </w:r>
      <w:r>
        <w:rPr>
          <w:rFonts w:hint="eastAsia" w:ascii="宋体" w:hAnsi="宋体" w:cs="宋体"/>
          <w:b w:val="0"/>
          <w:i w:val="0"/>
          <w:color w:val="000000"/>
          <w:sz w:val="23"/>
          <w:highlight w:val="none"/>
          <w:lang w:eastAsia="zh-CN"/>
        </w:rPr>
        <w:t>日</w:t>
      </w:r>
      <w:r>
        <w:rPr>
          <w:rFonts w:hint="eastAsia" w:ascii="宋体" w:hAnsi="宋体" w:cs="宋体"/>
          <w:b w:val="0"/>
          <w:i w:val="0"/>
          <w:color w:val="000000"/>
          <w:sz w:val="23"/>
          <w:highlight w:val="none"/>
          <w:lang w:val="en-US" w:eastAsia="zh-CN"/>
        </w:rPr>
        <w:t>10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21882"/>
      <w:bookmarkStart w:id="35" w:name="_Toc14805"/>
      <w:bookmarkStart w:id="36" w:name="_Toc35393795"/>
      <w:bookmarkStart w:id="37" w:name="_Toc35393626"/>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28359008"/>
      <w:bookmarkStart w:id="39" w:name="_Toc23121"/>
      <w:bookmarkStart w:id="40" w:name="_Toc28359085"/>
      <w:bookmarkStart w:id="41" w:name="_Toc35393796"/>
      <w:bookmarkStart w:id="42" w:name="_Toc35393627"/>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cs="宋体"/>
          <w:sz w:val="24"/>
          <w:highlight w:val="none"/>
          <w:u w:val="single"/>
          <w:lang w:val="en-US" w:eastAsia="zh-CN"/>
        </w:rPr>
        <w:t xml:space="preserve">呼图壁县教育局 </w:t>
      </w:r>
      <w:r>
        <w:rPr>
          <w:rFonts w:hint="eastAsia" w:ascii="宋体" w:hAnsi="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呼图壁县园林路18号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lang w:val="en-US" w:eastAsia="zh-CN"/>
        </w:rPr>
        <w:t>张红兵</w:t>
      </w:r>
      <w:r>
        <w:rPr>
          <w:rFonts w:hint="eastAsia" w:ascii="宋体" w:hAnsi="宋体" w:cs="宋体"/>
          <w:sz w:val="24"/>
          <w:highlight w:val="none"/>
          <w:u w:val="single"/>
        </w:rPr>
        <w:t xml:space="preserve"> </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bookmarkStart w:id="44" w:name="_Toc28359009"/>
      <w:bookmarkStart w:id="45" w:name="_Toc28359086"/>
      <w:r>
        <w:rPr>
          <w:rFonts w:hint="eastAsia" w:ascii="宋体" w:hAnsi="宋体" w:cs="宋体"/>
          <w:sz w:val="24"/>
          <w:szCs w:val="24"/>
          <w:highlight w:val="none"/>
          <w:u w:val="none"/>
        </w:rPr>
        <w:t>：</w:t>
      </w:r>
      <w:r>
        <w:rPr>
          <w:rFonts w:hint="eastAsia" w:ascii="宋体" w:hAnsi="宋体" w:cs="宋体"/>
          <w:sz w:val="24"/>
          <w:highlight w:val="none"/>
          <w:u w:val="single"/>
          <w:lang w:val="en-US" w:eastAsia="zh-CN"/>
        </w:rPr>
        <w:t>13579623846</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87"/>
      <w:bookmarkStart w:id="47" w:name="_Toc28359010"/>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298240404"/>
      <w:bookmarkStart w:id="49" w:name="_Toc516489105"/>
      <w:bookmarkStart w:id="50" w:name="_Toc30089"/>
      <w:bookmarkStart w:id="51" w:name="_Toc267301281"/>
      <w:bookmarkStart w:id="52" w:name="_Toc349637919"/>
      <w:bookmarkStart w:id="53" w:name="_Toc349573120"/>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23"/>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呼图壁县2025年幼儿园园舍维修改造项目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highlight w:val="none"/>
                <w:u w:val="none"/>
                <w:lang w:val="en-US"/>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u w:val="single"/>
                <w:lang w:val="en-US" w:eastAsia="zh-CN"/>
              </w:rPr>
              <w:t>呼图壁县教育局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rPr>
              <w:t>地址：</w:t>
            </w:r>
            <w:r>
              <w:rPr>
                <w:rFonts w:hint="eastAsia" w:ascii="宋体" w:hAnsi="宋体" w:cs="宋体"/>
                <w:sz w:val="24"/>
                <w:szCs w:val="24"/>
                <w:highlight w:val="none"/>
                <w:u w:val="single"/>
                <w:lang w:val="en-US" w:eastAsia="zh-CN"/>
              </w:rPr>
              <w:t>呼图壁县园林路18号</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联系方式:</w:t>
            </w:r>
            <w:r>
              <w:rPr>
                <w:rFonts w:hint="eastAsia" w:ascii="宋体" w:hAnsi="宋体" w:cs="宋体"/>
                <w:sz w:val="24"/>
                <w:highlight w:val="none"/>
                <w:u w:val="single"/>
                <w:lang w:val="en-US" w:eastAsia="zh-CN"/>
              </w:rPr>
              <w:t>13579623846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rPr>
                <w:rFonts w:hint="default" w:asciiTheme="minorEastAsia" w:hAnsiTheme="minorEastAsia" w:eastAsiaTheme="minorEastAsia" w:cstheme="minorEastAsia"/>
                <w:b w:val="0"/>
                <w:i w:val="0"/>
                <w:strike w:val="0"/>
                <w:color w:val="000000"/>
                <w:sz w:val="24"/>
                <w:szCs w:val="24"/>
                <w:highlight w:val="none"/>
                <w:lang w:val="en-US" w:eastAsia="zh-CN"/>
              </w:rPr>
            </w:pPr>
            <w:r>
              <w:rPr>
                <w:rFonts w:hint="eastAsia" w:eastAsia="宋体"/>
                <w:b w:val="0"/>
                <w:bCs w:val="0"/>
                <w:color w:val="auto"/>
                <w:sz w:val="24"/>
                <w:szCs w:val="24"/>
                <w:highlight w:val="none"/>
                <w:lang w:val="en-US" w:eastAsia="zh-CN"/>
              </w:rPr>
              <w:t>呼图壁县8所幼儿园维修改造（</w:t>
            </w:r>
            <w:r>
              <w:rPr>
                <w:rFonts w:hint="eastAsia"/>
                <w:b w:val="0"/>
                <w:bCs w:val="0"/>
                <w:color w:val="auto"/>
                <w:sz w:val="24"/>
                <w:szCs w:val="24"/>
                <w:highlight w:val="none"/>
                <w:lang w:val="en-US" w:eastAsia="zh-CN"/>
              </w:rPr>
              <w:t>详见工程量清单</w:t>
            </w:r>
            <w:r>
              <w:rPr>
                <w:rFonts w:hint="eastAsia" w:ascii="宋体" w:hAnsi="宋体" w:cs="宋体"/>
                <w:bCs/>
                <w:sz w:val="24"/>
                <w:szCs w:val="24"/>
                <w:highlight w:val="none"/>
                <w:shd w:val="clear" w:color="050000" w:fill="auto"/>
              </w:rPr>
              <w:t>）</w:t>
            </w:r>
            <w:r>
              <w:rPr>
                <w:rFonts w:hint="eastAsia" w:ascii="宋体" w:hAnsi="宋体" w:cs="宋体"/>
                <w:bCs/>
                <w:sz w:val="24"/>
                <w:szCs w:val="24"/>
                <w:highlight w:val="none"/>
                <w:shd w:val="clear" w:color="050000"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39"/>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签订合同起的51个日历天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eastAsia="宋体"/>
                <w:b w:val="0"/>
                <w:bCs w:val="0"/>
                <w:color w:val="auto"/>
                <w:sz w:val="24"/>
                <w:szCs w:val="24"/>
                <w:highlight w:val="none"/>
                <w:lang w:val="en-US" w:eastAsia="zh-CN"/>
              </w:rPr>
              <w:t>按照</w:t>
            </w:r>
            <w:r>
              <w:rPr>
                <w:rFonts w:hint="eastAsia" w:eastAsia="宋体"/>
                <w:b w:val="0"/>
                <w:bCs w:val="0"/>
                <w:color w:val="auto"/>
                <w:sz w:val="24"/>
                <w:szCs w:val="24"/>
                <w:highlight w:val="none"/>
                <w:lang w:val="zh-CN" w:eastAsia="zh-CN"/>
              </w:rPr>
              <w:t>《关于进一步加强政府采购需求和履约验收管理的实施意见》（新财购〔2017〕23号）</w:t>
            </w:r>
            <w:r>
              <w:rPr>
                <w:rFonts w:hint="eastAsia" w:eastAsia="宋体"/>
                <w:b w:val="0"/>
                <w:bCs w:val="0"/>
                <w:color w:val="auto"/>
                <w:sz w:val="24"/>
                <w:szCs w:val="24"/>
                <w:highlight w:val="none"/>
                <w:lang w:val="en-US" w:eastAsia="zh-CN"/>
              </w:rPr>
              <w:t>文件精神，由呼图壁县教育局、监理公司、中标方、各幼儿园负责人成立四方验收小组组织验收。验收时,按照采购合同的约定、招标文件及政府采购验收单要求，对呼图壁县8所幼儿维修改造项目进行验收。验收结束后出具验收报告,由验收双方共同签署。履约验收的各项资料由呼图壁县教育局存档备查。验收合格的项目,由我县根据采购合同的约定及时向供应商支付采购资金。验收不合格的项目,</w:t>
            </w:r>
            <w:r>
              <w:rPr>
                <w:rFonts w:hint="eastAsia" w:eastAsia="宋体"/>
                <w:b w:val="0"/>
                <w:bCs w:val="0"/>
                <w:color w:val="auto"/>
                <w:sz w:val="24"/>
                <w:szCs w:val="24"/>
                <w:highlight w:val="none"/>
                <w:lang w:val="zh-CN" w:eastAsia="zh-CN"/>
              </w:rPr>
              <w:t>由中标人承担全部责任，</w:t>
            </w:r>
            <w:r>
              <w:rPr>
                <w:rFonts w:hint="eastAsia" w:eastAsia="宋体"/>
                <w:b w:val="0"/>
                <w:bCs w:val="0"/>
                <w:color w:val="auto"/>
                <w:sz w:val="24"/>
                <w:szCs w:val="24"/>
                <w:highlight w:val="none"/>
                <w:lang w:val="en-US" w:eastAsia="zh-CN"/>
              </w:rPr>
              <w:t>并及时进行整改，整改完成后再次进行验收，直到验收合格为止。供应商在履约过程中有政府采购法律法规规定的违法违规情形的,由呼图壁县教育局及时报告同级县财政局。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 xml:space="preserve">供应商应于 </w:t>
            </w:r>
            <w:r>
              <w:rPr>
                <w:rFonts w:hint="eastAsia" w:asciiTheme="minorEastAsia" w:hAnsiTheme="minorEastAsia" w:eastAsiaTheme="minorEastAsia" w:cstheme="minorEastAsia"/>
                <w:b w:val="0"/>
                <w:i w:val="0"/>
                <w:color w:val="000000"/>
                <w:sz w:val="24"/>
                <w:szCs w:val="24"/>
                <w:highlight w:val="none"/>
                <w:lang w:eastAsia="zh-CN"/>
              </w:rPr>
              <w:t>202</w:t>
            </w:r>
            <w:r>
              <w:rPr>
                <w:rFonts w:hint="eastAsia" w:asciiTheme="minorEastAsia" w:hAnsiTheme="minorEastAsia" w:eastAsia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eastAsia="zh-CN"/>
              </w:rPr>
              <w:t>年</w:t>
            </w:r>
            <w:r>
              <w:rPr>
                <w:rFonts w:hint="eastAsia" w:asciiTheme="minorEastAsia" w:hAnsiTheme="minorEastAsia" w:eastAsiaTheme="minorEastAsia" w:cstheme="minorEastAsia"/>
                <w:b w:val="0"/>
                <w:i w:val="0"/>
                <w:color w:val="000000"/>
                <w:sz w:val="24"/>
                <w:szCs w:val="24"/>
                <w:highlight w:val="none"/>
                <w:lang w:val="en-US" w:eastAsia="zh-CN"/>
              </w:rPr>
              <w:t>6</w:t>
            </w:r>
            <w:r>
              <w:rPr>
                <w:rFonts w:hint="eastAsia" w:asciiTheme="minorEastAsia" w:hAnsiTheme="minorEastAsia" w:eastAsiaTheme="minorEastAsia" w:cstheme="minorEastAsia"/>
                <w:b w:val="0"/>
                <w:i w:val="0"/>
                <w:color w:val="000000"/>
                <w:sz w:val="24"/>
                <w:szCs w:val="24"/>
                <w:highlight w:val="none"/>
                <w:lang w:eastAsia="zh-CN"/>
              </w:rPr>
              <w:t>月</w:t>
            </w:r>
            <w:r>
              <w:rPr>
                <w:rFonts w:hint="eastAsia" w:asciiTheme="minorEastAsia" w:hAnsiTheme="minorEastAsia" w:eastAsiaTheme="minorEastAsia" w:cstheme="minorEastAsia"/>
                <w:b w:val="0"/>
                <w:i w:val="0"/>
                <w:color w:val="000000"/>
                <w:sz w:val="24"/>
                <w:szCs w:val="24"/>
                <w:highlight w:val="none"/>
                <w:lang w:val="en-US" w:eastAsia="zh-CN"/>
              </w:rPr>
              <w:t>11</w:t>
            </w:r>
            <w:r>
              <w:rPr>
                <w:rFonts w:hint="eastAsia" w:asciiTheme="minorEastAsia" w:hAnsiTheme="minorEastAsia" w:eastAsiaTheme="minorEastAsia" w:cstheme="minorEastAsia"/>
                <w:b w:val="0"/>
                <w:i w:val="0"/>
                <w:color w:val="000000"/>
                <w:sz w:val="24"/>
                <w:szCs w:val="24"/>
                <w:highlight w:val="none"/>
                <w:lang w:eastAsia="zh-CN"/>
              </w:rPr>
              <w:t>日16点</w:t>
            </w:r>
            <w:r>
              <w:rPr>
                <w:rFonts w:hint="eastAsia" w:asciiTheme="minorEastAsia" w:hAnsiTheme="minorEastAsia" w:eastAsiaTheme="minorEastAsia" w:cstheme="minorEastAsia"/>
                <w:b w:val="0"/>
                <w:i w:val="0"/>
                <w:color w:val="000000"/>
                <w:sz w:val="24"/>
                <w:szCs w:val="24"/>
                <w:highlight w:val="none"/>
                <w:lang w:val="en-US" w:eastAsia="zh-CN"/>
              </w:rPr>
              <w:t>30</w:t>
            </w:r>
            <w:r>
              <w:rPr>
                <w:rFonts w:hint="eastAsia" w:asciiTheme="minorEastAsia" w:hAnsiTheme="minorEastAsia" w:eastAsiaTheme="minorEastAsia" w:cstheme="minorEastAsia"/>
                <w:b w:val="0"/>
                <w:i w:val="0"/>
                <w:color w:val="000000"/>
                <w:sz w:val="24"/>
                <w:szCs w:val="24"/>
                <w:highlight w:val="none"/>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20000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贰万</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8"/>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磋商小组构成：5人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p>
            <w:pPr>
              <w:wordWrap w:val="0"/>
              <w:spacing w:before="0" w:after="0" w:line="340" w:lineRule="atLeast"/>
              <w:ind w:right="0"/>
              <w:jc w:val="both"/>
              <w:textAlignment w:val="baseline"/>
              <w:rPr>
                <w:rFonts w:hint="eastAsia" w:ascii="Times New Roman" w:hAnsi="Times New Roman" w:eastAsia="宋体" w:cs="Times New Roman"/>
              </w:rPr>
            </w:pPr>
          </w:p>
        </w:tc>
      </w:tr>
    </w:tbl>
    <w:p>
      <w:pPr>
        <w:pStyle w:val="4"/>
        <w:ind w:left="0" w:leftChars="0" w:firstLine="0" w:firstLineChars="0"/>
        <w:rPr>
          <w:rFonts w:ascii="宋体" w:hAnsi="宋体" w:cs="Arial"/>
          <w:sz w:val="28"/>
          <w:szCs w:val="28"/>
          <w:highlight w:val="none"/>
        </w:rPr>
      </w:pPr>
      <w:bookmarkStart w:id="54" w:name="_Toc267301282"/>
      <w:bookmarkStart w:id="55" w:name="_Toc349637920"/>
      <w:bookmarkStart w:id="56" w:name="_Toc516489106"/>
      <w:bookmarkStart w:id="57" w:name="_Toc349573121"/>
      <w:bookmarkStart w:id="58" w:name="_Toc298240405"/>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267301283"/>
      <w:bookmarkStart w:id="61" w:name="_Toc516489107"/>
      <w:bookmarkStart w:id="62" w:name="_Toc298240406"/>
      <w:bookmarkStart w:id="63" w:name="_Toc349573122"/>
      <w:bookmarkStart w:id="64" w:name="_Toc349637921"/>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212"/>
      <w:bookmarkStart w:id="66" w:name="_Toc26007"/>
    </w:p>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67" w:name="_Toc349573123"/>
      <w:bookmarkStart w:id="68" w:name="_Toc298240407"/>
      <w:bookmarkStart w:id="69" w:name="_Toc6428"/>
      <w:bookmarkStart w:id="70" w:name="_Toc516489108"/>
      <w:bookmarkStart w:id="71" w:name="_Toc349637922"/>
      <w:bookmarkStart w:id="72" w:name="_Toc9357"/>
      <w:bookmarkStart w:id="73" w:name="_Toc267301284"/>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349573124"/>
      <w:bookmarkStart w:id="75" w:name="_Toc267301285"/>
      <w:bookmarkStart w:id="76" w:name="_Toc516489109"/>
      <w:bookmarkStart w:id="77" w:name="_Toc349637923"/>
      <w:bookmarkStart w:id="78" w:name="_Toc298240408"/>
      <w:bookmarkStart w:id="79" w:name="_Toc25114"/>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267301286"/>
      <w:bookmarkStart w:id="83" w:name="_Toc298240409"/>
      <w:bookmarkStart w:id="84" w:name="_Toc349573125"/>
      <w:bookmarkStart w:id="85" w:name="_Toc516489110"/>
      <w:bookmarkStart w:id="86" w:name="_Toc25633"/>
      <w:bookmarkStart w:id="87" w:name="_Toc349637924"/>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6"/>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8"/>
        <w:rPr>
          <w:rFonts w:hint="eastAsia" w:ascii="宋体" w:hAnsi="宋体" w:cs="宋体"/>
          <w:b w:val="0"/>
          <w:i w:val="0"/>
          <w:color w:val="000000"/>
          <w:sz w:val="24"/>
          <w:lang w:eastAsia="zh-CN"/>
        </w:rPr>
      </w:pPr>
    </w:p>
    <w:p>
      <w:pPr>
        <w:pStyle w:val="8"/>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8"/>
        <w:rPr>
          <w:rFonts w:hint="eastAsia" w:ascii="宋体" w:hAnsi="宋体" w:cs="宋体"/>
          <w:b w:val="0"/>
          <w:i w:val="0"/>
          <w:color w:val="000000"/>
          <w:sz w:val="24"/>
          <w:lang w:eastAsia="zh-CN"/>
        </w:rPr>
      </w:pPr>
    </w:p>
    <w:p>
      <w:pPr>
        <w:pStyle w:val="6"/>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23"/>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lang w:eastAsia="zh-CN"/>
              </w:rPr>
            </w:pPr>
            <w:r>
              <w:rPr>
                <w:rFonts w:hint="eastAsia" w:ascii="宋体" w:hAnsi="宋体" w:eastAsia="宋体" w:cs="仿宋"/>
                <w:spacing w:val="-2"/>
                <w:sz w:val="24"/>
              </w:rPr>
              <w:t>本项目为专门面向</w:t>
            </w:r>
            <w:r>
              <w:rPr>
                <w:rFonts w:hint="eastAsia" w:ascii="宋体" w:hAnsi="宋体" w:cs="仿宋"/>
                <w:spacing w:val="-2"/>
                <w:sz w:val="24"/>
                <w:lang w:val="en-US" w:eastAsia="zh-CN"/>
              </w:rPr>
              <w:t>中小</w:t>
            </w:r>
            <w:r>
              <w:rPr>
                <w:rFonts w:hint="eastAsia" w:ascii="宋体" w:hAnsi="宋体" w:eastAsia="宋体" w:cs="仿宋"/>
                <w:spacing w:val="-2"/>
                <w:sz w:val="24"/>
              </w:rPr>
              <w:t>企业采购的项目，投标人应为</w:t>
            </w:r>
            <w:r>
              <w:rPr>
                <w:rFonts w:hint="eastAsia" w:ascii="宋体" w:hAnsi="宋体" w:cs="仿宋"/>
                <w:spacing w:val="-2"/>
                <w:sz w:val="24"/>
                <w:lang w:val="en-US" w:eastAsia="zh-CN"/>
              </w:rPr>
              <w:t>中小企业</w:t>
            </w:r>
            <w:r>
              <w:rPr>
                <w:rFonts w:hint="eastAsia" w:ascii="宋体" w:hAnsi="宋体" w:cs="仿宋"/>
                <w:spacing w:val="-2"/>
                <w:sz w:val="24"/>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cs="仿宋"/>
                <w:spacing w:val="-2"/>
                <w:sz w:val="24"/>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23"/>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i w:val="0"/>
          <w:color w:val="000000"/>
          <w:sz w:val="28"/>
          <w:szCs w:val="28"/>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pStyle w:val="8"/>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p>
      <w:pPr>
        <w:pStyle w:val="8"/>
        <w:rPr>
          <w:rFonts w:hint="eastAsia"/>
        </w:rPr>
      </w:pPr>
    </w:p>
    <w:p>
      <w:pPr>
        <w:jc w:val="center"/>
        <w:rPr>
          <w:rFonts w:hint="eastAsia" w:ascii="宋体" w:hAnsi="宋体" w:eastAsia="宋体" w:cs="仿宋"/>
          <w:kern w:val="2"/>
          <w:sz w:val="24"/>
          <w:szCs w:val="20"/>
          <w:lang w:val="en-US" w:eastAsia="zh-CN" w:bidi="ar-SA"/>
        </w:rPr>
      </w:pPr>
    </w:p>
    <w:tbl>
      <w:tblPr>
        <w:tblStyle w:val="44"/>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871"/>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96" w:type="dxa"/>
            <w:vAlign w:val="top"/>
          </w:tcPr>
          <w:p>
            <w:pPr>
              <w:spacing w:before="243" w:line="203" w:lineRule="auto"/>
              <w:ind w:left="66"/>
              <w:rPr>
                <w:rFonts w:ascii="黑体" w:hAnsi="黑体" w:eastAsia="黑体" w:cs="黑体"/>
                <w:sz w:val="22"/>
                <w:szCs w:val="22"/>
              </w:rPr>
            </w:pPr>
            <w:r>
              <w:rPr>
                <w:rFonts w:ascii="黑体" w:hAnsi="黑体" w:eastAsia="黑体" w:cs="黑体"/>
                <w:spacing w:val="-2"/>
                <w:sz w:val="22"/>
                <w:szCs w:val="22"/>
              </w:rPr>
              <w:t>评分项目</w:t>
            </w:r>
          </w:p>
        </w:tc>
        <w:tc>
          <w:tcPr>
            <w:tcW w:w="1315" w:type="dxa"/>
            <w:vAlign w:val="top"/>
          </w:tcPr>
          <w:p>
            <w:pPr>
              <w:spacing w:before="241" w:line="206" w:lineRule="auto"/>
              <w:ind w:left="222"/>
              <w:rPr>
                <w:rFonts w:ascii="黑体" w:hAnsi="黑体" w:eastAsia="黑体" w:cs="黑体"/>
                <w:sz w:val="22"/>
                <w:szCs w:val="22"/>
              </w:rPr>
            </w:pPr>
            <w:r>
              <w:rPr>
                <w:rFonts w:ascii="黑体" w:hAnsi="黑体" w:eastAsia="黑体" w:cs="黑体"/>
                <w:spacing w:val="-2"/>
                <w:sz w:val="22"/>
                <w:szCs w:val="22"/>
              </w:rPr>
              <w:t>评分因素</w:t>
            </w:r>
          </w:p>
        </w:tc>
        <w:tc>
          <w:tcPr>
            <w:tcW w:w="6871" w:type="dxa"/>
            <w:vAlign w:val="top"/>
          </w:tcPr>
          <w:p>
            <w:pPr>
              <w:spacing w:before="242" w:line="204" w:lineRule="auto"/>
              <w:ind w:left="3003"/>
              <w:rPr>
                <w:rFonts w:ascii="黑体" w:hAnsi="黑体" w:eastAsia="黑体" w:cs="黑体"/>
                <w:sz w:val="22"/>
                <w:szCs w:val="22"/>
              </w:rPr>
            </w:pPr>
            <w:r>
              <w:rPr>
                <w:rFonts w:ascii="黑体" w:hAnsi="黑体" w:eastAsia="黑体" w:cs="黑体"/>
                <w:spacing w:val="-2"/>
                <w:sz w:val="22"/>
                <w:szCs w:val="22"/>
              </w:rPr>
              <w:t>评审内容</w:t>
            </w:r>
          </w:p>
        </w:tc>
        <w:tc>
          <w:tcPr>
            <w:tcW w:w="748" w:type="dxa"/>
            <w:vAlign w:val="top"/>
          </w:tcPr>
          <w:p>
            <w:pPr>
              <w:spacing w:before="243" w:line="205" w:lineRule="auto"/>
              <w:ind w:left="157"/>
              <w:rPr>
                <w:rFonts w:ascii="黑体" w:hAnsi="黑体" w:eastAsia="黑体" w:cs="黑体"/>
                <w:sz w:val="22"/>
                <w:szCs w:val="22"/>
              </w:rPr>
            </w:pPr>
            <w:r>
              <w:rPr>
                <w:rFonts w:ascii="黑体" w:hAnsi="黑体" w:eastAsia="黑体" w:cs="黑体"/>
                <w:spacing w:val="-2"/>
                <w:sz w:val="22"/>
                <w:szCs w:val="22"/>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trPr>
        <w:tc>
          <w:tcPr>
            <w:tcW w:w="996" w:type="dxa"/>
            <w:vAlign w:val="top"/>
          </w:tcPr>
          <w:p>
            <w:pPr>
              <w:spacing w:line="334" w:lineRule="auto"/>
              <w:rPr>
                <w:rFonts w:ascii="Arial"/>
                <w:sz w:val="21"/>
              </w:rPr>
            </w:pPr>
          </w:p>
          <w:p>
            <w:pPr>
              <w:spacing w:line="335" w:lineRule="auto"/>
              <w:rPr>
                <w:rFonts w:ascii="Arial"/>
                <w:sz w:val="21"/>
              </w:rPr>
            </w:pPr>
          </w:p>
          <w:p>
            <w:pPr>
              <w:pStyle w:val="43"/>
              <w:spacing w:before="71" w:line="230" w:lineRule="auto"/>
              <w:ind w:left="71" w:right="52" w:hanging="5"/>
              <w:rPr>
                <w:sz w:val="22"/>
                <w:szCs w:val="22"/>
              </w:rPr>
            </w:pPr>
            <w:r>
              <w:rPr>
                <w:spacing w:val="-2"/>
                <w:sz w:val="22"/>
                <w:szCs w:val="22"/>
              </w:rPr>
              <w:t>价格部分</w:t>
            </w:r>
            <w:r>
              <w:rPr>
                <w:sz w:val="22"/>
                <w:szCs w:val="22"/>
              </w:rPr>
              <w:t xml:space="preserve"> </w:t>
            </w:r>
            <w:r>
              <w:rPr>
                <w:spacing w:val="-5"/>
                <w:sz w:val="22"/>
                <w:szCs w:val="22"/>
              </w:rPr>
              <w:t>（20分）</w:t>
            </w:r>
          </w:p>
        </w:tc>
        <w:tc>
          <w:tcPr>
            <w:tcW w:w="131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43"/>
              <w:spacing w:before="72" w:line="219" w:lineRule="auto"/>
              <w:ind w:left="220"/>
              <w:rPr>
                <w:sz w:val="22"/>
                <w:szCs w:val="22"/>
              </w:rPr>
            </w:pPr>
            <w:r>
              <w:rPr>
                <w:spacing w:val="-2"/>
                <w:sz w:val="22"/>
                <w:szCs w:val="22"/>
              </w:rPr>
              <w:t>磋商报价</w:t>
            </w:r>
          </w:p>
        </w:tc>
        <w:tc>
          <w:tcPr>
            <w:tcW w:w="6871" w:type="dxa"/>
            <w:vAlign w:val="top"/>
          </w:tcPr>
          <w:p>
            <w:pPr>
              <w:pStyle w:val="43"/>
              <w:spacing w:before="30" w:line="234" w:lineRule="auto"/>
              <w:ind w:left="11" w:right="37" w:firstLine="1"/>
              <w:jc w:val="both"/>
              <w:rPr>
                <w:sz w:val="22"/>
                <w:szCs w:val="22"/>
              </w:rPr>
            </w:pPr>
            <w:r>
              <w:rPr>
                <w:sz w:val="22"/>
                <w:szCs w:val="22"/>
              </w:rPr>
              <w:t>综合评分法中的价格分统一采用低价优先法计算，即满足</w:t>
            </w:r>
            <w:r>
              <w:rPr>
                <w:spacing w:val="-1"/>
                <w:sz w:val="22"/>
                <w:szCs w:val="22"/>
              </w:rPr>
              <w:t>磋商文件要求</w:t>
            </w:r>
            <w:r>
              <w:rPr>
                <w:sz w:val="22"/>
                <w:szCs w:val="22"/>
              </w:rPr>
              <w:t xml:space="preserve"> （通过资格、符合性审查）且最后报价最低的供应商的价格（</w:t>
            </w:r>
            <w:r>
              <w:rPr>
                <w:spacing w:val="-1"/>
                <w:sz w:val="22"/>
                <w:szCs w:val="22"/>
              </w:rPr>
              <w:t>指价格核</w:t>
            </w:r>
            <w:r>
              <w:rPr>
                <w:sz w:val="22"/>
                <w:szCs w:val="22"/>
              </w:rPr>
              <w:t xml:space="preserve"> 准后的价格，下同）为磋商基准价，其价格得分为满分。其他</w:t>
            </w:r>
            <w:r>
              <w:rPr>
                <w:spacing w:val="-1"/>
                <w:sz w:val="22"/>
                <w:szCs w:val="22"/>
              </w:rPr>
              <w:t>供应商的</w:t>
            </w:r>
            <w:r>
              <w:rPr>
                <w:sz w:val="22"/>
                <w:szCs w:val="22"/>
              </w:rPr>
              <w:t xml:space="preserve"> </w:t>
            </w:r>
            <w:r>
              <w:rPr>
                <w:spacing w:val="-1"/>
                <w:sz w:val="22"/>
                <w:szCs w:val="22"/>
              </w:rPr>
              <w:t>价格得分统一按照下列公式计算：</w:t>
            </w:r>
          </w:p>
          <w:p>
            <w:pPr>
              <w:pStyle w:val="43"/>
              <w:spacing w:before="25" w:line="229" w:lineRule="auto"/>
              <w:ind w:left="12" w:right="149" w:hanging="3"/>
              <w:rPr>
                <w:sz w:val="22"/>
                <w:szCs w:val="22"/>
              </w:rPr>
            </w:pPr>
            <w:r>
              <w:rPr>
                <w:sz w:val="22"/>
                <w:szCs w:val="22"/>
              </w:rPr>
              <w:t>磋商基准价=满足磋商文件要求（通过资格、符合性审查）且</w:t>
            </w:r>
            <w:r>
              <w:rPr>
                <w:spacing w:val="-1"/>
                <w:sz w:val="22"/>
                <w:szCs w:val="22"/>
              </w:rPr>
              <w:t>最后报价</w:t>
            </w:r>
            <w:r>
              <w:rPr>
                <w:sz w:val="22"/>
                <w:szCs w:val="22"/>
              </w:rPr>
              <w:t xml:space="preserve"> </w:t>
            </w:r>
            <w:r>
              <w:rPr>
                <w:spacing w:val="-1"/>
                <w:sz w:val="22"/>
                <w:szCs w:val="22"/>
              </w:rPr>
              <w:t>最低的供应商的价格（指价格核准后的价格，下同）</w:t>
            </w:r>
          </w:p>
          <w:p>
            <w:pPr>
              <w:pStyle w:val="43"/>
              <w:spacing w:before="24" w:line="209" w:lineRule="auto"/>
              <w:ind w:left="9"/>
              <w:rPr>
                <w:sz w:val="22"/>
                <w:szCs w:val="22"/>
              </w:rPr>
            </w:pPr>
            <w:r>
              <w:rPr>
                <w:sz w:val="22"/>
                <w:szCs w:val="22"/>
              </w:rPr>
              <w:t>磋商报价得分=(磋商基准价/最后磋商报价)</w:t>
            </w:r>
            <w:r>
              <w:rPr>
                <w:spacing w:val="-1"/>
                <w:sz w:val="22"/>
                <w:szCs w:val="22"/>
              </w:rPr>
              <w:t>×价格权重×100</w:t>
            </w:r>
          </w:p>
        </w:tc>
        <w:tc>
          <w:tcPr>
            <w:tcW w:w="74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43"/>
              <w:spacing w:before="71" w:line="184" w:lineRule="auto"/>
              <w:ind w:left="272"/>
              <w:rPr>
                <w:sz w:val="22"/>
                <w:szCs w:val="22"/>
              </w:rPr>
            </w:pPr>
            <w:r>
              <w:rPr>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99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3"/>
              <w:spacing w:before="71" w:line="229" w:lineRule="auto"/>
              <w:ind w:left="71" w:right="52" w:hanging="2"/>
              <w:rPr>
                <w:sz w:val="22"/>
                <w:szCs w:val="22"/>
              </w:rPr>
            </w:pPr>
            <w:r>
              <w:rPr>
                <w:spacing w:val="-3"/>
                <w:sz w:val="22"/>
                <w:szCs w:val="22"/>
              </w:rPr>
              <w:t>商务部分</w:t>
            </w:r>
            <w:r>
              <w:rPr>
                <w:sz w:val="22"/>
                <w:szCs w:val="22"/>
              </w:rPr>
              <w:t xml:space="preserve"> </w:t>
            </w:r>
            <w:r>
              <w:rPr>
                <w:spacing w:val="-5"/>
                <w:sz w:val="22"/>
                <w:szCs w:val="22"/>
              </w:rPr>
              <w:t>（30分）</w:t>
            </w:r>
          </w:p>
        </w:tc>
        <w:tc>
          <w:tcPr>
            <w:tcW w:w="1315" w:type="dxa"/>
            <w:vAlign w:val="top"/>
          </w:tcPr>
          <w:p>
            <w:pPr>
              <w:spacing w:line="244" w:lineRule="auto"/>
              <w:rPr>
                <w:rFonts w:ascii="Arial"/>
                <w:sz w:val="21"/>
              </w:rPr>
            </w:pPr>
          </w:p>
          <w:p>
            <w:pPr>
              <w:pStyle w:val="43"/>
              <w:spacing w:before="72" w:line="230" w:lineRule="auto"/>
              <w:ind w:left="226" w:right="215" w:hanging="2"/>
              <w:rPr>
                <w:sz w:val="22"/>
                <w:szCs w:val="22"/>
              </w:rPr>
            </w:pPr>
            <w:r>
              <w:rPr>
                <w:spacing w:val="-3"/>
                <w:sz w:val="22"/>
                <w:szCs w:val="22"/>
              </w:rPr>
              <w:t>企业业绩</w:t>
            </w:r>
            <w:r>
              <w:rPr>
                <w:sz w:val="22"/>
                <w:szCs w:val="22"/>
              </w:rPr>
              <w:t xml:space="preserve"> </w:t>
            </w:r>
            <w:r>
              <w:rPr>
                <w:spacing w:val="-4"/>
                <w:sz w:val="22"/>
                <w:szCs w:val="22"/>
              </w:rPr>
              <w:t>（</w:t>
            </w:r>
            <w:r>
              <w:rPr>
                <w:rFonts w:hint="eastAsia"/>
                <w:spacing w:val="-4"/>
                <w:sz w:val="22"/>
                <w:szCs w:val="22"/>
                <w:lang w:val="en-US" w:eastAsia="zh-CN"/>
              </w:rPr>
              <w:t>9</w:t>
            </w:r>
            <w:r>
              <w:rPr>
                <w:spacing w:val="-4"/>
                <w:sz w:val="22"/>
                <w:szCs w:val="22"/>
              </w:rPr>
              <w:t>分）</w:t>
            </w:r>
          </w:p>
        </w:tc>
        <w:tc>
          <w:tcPr>
            <w:tcW w:w="6871" w:type="dxa"/>
            <w:vAlign w:val="top"/>
          </w:tcPr>
          <w:p>
            <w:pPr>
              <w:pStyle w:val="43"/>
              <w:spacing w:before="23" w:line="224" w:lineRule="auto"/>
              <w:ind w:left="17" w:right="39" w:hanging="7"/>
              <w:rPr>
                <w:rFonts w:hint="eastAsia" w:eastAsia="宋体"/>
                <w:sz w:val="22"/>
                <w:szCs w:val="22"/>
                <w:lang w:val="en-US" w:eastAsia="zh-CN"/>
              </w:rPr>
            </w:pPr>
            <w:r>
              <w:rPr>
                <w:rFonts w:hint="eastAsia"/>
                <w:sz w:val="22"/>
                <w:szCs w:val="22"/>
              </w:rPr>
              <w:t>供应商2022年5月至今（以合同签订时间为准）已完成的类似工程业绩，每提供一个业绩得3分，最高得9分（须提供中标通知书（成交通知书或发包通知书）、施工合同、竣工验收表。</w:t>
            </w:r>
          </w:p>
        </w:tc>
        <w:tc>
          <w:tcPr>
            <w:tcW w:w="748" w:type="dxa"/>
            <w:vAlign w:val="top"/>
          </w:tcPr>
          <w:p>
            <w:pPr>
              <w:pStyle w:val="43"/>
              <w:spacing w:before="205" w:line="190" w:lineRule="auto"/>
              <w:ind w:left="289"/>
              <w:rPr>
                <w:rFonts w:hint="eastAsia" w:eastAsia="宋体"/>
                <w:lang w:eastAsia="zh-CN"/>
              </w:rPr>
            </w:pPr>
            <w:r>
              <w:rPr>
                <w:rFonts w:hint="eastAsia"/>
                <w:spacing w:val="-7"/>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996" w:type="dxa"/>
            <w:vMerge w:val="continue"/>
            <w:tcBorders>
              <w:top w:val="nil"/>
              <w:bottom w:val="nil"/>
            </w:tcBorders>
            <w:vAlign w:val="top"/>
          </w:tcPr>
          <w:p>
            <w:pPr>
              <w:rPr>
                <w:rFonts w:ascii="Arial"/>
                <w:sz w:val="21"/>
              </w:rPr>
            </w:pPr>
          </w:p>
        </w:tc>
        <w:tc>
          <w:tcPr>
            <w:tcW w:w="1315" w:type="dxa"/>
            <w:vAlign w:val="top"/>
          </w:tcPr>
          <w:p>
            <w:pPr>
              <w:pStyle w:val="43"/>
              <w:spacing w:before="174" w:line="230" w:lineRule="auto"/>
              <w:ind w:left="9" w:right="206" w:firstLine="4"/>
              <w:jc w:val="center"/>
              <w:rPr>
                <w:spacing w:val="-2"/>
                <w:sz w:val="22"/>
                <w:szCs w:val="22"/>
              </w:rPr>
            </w:pPr>
            <w:r>
              <w:rPr>
                <w:spacing w:val="-2"/>
                <w:sz w:val="22"/>
                <w:szCs w:val="22"/>
              </w:rPr>
              <w:t>项目负责人</w:t>
            </w:r>
            <w:r>
              <w:rPr>
                <w:sz w:val="22"/>
                <w:szCs w:val="22"/>
              </w:rPr>
              <w:t xml:space="preserve"> </w:t>
            </w:r>
            <w:r>
              <w:rPr>
                <w:spacing w:val="-2"/>
                <w:sz w:val="22"/>
                <w:szCs w:val="22"/>
              </w:rPr>
              <w:t>业绩</w:t>
            </w:r>
          </w:p>
          <w:p>
            <w:pPr>
              <w:pStyle w:val="43"/>
              <w:spacing w:before="174" w:line="230" w:lineRule="auto"/>
              <w:ind w:left="9" w:right="206" w:firstLine="4"/>
              <w:jc w:val="center"/>
              <w:rPr>
                <w:sz w:val="22"/>
                <w:szCs w:val="22"/>
              </w:rPr>
            </w:pPr>
            <w:r>
              <w:rPr>
                <w:spacing w:val="-2"/>
                <w:sz w:val="22"/>
                <w:szCs w:val="22"/>
              </w:rPr>
              <w:t>（</w:t>
            </w:r>
            <w:r>
              <w:rPr>
                <w:rFonts w:hint="eastAsia"/>
                <w:spacing w:val="-2"/>
                <w:sz w:val="22"/>
                <w:szCs w:val="22"/>
                <w:lang w:val="en-US" w:eastAsia="zh-CN"/>
              </w:rPr>
              <w:t>9</w:t>
            </w:r>
            <w:r>
              <w:rPr>
                <w:spacing w:val="-7"/>
                <w:sz w:val="22"/>
                <w:szCs w:val="22"/>
              </w:rPr>
              <w:t>分）</w:t>
            </w:r>
          </w:p>
        </w:tc>
        <w:tc>
          <w:tcPr>
            <w:tcW w:w="6871" w:type="dxa"/>
            <w:vAlign w:val="top"/>
          </w:tcPr>
          <w:p>
            <w:pPr>
              <w:pStyle w:val="43"/>
              <w:spacing w:before="21" w:line="209" w:lineRule="auto"/>
              <w:ind w:left="10"/>
              <w:rPr>
                <w:sz w:val="22"/>
                <w:szCs w:val="22"/>
              </w:rPr>
            </w:pPr>
            <w:r>
              <w:rPr>
                <w:rFonts w:hint="eastAsia"/>
                <w:sz w:val="22"/>
                <w:szCs w:val="22"/>
              </w:rPr>
              <w:t>项目负责人2022年5月至今（以合同签订时间为准）已完成的类似工程业绩，每提供一个业绩得3分，最高得9分（须提供中标通知书（成交通知书或发包通知书）、施工合同、竣工验收表），业绩证明材料必须反映项目负责人。</w:t>
            </w:r>
          </w:p>
        </w:tc>
        <w:tc>
          <w:tcPr>
            <w:tcW w:w="748" w:type="dxa"/>
            <w:vAlign w:val="top"/>
          </w:tcPr>
          <w:p>
            <w:pPr>
              <w:spacing w:line="348" w:lineRule="auto"/>
              <w:rPr>
                <w:rFonts w:ascii="Arial"/>
                <w:sz w:val="21"/>
              </w:rPr>
            </w:pPr>
          </w:p>
          <w:p>
            <w:pPr>
              <w:pStyle w:val="43"/>
              <w:spacing w:before="72" w:line="184" w:lineRule="auto"/>
              <w:ind w:left="285"/>
              <w:rPr>
                <w:rFonts w:hint="eastAsia" w:eastAsia="宋体"/>
                <w:sz w:val="22"/>
                <w:szCs w:val="22"/>
                <w:lang w:eastAsia="zh-CN"/>
              </w:rPr>
            </w:pPr>
            <w:r>
              <w:rPr>
                <w:rFonts w:hint="eastAsia"/>
                <w:spacing w:val="-13"/>
                <w:sz w:val="22"/>
                <w:szCs w:val="22"/>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996" w:type="dxa"/>
            <w:vMerge w:val="continue"/>
            <w:tcBorders>
              <w:top w:val="nil"/>
              <w:bottom w:val="nil"/>
            </w:tcBorders>
            <w:vAlign w:val="top"/>
          </w:tcPr>
          <w:p>
            <w:pPr>
              <w:rPr>
                <w:rFonts w:ascii="Arial"/>
                <w:sz w:val="21"/>
              </w:rPr>
            </w:pPr>
          </w:p>
        </w:tc>
        <w:tc>
          <w:tcPr>
            <w:tcW w:w="1315" w:type="dxa"/>
            <w:vAlign w:val="top"/>
          </w:tcPr>
          <w:p>
            <w:pPr>
              <w:pStyle w:val="43"/>
              <w:spacing w:before="35" w:line="232" w:lineRule="auto"/>
              <w:ind w:left="59" w:right="50" w:firstLine="163"/>
              <w:rPr>
                <w:spacing w:val="-16"/>
                <w:sz w:val="22"/>
                <w:szCs w:val="22"/>
              </w:rPr>
            </w:pPr>
            <w:r>
              <w:rPr>
                <w:spacing w:val="-3"/>
                <w:sz w:val="22"/>
                <w:szCs w:val="22"/>
              </w:rPr>
              <w:t>人员配置</w:t>
            </w:r>
            <w:r>
              <w:rPr>
                <w:spacing w:val="1"/>
                <w:sz w:val="22"/>
                <w:szCs w:val="22"/>
              </w:rPr>
              <w:t xml:space="preserve">  </w:t>
            </w:r>
          </w:p>
          <w:p>
            <w:pPr>
              <w:pStyle w:val="43"/>
              <w:spacing w:before="35" w:line="232" w:lineRule="auto"/>
              <w:ind w:left="59" w:right="50" w:firstLine="163"/>
              <w:rPr>
                <w:sz w:val="22"/>
                <w:szCs w:val="22"/>
              </w:rPr>
            </w:pPr>
            <w:r>
              <w:rPr>
                <w:spacing w:val="-16"/>
                <w:sz w:val="22"/>
                <w:szCs w:val="22"/>
              </w:rPr>
              <w:t>（</w:t>
            </w:r>
            <w:r>
              <w:rPr>
                <w:rFonts w:hint="eastAsia"/>
                <w:spacing w:val="5"/>
                <w:sz w:val="22"/>
                <w:szCs w:val="22"/>
                <w:lang w:val="en-US" w:eastAsia="zh-CN"/>
              </w:rPr>
              <w:t>8</w:t>
            </w:r>
            <w:r>
              <w:rPr>
                <w:spacing w:val="-7"/>
                <w:sz w:val="22"/>
                <w:szCs w:val="22"/>
              </w:rPr>
              <w:t>分）</w:t>
            </w:r>
          </w:p>
        </w:tc>
        <w:tc>
          <w:tcPr>
            <w:tcW w:w="6871" w:type="dxa"/>
            <w:vAlign w:val="top"/>
          </w:tcPr>
          <w:p>
            <w:pPr>
              <w:pStyle w:val="43"/>
              <w:spacing w:before="35" w:line="231" w:lineRule="auto"/>
              <w:ind w:left="10" w:right="42" w:firstLine="4"/>
              <w:jc w:val="both"/>
              <w:rPr>
                <w:sz w:val="22"/>
                <w:szCs w:val="22"/>
              </w:rPr>
            </w:pPr>
            <w:r>
              <w:rPr>
                <w:rFonts w:hint="eastAsia"/>
                <w:sz w:val="22"/>
                <w:szCs w:val="22"/>
                <w:lang w:val="en-US" w:eastAsia="zh-CN"/>
              </w:rPr>
              <w:t>项目经理、</w:t>
            </w:r>
            <w:r>
              <w:rPr>
                <w:rFonts w:hint="eastAsia"/>
                <w:sz w:val="22"/>
                <w:szCs w:val="22"/>
              </w:rPr>
              <w:t>技术负责人、施工员、质量员、安全员、造价人员、资料员、材料员等配备齐全，得</w:t>
            </w:r>
            <w:r>
              <w:rPr>
                <w:rFonts w:hint="eastAsia"/>
                <w:sz w:val="22"/>
                <w:szCs w:val="22"/>
                <w:lang w:val="en-US" w:eastAsia="zh-CN"/>
              </w:rPr>
              <w:t>8</w:t>
            </w:r>
            <w:r>
              <w:rPr>
                <w:rFonts w:hint="eastAsia"/>
                <w:sz w:val="22"/>
                <w:szCs w:val="22"/>
              </w:rPr>
              <w:t>分，每少一项扣1分。应提供相应的注册资格证书、身份证、职称证、学历证扫描件， 安全员应提供 安全生产考核合格证书（C 类）。</w:t>
            </w:r>
          </w:p>
        </w:tc>
        <w:tc>
          <w:tcPr>
            <w:tcW w:w="748" w:type="dxa"/>
            <w:vAlign w:val="top"/>
          </w:tcPr>
          <w:p>
            <w:pPr>
              <w:spacing w:line="423" w:lineRule="auto"/>
              <w:rPr>
                <w:rFonts w:ascii="Arial"/>
                <w:sz w:val="21"/>
              </w:rPr>
            </w:pPr>
          </w:p>
          <w:p>
            <w:pPr>
              <w:pStyle w:val="43"/>
              <w:spacing w:before="72" w:line="182" w:lineRule="auto"/>
              <w:ind w:left="329"/>
              <w:rPr>
                <w:rFonts w:hint="eastAsia" w:eastAsia="宋体"/>
                <w:sz w:val="22"/>
                <w:szCs w:val="22"/>
                <w:lang w:eastAsia="zh-CN"/>
              </w:rPr>
            </w:pPr>
            <w:r>
              <w:rPr>
                <w:rFonts w:hint="eastAsia"/>
                <w:sz w:val="22"/>
                <w:szCs w:val="22"/>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996" w:type="dxa"/>
            <w:vMerge w:val="continue"/>
            <w:tcBorders>
              <w:top w:val="nil"/>
            </w:tcBorders>
            <w:vAlign w:val="top"/>
          </w:tcPr>
          <w:p>
            <w:pPr>
              <w:rPr>
                <w:rFonts w:ascii="Arial"/>
                <w:sz w:val="21"/>
              </w:rPr>
            </w:pPr>
          </w:p>
        </w:tc>
        <w:tc>
          <w:tcPr>
            <w:tcW w:w="1315" w:type="dxa"/>
            <w:vAlign w:val="top"/>
          </w:tcPr>
          <w:p>
            <w:pPr>
              <w:pStyle w:val="43"/>
              <w:spacing w:before="24" w:line="223" w:lineRule="auto"/>
              <w:ind w:left="11" w:right="76" w:firstLine="3"/>
              <w:rPr>
                <w:rFonts w:hint="eastAsia"/>
                <w:sz w:val="22"/>
                <w:szCs w:val="22"/>
              </w:rPr>
            </w:pPr>
          </w:p>
          <w:p>
            <w:pPr>
              <w:pStyle w:val="43"/>
              <w:spacing w:before="24" w:line="223" w:lineRule="auto"/>
              <w:ind w:left="11" w:right="76" w:firstLine="3"/>
              <w:jc w:val="center"/>
              <w:rPr>
                <w:rFonts w:hint="eastAsia"/>
                <w:sz w:val="22"/>
                <w:szCs w:val="22"/>
              </w:rPr>
            </w:pPr>
            <w:r>
              <w:rPr>
                <w:rFonts w:hint="eastAsia"/>
                <w:sz w:val="22"/>
                <w:szCs w:val="22"/>
              </w:rPr>
              <w:t>标函质量</w:t>
            </w:r>
          </w:p>
          <w:p>
            <w:pPr>
              <w:pStyle w:val="43"/>
              <w:spacing w:before="24" w:line="223" w:lineRule="auto"/>
              <w:ind w:left="11" w:right="76" w:firstLine="3"/>
              <w:jc w:val="center"/>
              <w:rPr>
                <w:rFonts w:hint="eastAsia"/>
                <w:sz w:val="22"/>
                <w:szCs w:val="22"/>
              </w:rPr>
            </w:pPr>
            <w:r>
              <w:rPr>
                <w:rFonts w:hint="eastAsia"/>
                <w:sz w:val="22"/>
                <w:szCs w:val="22"/>
              </w:rPr>
              <w:t>（</w:t>
            </w:r>
            <w:r>
              <w:rPr>
                <w:rFonts w:hint="eastAsia"/>
                <w:sz w:val="22"/>
                <w:szCs w:val="22"/>
                <w:lang w:val="en-US" w:eastAsia="zh-CN"/>
              </w:rPr>
              <w:t>4</w:t>
            </w:r>
            <w:r>
              <w:rPr>
                <w:rFonts w:hint="eastAsia"/>
                <w:sz w:val="22"/>
                <w:szCs w:val="22"/>
              </w:rPr>
              <w:t>分）</w:t>
            </w:r>
          </w:p>
          <w:p>
            <w:pPr>
              <w:pStyle w:val="43"/>
              <w:spacing w:before="21" w:line="221" w:lineRule="auto"/>
              <w:ind w:left="282"/>
              <w:rPr>
                <w:sz w:val="22"/>
                <w:szCs w:val="22"/>
              </w:rPr>
            </w:pPr>
          </w:p>
        </w:tc>
        <w:tc>
          <w:tcPr>
            <w:tcW w:w="6871" w:type="dxa"/>
            <w:vAlign w:val="top"/>
          </w:tcPr>
          <w:p>
            <w:pPr>
              <w:pStyle w:val="43"/>
              <w:spacing w:before="24" w:line="223" w:lineRule="auto"/>
              <w:ind w:left="11" w:right="76" w:firstLine="3"/>
              <w:rPr>
                <w:rFonts w:hint="eastAsia"/>
                <w:sz w:val="22"/>
                <w:szCs w:val="22"/>
              </w:rPr>
            </w:pPr>
            <w:r>
              <w:rPr>
                <w:rFonts w:hint="eastAsia"/>
                <w:sz w:val="22"/>
                <w:szCs w:val="22"/>
              </w:rPr>
              <w:t>对响应文件的编制情况进行综合评分：</w:t>
            </w:r>
          </w:p>
          <w:p>
            <w:pPr>
              <w:pStyle w:val="43"/>
              <w:spacing w:before="24" w:line="223" w:lineRule="auto"/>
              <w:ind w:left="11" w:right="76" w:firstLine="3"/>
              <w:rPr>
                <w:rFonts w:hint="eastAsia"/>
                <w:sz w:val="22"/>
                <w:szCs w:val="22"/>
              </w:rPr>
            </w:pPr>
            <w:r>
              <w:rPr>
                <w:rFonts w:hint="eastAsia"/>
                <w:sz w:val="22"/>
                <w:szCs w:val="22"/>
              </w:rPr>
              <w:t>（1）标书内容完整、有目录索引，叙述严谨，履约措施具体合理，得</w:t>
            </w:r>
            <w:r>
              <w:rPr>
                <w:rFonts w:hint="eastAsia"/>
                <w:sz w:val="22"/>
                <w:szCs w:val="22"/>
                <w:lang w:val="en-US" w:eastAsia="zh-CN"/>
              </w:rPr>
              <w:t>4</w:t>
            </w:r>
            <w:r>
              <w:rPr>
                <w:rFonts w:hint="eastAsia"/>
                <w:sz w:val="22"/>
                <w:szCs w:val="22"/>
              </w:rPr>
              <w:t>分；</w:t>
            </w:r>
          </w:p>
          <w:p>
            <w:pPr>
              <w:pStyle w:val="43"/>
              <w:spacing w:before="24" w:line="223" w:lineRule="auto"/>
              <w:ind w:left="11" w:right="76" w:firstLine="3"/>
              <w:rPr>
                <w:rFonts w:hint="eastAsia"/>
                <w:sz w:val="22"/>
                <w:szCs w:val="22"/>
              </w:rPr>
            </w:pPr>
            <w:r>
              <w:rPr>
                <w:rFonts w:hint="eastAsia"/>
                <w:sz w:val="22"/>
                <w:szCs w:val="22"/>
              </w:rPr>
              <w:t>（2）标书内容较完整、有目录索引，叙述得当，履约措施一般，得</w:t>
            </w:r>
            <w:r>
              <w:rPr>
                <w:rFonts w:hint="eastAsia"/>
                <w:sz w:val="22"/>
                <w:szCs w:val="22"/>
                <w:lang w:val="en-US" w:eastAsia="zh-CN"/>
              </w:rPr>
              <w:t>3</w:t>
            </w:r>
            <w:r>
              <w:rPr>
                <w:rFonts w:hint="eastAsia"/>
                <w:sz w:val="22"/>
                <w:szCs w:val="22"/>
              </w:rPr>
              <w:t>分；</w:t>
            </w:r>
          </w:p>
          <w:p>
            <w:pPr>
              <w:pStyle w:val="43"/>
              <w:spacing w:before="24" w:line="223" w:lineRule="auto"/>
              <w:ind w:left="11" w:right="76" w:firstLine="3"/>
              <w:rPr>
                <w:sz w:val="22"/>
                <w:szCs w:val="22"/>
              </w:rPr>
            </w:pPr>
            <w:r>
              <w:rPr>
                <w:rFonts w:hint="eastAsia"/>
                <w:sz w:val="22"/>
                <w:szCs w:val="22"/>
              </w:rPr>
              <w:t>（3）标书内容不完整且没有针对性，履约措施水平低，得</w:t>
            </w:r>
            <w:r>
              <w:rPr>
                <w:rFonts w:hint="eastAsia"/>
                <w:sz w:val="22"/>
                <w:szCs w:val="22"/>
                <w:lang w:val="en-US" w:eastAsia="zh-CN"/>
              </w:rPr>
              <w:t>2</w:t>
            </w:r>
            <w:r>
              <w:rPr>
                <w:rFonts w:hint="eastAsia"/>
                <w:sz w:val="22"/>
                <w:szCs w:val="22"/>
              </w:rPr>
              <w:t>分。</w:t>
            </w:r>
          </w:p>
        </w:tc>
        <w:tc>
          <w:tcPr>
            <w:tcW w:w="748" w:type="dxa"/>
            <w:vAlign w:val="top"/>
          </w:tcPr>
          <w:p>
            <w:pPr>
              <w:spacing w:line="351" w:lineRule="auto"/>
              <w:rPr>
                <w:rFonts w:ascii="Arial"/>
                <w:sz w:val="21"/>
              </w:rPr>
            </w:pPr>
          </w:p>
          <w:p>
            <w:pPr>
              <w:spacing w:line="351" w:lineRule="auto"/>
              <w:rPr>
                <w:rFonts w:ascii="Arial"/>
                <w:sz w:val="21"/>
              </w:rPr>
            </w:pPr>
          </w:p>
          <w:p>
            <w:pPr>
              <w:pStyle w:val="43"/>
              <w:spacing w:before="72" w:line="184" w:lineRule="auto"/>
              <w:ind w:left="329"/>
              <w:rPr>
                <w:rFonts w:hint="eastAsia" w:eastAsia="宋体"/>
                <w:sz w:val="22"/>
                <w:szCs w:val="22"/>
                <w:lang w:eastAsia="zh-CN"/>
              </w:rPr>
            </w:pPr>
            <w:r>
              <w:rPr>
                <w:rFonts w:hint="eastAsia"/>
                <w:sz w:val="22"/>
                <w:szCs w:val="22"/>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996" w:type="dxa"/>
            <w:vMerge w:val="restart"/>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43"/>
              <w:spacing w:before="72" w:line="230" w:lineRule="auto"/>
              <w:ind w:left="71" w:right="53" w:hanging="5"/>
              <w:rPr>
                <w:sz w:val="22"/>
                <w:szCs w:val="22"/>
              </w:rPr>
            </w:pPr>
            <w:r>
              <w:rPr>
                <w:spacing w:val="-3"/>
                <w:sz w:val="22"/>
                <w:szCs w:val="22"/>
              </w:rPr>
              <w:t>技术部分</w:t>
            </w:r>
            <w:r>
              <w:rPr>
                <w:spacing w:val="2"/>
                <w:sz w:val="22"/>
                <w:szCs w:val="22"/>
              </w:rPr>
              <w:t xml:space="preserve"> </w:t>
            </w:r>
            <w:r>
              <w:rPr>
                <w:spacing w:val="-5"/>
                <w:sz w:val="22"/>
                <w:szCs w:val="22"/>
              </w:rPr>
              <w:t>（50分）</w:t>
            </w:r>
          </w:p>
        </w:tc>
        <w:tc>
          <w:tcPr>
            <w:tcW w:w="1315" w:type="dxa"/>
            <w:vAlign w:val="top"/>
          </w:tcPr>
          <w:p>
            <w:pPr>
              <w:spacing w:line="265" w:lineRule="auto"/>
              <w:rPr>
                <w:rFonts w:ascii="Arial"/>
                <w:sz w:val="21"/>
              </w:rPr>
            </w:pPr>
          </w:p>
          <w:p>
            <w:pPr>
              <w:spacing w:line="265" w:lineRule="auto"/>
              <w:rPr>
                <w:rFonts w:ascii="Arial"/>
                <w:sz w:val="21"/>
              </w:rPr>
            </w:pPr>
          </w:p>
          <w:p>
            <w:pPr>
              <w:pStyle w:val="43"/>
              <w:spacing w:before="72" w:line="229" w:lineRule="auto"/>
              <w:ind w:left="114" w:right="102" w:firstLine="1"/>
              <w:rPr>
                <w:sz w:val="22"/>
                <w:szCs w:val="22"/>
              </w:rPr>
            </w:pPr>
            <w:r>
              <w:rPr>
                <w:spacing w:val="-2"/>
                <w:sz w:val="22"/>
                <w:szCs w:val="22"/>
              </w:rPr>
              <w:t>项目实施方</w:t>
            </w:r>
            <w:r>
              <w:rPr>
                <w:sz w:val="22"/>
                <w:szCs w:val="22"/>
              </w:rPr>
              <w:t xml:space="preserve"> </w:t>
            </w:r>
            <w:r>
              <w:rPr>
                <w:spacing w:val="-4"/>
                <w:sz w:val="22"/>
                <w:szCs w:val="22"/>
              </w:rPr>
              <w:t>案（10分）</w:t>
            </w:r>
          </w:p>
        </w:tc>
        <w:tc>
          <w:tcPr>
            <w:tcW w:w="6871" w:type="dxa"/>
            <w:vAlign w:val="top"/>
          </w:tcPr>
          <w:p>
            <w:pPr>
              <w:pStyle w:val="43"/>
              <w:spacing w:before="32" w:line="230" w:lineRule="auto"/>
              <w:ind w:left="10" w:right="42"/>
              <w:rPr>
                <w:sz w:val="22"/>
                <w:szCs w:val="22"/>
              </w:rPr>
            </w:pPr>
            <w:r>
              <w:rPr>
                <w:sz w:val="22"/>
                <w:szCs w:val="22"/>
              </w:rPr>
              <w:t>供应商提供了项目实施方案，包括但不限于：1.施工</w:t>
            </w:r>
            <w:r>
              <w:rPr>
                <w:spacing w:val="-1"/>
                <w:sz w:val="22"/>
                <w:szCs w:val="22"/>
              </w:rPr>
              <w:t>计划；2.质量服务</w:t>
            </w:r>
            <w:r>
              <w:rPr>
                <w:sz w:val="22"/>
                <w:szCs w:val="22"/>
              </w:rPr>
              <w:t xml:space="preserve"> 计划表；3.人员配备；4.机械设备使用；5.资金使用计</w:t>
            </w:r>
            <w:r>
              <w:rPr>
                <w:spacing w:val="-1"/>
                <w:sz w:val="22"/>
                <w:szCs w:val="22"/>
              </w:rPr>
              <w:t>划及其保证措</w:t>
            </w:r>
          </w:p>
          <w:p>
            <w:pPr>
              <w:pStyle w:val="43"/>
              <w:spacing w:before="23" w:line="229" w:lineRule="auto"/>
              <w:ind w:left="13" w:right="93" w:hanging="4"/>
              <w:rPr>
                <w:sz w:val="22"/>
                <w:szCs w:val="22"/>
              </w:rPr>
            </w:pPr>
            <w:r>
              <w:rPr>
                <w:spacing w:val="-2"/>
                <w:sz w:val="22"/>
                <w:szCs w:val="22"/>
              </w:rPr>
              <w:t>施。此项满分10分，每有一项缺项或漏项扣2分，每有一处缺陷扣1分，</w:t>
            </w:r>
            <w:r>
              <w:rPr>
                <w:spacing w:val="8"/>
                <w:sz w:val="22"/>
                <w:szCs w:val="22"/>
              </w:rPr>
              <w:t xml:space="preserve"> </w:t>
            </w:r>
            <w:r>
              <w:rPr>
                <w:sz w:val="22"/>
                <w:szCs w:val="22"/>
              </w:rPr>
              <w:t>扣完为止。（缺陷是指：前后内容不一致、缺少针对</w:t>
            </w:r>
            <w:r>
              <w:rPr>
                <w:spacing w:val="-1"/>
                <w:sz w:val="22"/>
                <w:szCs w:val="22"/>
              </w:rPr>
              <w:t>性、存在凭空编</w:t>
            </w:r>
          </w:p>
          <w:p>
            <w:pPr>
              <w:pStyle w:val="43"/>
              <w:spacing w:before="23" w:line="223" w:lineRule="auto"/>
              <w:ind w:left="9" w:right="37"/>
              <w:rPr>
                <w:sz w:val="22"/>
                <w:szCs w:val="22"/>
              </w:rPr>
            </w:pPr>
            <w:r>
              <w:rPr>
                <w:sz w:val="22"/>
                <w:szCs w:val="22"/>
              </w:rPr>
              <w:t>造、前后逻辑错误、涉及的规范及标准错误、项目名称或实施地</w:t>
            </w:r>
            <w:r>
              <w:rPr>
                <w:spacing w:val="-1"/>
                <w:sz w:val="22"/>
                <w:szCs w:val="22"/>
              </w:rPr>
              <w:t>点区域</w:t>
            </w:r>
            <w:r>
              <w:rPr>
                <w:sz w:val="22"/>
                <w:szCs w:val="22"/>
              </w:rPr>
              <w:t xml:space="preserve"> 错误、内容简略不够详细或与本项目无关等任意一种</w:t>
            </w:r>
            <w:r>
              <w:rPr>
                <w:spacing w:val="-1"/>
                <w:sz w:val="22"/>
                <w:szCs w:val="22"/>
              </w:rPr>
              <w:t>情形等）</w:t>
            </w:r>
          </w:p>
        </w:tc>
        <w:tc>
          <w:tcPr>
            <w:tcW w:w="748" w:type="dxa"/>
            <w:vAlign w:val="top"/>
          </w:tcPr>
          <w:p>
            <w:pPr>
              <w:spacing w:line="352" w:lineRule="auto"/>
              <w:rPr>
                <w:rFonts w:ascii="Arial"/>
                <w:sz w:val="21"/>
              </w:rPr>
            </w:pPr>
          </w:p>
          <w:p>
            <w:pPr>
              <w:spacing w:line="353" w:lineRule="auto"/>
              <w:rPr>
                <w:rFonts w:ascii="Arial"/>
                <w:sz w:val="21"/>
              </w:rPr>
            </w:pPr>
          </w:p>
          <w:p>
            <w:pPr>
              <w:pStyle w:val="43"/>
              <w:spacing w:before="71" w:line="184" w:lineRule="auto"/>
              <w:ind w:left="285"/>
              <w:rPr>
                <w:sz w:val="22"/>
                <w:szCs w:val="22"/>
              </w:rPr>
            </w:pPr>
            <w:r>
              <w:rPr>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96" w:type="dxa"/>
            <w:vMerge w:val="continue"/>
            <w:tcBorders/>
            <w:vAlign w:val="top"/>
          </w:tcPr>
          <w:p>
            <w:pPr>
              <w:rPr>
                <w:rFonts w:ascii="Arial"/>
                <w:sz w:val="21"/>
              </w:rPr>
            </w:pPr>
          </w:p>
        </w:tc>
        <w:tc>
          <w:tcPr>
            <w:tcW w:w="1315" w:type="dxa"/>
            <w:vAlign w:val="top"/>
          </w:tcPr>
          <w:p>
            <w:pPr>
              <w:spacing w:line="387" w:lineRule="auto"/>
              <w:rPr>
                <w:rFonts w:ascii="Arial"/>
                <w:sz w:val="21"/>
              </w:rPr>
            </w:pPr>
          </w:p>
          <w:p>
            <w:pPr>
              <w:pStyle w:val="43"/>
              <w:spacing w:before="72" w:line="230" w:lineRule="auto"/>
              <w:ind w:left="174" w:right="102" w:hanging="49"/>
              <w:rPr>
                <w:sz w:val="22"/>
                <w:szCs w:val="22"/>
              </w:rPr>
            </w:pPr>
            <w:r>
              <w:rPr>
                <w:spacing w:val="-4"/>
                <w:sz w:val="22"/>
                <w:szCs w:val="22"/>
              </w:rPr>
              <w:t>需用量计划</w:t>
            </w:r>
            <w:r>
              <w:rPr>
                <w:sz w:val="22"/>
                <w:szCs w:val="22"/>
              </w:rPr>
              <w:t xml:space="preserve"> </w:t>
            </w:r>
            <w:r>
              <w:rPr>
                <w:spacing w:val="-6"/>
                <w:sz w:val="22"/>
                <w:szCs w:val="22"/>
              </w:rPr>
              <w:t>（8分</w:t>
            </w:r>
            <w:r>
              <w:rPr>
                <w:sz w:val="22"/>
                <w:szCs w:val="22"/>
              </w:rPr>
              <w:t>））</w:t>
            </w:r>
          </w:p>
        </w:tc>
        <w:tc>
          <w:tcPr>
            <w:tcW w:w="6871" w:type="dxa"/>
            <w:vAlign w:val="top"/>
          </w:tcPr>
          <w:p>
            <w:pPr>
              <w:pStyle w:val="43"/>
              <w:spacing w:before="34" w:line="233" w:lineRule="auto"/>
              <w:ind w:left="10" w:right="37" w:firstLine="12"/>
              <w:rPr>
                <w:sz w:val="22"/>
                <w:szCs w:val="22"/>
              </w:rPr>
            </w:pPr>
            <w:r>
              <w:rPr>
                <w:spacing w:val="-1"/>
                <w:sz w:val="22"/>
                <w:szCs w:val="22"/>
              </w:rPr>
              <w:t>需用量计划（劳动力、材料、机械设备）应是根据工程进度计划的安排</w:t>
            </w:r>
            <w:r>
              <w:rPr>
                <w:spacing w:val="15"/>
                <w:sz w:val="22"/>
                <w:szCs w:val="22"/>
              </w:rPr>
              <w:t xml:space="preserve"> </w:t>
            </w:r>
            <w:r>
              <w:rPr>
                <w:sz w:val="22"/>
                <w:szCs w:val="22"/>
              </w:rPr>
              <w:t>计算出的，并与工程进度计划相一致得8分；每有一</w:t>
            </w:r>
            <w:r>
              <w:rPr>
                <w:spacing w:val="-1"/>
                <w:sz w:val="22"/>
                <w:szCs w:val="22"/>
              </w:rPr>
              <w:t>处内容缺陷扣2分，</w:t>
            </w:r>
            <w:r>
              <w:rPr>
                <w:sz w:val="22"/>
                <w:szCs w:val="22"/>
              </w:rPr>
              <w:t xml:space="preserve"> 扣完为止。（缺陷是指：前后内容不一致、缺少针对性、存在</w:t>
            </w:r>
            <w:r>
              <w:rPr>
                <w:spacing w:val="-1"/>
                <w:sz w:val="22"/>
                <w:szCs w:val="22"/>
              </w:rPr>
              <w:t>凭空编</w:t>
            </w:r>
          </w:p>
          <w:p>
            <w:pPr>
              <w:pStyle w:val="43"/>
              <w:spacing w:before="19" w:line="224" w:lineRule="auto"/>
              <w:ind w:left="9" w:right="37"/>
              <w:rPr>
                <w:sz w:val="22"/>
                <w:szCs w:val="22"/>
              </w:rPr>
            </w:pPr>
            <w:r>
              <w:rPr>
                <w:sz w:val="22"/>
                <w:szCs w:val="22"/>
              </w:rPr>
              <w:t>造、前后逻辑错误、涉及的规范及标准错误、项目名称或实施地</w:t>
            </w:r>
            <w:r>
              <w:rPr>
                <w:spacing w:val="-1"/>
                <w:sz w:val="22"/>
                <w:szCs w:val="22"/>
              </w:rPr>
              <w:t>点区域</w:t>
            </w:r>
            <w:r>
              <w:rPr>
                <w:sz w:val="22"/>
                <w:szCs w:val="22"/>
              </w:rPr>
              <w:t xml:space="preserve"> 错误、内容简略不够详细或与本项目无关等任意一种</w:t>
            </w:r>
            <w:r>
              <w:rPr>
                <w:spacing w:val="-1"/>
                <w:sz w:val="22"/>
                <w:szCs w:val="22"/>
              </w:rPr>
              <w:t>情形等）</w:t>
            </w:r>
          </w:p>
        </w:tc>
        <w:tc>
          <w:tcPr>
            <w:tcW w:w="748" w:type="dxa"/>
            <w:vAlign w:val="top"/>
          </w:tcPr>
          <w:p>
            <w:pPr>
              <w:spacing w:line="282" w:lineRule="auto"/>
              <w:rPr>
                <w:rFonts w:ascii="Arial"/>
                <w:sz w:val="21"/>
              </w:rPr>
            </w:pPr>
          </w:p>
          <w:p>
            <w:pPr>
              <w:spacing w:line="282" w:lineRule="auto"/>
              <w:rPr>
                <w:rFonts w:ascii="Arial"/>
                <w:sz w:val="21"/>
              </w:rPr>
            </w:pPr>
          </w:p>
          <w:p>
            <w:pPr>
              <w:pStyle w:val="43"/>
              <w:spacing w:before="71"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996" w:type="dxa"/>
            <w:vMerge w:val="continue"/>
            <w:tcBorders/>
            <w:vAlign w:val="top"/>
          </w:tcPr>
          <w:p>
            <w:pPr>
              <w:rPr>
                <w:rFonts w:ascii="Arial"/>
                <w:sz w:val="21"/>
              </w:rPr>
            </w:pPr>
          </w:p>
        </w:tc>
        <w:tc>
          <w:tcPr>
            <w:tcW w:w="1315" w:type="dxa"/>
            <w:vMerge w:val="restart"/>
            <w:vAlign w:val="top"/>
          </w:tcPr>
          <w:p>
            <w:pPr>
              <w:pStyle w:val="43"/>
              <w:spacing w:before="36" w:line="228" w:lineRule="auto"/>
              <w:ind w:left="113" w:right="102" w:hanging="1"/>
              <w:jc w:val="both"/>
              <w:rPr>
                <w:sz w:val="22"/>
                <w:szCs w:val="22"/>
              </w:rPr>
            </w:pPr>
            <w:r>
              <w:rPr>
                <w:spacing w:val="-2"/>
                <w:sz w:val="22"/>
                <w:szCs w:val="22"/>
              </w:rPr>
              <w:t>施工管理及</w:t>
            </w:r>
            <w:r>
              <w:rPr>
                <w:spacing w:val="3"/>
                <w:sz w:val="22"/>
                <w:szCs w:val="22"/>
              </w:rPr>
              <w:t xml:space="preserve"> </w:t>
            </w:r>
            <w:r>
              <w:rPr>
                <w:spacing w:val="-2"/>
                <w:sz w:val="22"/>
                <w:szCs w:val="22"/>
              </w:rPr>
              <w:t>质量保证措</w:t>
            </w:r>
            <w:r>
              <w:rPr>
                <w:spacing w:val="2"/>
                <w:sz w:val="22"/>
                <w:szCs w:val="22"/>
              </w:rPr>
              <w:t xml:space="preserve"> </w:t>
            </w:r>
            <w:r>
              <w:rPr>
                <w:spacing w:val="7"/>
                <w:sz w:val="22"/>
                <w:szCs w:val="22"/>
              </w:rPr>
              <w:t>施（8分）</w:t>
            </w:r>
          </w:p>
        </w:tc>
        <w:tc>
          <w:tcPr>
            <w:tcW w:w="6871" w:type="dxa"/>
            <w:vMerge w:val="restart"/>
            <w:vAlign w:val="top"/>
          </w:tcPr>
          <w:p>
            <w:pPr>
              <w:pStyle w:val="43"/>
              <w:spacing w:before="36" w:line="228" w:lineRule="auto"/>
              <w:ind w:left="10" w:right="42"/>
              <w:jc w:val="both"/>
              <w:rPr>
                <w:sz w:val="22"/>
                <w:szCs w:val="22"/>
              </w:rPr>
            </w:pPr>
            <w:r>
              <w:rPr>
                <w:sz w:val="22"/>
                <w:szCs w:val="22"/>
              </w:rPr>
              <w:t>针对工程的质量管理及质量保证措施方面的论述，</w:t>
            </w:r>
            <w:r>
              <w:rPr>
                <w:spacing w:val="-1"/>
                <w:sz w:val="22"/>
                <w:szCs w:val="22"/>
              </w:rPr>
              <w:t>包括但不限于：①施</w:t>
            </w:r>
            <w:r>
              <w:rPr>
                <w:sz w:val="22"/>
                <w:szCs w:val="22"/>
              </w:rPr>
              <w:t xml:space="preserve"> 工质量控制方案详细合理；②主要工序；③施工工</w:t>
            </w:r>
            <w:r>
              <w:rPr>
                <w:spacing w:val="-1"/>
                <w:sz w:val="22"/>
                <w:szCs w:val="22"/>
              </w:rPr>
              <w:t>艺；④材料验收等的</w:t>
            </w:r>
            <w:r>
              <w:rPr>
                <w:sz w:val="22"/>
                <w:szCs w:val="22"/>
              </w:rPr>
              <w:t xml:space="preserve"> 质量控制方法。此项满分8分，每有一项缺项或漏项</w:t>
            </w:r>
            <w:r>
              <w:rPr>
                <w:spacing w:val="-1"/>
                <w:sz w:val="22"/>
                <w:szCs w:val="22"/>
              </w:rPr>
              <w:t>扣2分，每有一处缺</w:t>
            </w:r>
          </w:p>
          <w:p>
            <w:pPr>
              <w:pStyle w:val="43"/>
              <w:spacing w:before="36" w:line="229" w:lineRule="auto"/>
              <w:ind w:left="9" w:right="37" w:firstLine="14"/>
              <w:rPr>
                <w:sz w:val="22"/>
                <w:szCs w:val="22"/>
              </w:rPr>
            </w:pPr>
            <w:r>
              <w:rPr>
                <w:spacing w:val="-1"/>
                <w:sz w:val="22"/>
                <w:szCs w:val="22"/>
              </w:rPr>
              <w:t>陷扣1分，扣完为止。（缺陷是指：前后内容不一致、缺少针对性、存</w:t>
            </w:r>
            <w:r>
              <w:rPr>
                <w:spacing w:val="1"/>
                <w:sz w:val="22"/>
                <w:szCs w:val="22"/>
              </w:rPr>
              <w:t xml:space="preserve">  </w:t>
            </w:r>
            <w:r>
              <w:rPr>
                <w:sz w:val="22"/>
                <w:szCs w:val="22"/>
              </w:rPr>
              <w:t>在凭空编造、前后逻辑错误、涉及的规范及标准错误、项目名称</w:t>
            </w:r>
            <w:r>
              <w:rPr>
                <w:spacing w:val="-1"/>
                <w:sz w:val="22"/>
                <w:szCs w:val="22"/>
              </w:rPr>
              <w:t>或实施</w:t>
            </w:r>
            <w:r>
              <w:rPr>
                <w:sz w:val="22"/>
                <w:szCs w:val="22"/>
              </w:rPr>
              <w:t xml:space="preserve"> 地点区域错误、内容简略不够详细或与本项目无</w:t>
            </w:r>
            <w:r>
              <w:rPr>
                <w:spacing w:val="-1"/>
                <w:sz w:val="22"/>
                <w:szCs w:val="22"/>
              </w:rPr>
              <w:t>关等任意一种情形等）</w:t>
            </w:r>
          </w:p>
        </w:tc>
        <w:tc>
          <w:tcPr>
            <w:tcW w:w="748" w:type="dxa"/>
            <w:vAlign w:val="top"/>
          </w:tcPr>
          <w:p>
            <w:pPr>
              <w:spacing w:line="279"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996" w:type="dxa"/>
            <w:vMerge w:val="continue"/>
            <w:tcBorders/>
            <w:vAlign w:val="top"/>
          </w:tcPr>
          <w:p>
            <w:pPr>
              <w:pStyle w:val="43"/>
              <w:spacing w:before="72" w:line="230" w:lineRule="auto"/>
              <w:ind w:left="71" w:right="53" w:hanging="5"/>
              <w:rPr>
                <w:sz w:val="22"/>
                <w:szCs w:val="22"/>
              </w:rPr>
            </w:pPr>
          </w:p>
        </w:tc>
        <w:tc>
          <w:tcPr>
            <w:tcW w:w="1315" w:type="dxa"/>
            <w:vMerge w:val="continue"/>
            <w:tcBorders/>
            <w:vAlign w:val="top"/>
          </w:tcPr>
          <w:p>
            <w:pPr>
              <w:rPr>
                <w:rFonts w:ascii="Arial"/>
                <w:sz w:val="21"/>
              </w:rPr>
            </w:pPr>
          </w:p>
        </w:tc>
        <w:tc>
          <w:tcPr>
            <w:tcW w:w="6871" w:type="dxa"/>
            <w:vMerge w:val="continue"/>
            <w:tcBorders/>
            <w:vAlign w:val="top"/>
          </w:tcPr>
          <w:p>
            <w:pPr>
              <w:pStyle w:val="43"/>
              <w:spacing w:before="36" w:line="229" w:lineRule="auto"/>
              <w:ind w:left="9" w:right="37" w:firstLine="14"/>
              <w:rPr>
                <w:sz w:val="22"/>
                <w:szCs w:val="22"/>
              </w:rPr>
            </w:pP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996" w:type="dxa"/>
            <w:vMerge w:val="continue"/>
            <w:tcBorders/>
            <w:vAlign w:val="top"/>
          </w:tcPr>
          <w:p>
            <w:pPr>
              <w:rPr>
                <w:rFonts w:ascii="Arial"/>
                <w:sz w:val="21"/>
              </w:rPr>
            </w:pPr>
          </w:p>
        </w:tc>
        <w:tc>
          <w:tcPr>
            <w:tcW w:w="1315" w:type="dxa"/>
            <w:vAlign w:val="top"/>
          </w:tcPr>
          <w:p>
            <w:pPr>
              <w:spacing w:line="384" w:lineRule="auto"/>
              <w:rPr>
                <w:rFonts w:ascii="Arial"/>
                <w:sz w:val="21"/>
              </w:rPr>
            </w:pPr>
          </w:p>
          <w:p>
            <w:pPr>
              <w:pStyle w:val="43"/>
              <w:spacing w:before="71" w:line="230" w:lineRule="auto"/>
              <w:ind w:left="331" w:right="102" w:hanging="219"/>
              <w:rPr>
                <w:sz w:val="22"/>
                <w:szCs w:val="22"/>
              </w:rPr>
            </w:pPr>
            <w:r>
              <w:rPr>
                <w:spacing w:val="-2"/>
                <w:sz w:val="22"/>
                <w:szCs w:val="22"/>
              </w:rPr>
              <w:t>施工工期保</w:t>
            </w:r>
            <w:r>
              <w:rPr>
                <w:spacing w:val="3"/>
                <w:sz w:val="22"/>
                <w:szCs w:val="22"/>
              </w:rPr>
              <w:t xml:space="preserve"> </w:t>
            </w:r>
            <w:r>
              <w:rPr>
                <w:spacing w:val="-3"/>
                <w:sz w:val="22"/>
                <w:szCs w:val="22"/>
              </w:rPr>
              <w:t>证措施</w:t>
            </w:r>
          </w:p>
          <w:p>
            <w:pPr>
              <w:pStyle w:val="43"/>
              <w:spacing w:before="22" w:line="221" w:lineRule="auto"/>
              <w:ind w:left="282"/>
              <w:rPr>
                <w:sz w:val="22"/>
                <w:szCs w:val="22"/>
              </w:rPr>
            </w:pPr>
            <w:r>
              <w:rPr>
                <w:spacing w:val="-6"/>
                <w:sz w:val="22"/>
                <w:szCs w:val="22"/>
              </w:rPr>
              <w:t>（8分）</w:t>
            </w:r>
          </w:p>
        </w:tc>
        <w:tc>
          <w:tcPr>
            <w:tcW w:w="6871" w:type="dxa"/>
            <w:vAlign w:val="top"/>
          </w:tcPr>
          <w:p>
            <w:pPr>
              <w:pStyle w:val="43"/>
              <w:spacing w:before="32" w:line="234" w:lineRule="auto"/>
              <w:ind w:left="9" w:right="37"/>
              <w:rPr>
                <w:sz w:val="22"/>
                <w:szCs w:val="22"/>
              </w:rPr>
            </w:pPr>
            <w:r>
              <w:rPr>
                <w:sz w:val="22"/>
                <w:szCs w:val="22"/>
              </w:rPr>
              <w:t>供应商提供施工工期保证措施，包括但不限于：①提</w:t>
            </w:r>
            <w:r>
              <w:rPr>
                <w:spacing w:val="-1"/>
                <w:sz w:val="22"/>
                <w:szCs w:val="22"/>
              </w:rPr>
              <w:t>供详细施工整体进</w:t>
            </w:r>
            <w:r>
              <w:rPr>
                <w:sz w:val="22"/>
                <w:szCs w:val="22"/>
              </w:rPr>
              <w:t xml:space="preserve"> 度计划；②进度控制和工期保证措施等。此项满分8分，每</w:t>
            </w:r>
            <w:r>
              <w:rPr>
                <w:spacing w:val="-1"/>
                <w:sz w:val="22"/>
                <w:szCs w:val="22"/>
              </w:rPr>
              <w:t>有一项缺项</w:t>
            </w:r>
            <w:r>
              <w:rPr>
                <w:sz w:val="22"/>
                <w:szCs w:val="22"/>
              </w:rPr>
              <w:t xml:space="preserve">  或漏项扣4分，每有一处缺陷扣2分，扣完为止。（缺陷是指</w:t>
            </w:r>
            <w:r>
              <w:rPr>
                <w:spacing w:val="-1"/>
                <w:sz w:val="22"/>
                <w:szCs w:val="22"/>
              </w:rPr>
              <w:t>：前后内容</w:t>
            </w:r>
            <w:r>
              <w:rPr>
                <w:sz w:val="22"/>
                <w:szCs w:val="22"/>
              </w:rPr>
              <w:t xml:space="preserve"> 不一致、缺少针对性、存在凭空编造、前后逻辑错误、涉及的规</w:t>
            </w:r>
            <w:r>
              <w:rPr>
                <w:spacing w:val="-1"/>
                <w:sz w:val="22"/>
                <w:szCs w:val="22"/>
              </w:rPr>
              <w:t>范及标</w:t>
            </w:r>
            <w:r>
              <w:rPr>
                <w:sz w:val="22"/>
                <w:szCs w:val="22"/>
              </w:rPr>
              <w:t xml:space="preserve"> 准错误、项目名称或实施地点区域错误、内容简略不够详细或与</w:t>
            </w:r>
            <w:r>
              <w:rPr>
                <w:spacing w:val="-1"/>
                <w:sz w:val="22"/>
                <w:szCs w:val="22"/>
              </w:rPr>
              <w:t>本项目</w:t>
            </w:r>
            <w:r>
              <w:rPr>
                <w:sz w:val="22"/>
                <w:szCs w:val="22"/>
              </w:rPr>
              <w:t xml:space="preserve"> </w:t>
            </w:r>
            <w:r>
              <w:rPr>
                <w:spacing w:val="-2"/>
                <w:sz w:val="22"/>
                <w:szCs w:val="22"/>
              </w:rPr>
              <w:t>无关等任意一种情形等）</w:t>
            </w:r>
          </w:p>
        </w:tc>
        <w:tc>
          <w:tcPr>
            <w:tcW w:w="748" w:type="dxa"/>
            <w:vAlign w:val="top"/>
          </w:tcPr>
          <w:p>
            <w:pPr>
              <w:spacing w:line="350" w:lineRule="auto"/>
              <w:rPr>
                <w:rFonts w:ascii="Arial"/>
                <w:sz w:val="21"/>
              </w:rPr>
            </w:pPr>
          </w:p>
          <w:p>
            <w:pPr>
              <w:spacing w:line="351"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996" w:type="dxa"/>
            <w:vMerge w:val="continue"/>
            <w:tcBorders/>
            <w:vAlign w:val="top"/>
          </w:tcPr>
          <w:p>
            <w:pPr>
              <w:rPr>
                <w:rFonts w:ascii="Arial"/>
                <w:sz w:val="21"/>
              </w:rPr>
            </w:pPr>
          </w:p>
        </w:tc>
        <w:tc>
          <w:tcPr>
            <w:tcW w:w="1315" w:type="dxa"/>
            <w:vAlign w:val="top"/>
          </w:tcPr>
          <w:p>
            <w:pPr>
              <w:spacing w:line="384" w:lineRule="auto"/>
              <w:rPr>
                <w:rFonts w:ascii="Arial"/>
                <w:sz w:val="21"/>
              </w:rPr>
            </w:pPr>
          </w:p>
          <w:p>
            <w:pPr>
              <w:pStyle w:val="43"/>
              <w:spacing w:before="72" w:line="233" w:lineRule="auto"/>
              <w:ind w:left="114" w:right="102" w:hanging="2"/>
              <w:jc w:val="both"/>
              <w:rPr>
                <w:sz w:val="22"/>
                <w:szCs w:val="22"/>
              </w:rPr>
            </w:pPr>
            <w:r>
              <w:rPr>
                <w:spacing w:val="-2"/>
                <w:sz w:val="22"/>
                <w:szCs w:val="22"/>
              </w:rPr>
              <w:t>施工安全及</w:t>
            </w:r>
            <w:r>
              <w:rPr>
                <w:spacing w:val="3"/>
                <w:sz w:val="22"/>
                <w:szCs w:val="22"/>
              </w:rPr>
              <w:t xml:space="preserve"> </w:t>
            </w:r>
            <w:r>
              <w:rPr>
                <w:spacing w:val="-2"/>
                <w:sz w:val="22"/>
                <w:szCs w:val="22"/>
              </w:rPr>
              <w:t>文明施工措</w:t>
            </w:r>
            <w:r>
              <w:rPr>
                <w:spacing w:val="1"/>
                <w:sz w:val="22"/>
                <w:szCs w:val="22"/>
              </w:rPr>
              <w:t xml:space="preserve"> </w:t>
            </w:r>
            <w:r>
              <w:rPr>
                <w:spacing w:val="7"/>
                <w:sz w:val="22"/>
                <w:szCs w:val="22"/>
              </w:rPr>
              <w:t>施（8分）</w:t>
            </w:r>
          </w:p>
        </w:tc>
        <w:tc>
          <w:tcPr>
            <w:tcW w:w="6871" w:type="dxa"/>
            <w:vAlign w:val="top"/>
          </w:tcPr>
          <w:p>
            <w:pPr>
              <w:pStyle w:val="43"/>
              <w:spacing w:before="34" w:line="232" w:lineRule="auto"/>
              <w:ind w:left="10" w:right="42"/>
              <w:rPr>
                <w:sz w:val="22"/>
                <w:szCs w:val="22"/>
              </w:rPr>
            </w:pPr>
            <w:r>
              <w:rPr>
                <w:sz w:val="22"/>
                <w:szCs w:val="22"/>
              </w:rPr>
              <w:t>针对工程施工安全及文明施工措施的论述，包括但</w:t>
            </w:r>
            <w:r>
              <w:rPr>
                <w:spacing w:val="-1"/>
                <w:sz w:val="22"/>
                <w:szCs w:val="22"/>
              </w:rPr>
              <w:t>不限于：①管理措施</w:t>
            </w:r>
            <w:r>
              <w:rPr>
                <w:sz w:val="22"/>
                <w:szCs w:val="22"/>
              </w:rPr>
              <w:t xml:space="preserve"> 规范；②规章制度完善；③</w:t>
            </w:r>
            <w:bookmarkStart w:id="116" w:name="_GoBack"/>
            <w:bookmarkEnd w:id="116"/>
            <w:r>
              <w:rPr>
                <w:sz w:val="22"/>
                <w:szCs w:val="22"/>
              </w:rPr>
              <w:t>安全保护方法明确；④风</w:t>
            </w:r>
            <w:r>
              <w:rPr>
                <w:spacing w:val="-1"/>
                <w:sz w:val="22"/>
                <w:szCs w:val="22"/>
              </w:rPr>
              <w:t>险管理措施。此项</w:t>
            </w:r>
            <w:r>
              <w:rPr>
                <w:sz w:val="22"/>
                <w:szCs w:val="22"/>
              </w:rPr>
              <w:t xml:space="preserve"> 满分8分，每有一项缺项或漏项扣2分，每有一处缺陷扣1分</w:t>
            </w:r>
            <w:r>
              <w:rPr>
                <w:spacing w:val="-1"/>
                <w:sz w:val="22"/>
                <w:szCs w:val="22"/>
              </w:rPr>
              <w:t>，扣完为</w:t>
            </w:r>
          </w:p>
          <w:p>
            <w:pPr>
              <w:pStyle w:val="43"/>
              <w:spacing w:before="23" w:line="229" w:lineRule="auto"/>
              <w:ind w:left="9" w:right="37" w:firstLine="1"/>
              <w:rPr>
                <w:sz w:val="22"/>
                <w:szCs w:val="22"/>
              </w:rPr>
            </w:pPr>
            <w:r>
              <w:rPr>
                <w:sz w:val="22"/>
                <w:szCs w:val="22"/>
              </w:rPr>
              <w:t>止。（缺陷是指：前后内容不一致、缺少针对性、存在凭空编</w:t>
            </w:r>
            <w:r>
              <w:rPr>
                <w:spacing w:val="-1"/>
                <w:sz w:val="22"/>
                <w:szCs w:val="22"/>
              </w:rPr>
              <w:t>造、前后</w:t>
            </w:r>
            <w:r>
              <w:rPr>
                <w:sz w:val="22"/>
                <w:szCs w:val="22"/>
              </w:rPr>
              <w:t xml:space="preserve"> </w:t>
            </w:r>
            <w:r>
              <w:rPr>
                <w:spacing w:val="-1"/>
                <w:sz w:val="22"/>
                <w:szCs w:val="22"/>
              </w:rPr>
              <w:t>逻辑错误、涉及的规范及标准错误、项目名称或实施地点区域错误</w:t>
            </w:r>
            <w:r>
              <w:rPr>
                <w:spacing w:val="-2"/>
                <w:sz w:val="22"/>
                <w:szCs w:val="22"/>
              </w:rPr>
              <w:t>、内</w:t>
            </w:r>
            <w:r>
              <w:rPr>
                <w:sz w:val="22"/>
                <w:szCs w:val="22"/>
              </w:rPr>
              <w:t xml:space="preserve"> </w:t>
            </w:r>
            <w:r>
              <w:rPr>
                <w:spacing w:val="-1"/>
                <w:sz w:val="22"/>
                <w:szCs w:val="22"/>
              </w:rPr>
              <w:t>容简略不够详细或与本项目无关等任意一种情形等）</w:t>
            </w:r>
          </w:p>
        </w:tc>
        <w:tc>
          <w:tcPr>
            <w:tcW w:w="748" w:type="dxa"/>
            <w:vAlign w:val="top"/>
          </w:tcPr>
          <w:p>
            <w:pPr>
              <w:spacing w:line="350" w:lineRule="auto"/>
              <w:rPr>
                <w:rFonts w:ascii="Arial"/>
                <w:sz w:val="21"/>
              </w:rPr>
            </w:pPr>
          </w:p>
          <w:p>
            <w:pPr>
              <w:spacing w:line="351"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996" w:type="dxa"/>
            <w:vMerge w:val="continue"/>
            <w:tcBorders/>
            <w:vAlign w:val="top"/>
          </w:tcPr>
          <w:p>
            <w:pPr>
              <w:rPr>
                <w:rFonts w:ascii="Arial"/>
                <w:sz w:val="21"/>
              </w:rPr>
            </w:pPr>
          </w:p>
        </w:tc>
        <w:tc>
          <w:tcPr>
            <w:tcW w:w="1315" w:type="dxa"/>
            <w:vAlign w:val="top"/>
          </w:tcPr>
          <w:p>
            <w:pPr>
              <w:spacing w:line="385" w:lineRule="auto"/>
              <w:rPr>
                <w:rFonts w:ascii="Arial"/>
                <w:sz w:val="21"/>
              </w:rPr>
            </w:pPr>
          </w:p>
          <w:p>
            <w:pPr>
              <w:pStyle w:val="43"/>
              <w:spacing w:before="72" w:line="220" w:lineRule="auto"/>
              <w:ind w:left="61"/>
              <w:rPr>
                <w:sz w:val="22"/>
                <w:szCs w:val="22"/>
              </w:rPr>
            </w:pPr>
            <w:r>
              <w:rPr>
                <w:spacing w:val="-1"/>
                <w:sz w:val="22"/>
                <w:szCs w:val="22"/>
              </w:rPr>
              <w:t>项目管理 组</w:t>
            </w:r>
          </w:p>
          <w:p>
            <w:pPr>
              <w:pStyle w:val="43"/>
              <w:spacing w:before="23" w:line="230" w:lineRule="auto"/>
              <w:ind w:left="443" w:right="106" w:hanging="327"/>
              <w:rPr>
                <w:sz w:val="22"/>
                <w:szCs w:val="22"/>
              </w:rPr>
            </w:pPr>
            <w:r>
              <w:rPr>
                <w:spacing w:val="-3"/>
                <w:sz w:val="22"/>
                <w:szCs w:val="22"/>
              </w:rPr>
              <w:t>织架构 （8</w:t>
            </w:r>
            <w:r>
              <w:rPr>
                <w:spacing w:val="4"/>
                <w:sz w:val="22"/>
                <w:szCs w:val="22"/>
              </w:rPr>
              <w:t xml:space="preserve"> </w:t>
            </w:r>
            <w:r>
              <w:rPr>
                <w:spacing w:val="-7"/>
                <w:sz w:val="22"/>
                <w:szCs w:val="22"/>
              </w:rPr>
              <w:t>分）</w:t>
            </w:r>
          </w:p>
        </w:tc>
        <w:tc>
          <w:tcPr>
            <w:tcW w:w="6871" w:type="dxa"/>
            <w:vAlign w:val="top"/>
          </w:tcPr>
          <w:p>
            <w:pPr>
              <w:pStyle w:val="43"/>
              <w:spacing w:before="32" w:line="233" w:lineRule="auto"/>
              <w:ind w:left="8" w:right="41" w:firstLine="1"/>
              <w:rPr>
                <w:sz w:val="22"/>
                <w:szCs w:val="22"/>
              </w:rPr>
            </w:pPr>
            <w:r>
              <w:rPr>
                <w:sz w:val="22"/>
                <w:szCs w:val="22"/>
              </w:rPr>
              <w:t>供应商提供了项目管理组织架构包括但不限于：①项目</w:t>
            </w:r>
            <w:r>
              <w:rPr>
                <w:spacing w:val="-1"/>
                <w:sz w:val="22"/>
                <w:szCs w:val="22"/>
              </w:rPr>
              <w:t>管理组织架构；</w:t>
            </w:r>
            <w:r>
              <w:rPr>
                <w:sz w:val="22"/>
                <w:szCs w:val="22"/>
              </w:rPr>
              <w:t xml:space="preserve"> ②拟投入本项目各岗位人员安排。 此项满分8分，每有一</w:t>
            </w:r>
            <w:r>
              <w:rPr>
                <w:spacing w:val="-1"/>
                <w:sz w:val="22"/>
                <w:szCs w:val="22"/>
              </w:rPr>
              <w:t>项缺项或漏项</w:t>
            </w:r>
            <w:r>
              <w:rPr>
                <w:sz w:val="22"/>
                <w:szCs w:val="22"/>
              </w:rPr>
              <w:t xml:space="preserve"> 扣4分，每有一处缺陷扣2分，扣完为止。（缺陷是指：前后内容不一</w:t>
            </w:r>
          </w:p>
          <w:p>
            <w:pPr>
              <w:pStyle w:val="43"/>
              <w:spacing w:before="24" w:line="228" w:lineRule="auto"/>
              <w:ind w:left="11" w:right="37" w:hanging="1"/>
              <w:rPr>
                <w:sz w:val="22"/>
                <w:szCs w:val="22"/>
              </w:rPr>
            </w:pPr>
            <w:r>
              <w:rPr>
                <w:sz w:val="22"/>
                <w:szCs w:val="22"/>
              </w:rPr>
              <w:t>致、缺少针对性、存在凭空编造、前后逻辑错误、涉及的规范</w:t>
            </w:r>
            <w:r>
              <w:rPr>
                <w:spacing w:val="-1"/>
                <w:sz w:val="22"/>
                <w:szCs w:val="22"/>
              </w:rPr>
              <w:t>及标准错</w:t>
            </w:r>
            <w:r>
              <w:rPr>
                <w:sz w:val="22"/>
                <w:szCs w:val="22"/>
              </w:rPr>
              <w:t xml:space="preserve"> 误、项目名称或实施地点区域错误、内容简略不够详细或与</w:t>
            </w:r>
            <w:r>
              <w:rPr>
                <w:spacing w:val="-1"/>
                <w:sz w:val="22"/>
                <w:szCs w:val="22"/>
              </w:rPr>
              <w:t>本项目无关</w:t>
            </w:r>
            <w:r>
              <w:rPr>
                <w:sz w:val="22"/>
                <w:szCs w:val="22"/>
              </w:rPr>
              <w:t xml:space="preserve"> </w:t>
            </w:r>
            <w:r>
              <w:rPr>
                <w:spacing w:val="-1"/>
                <w:sz w:val="22"/>
                <w:szCs w:val="22"/>
              </w:rPr>
              <w:t>等任意一种情形等</w:t>
            </w:r>
          </w:p>
        </w:tc>
        <w:tc>
          <w:tcPr>
            <w:tcW w:w="748" w:type="dxa"/>
            <w:vAlign w:val="top"/>
          </w:tcPr>
          <w:p>
            <w:pPr>
              <w:spacing w:line="351" w:lineRule="auto"/>
              <w:rPr>
                <w:rFonts w:ascii="Arial"/>
                <w:sz w:val="21"/>
              </w:rPr>
            </w:pPr>
          </w:p>
          <w:p>
            <w:pPr>
              <w:spacing w:line="352"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182" w:type="dxa"/>
            <w:gridSpan w:val="3"/>
            <w:vAlign w:val="top"/>
          </w:tcPr>
          <w:p>
            <w:pPr>
              <w:pStyle w:val="43"/>
              <w:spacing w:before="34" w:line="222" w:lineRule="auto"/>
              <w:ind w:left="13"/>
              <w:jc w:val="center"/>
              <w:rPr>
                <w:sz w:val="22"/>
                <w:szCs w:val="22"/>
              </w:rPr>
            </w:pPr>
            <w:r>
              <w:rPr>
                <w:spacing w:val="-2"/>
                <w:sz w:val="22"/>
                <w:szCs w:val="22"/>
              </w:rPr>
              <w:t>合计100</w:t>
            </w:r>
          </w:p>
        </w:tc>
        <w:tc>
          <w:tcPr>
            <w:tcW w:w="748" w:type="dxa"/>
            <w:vAlign w:val="top"/>
          </w:tcPr>
          <w:p>
            <w:pPr>
              <w:rPr>
                <w:rFonts w:ascii="Arial"/>
                <w:sz w:val="21"/>
              </w:rPr>
            </w:pPr>
          </w:p>
        </w:tc>
      </w:tr>
    </w:tbl>
    <w:p>
      <w:pPr>
        <w:jc w:val="center"/>
        <w:rPr>
          <w:rFonts w:hint="eastAsia" w:ascii="宋体" w:hAnsi="宋体" w:eastAsia="宋体" w:cs="仿宋"/>
          <w:kern w:val="2"/>
          <w:sz w:val="24"/>
          <w:szCs w:val="20"/>
          <w:lang w:val="en-US" w:eastAsia="zh-CN" w:bidi="ar-SA"/>
        </w:rPr>
        <w:sectPr>
          <w:footerReference r:id="rId5" w:type="default"/>
          <w:pgSz w:w="11906" w:h="16838"/>
          <w:pgMar w:top="1431" w:right="1383" w:bottom="1246" w:left="1388" w:header="0" w:footer="1034" w:gutter="0"/>
          <w:pgNumType w:fmt="decimal" w:start="1"/>
          <w:cols w:space="720" w:num="1"/>
        </w:sectPr>
      </w:pPr>
    </w:p>
    <w:p>
      <w:pPr>
        <w:spacing w:before="35"/>
        <w:jc w:val="center"/>
        <w:rPr>
          <w:rFonts w:hint="eastAsia" w:ascii="宋体" w:hAnsi="宋体" w:eastAsia="宋体" w:cs="仿宋"/>
          <w:kern w:val="2"/>
          <w:sz w:val="24"/>
          <w:szCs w:val="20"/>
          <w:lang w:val="en-US" w:eastAsia="zh-CN" w:bidi="ar-SA"/>
        </w:r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both"/>
        <w:textAlignment w:val="baseline"/>
        <w:outlineLvl w:val="0"/>
        <w:rPr>
          <w:rFonts w:hint="eastAsia" w:ascii="方正小标宋简体" w:hAnsi="方正小标宋简体" w:eastAsia="方正小标宋简体" w:cs="方正小标宋简体"/>
          <w:b w:val="0"/>
          <w:i w:val="0"/>
          <w:color w:val="000000"/>
          <w:kern w:val="0"/>
          <w:sz w:val="36"/>
          <w:szCs w:val="36"/>
          <w:lang w:eastAsia="zh-CN"/>
        </w:rPr>
      </w:pPr>
      <w:bookmarkStart w:id="92" w:name="_Toc6990"/>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11"/>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8"/>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rPr>
          <w:highlight w:val="none"/>
        </w:rPr>
      </w:pPr>
    </w:p>
    <w:p>
      <w:pPr>
        <w:pStyle w:val="11"/>
        <w:rPr>
          <w:highlight w:val="none"/>
        </w:rPr>
      </w:pPr>
    </w:p>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jc w:val="center"/>
        <w:outlineLvl w:val="0"/>
        <w:rPr>
          <w:rFonts w:hint="eastAsia" w:hAnsi="宋体" w:cs="宋体"/>
          <w:b/>
          <w:szCs w:val="24"/>
          <w:highlight w:val="none"/>
        </w:rPr>
      </w:pPr>
      <w:bookmarkStart w:id="96" w:name="_Toc2037"/>
      <w:bookmarkStart w:id="97" w:name="_Toc24680"/>
      <w:r>
        <w:rPr>
          <w:rFonts w:hint="eastAsia" w:hAnsi="宋体" w:cs="宋体"/>
          <w:b/>
          <w:szCs w:val="24"/>
          <w:highlight w:val="none"/>
        </w:rPr>
        <w:t>第一部分 合同书</w:t>
      </w:r>
      <w:bookmarkEnd w:id="96"/>
      <w:bookmarkEnd w:id="97"/>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32"/>
        <w:spacing w:before="120" w:line="22" w:lineRule="atLeast"/>
        <w:rPr>
          <w:rFonts w:hint="eastAsia" w:ascii="宋体" w:hAnsi="宋体" w:eastAsia="宋体" w:cs="宋体"/>
          <w:szCs w:val="24"/>
          <w:highlight w:val="none"/>
        </w:rPr>
      </w:pPr>
    </w:p>
    <w:p>
      <w:pPr>
        <w:pStyle w:val="32"/>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6"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8"/>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8"/>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23"/>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8"/>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23"/>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8"/>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23"/>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23"/>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8"/>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23"/>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lang w:val="zh-CN"/>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mc:Fallback>
      </mc:AlternateContent>
    </w:r>
    <w:r>
      <w:rPr>
        <w:lang w:val="zh-CN"/>
      </w:rP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DC0302"/>
    <w:multiLevelType w:val="singleLevel"/>
    <w:tmpl w:val="47DC03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zI2NTc2MzM1ODQyNjhmMDg5NmY2MzZhZmY2NjUifQ=="/>
  </w:docVars>
  <w:rsids>
    <w:rsidRoot w:val="7FEAB55F"/>
    <w:rsid w:val="000A556D"/>
    <w:rsid w:val="01557226"/>
    <w:rsid w:val="01571E65"/>
    <w:rsid w:val="01721924"/>
    <w:rsid w:val="017F1231"/>
    <w:rsid w:val="01BA2890"/>
    <w:rsid w:val="01F82E5E"/>
    <w:rsid w:val="02797FD8"/>
    <w:rsid w:val="035B3F7B"/>
    <w:rsid w:val="037A35CB"/>
    <w:rsid w:val="03BA3E25"/>
    <w:rsid w:val="040F20FC"/>
    <w:rsid w:val="043C1F49"/>
    <w:rsid w:val="043E22A0"/>
    <w:rsid w:val="048841CD"/>
    <w:rsid w:val="05EB562F"/>
    <w:rsid w:val="06025855"/>
    <w:rsid w:val="06067645"/>
    <w:rsid w:val="06894E59"/>
    <w:rsid w:val="08224C6B"/>
    <w:rsid w:val="09EA7CE1"/>
    <w:rsid w:val="0A3032FE"/>
    <w:rsid w:val="0B444F45"/>
    <w:rsid w:val="0B863DB1"/>
    <w:rsid w:val="0BAE727E"/>
    <w:rsid w:val="0CB647A3"/>
    <w:rsid w:val="0CD50483"/>
    <w:rsid w:val="0CDD78EC"/>
    <w:rsid w:val="0D6E6156"/>
    <w:rsid w:val="0EC40683"/>
    <w:rsid w:val="0ECB46CA"/>
    <w:rsid w:val="0F390BC0"/>
    <w:rsid w:val="101D2F0F"/>
    <w:rsid w:val="102A1DB2"/>
    <w:rsid w:val="10942E33"/>
    <w:rsid w:val="109A2124"/>
    <w:rsid w:val="12DE163E"/>
    <w:rsid w:val="130223A8"/>
    <w:rsid w:val="13902D0B"/>
    <w:rsid w:val="140141C5"/>
    <w:rsid w:val="148B51FF"/>
    <w:rsid w:val="1497579E"/>
    <w:rsid w:val="14F124D8"/>
    <w:rsid w:val="15206416"/>
    <w:rsid w:val="15246B95"/>
    <w:rsid w:val="15BA6E4A"/>
    <w:rsid w:val="17BF6D41"/>
    <w:rsid w:val="17C610F1"/>
    <w:rsid w:val="186C04E2"/>
    <w:rsid w:val="186E07A7"/>
    <w:rsid w:val="18852E8D"/>
    <w:rsid w:val="1A367A0B"/>
    <w:rsid w:val="1A3F09C2"/>
    <w:rsid w:val="1A4E1BC7"/>
    <w:rsid w:val="1A642316"/>
    <w:rsid w:val="1AAF2F18"/>
    <w:rsid w:val="1BE22A3D"/>
    <w:rsid w:val="1BF40AE8"/>
    <w:rsid w:val="1C045365"/>
    <w:rsid w:val="1C730FBB"/>
    <w:rsid w:val="1C9125E6"/>
    <w:rsid w:val="1D4706DC"/>
    <w:rsid w:val="1DC30677"/>
    <w:rsid w:val="1DF16112"/>
    <w:rsid w:val="1E9C4C6C"/>
    <w:rsid w:val="1EA517EC"/>
    <w:rsid w:val="1EE04E70"/>
    <w:rsid w:val="1F2F1863"/>
    <w:rsid w:val="1FFE3981"/>
    <w:rsid w:val="20092F5B"/>
    <w:rsid w:val="20113C6E"/>
    <w:rsid w:val="22390FE0"/>
    <w:rsid w:val="224A442B"/>
    <w:rsid w:val="227C7FDD"/>
    <w:rsid w:val="239F3AEA"/>
    <w:rsid w:val="23AB187A"/>
    <w:rsid w:val="24156EBB"/>
    <w:rsid w:val="24D07A4D"/>
    <w:rsid w:val="24D37F82"/>
    <w:rsid w:val="258F2902"/>
    <w:rsid w:val="272A7062"/>
    <w:rsid w:val="274E32F1"/>
    <w:rsid w:val="27CA7986"/>
    <w:rsid w:val="28772016"/>
    <w:rsid w:val="28807669"/>
    <w:rsid w:val="2893709A"/>
    <w:rsid w:val="28D33675"/>
    <w:rsid w:val="28F76159"/>
    <w:rsid w:val="28FC778E"/>
    <w:rsid w:val="2AEF1D54"/>
    <w:rsid w:val="2B53635E"/>
    <w:rsid w:val="2CEA09D3"/>
    <w:rsid w:val="2CFF5834"/>
    <w:rsid w:val="2D7B7A89"/>
    <w:rsid w:val="2E4A4BEC"/>
    <w:rsid w:val="2E5B1A4F"/>
    <w:rsid w:val="2EB8678F"/>
    <w:rsid w:val="2F19154E"/>
    <w:rsid w:val="2F665B1B"/>
    <w:rsid w:val="30D01FA1"/>
    <w:rsid w:val="313A5A6E"/>
    <w:rsid w:val="330D6FB0"/>
    <w:rsid w:val="3346763A"/>
    <w:rsid w:val="334A7D29"/>
    <w:rsid w:val="33BD2905"/>
    <w:rsid w:val="33D76A71"/>
    <w:rsid w:val="341164C7"/>
    <w:rsid w:val="343338FF"/>
    <w:rsid w:val="344625AA"/>
    <w:rsid w:val="345F007F"/>
    <w:rsid w:val="34A337C9"/>
    <w:rsid w:val="34E35625"/>
    <w:rsid w:val="35951B88"/>
    <w:rsid w:val="35974027"/>
    <w:rsid w:val="35BE0AD2"/>
    <w:rsid w:val="35CD455C"/>
    <w:rsid w:val="36B67239"/>
    <w:rsid w:val="36D506D2"/>
    <w:rsid w:val="37246A1F"/>
    <w:rsid w:val="37DB29A2"/>
    <w:rsid w:val="37FC7058"/>
    <w:rsid w:val="390F6933"/>
    <w:rsid w:val="39437D69"/>
    <w:rsid w:val="3948451D"/>
    <w:rsid w:val="394C7606"/>
    <w:rsid w:val="39EF36AB"/>
    <w:rsid w:val="3A2969DA"/>
    <w:rsid w:val="3A67792F"/>
    <w:rsid w:val="3AD8704C"/>
    <w:rsid w:val="3B7A7F71"/>
    <w:rsid w:val="3D7C5337"/>
    <w:rsid w:val="3D8C7D05"/>
    <w:rsid w:val="3F534D0A"/>
    <w:rsid w:val="40CF4977"/>
    <w:rsid w:val="41717FA3"/>
    <w:rsid w:val="41B74D82"/>
    <w:rsid w:val="41C029F5"/>
    <w:rsid w:val="42D25B26"/>
    <w:rsid w:val="4370259A"/>
    <w:rsid w:val="450D0817"/>
    <w:rsid w:val="452D370E"/>
    <w:rsid w:val="458D61AA"/>
    <w:rsid w:val="47184F51"/>
    <w:rsid w:val="48C50264"/>
    <w:rsid w:val="48EA23C1"/>
    <w:rsid w:val="49743EEB"/>
    <w:rsid w:val="4A30215A"/>
    <w:rsid w:val="4A772C6A"/>
    <w:rsid w:val="4B1B6B27"/>
    <w:rsid w:val="4D8070EE"/>
    <w:rsid w:val="4DA20171"/>
    <w:rsid w:val="4DC14113"/>
    <w:rsid w:val="4DE47C1E"/>
    <w:rsid w:val="4F1334D1"/>
    <w:rsid w:val="505B58E6"/>
    <w:rsid w:val="50863E81"/>
    <w:rsid w:val="50F404BE"/>
    <w:rsid w:val="50FE7824"/>
    <w:rsid w:val="51005645"/>
    <w:rsid w:val="51DE1F9D"/>
    <w:rsid w:val="52036D18"/>
    <w:rsid w:val="5238471D"/>
    <w:rsid w:val="53225DE3"/>
    <w:rsid w:val="5352737A"/>
    <w:rsid w:val="53BB7EEE"/>
    <w:rsid w:val="53E465EF"/>
    <w:rsid w:val="557E0E12"/>
    <w:rsid w:val="55821769"/>
    <w:rsid w:val="570D2058"/>
    <w:rsid w:val="588857F9"/>
    <w:rsid w:val="58DD6D99"/>
    <w:rsid w:val="58F605FD"/>
    <w:rsid w:val="59010062"/>
    <w:rsid w:val="594D6101"/>
    <w:rsid w:val="5AC67880"/>
    <w:rsid w:val="5BA03EEB"/>
    <w:rsid w:val="5C233A64"/>
    <w:rsid w:val="5C483BB0"/>
    <w:rsid w:val="5CB959B6"/>
    <w:rsid w:val="5DAE6211"/>
    <w:rsid w:val="5EE663E7"/>
    <w:rsid w:val="5FAA4528"/>
    <w:rsid w:val="5FC822E7"/>
    <w:rsid w:val="6011426C"/>
    <w:rsid w:val="605C4751"/>
    <w:rsid w:val="61D66AC9"/>
    <w:rsid w:val="631101D6"/>
    <w:rsid w:val="634D2860"/>
    <w:rsid w:val="647B6994"/>
    <w:rsid w:val="64FA06F9"/>
    <w:rsid w:val="65540A46"/>
    <w:rsid w:val="66455EE4"/>
    <w:rsid w:val="66E76415"/>
    <w:rsid w:val="67877E82"/>
    <w:rsid w:val="67BD53A4"/>
    <w:rsid w:val="67FE2F44"/>
    <w:rsid w:val="6865237E"/>
    <w:rsid w:val="68743926"/>
    <w:rsid w:val="693914AF"/>
    <w:rsid w:val="69472574"/>
    <w:rsid w:val="697A61AA"/>
    <w:rsid w:val="6AA14EE1"/>
    <w:rsid w:val="6AAF4473"/>
    <w:rsid w:val="6AB133F7"/>
    <w:rsid w:val="6AB52721"/>
    <w:rsid w:val="6AC400F8"/>
    <w:rsid w:val="6BE1161F"/>
    <w:rsid w:val="6C3A7E03"/>
    <w:rsid w:val="6C7C4AA3"/>
    <w:rsid w:val="6D5A1EA0"/>
    <w:rsid w:val="6D800B7F"/>
    <w:rsid w:val="6E09055F"/>
    <w:rsid w:val="6EAC5148"/>
    <w:rsid w:val="70CB481F"/>
    <w:rsid w:val="71150182"/>
    <w:rsid w:val="71953A37"/>
    <w:rsid w:val="71F046DD"/>
    <w:rsid w:val="72100352"/>
    <w:rsid w:val="72836EE9"/>
    <w:rsid w:val="72EA540D"/>
    <w:rsid w:val="73192B82"/>
    <w:rsid w:val="733E77FB"/>
    <w:rsid w:val="739204DA"/>
    <w:rsid w:val="74DD7205"/>
    <w:rsid w:val="75233AD9"/>
    <w:rsid w:val="75BA3E00"/>
    <w:rsid w:val="762166D1"/>
    <w:rsid w:val="766948A4"/>
    <w:rsid w:val="76BE1022"/>
    <w:rsid w:val="772B5826"/>
    <w:rsid w:val="77C40EE3"/>
    <w:rsid w:val="77D048D6"/>
    <w:rsid w:val="780245E6"/>
    <w:rsid w:val="789A3781"/>
    <w:rsid w:val="78A8756F"/>
    <w:rsid w:val="7BF55297"/>
    <w:rsid w:val="7BFC13B1"/>
    <w:rsid w:val="7BFC4FC5"/>
    <w:rsid w:val="7BFF3548"/>
    <w:rsid w:val="7D0E1004"/>
    <w:rsid w:val="7DC7330D"/>
    <w:rsid w:val="7E125A11"/>
    <w:rsid w:val="7E553215"/>
    <w:rsid w:val="7F252771"/>
    <w:rsid w:val="7F562665"/>
    <w:rsid w:val="7FEAB55F"/>
    <w:rsid w:val="AB5F4452"/>
    <w:rsid w:val="AC7FCE1C"/>
    <w:rsid w:val="FDE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3"/>
    <w:basedOn w:val="3"/>
    <w:qFormat/>
    <w:uiPriority w:val="0"/>
    <w:pPr>
      <w:widowControl w:val="0"/>
      <w:spacing w:before="0" w:beforeAutospacing="0" w:after="0" w:afterAutospacing="0" w:line="0" w:lineRule="atLeast"/>
      <w:jc w:val="both"/>
      <w:outlineLvl w:val="0"/>
    </w:pPr>
    <w:rPr>
      <w:kern w:val="2"/>
      <w:sz w:val="28"/>
    </w:rPr>
  </w:style>
  <w:style w:type="paragraph" w:styleId="3">
    <w:name w:val="Plain Text"/>
    <w:basedOn w:val="1"/>
    <w:next w:val="4"/>
    <w:qFormat/>
    <w:uiPriority w:val="0"/>
    <w:rPr>
      <w:rFonts w:ascii="宋体" w:hAnsi="Courier New"/>
    </w:rPr>
  </w:style>
  <w:style w:type="paragraph" w:styleId="4">
    <w:name w:val="Normal Indent"/>
    <w:basedOn w:val="1"/>
    <w:qFormat/>
    <w:uiPriority w:val="0"/>
    <w:pPr>
      <w:ind w:firstLine="420" w:firstLineChars="200"/>
    </w:pPr>
    <w:rPr>
      <w:szCs w:val="24"/>
    </w:rPr>
  </w:style>
  <w:style w:type="paragraph" w:styleId="7">
    <w:name w:val="index 5"/>
    <w:basedOn w:val="1"/>
    <w:next w:val="1"/>
    <w:qFormat/>
    <w:uiPriority w:val="0"/>
    <w:pPr>
      <w:ind w:left="1680"/>
    </w:pPr>
  </w:style>
  <w:style w:type="paragraph" w:styleId="8">
    <w:name w:val="annotation text"/>
    <w:basedOn w:val="1"/>
    <w:qFormat/>
    <w:uiPriority w:val="0"/>
    <w:pPr>
      <w:jc w:val="left"/>
    </w:pPr>
    <w:rPr>
      <w:rFonts w:ascii="Times New Roman" w:hAnsi="Times New Roman" w:eastAsia="仿宋_GB2312"/>
      <w:color w:val="FF0000"/>
      <w:sz w:val="28"/>
      <w:szCs w:val="28"/>
    </w:rPr>
  </w:style>
  <w:style w:type="paragraph" w:styleId="9">
    <w:name w:val="index 6"/>
    <w:basedOn w:val="1"/>
    <w:next w:val="1"/>
    <w:unhideWhenUsed/>
    <w:qFormat/>
    <w:uiPriority w:val="99"/>
    <w:pPr>
      <w:ind w:left="1000" w:leftChars="1000"/>
    </w:pPr>
  </w:style>
  <w:style w:type="paragraph" w:styleId="10">
    <w:name w:val="Salutation"/>
    <w:basedOn w:val="1"/>
    <w:next w:val="1"/>
    <w:qFormat/>
    <w:uiPriority w:val="0"/>
    <w:rPr>
      <w:rFonts w:ascii="宋体"/>
      <w:b/>
      <w:sz w:val="28"/>
    </w:rPr>
  </w:style>
  <w:style w:type="paragraph" w:styleId="11">
    <w:name w:val="Body Text"/>
    <w:basedOn w:val="1"/>
    <w:next w:val="12"/>
    <w:qFormat/>
    <w:uiPriority w:val="0"/>
    <w:rPr>
      <w:rFonts w:ascii="Arial" w:hAnsi="Arial"/>
      <w:sz w:val="24"/>
    </w:rPr>
  </w:style>
  <w:style w:type="paragraph" w:customStyle="1" w:styleId="1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qFormat/>
    <w:uiPriority w:val="0"/>
    <w:pPr>
      <w:ind w:firstLine="480"/>
    </w:pPr>
    <w:rPr>
      <w:rFonts w:ascii="宋体" w:hAnsi="宋体"/>
      <w:sz w:val="24"/>
    </w:rPr>
  </w:style>
  <w:style w:type="paragraph" w:styleId="14">
    <w:name w:val="List 2"/>
    <w:basedOn w:val="1"/>
    <w:next w:val="3"/>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5">
    <w:name w:val="Date"/>
    <w:basedOn w:val="1"/>
    <w:next w:val="1"/>
    <w:qFormat/>
    <w:uiPriority w:val="0"/>
    <w:pPr>
      <w:ind w:left="100"/>
    </w:pPr>
    <w:rPr>
      <w:sz w:val="24"/>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1">
    <w:name w:val="Body Text First Indent"/>
    <w:basedOn w:val="11"/>
    <w:qFormat/>
    <w:uiPriority w:val="0"/>
    <w:pPr>
      <w:snapToGrid/>
      <w:spacing w:after="120" w:afterLines="0" w:line="240" w:lineRule="auto"/>
      <w:ind w:firstLine="420" w:firstLineChars="100"/>
    </w:pPr>
    <w:rPr>
      <w:sz w:val="21"/>
      <w:szCs w:val="24"/>
    </w:rPr>
  </w:style>
  <w:style w:type="paragraph" w:styleId="22">
    <w:name w:val="Body Text First Indent 2"/>
    <w:basedOn w:val="1"/>
    <w:next w:val="21"/>
    <w:unhideWhenUsed/>
    <w:qFormat/>
    <w:uiPriority w:val="99"/>
    <w:pPr>
      <w:ind w:firstLine="420" w:firstLineChars="200"/>
    </w:pPr>
    <w:rPr>
      <w:rFonts w:ascii="Calibri" w:hAnsi="Calibri" w:eastAsia="宋体" w:cs="Times New Roman"/>
    </w:rPr>
  </w:style>
  <w:style w:type="character" w:styleId="25">
    <w:name w:val="Strong"/>
    <w:basedOn w:val="24"/>
    <w:qFormat/>
    <w:uiPriority w:val="0"/>
    <w:rPr>
      <w:b/>
      <w:bCs/>
    </w:r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UserStyle_0"/>
    <w:next w:val="1"/>
    <w:qFormat/>
    <w:uiPriority w:val="0"/>
    <w:pPr>
      <w:widowControl/>
      <w:snapToGrid w:val="0"/>
      <w:spacing w:line="360" w:lineRule="auto"/>
      <w:ind w:firstLine="200" w:firstLineChars="200"/>
      <w:jc w:val="both"/>
      <w:textAlignment w:val="baseline"/>
    </w:pPr>
    <w:rPr>
      <w:rFonts w:ascii="宋体" w:hAnsi="Calibri" w:eastAsia="宋体" w:cs="Times New Roman"/>
      <w:sz w:val="24"/>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Table Paragraph"/>
    <w:basedOn w:val="1"/>
    <w:qFormat/>
    <w:uiPriority w:val="0"/>
  </w:style>
  <w:style w:type="paragraph" w:customStyle="1" w:styleId="3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2">
    <w:name w:val="索引 11"/>
    <w:basedOn w:val="1"/>
    <w:next w:val="1"/>
    <w:qFormat/>
    <w:uiPriority w:val="0"/>
    <w:pPr>
      <w:spacing w:line="360" w:lineRule="auto"/>
    </w:pPr>
    <w:rPr>
      <w:rFonts w:ascii="仿宋_GB2312" w:eastAsia="仿宋_GB2312"/>
      <w:sz w:val="24"/>
      <w:szCs w:val="20"/>
    </w:rPr>
  </w:style>
  <w:style w:type="paragraph" w:customStyle="1" w:styleId="33">
    <w:name w:val="纯文本1"/>
    <w:basedOn w:val="1"/>
    <w:qFormat/>
    <w:uiPriority w:val="0"/>
    <w:rPr>
      <w:rFonts w:ascii="宋体" w:hAnsi="Courier New" w:eastAsia="宋体" w:cs="Times New Roman"/>
      <w:szCs w:val="22"/>
    </w:rPr>
  </w:style>
  <w:style w:type="paragraph" w:customStyle="1" w:styleId="34">
    <w:name w:val="Char1"/>
    <w:basedOn w:val="1"/>
    <w:qFormat/>
    <w:uiPriority w:val="0"/>
    <w:pPr>
      <w:tabs>
        <w:tab w:val="left" w:pos="360"/>
      </w:tabs>
      <w:ind w:left="360" w:hanging="360" w:hangingChars="200"/>
    </w:pPr>
    <w:rPr>
      <w:sz w:val="24"/>
      <w:szCs w:val="24"/>
    </w:rPr>
  </w:style>
  <w:style w:type="paragraph" w:customStyle="1" w:styleId="35">
    <w:name w:val="Default"/>
    <w:next w:val="7"/>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6">
    <w:name w:val="WPSOffice手动目录 1"/>
    <w:qFormat/>
    <w:uiPriority w:val="0"/>
    <w:pPr>
      <w:ind w:leftChars="0"/>
    </w:pPr>
    <w:rPr>
      <w:rFonts w:ascii="Calibri" w:hAnsi="Calibri" w:eastAsia="宋体" w:cs="Times New Roman"/>
      <w:sz w:val="20"/>
      <w:szCs w:val="20"/>
    </w:rPr>
  </w:style>
  <w:style w:type="character" w:customStyle="1" w:styleId="37">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fontstyle01"/>
    <w:basedOn w:val="24"/>
    <w:qFormat/>
    <w:uiPriority w:val="0"/>
    <w:rPr>
      <w:rFonts w:hint="eastAsia" w:ascii="宋体" w:hAnsi="宋体" w:eastAsia="宋体" w:cs="宋体"/>
      <w:color w:val="000000"/>
      <w:sz w:val="24"/>
      <w:szCs w:val="24"/>
    </w:rPr>
  </w:style>
  <w:style w:type="character" w:customStyle="1" w:styleId="40">
    <w:name w:val="font11"/>
    <w:basedOn w:val="24"/>
    <w:qFormat/>
    <w:uiPriority w:val="0"/>
    <w:rPr>
      <w:rFonts w:hint="eastAsia" w:ascii="仿宋" w:hAnsi="仿宋" w:eastAsia="仿宋" w:cs="仿宋"/>
      <w:color w:val="000000"/>
      <w:sz w:val="20"/>
      <w:szCs w:val="20"/>
      <w:u w:val="none"/>
    </w:rPr>
  </w:style>
  <w:style w:type="character" w:customStyle="1" w:styleId="41">
    <w:name w:val="font31"/>
    <w:basedOn w:val="24"/>
    <w:qFormat/>
    <w:uiPriority w:val="0"/>
    <w:rPr>
      <w:rFonts w:ascii="Cambria Math" w:hAnsi="Cambria Math" w:eastAsia="Cambria Math" w:cs="Cambria Math"/>
      <w:color w:val="000000"/>
      <w:sz w:val="20"/>
      <w:szCs w:val="20"/>
      <w:u w:val="none"/>
    </w:rPr>
  </w:style>
  <w:style w:type="paragraph" w:customStyle="1" w:styleId="4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3">
    <w:name w:val="Table Text"/>
    <w:basedOn w:val="1"/>
    <w:semiHidden/>
    <w:qFormat/>
    <w:uiPriority w:val="0"/>
    <w:rPr>
      <w:rFonts w:ascii="仿宋" w:hAnsi="仿宋" w:eastAsia="仿宋" w:cs="仿宋"/>
      <w:sz w:val="31"/>
      <w:szCs w:val="31"/>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28131</Words>
  <Characters>31359</Characters>
  <Lines>0</Lines>
  <Paragraphs>0</Paragraphs>
  <TotalTime>2</TotalTime>
  <ScaleCrop>false</ScaleCrop>
  <LinksUpToDate>false</LinksUpToDate>
  <CharactersWithSpaces>34152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2022-04-26T20:37:00Z</dcterms:created>
  <dc:creator>yzychj</dc:creator>
  <cp:lastModifiedBy>Linux</cp:lastModifiedBy>
  <cp:lastPrinted>2025-05-21T02:44:00Z</cp:lastPrinted>
  <dcterms:modified xsi:type="dcterms:W3CDTF">2025-06-24T08:37:37Z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747EF94396624853A2D069FEFFB723AB</vt:lpwstr>
  </property>
</Properties>
</file>