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3357E">
      <w:pPr>
        <w:ind w:firstLine="0" w:firstLineChars="0"/>
        <w:jc w:val="center"/>
        <w:rPr>
          <w:rFonts w:hint="eastAsia" w:ascii="方正公文小标宋" w:hAnsi="方正公文小标宋" w:eastAsia="方正公文小标宋" w:cs="方正公文小标宋"/>
          <w:b w:val="0"/>
          <w:bCs/>
          <w:sz w:val="44"/>
          <w:szCs w:val="44"/>
          <w:highlight w:val="none"/>
          <w:lang w:val="en-US" w:eastAsia="zh-CN"/>
        </w:rPr>
      </w:pPr>
      <w:r>
        <w:rPr>
          <w:rFonts w:hint="eastAsia" w:ascii="方正小标宋_GBK" w:hAnsi="方正小标宋_GBK" w:eastAsia="方正小标宋_GBK" w:cs="方正小标宋_GBK"/>
          <w:b w:val="0"/>
          <w:bCs/>
          <w:sz w:val="44"/>
          <w:szCs w:val="44"/>
          <w:highlight w:val="none"/>
          <w:lang w:val="en-US" w:eastAsia="zh-CN"/>
        </w:rPr>
        <w:t>呼图壁县重点危险区域城镇住宅抗震鉴定项目</w:t>
      </w:r>
    </w:p>
    <w:p w14:paraId="126BA547">
      <w:pPr>
        <w:ind w:firstLine="0" w:firstLineChars="0"/>
        <w:jc w:val="center"/>
        <w:rPr>
          <w:rFonts w:hint="eastAsia" w:ascii="方正公文小标宋" w:hAnsi="方正公文小标宋" w:eastAsia="方正公文小标宋" w:cs="方正公文小标宋"/>
          <w:b w:val="0"/>
          <w:bCs/>
          <w:sz w:val="44"/>
          <w:szCs w:val="44"/>
          <w:highlight w:val="none"/>
          <w:lang w:val="en-US" w:eastAsia="zh-CN"/>
        </w:rPr>
      </w:pPr>
      <w:r>
        <w:rPr>
          <w:rFonts w:hint="eastAsia" w:ascii="方正公文小标宋" w:hAnsi="方正公文小标宋" w:eastAsia="方正公文小标宋" w:cs="方正公文小标宋"/>
          <w:b w:val="0"/>
          <w:bCs/>
          <w:sz w:val="44"/>
          <w:szCs w:val="44"/>
          <w:highlight w:val="none"/>
          <w:lang w:val="en-US" w:eastAsia="zh-CN"/>
        </w:rPr>
        <w:t>（服务）</w:t>
      </w:r>
    </w:p>
    <w:p w14:paraId="2D875300">
      <w:pPr>
        <w:pStyle w:val="7"/>
        <w:ind w:left="0" w:leftChars="0" w:firstLine="0" w:firstLineChars="0"/>
        <w:jc w:val="center"/>
        <w:rPr>
          <w:rFonts w:hint="default"/>
          <w:highlight w:val="none"/>
        </w:rPr>
      </w:pPr>
      <w:r>
        <w:rPr>
          <w:rFonts w:hint="eastAsia" w:ascii="宋体" w:hAnsi="宋体" w:eastAsia="宋体" w:cs="宋体"/>
          <w:b/>
          <w:bCs/>
          <w:spacing w:val="-20"/>
          <w:sz w:val="36"/>
          <w:szCs w:val="36"/>
          <w:highlight w:val="none"/>
        </w:rPr>
        <w:t>招标编号:</w:t>
      </w:r>
      <w:r>
        <w:rPr>
          <w:rFonts w:hint="eastAsia" w:ascii="宋体" w:eastAsia="宋体" w:cs="宋体"/>
          <w:b/>
          <w:bCs/>
          <w:spacing w:val="-20"/>
          <w:sz w:val="36"/>
          <w:szCs w:val="36"/>
          <w:highlight w:val="none"/>
          <w:lang w:eastAsia="zh-CN"/>
        </w:rPr>
        <w:t>2025-JHJY-ZFCG-08</w:t>
      </w:r>
    </w:p>
    <w:p w14:paraId="4D9D91ED">
      <w:pPr>
        <w:pStyle w:val="22"/>
        <w:rPr>
          <w:rFonts w:hint="eastAsia" w:cs="宋体"/>
          <w:b/>
          <w:bCs/>
          <w:color w:val="auto"/>
          <w:kern w:val="0"/>
          <w:sz w:val="56"/>
          <w:szCs w:val="56"/>
          <w:highlight w:val="none"/>
          <w:lang w:val="en-US" w:eastAsia="zh-CN"/>
        </w:rPr>
      </w:pPr>
    </w:p>
    <w:p w14:paraId="34E55C69">
      <w:pPr>
        <w:pStyle w:val="22"/>
        <w:rPr>
          <w:rFonts w:hint="eastAsia" w:cs="宋体"/>
          <w:b/>
          <w:bCs/>
          <w:color w:val="auto"/>
          <w:kern w:val="0"/>
          <w:sz w:val="56"/>
          <w:szCs w:val="56"/>
          <w:highlight w:val="none"/>
          <w:lang w:val="en-US" w:eastAsia="zh-CN"/>
        </w:rPr>
      </w:pPr>
    </w:p>
    <w:p w14:paraId="3EB47A53">
      <w:pPr>
        <w:ind w:firstLine="0" w:firstLineChars="0"/>
        <w:jc w:val="center"/>
        <w:rPr>
          <w:rFonts w:hint="eastAsia" w:cs="宋体"/>
          <w:b/>
          <w:bCs w:val="0"/>
          <w:sz w:val="84"/>
          <w:szCs w:val="84"/>
          <w:highlight w:val="none"/>
        </w:rPr>
      </w:pPr>
      <w:r>
        <w:rPr>
          <w:rFonts w:hint="eastAsia" w:cs="宋体"/>
          <w:b/>
          <w:bCs w:val="0"/>
          <w:sz w:val="84"/>
          <w:szCs w:val="84"/>
          <w:highlight w:val="none"/>
        </w:rPr>
        <w:t>竞争性磋商文件</w:t>
      </w:r>
    </w:p>
    <w:p w14:paraId="257C69A7">
      <w:pPr>
        <w:pStyle w:val="22"/>
        <w:rPr>
          <w:rFonts w:hint="eastAsia" w:cs="宋体"/>
          <w:b/>
          <w:bCs w:val="0"/>
          <w:sz w:val="84"/>
          <w:szCs w:val="84"/>
          <w:highlight w:val="none"/>
        </w:rPr>
      </w:pPr>
    </w:p>
    <w:p w14:paraId="4D597DC6">
      <w:pPr>
        <w:rPr>
          <w:rFonts w:hint="eastAsia"/>
          <w:highlight w:val="none"/>
        </w:rPr>
      </w:pPr>
    </w:p>
    <w:p w14:paraId="028E948E">
      <w:pPr>
        <w:pStyle w:val="22"/>
        <w:rPr>
          <w:rFonts w:hint="eastAsia"/>
          <w:highlight w:val="none"/>
        </w:rPr>
      </w:pPr>
    </w:p>
    <w:p w14:paraId="2A550743">
      <w:pPr>
        <w:pStyle w:val="22"/>
        <w:ind w:left="0" w:leftChars="0" w:firstLine="0" w:firstLineChars="0"/>
        <w:rPr>
          <w:rFonts w:hint="eastAsia"/>
          <w:highlight w:val="none"/>
        </w:rPr>
      </w:pPr>
    </w:p>
    <w:p w14:paraId="5617888F">
      <w:pPr>
        <w:pStyle w:val="22"/>
        <w:ind w:firstLine="1681" w:firstLineChars="600"/>
        <w:rPr>
          <w:rFonts w:hint="default" w:ascii="宋体" w:cs="宋体"/>
          <w:b/>
          <w:sz w:val="28"/>
          <w:szCs w:val="28"/>
          <w:highlight w:val="none"/>
          <w:lang w:eastAsia="zh-CN"/>
        </w:rPr>
      </w:pPr>
      <w:r>
        <w:rPr>
          <w:rFonts w:hint="eastAsia" w:ascii="宋体" w:hAnsi="宋体" w:cs="宋体"/>
          <w:b/>
          <w:sz w:val="28"/>
          <w:szCs w:val="28"/>
          <w:highlight w:val="none"/>
        </w:rPr>
        <w:t>招 标 人：</w:t>
      </w:r>
      <w:r>
        <w:rPr>
          <w:rFonts w:hint="eastAsia" w:ascii="宋体" w:cs="宋体"/>
          <w:b/>
          <w:sz w:val="28"/>
          <w:szCs w:val="28"/>
          <w:highlight w:val="none"/>
          <w:lang w:eastAsia="zh-CN"/>
        </w:rPr>
        <w:t>呼图壁县住房和城乡建设局</w:t>
      </w:r>
    </w:p>
    <w:p w14:paraId="4F457666">
      <w:pPr>
        <w:pStyle w:val="22"/>
        <w:ind w:firstLine="1681" w:firstLineChars="600"/>
        <w:rPr>
          <w:rFonts w:hint="default" w:ascii="宋体" w:cs="宋体"/>
          <w:b/>
          <w:sz w:val="28"/>
          <w:szCs w:val="28"/>
          <w:highlight w:val="none"/>
          <w:lang w:eastAsia="zh-CN"/>
        </w:rPr>
      </w:pPr>
    </w:p>
    <w:p w14:paraId="322F1F4C">
      <w:pPr>
        <w:shd w:val="solid" w:color="FFFFFF" w:fill="auto"/>
        <w:autoSpaceDN w:val="0"/>
        <w:adjustRightInd w:val="0"/>
        <w:snapToGrid w:val="0"/>
        <w:spacing w:line="276" w:lineRule="auto"/>
        <w:ind w:firstLine="1535" w:firstLineChars="548"/>
        <w:jc w:val="left"/>
        <w:rPr>
          <w:rFonts w:hint="eastAsia" w:cs="宋体"/>
          <w:b/>
          <w:sz w:val="28"/>
          <w:szCs w:val="28"/>
          <w:highlight w:val="none"/>
          <w:lang w:eastAsia="zh-CN"/>
        </w:rPr>
      </w:pPr>
      <w:r>
        <w:rPr>
          <w:rFonts w:hint="eastAsia" w:ascii="宋体" w:hAnsi="宋体" w:cs="宋体"/>
          <w:b/>
          <w:sz w:val="28"/>
          <w:szCs w:val="28"/>
          <w:highlight w:val="none"/>
        </w:rPr>
        <w:t>代理机构：</w:t>
      </w:r>
      <w:r>
        <w:rPr>
          <w:rFonts w:hint="eastAsia" w:cs="宋体"/>
          <w:b/>
          <w:sz w:val="28"/>
          <w:szCs w:val="28"/>
          <w:highlight w:val="none"/>
          <w:lang w:eastAsia="zh-CN"/>
        </w:rPr>
        <w:t>呼图壁县锦华建业工程项目管理有限公司</w:t>
      </w:r>
    </w:p>
    <w:p w14:paraId="225AC9FB">
      <w:pPr>
        <w:pStyle w:val="22"/>
        <w:rPr>
          <w:rFonts w:hint="eastAsia"/>
          <w:highlight w:val="none"/>
          <w:lang w:eastAsia="zh-CN"/>
        </w:rPr>
      </w:pPr>
    </w:p>
    <w:p w14:paraId="40C5CFB1">
      <w:pPr>
        <w:shd w:val="solid" w:color="FFFFFF" w:fill="auto"/>
        <w:autoSpaceDN w:val="0"/>
        <w:adjustRightInd w:val="0"/>
        <w:snapToGrid w:val="0"/>
        <w:spacing w:line="276" w:lineRule="auto"/>
        <w:ind w:firstLine="1535" w:firstLineChars="548"/>
        <w:jc w:val="left"/>
        <w:rPr>
          <w:rFonts w:hint="eastAsia" w:ascii="宋体" w:hAnsi="宋体" w:cs="宋体"/>
          <w:b/>
          <w:sz w:val="28"/>
          <w:szCs w:val="28"/>
          <w:highlight w:val="none"/>
        </w:rPr>
      </w:pPr>
      <w:r>
        <w:rPr>
          <w:rFonts w:hint="eastAsia" w:ascii="宋体" w:hAnsi="宋体" w:cs="宋体"/>
          <w:b/>
          <w:sz w:val="28"/>
          <w:szCs w:val="28"/>
          <w:highlight w:val="none"/>
        </w:rPr>
        <w:t>日    期：二〇</w:t>
      </w:r>
      <w:r>
        <w:rPr>
          <w:rFonts w:hint="eastAsia" w:ascii="宋体" w:hAnsi="宋体" w:cs="宋体"/>
          <w:b/>
          <w:sz w:val="28"/>
          <w:szCs w:val="28"/>
          <w:highlight w:val="none"/>
          <w:lang w:eastAsia="zh-CN"/>
        </w:rPr>
        <w:t>二</w:t>
      </w:r>
      <w:r>
        <w:rPr>
          <w:rFonts w:hint="eastAsia" w:cs="宋体"/>
          <w:b/>
          <w:sz w:val="28"/>
          <w:szCs w:val="28"/>
          <w:highlight w:val="none"/>
          <w:lang w:val="en-US" w:eastAsia="zh-CN"/>
        </w:rPr>
        <w:t>五</w:t>
      </w:r>
      <w:r>
        <w:rPr>
          <w:rFonts w:hint="eastAsia" w:ascii="宋体" w:hAnsi="宋体" w:cs="宋体"/>
          <w:b/>
          <w:sz w:val="28"/>
          <w:szCs w:val="28"/>
          <w:highlight w:val="none"/>
        </w:rPr>
        <w:t>年</w:t>
      </w:r>
      <w:r>
        <w:rPr>
          <w:rFonts w:hint="eastAsia" w:cs="宋体"/>
          <w:b/>
          <w:sz w:val="28"/>
          <w:szCs w:val="28"/>
          <w:highlight w:val="none"/>
          <w:lang w:val="en-US" w:eastAsia="zh-CN"/>
        </w:rPr>
        <w:t>七</w:t>
      </w:r>
      <w:r>
        <w:rPr>
          <w:rFonts w:hint="eastAsia" w:ascii="宋体" w:hAnsi="宋体" w:cs="宋体"/>
          <w:b/>
          <w:sz w:val="28"/>
          <w:szCs w:val="28"/>
          <w:highlight w:val="none"/>
        </w:rPr>
        <w:t>月</w:t>
      </w:r>
    </w:p>
    <w:p w14:paraId="3080769B">
      <w:pPr>
        <w:kinsoku w:val="0"/>
        <w:overflowPunct w:val="0"/>
        <w:autoSpaceDE w:val="0"/>
        <w:autoSpaceDN w:val="0"/>
        <w:adjustRightInd w:val="0"/>
        <w:snapToGrid w:val="0"/>
        <w:spacing w:line="360" w:lineRule="auto"/>
        <w:ind w:left="0" w:leftChars="0" w:firstLine="0" w:firstLineChars="0"/>
        <w:rPr>
          <w:rFonts w:hint="eastAsia" w:ascii="楷体" w:hAnsi="楷体" w:eastAsia="楷体" w:cs="Arial"/>
          <w:sz w:val="24"/>
          <w:highlight w:val="none"/>
          <w:lang w:val="en-US" w:eastAsia="zh-CN"/>
        </w:rPr>
      </w:pPr>
    </w:p>
    <w:p w14:paraId="207BF558">
      <w:pPr>
        <w:pStyle w:val="6"/>
        <w:rPr>
          <w:rFonts w:hint="eastAsia" w:ascii="楷体" w:hAnsi="楷体" w:eastAsia="楷体" w:cs="Arial"/>
          <w:sz w:val="24"/>
          <w:highlight w:val="none"/>
          <w:lang w:val="en-US" w:eastAsia="zh-CN"/>
        </w:rPr>
      </w:pPr>
    </w:p>
    <w:p w14:paraId="17C140D1">
      <w:pPr>
        <w:pStyle w:val="11"/>
        <w:tabs>
          <w:tab w:val="right" w:leader="dot" w:pos="9638"/>
        </w:tabs>
        <w:jc w:val="center"/>
        <w:rPr>
          <w:rFonts w:hint="eastAsia" w:eastAsia="宋体" w:cs="宋体"/>
          <w:sz w:val="44"/>
          <w:szCs w:val="44"/>
          <w:highlight w:val="none"/>
        </w:rPr>
      </w:pPr>
    </w:p>
    <w:p w14:paraId="0A295A18">
      <w:pPr>
        <w:pStyle w:val="11"/>
        <w:tabs>
          <w:tab w:val="right" w:leader="dot" w:pos="9638"/>
        </w:tabs>
        <w:jc w:val="center"/>
        <w:rPr>
          <w:rFonts w:hint="eastAsia" w:eastAsia="宋体" w:cs="宋体"/>
          <w:sz w:val="44"/>
          <w:szCs w:val="44"/>
          <w:highlight w:val="none"/>
        </w:rPr>
      </w:pPr>
    </w:p>
    <w:p w14:paraId="402CE438">
      <w:pPr>
        <w:pStyle w:val="11"/>
        <w:tabs>
          <w:tab w:val="right" w:leader="dot" w:pos="9638"/>
        </w:tabs>
        <w:jc w:val="center"/>
        <w:rPr>
          <w:rFonts w:hint="eastAsia" w:eastAsia="宋体" w:cs="宋体"/>
          <w:sz w:val="44"/>
          <w:szCs w:val="44"/>
          <w:highlight w:val="none"/>
        </w:rPr>
      </w:pPr>
    </w:p>
    <w:p w14:paraId="4988B28D">
      <w:pPr>
        <w:pStyle w:val="11"/>
        <w:tabs>
          <w:tab w:val="right" w:leader="dot" w:pos="9638"/>
        </w:tabs>
        <w:jc w:val="center"/>
        <w:rPr>
          <w:rFonts w:hint="eastAsia" w:eastAsia="宋体" w:cs="宋体"/>
          <w:sz w:val="44"/>
          <w:szCs w:val="44"/>
          <w:highlight w:val="none"/>
        </w:rPr>
      </w:pPr>
      <w:r>
        <w:rPr>
          <w:rFonts w:hint="eastAsia" w:eastAsia="宋体" w:cs="宋体"/>
          <w:sz w:val="44"/>
          <w:szCs w:val="44"/>
          <w:highlight w:val="none"/>
        </w:rPr>
        <w:t>目   录</w:t>
      </w:r>
    </w:p>
    <w:p w14:paraId="0C5DF31D">
      <w:pPr>
        <w:pStyle w:val="11"/>
        <w:tabs>
          <w:tab w:val="right" w:leader="dot" w:pos="9638"/>
        </w:tabs>
        <w:rPr>
          <w:rFonts w:hint="eastAsia" w:ascii="宋体" w:hAnsi="宋体" w:cs="宋体"/>
          <w:bCs w:val="0"/>
          <w:sz w:val="44"/>
          <w:highlight w:val="none"/>
        </w:rPr>
      </w:pPr>
      <w:r>
        <w:rPr>
          <w:rFonts w:hint="eastAsia" w:eastAsia="宋体" w:cs="宋体"/>
          <w:highlight w:val="none"/>
          <w:lang w:val="en-US" w:eastAsia="zh-CN"/>
        </w:rPr>
        <w:t>第一章 竞争性磋商公告</w:t>
      </w:r>
      <w:r>
        <w:rPr>
          <w:rFonts w:hint="eastAsia" w:eastAsia="宋体" w:cs="宋体"/>
          <w:highlight w:val="none"/>
        </w:rPr>
        <w:tab/>
      </w:r>
      <w:r>
        <w:rPr>
          <w:rFonts w:hint="eastAsia" w:eastAsia="宋体" w:cs="宋体"/>
          <w:highlight w:val="none"/>
          <w:lang w:val="en-US" w:eastAsia="zh-CN"/>
        </w:rPr>
        <w:t>1</w:t>
      </w:r>
      <w:r>
        <w:rPr>
          <w:highlight w:val="none"/>
        </w:rPr>
        <w:tab/>
      </w:r>
    </w:p>
    <w:p w14:paraId="2C84A652">
      <w:pPr>
        <w:pStyle w:val="11"/>
        <w:tabs>
          <w:tab w:val="right" w:leader="dot" w:pos="9638"/>
        </w:tabs>
        <w:rPr>
          <w:rFonts w:hint="eastAsia" w:ascii="宋体" w:hAnsi="宋体" w:cs="宋体"/>
          <w:highlight w:val="none"/>
        </w:rPr>
      </w:pPr>
      <w:r>
        <w:rPr>
          <w:rFonts w:hint="eastAsia" w:ascii="宋体" w:hAnsi="宋体" w:cs="宋体"/>
          <w:b w:val="0"/>
          <w:sz w:val="44"/>
          <w:highlight w:val="none"/>
        </w:rPr>
        <w:fldChar w:fldCharType="begin"/>
      </w:r>
      <w:r>
        <w:rPr>
          <w:rFonts w:hint="eastAsia" w:ascii="宋体" w:hAnsi="宋体" w:cs="宋体"/>
          <w:b w:val="0"/>
          <w:sz w:val="44"/>
          <w:highlight w:val="none"/>
        </w:rPr>
        <w:instrText xml:space="preserve">TOC \o "1-1" \h \u </w:instrText>
      </w:r>
      <w:r>
        <w:rPr>
          <w:rFonts w:hint="eastAsia" w:ascii="宋体" w:hAnsi="宋体" w:cs="宋体"/>
          <w:b w:val="0"/>
          <w:sz w:val="44"/>
          <w:highlight w:val="none"/>
        </w:rPr>
        <w:fldChar w:fldCharType="separate"/>
      </w:r>
      <w:r>
        <w:rPr>
          <w:rFonts w:hint="eastAsia" w:ascii="宋体" w:hAnsi="宋体" w:cs="宋体"/>
          <w:highlight w:val="none"/>
        </w:rPr>
        <w:fldChar w:fldCharType="begin"/>
      </w:r>
      <w:r>
        <w:rPr>
          <w:rFonts w:hint="eastAsia" w:ascii="宋体" w:hAnsi="宋体" w:cs="宋体"/>
          <w:highlight w:val="none"/>
        </w:rPr>
        <w:instrText xml:space="preserve"> HYPERLINK \l _Toc7460 </w:instrText>
      </w:r>
      <w:r>
        <w:rPr>
          <w:rFonts w:hint="eastAsia" w:ascii="宋体" w:hAnsi="宋体" w:cs="宋体"/>
          <w:highlight w:val="none"/>
        </w:rPr>
        <w:fldChar w:fldCharType="separate"/>
      </w:r>
      <w:r>
        <w:rPr>
          <w:rFonts w:hint="eastAsia" w:cs="宋体"/>
          <w:highlight w:val="none"/>
          <w:lang w:eastAsia="zh-CN"/>
        </w:rPr>
        <w:t>第二章</w:t>
      </w:r>
      <w:r>
        <w:rPr>
          <w:rFonts w:hint="eastAsia" w:cs="宋体"/>
          <w:highlight w:val="none"/>
          <w:lang w:val="en-US" w:eastAsia="zh-CN"/>
        </w:rPr>
        <w:t xml:space="preserve"> </w:t>
      </w:r>
      <w:r>
        <w:rPr>
          <w:rFonts w:hint="eastAsia" w:cs="宋体"/>
          <w:highlight w:val="none"/>
        </w:rPr>
        <w:t>投标人须知</w:t>
      </w:r>
      <w:r>
        <w:rPr>
          <w:highlight w:val="none"/>
        </w:rPr>
        <w:tab/>
      </w:r>
      <w:r>
        <w:rPr>
          <w:rFonts w:hint="eastAsia"/>
          <w:highlight w:val="none"/>
          <w:lang w:val="en-US" w:eastAsia="zh-CN"/>
        </w:rPr>
        <w:t>7</w:t>
      </w:r>
      <w:r>
        <w:rPr>
          <w:rFonts w:hint="eastAsia" w:ascii="宋体" w:hAnsi="宋体" w:cs="宋体"/>
          <w:highlight w:val="none"/>
        </w:rPr>
        <w:fldChar w:fldCharType="end"/>
      </w:r>
    </w:p>
    <w:p w14:paraId="2FF1F29E">
      <w:pPr>
        <w:pStyle w:val="11"/>
        <w:tabs>
          <w:tab w:val="right" w:leader="dot" w:pos="9638"/>
        </w:tabs>
        <w:rPr>
          <w:rFonts w:hint="eastAsia" w:cs="宋体"/>
          <w:highlight w:val="none"/>
          <w:lang w:val="en-US" w:eastAsia="zh-CN"/>
        </w:rPr>
      </w:pPr>
      <w:r>
        <w:rPr>
          <w:rFonts w:hint="eastAsia" w:cs="宋体"/>
          <w:highlight w:val="none"/>
        </w:rPr>
        <w:fldChar w:fldCharType="begin"/>
      </w:r>
      <w:r>
        <w:rPr>
          <w:rFonts w:hint="eastAsia" w:cs="宋体"/>
          <w:highlight w:val="none"/>
        </w:rPr>
        <w:instrText xml:space="preserve"> HYPERLINK \l _Toc2952 </w:instrText>
      </w:r>
      <w:r>
        <w:rPr>
          <w:rFonts w:hint="eastAsia" w:cs="宋体"/>
          <w:highlight w:val="none"/>
        </w:rPr>
        <w:fldChar w:fldCharType="separate"/>
      </w:r>
      <w:r>
        <w:rPr>
          <w:rFonts w:hint="eastAsia" w:cs="宋体"/>
          <w:bCs/>
          <w:highlight w:val="none"/>
          <w:lang w:val="en-US" w:eastAsia="zh-CN"/>
        </w:rPr>
        <w:t>第三章 评标办法</w:t>
      </w:r>
      <w:r>
        <w:rPr>
          <w:highlight w:val="none"/>
        </w:rPr>
        <w:tab/>
      </w:r>
      <w:r>
        <w:rPr>
          <w:rFonts w:hint="eastAsia"/>
          <w:highlight w:val="none"/>
          <w:lang w:val="en-US" w:eastAsia="zh-CN"/>
        </w:rPr>
        <w:t>3</w:t>
      </w:r>
      <w:r>
        <w:rPr>
          <w:rFonts w:hint="eastAsia" w:cs="宋体"/>
          <w:highlight w:val="none"/>
        </w:rPr>
        <w:fldChar w:fldCharType="end"/>
      </w:r>
      <w:r>
        <w:rPr>
          <w:rFonts w:hint="eastAsia" w:cs="宋体"/>
          <w:highlight w:val="none"/>
          <w:lang w:val="en-US" w:eastAsia="zh-CN"/>
        </w:rPr>
        <w:t>1</w:t>
      </w:r>
    </w:p>
    <w:p w14:paraId="1F46C987">
      <w:pPr>
        <w:pStyle w:val="11"/>
        <w:tabs>
          <w:tab w:val="right" w:leader="dot" w:pos="9638"/>
        </w:tabs>
        <w:rPr>
          <w:rFonts w:hint="eastAsia" w:eastAsia="宋体"/>
          <w:highlight w:val="none"/>
          <w:lang w:val="en-US" w:eastAsia="zh-CN"/>
        </w:rPr>
      </w:pPr>
      <w:r>
        <w:rPr>
          <w:rFonts w:hint="eastAsia" w:cs="宋体"/>
          <w:highlight w:val="none"/>
        </w:rPr>
        <w:fldChar w:fldCharType="begin"/>
      </w:r>
      <w:r>
        <w:rPr>
          <w:rFonts w:hint="eastAsia" w:cs="宋体"/>
          <w:highlight w:val="none"/>
        </w:rPr>
        <w:instrText xml:space="preserve"> HYPERLINK \l _Toc2952 </w:instrText>
      </w:r>
      <w:r>
        <w:rPr>
          <w:rFonts w:hint="eastAsia" w:cs="宋体"/>
          <w:highlight w:val="none"/>
        </w:rPr>
        <w:fldChar w:fldCharType="separate"/>
      </w:r>
      <w:r>
        <w:rPr>
          <w:rFonts w:hint="eastAsia" w:cs="宋体"/>
          <w:bCs/>
          <w:highlight w:val="none"/>
          <w:lang w:val="en-US" w:eastAsia="zh-CN"/>
        </w:rPr>
        <w:t>第四章 项目采购需求</w:t>
      </w:r>
      <w:r>
        <w:rPr>
          <w:highlight w:val="none"/>
        </w:rPr>
        <w:tab/>
      </w:r>
      <w:r>
        <w:rPr>
          <w:rFonts w:hint="eastAsia"/>
          <w:highlight w:val="none"/>
          <w:lang w:val="en-US" w:eastAsia="zh-CN"/>
        </w:rPr>
        <w:t>3</w:t>
      </w:r>
      <w:r>
        <w:rPr>
          <w:rFonts w:hint="eastAsia" w:cs="宋体"/>
          <w:highlight w:val="none"/>
        </w:rPr>
        <w:fldChar w:fldCharType="end"/>
      </w:r>
      <w:r>
        <w:rPr>
          <w:rFonts w:hint="eastAsia" w:cs="宋体"/>
          <w:highlight w:val="none"/>
          <w:lang w:val="en-US" w:eastAsia="zh-CN"/>
        </w:rPr>
        <w:t>3</w:t>
      </w:r>
    </w:p>
    <w:p w14:paraId="0CB4CACE">
      <w:pPr>
        <w:pStyle w:val="11"/>
        <w:tabs>
          <w:tab w:val="right" w:leader="dot" w:pos="9638"/>
        </w:tabs>
        <w:rPr>
          <w:rFonts w:hint="eastAsia" w:eastAsia="宋体"/>
          <w:highlight w:val="none"/>
          <w:lang w:val="en-US" w:eastAsia="zh-CN"/>
        </w:rPr>
      </w:pPr>
      <w:r>
        <w:rPr>
          <w:rFonts w:hint="eastAsia" w:cs="宋体"/>
          <w:highlight w:val="none"/>
        </w:rPr>
        <w:fldChar w:fldCharType="begin"/>
      </w:r>
      <w:r>
        <w:rPr>
          <w:rFonts w:hint="eastAsia" w:cs="宋体"/>
          <w:highlight w:val="none"/>
        </w:rPr>
        <w:instrText xml:space="preserve"> HYPERLINK \l _Toc28418 </w:instrText>
      </w:r>
      <w:r>
        <w:rPr>
          <w:rFonts w:hint="eastAsia" w:cs="宋体"/>
          <w:highlight w:val="none"/>
        </w:rPr>
        <w:fldChar w:fldCharType="separate"/>
      </w:r>
      <w:r>
        <w:rPr>
          <w:rFonts w:hint="eastAsia" w:cs="宋体"/>
          <w:highlight w:val="none"/>
          <w:lang w:eastAsia="zh-CN"/>
        </w:rPr>
        <w:t>第</w:t>
      </w:r>
      <w:r>
        <w:rPr>
          <w:rFonts w:hint="eastAsia" w:cs="宋体"/>
          <w:highlight w:val="none"/>
          <w:lang w:val="en-US" w:eastAsia="zh-CN"/>
        </w:rPr>
        <w:t>五</w:t>
      </w:r>
      <w:r>
        <w:rPr>
          <w:rFonts w:hint="eastAsia" w:cs="宋体"/>
          <w:highlight w:val="none"/>
          <w:lang w:eastAsia="zh-CN"/>
        </w:rPr>
        <w:t>章</w:t>
      </w:r>
      <w:r>
        <w:rPr>
          <w:rFonts w:hint="eastAsia" w:cs="宋体"/>
          <w:highlight w:val="none"/>
          <w:lang w:val="en-US" w:eastAsia="zh-CN"/>
        </w:rPr>
        <w:t xml:space="preserve"> </w:t>
      </w:r>
      <w:r>
        <w:rPr>
          <w:rFonts w:hint="eastAsia" w:cs="宋体"/>
          <w:highlight w:val="none"/>
        </w:rPr>
        <w:t>合同条款及格式（仅供参考）</w:t>
      </w:r>
      <w:r>
        <w:rPr>
          <w:highlight w:val="none"/>
        </w:rPr>
        <w:tab/>
      </w:r>
      <w:r>
        <w:rPr>
          <w:rFonts w:hint="eastAsia"/>
          <w:highlight w:val="none"/>
          <w:lang w:val="en-US" w:eastAsia="zh-CN"/>
        </w:rPr>
        <w:t>3</w:t>
      </w:r>
      <w:r>
        <w:rPr>
          <w:rFonts w:hint="eastAsia" w:cs="宋体"/>
          <w:highlight w:val="none"/>
        </w:rPr>
        <w:fldChar w:fldCharType="end"/>
      </w:r>
      <w:r>
        <w:rPr>
          <w:rFonts w:hint="eastAsia" w:eastAsia="宋体" w:cs="宋体"/>
          <w:highlight w:val="none"/>
          <w:lang w:val="en-US" w:eastAsia="zh-CN"/>
        </w:rPr>
        <w:t>4</w:t>
      </w:r>
    </w:p>
    <w:p w14:paraId="0F571207">
      <w:pPr>
        <w:pStyle w:val="11"/>
        <w:tabs>
          <w:tab w:val="right" w:leader="dot" w:pos="9638"/>
        </w:tabs>
        <w:rPr>
          <w:rFonts w:hint="default"/>
          <w:lang w:val="en-US" w:eastAsia="zh-CN"/>
        </w:rPr>
      </w:pPr>
      <w:r>
        <w:rPr>
          <w:rFonts w:hint="eastAsia" w:cs="宋体"/>
          <w:highlight w:val="none"/>
        </w:rPr>
        <w:fldChar w:fldCharType="begin"/>
      </w:r>
      <w:r>
        <w:rPr>
          <w:rFonts w:hint="eastAsia" w:cs="宋体"/>
          <w:highlight w:val="none"/>
        </w:rPr>
        <w:instrText xml:space="preserve"> HYPERLINK \l _Toc29973 </w:instrText>
      </w:r>
      <w:r>
        <w:rPr>
          <w:rFonts w:hint="eastAsia" w:cs="宋体"/>
          <w:highlight w:val="none"/>
        </w:rPr>
        <w:fldChar w:fldCharType="separate"/>
      </w:r>
      <w:r>
        <w:rPr>
          <w:rFonts w:hint="eastAsia" w:cs="宋体"/>
          <w:highlight w:val="none"/>
          <w:lang w:eastAsia="zh-CN"/>
        </w:rPr>
        <w:t>第</w:t>
      </w:r>
      <w:r>
        <w:rPr>
          <w:rFonts w:hint="eastAsia" w:cs="宋体"/>
          <w:highlight w:val="none"/>
          <w:lang w:val="en-US" w:eastAsia="zh-CN"/>
        </w:rPr>
        <w:t>六</w:t>
      </w:r>
      <w:r>
        <w:rPr>
          <w:rFonts w:hint="eastAsia" w:cs="宋体"/>
          <w:highlight w:val="none"/>
          <w:lang w:eastAsia="zh-CN"/>
        </w:rPr>
        <w:t>章</w:t>
      </w:r>
      <w:r>
        <w:rPr>
          <w:rFonts w:hint="eastAsia" w:cs="宋体"/>
          <w:highlight w:val="none"/>
          <w:lang w:val="en-US" w:eastAsia="zh-CN"/>
        </w:rPr>
        <w:t xml:space="preserve"> 评审标准</w:t>
      </w:r>
      <w:r>
        <w:rPr>
          <w:highlight w:val="none"/>
        </w:rPr>
        <w:tab/>
      </w:r>
      <w:r>
        <w:rPr>
          <w:rFonts w:hint="eastAsia" w:cs="宋体"/>
          <w:highlight w:val="none"/>
        </w:rPr>
        <w:fldChar w:fldCharType="end"/>
      </w:r>
      <w:r>
        <w:rPr>
          <w:rFonts w:hint="eastAsia" w:cs="宋体"/>
          <w:highlight w:val="none"/>
          <w:lang w:val="en-US" w:eastAsia="zh-CN"/>
        </w:rPr>
        <w:t>42</w:t>
      </w:r>
    </w:p>
    <w:p w14:paraId="33CCCCC6">
      <w:pPr>
        <w:pStyle w:val="11"/>
        <w:tabs>
          <w:tab w:val="right" w:leader="dot" w:pos="9638"/>
        </w:tabs>
        <w:rPr>
          <w:rFonts w:hint="eastAsia"/>
          <w:lang w:val="en-US" w:eastAsia="zh-CN"/>
        </w:rPr>
      </w:pPr>
      <w:r>
        <w:rPr>
          <w:rFonts w:hint="eastAsia" w:cs="宋体"/>
          <w:highlight w:val="none"/>
        </w:rPr>
        <w:fldChar w:fldCharType="end"/>
      </w:r>
      <w:r>
        <w:rPr>
          <w:rFonts w:hint="eastAsia" w:cs="宋体"/>
          <w:highlight w:val="none"/>
        </w:rPr>
        <w:fldChar w:fldCharType="begin"/>
      </w:r>
      <w:r>
        <w:rPr>
          <w:rFonts w:hint="eastAsia" w:cs="宋体"/>
          <w:highlight w:val="none"/>
        </w:rPr>
        <w:instrText xml:space="preserve"> HYPERLINK \l _Toc29973 </w:instrText>
      </w:r>
      <w:r>
        <w:rPr>
          <w:rFonts w:hint="eastAsia" w:cs="宋体"/>
          <w:highlight w:val="none"/>
        </w:rPr>
        <w:fldChar w:fldCharType="separate"/>
      </w:r>
      <w:r>
        <w:rPr>
          <w:rFonts w:hint="eastAsia" w:cs="宋体"/>
          <w:highlight w:val="none"/>
          <w:lang w:eastAsia="zh-CN"/>
        </w:rPr>
        <w:t>第</w:t>
      </w:r>
      <w:r>
        <w:rPr>
          <w:rFonts w:hint="eastAsia" w:cs="宋体"/>
          <w:highlight w:val="none"/>
          <w:lang w:val="en-US" w:eastAsia="zh-CN"/>
        </w:rPr>
        <w:t>七</w:t>
      </w:r>
      <w:r>
        <w:rPr>
          <w:rFonts w:hint="eastAsia" w:cs="宋体"/>
          <w:highlight w:val="none"/>
          <w:lang w:eastAsia="zh-CN"/>
        </w:rPr>
        <w:t>章</w:t>
      </w:r>
      <w:r>
        <w:rPr>
          <w:rFonts w:hint="eastAsia" w:cs="宋体"/>
          <w:highlight w:val="none"/>
          <w:lang w:val="en-US" w:eastAsia="zh-CN"/>
        </w:rPr>
        <w:t xml:space="preserve"> 响应文件格式</w:t>
      </w:r>
      <w:r>
        <w:rPr>
          <w:highlight w:val="none"/>
        </w:rPr>
        <w:tab/>
      </w:r>
      <w:r>
        <w:rPr>
          <w:rFonts w:hint="eastAsia" w:cs="宋体"/>
          <w:highlight w:val="none"/>
        </w:rPr>
        <w:fldChar w:fldCharType="end"/>
      </w:r>
      <w:r>
        <w:rPr>
          <w:rFonts w:hint="eastAsia" w:cs="宋体"/>
          <w:highlight w:val="none"/>
          <w:lang w:val="en-US" w:eastAsia="zh-CN"/>
        </w:rPr>
        <w:t>46</w:t>
      </w:r>
    </w:p>
    <w:p w14:paraId="25FDB99C">
      <w:pPr>
        <w:ind w:firstLine="560"/>
        <w:jc w:val="center"/>
        <w:outlineLvl w:val="0"/>
        <w:rPr>
          <w:rFonts w:hint="eastAsia" w:cs="宋体"/>
          <w:b/>
          <w:sz w:val="44"/>
          <w:highlight w:val="none"/>
        </w:rPr>
      </w:pPr>
    </w:p>
    <w:p w14:paraId="2FDD3C9B">
      <w:pPr>
        <w:ind w:firstLine="883"/>
        <w:jc w:val="center"/>
        <w:outlineLvl w:val="0"/>
        <w:rPr>
          <w:rFonts w:hint="eastAsia" w:cs="宋体"/>
          <w:b/>
          <w:sz w:val="44"/>
          <w:highlight w:val="none"/>
        </w:rPr>
      </w:pPr>
    </w:p>
    <w:p w14:paraId="3FF7CD0D">
      <w:pPr>
        <w:ind w:firstLine="883"/>
        <w:jc w:val="center"/>
        <w:outlineLvl w:val="0"/>
        <w:rPr>
          <w:rFonts w:hint="eastAsia" w:cs="宋体"/>
          <w:b/>
          <w:sz w:val="44"/>
          <w:highlight w:val="none"/>
        </w:rPr>
      </w:pPr>
    </w:p>
    <w:p w14:paraId="33352832">
      <w:pPr>
        <w:ind w:firstLine="883"/>
        <w:jc w:val="center"/>
        <w:outlineLvl w:val="0"/>
        <w:rPr>
          <w:rFonts w:hint="eastAsia" w:cs="宋体"/>
          <w:b/>
          <w:sz w:val="44"/>
          <w:highlight w:val="none"/>
        </w:rPr>
      </w:pPr>
    </w:p>
    <w:p w14:paraId="2EFD6E27">
      <w:pPr>
        <w:ind w:firstLine="883"/>
        <w:jc w:val="center"/>
        <w:outlineLvl w:val="0"/>
        <w:rPr>
          <w:rFonts w:hint="eastAsia" w:cs="宋体"/>
          <w:b/>
          <w:sz w:val="44"/>
          <w:highlight w:val="none"/>
        </w:rPr>
      </w:pPr>
    </w:p>
    <w:p w14:paraId="5DF6FFBF">
      <w:pPr>
        <w:ind w:firstLine="883"/>
        <w:jc w:val="center"/>
        <w:outlineLvl w:val="0"/>
        <w:rPr>
          <w:rFonts w:hint="eastAsia" w:cs="宋体"/>
          <w:b/>
          <w:sz w:val="44"/>
          <w:highlight w:val="none"/>
        </w:rPr>
      </w:pPr>
    </w:p>
    <w:p w14:paraId="2523FABE">
      <w:pPr>
        <w:ind w:firstLine="883"/>
        <w:jc w:val="center"/>
        <w:outlineLvl w:val="0"/>
        <w:rPr>
          <w:rFonts w:hint="eastAsia" w:cs="宋体"/>
          <w:b/>
          <w:sz w:val="44"/>
          <w:highlight w:val="none"/>
        </w:rPr>
      </w:pPr>
    </w:p>
    <w:p w14:paraId="0FCA7179">
      <w:pPr>
        <w:ind w:firstLine="883"/>
        <w:jc w:val="center"/>
        <w:outlineLvl w:val="0"/>
        <w:rPr>
          <w:rFonts w:hint="eastAsia" w:cs="宋体"/>
          <w:b/>
          <w:sz w:val="44"/>
          <w:highlight w:val="none"/>
        </w:rPr>
      </w:pPr>
    </w:p>
    <w:p w14:paraId="5BC78BF1">
      <w:pPr>
        <w:pStyle w:val="12"/>
        <w:rPr>
          <w:rFonts w:hint="eastAsia" w:cs="宋体"/>
          <w:b/>
          <w:sz w:val="44"/>
          <w:highlight w:val="none"/>
        </w:rPr>
      </w:pPr>
    </w:p>
    <w:p w14:paraId="4EFEE671">
      <w:pPr>
        <w:pStyle w:val="12"/>
        <w:rPr>
          <w:rFonts w:hint="eastAsia" w:cs="宋体"/>
          <w:b/>
          <w:sz w:val="44"/>
          <w:highlight w:val="none"/>
        </w:rPr>
      </w:pPr>
    </w:p>
    <w:p w14:paraId="0DE75212">
      <w:pPr>
        <w:pStyle w:val="3"/>
        <w:keepNext/>
        <w:keepLines/>
        <w:pageBreakBefore w:val="0"/>
        <w:widowControl w:val="0"/>
        <w:numPr>
          <w:ilvl w:val="0"/>
          <w:numId w:val="0"/>
        </w:numPr>
        <w:kinsoku/>
        <w:wordWrap/>
        <w:overflowPunct/>
        <w:topLinePunct w:val="0"/>
        <w:autoSpaceDE/>
        <w:autoSpaceDN/>
        <w:bidi w:val="0"/>
        <w:adjustRightInd/>
        <w:snapToGrid/>
        <w:spacing w:line="540" w:lineRule="exact"/>
        <w:ind w:leftChars="200"/>
        <w:jc w:val="center"/>
        <w:textAlignment w:val="auto"/>
        <w:rPr>
          <w:rFonts w:hint="eastAsia" w:ascii="宋体" w:hAnsi="宋体" w:eastAsia="宋体" w:cs="宋体"/>
          <w:b/>
          <w:bCs/>
          <w:kern w:val="44"/>
          <w:sz w:val="40"/>
          <w:szCs w:val="52"/>
          <w:highlight w:val="none"/>
          <w:lang w:val="en-US" w:eastAsia="zh-CN" w:bidi="ar-SA"/>
        </w:rPr>
        <w:sectPr>
          <w:headerReference r:id="rId5" w:type="default"/>
          <w:footerReference r:id="rId6" w:type="default"/>
          <w:pgSz w:w="11906" w:h="16838"/>
          <w:pgMar w:top="1134" w:right="1134" w:bottom="1213" w:left="1134" w:header="851" w:footer="992" w:gutter="0"/>
          <w:pgNumType w:fmt="decimal" w:start="1"/>
          <w:cols w:space="720" w:num="1"/>
          <w:docGrid w:type="lines" w:linePitch="312" w:charSpace="0"/>
        </w:sectPr>
      </w:pPr>
      <w:bookmarkStart w:id="0" w:name="_Toc15712"/>
      <w:bookmarkStart w:id="1" w:name="_Toc403987204"/>
      <w:bookmarkStart w:id="2" w:name="_Toc16938518"/>
      <w:bookmarkStart w:id="3" w:name="_Toc28735"/>
      <w:bookmarkStart w:id="4" w:name="_Toc20823274"/>
      <w:bookmarkStart w:id="5" w:name="_Toc120614213"/>
      <w:bookmarkStart w:id="6" w:name="_Toc513029202"/>
      <w:bookmarkStart w:id="7" w:name="_Toc1926"/>
    </w:p>
    <w:p w14:paraId="5E6F1545">
      <w:pPr>
        <w:pStyle w:val="3"/>
        <w:keepNext/>
        <w:keepLines/>
        <w:pageBreakBefore w:val="0"/>
        <w:widowControl w:val="0"/>
        <w:numPr>
          <w:ilvl w:val="0"/>
          <w:numId w:val="0"/>
        </w:numPr>
        <w:kinsoku/>
        <w:wordWrap/>
        <w:overflowPunct/>
        <w:topLinePunct w:val="0"/>
        <w:autoSpaceDE/>
        <w:autoSpaceDN/>
        <w:bidi w:val="0"/>
        <w:adjustRightInd/>
        <w:snapToGrid/>
        <w:spacing w:line="540" w:lineRule="exact"/>
        <w:ind w:leftChars="200"/>
        <w:jc w:val="center"/>
        <w:textAlignment w:val="auto"/>
        <w:rPr>
          <w:rFonts w:hint="eastAsia"/>
          <w:highlight w:val="none"/>
          <w:lang w:val="en-US" w:eastAsia="zh-CN"/>
        </w:rPr>
      </w:pPr>
      <w:r>
        <w:rPr>
          <w:rFonts w:hint="eastAsia" w:ascii="宋体" w:hAnsi="宋体" w:eastAsia="宋体" w:cs="宋体"/>
          <w:b/>
          <w:bCs/>
          <w:kern w:val="44"/>
          <w:sz w:val="40"/>
          <w:szCs w:val="52"/>
          <w:highlight w:val="none"/>
          <w:lang w:val="en-US" w:eastAsia="zh-CN" w:bidi="ar-SA"/>
        </w:rPr>
        <w:t xml:space="preserve">第一章  竞争性磋商公告 </w:t>
      </w:r>
      <w:r>
        <w:rPr>
          <w:rFonts w:hint="eastAsia" w:ascii="宋体" w:hAnsi="宋体" w:eastAsia="宋体" w:cs="宋体"/>
          <w:b/>
          <w:bCs/>
          <w:kern w:val="44"/>
          <w:sz w:val="32"/>
          <w:szCs w:val="44"/>
          <w:highlight w:val="none"/>
          <w:lang w:val="en-US" w:eastAsia="zh-CN" w:bidi="ar-SA"/>
        </w:rPr>
        <w:t xml:space="preserve"> </w:t>
      </w:r>
      <w:r>
        <w:rPr>
          <w:rFonts w:hint="eastAsia" w:cs="宋体"/>
          <w:b w:val="0"/>
          <w:bCs w:val="0"/>
          <w:sz w:val="36"/>
          <w:szCs w:val="36"/>
          <w:highlight w:val="none"/>
        </w:rPr>
        <w:t xml:space="preserve">  </w:t>
      </w:r>
      <w:bookmarkStart w:id="8" w:name="_Toc7460"/>
    </w:p>
    <w:p w14:paraId="4E5C4A52">
      <w:pPr>
        <w:widowControl/>
        <w:numPr>
          <w:ilvl w:val="0"/>
          <w:numId w:val="0"/>
        </w:numPr>
        <w:adjustRightInd/>
        <w:spacing w:line="480" w:lineRule="exact"/>
        <w:jc w:val="center"/>
        <w:textAlignment w:val="auto"/>
        <w:rPr>
          <w:rFonts w:hint="eastAsia" w:ascii="宋体" w:hAnsi="宋体" w:cs="宋体"/>
          <w:b/>
          <w:bCs/>
          <w:kern w:val="44"/>
          <w:sz w:val="36"/>
          <w:szCs w:val="48"/>
          <w:highlight w:val="none"/>
          <w:lang w:val="en-US" w:eastAsia="zh-CN" w:bidi="ar-SA"/>
        </w:rPr>
      </w:pPr>
    </w:p>
    <w:p w14:paraId="21A2A063">
      <w:pPr>
        <w:widowControl/>
        <w:numPr>
          <w:ilvl w:val="0"/>
          <w:numId w:val="0"/>
        </w:numPr>
        <w:adjustRightInd/>
        <w:spacing w:line="480" w:lineRule="exact"/>
        <w:jc w:val="center"/>
        <w:textAlignment w:val="auto"/>
        <w:rPr>
          <w:rFonts w:hint="eastAsia" w:ascii="宋体" w:hAnsi="宋体" w:cs="宋体"/>
          <w:b/>
          <w:bCs/>
          <w:kern w:val="44"/>
          <w:sz w:val="36"/>
          <w:szCs w:val="48"/>
          <w:highlight w:val="none"/>
          <w:lang w:val="en-US" w:eastAsia="zh-CN" w:bidi="ar-SA"/>
        </w:rPr>
      </w:pPr>
      <w:r>
        <w:rPr>
          <w:rFonts w:hint="eastAsia" w:ascii="宋体" w:hAnsi="宋体" w:cs="宋体"/>
          <w:b/>
          <w:bCs/>
          <w:kern w:val="44"/>
          <w:sz w:val="36"/>
          <w:szCs w:val="48"/>
          <w:highlight w:val="none"/>
          <w:lang w:val="en-US" w:eastAsia="zh-CN" w:bidi="ar-SA"/>
        </w:rPr>
        <w:t>呼图壁县重点危险区域城镇住宅抗震鉴定项目</w:t>
      </w:r>
    </w:p>
    <w:p w14:paraId="487CAC6D">
      <w:pPr>
        <w:widowControl/>
        <w:numPr>
          <w:ilvl w:val="0"/>
          <w:numId w:val="0"/>
        </w:numPr>
        <w:adjustRightInd/>
        <w:spacing w:line="480" w:lineRule="exact"/>
        <w:jc w:val="center"/>
        <w:textAlignment w:val="auto"/>
        <w:rPr>
          <w:rFonts w:hint="eastAsia" w:ascii="宋体" w:hAnsi="宋体" w:cs="宋体"/>
          <w:b/>
          <w:bCs/>
          <w:kern w:val="44"/>
          <w:sz w:val="36"/>
          <w:szCs w:val="48"/>
          <w:highlight w:val="none"/>
          <w:lang w:val="en-US" w:eastAsia="zh-CN" w:bidi="ar-SA"/>
        </w:rPr>
      </w:pPr>
      <w:r>
        <w:rPr>
          <w:rFonts w:hint="eastAsia" w:ascii="宋体" w:hAnsi="宋体" w:cs="宋体"/>
          <w:b/>
          <w:bCs/>
          <w:kern w:val="44"/>
          <w:sz w:val="36"/>
          <w:szCs w:val="48"/>
          <w:highlight w:val="none"/>
          <w:lang w:val="en-US" w:eastAsia="zh-CN" w:bidi="ar-SA"/>
        </w:rPr>
        <w:t>（服务）</w:t>
      </w:r>
    </w:p>
    <w:p w14:paraId="54C8B22F">
      <w:pPr>
        <w:widowControl/>
        <w:numPr>
          <w:ilvl w:val="0"/>
          <w:numId w:val="0"/>
        </w:numPr>
        <w:adjustRightInd/>
        <w:spacing w:line="480" w:lineRule="exact"/>
        <w:jc w:val="center"/>
        <w:textAlignment w:val="auto"/>
        <w:rPr>
          <w:rFonts w:hint="eastAsia" w:cs="宋体"/>
          <w:b/>
          <w:bCs/>
          <w:sz w:val="40"/>
          <w:szCs w:val="40"/>
          <w:highlight w:val="none"/>
        </w:rPr>
      </w:pPr>
      <w:r>
        <w:rPr>
          <w:rFonts w:hint="eastAsia" w:ascii="宋体" w:hAnsi="宋体" w:cs="宋体"/>
          <w:b/>
          <w:bCs/>
          <w:kern w:val="44"/>
          <w:sz w:val="36"/>
          <w:szCs w:val="48"/>
          <w:highlight w:val="none"/>
          <w:lang w:val="en-US" w:eastAsia="zh-CN" w:bidi="ar-SA"/>
        </w:rPr>
        <w:t xml:space="preserve">竞争性磋商公告  </w:t>
      </w:r>
      <w:r>
        <w:rPr>
          <w:rFonts w:hint="eastAsia" w:cs="宋体"/>
          <w:b/>
          <w:bCs/>
          <w:sz w:val="40"/>
          <w:szCs w:val="40"/>
          <w:highlight w:val="none"/>
        </w:rPr>
        <w:t xml:space="preserve">  </w:t>
      </w:r>
    </w:p>
    <w:p w14:paraId="3E3F217B">
      <w:pPr>
        <w:widowControl/>
        <w:numPr>
          <w:ilvl w:val="0"/>
          <w:numId w:val="0"/>
        </w:numPr>
        <w:adjustRightInd/>
        <w:spacing w:line="480" w:lineRule="exact"/>
        <w:jc w:val="both"/>
        <w:textAlignment w:val="auto"/>
        <w:rPr>
          <w:rFonts w:hint="eastAsia" w:ascii="仿宋" w:hAnsi="仿宋" w:eastAsia="仿宋" w:cs="仿宋"/>
          <w:b/>
          <w:kern w:val="2"/>
          <w:sz w:val="32"/>
          <w:szCs w:val="24"/>
          <w:highlight w:val="none"/>
          <w:lang w:val="zh-CN" w:eastAsia="zh-CN" w:bidi="ar-SA"/>
        </w:rPr>
      </w:pPr>
      <w:r>
        <w:rPr>
          <w:rFonts w:hint="eastAsia" w:cs="宋体"/>
          <w:b/>
          <w:bCs/>
          <w:sz w:val="36"/>
          <w:szCs w:val="36"/>
          <w:highlight w:val="none"/>
        </w:rPr>
        <w:t xml:space="preserve">  </w:t>
      </w:r>
      <w:r>
        <w:rPr>
          <w:rFonts w:hint="eastAsia" w:cs="宋体"/>
          <w:sz w:val="24"/>
          <w:szCs w:val="24"/>
          <w:highlight w:val="none"/>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A91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05C92AF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textAlignment w:val="auto"/>
              <w:rPr>
                <w:rFonts w:ascii="仿宋" w:hAnsi="仿宋" w:eastAsia="仿宋" w:cs="仿宋"/>
                <w:i w:val="0"/>
                <w:caps w:val="0"/>
                <w:color w:val="000000"/>
                <w:spacing w:val="0"/>
                <w:sz w:val="27"/>
                <w:szCs w:val="27"/>
                <w:highlight w:val="none"/>
                <w:vertAlign w:val="baseline"/>
              </w:rPr>
            </w:pPr>
            <w:r>
              <w:rPr>
                <w:rFonts w:hint="eastAsia" w:ascii="仿宋" w:hAnsi="仿宋" w:eastAsia="仿宋" w:cs="仿宋"/>
                <w:i w:val="0"/>
                <w:caps w:val="0"/>
                <w:color w:val="000000"/>
                <w:spacing w:val="0"/>
                <w:sz w:val="27"/>
                <w:szCs w:val="27"/>
                <w:highlight w:val="none"/>
                <w:vertAlign w:val="baseline"/>
              </w:rPr>
              <w:t>项目概况</w:t>
            </w:r>
          </w:p>
          <w:p w14:paraId="404A9D4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ascii="仿宋" w:hAnsi="仿宋" w:eastAsia="仿宋" w:cs="仿宋"/>
                <w:i w:val="0"/>
                <w:caps w:val="0"/>
                <w:color w:val="000000"/>
                <w:spacing w:val="0"/>
                <w:sz w:val="27"/>
                <w:szCs w:val="27"/>
                <w:highlight w:val="none"/>
                <w:vertAlign w:val="baseline"/>
              </w:rPr>
            </w:pPr>
            <w:r>
              <w:rPr>
                <w:rFonts w:hint="eastAsia" w:ascii="仿宋" w:hAnsi="仿宋" w:eastAsia="仿宋" w:cs="仿宋"/>
                <w:i w:val="0"/>
                <w:caps w:val="0"/>
                <w:color w:val="000000"/>
                <w:spacing w:val="0"/>
                <w:sz w:val="27"/>
                <w:szCs w:val="27"/>
                <w:highlight w:val="none"/>
                <w:vertAlign w:val="baseline"/>
              </w:rPr>
              <w:t xml:space="preserve"> </w:t>
            </w:r>
            <w:r>
              <w:rPr>
                <w:rFonts w:hint="eastAsia" w:ascii="仿宋" w:hAnsi="仿宋" w:eastAsia="仿宋" w:cs="仿宋"/>
                <w:kern w:val="0"/>
                <w:sz w:val="28"/>
                <w:szCs w:val="28"/>
                <w:highlight w:val="none"/>
                <w:u w:val="single"/>
                <w:lang w:val="en-US" w:eastAsia="zh-CN" w:bidi="ar-SA"/>
              </w:rPr>
              <w:t>呼图壁县重点危险区域城镇住宅抗震鉴定项目（服务类）</w:t>
            </w:r>
            <w:r>
              <w:rPr>
                <w:rFonts w:hint="eastAsia" w:ascii="仿宋" w:hAnsi="仿宋" w:eastAsia="仿宋" w:cs="仿宋"/>
                <w:i w:val="0"/>
                <w:caps w:val="0"/>
                <w:color w:val="000000"/>
                <w:spacing w:val="0"/>
                <w:sz w:val="27"/>
                <w:szCs w:val="27"/>
                <w:highlight w:val="none"/>
                <w:vertAlign w:val="baseline"/>
              </w:rPr>
              <w:t>招标项目的潜在投标人应在</w:t>
            </w:r>
            <w:r>
              <w:rPr>
                <w:rFonts w:ascii="仿宋" w:hAnsi="仿宋" w:eastAsia="仿宋" w:cs="仿宋"/>
                <w:i w:val="0"/>
                <w:iCs w:val="0"/>
                <w:caps w:val="0"/>
                <w:color w:val="000000"/>
                <w:spacing w:val="0"/>
                <w:sz w:val="27"/>
                <w:szCs w:val="27"/>
                <w:highlight w:val="none"/>
                <w:u w:val="single"/>
              </w:rPr>
              <w:t>政采云平台线上</w:t>
            </w:r>
            <w:r>
              <w:rPr>
                <w:rFonts w:hint="eastAsia" w:ascii="仿宋" w:hAnsi="仿宋" w:eastAsia="仿宋" w:cs="仿宋"/>
                <w:i w:val="0"/>
                <w:caps w:val="0"/>
                <w:color w:val="000000"/>
                <w:spacing w:val="0"/>
                <w:sz w:val="27"/>
                <w:szCs w:val="27"/>
                <w:highlight w:val="none"/>
                <w:vertAlign w:val="baseline"/>
              </w:rPr>
              <w:t>获取招标文</w:t>
            </w:r>
            <w:r>
              <w:rPr>
                <w:rFonts w:hint="eastAsia" w:ascii="仿宋" w:hAnsi="仿宋" w:eastAsia="仿宋" w:cs="Times New Roman"/>
                <w:sz w:val="28"/>
                <w:szCs w:val="28"/>
                <w:highlight w:val="none"/>
                <w:lang w:val="en-US" w:eastAsia="zh-CN" w:bidi="ar-SA"/>
              </w:rPr>
              <w:t>件，并于 2025年7月30日11点00分（北京时间）前递交投标文件。</w:t>
            </w:r>
          </w:p>
        </w:tc>
      </w:tr>
    </w:tbl>
    <w:p w14:paraId="0992CA40">
      <w:pPr>
        <w:pStyle w:val="15"/>
        <w:keepNext w:val="0"/>
        <w:keepLines w:val="0"/>
        <w:pageBreakBefore w:val="0"/>
        <w:widowControl/>
        <w:numPr>
          <w:ilvl w:val="0"/>
          <w:numId w:val="2"/>
        </w:numPr>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rPr>
      </w:pPr>
      <w:r>
        <w:rPr>
          <w:rStyle w:val="19"/>
          <w:rFonts w:hint="default" w:ascii="仿宋" w:hAnsi="仿宋" w:eastAsia="仿宋" w:cs="仿宋"/>
          <w:i w:val="0"/>
          <w:caps w:val="0"/>
          <w:color w:val="000000"/>
          <w:spacing w:val="0"/>
          <w:sz w:val="28"/>
          <w:szCs w:val="28"/>
          <w:highlight w:val="none"/>
        </w:rPr>
        <w:t>项目基本情况</w:t>
      </w:r>
    </w:p>
    <w:p w14:paraId="7A1E62AB">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420" w:leftChars="200" w:right="0" w:firstLine="0" w:firstLineChars="0"/>
        <w:jc w:val="left"/>
        <w:textAlignment w:val="auto"/>
        <w:rPr>
          <w:rFonts w:hint="default" w:ascii="仿宋" w:hAnsi="仿宋" w:eastAsia="仿宋" w:cs="仿宋"/>
          <w:b w:val="0"/>
          <w:i w:val="0"/>
          <w:caps w:val="0"/>
          <w:color w:val="000000"/>
          <w:spacing w:val="0"/>
          <w:sz w:val="27"/>
          <w:szCs w:val="27"/>
          <w:highlight w:val="none"/>
          <w:lang w:eastAsia="zh-CN"/>
        </w:rPr>
      </w:pPr>
      <w:r>
        <w:rPr>
          <w:rFonts w:hint="eastAsia" w:ascii="仿宋" w:hAnsi="仿宋" w:eastAsia="仿宋" w:cs="仿宋"/>
          <w:kern w:val="0"/>
          <w:sz w:val="28"/>
          <w:szCs w:val="28"/>
          <w:highlight w:val="none"/>
          <w:lang w:val="en-US" w:eastAsia="zh-CN" w:bidi="ar-SA"/>
        </w:rPr>
        <w:t>项目编号：</w:t>
      </w:r>
      <w:r>
        <w:rPr>
          <w:rFonts w:hint="eastAsia" w:ascii="仿宋" w:hAnsi="仿宋" w:eastAsia="仿宋" w:cs="仿宋"/>
          <w:b w:val="0"/>
          <w:i w:val="0"/>
          <w:caps w:val="0"/>
          <w:color w:val="000000"/>
          <w:spacing w:val="0"/>
          <w:sz w:val="27"/>
          <w:szCs w:val="27"/>
          <w:highlight w:val="none"/>
          <w:lang w:eastAsia="zh-CN"/>
        </w:rPr>
        <w:t>2025-JHJY-ZFCG-08</w:t>
      </w:r>
    </w:p>
    <w:p w14:paraId="1CDD04A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420" w:leftChars="200" w:right="0" w:firstLine="0" w:firstLineChars="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项目名称：呼图壁县重点危险区域城镇住宅抗震鉴定项目（服务）</w:t>
      </w:r>
    </w:p>
    <w:p w14:paraId="468031F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420" w:leftChars="200" w:right="0" w:firstLine="0" w:firstLineChars="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采购方式：竞争性磋商</w:t>
      </w:r>
    </w:p>
    <w:p w14:paraId="6596EA19">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420" w:leftChars="200" w:right="0" w:firstLine="0" w:firstLineChars="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预算金额（元）：1153500.00元</w:t>
      </w:r>
    </w:p>
    <w:p w14:paraId="3975BA4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right="0" w:firstLine="280" w:firstLineChars="10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采购需求：对全县441户房屋进行测量、取样检测、绘制图纸并分别按栋出具自治区房屋建筑安全与抗震鉴定报告，具体以面积为准。</w:t>
      </w:r>
    </w:p>
    <w:p w14:paraId="3A19ED53">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460" w:lineRule="exact"/>
        <w:ind w:leftChars="200" w:right="0" w:rightChars="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服务期限：自合同签订之日起30天（日历日）</w:t>
      </w:r>
    </w:p>
    <w:p w14:paraId="1E964A17">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460" w:lineRule="exact"/>
        <w:ind w:leftChars="200" w:right="0" w:rightChars="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本项目接受联合体投标。</w:t>
      </w:r>
    </w:p>
    <w:p w14:paraId="7D3DD5D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rPr>
      </w:pPr>
      <w:r>
        <w:rPr>
          <w:rStyle w:val="19"/>
          <w:rFonts w:hint="default" w:ascii="仿宋" w:hAnsi="仿宋" w:eastAsia="仿宋" w:cs="仿宋"/>
          <w:i w:val="0"/>
          <w:caps w:val="0"/>
          <w:color w:val="000000"/>
          <w:spacing w:val="0"/>
          <w:sz w:val="28"/>
          <w:szCs w:val="28"/>
          <w:highlight w:val="none"/>
        </w:rPr>
        <w:t> </w:t>
      </w:r>
      <w:r>
        <w:rPr>
          <w:rStyle w:val="19"/>
          <w:rFonts w:hint="eastAsia" w:ascii="仿宋" w:hAnsi="仿宋" w:eastAsia="仿宋" w:cs="仿宋"/>
          <w:i w:val="0"/>
          <w:caps w:val="0"/>
          <w:color w:val="000000"/>
          <w:spacing w:val="0"/>
          <w:sz w:val="28"/>
          <w:szCs w:val="28"/>
          <w:highlight w:val="none"/>
          <w:lang w:eastAsia="zh-CN"/>
        </w:rPr>
        <w:t>二</w:t>
      </w:r>
      <w:r>
        <w:rPr>
          <w:rStyle w:val="19"/>
          <w:rFonts w:hint="default" w:ascii="仿宋" w:hAnsi="仿宋" w:eastAsia="仿宋" w:cs="仿宋"/>
          <w:i w:val="0"/>
          <w:caps w:val="0"/>
          <w:color w:val="000000"/>
          <w:spacing w:val="0"/>
          <w:sz w:val="28"/>
          <w:szCs w:val="28"/>
          <w:highlight w:val="none"/>
        </w:rPr>
        <w:t>、磋商供应商资格要求： </w:t>
      </w:r>
    </w:p>
    <w:p w14:paraId="2F4E7A44">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w:t>
      </w:r>
      <w:r>
        <w:rPr>
          <w:rFonts w:hint="default" w:ascii="仿宋" w:hAnsi="仿宋" w:eastAsia="仿宋" w:cs="仿宋"/>
          <w:kern w:val="0"/>
          <w:sz w:val="28"/>
          <w:szCs w:val="28"/>
          <w:highlight w:val="none"/>
          <w:lang w:val="en-US" w:eastAsia="zh-CN" w:bidi="ar-SA"/>
        </w:rPr>
        <w:t>符合《中华人民共和国政府采购法》第二十二条的相关规定；</w:t>
      </w:r>
    </w:p>
    <w:p w14:paraId="1E75C45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（1）采购政策</w:t>
      </w:r>
    </w:p>
    <w:p w14:paraId="43AB1E1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政府采购应当优先采购本国货物、工程和服务，并执行节能产品、环境标志产品、中小企业、残疾人集中就业企业、监狱企业等适宜本项目的政府采购政策。</w:t>
      </w:r>
    </w:p>
    <w:p w14:paraId="372C80B7">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（2）政策依据</w:t>
      </w:r>
    </w:p>
    <w:p w14:paraId="454976F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政府采购促进中小企业发展暂行办法》（财库〔2011〕181号）；（2）《财政部司法部关于政府采购支持监狱企业发展有关问题的通知》（财库〔2014〕68号）；（3）《国务院办公厅关于建立政府强制采购节能产品制度的通知》（国办发〔2007〕51号）；（4）《节能产品政府采购实施意见》（财库[2004]185号）；（5）《环境标志产品政府采购实施的意见》（财库[2006]90号）；（6）《三部门联合发布关于促进残疾人就业政府采购政策的通知》（财库〔2017〕141号） </w:t>
      </w:r>
    </w:p>
    <w:p w14:paraId="79C447E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本项目的特定资格要求：</w:t>
      </w:r>
    </w:p>
    <w:p w14:paraId="26FE6079">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（1）在中华人民共和国境内注册，具有独立法人资格，具有有效的营业执照或“三证合一”的营业执照；</w:t>
      </w:r>
    </w:p>
    <w:p w14:paraId="01AA796E">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（2）落实政府采购政策需满足的资格要求：本项目专门面向中小微企业</w:t>
      </w:r>
    </w:p>
    <w:p w14:paraId="5E98641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3）供应商须具备建设主管部门颁发的建设工程质量检测机构资质证书(检测范围须包含：主体结构工程现场检测、见证取样检测、钢结构工程检测及地基基础工程检测)，并同时具备工程设计建筑行业（建筑工程）专业乙级或乙级以上资质及工程勘察专业类（岩土工程（勘察））乙级或乙级以上资质。</w:t>
      </w:r>
    </w:p>
    <w:p w14:paraId="6565ACBE">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color w:val="0000FF"/>
          <w:kern w:val="0"/>
          <w:sz w:val="28"/>
          <w:szCs w:val="28"/>
          <w:highlight w:val="none"/>
          <w:lang w:val="en-US" w:eastAsia="zh-CN" w:bidi="ar-SA"/>
        </w:rPr>
      </w:pPr>
      <w:r>
        <w:rPr>
          <w:rFonts w:hint="eastAsia" w:ascii="仿宋" w:hAnsi="仿宋" w:eastAsia="仿宋" w:cs="仿宋"/>
          <w:color w:val="0000FF"/>
          <w:kern w:val="0"/>
          <w:sz w:val="28"/>
          <w:szCs w:val="28"/>
          <w:highlight w:val="none"/>
          <w:lang w:val="en-US" w:eastAsia="zh-CN" w:bidi="ar-SA"/>
        </w:rPr>
        <w:t>（4）项目负责人须具备一级（含以上）注册结构工程师执业资格及相关中级及以上职称；</w:t>
      </w:r>
    </w:p>
    <w:p w14:paraId="6838937F">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（5）未被“信用中国”（www.creditchina.gov.cn）列入失信被执行人、重大税收违法案件当事人名单、严重违法失信行为记录名单；</w:t>
      </w:r>
    </w:p>
    <w:p w14:paraId="7E8376D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（6）本次招标接受联合体投标，不接受中介机构投标；</w:t>
      </w:r>
    </w:p>
    <w:p w14:paraId="2D1F693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lang w:val="en-US" w:eastAsia="zh-CN"/>
        </w:rPr>
      </w:pPr>
      <w:r>
        <w:rPr>
          <w:rStyle w:val="19"/>
          <w:rFonts w:hint="default" w:ascii="仿宋" w:hAnsi="仿宋" w:eastAsia="仿宋" w:cs="仿宋"/>
          <w:i w:val="0"/>
          <w:caps w:val="0"/>
          <w:color w:val="000000"/>
          <w:spacing w:val="0"/>
          <w:sz w:val="28"/>
          <w:szCs w:val="28"/>
          <w:highlight w:val="none"/>
          <w:lang w:val="en-US" w:eastAsia="zh-CN"/>
        </w:rPr>
        <w:t>三、获取招标文件</w:t>
      </w:r>
    </w:p>
    <w:p w14:paraId="2ACD5ED5">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时间：</w:t>
      </w:r>
      <w:r>
        <w:rPr>
          <w:rFonts w:hint="eastAsia" w:ascii="仿宋" w:hAnsi="仿宋" w:eastAsia="仿宋" w:cs="仿宋"/>
          <w:kern w:val="0"/>
          <w:sz w:val="28"/>
          <w:szCs w:val="28"/>
          <w:highlight w:val="none"/>
          <w:lang w:val="en-US" w:eastAsia="zh-CN" w:bidi="ar-SA"/>
        </w:rPr>
        <w:t>2025年07月17日</w:t>
      </w:r>
      <w:r>
        <w:rPr>
          <w:rFonts w:hint="default" w:ascii="仿宋" w:hAnsi="仿宋" w:eastAsia="仿宋" w:cs="仿宋"/>
          <w:kern w:val="0"/>
          <w:sz w:val="28"/>
          <w:szCs w:val="28"/>
          <w:highlight w:val="none"/>
          <w:lang w:val="en-US" w:eastAsia="zh-CN" w:bidi="ar-SA"/>
        </w:rPr>
        <w:t>至</w:t>
      </w:r>
      <w:r>
        <w:rPr>
          <w:rFonts w:hint="eastAsia" w:ascii="仿宋" w:hAnsi="仿宋" w:eastAsia="仿宋" w:cs="仿宋"/>
          <w:kern w:val="0"/>
          <w:sz w:val="28"/>
          <w:szCs w:val="28"/>
          <w:highlight w:val="none"/>
          <w:lang w:val="en-US" w:eastAsia="zh-CN" w:bidi="ar-SA"/>
        </w:rPr>
        <w:t>2025年07月24日</w:t>
      </w:r>
      <w:r>
        <w:rPr>
          <w:rFonts w:hint="default" w:ascii="仿宋" w:hAnsi="仿宋" w:eastAsia="仿宋" w:cs="仿宋"/>
          <w:kern w:val="0"/>
          <w:sz w:val="28"/>
          <w:szCs w:val="28"/>
          <w:highlight w:val="none"/>
          <w:lang w:val="en-US" w:eastAsia="zh-CN" w:bidi="ar-SA"/>
        </w:rPr>
        <w:t>，每天上午</w:t>
      </w:r>
      <w:r>
        <w:rPr>
          <w:rFonts w:hint="eastAsia" w:ascii="仿宋" w:hAnsi="仿宋" w:eastAsia="仿宋" w:cs="仿宋"/>
          <w:kern w:val="0"/>
          <w:sz w:val="28"/>
          <w:szCs w:val="28"/>
          <w:highlight w:val="none"/>
          <w:lang w:val="en-US" w:eastAsia="zh-CN" w:bidi="ar-SA"/>
        </w:rPr>
        <w:t>0:00-23:59</w:t>
      </w:r>
      <w:r>
        <w:rPr>
          <w:rFonts w:hint="default" w:ascii="仿宋" w:hAnsi="仿宋" w:eastAsia="仿宋" w:cs="仿宋"/>
          <w:kern w:val="0"/>
          <w:sz w:val="28"/>
          <w:szCs w:val="28"/>
          <w:highlight w:val="none"/>
          <w:lang w:val="en-US" w:eastAsia="zh-CN" w:bidi="ar-SA"/>
        </w:rPr>
        <w:t>（北京时间）</w:t>
      </w:r>
    </w:p>
    <w:p w14:paraId="68E9D7C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地点：政采云平台线上获取 </w:t>
      </w:r>
    </w:p>
    <w:p w14:paraId="1D0C12A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方式：供应商登录政采云平台https://www.zcygov.cn/在线申请获取采购文件（进入“项目采购”应用，在获取采购文件菜单中选择项目，申请获取采购文件）  </w:t>
      </w:r>
    </w:p>
    <w:p w14:paraId="2FA6529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招标文件费：0元</w:t>
      </w:r>
    </w:p>
    <w:p w14:paraId="4109F17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eastAsia"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四、响应文件提交</w:t>
      </w:r>
    </w:p>
    <w:p w14:paraId="038FBA3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截止时间：2025年07月 30日 11 点00分（北京时间）</w:t>
      </w:r>
    </w:p>
    <w:p w14:paraId="45D6F583">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地点：政采云开标大厅（https://www.zcygov.cn在线投标） </w:t>
      </w:r>
    </w:p>
    <w:p w14:paraId="63A426DB">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五</w:t>
      </w:r>
      <w:r>
        <w:rPr>
          <w:rStyle w:val="19"/>
          <w:rFonts w:hint="default" w:ascii="仿宋" w:hAnsi="仿宋" w:eastAsia="仿宋" w:cs="仿宋"/>
          <w:i w:val="0"/>
          <w:caps w:val="0"/>
          <w:color w:val="000000"/>
          <w:spacing w:val="0"/>
          <w:sz w:val="28"/>
          <w:szCs w:val="28"/>
          <w:highlight w:val="none"/>
          <w:lang w:val="en-US" w:eastAsia="zh-CN"/>
        </w:rPr>
        <w:t>、开标时间和地点</w:t>
      </w:r>
    </w:p>
    <w:p w14:paraId="7DF9F3C4">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开标时间：</w:t>
      </w:r>
      <w:r>
        <w:rPr>
          <w:rFonts w:hint="eastAsia" w:ascii="仿宋" w:hAnsi="仿宋" w:eastAsia="仿宋" w:cs="仿宋"/>
          <w:kern w:val="0"/>
          <w:sz w:val="28"/>
          <w:szCs w:val="28"/>
          <w:highlight w:val="none"/>
          <w:lang w:val="en-US" w:eastAsia="zh-CN" w:bidi="ar-SA"/>
        </w:rPr>
        <w:t>2025年07月 30日 11 点00分（北京时间）</w:t>
      </w:r>
    </w:p>
    <w:p w14:paraId="3C9C4759">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开标地点：政采云开标大厅（https://www.zcygov.cn）</w:t>
      </w:r>
    </w:p>
    <w:p w14:paraId="7A20D9DE">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六</w:t>
      </w:r>
      <w:r>
        <w:rPr>
          <w:rStyle w:val="19"/>
          <w:rFonts w:hint="default" w:ascii="仿宋" w:hAnsi="仿宋" w:eastAsia="仿宋" w:cs="仿宋"/>
          <w:i w:val="0"/>
          <w:caps w:val="0"/>
          <w:color w:val="000000"/>
          <w:spacing w:val="0"/>
          <w:sz w:val="28"/>
          <w:szCs w:val="28"/>
          <w:highlight w:val="none"/>
          <w:lang w:val="en-US" w:eastAsia="zh-CN"/>
        </w:rPr>
        <w:t>、公告期限</w:t>
      </w:r>
    </w:p>
    <w:p w14:paraId="61A0C83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自本公告发布之日起</w:t>
      </w:r>
      <w:r>
        <w:rPr>
          <w:rFonts w:hint="eastAsia" w:ascii="仿宋" w:hAnsi="仿宋" w:eastAsia="仿宋" w:cs="仿宋"/>
          <w:kern w:val="0"/>
          <w:sz w:val="28"/>
          <w:szCs w:val="28"/>
          <w:highlight w:val="none"/>
          <w:lang w:val="en-US" w:eastAsia="zh-CN" w:bidi="ar-SA"/>
        </w:rPr>
        <w:t>5</w:t>
      </w:r>
      <w:r>
        <w:rPr>
          <w:rFonts w:hint="default" w:ascii="仿宋" w:hAnsi="仿宋" w:eastAsia="仿宋" w:cs="仿宋"/>
          <w:kern w:val="0"/>
          <w:sz w:val="28"/>
          <w:szCs w:val="28"/>
          <w:highlight w:val="none"/>
          <w:lang w:val="en-US" w:eastAsia="zh-CN" w:bidi="ar-SA"/>
        </w:rPr>
        <w:t>个工作日。</w:t>
      </w:r>
    </w:p>
    <w:p w14:paraId="026A156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eastAsia"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七、</w:t>
      </w:r>
      <w:r>
        <w:rPr>
          <w:rStyle w:val="19"/>
          <w:rFonts w:hint="default" w:ascii="仿宋" w:hAnsi="仿宋" w:eastAsia="仿宋" w:cs="仿宋"/>
          <w:i w:val="0"/>
          <w:caps w:val="0"/>
          <w:color w:val="000000"/>
          <w:spacing w:val="0"/>
          <w:sz w:val="28"/>
          <w:szCs w:val="28"/>
          <w:highlight w:val="none"/>
          <w:lang w:val="en-US" w:eastAsia="zh-CN"/>
        </w:rPr>
        <w:t>其他补充事宜</w:t>
      </w:r>
      <w:r>
        <w:rPr>
          <w:rStyle w:val="19"/>
          <w:rFonts w:hint="eastAsia" w:ascii="仿宋" w:hAnsi="仿宋" w:eastAsia="仿宋" w:cs="仿宋"/>
          <w:i w:val="0"/>
          <w:caps w:val="0"/>
          <w:color w:val="000000"/>
          <w:spacing w:val="0"/>
          <w:sz w:val="28"/>
          <w:szCs w:val="28"/>
          <w:highlight w:val="none"/>
          <w:lang w:val="en-US" w:eastAsia="zh-CN"/>
        </w:rPr>
        <w:t>：</w:t>
      </w:r>
    </w:p>
    <w:p w14:paraId="002C155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w:t>
      </w:r>
      <w:r>
        <w:rPr>
          <w:rFonts w:hint="default" w:ascii="仿宋" w:hAnsi="仿宋" w:eastAsia="仿宋" w:cs="仿宋"/>
          <w:kern w:val="0"/>
          <w:sz w:val="28"/>
          <w:szCs w:val="28"/>
          <w:highlight w:val="none"/>
          <w:lang w:val="en-US" w:eastAsia="zh-CN" w:bidi="ar-SA"/>
        </w:rPr>
        <w:t>本次采购采用电子交易方式，电子交易平台为“政府采购云平台（www.zcygov.cn）”。供应商参与本项目电子交易活动前，应注册成为政府采购云平台供应商。编制电子投标文件前还需申领CA证书并绑定帐号，CA申领地址查看网址https://www.xjca.com.cn/article/content/201802/582/1.html，CA服务电话：0991-281-9290。</w:t>
      </w:r>
    </w:p>
    <w:p w14:paraId="514B7772">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2、供应商编制电子投标文件应安装“电子招投标供应商客户端”软件，并按照本招标文件和电子招投标供应商客户端的要求编制并加密投标文件。未按规定加密的投标文件，将被电子招投标供应商客户端拒收。“电子招投标供应商客户端”请供应商自行前往“新疆政府采购网—下载专区—新疆维吾尔自治区全流程电子招投标项目管理系统--电子招投标供应商客户端”版块获取。</w:t>
      </w:r>
    </w:p>
    <w:p w14:paraId="56441EF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3、投标人应当在投标截止时间前，将“电子招投标供应商客户端”生成的“电子加密投标文件”上传电子交易平台。</w:t>
      </w:r>
    </w:p>
    <w:p w14:paraId="465716D8">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ascii="黑体" w:hAnsi="宋体" w:eastAsia="黑体" w:cs="黑体"/>
          <w:i w:val="0"/>
          <w:caps w:val="0"/>
          <w:color w:val="000000"/>
          <w:spacing w:val="0"/>
          <w:sz w:val="27"/>
          <w:szCs w:val="27"/>
          <w:highlight w:val="none"/>
        </w:rPr>
      </w:pPr>
      <w:r>
        <w:rPr>
          <w:rFonts w:hint="eastAsia" w:ascii="仿宋" w:hAnsi="仿宋" w:eastAsia="仿宋" w:cs="仿宋"/>
          <w:kern w:val="0"/>
          <w:sz w:val="28"/>
          <w:szCs w:val="28"/>
          <w:highlight w:val="none"/>
          <w:lang w:val="en-US" w:eastAsia="zh-CN" w:bidi="ar-SA"/>
        </w:rPr>
        <w:t>4、服务与支持。各政府采购代理机构（含集采机构）及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政采云热线人工号码：400-881-7190（工作时间：工作日08:00~20：00）。  </w:t>
      </w:r>
    </w:p>
    <w:p w14:paraId="1D3CD9B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eastAsia"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八、对本次采购提出询问，请按以下方式联系</w:t>
      </w:r>
    </w:p>
    <w:p w14:paraId="70594509">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1.采购人信息</w:t>
      </w:r>
    </w:p>
    <w:p w14:paraId="5F86C19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招标人：呼图壁县住房和城乡建设局</w:t>
      </w:r>
    </w:p>
    <w:p w14:paraId="3FA204F2">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联系方式：</w:t>
      </w:r>
      <w:bookmarkStart w:id="9" w:name="_Toc28359009"/>
      <w:bookmarkStart w:id="10" w:name="_Toc28359086"/>
      <w:r>
        <w:rPr>
          <w:rFonts w:hint="eastAsia" w:ascii="仿宋" w:hAnsi="仿宋" w:eastAsia="仿宋" w:cs="仿宋"/>
          <w:kern w:val="0"/>
          <w:sz w:val="28"/>
          <w:szCs w:val="28"/>
          <w:highlight w:val="none"/>
          <w:lang w:val="en-US" w:eastAsia="zh-CN" w:bidi="ar-SA"/>
        </w:rPr>
        <w:t xml:space="preserve">15899121635 </w:t>
      </w:r>
    </w:p>
    <w:p w14:paraId="61E23338">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2.采购代理机构信息</w:t>
      </w:r>
      <w:bookmarkEnd w:id="9"/>
      <w:bookmarkEnd w:id="10"/>
    </w:p>
    <w:p w14:paraId="52DDBE16">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招标代理机构名称：呼图壁县锦华建业工程项目管理有限公司  </w:t>
      </w:r>
    </w:p>
    <w:p w14:paraId="722D9A0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联系人：李东</w:t>
      </w:r>
    </w:p>
    <w:p w14:paraId="172466D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联系电话：17699229943</w:t>
      </w:r>
    </w:p>
    <w:p w14:paraId="165E3633">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地址：呼图壁县如意家园南区物业办公楼二楼　　</w:t>
      </w:r>
    </w:p>
    <w:p w14:paraId="1E7ABC4A">
      <w:pPr>
        <w:pStyle w:val="12"/>
        <w:ind w:left="0" w:leftChars="0" w:firstLine="0" w:firstLineChars="0"/>
        <w:rPr>
          <w:rFonts w:hint="eastAsia"/>
          <w:highlight w:val="none"/>
          <w:lang w:eastAsia="zh-CN"/>
        </w:rPr>
      </w:pPr>
    </w:p>
    <w:p w14:paraId="75BFAC83">
      <w:pPr>
        <w:pStyle w:val="12"/>
        <w:ind w:left="0" w:leftChars="0" w:firstLine="0" w:firstLineChars="0"/>
        <w:rPr>
          <w:rFonts w:hint="eastAsia"/>
          <w:highlight w:val="none"/>
          <w:lang w:eastAsia="zh-CN"/>
        </w:rPr>
      </w:pPr>
    </w:p>
    <w:p w14:paraId="44CA6AAE">
      <w:pPr>
        <w:pStyle w:val="12"/>
        <w:ind w:left="0" w:leftChars="0" w:firstLine="0" w:firstLineChars="0"/>
        <w:rPr>
          <w:rFonts w:hint="eastAsia"/>
          <w:highlight w:val="none"/>
          <w:lang w:eastAsia="zh-CN"/>
        </w:rPr>
      </w:pPr>
    </w:p>
    <w:p w14:paraId="272665EC">
      <w:pPr>
        <w:pStyle w:val="12"/>
        <w:ind w:left="0" w:leftChars="0" w:firstLine="0" w:firstLineChars="0"/>
        <w:rPr>
          <w:rFonts w:hint="eastAsia"/>
          <w:highlight w:val="none"/>
          <w:lang w:eastAsia="zh-CN"/>
        </w:rPr>
      </w:pPr>
    </w:p>
    <w:p w14:paraId="78F800C0">
      <w:pPr>
        <w:pStyle w:val="12"/>
        <w:ind w:left="0" w:leftChars="0" w:firstLine="0" w:firstLineChars="0"/>
        <w:rPr>
          <w:rFonts w:hint="eastAsia"/>
          <w:highlight w:val="none"/>
          <w:lang w:eastAsia="zh-CN"/>
        </w:rPr>
      </w:pPr>
    </w:p>
    <w:p w14:paraId="49316704">
      <w:pPr>
        <w:pStyle w:val="12"/>
        <w:ind w:left="0" w:leftChars="0" w:firstLine="0" w:firstLineChars="0"/>
        <w:rPr>
          <w:rFonts w:hint="eastAsia"/>
          <w:highlight w:val="none"/>
          <w:lang w:eastAsia="zh-CN"/>
        </w:rPr>
      </w:pPr>
    </w:p>
    <w:p w14:paraId="799AE96D">
      <w:pPr>
        <w:pStyle w:val="12"/>
        <w:ind w:left="0" w:leftChars="0" w:firstLine="0" w:firstLineChars="0"/>
        <w:rPr>
          <w:rFonts w:hint="eastAsia"/>
          <w:highlight w:val="none"/>
          <w:lang w:eastAsia="zh-CN"/>
        </w:rPr>
      </w:pPr>
    </w:p>
    <w:p w14:paraId="0A39B2C2">
      <w:pPr>
        <w:pStyle w:val="12"/>
        <w:ind w:left="0" w:leftChars="0" w:firstLine="0" w:firstLineChars="0"/>
        <w:rPr>
          <w:rFonts w:hint="eastAsia"/>
          <w:highlight w:val="none"/>
          <w:lang w:eastAsia="zh-CN"/>
        </w:rPr>
      </w:pPr>
    </w:p>
    <w:p w14:paraId="46D25420">
      <w:pPr>
        <w:pStyle w:val="12"/>
        <w:ind w:left="0" w:leftChars="0" w:firstLine="0" w:firstLineChars="0"/>
        <w:rPr>
          <w:rFonts w:hint="eastAsia"/>
          <w:highlight w:val="none"/>
          <w:lang w:eastAsia="zh-CN"/>
        </w:rPr>
      </w:pPr>
    </w:p>
    <w:p w14:paraId="6CED0985">
      <w:pPr>
        <w:pStyle w:val="12"/>
        <w:ind w:left="0" w:leftChars="0" w:firstLine="0" w:firstLineChars="0"/>
        <w:rPr>
          <w:rFonts w:hint="eastAsia"/>
          <w:highlight w:val="none"/>
          <w:lang w:eastAsia="zh-CN"/>
        </w:rPr>
      </w:pPr>
    </w:p>
    <w:p w14:paraId="026F2F48">
      <w:pPr>
        <w:pStyle w:val="12"/>
        <w:ind w:left="0" w:leftChars="0" w:firstLine="0" w:firstLineChars="0"/>
        <w:rPr>
          <w:rFonts w:hint="eastAsia"/>
          <w:highlight w:val="none"/>
          <w:lang w:eastAsia="zh-CN"/>
        </w:rPr>
      </w:pPr>
    </w:p>
    <w:p w14:paraId="4546F50E">
      <w:pPr>
        <w:pStyle w:val="12"/>
        <w:ind w:left="0" w:leftChars="0" w:firstLine="0" w:firstLineChars="0"/>
        <w:rPr>
          <w:rFonts w:hint="eastAsia"/>
          <w:highlight w:val="none"/>
          <w:lang w:eastAsia="zh-CN"/>
        </w:rPr>
      </w:pPr>
    </w:p>
    <w:p w14:paraId="5209AC62">
      <w:pPr>
        <w:pStyle w:val="12"/>
        <w:ind w:left="0" w:leftChars="0" w:firstLine="0" w:firstLineChars="0"/>
        <w:rPr>
          <w:rFonts w:hint="eastAsia"/>
          <w:highlight w:val="none"/>
          <w:lang w:eastAsia="zh-CN"/>
        </w:rPr>
      </w:pPr>
    </w:p>
    <w:p w14:paraId="2C7907CA">
      <w:pPr>
        <w:pStyle w:val="12"/>
        <w:ind w:left="0" w:leftChars="0" w:firstLine="0" w:firstLineChars="0"/>
        <w:rPr>
          <w:rFonts w:hint="eastAsia"/>
          <w:highlight w:val="none"/>
          <w:lang w:eastAsia="zh-CN"/>
        </w:rPr>
      </w:pPr>
    </w:p>
    <w:p w14:paraId="07C1FAC5">
      <w:pPr>
        <w:pStyle w:val="12"/>
        <w:ind w:left="0" w:leftChars="0" w:firstLine="0" w:firstLineChars="0"/>
        <w:rPr>
          <w:rFonts w:hint="eastAsia"/>
          <w:highlight w:val="none"/>
          <w:lang w:eastAsia="zh-CN"/>
        </w:rPr>
      </w:pPr>
    </w:p>
    <w:p w14:paraId="3D61499E">
      <w:pPr>
        <w:pStyle w:val="12"/>
        <w:ind w:left="0" w:leftChars="0" w:firstLine="0" w:firstLineChars="0"/>
        <w:rPr>
          <w:rFonts w:hint="eastAsia"/>
          <w:highlight w:val="none"/>
          <w:lang w:eastAsia="zh-CN"/>
        </w:rPr>
      </w:pPr>
    </w:p>
    <w:p w14:paraId="5525C39F">
      <w:pPr>
        <w:pStyle w:val="12"/>
        <w:ind w:left="0" w:leftChars="0" w:firstLine="0" w:firstLineChars="0"/>
        <w:rPr>
          <w:rFonts w:hint="eastAsia"/>
          <w:highlight w:val="none"/>
          <w:lang w:eastAsia="zh-CN"/>
        </w:rPr>
      </w:pPr>
    </w:p>
    <w:p w14:paraId="5B10CCC5">
      <w:pPr>
        <w:pStyle w:val="12"/>
        <w:ind w:left="0" w:leftChars="0" w:firstLine="0" w:firstLineChars="0"/>
        <w:rPr>
          <w:rFonts w:hint="eastAsia"/>
          <w:highlight w:val="none"/>
          <w:lang w:eastAsia="zh-CN"/>
        </w:rPr>
      </w:pPr>
    </w:p>
    <w:p w14:paraId="409FCB81">
      <w:pPr>
        <w:pStyle w:val="12"/>
        <w:ind w:left="0" w:leftChars="0" w:firstLine="0" w:firstLineChars="0"/>
        <w:rPr>
          <w:rFonts w:hint="eastAsia"/>
          <w:highlight w:val="none"/>
          <w:lang w:eastAsia="zh-CN"/>
        </w:rPr>
      </w:pPr>
    </w:p>
    <w:p w14:paraId="4D2A1559">
      <w:pPr>
        <w:pStyle w:val="12"/>
        <w:ind w:left="0" w:leftChars="0" w:firstLine="0" w:firstLineChars="0"/>
        <w:rPr>
          <w:rFonts w:hint="eastAsia"/>
          <w:highlight w:val="none"/>
          <w:lang w:eastAsia="zh-CN"/>
        </w:rPr>
      </w:pPr>
    </w:p>
    <w:p w14:paraId="11A76832">
      <w:pPr>
        <w:pStyle w:val="12"/>
        <w:ind w:left="0" w:leftChars="0" w:firstLine="0" w:firstLineChars="0"/>
        <w:rPr>
          <w:rFonts w:hint="eastAsia"/>
          <w:highlight w:val="none"/>
          <w:lang w:eastAsia="zh-CN"/>
        </w:rPr>
      </w:pPr>
    </w:p>
    <w:p w14:paraId="5B742417">
      <w:pPr>
        <w:pStyle w:val="12"/>
        <w:ind w:left="0" w:leftChars="0" w:firstLine="0" w:firstLineChars="0"/>
        <w:rPr>
          <w:rFonts w:hint="eastAsia"/>
          <w:highlight w:val="none"/>
          <w:lang w:eastAsia="zh-CN"/>
        </w:rPr>
      </w:pPr>
    </w:p>
    <w:p w14:paraId="0E5AF366">
      <w:pPr>
        <w:pStyle w:val="12"/>
        <w:ind w:left="0" w:leftChars="0" w:firstLine="0" w:firstLineChars="0"/>
        <w:rPr>
          <w:rFonts w:hint="eastAsia"/>
          <w:highlight w:val="none"/>
          <w:lang w:eastAsia="zh-CN"/>
        </w:rPr>
      </w:pPr>
    </w:p>
    <w:p w14:paraId="417F3EDE">
      <w:pPr>
        <w:pStyle w:val="12"/>
        <w:ind w:left="0" w:leftChars="0" w:firstLine="0" w:firstLineChars="0"/>
        <w:rPr>
          <w:rFonts w:hint="eastAsia"/>
          <w:highlight w:val="none"/>
          <w:lang w:eastAsia="zh-CN"/>
        </w:rPr>
      </w:pPr>
    </w:p>
    <w:p w14:paraId="00B6D2A6">
      <w:pPr>
        <w:pStyle w:val="12"/>
        <w:ind w:left="0" w:leftChars="0" w:firstLine="0" w:firstLineChars="0"/>
        <w:rPr>
          <w:rFonts w:hint="eastAsia"/>
          <w:highlight w:val="none"/>
          <w:lang w:eastAsia="zh-CN"/>
        </w:rPr>
      </w:pPr>
    </w:p>
    <w:p w14:paraId="37FCF526">
      <w:pPr>
        <w:pStyle w:val="12"/>
        <w:ind w:left="0" w:leftChars="0" w:firstLine="0" w:firstLineChars="0"/>
        <w:rPr>
          <w:rFonts w:hint="eastAsia"/>
          <w:highlight w:val="none"/>
          <w:lang w:eastAsia="zh-CN"/>
        </w:rPr>
      </w:pPr>
    </w:p>
    <w:p w14:paraId="54AFA718">
      <w:pPr>
        <w:pStyle w:val="12"/>
        <w:ind w:left="0" w:leftChars="0" w:firstLine="0" w:firstLineChars="0"/>
        <w:rPr>
          <w:rFonts w:hint="eastAsia"/>
          <w:highlight w:val="none"/>
          <w:lang w:eastAsia="zh-CN"/>
        </w:rPr>
      </w:pPr>
    </w:p>
    <w:p w14:paraId="200C2687">
      <w:pPr>
        <w:pStyle w:val="12"/>
        <w:ind w:left="0" w:leftChars="0" w:firstLine="0" w:firstLineChars="0"/>
        <w:rPr>
          <w:rFonts w:hint="eastAsia"/>
          <w:highlight w:val="none"/>
          <w:lang w:eastAsia="zh-CN"/>
        </w:rPr>
      </w:pPr>
    </w:p>
    <w:p w14:paraId="099270AC">
      <w:pPr>
        <w:pStyle w:val="12"/>
        <w:ind w:left="0" w:leftChars="0" w:firstLine="0" w:firstLineChars="0"/>
        <w:rPr>
          <w:rFonts w:hint="eastAsia"/>
          <w:highlight w:val="none"/>
          <w:lang w:eastAsia="zh-CN"/>
        </w:rPr>
      </w:pPr>
    </w:p>
    <w:p w14:paraId="7830470A">
      <w:pPr>
        <w:pStyle w:val="12"/>
        <w:ind w:left="0" w:leftChars="0" w:firstLine="0" w:firstLineChars="0"/>
        <w:rPr>
          <w:rFonts w:hint="eastAsia"/>
          <w:highlight w:val="none"/>
          <w:lang w:eastAsia="zh-CN"/>
        </w:rPr>
      </w:pPr>
    </w:p>
    <w:p w14:paraId="5B588949">
      <w:pPr>
        <w:pStyle w:val="12"/>
        <w:ind w:left="0" w:leftChars="0" w:firstLine="0" w:firstLineChars="0"/>
        <w:rPr>
          <w:rFonts w:hint="eastAsia"/>
          <w:highlight w:val="none"/>
          <w:lang w:eastAsia="zh-CN"/>
        </w:rPr>
      </w:pPr>
    </w:p>
    <w:p w14:paraId="6A4F0C1C">
      <w:pPr>
        <w:pStyle w:val="12"/>
        <w:ind w:left="0" w:leftChars="0" w:firstLine="0" w:firstLineChars="0"/>
        <w:rPr>
          <w:rFonts w:hint="eastAsia"/>
          <w:highlight w:val="none"/>
          <w:lang w:eastAsia="zh-CN"/>
        </w:rPr>
      </w:pPr>
    </w:p>
    <w:p w14:paraId="03373249">
      <w:pPr>
        <w:pStyle w:val="12"/>
        <w:ind w:left="0" w:leftChars="0" w:firstLine="0" w:firstLineChars="0"/>
        <w:rPr>
          <w:rFonts w:hint="eastAsia"/>
          <w:highlight w:val="none"/>
          <w:lang w:eastAsia="zh-CN"/>
        </w:rPr>
      </w:pPr>
    </w:p>
    <w:p w14:paraId="5FAFD041">
      <w:pPr>
        <w:pStyle w:val="12"/>
        <w:ind w:left="0" w:leftChars="0" w:firstLine="0" w:firstLineChars="0"/>
        <w:rPr>
          <w:rFonts w:hint="eastAsia"/>
          <w:highlight w:val="none"/>
          <w:lang w:eastAsia="zh-CN"/>
        </w:rPr>
      </w:pPr>
    </w:p>
    <w:p w14:paraId="701DD658">
      <w:pPr>
        <w:pStyle w:val="12"/>
        <w:ind w:left="0" w:leftChars="0" w:firstLine="0" w:firstLineChars="0"/>
        <w:rPr>
          <w:rFonts w:hint="eastAsia"/>
          <w:highlight w:val="none"/>
          <w:lang w:eastAsia="zh-CN"/>
        </w:rPr>
      </w:pPr>
    </w:p>
    <w:p w14:paraId="6329E878">
      <w:pPr>
        <w:pStyle w:val="12"/>
        <w:ind w:left="0" w:leftChars="0" w:firstLine="0" w:firstLineChars="0"/>
        <w:rPr>
          <w:rFonts w:hint="eastAsia"/>
          <w:highlight w:val="none"/>
          <w:lang w:eastAsia="zh-CN"/>
        </w:rPr>
      </w:pPr>
    </w:p>
    <w:p w14:paraId="42796AF6">
      <w:pPr>
        <w:pStyle w:val="12"/>
        <w:ind w:left="0" w:leftChars="0" w:firstLine="0" w:firstLineChars="0"/>
        <w:rPr>
          <w:rFonts w:hint="eastAsia"/>
          <w:highlight w:val="none"/>
          <w:lang w:eastAsia="zh-CN"/>
        </w:rPr>
      </w:pPr>
    </w:p>
    <w:p w14:paraId="66F0D24D">
      <w:pPr>
        <w:pStyle w:val="12"/>
        <w:ind w:left="0" w:leftChars="0" w:firstLine="0" w:firstLineChars="0"/>
        <w:rPr>
          <w:rFonts w:hint="eastAsia"/>
          <w:highlight w:val="none"/>
          <w:lang w:eastAsia="zh-CN"/>
        </w:rPr>
      </w:pPr>
    </w:p>
    <w:p w14:paraId="02A77BA2">
      <w:pPr>
        <w:pStyle w:val="12"/>
        <w:ind w:left="0" w:leftChars="0" w:firstLine="0" w:firstLineChars="0"/>
        <w:rPr>
          <w:rFonts w:hint="eastAsia"/>
          <w:highlight w:val="none"/>
          <w:lang w:eastAsia="zh-CN"/>
        </w:rPr>
      </w:pPr>
    </w:p>
    <w:p w14:paraId="2FEC091C">
      <w:pPr>
        <w:pStyle w:val="12"/>
        <w:ind w:left="0" w:leftChars="0" w:firstLine="0" w:firstLineChars="0"/>
        <w:rPr>
          <w:rFonts w:hint="eastAsia"/>
          <w:highlight w:val="none"/>
          <w:lang w:eastAsia="zh-CN"/>
        </w:rPr>
      </w:pPr>
    </w:p>
    <w:p w14:paraId="6C43BD16">
      <w:pPr>
        <w:pStyle w:val="12"/>
        <w:ind w:left="0" w:leftChars="0" w:firstLine="0" w:firstLineChars="0"/>
        <w:rPr>
          <w:rFonts w:hint="eastAsia"/>
          <w:highlight w:val="none"/>
          <w:lang w:eastAsia="zh-CN"/>
        </w:rPr>
      </w:pPr>
    </w:p>
    <w:p w14:paraId="2FFE79C5">
      <w:pPr>
        <w:pStyle w:val="12"/>
        <w:ind w:left="0" w:leftChars="0" w:firstLine="0" w:firstLineChars="0"/>
        <w:rPr>
          <w:rFonts w:hint="eastAsia"/>
          <w:highlight w:val="none"/>
          <w:lang w:eastAsia="zh-CN"/>
        </w:rPr>
      </w:pPr>
    </w:p>
    <w:p w14:paraId="500832B0">
      <w:pPr>
        <w:pStyle w:val="12"/>
        <w:ind w:left="0" w:leftChars="0" w:firstLine="0" w:firstLineChars="0"/>
        <w:rPr>
          <w:rFonts w:hint="eastAsia"/>
          <w:highlight w:val="none"/>
          <w:lang w:eastAsia="zh-CN"/>
        </w:rPr>
      </w:pPr>
    </w:p>
    <w:p w14:paraId="3055C956">
      <w:pPr>
        <w:pStyle w:val="12"/>
        <w:ind w:left="0" w:leftChars="0" w:firstLine="0" w:firstLineChars="0"/>
        <w:rPr>
          <w:rFonts w:hint="eastAsia"/>
          <w:highlight w:val="none"/>
          <w:lang w:eastAsia="zh-CN"/>
        </w:rPr>
      </w:pPr>
    </w:p>
    <w:p w14:paraId="768520EB">
      <w:pPr>
        <w:pStyle w:val="12"/>
        <w:ind w:left="0" w:leftChars="0" w:firstLine="0" w:firstLineChars="0"/>
        <w:rPr>
          <w:rFonts w:hint="eastAsia"/>
          <w:highlight w:val="none"/>
          <w:lang w:eastAsia="zh-CN"/>
        </w:rPr>
      </w:pPr>
    </w:p>
    <w:p w14:paraId="1BD18228">
      <w:pPr>
        <w:pStyle w:val="12"/>
        <w:ind w:left="0" w:leftChars="0" w:firstLine="0" w:firstLineChars="0"/>
        <w:rPr>
          <w:rFonts w:hint="eastAsia"/>
          <w:highlight w:val="none"/>
          <w:lang w:eastAsia="zh-CN"/>
        </w:rPr>
      </w:pPr>
    </w:p>
    <w:p w14:paraId="46DC12ED">
      <w:pPr>
        <w:pStyle w:val="12"/>
        <w:ind w:left="0" w:leftChars="0" w:firstLine="0" w:firstLineChars="0"/>
        <w:rPr>
          <w:rFonts w:hint="eastAsia"/>
          <w:highlight w:val="none"/>
          <w:lang w:eastAsia="zh-CN"/>
        </w:rPr>
      </w:pPr>
    </w:p>
    <w:p w14:paraId="57C1EBE3">
      <w:pPr>
        <w:pStyle w:val="2"/>
        <w:numPr>
          <w:ilvl w:val="0"/>
          <w:numId w:val="0"/>
        </w:numPr>
        <w:ind w:leftChars="0"/>
        <w:jc w:val="center"/>
        <w:rPr>
          <w:rFonts w:hint="eastAsia" w:cs="宋体"/>
          <w:highlight w:val="none"/>
        </w:rPr>
      </w:pPr>
      <w:r>
        <w:rPr>
          <w:rFonts w:hint="eastAsia" w:cs="宋体"/>
          <w:highlight w:val="none"/>
          <w:lang w:eastAsia="zh-CN"/>
        </w:rPr>
        <w:t>第二章</w:t>
      </w:r>
      <w:r>
        <w:rPr>
          <w:rFonts w:hint="eastAsia" w:cs="宋体"/>
          <w:highlight w:val="none"/>
          <w:lang w:val="en-US" w:eastAsia="zh-CN"/>
        </w:rPr>
        <w:t xml:space="preserve">  </w:t>
      </w:r>
      <w:r>
        <w:rPr>
          <w:rFonts w:hint="eastAsia" w:cs="宋体"/>
          <w:highlight w:val="none"/>
        </w:rPr>
        <w:t>投标人须知</w:t>
      </w:r>
      <w:bookmarkEnd w:id="0"/>
      <w:bookmarkEnd w:id="1"/>
      <w:bookmarkEnd w:id="2"/>
      <w:bookmarkEnd w:id="3"/>
      <w:bookmarkEnd w:id="4"/>
      <w:bookmarkEnd w:id="5"/>
      <w:bookmarkEnd w:id="6"/>
      <w:bookmarkEnd w:id="7"/>
      <w:bookmarkEnd w:id="8"/>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512"/>
        <w:gridCol w:w="7599"/>
      </w:tblGrid>
      <w:tr w14:paraId="09D2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36789BB4">
            <w:pPr>
              <w:spacing w:line="240" w:lineRule="auto"/>
              <w:ind w:firstLine="0" w:firstLineChars="0"/>
              <w:jc w:val="center"/>
              <w:rPr>
                <w:rFonts w:hint="eastAsia" w:cs="宋体"/>
                <w:b/>
                <w:bCs/>
                <w:sz w:val="24"/>
                <w:szCs w:val="24"/>
                <w:highlight w:val="none"/>
              </w:rPr>
            </w:pPr>
            <w:r>
              <w:rPr>
                <w:rFonts w:hint="eastAsia" w:cs="宋体"/>
                <w:b/>
                <w:bCs/>
                <w:sz w:val="24"/>
                <w:szCs w:val="24"/>
                <w:highlight w:val="none"/>
              </w:rPr>
              <w:t>序号</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171EB7CA">
            <w:pPr>
              <w:spacing w:line="240" w:lineRule="auto"/>
              <w:ind w:firstLine="0" w:firstLineChars="0"/>
              <w:jc w:val="center"/>
              <w:rPr>
                <w:rFonts w:hint="eastAsia" w:cs="宋体"/>
                <w:b/>
                <w:bCs/>
                <w:sz w:val="24"/>
                <w:szCs w:val="24"/>
                <w:highlight w:val="none"/>
              </w:rPr>
            </w:pPr>
            <w:r>
              <w:rPr>
                <w:rFonts w:hint="eastAsia" w:cs="宋体"/>
                <w:b/>
                <w:bCs/>
                <w:sz w:val="24"/>
                <w:szCs w:val="24"/>
                <w:highlight w:val="none"/>
              </w:rPr>
              <w:t>项目</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70052022">
            <w:pPr>
              <w:spacing w:line="240" w:lineRule="auto"/>
              <w:ind w:firstLine="0" w:firstLineChars="0"/>
              <w:jc w:val="center"/>
              <w:rPr>
                <w:rFonts w:hint="eastAsia" w:cs="宋体"/>
                <w:b/>
                <w:bCs/>
                <w:sz w:val="24"/>
                <w:szCs w:val="24"/>
                <w:highlight w:val="none"/>
              </w:rPr>
            </w:pPr>
            <w:r>
              <w:rPr>
                <w:rFonts w:hint="eastAsia" w:cs="宋体"/>
                <w:b/>
                <w:bCs/>
                <w:sz w:val="24"/>
                <w:szCs w:val="24"/>
                <w:highlight w:val="none"/>
              </w:rPr>
              <w:t>内容</w:t>
            </w:r>
          </w:p>
        </w:tc>
      </w:tr>
      <w:tr w14:paraId="3A22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11AA208F">
            <w:pPr>
              <w:spacing w:line="240" w:lineRule="auto"/>
              <w:ind w:firstLine="0" w:firstLineChars="0"/>
              <w:jc w:val="center"/>
              <w:rPr>
                <w:rFonts w:hint="eastAsia" w:cs="宋体"/>
                <w:sz w:val="24"/>
                <w:szCs w:val="24"/>
                <w:highlight w:val="none"/>
              </w:rPr>
            </w:pPr>
            <w:r>
              <w:rPr>
                <w:rFonts w:hint="eastAsia" w:cs="宋体"/>
                <w:sz w:val="24"/>
                <w:szCs w:val="24"/>
                <w:highlight w:val="none"/>
              </w:rPr>
              <w:fldChar w:fldCharType="begin"/>
            </w:r>
            <w:r>
              <w:rPr>
                <w:rFonts w:hint="eastAsia" w:cs="宋体"/>
                <w:sz w:val="24"/>
                <w:szCs w:val="24"/>
                <w:highlight w:val="none"/>
              </w:rPr>
              <w:instrText xml:space="preserve"> SEQ 前附表 \* MERGEFORMAT </w:instrText>
            </w:r>
            <w:r>
              <w:rPr>
                <w:rFonts w:hint="eastAsia" w:cs="宋体"/>
                <w:sz w:val="24"/>
                <w:szCs w:val="24"/>
                <w:highlight w:val="none"/>
              </w:rPr>
              <w:fldChar w:fldCharType="separate"/>
            </w:r>
            <w:r>
              <w:rPr>
                <w:rFonts w:hint="eastAsia" w:cs="宋体"/>
                <w:sz w:val="24"/>
                <w:szCs w:val="24"/>
                <w:highlight w:val="none"/>
              </w:rPr>
              <w:t>1</w:t>
            </w:r>
            <w:r>
              <w:rPr>
                <w:rFonts w:hint="eastAsia" w:cs="宋体"/>
                <w:sz w:val="24"/>
                <w:szCs w:val="24"/>
                <w:highlight w:val="none"/>
              </w:rPr>
              <w:fldChar w:fldCharType="end"/>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4B604993">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项目名称</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46B9127">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呼图壁县重点危险区域城镇住宅抗震鉴定项目（服务类）</w:t>
            </w:r>
          </w:p>
        </w:tc>
      </w:tr>
      <w:tr w14:paraId="798B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0EA5BD1F">
            <w:pPr>
              <w:spacing w:line="240" w:lineRule="auto"/>
              <w:ind w:firstLine="0" w:firstLineChars="0"/>
              <w:jc w:val="center"/>
              <w:rPr>
                <w:rFonts w:hint="eastAsia" w:cs="宋体"/>
                <w:sz w:val="24"/>
                <w:szCs w:val="24"/>
                <w:highlight w:val="none"/>
              </w:rPr>
            </w:pPr>
            <w:r>
              <w:rPr>
                <w:rFonts w:hint="eastAsia" w:cs="宋体"/>
                <w:sz w:val="24"/>
                <w:szCs w:val="24"/>
                <w:highlight w:val="none"/>
              </w:rPr>
              <w:fldChar w:fldCharType="begin"/>
            </w:r>
            <w:r>
              <w:rPr>
                <w:rFonts w:hint="eastAsia" w:cs="宋体"/>
                <w:sz w:val="24"/>
                <w:szCs w:val="24"/>
                <w:highlight w:val="none"/>
              </w:rPr>
              <w:instrText xml:space="preserve"> SEQ 前附表 \* MERGEFORMAT </w:instrText>
            </w:r>
            <w:r>
              <w:rPr>
                <w:rFonts w:hint="eastAsia" w:cs="宋体"/>
                <w:sz w:val="24"/>
                <w:szCs w:val="24"/>
                <w:highlight w:val="none"/>
              </w:rPr>
              <w:fldChar w:fldCharType="separate"/>
            </w:r>
            <w:r>
              <w:rPr>
                <w:rFonts w:hint="eastAsia" w:cs="宋体"/>
                <w:sz w:val="24"/>
                <w:szCs w:val="24"/>
                <w:highlight w:val="none"/>
              </w:rPr>
              <w:t>2</w:t>
            </w:r>
            <w:r>
              <w:rPr>
                <w:rFonts w:hint="eastAsia" w:cs="宋体"/>
                <w:sz w:val="24"/>
                <w:szCs w:val="24"/>
                <w:highlight w:val="none"/>
              </w:rPr>
              <w:fldChar w:fldCharType="end"/>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268EE9DE">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招标内容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F3D8B18">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对全县441户房屋进行测量、取样检测、绘制图纸并分别按栋出具自治区房屋建筑安全与抗震鉴定报告，具体以面积为准。</w:t>
            </w:r>
          </w:p>
        </w:tc>
      </w:tr>
      <w:tr w14:paraId="10F4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79EC5EAF">
            <w:pPr>
              <w:spacing w:line="240" w:lineRule="auto"/>
              <w:ind w:firstLine="0" w:firstLineChars="0"/>
              <w:jc w:val="center"/>
              <w:rPr>
                <w:rFonts w:hint="eastAsia" w:cs="宋体"/>
                <w:sz w:val="24"/>
                <w:szCs w:val="24"/>
                <w:highlight w:val="none"/>
              </w:rPr>
            </w:pPr>
            <w:r>
              <w:rPr>
                <w:rFonts w:hint="eastAsia" w:cs="宋体"/>
                <w:sz w:val="24"/>
                <w:szCs w:val="24"/>
                <w:highlight w:val="none"/>
              </w:rPr>
              <w:fldChar w:fldCharType="begin"/>
            </w:r>
            <w:r>
              <w:rPr>
                <w:rFonts w:hint="eastAsia" w:cs="宋体"/>
                <w:sz w:val="24"/>
                <w:szCs w:val="24"/>
                <w:highlight w:val="none"/>
              </w:rPr>
              <w:instrText xml:space="preserve"> SEQ 前附表 \* MERGEFORMAT </w:instrText>
            </w:r>
            <w:r>
              <w:rPr>
                <w:rFonts w:hint="eastAsia" w:cs="宋体"/>
                <w:sz w:val="24"/>
                <w:szCs w:val="24"/>
                <w:highlight w:val="none"/>
              </w:rPr>
              <w:fldChar w:fldCharType="separate"/>
            </w:r>
            <w:r>
              <w:rPr>
                <w:rFonts w:hint="eastAsia" w:cs="宋体"/>
                <w:sz w:val="24"/>
                <w:szCs w:val="24"/>
                <w:highlight w:val="none"/>
              </w:rPr>
              <w:t>3</w:t>
            </w:r>
            <w:r>
              <w:rPr>
                <w:rFonts w:hint="eastAsia" w:cs="宋体"/>
                <w:sz w:val="24"/>
                <w:szCs w:val="24"/>
                <w:highlight w:val="none"/>
              </w:rPr>
              <w:fldChar w:fldCharType="end"/>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36E846D2">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简要规格描述或项目基本概况介绍、用途</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EB2031C">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详见第四章项目采购需求</w:t>
            </w:r>
          </w:p>
        </w:tc>
      </w:tr>
      <w:tr w14:paraId="5FCC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2BA99871">
            <w:pPr>
              <w:spacing w:line="240" w:lineRule="auto"/>
              <w:ind w:firstLine="0" w:firstLineChars="0"/>
              <w:jc w:val="center"/>
              <w:rPr>
                <w:rFonts w:hint="eastAsia" w:eastAsia="宋体" w:cs="宋体"/>
                <w:sz w:val="24"/>
                <w:szCs w:val="24"/>
                <w:highlight w:val="none"/>
                <w:lang w:eastAsia="zh-CN"/>
              </w:rPr>
            </w:pPr>
            <w:r>
              <w:rPr>
                <w:rFonts w:hint="eastAsia" w:cs="宋体"/>
                <w:sz w:val="24"/>
                <w:szCs w:val="24"/>
                <w:highlight w:val="none"/>
                <w:lang w:val="en-US" w:eastAsia="zh-CN"/>
              </w:rPr>
              <w:t>4</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7CC86C41">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招标方式</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2927513">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竞争性磋商</w:t>
            </w:r>
          </w:p>
        </w:tc>
      </w:tr>
      <w:tr w14:paraId="2968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08B658C">
            <w:pPr>
              <w:spacing w:line="240" w:lineRule="auto"/>
              <w:ind w:firstLine="0" w:firstLineChars="0"/>
              <w:jc w:val="center"/>
              <w:rPr>
                <w:rFonts w:hint="eastAsia" w:eastAsia="宋体" w:cs="宋体"/>
                <w:sz w:val="24"/>
                <w:szCs w:val="24"/>
                <w:highlight w:val="none"/>
                <w:lang w:eastAsia="zh-CN"/>
              </w:rPr>
            </w:pPr>
            <w:r>
              <w:rPr>
                <w:rFonts w:hint="eastAsia" w:cs="宋体"/>
                <w:sz w:val="24"/>
                <w:szCs w:val="24"/>
                <w:highlight w:val="none"/>
                <w:lang w:val="en-US" w:eastAsia="zh-CN"/>
              </w:rPr>
              <w:t>5</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049D4359">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投标人资格要求</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F8D9FD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1、符合《中华人民共和国政府采购法》第二十二条的相关规定；</w:t>
            </w:r>
          </w:p>
          <w:p w14:paraId="6B65FB5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（1）采购政策</w:t>
            </w:r>
          </w:p>
          <w:p w14:paraId="0F090EAB">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政府采购应当优先采购本国货物、工程和服务，并执行节能产品、环境标志产品、中小企业、残疾人集中就业企业、监狱企业等适宜本项目的政府采购政策。</w:t>
            </w:r>
          </w:p>
          <w:p w14:paraId="5A69C2C9">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（2）政策依据</w:t>
            </w:r>
          </w:p>
          <w:p w14:paraId="53B653C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1）《政府采购促进中小企业发展暂行办法》（财库〔2011〕181号）；（2）《财政部司法部关于政府采购支持监狱企业发展有关问题的通知》（财库〔2014〕68号）；（3）《国务院办公厅关于建立政府强制采购节能产品制度的通知》（国办发〔2007〕51号）；（4）《节能产品政府采购实施意见》（财库[2004]185号）；（5）《环境标志产品政府采购实施的意见》（财库[2006]90号）；（6）《三部门联合发布关于促进残疾人就业政府采购政策的通知》（财库〔2017〕141号） </w:t>
            </w:r>
          </w:p>
          <w:p w14:paraId="2A3F7972">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本项目的特定资格要求：</w:t>
            </w:r>
          </w:p>
          <w:p w14:paraId="681CCE9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（1）在中华人民共和国境内注册，具有独立法人资格，具有有效的营业执照或“三证合一”的营业执照；</w:t>
            </w:r>
          </w:p>
          <w:p w14:paraId="4536B0E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（2）落实政府采购政策需满足的资格要求：本项目专门面向中小微企业</w:t>
            </w:r>
          </w:p>
          <w:p w14:paraId="1132CE5E">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3）供应商须具备建设主管部门颁发的建设工程质量检测机构资质证书(检测范围须包含：主体结构工程现场检测、见证取样检测、钢结构工程检测及地基基础工程检测)，并同时具备工程设计建筑行业（建筑工程）专业乙级或乙级以上资质及工程勘察专业类（岩土工程（勘察））乙级或乙级以上资质。</w:t>
            </w:r>
          </w:p>
          <w:p w14:paraId="00654B68">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Times New Roman" w:hAnsi="Arial" w:eastAsia="Arial" w:cs="宋体"/>
                <w:snapToGrid w:val="0"/>
                <w:color w:val="0000FF"/>
                <w:kern w:val="0"/>
                <w:sz w:val="24"/>
                <w:szCs w:val="24"/>
                <w:highlight w:val="none"/>
                <w:lang w:val="en-US" w:eastAsia="zh-CN" w:bidi="ar-SA"/>
              </w:rPr>
            </w:pPr>
            <w:r>
              <w:rPr>
                <w:rFonts w:hint="eastAsia" w:ascii="Times New Roman" w:hAnsi="Arial" w:eastAsia="Arial" w:cs="宋体"/>
                <w:snapToGrid w:val="0"/>
                <w:color w:val="0000FF"/>
                <w:kern w:val="0"/>
                <w:sz w:val="24"/>
                <w:szCs w:val="24"/>
                <w:highlight w:val="none"/>
                <w:lang w:val="en-US" w:eastAsia="zh-CN" w:bidi="ar-SA"/>
              </w:rPr>
              <w:t>（4）项目负责人须具备一级（含以上）注册结构工程师执业资格及相关中级及以上职称；</w:t>
            </w:r>
          </w:p>
          <w:p w14:paraId="6A8F466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（5）未被“信用中国”（www.creditchina.gov.cn）列入失信被执行人、重大税收违法案件当事人名单、严重违法失信行为记录名单；</w:t>
            </w:r>
          </w:p>
          <w:p w14:paraId="18DA02E3">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（6）本次招标接受联合体投标，不接受中介机构投标；</w:t>
            </w:r>
          </w:p>
        </w:tc>
      </w:tr>
      <w:tr w14:paraId="42FC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050AD342">
            <w:pPr>
              <w:pStyle w:val="8"/>
              <w:rPr>
                <w:rFonts w:hint="eastAsia"/>
                <w:highlight w:val="none"/>
                <w:lang w:val="en-US" w:eastAsia="zh-CN"/>
              </w:rPr>
            </w:pPr>
            <w:r>
              <w:rPr>
                <w:rFonts w:hint="eastAsia"/>
                <w:highlight w:val="none"/>
                <w:lang w:val="en-US" w:eastAsia="zh-CN"/>
              </w:rPr>
              <w:t>6</w:t>
            </w:r>
          </w:p>
          <w:p w14:paraId="2DF51452">
            <w:pPr>
              <w:bidi w:val="0"/>
              <w:rPr>
                <w:rFonts w:hint="default"/>
                <w:highlight w:val="none"/>
                <w:lang w:val="en-US" w:eastAsia="zh-CN"/>
              </w:rPr>
            </w:pPr>
          </w:p>
          <w:p w14:paraId="52C31FAE">
            <w:pPr>
              <w:bidi w:val="0"/>
              <w:rPr>
                <w:rFonts w:hint="default"/>
                <w:highlight w:val="none"/>
                <w:lang w:val="en-US" w:eastAsia="zh-CN"/>
              </w:rPr>
            </w:pPr>
          </w:p>
          <w:p w14:paraId="4C17F1FF">
            <w:pPr>
              <w:bidi w:val="0"/>
              <w:rPr>
                <w:rFonts w:hint="default"/>
                <w:highlight w:val="none"/>
                <w:lang w:val="en-US" w:eastAsia="zh-CN"/>
              </w:rPr>
            </w:pPr>
          </w:p>
          <w:p w14:paraId="181F77A0">
            <w:pPr>
              <w:bidi w:val="0"/>
              <w:rPr>
                <w:rFonts w:hint="default"/>
                <w:highlight w:val="none"/>
                <w:lang w:val="en-US" w:eastAsia="zh-CN"/>
              </w:rPr>
            </w:pPr>
          </w:p>
          <w:p w14:paraId="77706728">
            <w:pPr>
              <w:bidi w:val="0"/>
              <w:rPr>
                <w:rFonts w:hint="default"/>
                <w:highlight w:val="none"/>
                <w:lang w:val="en-US" w:eastAsia="zh-CN"/>
              </w:rPr>
            </w:pPr>
          </w:p>
          <w:p w14:paraId="38BF69CF">
            <w:pPr>
              <w:bidi w:val="0"/>
              <w:ind w:left="0" w:leftChars="0" w:firstLine="0" w:firstLineChars="0"/>
              <w:jc w:val="center"/>
              <w:rPr>
                <w:rFonts w:hint="default"/>
                <w:highlight w:val="none"/>
                <w:lang w:val="en-US" w:eastAsia="zh-CN"/>
              </w:rPr>
            </w:pPr>
            <w:r>
              <w:rPr>
                <w:rFonts w:hint="eastAsia"/>
                <w:highlight w:val="none"/>
                <w:lang w:val="en-US" w:eastAsia="zh-CN"/>
              </w:rPr>
              <w:t>6</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0BD68963">
            <w:pPr>
              <w:spacing w:line="240" w:lineRule="auto"/>
              <w:ind w:firstLine="0" w:firstLineChars="0"/>
              <w:jc w:val="both"/>
              <w:rPr>
                <w:rFonts w:hint="eastAsia" w:ascii="Times New Roman" w:hAnsi="Arial" w:eastAsia="Arial" w:cs="宋体"/>
                <w:snapToGrid w:val="0"/>
                <w:color w:val="000000"/>
                <w:kern w:val="0"/>
                <w:sz w:val="24"/>
                <w:szCs w:val="24"/>
                <w:highlight w:val="none"/>
                <w:lang w:val="en-US" w:eastAsia="en-US" w:bidi="ar-SA"/>
              </w:rPr>
            </w:pPr>
          </w:p>
          <w:p w14:paraId="7B58F041">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是否采用电子采购投标</w:t>
            </w:r>
          </w:p>
        </w:tc>
        <w:tc>
          <w:tcPr>
            <w:tcW w:w="7599" w:type="dxa"/>
            <w:tcBorders>
              <w:top w:val="single" w:color="auto" w:sz="4" w:space="0"/>
              <w:left w:val="single" w:color="auto" w:sz="4" w:space="0"/>
              <w:bottom w:val="single" w:color="auto" w:sz="4" w:space="0"/>
              <w:right w:val="single" w:color="auto" w:sz="4" w:space="0"/>
            </w:tcBorders>
            <w:noWrap w:val="0"/>
            <w:vAlign w:val="top"/>
          </w:tcPr>
          <w:p w14:paraId="2CB43584">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□否 ■是，具体要求： </w:t>
            </w:r>
          </w:p>
          <w:p w14:paraId="59945475">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1、投标文件解密时间：投标文件解密时间 30 分钟，开标前需投标单位用 CA 证书登录政采云平台开标大厅签 到，在 30 分钟解密时间内输入 CA 证书 PIN 码解密投标 文件。在 30 分钟解密时间内未进行解密的投标单位将导致废标。（解密时间开始时政采云平台将以短信形式向供应商在政采云平台预留的手机号发送短信通知，请供应商及时关注。） </w:t>
            </w:r>
          </w:p>
          <w:p w14:paraId="22E0586D">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2、供应商报价CA 签字确认：报价文件开启后将开启签字时段，供应商须在 20 分钟内用 CA 证书对报价进行签 字确认。 </w:t>
            </w:r>
          </w:p>
          <w:p w14:paraId="79FAEB96">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3、备注: </w:t>
            </w:r>
          </w:p>
          <w:p w14:paraId="70BE6246">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（1）本次采购采用电子交易方式，电子交易平台为“政 府采购云平台（www.zcygov.cn）”。供应商参与本项目 电子交易活动前，应注册成为政府采购云平台供应商。 编制电子投标文件前还需申领 CA 证书并绑定帐号。</w:t>
            </w:r>
          </w:p>
          <w:p w14:paraId="3823AED8">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注：CA 服务电话：0991-281-9290 CA 申领地址：https://www.xjca.com.cn/article/cont ent/201802/582/1.html </w:t>
            </w:r>
          </w:p>
          <w:p w14:paraId="251065A5">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（2）供应商编制电子投标文件应安装“电子招投标供应 商客户端”软件，并按照本采购文件和电子招投标供应 商客户端的要求编制并加密投标文件。未按规定加密的 投标文件，将被电子招投标供应商客户端拒收。“电子 招投标供应商客户端”请供应商自行前往“新疆政府采 购网—下载专区—新疆维吾尔自治区全流程电子招投标 项目管理系统--电子招投标供应商客户端”版块获取。（3）供应商应当在投标截止时间前，将“电子招投标供 应商客户端”生成的“电子加密投标文件”上传电子交易平台。（5）服务与支持。各政府采购代理机构（含集采机构）及供应商对不见面开评标系统的技术操作咨询，可通过https://edu.zcygov.cn/luban/xinjiang-e-biding 自 助查询，也可在政采云帮助中心常见问题解答和操作流 程 讲 解 视 频 中 自 助 查 询 ， 网 址 为 ： https://service.zcygov.cn/#/help，“项目采购—操 作流程—电子招投标—政府采购项目电子交易管理操作 指南-供应商”版面获取操作指南，同时对自助查询无法 解决的问题可通过钉钉群及政采云在线客服获取服务支 持。政采云热线人工号码：400-881-7190（工作时间： 工作日 08:00~20：00）</w:t>
            </w:r>
          </w:p>
          <w:p w14:paraId="05626381">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zh-CN" w:bidi="ar-SA"/>
              </w:rPr>
            </w:pPr>
          </w:p>
        </w:tc>
      </w:tr>
      <w:tr w14:paraId="26D1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049D471E">
            <w:pPr>
              <w:spacing w:line="240" w:lineRule="auto"/>
              <w:ind w:firstLine="0" w:firstLineChars="0"/>
              <w:jc w:val="center"/>
              <w:rPr>
                <w:rFonts w:hint="default" w:eastAsia="宋体" w:cs="宋体"/>
                <w:sz w:val="24"/>
                <w:szCs w:val="24"/>
                <w:highlight w:val="none"/>
                <w:lang w:val="en-US" w:eastAsia="zh-CN"/>
              </w:rPr>
            </w:pPr>
            <w:r>
              <w:rPr>
                <w:rFonts w:hint="eastAsia" w:eastAsia="宋体" w:cs="宋体"/>
                <w:sz w:val="24"/>
                <w:szCs w:val="24"/>
                <w:highlight w:val="none"/>
                <w:lang w:val="en-US" w:eastAsia="zh-CN"/>
              </w:rPr>
              <w:t>7</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B50E688">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投标截止时间</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23125250">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供应商应</w:t>
            </w:r>
            <w:r>
              <w:rPr>
                <w:rFonts w:hint="eastAsia" w:ascii="Times New Roman" w:hAnsi="Arial" w:eastAsia="Arial" w:cs="宋体"/>
                <w:snapToGrid w:val="0"/>
                <w:color w:val="000000"/>
                <w:kern w:val="0"/>
                <w:sz w:val="24"/>
                <w:szCs w:val="24"/>
                <w:highlight w:val="none"/>
                <w:lang w:val="en-US" w:eastAsia="zh-CN" w:bidi="ar-SA"/>
              </w:rPr>
              <w:t xml:space="preserve">于2025年07月 </w:t>
            </w:r>
            <w:r>
              <w:rPr>
                <w:rFonts w:hint="eastAsia" w:ascii="Times New Roman" w:cs="宋体"/>
                <w:snapToGrid w:val="0"/>
                <w:color w:val="000000"/>
                <w:kern w:val="0"/>
                <w:sz w:val="24"/>
                <w:szCs w:val="24"/>
                <w:highlight w:val="none"/>
                <w:lang w:val="en-US" w:eastAsia="zh-CN" w:bidi="ar-SA"/>
              </w:rPr>
              <w:t>30</w:t>
            </w:r>
            <w:r>
              <w:rPr>
                <w:rFonts w:hint="eastAsia" w:ascii="Times New Roman" w:hAnsi="Arial" w:eastAsia="Arial" w:cs="宋体"/>
                <w:snapToGrid w:val="0"/>
                <w:color w:val="000000"/>
                <w:kern w:val="0"/>
                <w:sz w:val="24"/>
                <w:szCs w:val="24"/>
                <w:highlight w:val="none"/>
                <w:lang w:val="en-US" w:eastAsia="zh-CN" w:bidi="ar-SA"/>
              </w:rPr>
              <w:t>日 11 点00分之</w:t>
            </w:r>
            <w:r>
              <w:rPr>
                <w:rFonts w:hint="eastAsia" w:ascii="Times New Roman" w:hAnsi="Arial" w:eastAsia="Arial" w:cs="宋体"/>
                <w:snapToGrid w:val="0"/>
                <w:color w:val="000000"/>
                <w:kern w:val="0"/>
                <w:sz w:val="24"/>
                <w:szCs w:val="24"/>
                <w:highlight w:val="none"/>
                <w:lang w:val="en-US" w:eastAsia="en-US" w:bidi="ar-SA"/>
              </w:rPr>
              <w:t>前将电子投标文件上传到“政采云”平台。开标时间后30分钟内供应商登录“政采云”平台，用“项目采购-开标评标”功能进行解密投标文件。若供应商在规定时间内未按时解密的，视为无效投标。（解密时间开始时政采 云平台将以短信形式向供应商在政采云平台预留的手机 号发送短信通知，请供应商及时关注。）</w:t>
            </w:r>
          </w:p>
        </w:tc>
      </w:tr>
      <w:tr w14:paraId="5A27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7767781E">
            <w:pPr>
              <w:spacing w:line="240" w:lineRule="auto"/>
              <w:ind w:firstLine="0" w:firstLineChars="0"/>
              <w:jc w:val="center"/>
              <w:rPr>
                <w:rFonts w:hint="default" w:eastAsia="宋体" w:cs="宋体"/>
                <w:sz w:val="24"/>
                <w:szCs w:val="24"/>
                <w:highlight w:val="none"/>
                <w:lang w:val="en-US" w:eastAsia="zh-CN"/>
              </w:rPr>
            </w:pPr>
            <w:r>
              <w:rPr>
                <w:rFonts w:hint="eastAsia" w:eastAsia="宋体" w:cs="宋体"/>
                <w:sz w:val="24"/>
                <w:szCs w:val="24"/>
                <w:highlight w:val="none"/>
                <w:lang w:val="en-US" w:eastAsia="zh-CN"/>
              </w:rPr>
              <w:t>8</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2709B1FE">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磋商地点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38A82BED">
            <w:pPr>
              <w:spacing w:line="240" w:lineRule="auto"/>
              <w:ind w:firstLine="0" w:firstLineChars="0"/>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供应商应在投标截止时间前将“电子加密投标文件”成功上传递交至“政府采购云平台”，否则投标无效。</w:t>
            </w:r>
          </w:p>
        </w:tc>
      </w:tr>
      <w:tr w14:paraId="521A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277B79FB">
            <w:pPr>
              <w:spacing w:line="240" w:lineRule="auto"/>
              <w:ind w:firstLine="0" w:firstLineChars="0"/>
              <w:jc w:val="center"/>
              <w:rPr>
                <w:rFonts w:hint="default" w:eastAsia="宋体" w:cs="宋体"/>
                <w:sz w:val="24"/>
                <w:szCs w:val="24"/>
                <w:highlight w:val="none"/>
                <w:lang w:val="en-US" w:eastAsia="zh-CN"/>
              </w:rPr>
            </w:pPr>
            <w:r>
              <w:rPr>
                <w:rFonts w:hint="eastAsia" w:eastAsia="宋体" w:cs="宋体"/>
                <w:sz w:val="24"/>
                <w:szCs w:val="24"/>
                <w:highlight w:val="none"/>
                <w:lang w:val="en-US" w:eastAsia="zh-CN"/>
              </w:rPr>
              <w:t>9</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A419B42">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联合体</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2D4755C">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联合体的其他资格要求： </w:t>
            </w:r>
          </w:p>
          <w:p w14:paraId="0843C470">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1、提供联合体协议 </w:t>
            </w:r>
          </w:p>
          <w:p w14:paraId="74FDA235">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2、组成联合体成员数量不得超过 2 家。 </w:t>
            </w:r>
          </w:p>
          <w:p w14:paraId="487060E0">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3、联合体投标资质组合要求： </w:t>
            </w:r>
          </w:p>
          <w:p w14:paraId="4D2D96CD">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①联合体牵头单位或成员：具备建设主管部门颁发的建设工程质量检测机构资质证 书(检测范围须包含：主体结构工程现场检测、见证取样检测、钢结构工程检测及地 基基础工程检测)， </w:t>
            </w:r>
          </w:p>
          <w:p w14:paraId="25E5DB83">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②联合体牵头单位或成员：具备工程设计建筑行业（建筑工程）专业乙级或乙级以上资质及工程勘察专业类（岩土工程（勘察））乙级或乙级以上资质</w:t>
            </w:r>
          </w:p>
        </w:tc>
      </w:tr>
      <w:tr w14:paraId="5E05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A4F486D">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10</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230D45B">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磋商有效期</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4803EDD">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90</w:t>
            </w:r>
            <w:r>
              <w:rPr>
                <w:rFonts w:hint="eastAsia" w:ascii="Times New Roman" w:hAnsi="Arial" w:eastAsia="Arial" w:cs="宋体"/>
                <w:snapToGrid w:val="0"/>
                <w:color w:val="000000"/>
                <w:kern w:val="0"/>
                <w:sz w:val="24"/>
                <w:szCs w:val="24"/>
                <w:highlight w:val="none"/>
                <w:lang w:val="en-US" w:eastAsia="en-US" w:bidi="ar-SA"/>
              </w:rPr>
              <w:t>个日历日（从磋商截止之日算起）</w:t>
            </w:r>
          </w:p>
        </w:tc>
      </w:tr>
      <w:tr w14:paraId="54A0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241B15FC">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11</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42BC8DF2">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磋商保证金</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033E32EF">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磋商保证金金额：23000元（大写：贰万叁仟元整）</w:t>
            </w:r>
          </w:p>
          <w:p w14:paraId="2D5DA7BF">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磋商保证金须在2025年7月</w:t>
            </w:r>
            <w:r>
              <w:rPr>
                <w:rFonts w:hint="eastAsia" w:ascii="Times New Roman" w:cs="宋体"/>
                <w:snapToGrid w:val="0"/>
                <w:color w:val="000000"/>
                <w:kern w:val="0"/>
                <w:sz w:val="24"/>
                <w:szCs w:val="24"/>
                <w:highlight w:val="none"/>
                <w:lang w:val="en-US" w:eastAsia="zh-CN" w:bidi="ar-SA"/>
              </w:rPr>
              <w:t>30</w:t>
            </w:r>
            <w:r>
              <w:rPr>
                <w:rFonts w:hint="eastAsia" w:ascii="Times New Roman" w:hAnsi="Arial" w:eastAsia="Arial" w:cs="宋体"/>
                <w:snapToGrid w:val="0"/>
                <w:color w:val="000000"/>
                <w:kern w:val="0"/>
                <w:sz w:val="24"/>
                <w:szCs w:val="24"/>
                <w:highlight w:val="none"/>
                <w:lang w:val="en-US" w:eastAsia="zh-CN" w:bidi="ar-SA"/>
              </w:rPr>
              <w:t>日11:00前确认到账。</w:t>
            </w:r>
          </w:p>
          <w:p w14:paraId="4F8ADF8D">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磋商保证金缴纳方式：采用金融机构、担保机构出具的保函、支票、汇票或本票等非现金形式交纳 ，以公对公转账方式缴纳磋商保证金的；缴纳磋商保证金时需备注项目名称；投标人未按要求缴纳磋商保证金的，响应文件无效。</w:t>
            </w:r>
          </w:p>
          <w:p w14:paraId="7B557951">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磋商保证金缴纳账户：</w:t>
            </w:r>
          </w:p>
          <w:p w14:paraId="58AD9299">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zh-CN" w:eastAsia="zh-CN" w:bidi="ar-SA"/>
              </w:rPr>
            </w:pPr>
            <w:r>
              <w:rPr>
                <w:rFonts w:hint="eastAsia" w:ascii="Times New Roman" w:hAnsi="Arial" w:eastAsia="Arial" w:cs="宋体"/>
                <w:snapToGrid w:val="0"/>
                <w:color w:val="000000"/>
                <w:kern w:val="0"/>
                <w:sz w:val="24"/>
                <w:szCs w:val="24"/>
                <w:highlight w:val="none"/>
                <w:lang w:val="zh-CN" w:eastAsia="zh-CN" w:bidi="ar-SA"/>
              </w:rPr>
              <w:t>单位名称：呼图壁县锦华建业工程项目管理有限公司</w:t>
            </w:r>
          </w:p>
          <w:p w14:paraId="3BA2D99A">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zh-CN" w:eastAsia="zh-CN" w:bidi="ar-SA"/>
              </w:rPr>
              <w:t>帐    号：</w:t>
            </w:r>
            <w:r>
              <w:rPr>
                <w:rFonts w:hint="eastAsia" w:ascii="Times New Roman" w:hAnsi="Arial" w:eastAsia="Arial" w:cs="宋体"/>
                <w:snapToGrid w:val="0"/>
                <w:color w:val="000000"/>
                <w:kern w:val="0"/>
                <w:sz w:val="24"/>
                <w:szCs w:val="24"/>
                <w:highlight w:val="none"/>
                <w:lang w:val="en-US" w:eastAsia="zh-CN" w:bidi="ar-SA"/>
              </w:rPr>
              <w:t>2036 5232 3001 0000 0488 561</w:t>
            </w:r>
          </w:p>
          <w:p w14:paraId="2A0F1009">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zh-CN" w:eastAsia="zh-CN" w:bidi="ar-SA"/>
              </w:rPr>
              <w:t>开 户 行：</w:t>
            </w:r>
            <w:r>
              <w:rPr>
                <w:rFonts w:hint="eastAsia" w:ascii="Times New Roman" w:hAnsi="Arial" w:eastAsia="Arial" w:cs="宋体"/>
                <w:snapToGrid w:val="0"/>
                <w:color w:val="000000"/>
                <w:kern w:val="0"/>
                <w:sz w:val="24"/>
                <w:szCs w:val="24"/>
                <w:highlight w:val="none"/>
                <w:lang w:val="en-US" w:eastAsia="zh-CN" w:bidi="ar-SA"/>
              </w:rPr>
              <w:t>中国农业发展银行呼图壁支行</w:t>
            </w:r>
          </w:p>
          <w:p w14:paraId="4793E1AF">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zh-CN" w:eastAsia="zh-CN" w:bidi="ar-SA"/>
              </w:rPr>
              <w:t>联系电话：</w:t>
            </w:r>
            <w:r>
              <w:rPr>
                <w:rFonts w:hint="eastAsia" w:ascii="Times New Roman" w:hAnsi="Arial" w:eastAsia="Arial" w:cs="宋体"/>
                <w:snapToGrid w:val="0"/>
                <w:color w:val="000000"/>
                <w:kern w:val="0"/>
                <w:sz w:val="24"/>
                <w:szCs w:val="24"/>
                <w:highlight w:val="none"/>
                <w:lang w:val="en-US" w:eastAsia="zh-CN" w:bidi="ar-SA"/>
              </w:rPr>
              <w:t>17699229943</w:t>
            </w:r>
            <w:r>
              <w:rPr>
                <w:rFonts w:hint="eastAsia" w:ascii="Times New Roman" w:hAnsi="Arial" w:eastAsia="Arial" w:cs="宋体"/>
                <w:snapToGrid w:val="0"/>
                <w:color w:val="000000"/>
                <w:kern w:val="0"/>
                <w:sz w:val="24"/>
                <w:szCs w:val="24"/>
                <w:highlight w:val="none"/>
                <w:lang w:val="zh-CN" w:eastAsia="zh-CN" w:bidi="ar-SA"/>
              </w:rPr>
              <w:t>投标单位汇入以上帐户的投标保证金，办理退还手续的投标单位必须开具加盖投标单位财务章的收据及基本帐户信息（与汇出保证金的基本帐户一致）中标单位委托的代理人须同时提供授权委托书到我公司财务部即可办理。</w:t>
            </w:r>
          </w:p>
        </w:tc>
      </w:tr>
      <w:tr w14:paraId="2F23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7E370BEA">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12</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72ED7C7F">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竞争性磋商文件发放日 期及地点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6A768F6F">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2025 年07月17日至2025年07月</w:t>
            </w:r>
            <w:r>
              <w:rPr>
                <w:rFonts w:hint="eastAsia" w:ascii="Times New Roman" w:cs="宋体"/>
                <w:snapToGrid w:val="0"/>
                <w:color w:val="000000"/>
                <w:kern w:val="0"/>
                <w:sz w:val="24"/>
                <w:szCs w:val="24"/>
                <w:highlight w:val="none"/>
                <w:lang w:val="en-US" w:eastAsia="zh-CN" w:bidi="ar-SA"/>
              </w:rPr>
              <w:t>24</w:t>
            </w:r>
            <w:r>
              <w:rPr>
                <w:rFonts w:hint="eastAsia" w:ascii="Times New Roman" w:hAnsi="Arial" w:eastAsia="Arial" w:cs="宋体"/>
                <w:snapToGrid w:val="0"/>
                <w:color w:val="000000"/>
                <w:kern w:val="0"/>
                <w:sz w:val="24"/>
                <w:szCs w:val="24"/>
                <w:highlight w:val="none"/>
                <w:lang w:val="en-US" w:eastAsia="zh-CN" w:bidi="ar-SA"/>
              </w:rPr>
              <w:t xml:space="preserve">日，每天上午 0:00-23:59（北京时间）； </w:t>
            </w:r>
          </w:p>
          <w:p w14:paraId="666FC982">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地点：新疆政采云平台线上获取。</w:t>
            </w:r>
          </w:p>
        </w:tc>
      </w:tr>
      <w:tr w14:paraId="0D32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1C8B4C0">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13</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37B6BF1F">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响应文件</w:t>
            </w:r>
          </w:p>
          <w:p w14:paraId="55B5F70C">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递交地点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127B1685">
            <w:pPr>
              <w:pStyle w:val="15"/>
              <w:widowControl/>
              <w:adjustRightInd/>
              <w:spacing w:before="75" w:after="75" w:line="440" w:lineRule="exact"/>
              <w:ind w:firstLine="0" w:firstLineChars="0"/>
              <w:textAlignment w:val="auto"/>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供应商应在投标截止时间前将“电子加密投标文件”成 功上传递交至“政府采购云平台”，否则投标无效。</w:t>
            </w:r>
            <w:r>
              <w:rPr>
                <w:rFonts w:hint="eastAsia" w:ascii="Times New Roman" w:hAnsi="Arial" w:eastAsia="Arial" w:cs="宋体"/>
                <w:snapToGrid w:val="0"/>
                <w:color w:val="000000"/>
                <w:kern w:val="0"/>
                <w:sz w:val="24"/>
                <w:szCs w:val="24"/>
                <w:highlight w:val="none"/>
                <w:lang w:val="en-US" w:eastAsia="zh-CN" w:bidi="ar-SA"/>
              </w:rPr>
              <w:t> </w:t>
            </w:r>
            <w:r>
              <w:rPr>
                <w:rFonts w:hint="eastAsia" w:ascii="Times New Roman" w:hAnsi="Arial" w:eastAsia="Arial" w:cs="宋体"/>
                <w:snapToGrid w:val="0"/>
                <w:color w:val="000000"/>
                <w:kern w:val="0"/>
                <w:sz w:val="24"/>
                <w:szCs w:val="24"/>
                <w:highlight w:val="none"/>
                <w:lang w:val="zh-CN" w:eastAsia="zh-CN" w:bidi="ar-SA"/>
              </w:rPr>
              <w:t> </w:t>
            </w:r>
          </w:p>
        </w:tc>
      </w:tr>
      <w:tr w14:paraId="125D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99FCBB4">
            <w:pPr>
              <w:spacing w:line="240" w:lineRule="auto"/>
              <w:ind w:firstLine="0" w:firstLineChars="0"/>
              <w:jc w:val="center"/>
              <w:rPr>
                <w:rFonts w:hint="eastAsia" w:eastAsia="宋体" w:cs="宋体"/>
                <w:sz w:val="24"/>
                <w:szCs w:val="24"/>
                <w:highlight w:val="none"/>
                <w:lang w:val="en-US" w:eastAsia="zh-CN"/>
              </w:rPr>
            </w:pPr>
            <w:r>
              <w:rPr>
                <w:rFonts w:hint="eastAsia" w:cs="宋体"/>
                <w:sz w:val="24"/>
                <w:szCs w:val="24"/>
                <w:highlight w:val="none"/>
              </w:rPr>
              <w:t>1</w:t>
            </w:r>
            <w:r>
              <w:rPr>
                <w:rFonts w:hint="eastAsia" w:cs="宋体"/>
                <w:sz w:val="24"/>
                <w:szCs w:val="24"/>
                <w:highlight w:val="none"/>
                <w:lang w:val="en-US" w:eastAsia="zh-CN"/>
              </w:rPr>
              <w:t>4</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E2D6C21">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预算金额</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2CA410A9">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en-US" w:bidi="ar-SA"/>
              </w:rPr>
              <w:t>采购预算价：</w:t>
            </w:r>
            <w:r>
              <w:rPr>
                <w:rFonts w:hint="eastAsia" w:ascii="Times New Roman" w:hAnsi="Arial" w:eastAsia="Arial" w:cs="宋体"/>
                <w:snapToGrid w:val="0"/>
                <w:color w:val="000000"/>
                <w:kern w:val="0"/>
                <w:sz w:val="24"/>
                <w:szCs w:val="24"/>
                <w:highlight w:val="none"/>
                <w:lang w:val="en-US" w:eastAsia="zh-CN" w:bidi="ar-SA"/>
              </w:rPr>
              <w:t>1153500.00</w:t>
            </w:r>
            <w:r>
              <w:rPr>
                <w:rFonts w:hint="eastAsia" w:ascii="Times New Roman" w:hAnsi="Arial" w:eastAsia="Arial" w:cs="宋体"/>
                <w:snapToGrid w:val="0"/>
                <w:color w:val="000000"/>
                <w:kern w:val="0"/>
                <w:sz w:val="24"/>
                <w:szCs w:val="24"/>
                <w:highlight w:val="none"/>
                <w:lang w:val="en-US" w:eastAsia="en-US" w:bidi="ar-SA"/>
              </w:rPr>
              <w:t>元。</w:t>
            </w:r>
          </w:p>
          <w:p w14:paraId="3BD8E27A">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投标报价不得超过预算金额，超过预算金额的投标人的投标将被拒。</w:t>
            </w:r>
          </w:p>
        </w:tc>
      </w:tr>
      <w:tr w14:paraId="3FC1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7D433B2F">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15</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E8AC1BB">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付款方式</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E970390">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以甲乙双方合同约定执行。</w:t>
            </w:r>
          </w:p>
        </w:tc>
      </w:tr>
      <w:tr w14:paraId="3F06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1D033F93">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16</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155387C6">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代理机构</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0775B2E8">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采购代理机构名称：</w:t>
            </w:r>
            <w:r>
              <w:rPr>
                <w:rFonts w:hint="eastAsia" w:ascii="Times New Roman" w:hAnsi="Arial" w:eastAsia="Arial" w:cs="宋体"/>
                <w:snapToGrid w:val="0"/>
                <w:color w:val="000000"/>
                <w:kern w:val="0"/>
                <w:sz w:val="24"/>
                <w:szCs w:val="24"/>
                <w:highlight w:val="none"/>
                <w:lang w:val="en-US" w:eastAsia="zh-CN" w:bidi="ar-SA"/>
              </w:rPr>
              <w:t>呼图壁县锦华建业工程项目管理有限公司  </w:t>
            </w:r>
            <w:r>
              <w:rPr>
                <w:rFonts w:hint="eastAsia" w:ascii="Times New Roman" w:hAnsi="Arial" w:eastAsia="Arial" w:cs="宋体"/>
                <w:snapToGrid w:val="0"/>
                <w:color w:val="000000"/>
                <w:kern w:val="0"/>
                <w:sz w:val="24"/>
                <w:szCs w:val="24"/>
                <w:highlight w:val="none"/>
                <w:lang w:val="en-US" w:eastAsia="en-US" w:bidi="ar-SA"/>
              </w:rPr>
              <w:t> </w:t>
            </w:r>
          </w:p>
          <w:p w14:paraId="17F8B475">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en-US" w:bidi="ar-SA"/>
              </w:rPr>
              <w:t>联系人：</w:t>
            </w:r>
            <w:r>
              <w:rPr>
                <w:rFonts w:hint="eastAsia" w:ascii="Times New Roman" w:hAnsi="Arial" w:eastAsia="Arial" w:cs="宋体"/>
                <w:snapToGrid w:val="0"/>
                <w:color w:val="000000"/>
                <w:kern w:val="0"/>
                <w:sz w:val="24"/>
                <w:szCs w:val="24"/>
                <w:highlight w:val="none"/>
                <w:lang w:val="en-US" w:eastAsia="zh-CN" w:bidi="ar-SA"/>
              </w:rPr>
              <w:t>李东</w:t>
            </w:r>
          </w:p>
          <w:p w14:paraId="3AD0491F">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联系电话：</w:t>
            </w:r>
            <w:r>
              <w:rPr>
                <w:rFonts w:hint="eastAsia" w:ascii="Times New Roman" w:hAnsi="Arial" w:eastAsia="Arial" w:cs="宋体"/>
                <w:snapToGrid w:val="0"/>
                <w:color w:val="000000"/>
                <w:kern w:val="0"/>
                <w:sz w:val="24"/>
                <w:szCs w:val="24"/>
                <w:highlight w:val="none"/>
                <w:lang w:val="en-US" w:eastAsia="zh-CN" w:bidi="ar-SA"/>
              </w:rPr>
              <w:t>15292633809</w:t>
            </w:r>
            <w:r>
              <w:rPr>
                <w:rFonts w:hint="eastAsia" w:ascii="Times New Roman" w:hAnsi="Arial" w:eastAsia="Arial" w:cs="宋体"/>
                <w:snapToGrid w:val="0"/>
                <w:color w:val="000000"/>
                <w:kern w:val="0"/>
                <w:sz w:val="24"/>
                <w:szCs w:val="24"/>
                <w:highlight w:val="none"/>
                <w:lang w:val="en-US" w:eastAsia="en-US" w:bidi="ar-SA"/>
              </w:rPr>
              <w:t> </w:t>
            </w:r>
          </w:p>
        </w:tc>
      </w:tr>
      <w:tr w14:paraId="67EC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36CB28B9">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17</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54AC158">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招标代理费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22B26C9">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收取对象：中标或成交供应商。 收费标准：</w:t>
            </w:r>
            <w:r>
              <w:rPr>
                <w:rFonts w:hint="eastAsia" w:ascii="Times New Roman" w:hAnsi="Arial" w:eastAsia="Arial" w:cs="宋体"/>
                <w:snapToGrid w:val="0"/>
                <w:color w:val="000000"/>
                <w:kern w:val="0"/>
                <w:sz w:val="24"/>
                <w:szCs w:val="24"/>
                <w:highlight w:val="none"/>
                <w:lang w:val="en-US" w:eastAsia="zh-CN" w:bidi="ar-SA"/>
              </w:rPr>
              <w:t>参考《招标代理服务管理暂行办法》（计价格）【2002】1980号收费标准</w:t>
            </w:r>
            <w:r>
              <w:rPr>
                <w:rFonts w:hint="eastAsia" w:ascii="Times New Roman" w:hAnsi="Arial" w:eastAsia="Arial" w:cs="宋体"/>
                <w:snapToGrid w:val="0"/>
                <w:color w:val="000000"/>
                <w:kern w:val="0"/>
                <w:sz w:val="24"/>
                <w:szCs w:val="24"/>
                <w:highlight w:val="none"/>
                <w:lang w:val="en-US" w:eastAsia="en-US" w:bidi="ar-SA"/>
              </w:rPr>
              <w:t>。</w:t>
            </w:r>
          </w:p>
        </w:tc>
      </w:tr>
      <w:tr w14:paraId="0379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06CF9026">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18</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7BBB3BF0">
            <w:pPr>
              <w:spacing w:line="240" w:lineRule="auto"/>
              <w:ind w:firstLine="0" w:firstLineChars="0"/>
              <w:jc w:val="center"/>
              <w:rPr>
                <w:rFonts w:hint="default"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服务期限</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741EAA5">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自合同签订之日起30天（日历日）。</w:t>
            </w:r>
          </w:p>
        </w:tc>
      </w:tr>
      <w:tr w14:paraId="2D08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042C842">
            <w:pPr>
              <w:spacing w:line="240" w:lineRule="auto"/>
              <w:ind w:firstLine="0" w:firstLineChars="0"/>
              <w:jc w:val="center"/>
              <w:rPr>
                <w:rFonts w:hint="default" w:eastAsia="宋体" w:cs="宋体"/>
                <w:sz w:val="24"/>
                <w:szCs w:val="24"/>
                <w:highlight w:val="none"/>
                <w:lang w:val="en-US" w:eastAsia="zh-CN"/>
              </w:rPr>
            </w:pPr>
            <w:r>
              <w:rPr>
                <w:rFonts w:hint="eastAsia" w:eastAsia="宋体" w:cs="宋体"/>
                <w:sz w:val="24"/>
                <w:szCs w:val="24"/>
                <w:highlight w:val="none"/>
                <w:lang w:val="en-US" w:eastAsia="zh-CN"/>
              </w:rPr>
              <w:t>19</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37370504">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优惠政策</w:t>
            </w:r>
          </w:p>
          <w:p w14:paraId="060E56D6">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zh-CN" w:bidi="ar-SA"/>
              </w:rPr>
            </w:pP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E5B58D6">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根据中华人民共和国财政部、中华人民共和国工业和信 息化部《政府采购促进中小企业发展管理办法》（财库 [2020]46号）文件的规定，属于中小企业评审优惠内容 及幅度如下：</w:t>
            </w:r>
          </w:p>
          <w:p w14:paraId="1437540D">
            <w:pPr>
              <w:keepNext w:val="0"/>
              <w:keepLines w:val="0"/>
              <w:widowControl/>
              <w:suppressLineNumbers w:val="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序号名称内容 （一）在政府采购活动中，供应商提供的货物、工程或 者服务符合下列情形的，享受本办法规定的中小企业扶 持政策： （一）在货物采购项目中，货物由中小企业制造，即货 物由中小企业生产且使用该中小企业商号或者注册商 标； （二）在工程采购项目中，工程由中小企业承建，即工 程施工单位为中小企业； （三）在服务采购项目中，服务由中小企业承接，即提 供服务的人员为中小企业依照《中华人民共和国劳动合 同法》订立劳动合同的从业人员。 在货物采购项目中，供应商提供的货物既有中小企业制 造货物，也有大型企业制造货物的，不享受本办法规定 的中小企业扶持政策。 以联合体形式参加政府采购活动，联合体各方均为中小 企业的，联合体视同中小企业。其中，联合体各方均为 小微企业的，联合体视同小微企业。 监狱企业、残疾人福利性企业视同为小微企业。 （二）价格扣除办法：对小型和微型企业（或联合体各 方均为小型、微型企业的）的报价给予10</w:t>
            </w:r>
            <w:r>
              <w:rPr>
                <w:rFonts w:hint="default" w:ascii="Times New Roman" w:hAnsi="Arial" w:eastAsia="Arial" w:cs="宋体"/>
                <w:snapToGrid w:val="0"/>
                <w:color w:val="000000"/>
                <w:kern w:val="0"/>
                <w:sz w:val="24"/>
                <w:szCs w:val="24"/>
                <w:highlight w:val="none"/>
                <w:lang w:val="en-US" w:eastAsia="zh-CN" w:bidi="ar-SA"/>
              </w:rPr>
              <w:t>%</w:t>
            </w:r>
            <w:r>
              <w:rPr>
                <w:rFonts w:hint="eastAsia" w:ascii="Times New Roman" w:hAnsi="Arial" w:eastAsia="Arial" w:cs="宋体"/>
                <w:snapToGrid w:val="0"/>
                <w:color w:val="000000"/>
                <w:kern w:val="0"/>
                <w:sz w:val="24"/>
                <w:szCs w:val="24"/>
                <w:highlight w:val="none"/>
                <w:lang w:val="en-US" w:eastAsia="zh-CN" w:bidi="ar-SA"/>
              </w:rPr>
              <w:t>的扣除，用扣 除后的价格参与价格分的评审。 （三）小型和微型企业适用价格扣除办法时应提供的相 关资料：《中小企业声明函》。</w:t>
            </w:r>
          </w:p>
          <w:p w14:paraId="1B688553">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p>
        </w:tc>
      </w:tr>
      <w:tr w14:paraId="7362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3F09CCCF">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21</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22E58AC">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评标办法</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00EEC25">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综合评分法</w:t>
            </w:r>
          </w:p>
        </w:tc>
      </w:tr>
      <w:tr w14:paraId="6482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608F89C9">
            <w:pPr>
              <w:spacing w:line="240" w:lineRule="auto"/>
              <w:ind w:firstLine="0" w:firstLineChars="0"/>
              <w:jc w:val="center"/>
              <w:rPr>
                <w:rFonts w:hint="default" w:cs="宋体"/>
                <w:sz w:val="24"/>
                <w:szCs w:val="24"/>
                <w:highlight w:val="none"/>
                <w:lang w:val="en-US" w:eastAsia="zh-CN"/>
              </w:rPr>
            </w:pPr>
            <w:r>
              <w:rPr>
                <w:rFonts w:hint="eastAsia" w:cs="宋体"/>
                <w:sz w:val="24"/>
                <w:szCs w:val="24"/>
                <w:highlight w:val="none"/>
                <w:lang w:val="en-US" w:eastAsia="zh-CN"/>
              </w:rPr>
              <w:t>22</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8D6EF7A">
            <w:pPr>
              <w:pStyle w:val="23"/>
              <w:keepNext w:val="0"/>
              <w:keepLines w:val="0"/>
              <w:pageBreakBefore w:val="0"/>
              <w:kinsoku/>
              <w:wordWrap/>
              <w:topLinePunct w:val="0"/>
              <w:bidi w:val="0"/>
              <w:snapToGrid w:val="0"/>
              <w:spacing w:line="400" w:lineRule="exact"/>
              <w:ind w:left="0" w:leftChars="0" w:firstLine="0" w:firstLineChars="0"/>
              <w:jc w:val="center"/>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成交结果</w:t>
            </w:r>
          </w:p>
          <w:p w14:paraId="6C1992FD">
            <w:pPr>
              <w:pStyle w:val="23"/>
              <w:keepNext w:val="0"/>
              <w:keepLines w:val="0"/>
              <w:pageBreakBefore w:val="0"/>
              <w:kinsoku/>
              <w:wordWrap/>
              <w:topLinePunct w:val="0"/>
              <w:bidi w:val="0"/>
              <w:snapToGrid w:val="0"/>
              <w:spacing w:line="400" w:lineRule="exact"/>
              <w:ind w:left="0" w:leftChars="0" w:firstLine="0" w:firstLineChars="0"/>
              <w:jc w:val="center"/>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公告</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3D5657F8">
            <w:pPr>
              <w:pStyle w:val="23"/>
              <w:keepNext w:val="0"/>
              <w:keepLines w:val="0"/>
              <w:pageBreakBefore w:val="0"/>
              <w:kinsoku/>
              <w:wordWrap/>
              <w:topLinePunct w:val="0"/>
              <w:bidi w:val="0"/>
              <w:snapToGrid w:val="0"/>
              <w:spacing w:line="400" w:lineRule="exact"/>
              <w:ind w:left="0" w:leftChars="0" w:firstLine="0" w:firstLineChars="0"/>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成交结果公告将在新疆政府采购网发布。</w:t>
            </w:r>
          </w:p>
        </w:tc>
      </w:tr>
    </w:tbl>
    <w:p w14:paraId="5511BB08">
      <w:pPr>
        <w:pStyle w:val="5"/>
        <w:ind w:left="0" w:leftChars="0" w:firstLine="0" w:firstLineChars="0"/>
        <w:rPr>
          <w:rFonts w:hint="eastAsia"/>
          <w:highlight w:val="none"/>
        </w:rPr>
      </w:pPr>
      <w:bookmarkStart w:id="11" w:name="_Toc403987205"/>
      <w:bookmarkStart w:id="12" w:name="_Toc513029203"/>
      <w:bookmarkStart w:id="13" w:name="_Toc16938519"/>
      <w:bookmarkStart w:id="14" w:name="_Toc120614214"/>
      <w:bookmarkStart w:id="15" w:name="_Toc20823275"/>
    </w:p>
    <w:bookmarkEnd w:id="11"/>
    <w:bookmarkEnd w:id="12"/>
    <w:bookmarkEnd w:id="13"/>
    <w:bookmarkEnd w:id="14"/>
    <w:bookmarkEnd w:id="15"/>
    <w:p w14:paraId="10131023">
      <w:pPr>
        <w:pStyle w:val="3"/>
        <w:numPr>
          <w:ilvl w:val="0"/>
          <w:numId w:val="0"/>
        </w:numPr>
        <w:bidi w:val="0"/>
        <w:jc w:val="both"/>
        <w:rPr>
          <w:rFonts w:hint="eastAsia" w:ascii="宋体" w:hAnsi="宋体" w:eastAsia="宋体" w:cs="宋体"/>
          <w:b/>
          <w:sz w:val="24"/>
          <w:szCs w:val="24"/>
          <w:highlight w:val="none"/>
        </w:rPr>
      </w:pPr>
      <w:bookmarkStart w:id="16" w:name="_Toc21036"/>
      <w:bookmarkStart w:id="17" w:name="_Toc403987212"/>
      <w:bookmarkStart w:id="18" w:name="_Toc20823314"/>
      <w:bookmarkStart w:id="19" w:name="_Toc479757207"/>
      <w:bookmarkStart w:id="20" w:name="_Toc513029242"/>
      <w:bookmarkStart w:id="21" w:name="_Toc120614221"/>
      <w:bookmarkStart w:id="22" w:name="_Toc16938558"/>
    </w:p>
    <w:p w14:paraId="4310E2C7">
      <w:pPr>
        <w:rPr>
          <w:rFonts w:hint="eastAsia" w:ascii="宋体" w:hAnsi="宋体" w:eastAsia="宋体" w:cs="宋体"/>
          <w:b/>
          <w:sz w:val="24"/>
          <w:szCs w:val="24"/>
          <w:highlight w:val="none"/>
        </w:rPr>
      </w:pPr>
    </w:p>
    <w:p w14:paraId="5BC52996">
      <w:pPr>
        <w:pStyle w:val="22"/>
        <w:rPr>
          <w:rFonts w:hint="eastAsia" w:ascii="宋体" w:hAnsi="宋体" w:eastAsia="宋体" w:cs="宋体"/>
          <w:b/>
          <w:sz w:val="24"/>
          <w:szCs w:val="24"/>
          <w:highlight w:val="none"/>
        </w:rPr>
      </w:pPr>
    </w:p>
    <w:p w14:paraId="490ED7F9">
      <w:pPr>
        <w:pStyle w:val="22"/>
        <w:rPr>
          <w:rFonts w:hint="eastAsia" w:ascii="宋体" w:hAnsi="宋体" w:eastAsia="宋体" w:cs="宋体"/>
          <w:b/>
          <w:sz w:val="24"/>
          <w:szCs w:val="24"/>
          <w:highlight w:val="none"/>
        </w:rPr>
      </w:pPr>
    </w:p>
    <w:p w14:paraId="00DFCE13">
      <w:pPr>
        <w:pStyle w:val="22"/>
        <w:rPr>
          <w:rFonts w:hint="eastAsia" w:ascii="宋体" w:hAnsi="宋体" w:eastAsia="宋体" w:cs="宋体"/>
          <w:b/>
          <w:sz w:val="24"/>
          <w:szCs w:val="24"/>
          <w:highlight w:val="none"/>
        </w:rPr>
      </w:pPr>
    </w:p>
    <w:p w14:paraId="301D328F">
      <w:pPr>
        <w:pStyle w:val="22"/>
        <w:rPr>
          <w:rFonts w:hint="eastAsia" w:ascii="宋体" w:hAnsi="宋体" w:eastAsia="宋体" w:cs="宋体"/>
          <w:b/>
          <w:sz w:val="24"/>
          <w:szCs w:val="24"/>
          <w:highlight w:val="none"/>
        </w:rPr>
      </w:pPr>
    </w:p>
    <w:p w14:paraId="493E1F23">
      <w:pPr>
        <w:pStyle w:val="22"/>
        <w:rPr>
          <w:rFonts w:hint="eastAsia" w:ascii="宋体" w:hAnsi="宋体" w:eastAsia="宋体" w:cs="宋体"/>
          <w:b/>
          <w:sz w:val="24"/>
          <w:szCs w:val="24"/>
          <w:highlight w:val="none"/>
        </w:rPr>
      </w:pPr>
    </w:p>
    <w:p w14:paraId="4C877323">
      <w:pPr>
        <w:pStyle w:val="3"/>
        <w:numPr>
          <w:ilvl w:val="0"/>
          <w:numId w:val="0"/>
        </w:numPr>
        <w:bidi w:val="0"/>
        <w:ind w:firstLine="3614" w:firstLineChars="1500"/>
        <w:jc w:val="both"/>
        <w:rPr>
          <w:rFonts w:hint="eastAsia" w:ascii="宋体" w:hAnsi="宋体" w:eastAsia="宋体" w:cs="宋体"/>
          <w:b/>
          <w:sz w:val="30"/>
          <w:highlight w:val="none"/>
        </w:rPr>
      </w:pPr>
      <w:r>
        <w:rPr>
          <w:rFonts w:hint="eastAsia" w:ascii="宋体" w:hAnsi="宋体" w:eastAsia="宋体" w:cs="宋体"/>
          <w:b/>
          <w:sz w:val="24"/>
          <w:szCs w:val="24"/>
          <w:highlight w:val="none"/>
        </w:rPr>
        <w:t>二、投标人须知</w:t>
      </w:r>
      <w:bookmarkEnd w:id="16"/>
    </w:p>
    <w:p w14:paraId="07F49E66">
      <w:pPr>
        <w:pStyle w:val="4"/>
        <w:numPr>
          <w:ilvl w:val="0"/>
          <w:numId w:val="0"/>
        </w:numPr>
        <w:bidi w:val="0"/>
        <w:ind w:leftChars="200"/>
        <w:jc w:val="center"/>
        <w:rPr>
          <w:rFonts w:hint="eastAsia" w:ascii="宋体" w:hAnsi="宋体" w:eastAsia="宋体" w:cs="宋体"/>
          <w:highlight w:val="none"/>
        </w:rPr>
      </w:pPr>
      <w:bookmarkStart w:id="23" w:name="（一）总  则"/>
      <w:bookmarkEnd w:id="23"/>
      <w:bookmarkStart w:id="24" w:name="_Toc10181"/>
      <w:r>
        <w:rPr>
          <w:rFonts w:hint="eastAsia" w:ascii="宋体" w:hAnsi="宋体" w:eastAsia="宋体" w:cs="宋体"/>
          <w:highlight w:val="none"/>
        </w:rPr>
        <w:t>（一）总则</w:t>
      </w:r>
      <w:bookmarkEnd w:id="24"/>
    </w:p>
    <w:p w14:paraId="31AD495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项目概况</w:t>
      </w:r>
    </w:p>
    <w:p w14:paraId="36FD10F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本次招标采购项目名称：见投标人须知前附表。</w:t>
      </w:r>
    </w:p>
    <w:p w14:paraId="440D48A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项目编号：见投标人须知前附表。</w:t>
      </w:r>
    </w:p>
    <w:p w14:paraId="55C6E9A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招标人：见投标人须知前附表。</w:t>
      </w:r>
    </w:p>
    <w:p w14:paraId="1C99383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供货期（服务周期）：见投标人须知前附表。</w:t>
      </w:r>
    </w:p>
    <w:p w14:paraId="3101E93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供货地点：见投标人须知前附表。</w:t>
      </w:r>
    </w:p>
    <w:p w14:paraId="59E4AE6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招标人及联系人:见投标人须知前附表。</w:t>
      </w:r>
    </w:p>
    <w:p w14:paraId="52C6F35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代理机构及联系人:见投标人须知前附表。</w:t>
      </w:r>
    </w:p>
    <w:p w14:paraId="0FC71FC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本项目预算：见投标人须知前附表。</w:t>
      </w:r>
    </w:p>
    <w:p w14:paraId="0432F6C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本项目控制价：见投标人须知前附表。</w:t>
      </w:r>
    </w:p>
    <w:p w14:paraId="7838A4E1">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2.招标范围：</w:t>
      </w:r>
    </w:p>
    <w:p w14:paraId="5FD7A7F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rPr>
        <w:t>采购内容：见投标人须知前附表。</w:t>
      </w:r>
    </w:p>
    <w:p w14:paraId="009880D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w:t>
      </w:r>
      <w:r>
        <w:rPr>
          <w:rFonts w:hint="eastAsia" w:ascii="宋体" w:hAnsi="宋体" w:eastAsia="宋体" w:cs="宋体"/>
          <w:sz w:val="24"/>
          <w:szCs w:val="24"/>
          <w:highlight w:val="none"/>
        </w:rPr>
        <w:t>技术要求：详见采购文件第四章采购内容及技术要求。</w:t>
      </w:r>
    </w:p>
    <w:p w14:paraId="068A598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3.标包划分：</w:t>
      </w:r>
    </w:p>
    <w:p w14:paraId="28998A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3.1本项目划分：1个标包。</w:t>
      </w:r>
    </w:p>
    <w:p w14:paraId="2375049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4.招标方式：</w:t>
      </w:r>
    </w:p>
    <w:p w14:paraId="369FCB3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4.1本项目招标方式：见投标人须知前附表。</w:t>
      </w:r>
    </w:p>
    <w:p w14:paraId="0EAE1D9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5.计价方式：</w:t>
      </w:r>
    </w:p>
    <w:p w14:paraId="5A10E1C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5.1本次招标项目合同采用固定总价。</w:t>
      </w:r>
    </w:p>
    <w:p w14:paraId="2A7ADD2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评标办法：</w:t>
      </w:r>
    </w:p>
    <w:p w14:paraId="79CF559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本次招标评标采用符合磋商文件的综合评分法（详见第三章评标办法）</w:t>
      </w:r>
    </w:p>
    <w:p w14:paraId="4FD3DF9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7.投标人资格：</w:t>
      </w:r>
    </w:p>
    <w:p w14:paraId="149FBA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7.1</w:t>
      </w:r>
      <w:r>
        <w:rPr>
          <w:rFonts w:hint="eastAsia" w:ascii="宋体" w:hAnsi="宋体" w:eastAsia="宋体" w:cs="宋体"/>
          <w:sz w:val="24"/>
          <w:szCs w:val="24"/>
          <w:highlight w:val="none"/>
        </w:rPr>
        <w:t>参与采购活动的投标人必须是满足《中华人民共和国政府采购法》规定条件的法人、其他组织或者自然人：</w:t>
      </w:r>
    </w:p>
    <w:p w14:paraId="618ECCF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7.2</w:t>
      </w:r>
      <w:r>
        <w:rPr>
          <w:rFonts w:hint="eastAsia" w:ascii="宋体" w:hAnsi="宋体" w:eastAsia="宋体" w:cs="宋体"/>
          <w:sz w:val="24"/>
          <w:szCs w:val="24"/>
          <w:highlight w:val="none"/>
        </w:rPr>
        <w:t>由于政府采购项目的差异性，投标人在参与具体政府采购项目活动时，应仔细阅读该项目的资质要求,具体见投标人须知前附表。</w:t>
      </w:r>
    </w:p>
    <w:p w14:paraId="2709D79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7.3</w:t>
      </w:r>
      <w:r>
        <w:rPr>
          <w:rFonts w:hint="eastAsia" w:ascii="宋体" w:hAnsi="宋体" w:eastAsia="宋体" w:cs="宋体"/>
          <w:sz w:val="24"/>
          <w:szCs w:val="24"/>
          <w:highlight w:val="none"/>
        </w:rPr>
        <w:t>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422C15E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7.4</w:t>
      </w:r>
      <w:r>
        <w:rPr>
          <w:rFonts w:hint="eastAsia" w:ascii="宋体" w:hAnsi="宋体" w:eastAsia="宋体" w:cs="宋体"/>
          <w:sz w:val="24"/>
          <w:szCs w:val="24"/>
          <w:highlight w:val="none"/>
        </w:rPr>
        <w:t>投标人必须确保自己在信息库中注册的信息真实、准确，并保证投标文件中的有关信息与库中的信息相一致。否则，投标人因此蒙受损失，招标人概不负责。</w:t>
      </w:r>
    </w:p>
    <w:p w14:paraId="7B03F5B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8.</w:t>
      </w:r>
      <w:r>
        <w:rPr>
          <w:rFonts w:hint="eastAsia" w:ascii="宋体" w:hAnsi="宋体" w:eastAsia="宋体" w:cs="宋体"/>
          <w:b/>
          <w:bCs/>
          <w:sz w:val="24"/>
          <w:szCs w:val="24"/>
          <w:highlight w:val="none"/>
        </w:rPr>
        <w:t>投标费用</w:t>
      </w:r>
    </w:p>
    <w:p w14:paraId="247E0B1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8.1</w:t>
      </w:r>
      <w:r>
        <w:rPr>
          <w:rFonts w:hint="eastAsia" w:ascii="宋体" w:hAnsi="宋体" w:eastAsia="宋体" w:cs="宋体"/>
          <w:sz w:val="24"/>
          <w:szCs w:val="24"/>
          <w:highlight w:val="none"/>
        </w:rPr>
        <w:t>投标人准备和参加投标活动发生的费用自理。</w:t>
      </w:r>
    </w:p>
    <w:p w14:paraId="55556FE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9.</w:t>
      </w:r>
      <w:r>
        <w:rPr>
          <w:rFonts w:hint="eastAsia" w:ascii="宋体" w:hAnsi="宋体" w:eastAsia="宋体" w:cs="宋体"/>
          <w:b/>
          <w:bCs/>
          <w:sz w:val="24"/>
          <w:szCs w:val="24"/>
          <w:highlight w:val="none"/>
        </w:rPr>
        <w:t>踏勘现场</w:t>
      </w:r>
    </w:p>
    <w:p w14:paraId="743CCC0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9.1</w:t>
      </w:r>
      <w:r>
        <w:rPr>
          <w:rFonts w:hint="eastAsia" w:ascii="宋体" w:hAnsi="宋体" w:eastAsia="宋体" w:cs="宋体"/>
          <w:sz w:val="24"/>
          <w:szCs w:val="24"/>
          <w:highlight w:val="none"/>
        </w:rPr>
        <w:t>投标人须知前附表规定组织踏勘现场的，招标人按投标人须知前附表规定的时间、地点组织投标人踏勘项目现场。如需踏勘现场，投标人自行踏勘现场的，可咨询本项目采购人或采购代理机构联系人。</w:t>
      </w:r>
      <w:r>
        <w:rPr>
          <w:rFonts w:hint="eastAsia" w:ascii="宋体" w:hAnsi="宋体" w:eastAsia="宋体" w:cs="宋体"/>
          <w:b/>
          <w:bCs/>
          <w:sz w:val="24"/>
          <w:szCs w:val="24"/>
          <w:highlight w:val="none"/>
        </w:rPr>
        <w:t>投标人自行踏勘现场的，可咨询本项目采购人或采购代理机构联系人。</w:t>
      </w:r>
    </w:p>
    <w:p w14:paraId="03B825F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9.2</w:t>
      </w:r>
      <w:r>
        <w:rPr>
          <w:rFonts w:hint="eastAsia" w:ascii="宋体" w:hAnsi="宋体" w:eastAsia="宋体" w:cs="宋体"/>
          <w:sz w:val="24"/>
          <w:szCs w:val="24"/>
          <w:highlight w:val="none"/>
        </w:rPr>
        <w:t>投标人踏勘现场发生的费用自理。</w:t>
      </w:r>
    </w:p>
    <w:p w14:paraId="44748A7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9.3</w:t>
      </w:r>
      <w:r>
        <w:rPr>
          <w:rFonts w:hint="eastAsia" w:ascii="宋体" w:hAnsi="宋体" w:eastAsia="宋体" w:cs="宋体"/>
          <w:sz w:val="24"/>
          <w:szCs w:val="24"/>
          <w:highlight w:val="none"/>
        </w:rPr>
        <w:t>除招标人的原因外，投标人自行负责在踏勘现场中所发生的人员伤亡和财产损失。</w:t>
      </w:r>
    </w:p>
    <w:p w14:paraId="7604BC7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9.4</w:t>
      </w:r>
      <w:r>
        <w:rPr>
          <w:rFonts w:hint="eastAsia" w:ascii="宋体" w:hAnsi="宋体" w:eastAsia="宋体" w:cs="宋体"/>
          <w:sz w:val="24"/>
          <w:szCs w:val="24"/>
          <w:highlight w:val="none"/>
        </w:rPr>
        <w:t>组织投标人对现场及周围环境进行踏勘，以便投标人获取有关编制投标文件和签署合同所涉及现场的资料。招标人在踏勘现场中介绍的场地和相关的周边环境情况，供投标人在编制投标文件时参考，招标人不对投标人据此作出的判断和决策负责。</w:t>
      </w:r>
    </w:p>
    <w:p w14:paraId="60058EA6">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10.</w:t>
      </w:r>
      <w:r>
        <w:rPr>
          <w:rFonts w:hint="eastAsia" w:ascii="宋体" w:hAnsi="宋体" w:eastAsia="宋体" w:cs="宋体"/>
          <w:b/>
          <w:bCs/>
          <w:sz w:val="24"/>
          <w:szCs w:val="24"/>
          <w:highlight w:val="none"/>
        </w:rPr>
        <w:t>投标预备会</w:t>
      </w:r>
    </w:p>
    <w:p w14:paraId="5F22E3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投标人须知前附表规定召开投标预备会的，招标人按投标人须知前附表规定的时间和地点召开投标预备会，澄清投标人提出的问题。</w:t>
      </w:r>
    </w:p>
    <w:p w14:paraId="1A0BA4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10.2</w:t>
      </w:r>
      <w:r>
        <w:rPr>
          <w:rFonts w:hint="eastAsia" w:ascii="宋体" w:hAnsi="宋体" w:eastAsia="宋体" w:cs="宋体"/>
          <w:sz w:val="24"/>
          <w:szCs w:val="24"/>
          <w:highlight w:val="none"/>
        </w:rPr>
        <w:t>投标人应在投标人须知前附表规定的时间前，将提出的问题送达招标人，以便招标人澄清。</w:t>
      </w:r>
    </w:p>
    <w:p w14:paraId="4880FCB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10.3</w:t>
      </w:r>
      <w:r>
        <w:rPr>
          <w:rFonts w:hint="eastAsia" w:ascii="宋体" w:hAnsi="宋体" w:eastAsia="宋体" w:cs="宋体"/>
          <w:sz w:val="24"/>
          <w:szCs w:val="24"/>
          <w:highlight w:val="none"/>
        </w:rPr>
        <w:t>招标人在投标人须知前附表规定的时间，将对投标人所提的问题进行澄清。该澄清内容为采购文件的组成部分。</w:t>
      </w:r>
    </w:p>
    <w:p w14:paraId="61E9553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11.</w:t>
      </w:r>
      <w:r>
        <w:rPr>
          <w:rFonts w:hint="eastAsia" w:ascii="宋体" w:hAnsi="宋体" w:eastAsia="宋体" w:cs="宋体"/>
          <w:b/>
          <w:bCs/>
          <w:sz w:val="24"/>
          <w:szCs w:val="24"/>
          <w:highlight w:val="none"/>
        </w:rPr>
        <w:t>联合投标</w:t>
      </w:r>
    </w:p>
    <w:p w14:paraId="4D64625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11.1</w:t>
      </w:r>
      <w:r>
        <w:rPr>
          <w:rFonts w:hint="eastAsia" w:ascii="宋体" w:hAnsi="宋体" w:eastAsia="宋体" w:cs="宋体"/>
          <w:sz w:val="24"/>
          <w:szCs w:val="24"/>
          <w:highlight w:val="none"/>
        </w:rPr>
        <w:t>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5D7EA53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11.2</w:t>
      </w:r>
      <w:r>
        <w:rPr>
          <w:rFonts w:hint="eastAsia" w:ascii="宋体" w:hAnsi="宋体" w:eastAsia="宋体" w:cs="宋体"/>
          <w:sz w:val="24"/>
          <w:szCs w:val="24"/>
          <w:highlight w:val="none"/>
        </w:rPr>
        <w:t>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36DFB5B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11.3</w:t>
      </w:r>
      <w:r>
        <w:rPr>
          <w:rFonts w:hint="eastAsia" w:ascii="宋体" w:hAnsi="宋体" w:eastAsia="宋体" w:cs="宋体"/>
          <w:sz w:val="24"/>
          <w:szCs w:val="24"/>
          <w:highlight w:val="none"/>
        </w:rPr>
        <w:t>联合体应当确定其中一个单位为投标的全权代表，负责参加投标的一切事务，并承担投标及履约中应承担的全部责任与义务。</w:t>
      </w:r>
    </w:p>
    <w:p w14:paraId="15E97CF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11.4</w:t>
      </w:r>
      <w:r>
        <w:rPr>
          <w:rFonts w:hint="eastAsia" w:ascii="宋体" w:hAnsi="宋体" w:eastAsia="宋体" w:cs="宋体"/>
          <w:sz w:val="24"/>
          <w:szCs w:val="24"/>
          <w:highlight w:val="none"/>
        </w:rPr>
        <w:t>联合体各方应当共同与招标人签订采购合同，就采购合同约定的事项对招标人承担连带责任。</w:t>
      </w:r>
    </w:p>
    <w:p w14:paraId="4FBAC05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12.招标代理费</w:t>
      </w:r>
    </w:p>
    <w:p w14:paraId="7B32B1F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12.1中标单位在领取本项目中标通知书时，按照</w:t>
      </w:r>
      <w:r>
        <w:rPr>
          <w:rFonts w:ascii="宋体" w:hAnsi="宋体" w:eastAsia="宋体" w:cs="宋体"/>
          <w:b w:val="0"/>
          <w:bCs w:val="0"/>
          <w:color w:val="000000"/>
          <w:sz w:val="24"/>
          <w:szCs w:val="24"/>
          <w:highlight w:val="none"/>
        </w:rPr>
        <w:t xml:space="preserve"> 收费标准：</w:t>
      </w:r>
      <w:r>
        <w:rPr>
          <w:rFonts w:hint="eastAsia" w:ascii="Times New Roman" w:hAnsi="Arial" w:eastAsia="Arial" w:cs="宋体"/>
          <w:snapToGrid w:val="0"/>
          <w:color w:val="000000"/>
          <w:kern w:val="0"/>
          <w:sz w:val="24"/>
          <w:szCs w:val="24"/>
          <w:highlight w:val="none"/>
          <w:lang w:val="en-US" w:eastAsia="en-US" w:bidi="ar-SA"/>
        </w:rPr>
        <w:t>中标或成交供应商。 收费标准：</w:t>
      </w:r>
      <w:r>
        <w:rPr>
          <w:rFonts w:hint="eastAsia" w:ascii="Times New Roman" w:hAnsi="Arial" w:eastAsia="Arial" w:cs="宋体"/>
          <w:snapToGrid w:val="0"/>
          <w:color w:val="000000"/>
          <w:kern w:val="0"/>
          <w:sz w:val="24"/>
          <w:szCs w:val="24"/>
          <w:highlight w:val="none"/>
          <w:lang w:val="en-US" w:eastAsia="zh-CN" w:bidi="ar-SA"/>
        </w:rPr>
        <w:t>参考《招标代理服务管理暂行办法》（计价格）【2002】1980号收费标准</w:t>
      </w:r>
      <w:r>
        <w:rPr>
          <w:rFonts w:hint="eastAsia" w:ascii="Times New Roman" w:hAnsi="Arial" w:eastAsia="Arial" w:cs="宋体"/>
          <w:snapToGrid w:val="0"/>
          <w:color w:val="000000"/>
          <w:kern w:val="0"/>
          <w:sz w:val="24"/>
          <w:szCs w:val="24"/>
          <w:highlight w:val="none"/>
          <w:lang w:val="en-US" w:eastAsia="en-US" w:bidi="ar-SA"/>
        </w:rPr>
        <w:t>。</w:t>
      </w:r>
    </w:p>
    <w:p w14:paraId="762BD96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13.</w:t>
      </w:r>
      <w:r>
        <w:rPr>
          <w:rFonts w:hint="eastAsia" w:ascii="宋体" w:hAnsi="宋体" w:eastAsia="宋体" w:cs="宋体"/>
          <w:b/>
          <w:bCs/>
          <w:sz w:val="24"/>
          <w:szCs w:val="24"/>
          <w:highlight w:val="none"/>
        </w:rPr>
        <w:t>投标人应注意的事项</w:t>
      </w:r>
    </w:p>
    <w:p w14:paraId="7FB689D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13.1</w:t>
      </w:r>
      <w:r>
        <w:rPr>
          <w:rFonts w:hint="eastAsia" w:ascii="宋体" w:hAnsi="宋体" w:eastAsia="宋体" w:cs="宋体"/>
          <w:sz w:val="24"/>
          <w:szCs w:val="24"/>
          <w:highlight w:val="none"/>
        </w:rPr>
        <w:t>投标人一旦按规定缴纳了投标保证金并参加投标，即被认为接受了本采购文件中的所有条件和规定。投标人必须严格按采购文件的要求编制投标文件，投标文件宜编制页码和目录，以便评委审核。否则，由此产生的一切后果由投标人承担。</w:t>
      </w:r>
    </w:p>
    <w:p w14:paraId="52075E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13.2</w:t>
      </w:r>
      <w:r>
        <w:rPr>
          <w:rFonts w:hint="eastAsia" w:ascii="宋体" w:hAnsi="宋体" w:eastAsia="宋体" w:cs="宋体"/>
          <w:sz w:val="24"/>
          <w:szCs w:val="24"/>
          <w:highlight w:val="none"/>
        </w:rPr>
        <w:t>投标人对采购内容中规定的技术参数、规格等要求必须完全响应或优于采购文件中的要求。</w:t>
      </w:r>
    </w:p>
    <w:p w14:paraId="306F0C1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13.3</w:t>
      </w:r>
      <w:r>
        <w:rPr>
          <w:rFonts w:hint="eastAsia" w:ascii="宋体" w:hAnsi="宋体" w:eastAsia="宋体" w:cs="宋体"/>
          <w:sz w:val="24"/>
          <w:szCs w:val="24"/>
          <w:highlight w:val="none"/>
        </w:rPr>
        <w:t>所有投标人的投标保证金都应在采购文件规定的投标保证金缴纳截止日期前缴纳。</w:t>
      </w:r>
    </w:p>
    <w:p w14:paraId="6C674EF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13.4</w:t>
      </w:r>
      <w:r>
        <w:rPr>
          <w:rFonts w:hint="eastAsia" w:ascii="宋体" w:hAnsi="宋体" w:eastAsia="宋体" w:cs="宋体"/>
          <w:sz w:val="24"/>
          <w:szCs w:val="24"/>
          <w:highlight w:val="none"/>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59CA03C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13.5</w:t>
      </w:r>
      <w:r>
        <w:rPr>
          <w:rFonts w:hint="eastAsia" w:ascii="宋体" w:hAnsi="宋体" w:eastAsia="宋体" w:cs="宋体"/>
          <w:sz w:val="24"/>
          <w:szCs w:val="24"/>
          <w:highlight w:val="none"/>
        </w:rPr>
        <w:t>本项目只接受成为新疆维吾尔自治区政府采购网正式注册入库并完成CA数字证书申领供应商参与投标。因未注册入库、未办理CA数字证书等原因造成无法投标或投标失败等后果由供应商自行承担。</w:t>
      </w:r>
    </w:p>
    <w:p w14:paraId="4581B66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13.6</w:t>
      </w:r>
      <w:r>
        <w:rPr>
          <w:rFonts w:hint="eastAsia" w:ascii="宋体" w:hAnsi="宋体" w:eastAsia="宋体" w:cs="宋体"/>
          <w:sz w:val="24"/>
          <w:szCs w:val="24"/>
          <w:highlight w:val="none"/>
        </w:rPr>
        <w:t>投标人被视为充分熟悉本招标项目所在地的与履行合同有关的各种情况，包括但不限于：</w:t>
      </w:r>
    </w:p>
    <w:p w14:paraId="792D78B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国家对本次投标货物和服务的生产、安装调试、验收、维修等有关法律、法规及行业管理标准；</w:t>
      </w:r>
    </w:p>
    <w:p w14:paraId="00CB58D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本地区有关管理部门的相关规定；</w:t>
      </w:r>
    </w:p>
    <w:p w14:paraId="44FF4CC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招标人的相关场地情况、基础建设、电力供应情况及相关设计标准。</w:t>
      </w:r>
    </w:p>
    <w:p w14:paraId="20F1A0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本采购文件不再对上述情况进行描述。</w:t>
      </w:r>
    </w:p>
    <w:p w14:paraId="68650B9E">
      <w:pPr>
        <w:pStyle w:val="4"/>
        <w:bidi w:val="0"/>
        <w:ind w:left="918" w:leftChars="0" w:firstLineChars="0"/>
        <w:rPr>
          <w:rFonts w:hint="eastAsia" w:ascii="宋体" w:hAnsi="宋体" w:eastAsia="宋体" w:cs="宋体"/>
          <w:sz w:val="24"/>
          <w:szCs w:val="24"/>
          <w:highlight w:val="none"/>
        </w:rPr>
      </w:pPr>
      <w:bookmarkStart w:id="25" w:name="_Toc27776"/>
      <w:r>
        <w:rPr>
          <w:rFonts w:hint="eastAsia" w:ascii="宋体" w:hAnsi="宋体" w:eastAsia="宋体" w:cs="宋体"/>
          <w:highlight w:val="none"/>
        </w:rPr>
        <w:t>（二）磋商文件</w:t>
      </w:r>
      <w:bookmarkEnd w:id="25"/>
    </w:p>
    <w:p w14:paraId="61D6FC91">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15.</w:t>
      </w:r>
      <w:r>
        <w:rPr>
          <w:rFonts w:hint="eastAsia" w:ascii="宋体" w:hAnsi="宋体" w:eastAsia="宋体" w:cs="宋体"/>
          <w:b/>
          <w:bCs/>
          <w:sz w:val="24"/>
          <w:szCs w:val="24"/>
          <w:highlight w:val="none"/>
        </w:rPr>
        <w:t>采购文件的编制依据</w:t>
      </w:r>
    </w:p>
    <w:p w14:paraId="5B9157E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根据《中华人民共和国政府采购法》、《政府采购货物和服务招标投标管理办法》和《中华人民共和国合同法》等相关法律法规和规章及部、省、市级规范性文件的规定，编制本采购文件。</w:t>
      </w:r>
    </w:p>
    <w:p w14:paraId="2B234F9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16.</w:t>
      </w:r>
      <w:r>
        <w:rPr>
          <w:rFonts w:hint="eastAsia" w:ascii="宋体" w:hAnsi="宋体" w:eastAsia="宋体" w:cs="宋体"/>
          <w:b/>
          <w:bCs/>
          <w:sz w:val="24"/>
          <w:szCs w:val="24"/>
          <w:highlight w:val="none"/>
        </w:rPr>
        <w:t>磋商文件的组成</w:t>
      </w:r>
    </w:p>
    <w:p w14:paraId="7D95A44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16.1</w:t>
      </w:r>
      <w:r>
        <w:rPr>
          <w:rFonts w:hint="eastAsia" w:ascii="宋体" w:hAnsi="宋体" w:eastAsia="宋体" w:cs="宋体"/>
          <w:sz w:val="24"/>
          <w:szCs w:val="24"/>
          <w:highlight w:val="none"/>
        </w:rPr>
        <w:t>磋商文件包括内容：</w:t>
      </w:r>
    </w:p>
    <w:p w14:paraId="020E2A5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第一章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磋商公告</w:t>
      </w:r>
    </w:p>
    <w:p w14:paraId="1FFEC8E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第二章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w:t>
      </w:r>
      <w:r>
        <w:rPr>
          <w:rFonts w:hint="eastAsia" w:ascii="宋体" w:hAnsi="宋体" w:eastAsia="宋体" w:cs="宋体"/>
          <w:sz w:val="24"/>
          <w:szCs w:val="24"/>
          <w:highlight w:val="none"/>
          <w:lang w:eastAsia="zh-CN"/>
        </w:rPr>
        <w:t>人</w:t>
      </w:r>
      <w:r>
        <w:rPr>
          <w:rFonts w:hint="eastAsia" w:ascii="宋体" w:hAnsi="宋体" w:eastAsia="宋体" w:cs="宋体"/>
          <w:sz w:val="24"/>
          <w:szCs w:val="24"/>
          <w:highlight w:val="none"/>
        </w:rPr>
        <w:t>须知</w:t>
      </w:r>
    </w:p>
    <w:p w14:paraId="106E53C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第三章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评标办法</w:t>
      </w:r>
    </w:p>
    <w:p w14:paraId="5FF8EFE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第四章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采购内容及技术要求</w:t>
      </w:r>
    </w:p>
    <w:p w14:paraId="4C6743E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第五章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合同条款及格式</w:t>
      </w:r>
    </w:p>
    <w:p w14:paraId="70B8E3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第六章 评审标准</w:t>
      </w:r>
    </w:p>
    <w:p w14:paraId="1055685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投标文件格式</w:t>
      </w:r>
    </w:p>
    <w:p w14:paraId="2F95B49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16.2</w:t>
      </w:r>
      <w:r>
        <w:rPr>
          <w:rFonts w:hint="eastAsia" w:ascii="宋体" w:hAnsi="宋体" w:eastAsia="宋体" w:cs="宋体"/>
          <w:sz w:val="24"/>
          <w:szCs w:val="24"/>
          <w:highlight w:val="none"/>
        </w:rPr>
        <w:t>除16.1内容外，招标答疑亦为采购文件的组成部分，对招标人和投标人起约束作用。</w:t>
      </w:r>
    </w:p>
    <w:p w14:paraId="296BC04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16.3</w:t>
      </w:r>
      <w:r>
        <w:rPr>
          <w:rFonts w:hint="eastAsia" w:ascii="宋体" w:hAnsi="宋体" w:eastAsia="宋体" w:cs="宋体"/>
          <w:sz w:val="24"/>
          <w:szCs w:val="24"/>
          <w:highlight w:val="none"/>
        </w:rPr>
        <w:t>投标人应仔细阅读和检查采购文件的全部内容。如发现缺页或附件不全，应及时向招标人提出，以便补齐。如有疑问，投标人应在以书面形式一次性向采购人和采购代理机构提出同一环节的质疑。</w:t>
      </w:r>
    </w:p>
    <w:p w14:paraId="59CCBF4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16.4</w:t>
      </w:r>
      <w:r>
        <w:rPr>
          <w:rFonts w:hint="eastAsia" w:ascii="宋体" w:hAnsi="宋体" w:eastAsia="宋体" w:cs="宋体"/>
          <w:sz w:val="24"/>
          <w:szCs w:val="24"/>
          <w:highlight w:val="none"/>
        </w:rPr>
        <w:t>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采购文件的澄清将在政采云平台“更正公告”栏目予以公告，但不指明澄清问题的来源。如果澄清内容影响投标文件编制的，将相应延长投标截止时间。</w:t>
      </w:r>
    </w:p>
    <w:p w14:paraId="3409ED6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17.</w:t>
      </w:r>
      <w:r>
        <w:rPr>
          <w:rFonts w:hint="eastAsia" w:ascii="宋体" w:hAnsi="宋体" w:eastAsia="宋体" w:cs="宋体"/>
          <w:b/>
          <w:bCs/>
          <w:sz w:val="24"/>
          <w:szCs w:val="24"/>
          <w:highlight w:val="none"/>
        </w:rPr>
        <w:t>磋商文件的修改、补充、解释</w:t>
      </w:r>
    </w:p>
    <w:p w14:paraId="176E32D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17.1</w:t>
      </w:r>
      <w:r>
        <w:rPr>
          <w:rFonts w:hint="eastAsia" w:ascii="宋体" w:hAnsi="宋体" w:eastAsia="宋体" w:cs="宋体"/>
          <w:sz w:val="24"/>
          <w:szCs w:val="24"/>
          <w:highlight w:val="none"/>
        </w:rPr>
        <w:t>磋商文件发出后，招标人在规定的投标截止时间前可对采购文件进行必要的修改和补充，并以更正公告形式在政采云平台“更正公告”栏目予以公告，请各位投标人注意查看有关澄清内容，如不及时查看造成后果由投标人自负。采购文件的修改、补充等内容作为采购文件的组成部分，具有约束作用。</w:t>
      </w:r>
    </w:p>
    <w:p w14:paraId="0BA582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17.2</w:t>
      </w:r>
      <w:r>
        <w:rPr>
          <w:rFonts w:hint="eastAsia" w:ascii="宋体" w:hAnsi="宋体" w:eastAsia="宋体" w:cs="宋体"/>
          <w:sz w:val="24"/>
          <w:szCs w:val="24"/>
          <w:highlight w:val="none"/>
        </w:rPr>
        <w:t>采购代理机构可视采购具体情况对已发出的采购文件进行必要的澄清、修改或者补充。澄清、修改或者补充的内容可能影响投标文件编制的，应当在投标截止时间至少3日前，在原公告发布媒体上发布澄清公告，澄清或者修改的内容为采购文件的组成部分；不足3日的，应当顺延提交投标文件的截止时间。</w:t>
      </w:r>
    </w:p>
    <w:p w14:paraId="73F4130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17.3</w:t>
      </w:r>
      <w:r>
        <w:rPr>
          <w:rFonts w:hint="eastAsia" w:ascii="宋体" w:hAnsi="宋体" w:eastAsia="宋体" w:cs="宋体"/>
          <w:sz w:val="24"/>
          <w:szCs w:val="24"/>
          <w:highlight w:val="none"/>
        </w:rPr>
        <w:t>供应商在规定的时间内未对采购文件提出疑问、质疑或要求澄清的，将视其为无异议。</w:t>
      </w:r>
    </w:p>
    <w:p w14:paraId="66EF865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17.4</w:t>
      </w:r>
      <w:r>
        <w:rPr>
          <w:rFonts w:hint="eastAsia" w:ascii="宋体" w:hAnsi="宋体" w:eastAsia="宋体" w:cs="宋体"/>
          <w:sz w:val="24"/>
          <w:szCs w:val="24"/>
          <w:highlight w:val="none"/>
        </w:rPr>
        <w:t>磋商文件的解释本磋商文件由招标人（或其委托的招标代理机构）负责解释。</w:t>
      </w:r>
    </w:p>
    <w:p w14:paraId="028CA81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18.</w:t>
      </w:r>
      <w:r>
        <w:rPr>
          <w:rFonts w:hint="eastAsia" w:ascii="宋体" w:hAnsi="宋体" w:eastAsia="宋体" w:cs="宋体"/>
          <w:b/>
          <w:bCs/>
          <w:sz w:val="24"/>
          <w:szCs w:val="24"/>
          <w:highlight w:val="none"/>
        </w:rPr>
        <w:t>磋商文件的发出</w:t>
      </w:r>
    </w:p>
    <w:p w14:paraId="25B35FF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18.1</w:t>
      </w:r>
      <w:r>
        <w:rPr>
          <w:rFonts w:hint="eastAsia" w:ascii="宋体" w:hAnsi="宋体" w:eastAsia="宋体" w:cs="宋体"/>
          <w:sz w:val="24"/>
          <w:szCs w:val="24"/>
          <w:highlight w:val="none"/>
        </w:rPr>
        <w:t>磋商文件、磋商文件的澄清、修改、补充及招标答疑等均应报相关部门备案后，方可发出。</w:t>
      </w:r>
    </w:p>
    <w:p w14:paraId="70FF0F8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凡需要设置样品情形时，必须明确是否需要随样品提交检测报告，并明确检测机构的要求、检测内容、中标样品封存等事项。（评标委员会无法判断样品是否合格且样品需要提供给第三方权威检测机构检测的,在投标人提供招标人认可的第三方权威检测机构检测报告后，评标委员会推荐的中标候选人方可生效，采购人或代理机构发布中标（成交）结果公告。</w:t>
      </w:r>
    </w:p>
    <w:p w14:paraId="6588198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采购文件中应明确样品送检方式、检测费用支付方法、投标人在规定时间内无法提供第三方权威检测机构检测报告的处理方式。（采购人根据项目需求按上述要求自行描述）</w:t>
      </w:r>
    </w:p>
    <w:p w14:paraId="3362A9EF">
      <w:pPr>
        <w:pStyle w:val="4"/>
        <w:keepNext w:val="0"/>
        <w:keepLines w:val="0"/>
        <w:pageBreakBefore w:val="0"/>
        <w:widowControl w:val="0"/>
        <w:numPr>
          <w:ilvl w:val="0"/>
          <w:numId w:val="0"/>
        </w:numPr>
        <w:kinsoku/>
        <w:wordWrap/>
        <w:overflowPunct/>
        <w:topLinePunct w:val="0"/>
        <w:autoSpaceDE w:val="0"/>
        <w:autoSpaceDN w:val="0"/>
        <w:bidi w:val="0"/>
        <w:adjustRightInd/>
        <w:snapToGrid/>
        <w:ind w:leftChars="200"/>
        <w:textAlignment w:val="auto"/>
        <w:rPr>
          <w:rFonts w:hint="eastAsia" w:ascii="宋体" w:hAnsi="宋体" w:eastAsia="宋体" w:cs="宋体"/>
          <w:sz w:val="24"/>
          <w:szCs w:val="24"/>
          <w:highlight w:val="none"/>
        </w:rPr>
      </w:pPr>
      <w:bookmarkStart w:id="26" w:name="（三）响应文件的编制"/>
      <w:bookmarkEnd w:id="26"/>
      <w:bookmarkStart w:id="27" w:name="_Toc14698"/>
      <w:r>
        <w:rPr>
          <w:rFonts w:hint="eastAsia" w:ascii="宋体" w:hAnsi="宋体" w:eastAsia="宋体" w:cs="宋体"/>
          <w:highlight w:val="none"/>
        </w:rPr>
        <w:t>（三）响应文件的编制</w:t>
      </w:r>
      <w:bookmarkEnd w:id="27"/>
    </w:p>
    <w:p w14:paraId="76821FE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20.</w:t>
      </w:r>
      <w:r>
        <w:rPr>
          <w:rFonts w:hint="eastAsia" w:ascii="宋体" w:hAnsi="宋体" w:eastAsia="宋体" w:cs="宋体"/>
          <w:b/>
          <w:bCs/>
          <w:sz w:val="24"/>
          <w:szCs w:val="24"/>
          <w:highlight w:val="none"/>
        </w:rPr>
        <w:t>投标的语言及度量衡单位</w:t>
      </w:r>
    </w:p>
    <w:p w14:paraId="1970D03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20.1</w:t>
      </w:r>
      <w:r>
        <w:rPr>
          <w:rFonts w:hint="eastAsia" w:ascii="宋体" w:hAnsi="宋体" w:eastAsia="宋体" w:cs="宋体"/>
          <w:sz w:val="24"/>
          <w:szCs w:val="24"/>
          <w:highlight w:val="none"/>
        </w:rPr>
        <w:t>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2019F75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w:t>
      </w:r>
      <w:r>
        <w:rPr>
          <w:rFonts w:hint="eastAsia" w:ascii="宋体" w:hAnsi="宋体" w:eastAsia="宋体" w:cs="宋体"/>
          <w:sz w:val="24"/>
          <w:szCs w:val="24"/>
          <w:highlight w:val="none"/>
        </w:rPr>
        <w:t>除采购文件中另有规定外，投标书所使用的度量衡均须采用法定计量单位。</w:t>
      </w:r>
    </w:p>
    <w:p w14:paraId="4C9029E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响应文件的组成</w:t>
      </w:r>
    </w:p>
    <w:p w14:paraId="747C729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资格证明文件和商务及技术文件两部分。</w:t>
      </w:r>
    </w:p>
    <w:p w14:paraId="23338B5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21.1</w:t>
      </w:r>
      <w:r>
        <w:rPr>
          <w:rFonts w:hint="eastAsia" w:ascii="宋体" w:hAnsi="宋体" w:eastAsia="宋体" w:cs="宋体"/>
          <w:b/>
          <w:bCs/>
          <w:sz w:val="24"/>
          <w:szCs w:val="24"/>
          <w:highlight w:val="none"/>
        </w:rPr>
        <w:t>资格证明文件（包括但不限于）</w:t>
      </w:r>
    </w:p>
    <w:p w14:paraId="3F0465C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资格证明文件是证明投标人有资格参加投标和中标后有能力履行合同的文件，这些文件应能满足招标的要求，否则作无效投标处理。</w:t>
      </w:r>
    </w:p>
    <w:p w14:paraId="1F1BADA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开标一览表（见投标文件格式一）</w:t>
      </w:r>
      <w:r>
        <w:rPr>
          <w:rFonts w:hint="eastAsia" w:ascii="宋体" w:hAnsi="宋体" w:eastAsia="宋体" w:cs="宋体"/>
          <w:sz w:val="24"/>
          <w:szCs w:val="24"/>
          <w:highlight w:val="none"/>
          <w:lang w:eastAsia="zh-CN"/>
        </w:rPr>
        <w:t>；</w:t>
      </w:r>
    </w:p>
    <w:p w14:paraId="21C2ED4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法人或者非法人组织的营业执照等证明文件复印件（须加盖本单位章）或自然人的身份证明复印件</w:t>
      </w:r>
      <w:r>
        <w:rPr>
          <w:rFonts w:hint="eastAsia" w:ascii="宋体" w:hAnsi="宋体" w:eastAsia="宋体" w:cs="宋体"/>
          <w:sz w:val="24"/>
          <w:szCs w:val="24"/>
          <w:highlight w:val="none"/>
          <w:lang w:eastAsia="zh-CN"/>
        </w:rPr>
        <w:t>；</w:t>
      </w:r>
    </w:p>
    <w:p w14:paraId="68DD356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法定代表人授权委托书（见投标文件格式二，自然人投标的无需提供）；</w:t>
      </w:r>
    </w:p>
    <w:p w14:paraId="6577FC6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法定代表人授权书（见投标文件格式三，自然人投标的无需提供）；</w:t>
      </w:r>
    </w:p>
    <w:p w14:paraId="20729B7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投标保证金缴纳凭证或投标担保函；</w:t>
      </w:r>
    </w:p>
    <w:p w14:paraId="29AE4BE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社会保障资金的缴纳记录；</w:t>
      </w:r>
    </w:p>
    <w:p w14:paraId="76A8FAE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参加政府采购活动前 3 年内在经营活动中没有重大违法记录的书面声明；</w:t>
      </w:r>
    </w:p>
    <w:p w14:paraId="2F414350">
      <w:pPr>
        <w:pStyle w:val="6"/>
        <w:rPr>
          <w:rFonts w:hint="eastAsia" w:eastAsia="宋体"/>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信用中国”网站（www.creditchina.gov.cn）、中国政府采购网（www.ccgp.gov.cn）或各级信用信息共享平台被列入失信被执行人、重大税收违法案件当事人名单、政府采购严重违法失信行为记录名单的（尚在处罚期内的），提供相关网站查询结果。</w:t>
      </w:r>
    </w:p>
    <w:p w14:paraId="260337D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投标人须知资料表要求的其他资格证明文件；</w:t>
      </w:r>
    </w:p>
    <w:p w14:paraId="29A3592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21.2</w:t>
      </w:r>
      <w:r>
        <w:rPr>
          <w:rFonts w:hint="eastAsia" w:ascii="宋体" w:hAnsi="宋体" w:eastAsia="宋体" w:cs="宋体"/>
          <w:b/>
          <w:bCs/>
          <w:sz w:val="24"/>
          <w:szCs w:val="24"/>
          <w:highlight w:val="none"/>
        </w:rPr>
        <w:t>商务及技术文件（包括但不限于）</w:t>
      </w:r>
    </w:p>
    <w:p w14:paraId="372AD37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投标书</w:t>
      </w:r>
    </w:p>
    <w:p w14:paraId="4AFF96C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投标分项报价表</w:t>
      </w:r>
    </w:p>
    <w:p w14:paraId="4126F5A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服务说明一览表</w:t>
      </w:r>
    </w:p>
    <w:p w14:paraId="1A3780D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技术规格偏离表</w:t>
      </w:r>
    </w:p>
    <w:p w14:paraId="118FF46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商务条款偏离表</w:t>
      </w:r>
    </w:p>
    <w:p w14:paraId="00B6E2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符合《政府采购促进中小企业发展暂行办法》、《关于政府采购支持监狱企业发展有关问题的通知》和《三部门联合发布关于促进残疾人就业政府采购政策的通知》条件的投标人提交）（提供相关证明材料）</w:t>
      </w:r>
    </w:p>
    <w:p w14:paraId="1B64CAD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6-1</w:t>
      </w:r>
      <w:r>
        <w:rPr>
          <w:rFonts w:hint="eastAsia" w:ascii="宋体" w:hAnsi="宋体" w:eastAsia="宋体" w:cs="宋体"/>
          <w:sz w:val="24"/>
          <w:szCs w:val="24"/>
          <w:highlight w:val="none"/>
        </w:rPr>
        <w:t>《投标人企业（单位）类型声明函》（投标文件格式十）</w:t>
      </w:r>
    </w:p>
    <w:p w14:paraId="64F6805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6-2</w:t>
      </w:r>
      <w:r>
        <w:rPr>
          <w:rFonts w:hint="eastAsia" w:ascii="宋体" w:hAnsi="宋体" w:eastAsia="宋体" w:cs="宋体"/>
          <w:sz w:val="24"/>
          <w:szCs w:val="24"/>
          <w:highlight w:val="none"/>
        </w:rPr>
        <w:t>《制造商投标人企业（单位）类型声明函》（投标文件格式十一）</w:t>
      </w:r>
    </w:p>
    <w:p w14:paraId="64FFD92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6-3</w:t>
      </w:r>
      <w:r>
        <w:rPr>
          <w:rFonts w:hint="eastAsia" w:ascii="宋体" w:hAnsi="宋体" w:eastAsia="宋体" w:cs="宋体"/>
          <w:sz w:val="24"/>
          <w:szCs w:val="24"/>
          <w:highlight w:val="none"/>
        </w:rPr>
        <w:t>《残疾人福利性单位声明函》（投标文件格式十二）</w:t>
      </w:r>
    </w:p>
    <w:p w14:paraId="6005FE3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投标人关联单位的说明（格式自拟）</w:t>
      </w:r>
    </w:p>
    <w:p w14:paraId="0190ED6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评分标准和细则中技术部分证明材料（格式自拟）</w:t>
      </w:r>
    </w:p>
    <w:p w14:paraId="639E714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评分标准和细则中商务部分证明材料（格式自拟）</w:t>
      </w:r>
    </w:p>
    <w:p w14:paraId="13DBABE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投标人认为有必要提供的其他证明材料（格式自拟）</w:t>
      </w:r>
    </w:p>
    <w:p w14:paraId="3E25807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注：以上材料须逐页加盖单位公章。</w:t>
      </w:r>
    </w:p>
    <w:p w14:paraId="38A6216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21.3</w:t>
      </w:r>
      <w:r>
        <w:rPr>
          <w:rFonts w:hint="eastAsia" w:ascii="宋体" w:hAnsi="宋体" w:eastAsia="宋体" w:cs="宋体"/>
          <w:b/>
          <w:bCs/>
          <w:sz w:val="24"/>
          <w:szCs w:val="24"/>
          <w:highlight w:val="none"/>
        </w:rPr>
        <w:t>投标文件的要求</w:t>
      </w:r>
    </w:p>
    <w:p w14:paraId="68A63CD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1C778B7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投标文件格式应按本采购文件第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章格式要求编制，不得对采购文件格式进行增删更改，否则按无效标处理。</w:t>
      </w:r>
    </w:p>
    <w:p w14:paraId="4B643F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对采购文件格式可更改的例外情况：采购文件第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章附件格式要求中明确规定表格中行数不够用时可按相同格式增加行数，其他一切内容和格式不得更改。</w:t>
      </w:r>
    </w:p>
    <w:p w14:paraId="4B9DBF5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投标文件为电子投标文件，电子投标文件按“政采云供应商项目采购-电子招投标操作指南”及本采购文件要求制作、加密传输。</w:t>
      </w:r>
    </w:p>
    <w:p w14:paraId="3DD4D68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投标文件未在投标截止时间前完成传输的，视为投标文件撤回；投标文件未按时解密，亦视为投标文件撤回。</w:t>
      </w:r>
    </w:p>
    <w:p w14:paraId="7DE4D8A3">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22.</w:t>
      </w:r>
      <w:r>
        <w:rPr>
          <w:rFonts w:hint="eastAsia" w:ascii="宋体" w:hAnsi="宋体" w:eastAsia="宋体" w:cs="宋体"/>
          <w:b/>
          <w:bCs/>
          <w:sz w:val="24"/>
          <w:szCs w:val="24"/>
          <w:highlight w:val="none"/>
        </w:rPr>
        <w:t>磋商报价</w:t>
      </w:r>
    </w:p>
    <w:p w14:paraId="569C715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w:t>
      </w:r>
      <w:r>
        <w:rPr>
          <w:rFonts w:hint="eastAsia" w:ascii="宋体" w:hAnsi="宋体" w:eastAsia="宋体" w:cs="宋体"/>
          <w:sz w:val="24"/>
          <w:szCs w:val="24"/>
          <w:highlight w:val="none"/>
        </w:rPr>
        <w:t>投标报价文件中的单价和总价全部采用人民币表示。</w:t>
      </w:r>
    </w:p>
    <w:p w14:paraId="11D96F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22.2</w:t>
      </w:r>
      <w:r>
        <w:rPr>
          <w:rFonts w:hint="eastAsia" w:ascii="宋体" w:hAnsi="宋体" w:eastAsia="宋体" w:cs="宋体"/>
          <w:sz w:val="24"/>
          <w:szCs w:val="24"/>
          <w:highlight w:val="none"/>
        </w:rPr>
        <w:t>投标报价表上应清楚地标明投标人拟提供服务（货物）的名称、型号、生产厂家、数量、单价和总价。</w:t>
      </w:r>
    </w:p>
    <w:p w14:paraId="3922118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22.3</w:t>
      </w:r>
      <w:r>
        <w:rPr>
          <w:rFonts w:hint="eastAsia" w:ascii="宋体" w:hAnsi="宋体" w:eastAsia="宋体" w:cs="宋体"/>
          <w:b/>
          <w:bCs/>
          <w:sz w:val="24"/>
          <w:szCs w:val="24"/>
          <w:highlight w:val="none"/>
        </w:rPr>
        <w:t>本项目报价为分次报价，供应商响应文件中的报价作为第一次报价；以最终</w:t>
      </w:r>
      <w:r>
        <w:rPr>
          <w:rFonts w:hint="eastAsia" w:ascii="宋体" w:hAnsi="宋体" w:eastAsia="宋体" w:cs="宋体"/>
          <w:b/>
          <w:bCs/>
          <w:sz w:val="24"/>
          <w:szCs w:val="24"/>
          <w:highlight w:val="none"/>
          <w:lang w:val="en-US" w:eastAsia="zh-CN"/>
        </w:rPr>
        <w:t>第二次</w:t>
      </w:r>
      <w:r>
        <w:rPr>
          <w:rFonts w:hint="eastAsia" w:ascii="宋体" w:hAnsi="宋体" w:eastAsia="宋体" w:cs="宋体"/>
          <w:b/>
          <w:bCs/>
          <w:sz w:val="24"/>
          <w:szCs w:val="24"/>
          <w:highlight w:val="none"/>
        </w:rPr>
        <w:t>磋商报价作为评审价。</w:t>
      </w:r>
    </w:p>
    <w:p w14:paraId="0BC0CC4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22.4</w:t>
      </w:r>
      <w:r>
        <w:rPr>
          <w:rFonts w:hint="eastAsia" w:ascii="宋体" w:hAnsi="宋体" w:eastAsia="宋体" w:cs="宋体"/>
          <w:sz w:val="24"/>
          <w:szCs w:val="24"/>
          <w:highlight w:val="none"/>
        </w:rPr>
        <w:t>磋商报价应包括：货物及服务本身价格、人工费、培训费、保险费用、包装费、运输费用、二次搬运费、装卸费、损耗、税金费用、自检费、随产品备品备件费、专用工具费、随产品资料费、安装费、调试费、自检费及验收合格前和质保期内发生的一切费用、应当提供的伴随服务/售后服务费用。完成该项目的人工费、社保统筹费、保险费、材料费、机具使用费、管理费、利润、税金、风险费等所有费用，以及投标人在服务管理过程中可能发生的各种费用均包括在投标报价中。投标人应自行增加正常运行及使用所必需但招标文件没有包含的所有部件、工具、版权、专利等一切费用，如果投标人在中标并签署合同后，在实施过程中有任何遗漏，均由中标人免费提供，买方将不再支付任何费用。</w:t>
      </w:r>
    </w:p>
    <w:p w14:paraId="5020751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22.5</w:t>
      </w:r>
      <w:r>
        <w:rPr>
          <w:rFonts w:hint="eastAsia" w:ascii="宋体" w:hAnsi="宋体" w:eastAsia="宋体" w:cs="宋体"/>
          <w:sz w:val="24"/>
          <w:szCs w:val="24"/>
          <w:highlight w:val="none"/>
        </w:rPr>
        <w:t>投标报价的价格是货物交货地验收价格，其总价即为履行合同的固定总价。</w:t>
      </w:r>
    </w:p>
    <w:p w14:paraId="5981452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22.6</w:t>
      </w:r>
      <w:r>
        <w:rPr>
          <w:rFonts w:hint="eastAsia" w:ascii="宋体" w:hAnsi="宋体" w:eastAsia="宋体" w:cs="宋体"/>
          <w:sz w:val="24"/>
          <w:szCs w:val="24"/>
          <w:highlight w:val="none"/>
        </w:rPr>
        <w:t>技术要求中规定的安装、调试和培训费用应包括在投标价格中。投标文件报价为含税价，招标人不再为此次招标支付任何费用。</w:t>
      </w:r>
    </w:p>
    <w:p w14:paraId="7743747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22.7</w:t>
      </w:r>
      <w:r>
        <w:rPr>
          <w:rFonts w:hint="eastAsia" w:ascii="宋体" w:hAnsi="宋体" w:eastAsia="宋体" w:cs="宋体"/>
          <w:sz w:val="24"/>
          <w:szCs w:val="24"/>
          <w:highlight w:val="none"/>
        </w:rPr>
        <w:t>投标报价应由法定代表人或被授权人签署。</w:t>
      </w:r>
    </w:p>
    <w:p w14:paraId="7F86FF4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22.8</w:t>
      </w:r>
      <w:r>
        <w:rPr>
          <w:rFonts w:hint="eastAsia" w:ascii="宋体" w:hAnsi="宋体" w:eastAsia="宋体" w:cs="宋体"/>
          <w:b/>
          <w:bCs/>
          <w:sz w:val="24"/>
          <w:szCs w:val="24"/>
          <w:highlight w:val="none"/>
        </w:rPr>
        <w:t>投标人投标总报价，不得高于本次招标设置的最高限价，否则将作为无效投标处理。</w:t>
      </w:r>
    </w:p>
    <w:p w14:paraId="6DCD685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22.9</w:t>
      </w:r>
      <w:r>
        <w:rPr>
          <w:rFonts w:hint="eastAsia" w:ascii="宋体" w:hAnsi="宋体" w:eastAsia="宋体" w:cs="宋体"/>
          <w:sz w:val="24"/>
          <w:szCs w:val="24"/>
          <w:highlight w:val="none"/>
        </w:rPr>
        <w:t>如投标文件中未列明全面实现投标货物功能而必须配置的配套或辅助设施及相应技术措施的费用，这些费用将被视为已包含在总投标价中。</w:t>
      </w:r>
    </w:p>
    <w:p w14:paraId="1DBC8CA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22.10</w:t>
      </w:r>
      <w:r>
        <w:rPr>
          <w:rFonts w:hint="eastAsia" w:ascii="宋体" w:hAnsi="宋体" w:eastAsia="宋体" w:cs="宋体"/>
          <w:sz w:val="24"/>
          <w:szCs w:val="24"/>
          <w:highlight w:val="none"/>
        </w:rPr>
        <w:t>总投标价中不得包含采购文件要求以外的内容，否则，在评标时不予核减，但在授予合同时，招标人有权将这部分价格从其中标价格中扣除。</w:t>
      </w:r>
    </w:p>
    <w:p w14:paraId="5F3596D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22.11</w:t>
      </w:r>
      <w:r>
        <w:rPr>
          <w:rFonts w:hint="eastAsia" w:ascii="宋体" w:hAnsi="宋体" w:eastAsia="宋体" w:cs="宋体"/>
          <w:sz w:val="24"/>
          <w:szCs w:val="24"/>
          <w:highlight w:val="none"/>
        </w:rPr>
        <w:t>总投标价中不得缺漏采购文件所要求的内容，否则，评标时将有效投标中该项内容的最高价计入其评标总价，但在授予合同时，缺漏项目的报价视作已含在其他项目的报价中，这些项目将作为免费赠   送而包含在合同内。</w:t>
      </w:r>
    </w:p>
    <w:p w14:paraId="6F0CB57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22.12</w:t>
      </w:r>
      <w:r>
        <w:rPr>
          <w:rFonts w:hint="eastAsia" w:ascii="宋体" w:hAnsi="宋体" w:eastAsia="宋体" w:cs="宋体"/>
          <w:sz w:val="24"/>
          <w:szCs w:val="24"/>
          <w:highlight w:val="none"/>
        </w:rPr>
        <w:t>投标人不得对从第三方采购货物的随机备品、备件另行收费，否则在计算评标价时这部分费用将不予扣除，在授予合同时将从中标价格中扣除该部分费用。</w:t>
      </w:r>
    </w:p>
    <w:p w14:paraId="01E00E0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22.13</w:t>
      </w:r>
      <w:r>
        <w:rPr>
          <w:rFonts w:hint="eastAsia" w:ascii="宋体" w:hAnsi="宋体" w:eastAsia="宋体" w:cs="宋体"/>
          <w:sz w:val="24"/>
          <w:szCs w:val="24"/>
          <w:highlight w:val="none"/>
        </w:rPr>
        <w:t>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6039809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23.</w:t>
      </w:r>
      <w:r>
        <w:rPr>
          <w:rFonts w:hint="eastAsia" w:ascii="宋体" w:hAnsi="宋体" w:eastAsia="宋体" w:cs="宋体"/>
          <w:b/>
          <w:bCs/>
          <w:sz w:val="24"/>
          <w:szCs w:val="24"/>
          <w:highlight w:val="none"/>
        </w:rPr>
        <w:t>投标有效期</w:t>
      </w:r>
    </w:p>
    <w:p w14:paraId="0CBC987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23.1</w:t>
      </w:r>
      <w:r>
        <w:rPr>
          <w:rFonts w:hint="eastAsia" w:ascii="宋体" w:hAnsi="宋体" w:eastAsia="宋体" w:cs="宋体"/>
          <w:sz w:val="24"/>
          <w:szCs w:val="24"/>
          <w:highlight w:val="none"/>
        </w:rPr>
        <w:t>除投标人须知前附表另有规定外，投标有效期为60天。</w:t>
      </w:r>
    </w:p>
    <w:p w14:paraId="065301A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23.2</w:t>
      </w:r>
      <w:r>
        <w:rPr>
          <w:rFonts w:hint="eastAsia" w:ascii="宋体" w:hAnsi="宋体" w:eastAsia="宋体" w:cs="宋体"/>
          <w:sz w:val="24"/>
          <w:szCs w:val="24"/>
          <w:highlight w:val="none"/>
        </w:rPr>
        <w:t>在投标有效期内，投标人撤销或修改其投标文件的，应承担采购文件和法律规定的责任。</w:t>
      </w:r>
    </w:p>
    <w:p w14:paraId="7A1284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23.3</w:t>
      </w:r>
      <w:r>
        <w:rPr>
          <w:rFonts w:hint="eastAsia" w:ascii="宋体" w:hAnsi="宋体" w:eastAsia="宋体" w:cs="宋体"/>
          <w:sz w:val="24"/>
          <w:szCs w:val="24"/>
          <w:highlight w:val="none"/>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59F8B4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23.</w:t>
      </w:r>
      <w:r>
        <w:rPr>
          <w:rFonts w:hint="eastAsia" w:ascii="宋体" w:hAnsi="宋体" w:eastAsia="宋体" w:cs="宋体"/>
          <w:b/>
          <w:bCs/>
          <w:sz w:val="24"/>
          <w:szCs w:val="24"/>
          <w:highlight w:val="none"/>
        </w:rPr>
        <w:t>投标保证金</w:t>
      </w:r>
    </w:p>
    <w:p w14:paraId="268408E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23.1</w:t>
      </w:r>
      <w:r>
        <w:rPr>
          <w:rFonts w:hint="eastAsia" w:ascii="宋体" w:hAnsi="宋体" w:eastAsia="宋体" w:cs="宋体"/>
          <w:sz w:val="24"/>
          <w:szCs w:val="24"/>
          <w:highlight w:val="none"/>
        </w:rPr>
        <w:t>投标人须知前附表规定递交投标保证金的，投标人在递交投标文件的同时，应按投标人须知前附表规定的金额、担保形式和第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章“投标文件格式”规定的投标保证金格式递交投标保证金，并作为其投标文件的组成部分。投标人不按要求提交投标保证金的，评标委员会将否决其投标。</w:t>
      </w:r>
    </w:p>
    <w:p w14:paraId="1FA89B2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23.2</w:t>
      </w:r>
      <w:r>
        <w:rPr>
          <w:rFonts w:hint="eastAsia" w:ascii="宋体" w:hAnsi="宋体" w:eastAsia="宋体" w:cs="宋体"/>
          <w:sz w:val="24"/>
          <w:szCs w:val="24"/>
          <w:highlight w:val="none"/>
        </w:rPr>
        <w:t>自中标通知书发出之日起5个工作日内退还未中标投标人的投标保证金，自政府采购合同签订之日起5个工作日内退还中标人的投标保证金。</w:t>
      </w:r>
    </w:p>
    <w:p w14:paraId="4E90389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23.3</w:t>
      </w:r>
      <w:r>
        <w:rPr>
          <w:rFonts w:hint="eastAsia" w:ascii="宋体" w:hAnsi="宋体" w:eastAsia="宋体" w:cs="宋体"/>
          <w:sz w:val="24"/>
          <w:szCs w:val="24"/>
          <w:highlight w:val="none"/>
        </w:rPr>
        <w:t>有下列情形之一的，投标保证金将不予退还：</w:t>
      </w:r>
    </w:p>
    <w:p w14:paraId="7785606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投标人在规定的投标有效期内撤回或修改其投标文件；</w:t>
      </w:r>
    </w:p>
    <w:p w14:paraId="2D9A8A0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成交通知书发出后三十天内，中标人无正当理由拒签合同协议书或未按采购文件规定提交履约担保。</w:t>
      </w:r>
    </w:p>
    <w:p w14:paraId="4C7BF5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提供虚假材料谋取中标的；</w:t>
      </w:r>
    </w:p>
    <w:p w14:paraId="65227AC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经查实属于陪标、串通投标的等。</w:t>
      </w:r>
    </w:p>
    <w:p w14:paraId="7D14D45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23.4</w:t>
      </w:r>
      <w:r>
        <w:rPr>
          <w:rFonts w:hint="eastAsia" w:ascii="宋体" w:hAnsi="宋体" w:eastAsia="宋体" w:cs="宋体"/>
          <w:sz w:val="24"/>
          <w:szCs w:val="24"/>
          <w:highlight w:val="none"/>
        </w:rPr>
        <w:t>投标保证金按投标人须知前附表第 24 条规定执行。</w:t>
      </w:r>
    </w:p>
    <w:p w14:paraId="5B77C993">
      <w:pPr>
        <w:pStyle w:val="4"/>
        <w:numPr>
          <w:ilvl w:val="0"/>
          <w:numId w:val="0"/>
        </w:numPr>
        <w:bidi w:val="0"/>
        <w:ind w:leftChars="200"/>
        <w:rPr>
          <w:rFonts w:hint="eastAsia" w:ascii="宋体" w:hAnsi="宋体" w:eastAsia="宋体" w:cs="宋体"/>
          <w:sz w:val="24"/>
          <w:szCs w:val="24"/>
          <w:highlight w:val="none"/>
        </w:rPr>
      </w:pPr>
      <w:bookmarkStart w:id="28" w:name="（四）投标文件的制作、上传及递交要求"/>
      <w:bookmarkEnd w:id="28"/>
      <w:bookmarkStart w:id="29" w:name="_Toc32331"/>
      <w:r>
        <w:rPr>
          <w:rFonts w:hint="eastAsia" w:ascii="宋体" w:hAnsi="宋体" w:eastAsia="宋体" w:cs="宋体"/>
          <w:highlight w:val="none"/>
        </w:rPr>
        <w:t>（四）投标文件的制作、上传及递交要求</w:t>
      </w:r>
      <w:bookmarkEnd w:id="29"/>
    </w:p>
    <w:p w14:paraId="370116A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25.</w:t>
      </w:r>
      <w:r>
        <w:rPr>
          <w:rFonts w:hint="eastAsia" w:ascii="宋体" w:hAnsi="宋体" w:eastAsia="宋体" w:cs="宋体"/>
          <w:b/>
          <w:bCs/>
          <w:sz w:val="24"/>
          <w:szCs w:val="24"/>
          <w:highlight w:val="none"/>
        </w:rPr>
        <w:t>投标文件的制作要求</w:t>
      </w:r>
    </w:p>
    <w:p w14:paraId="6803C1B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供应商应按照投标文件组成内容及项目招标需求和新疆政府采购云平台要求制作投标文件，不按采购文件和新疆政府采购云平台要求制作投标文件的将视情况处理（拒收等），由此产生的责任由供应商自行承担。</w:t>
      </w:r>
    </w:p>
    <w:p w14:paraId="6BA125F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电子投标文件部分：供应商应根据“政采云供应商项目采购-电子招投标操作指南”及本采购文件规定的格式和顺序编制电子投标文件并进行关联定位。本文件《第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章投标文件格式》中有提供格式的，供应商应按照格式进行编制（格式中要求提供相关证明材料的还需后附相关证明材料），并按格式要求在指定位置根据要求进行签章，否则视为未提供；本文件《第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章投标文件格式》未提供格式的，请供应商自行拟定格式，并加盖单位公章，否则视为未提供。</w:t>
      </w:r>
    </w:p>
    <w:p w14:paraId="60998BF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供应商应对所提供的全部资料的真实性、有效性承担法律责任，电子投标文件中所须加盖公章部分均采用 CA 签章。</w:t>
      </w:r>
    </w:p>
    <w:p w14:paraId="4335582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投标文件以及供应商与采购组织机构就有关投标事宜的所有来往函电，均应以中文汉语书写。除签字、盖章、专用名称等特殊情形外，以中文汉语以外的文字表述的投标文件视同未提供。</w:t>
      </w:r>
    </w:p>
    <w:p w14:paraId="7919A7D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投标计量单位，采购文件已有明确规定的，使用采购文件规定的计量单位；采购文件没有规定的，应采用中华人民共和国法定计量单位（货币单位：人民币元）。</w:t>
      </w:r>
    </w:p>
    <w:p w14:paraId="22E9F94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若供应商不按采购文件的要求提供资格审查材料，其风险由供应商自行承担。</w:t>
      </w:r>
    </w:p>
    <w:p w14:paraId="487EE4E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与本次投标无关的内容请不要制作在内，确保投标文件有针对性、简洁明了。</w:t>
      </w:r>
    </w:p>
    <w:p w14:paraId="1879FC2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26.投标文件的上传</w:t>
      </w:r>
    </w:p>
    <w:p w14:paraId="4384395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（1）电子加密投标文件（“.jmbs”格式）：</w:t>
      </w:r>
    </w:p>
    <w:p w14:paraId="774B9F2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a.</w:t>
      </w:r>
      <w:r>
        <w:rPr>
          <w:rFonts w:hint="eastAsia" w:ascii="宋体" w:hAnsi="宋体" w:eastAsia="宋体" w:cs="宋体"/>
          <w:sz w:val="24"/>
          <w:szCs w:val="24"/>
          <w:highlight w:val="none"/>
        </w:rPr>
        <w:t>供应商应在投标截止时间前将电子加密投标文件成功上传递交至新疆政府采购云平台，否则投标无效；</w:t>
      </w:r>
    </w:p>
    <w:p w14:paraId="175D493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b.</w:t>
      </w:r>
      <w:r>
        <w:rPr>
          <w:rFonts w:hint="eastAsia" w:ascii="宋体" w:hAnsi="宋体" w:eastAsia="宋体" w:cs="宋体"/>
          <w:sz w:val="24"/>
          <w:szCs w:val="24"/>
          <w:highlight w:val="none"/>
        </w:rPr>
        <w:t>供应商成功上传电子加密投标文件后，可自行打印投标文件接收回执。</w:t>
      </w:r>
    </w:p>
    <w:p w14:paraId="7132928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27.投标文件的递交要求</w:t>
      </w:r>
    </w:p>
    <w:p w14:paraId="3C8B16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供应商须按照采购文件和政采云平台的要求编制并加密投标文件。在投标文件递交截止时间以前完成投标文件的传输递交，截止时间后递交的投标文件，将被拒收。</w:t>
      </w:r>
    </w:p>
    <w:p w14:paraId="74B1DA0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如有特殊情况，采购组织机构延长截止时间和开标时间，采购组织机构和供应商的权利和义务将受到新的截止时间和开标时间的约束。</w:t>
      </w:r>
    </w:p>
    <w:p w14:paraId="6D0F9F11">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28.</w:t>
      </w:r>
      <w:r>
        <w:rPr>
          <w:rFonts w:hint="eastAsia" w:ascii="宋体" w:hAnsi="宋体" w:eastAsia="宋体" w:cs="宋体"/>
          <w:b/>
          <w:bCs/>
          <w:sz w:val="24"/>
          <w:szCs w:val="24"/>
          <w:highlight w:val="none"/>
        </w:rPr>
        <w:t>投标文件的补充、修改与撤回</w:t>
      </w:r>
    </w:p>
    <w:p w14:paraId="4E42569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0F8AA3D6">
      <w:pPr>
        <w:pStyle w:val="4"/>
        <w:numPr>
          <w:ilvl w:val="0"/>
          <w:numId w:val="0"/>
        </w:numPr>
        <w:bidi w:val="0"/>
        <w:ind w:leftChars="200"/>
        <w:rPr>
          <w:rFonts w:hint="eastAsia" w:ascii="宋体" w:hAnsi="宋体" w:eastAsia="宋体" w:cs="宋体"/>
          <w:sz w:val="24"/>
          <w:szCs w:val="24"/>
          <w:highlight w:val="none"/>
        </w:rPr>
      </w:pPr>
      <w:bookmarkStart w:id="30" w:name="（五）开 标、评标和定标"/>
      <w:bookmarkEnd w:id="30"/>
      <w:bookmarkStart w:id="31" w:name="_Toc30198"/>
      <w:r>
        <w:rPr>
          <w:rFonts w:hint="eastAsia" w:ascii="宋体" w:hAnsi="宋体" w:eastAsia="宋体" w:cs="宋体"/>
          <w:highlight w:val="none"/>
        </w:rPr>
        <w:t>（五）开标、评标和定标</w:t>
      </w:r>
      <w:bookmarkEnd w:id="31"/>
    </w:p>
    <w:p w14:paraId="7C7F2D43">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29.</w:t>
      </w:r>
      <w:r>
        <w:rPr>
          <w:rFonts w:hint="eastAsia" w:ascii="宋体" w:hAnsi="宋体" w:eastAsia="宋体" w:cs="宋体"/>
          <w:b/>
          <w:bCs/>
          <w:sz w:val="24"/>
          <w:szCs w:val="24"/>
          <w:highlight w:val="none"/>
        </w:rPr>
        <w:t>开标</w:t>
      </w:r>
    </w:p>
    <w:p w14:paraId="0791757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29.1</w:t>
      </w:r>
      <w:r>
        <w:rPr>
          <w:rFonts w:hint="eastAsia" w:ascii="宋体" w:hAnsi="宋体" w:eastAsia="宋体" w:cs="宋体"/>
          <w:b/>
          <w:bCs/>
          <w:sz w:val="24"/>
          <w:szCs w:val="24"/>
          <w:highlight w:val="none"/>
        </w:rPr>
        <w:t>开标邀请</w:t>
      </w:r>
    </w:p>
    <w:p w14:paraId="71DFD3E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开标准备：本项目开标的准备工作由采购组织机构负责落实，开标过程由采购组织机构负责记录；</w:t>
      </w:r>
    </w:p>
    <w:p w14:paraId="24B82DF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开标主持：本项目开标由采购人或者采购代理机构主持；</w:t>
      </w:r>
    </w:p>
    <w:p w14:paraId="3DF2DA9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开标邀请：本项目采用电子交易，采购组织机构将按照采购文件规定的时间通过“新疆政府采购云平台，网址：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HYPERLINK"http://www.zcygov.cn/"\h</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www.zcygov.cn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”组织开标、开启投标响应文件，所有供应商均应当准时在线参加。</w:t>
      </w:r>
    </w:p>
    <w:p w14:paraId="211A3D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6C633D27">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bookmarkStart w:id="32" w:name="29.2开标程序（先资格、商务技术后报价）"/>
      <w:bookmarkEnd w:id="32"/>
      <w:bookmarkStart w:id="33" w:name="29.2开标程序（先资格、商务技术后报价）"/>
      <w:bookmarkEnd w:id="33"/>
      <w:r>
        <w:rPr>
          <w:rFonts w:hint="eastAsia" w:ascii="宋体" w:hAnsi="宋体" w:eastAsia="宋体" w:cs="宋体"/>
          <w:b/>
          <w:bCs/>
          <w:sz w:val="24"/>
          <w:szCs w:val="24"/>
          <w:highlight w:val="none"/>
          <w:lang w:val="en-US" w:eastAsia="zh-CN"/>
        </w:rPr>
        <w:t>29.2</w:t>
      </w:r>
      <w:r>
        <w:rPr>
          <w:rFonts w:hint="eastAsia" w:ascii="宋体" w:hAnsi="宋体" w:eastAsia="宋体" w:cs="宋体"/>
          <w:b/>
          <w:bCs/>
          <w:sz w:val="24"/>
          <w:szCs w:val="24"/>
          <w:highlight w:val="none"/>
        </w:rPr>
        <w:t>开标程序（先资格、商务技术后报价）</w:t>
      </w:r>
    </w:p>
    <w:p w14:paraId="46448C4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开标时间到后，主持人宣布开标会议开始。</w:t>
      </w:r>
    </w:p>
    <w:p w14:paraId="2C74B5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投标文件解密（解密规定见《供应商须知前附表》）。</w:t>
      </w:r>
    </w:p>
    <w:p w14:paraId="4049CA9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投标文件解密异常情况处理（处理办法见《供应商须知前附表》）。</w:t>
      </w:r>
    </w:p>
    <w:p w14:paraId="6F84FF3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开启标书信息（资格证明文件、商务技术文件）。标书信息开启后，首先由采购人或采购代理机构或评审小组依法对投标供应商的资格证明文件进行审查（具体见本章“29.3 投标供应商资格审查”）， 审查结束公布投标供应商的资格符合情况。资格审查未获通过的供应商，其商务技术文件及报价文件不再进入评审。</w:t>
      </w:r>
    </w:p>
    <w:p w14:paraId="7C8135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商务技术评审结束后，主持人公布商务技术评审无效投标供应商名单和商务技术评审有效投标供应商名单及其商务技术得分情况。商务技术评审无效的供应商，其报价不再进入评审。</w:t>
      </w:r>
    </w:p>
    <w:p w14:paraId="5D9D637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启有效投标供应商的报价，公布开标一览表有关内容，并【开启签字时段】，供应商对开标纪录进行在线签字确认（不予确认的应说明理由，否则视为无异议）。开标结束后，由评标委员会对报价的合理性、准确性等进行审查核实。</w:t>
      </w:r>
    </w:p>
    <w:p w14:paraId="4EF9CD4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评审结束后，采购代理机构在系统上公布评审结果。</w:t>
      </w:r>
    </w:p>
    <w:p w14:paraId="6A3AC1A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特别情况说明：</w:t>
      </w:r>
    </w:p>
    <w:p w14:paraId="4A3CC09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本项目采用电子交易，如遇“新疆政府采购云平台”电子化开标或评审程序调整的，按调整后程序执行。</w:t>
      </w:r>
    </w:p>
    <w:p w14:paraId="3D0631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过程中需要相关当事人进行签字或盖章确认的材料将通过“政府采购云平台”进行，若因“政府采购云平台”技术问题无法进行签字或盖章确认的，采购组织机构将通过电子邮件等形式予以确认，请供应商保证办理投标事宜人员电话畅通、网络在线，签字或盖章确认的时间为20分钟。如未及时签字或盖章确认的，视为无异议。</w:t>
      </w:r>
    </w:p>
    <w:p w14:paraId="1C9ED78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29.3</w:t>
      </w:r>
      <w:r>
        <w:rPr>
          <w:rFonts w:hint="eastAsia" w:ascii="宋体" w:hAnsi="宋体" w:eastAsia="宋体" w:cs="宋体"/>
          <w:b/>
          <w:bCs/>
          <w:sz w:val="24"/>
          <w:szCs w:val="24"/>
          <w:highlight w:val="none"/>
        </w:rPr>
        <w:t>投标供应商资格审查：</w:t>
      </w:r>
    </w:p>
    <w:p w14:paraId="740795C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标书信息开启）后，采购人或采购代理机构或评审小组首先依法对投标供应商的资格文件进行审查，审查各投标供应商的资格符合情况。采购人或采购代理机构或评审小组对投标供应商所提交的资格证明材料仅负审核的责任。如发现投标供应商所提交的资格证明材料不合法或与事实不符，采购人可取消其中标资格并追究投标供应商的法律责任。</w:t>
      </w:r>
    </w:p>
    <w:p w14:paraId="7738B7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供应商提交的资格证明材料无法证明其符合采购文件规定的“投标供应商资格要求”的，采购人或采购代理机构将对其作“资格审查不合格”处理（无效投标），并不再将其投标提交评标委员会进行后续评审。</w:t>
      </w:r>
    </w:p>
    <w:p w14:paraId="1B66773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供应商信用记录查询与使用：见《供应商须知前附表》。</w:t>
      </w:r>
    </w:p>
    <w:p w14:paraId="606FBE9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p>
    <w:p w14:paraId="4BE986A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30.</w:t>
      </w:r>
      <w:r>
        <w:rPr>
          <w:rFonts w:hint="eastAsia" w:ascii="宋体" w:hAnsi="宋体" w:eastAsia="宋体" w:cs="宋体"/>
          <w:b/>
          <w:bCs/>
          <w:sz w:val="24"/>
          <w:szCs w:val="24"/>
          <w:highlight w:val="none"/>
        </w:rPr>
        <w:t>评审工作的组织</w:t>
      </w:r>
    </w:p>
    <w:p w14:paraId="24BFAB2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采购人或采购代理机构负责组织本项目的评审工作，并依据《政府采购货物和服务招标投标管理办法（财政部第87号令）》第四十五条的相关规定履行职责。</w:t>
      </w:r>
    </w:p>
    <w:p w14:paraId="7672692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31.</w:t>
      </w:r>
      <w:r>
        <w:rPr>
          <w:rFonts w:hint="eastAsia" w:ascii="宋体" w:hAnsi="宋体" w:eastAsia="宋体" w:cs="宋体"/>
          <w:b/>
          <w:bCs/>
          <w:sz w:val="24"/>
          <w:szCs w:val="24"/>
          <w:highlight w:val="none"/>
        </w:rPr>
        <w:t>评标委员会的组建</w:t>
      </w:r>
    </w:p>
    <w:p w14:paraId="008D5F0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31.1</w:t>
      </w:r>
      <w:r>
        <w:rPr>
          <w:rFonts w:hint="eastAsia" w:ascii="宋体" w:hAnsi="宋体" w:eastAsia="宋体" w:cs="宋体"/>
          <w:sz w:val="24"/>
          <w:szCs w:val="24"/>
          <w:highlight w:val="none"/>
        </w:rPr>
        <w:t>评标委员会由采购人或采购代理机构依法组建，成员由采购人代表和评审专家组成，</w:t>
      </w:r>
      <w:r>
        <w:rPr>
          <w:rFonts w:hint="eastAsia" w:ascii="宋体" w:hAnsi="宋体" w:eastAsia="宋体" w:cs="宋体"/>
          <w:b/>
          <w:bCs/>
          <w:sz w:val="24"/>
          <w:szCs w:val="24"/>
          <w:highlight w:val="none"/>
        </w:rPr>
        <w:t>成员人数为3人或以上单数，其中评审专家不少于成员总数的三分之二。</w:t>
      </w:r>
    </w:p>
    <w:p w14:paraId="36F563C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31.2</w:t>
      </w:r>
      <w:r>
        <w:rPr>
          <w:rFonts w:hint="eastAsia" w:ascii="宋体" w:hAnsi="宋体" w:eastAsia="宋体" w:cs="宋体"/>
          <w:sz w:val="24"/>
          <w:szCs w:val="24"/>
          <w:highlight w:val="none"/>
        </w:rPr>
        <w:t>评审专家从新疆政府采购云平台专家库中通过随机方式抽取产生。评标委员会成员名单在采购结果公告前保密。</w:t>
      </w:r>
    </w:p>
    <w:p w14:paraId="27D4467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32.</w:t>
      </w:r>
      <w:r>
        <w:rPr>
          <w:rFonts w:hint="eastAsia" w:ascii="宋体" w:hAnsi="宋体" w:eastAsia="宋体" w:cs="宋体"/>
          <w:b/>
          <w:bCs/>
          <w:sz w:val="24"/>
          <w:szCs w:val="24"/>
          <w:highlight w:val="none"/>
        </w:rPr>
        <w:t>评标委员会的职责</w:t>
      </w:r>
    </w:p>
    <w:p w14:paraId="1FEF5E4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32.1</w:t>
      </w:r>
      <w:r>
        <w:rPr>
          <w:rFonts w:hint="eastAsia" w:ascii="宋体" w:hAnsi="宋体" w:eastAsia="宋体" w:cs="宋体"/>
          <w:sz w:val="24"/>
          <w:szCs w:val="24"/>
          <w:highlight w:val="none"/>
        </w:rPr>
        <w:t>审查、评价投标文件是否符合采购文件的商务、技术等实质性要求。</w:t>
      </w:r>
    </w:p>
    <w:p w14:paraId="0518EDC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32.2</w:t>
      </w:r>
      <w:r>
        <w:rPr>
          <w:rFonts w:hint="eastAsia" w:ascii="宋体" w:hAnsi="宋体" w:eastAsia="宋体" w:cs="宋体"/>
          <w:sz w:val="24"/>
          <w:szCs w:val="24"/>
          <w:highlight w:val="none"/>
        </w:rPr>
        <w:t>要求供应商对投标文件有关事项作出澄清或者说明。</w:t>
      </w:r>
    </w:p>
    <w:p w14:paraId="7B74A82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32.3</w:t>
      </w:r>
      <w:r>
        <w:rPr>
          <w:rFonts w:hint="eastAsia" w:ascii="宋体" w:hAnsi="宋体" w:eastAsia="宋体" w:cs="宋体"/>
          <w:sz w:val="24"/>
          <w:szCs w:val="24"/>
          <w:highlight w:val="none"/>
        </w:rPr>
        <w:t>对投标文件进行比较和评价。</w:t>
      </w:r>
    </w:p>
    <w:p w14:paraId="772EC12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32.4</w:t>
      </w:r>
      <w:r>
        <w:rPr>
          <w:rFonts w:hint="eastAsia" w:ascii="宋体" w:hAnsi="宋体" w:eastAsia="宋体" w:cs="宋体"/>
          <w:sz w:val="24"/>
          <w:szCs w:val="24"/>
          <w:highlight w:val="none"/>
        </w:rPr>
        <w:t>确定中标候选人名单，以及根据采购人委托直接确定中标人。</w:t>
      </w:r>
    </w:p>
    <w:p w14:paraId="20FA099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32.5</w:t>
      </w:r>
      <w:r>
        <w:rPr>
          <w:rFonts w:hint="eastAsia" w:ascii="宋体" w:hAnsi="宋体" w:eastAsia="宋体" w:cs="宋体"/>
          <w:sz w:val="24"/>
          <w:szCs w:val="24"/>
          <w:highlight w:val="none"/>
        </w:rPr>
        <w:t>向采购人、采购代理机构或者有关部门报告评审中发现的违法行为。</w:t>
      </w:r>
    </w:p>
    <w:p w14:paraId="4AC4E25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33.</w:t>
      </w:r>
      <w:r>
        <w:rPr>
          <w:rFonts w:hint="eastAsia" w:ascii="宋体" w:hAnsi="宋体" w:eastAsia="宋体" w:cs="宋体"/>
          <w:b/>
          <w:bCs/>
          <w:sz w:val="24"/>
          <w:szCs w:val="24"/>
          <w:highlight w:val="none"/>
        </w:rPr>
        <w:t>评标原则</w:t>
      </w:r>
    </w:p>
    <w:p w14:paraId="0956CFE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33.1</w:t>
      </w:r>
      <w:r>
        <w:rPr>
          <w:rFonts w:hint="eastAsia" w:ascii="宋体" w:hAnsi="宋体" w:eastAsia="宋体" w:cs="宋体"/>
          <w:sz w:val="24"/>
          <w:szCs w:val="24"/>
          <w:highlight w:val="none"/>
        </w:rPr>
        <w:t>评标委员会将遵循公平、公正、科学的原则，对供应商提交的投标文件进行综合评审，评标委员会按照采购文件规定的评标细则进行评分。</w:t>
      </w:r>
    </w:p>
    <w:p w14:paraId="3A85B85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33.2</w:t>
      </w:r>
      <w:r>
        <w:rPr>
          <w:rFonts w:hint="eastAsia" w:ascii="宋体" w:hAnsi="宋体" w:eastAsia="宋体" w:cs="宋体"/>
          <w:sz w:val="24"/>
          <w:szCs w:val="24"/>
          <w:highlight w:val="none"/>
        </w:rPr>
        <w:t>客观公正对待所有供应商，对所有投标评价均采用相同的程序和标准。</w:t>
      </w:r>
    </w:p>
    <w:p w14:paraId="447FC58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33.3</w:t>
      </w:r>
      <w:r>
        <w:rPr>
          <w:rFonts w:hint="eastAsia" w:ascii="宋体" w:hAnsi="宋体" w:eastAsia="宋体" w:cs="宋体"/>
          <w:sz w:val="24"/>
          <w:szCs w:val="24"/>
          <w:highlight w:val="none"/>
        </w:rPr>
        <w:t>评标委员会成员对需要共同认定的事项存在争议的，按照少数服从多数的原则作出结论。持不同意见的评标委员会成员应当在评审报告上签署不同意见及理由，否则视为同意评审报告。</w:t>
      </w:r>
    </w:p>
    <w:p w14:paraId="40B76EE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33.4</w:t>
      </w:r>
      <w:r>
        <w:rPr>
          <w:rFonts w:hint="eastAsia" w:ascii="宋体" w:hAnsi="宋体" w:eastAsia="宋体" w:cs="宋体"/>
          <w:sz w:val="24"/>
          <w:szCs w:val="24"/>
          <w:highlight w:val="none"/>
        </w:rPr>
        <w:t>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420BA16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非单一产品采购项目，采购人应当根据采购项目技术构成、产品价格比重等合理确定核心产品，并在采购文件中载明。多家供应商提供的核心产品品牌相同的，按前款规定处理。</w:t>
      </w:r>
    </w:p>
    <w:p w14:paraId="65EEB71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34.</w:t>
      </w:r>
      <w:r>
        <w:rPr>
          <w:rFonts w:hint="eastAsia" w:ascii="宋体" w:hAnsi="宋体" w:eastAsia="宋体" w:cs="宋体"/>
          <w:b/>
          <w:bCs/>
          <w:sz w:val="24"/>
          <w:szCs w:val="24"/>
          <w:highlight w:val="none"/>
        </w:rPr>
        <w:t>评委纪律</w:t>
      </w:r>
    </w:p>
    <w:p w14:paraId="3D66EEE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评标委员会成员必须严格遵守保密规定，不得泄露评审的有关情况，任何单位和个人不得干扰、影响评   标的正常进行，评标委员会成员不得私下与投标供应商接触，不得出现浙江省政府采购活动现场组织管理   办法中规定的其他禁止行为。</w:t>
      </w:r>
    </w:p>
    <w:p w14:paraId="5AFF91A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35.</w:t>
      </w:r>
      <w:r>
        <w:rPr>
          <w:rFonts w:hint="eastAsia" w:ascii="宋体" w:hAnsi="宋体" w:eastAsia="宋体" w:cs="宋体"/>
          <w:b/>
          <w:bCs/>
          <w:sz w:val="24"/>
          <w:szCs w:val="24"/>
          <w:highlight w:val="none"/>
        </w:rPr>
        <w:t>评标程序</w:t>
      </w:r>
    </w:p>
    <w:p w14:paraId="67589B3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35.1</w:t>
      </w:r>
      <w:r>
        <w:rPr>
          <w:rFonts w:hint="eastAsia" w:ascii="宋体" w:hAnsi="宋体" w:eastAsia="宋体" w:cs="宋体"/>
          <w:sz w:val="24"/>
          <w:szCs w:val="24"/>
          <w:highlight w:val="none"/>
        </w:rPr>
        <w:t>在评审专家中推选评标委员会组长，采购人代表不得担任评标委员会组长。</w:t>
      </w:r>
    </w:p>
    <w:p w14:paraId="3FC227C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35.2</w:t>
      </w:r>
      <w:r>
        <w:rPr>
          <w:rFonts w:hint="eastAsia" w:ascii="宋体" w:hAnsi="宋体" w:eastAsia="宋体" w:cs="宋体"/>
          <w:sz w:val="24"/>
          <w:szCs w:val="24"/>
          <w:highlight w:val="none"/>
        </w:rPr>
        <w:t>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711141C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35.3</w:t>
      </w:r>
      <w:r>
        <w:rPr>
          <w:rFonts w:hint="eastAsia" w:ascii="宋体" w:hAnsi="宋体" w:eastAsia="宋体" w:cs="宋体"/>
          <w:sz w:val="24"/>
          <w:szCs w:val="24"/>
          <w:highlight w:val="none"/>
        </w:rPr>
        <w:t>评审人员对符合资格的供应商的投标文件的有效性、符合性、完整性和响应程度进行审查，确定是否对采购文件作出实质性响应。</w:t>
      </w:r>
    </w:p>
    <w:p w14:paraId="0891C7B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35.4</w:t>
      </w:r>
      <w:r>
        <w:rPr>
          <w:rFonts w:hint="eastAsia" w:ascii="宋体" w:hAnsi="宋体" w:eastAsia="宋体" w:cs="宋体"/>
          <w:sz w:val="24"/>
          <w:szCs w:val="24"/>
          <w:highlight w:val="none"/>
        </w:rPr>
        <w:t>评审人员按采购文件规定的评审方法和评审标准，依法独立对供应商投标文件进行评估、比较，并给予评价或打分，不受任何单位和个人的干预。</w:t>
      </w:r>
    </w:p>
    <w:p w14:paraId="5ED261C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 w:val="0"/>
          <w:bCs w:val="0"/>
          <w:sz w:val="24"/>
          <w:szCs w:val="24"/>
          <w:highlight w:val="none"/>
        </w:rPr>
        <w:t>综合评分法服务项目的价格分值占总分值的比重(即权值)为</w:t>
      </w:r>
      <w:r>
        <w:rPr>
          <w:rFonts w:hint="eastAsia" w:ascii="宋体" w:hAnsi="宋体" w:eastAsia="宋体" w:cs="宋体"/>
          <w:b w:val="0"/>
          <w:bCs w:val="0"/>
          <w:sz w:val="24"/>
          <w:szCs w:val="24"/>
          <w:highlight w:val="none"/>
          <w:lang w:val="en-US" w:eastAsia="zh-CN"/>
        </w:rPr>
        <w:t>10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采购项目中含不同采购对象的，以占项目资金比例最高的采购对象确定其项目属性。其价格不列为评分因素，有特殊情况需要在上述规定范围外设定价格分权重的。</w:t>
      </w:r>
    </w:p>
    <w:p w14:paraId="24919E0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综合评分法中的价格分统一采用低价优先法计算，即满足磋商文件要求且最后报价最低的供应商的价格为招标基准价，其价格分为满分。其他供应商的价格分统一按照下列公式计算：</w:t>
      </w:r>
    </w:p>
    <w:p w14:paraId="5187869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投标报价得分=（基准价/投标报价）×价格权值×100</w:t>
      </w:r>
    </w:p>
    <w:p w14:paraId="0576E68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项目评审过程中，不得去掉最后报价中的最高报价和最低报价。</w:t>
      </w:r>
    </w:p>
    <w:p w14:paraId="2328E1B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35.5</w:t>
      </w:r>
      <w:r>
        <w:rPr>
          <w:rFonts w:hint="eastAsia" w:ascii="宋体" w:hAnsi="宋体" w:eastAsia="宋体" w:cs="宋体"/>
          <w:sz w:val="24"/>
          <w:szCs w:val="24"/>
          <w:highlight w:val="none"/>
        </w:rPr>
        <w:t>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693BFE7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35.6</w:t>
      </w:r>
      <w:r>
        <w:rPr>
          <w:rFonts w:hint="eastAsia" w:ascii="宋体" w:hAnsi="宋体" w:eastAsia="宋体" w:cs="宋体"/>
          <w:sz w:val="24"/>
          <w:szCs w:val="24"/>
          <w:highlight w:val="none"/>
        </w:rPr>
        <w:t>评审人员需对采购方工作人员唱票或统计的评审结果进行确认，现场监督员应对评审结果签署监督意见。如发现分值汇总计算错误、分项评分超出评分标准范围、客观评分不一致以及存在评分畸高、畸低（其总评分偏离平均分30%以上的）情形的，应由相关人员当场改正或作出书面说明；拒不改正又不作书面说明的，由现场监督员如实记载后存入项目档案资料。</w:t>
      </w:r>
    </w:p>
    <w:p w14:paraId="420D5D3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35.7</w:t>
      </w:r>
      <w:r>
        <w:rPr>
          <w:rFonts w:hint="eastAsia" w:ascii="宋体" w:hAnsi="宋体" w:eastAsia="宋体" w:cs="宋体"/>
          <w:sz w:val="24"/>
          <w:szCs w:val="24"/>
          <w:highlight w:val="none"/>
        </w:rPr>
        <w:t>评标委员会根据评审汇总情况和采购文件规定确定中标候选供应商排序名单。</w:t>
      </w:r>
    </w:p>
    <w:p w14:paraId="2384F24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35.8</w:t>
      </w:r>
      <w:r>
        <w:rPr>
          <w:rFonts w:hint="eastAsia" w:ascii="宋体" w:hAnsi="宋体" w:eastAsia="宋体" w:cs="宋体"/>
          <w:sz w:val="24"/>
          <w:szCs w:val="24"/>
          <w:highlight w:val="none"/>
        </w:rPr>
        <w:t>起草评审报告，所有评审人员须在评审报告上签字确认，对自己的评审意见承担法律责任。</w:t>
      </w:r>
    </w:p>
    <w:p w14:paraId="308E86C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35.9</w:t>
      </w:r>
      <w:r>
        <w:rPr>
          <w:rFonts w:hint="eastAsia" w:ascii="宋体" w:hAnsi="宋体" w:eastAsia="宋体" w:cs="宋体"/>
          <w:sz w:val="24"/>
          <w:szCs w:val="24"/>
          <w:highlight w:val="none"/>
        </w:rPr>
        <w:t>采购组织机构对评标委员会评审专家进行评价。</w:t>
      </w:r>
    </w:p>
    <w:p w14:paraId="1D8843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35.10</w:t>
      </w:r>
      <w:r>
        <w:rPr>
          <w:rFonts w:hint="eastAsia" w:ascii="宋体" w:hAnsi="宋体" w:eastAsia="宋体" w:cs="宋体"/>
          <w:sz w:val="24"/>
          <w:szCs w:val="24"/>
          <w:highlight w:val="none"/>
        </w:rPr>
        <w:t>修改评审结果</w:t>
      </w:r>
    </w:p>
    <w:p w14:paraId="27D74C1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评标结果汇总完成后，除下列情形外，任何人不得修改评标结果：</w:t>
      </w:r>
    </w:p>
    <w:p w14:paraId="34BA350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分值汇总计算错误的；</w:t>
      </w:r>
    </w:p>
    <w:p w14:paraId="121462F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分项评分超出评分标准范围的；</w:t>
      </w:r>
    </w:p>
    <w:p w14:paraId="0805EB9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评标委员会成员对客观评审因素评分不一致的；</w:t>
      </w:r>
    </w:p>
    <w:p w14:paraId="556260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经评标委员会认定评分畸高、畸低的。</w:t>
      </w:r>
    </w:p>
    <w:p w14:paraId="053D4A5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A4D91D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36.</w:t>
      </w:r>
      <w:r>
        <w:rPr>
          <w:rFonts w:hint="eastAsia" w:ascii="宋体" w:hAnsi="宋体" w:eastAsia="宋体" w:cs="宋体"/>
          <w:b/>
          <w:bCs/>
          <w:sz w:val="24"/>
          <w:szCs w:val="24"/>
          <w:highlight w:val="none"/>
        </w:rPr>
        <w:t>澄清、说明或补正的形式</w:t>
      </w:r>
    </w:p>
    <w:p w14:paraId="2B7B352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36.1</w:t>
      </w:r>
      <w:r>
        <w:rPr>
          <w:rFonts w:hint="eastAsia" w:ascii="宋体" w:hAnsi="宋体" w:eastAsia="宋体" w:cs="宋体"/>
          <w:sz w:val="24"/>
          <w:szCs w:val="24"/>
          <w:highlight w:val="none"/>
        </w:rPr>
        <w:t>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25BD6A9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36.2</w:t>
      </w:r>
      <w:r>
        <w:rPr>
          <w:rFonts w:hint="eastAsia" w:ascii="宋体" w:hAnsi="宋体" w:eastAsia="宋体" w:cs="宋体"/>
          <w:sz w:val="24"/>
          <w:szCs w:val="24"/>
          <w:highlight w:val="none"/>
        </w:rPr>
        <w:t>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40DD5E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36.3</w:t>
      </w:r>
      <w:r>
        <w:rPr>
          <w:rFonts w:hint="eastAsia" w:ascii="宋体" w:hAnsi="宋体" w:eastAsia="宋体" w:cs="宋体"/>
          <w:sz w:val="24"/>
          <w:szCs w:val="24"/>
          <w:highlight w:val="none"/>
        </w:rPr>
        <w:t>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52B2338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37.</w:t>
      </w:r>
      <w:r>
        <w:rPr>
          <w:rFonts w:hint="eastAsia" w:ascii="宋体" w:hAnsi="宋体" w:eastAsia="宋体" w:cs="宋体"/>
          <w:b/>
          <w:bCs/>
          <w:sz w:val="24"/>
          <w:szCs w:val="24"/>
          <w:highlight w:val="none"/>
        </w:rPr>
        <w:t>错误修正的原则</w:t>
      </w:r>
    </w:p>
    <w:p w14:paraId="29760EC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电子交易平台客户端里开标一览表录入的投标报价或优惠率与扫描上传的报价文件信息不一致的，以扫描上传的报价文件信息为准进行修正。</w:t>
      </w:r>
    </w:p>
    <w:p w14:paraId="22AF1F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投标文件报价出现前后不一致的，除采购文件另有规定外，按照下列规定修正：</w:t>
      </w:r>
    </w:p>
    <w:p w14:paraId="3B2117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37.1</w:t>
      </w:r>
      <w:r>
        <w:rPr>
          <w:rFonts w:hint="eastAsia" w:ascii="宋体" w:hAnsi="宋体" w:eastAsia="宋体" w:cs="宋体"/>
          <w:sz w:val="24"/>
          <w:szCs w:val="24"/>
          <w:highlight w:val="none"/>
        </w:rPr>
        <w:t>投标函中表述的内容与报价表中不一致的，以报价表为准；报价表中的内容与报价明细表不一致的，以报价表为准；</w:t>
      </w:r>
    </w:p>
    <w:p w14:paraId="5596266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37.2</w:t>
      </w:r>
      <w:r>
        <w:rPr>
          <w:rFonts w:hint="eastAsia" w:ascii="宋体" w:hAnsi="宋体" w:eastAsia="宋体" w:cs="宋体"/>
          <w:sz w:val="24"/>
          <w:szCs w:val="24"/>
          <w:highlight w:val="none"/>
        </w:rPr>
        <w:t>投标文件中的大写金额和小写金额不一致的，以大写金额为准；</w:t>
      </w:r>
    </w:p>
    <w:p w14:paraId="28907B8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37.3</w:t>
      </w:r>
      <w:r>
        <w:rPr>
          <w:rFonts w:hint="eastAsia" w:ascii="宋体" w:hAnsi="宋体" w:eastAsia="宋体" w:cs="宋体"/>
          <w:sz w:val="24"/>
          <w:szCs w:val="24"/>
          <w:highlight w:val="none"/>
        </w:rPr>
        <w:t>单价金额小数点或者百分比有明显错位的，以开标一览表的总价为准，并修改单价；</w:t>
      </w:r>
    </w:p>
    <w:p w14:paraId="5B94013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37.4</w:t>
      </w:r>
      <w:r>
        <w:rPr>
          <w:rFonts w:hint="eastAsia" w:ascii="宋体" w:hAnsi="宋体" w:eastAsia="宋体" w:cs="宋体"/>
          <w:sz w:val="24"/>
          <w:szCs w:val="24"/>
          <w:highlight w:val="none"/>
        </w:rPr>
        <w:t>总价金额与按单价汇总金额不一致的，以单价金额计算结果为准；</w:t>
      </w:r>
    </w:p>
    <w:p w14:paraId="680000F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37.5</w:t>
      </w:r>
      <w:r>
        <w:rPr>
          <w:rFonts w:hint="eastAsia" w:ascii="宋体" w:hAnsi="宋体" w:eastAsia="宋体" w:cs="宋体"/>
          <w:sz w:val="24"/>
          <w:szCs w:val="24"/>
          <w:highlight w:val="none"/>
        </w:rPr>
        <w:t>若用文字表示的数值与用数字表示的数值不一致，以文字表示的数值为准；</w:t>
      </w:r>
    </w:p>
    <w:p w14:paraId="08A806A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37.6</w:t>
      </w:r>
      <w:r>
        <w:rPr>
          <w:rFonts w:hint="eastAsia" w:ascii="宋体" w:hAnsi="宋体" w:eastAsia="宋体" w:cs="宋体"/>
          <w:sz w:val="24"/>
          <w:szCs w:val="24"/>
          <w:highlight w:val="none"/>
        </w:rPr>
        <w:t>如有多报（指数量超出采购文件需求）、重报（指同一货物重复报价），其投标总价在评标过程中不予调整，如其中标，其合同价按其投标单价予以调整；</w:t>
      </w:r>
    </w:p>
    <w:p w14:paraId="7A7D490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37.7</w:t>
      </w:r>
      <w:r>
        <w:rPr>
          <w:rFonts w:hint="eastAsia" w:ascii="宋体" w:hAnsi="宋体" w:eastAsia="宋体" w:cs="宋体"/>
          <w:sz w:val="24"/>
          <w:szCs w:val="24"/>
          <w:highlight w:val="none"/>
        </w:rPr>
        <w:t>对不同文字文本投标文件的解释发生异议的，以中文文本为准；</w:t>
      </w:r>
    </w:p>
    <w:p w14:paraId="3D4242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宋体" w:hAnsi="宋体" w:eastAsia="宋体" w:cs="宋体"/>
          <w:b/>
          <w:bCs/>
          <w:sz w:val="24"/>
          <w:szCs w:val="24"/>
          <w:highlight w:val="none"/>
        </w:rPr>
        <w:t>修正应当采用电子询标的形式，并加盖公章（电子印章）。</w:t>
      </w:r>
    </w:p>
    <w:p w14:paraId="7B31D453">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38.</w:t>
      </w:r>
      <w:r>
        <w:rPr>
          <w:rFonts w:hint="eastAsia" w:ascii="宋体" w:hAnsi="宋体" w:eastAsia="宋体" w:cs="宋体"/>
          <w:b/>
          <w:bCs/>
          <w:sz w:val="24"/>
          <w:szCs w:val="24"/>
          <w:highlight w:val="none"/>
        </w:rPr>
        <w:t>无效投标文件</w:t>
      </w:r>
    </w:p>
    <w:p w14:paraId="0E1B137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有下列情形之一的，投标文件按无效标处理：</w:t>
      </w:r>
    </w:p>
    <w:p w14:paraId="69ABD16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w:t>
      </w:r>
      <w:r>
        <w:rPr>
          <w:rFonts w:hint="eastAsia" w:ascii="宋体" w:hAnsi="宋体" w:eastAsia="宋体" w:cs="宋体"/>
          <w:sz w:val="24"/>
          <w:szCs w:val="24"/>
          <w:highlight w:val="none"/>
        </w:rPr>
        <w:t>报名的投标人与参加投标的投标人发生实质性变更的且未提供有效证明的；</w:t>
      </w:r>
    </w:p>
    <w:p w14:paraId="6A1DC2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38.2</w:t>
      </w:r>
      <w:r>
        <w:rPr>
          <w:rFonts w:hint="eastAsia" w:ascii="宋体" w:hAnsi="宋体" w:eastAsia="宋体" w:cs="宋体"/>
          <w:sz w:val="24"/>
          <w:szCs w:val="24"/>
          <w:highlight w:val="none"/>
        </w:rPr>
        <w:t>投标人提交两份或两份以上内容不同的投标文件，未声明哪一份有效的；</w:t>
      </w:r>
    </w:p>
    <w:p w14:paraId="064D637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38.3</w:t>
      </w:r>
      <w:r>
        <w:rPr>
          <w:rFonts w:hint="eastAsia" w:ascii="宋体" w:hAnsi="宋体" w:eastAsia="宋体" w:cs="宋体"/>
          <w:sz w:val="24"/>
          <w:szCs w:val="24"/>
          <w:highlight w:val="none"/>
        </w:rPr>
        <w:t>投标文件非投标人法定代表人签署的，未提供或提供无效的法定代表人授权书；</w:t>
      </w:r>
    </w:p>
    <w:p w14:paraId="105AB19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38.4</w:t>
      </w:r>
      <w:r>
        <w:rPr>
          <w:rFonts w:hint="eastAsia" w:ascii="宋体" w:hAnsi="宋体" w:eastAsia="宋体" w:cs="宋体"/>
          <w:sz w:val="24"/>
          <w:szCs w:val="24"/>
          <w:highlight w:val="none"/>
        </w:rPr>
        <w:t>未按磋商文件规定装订；</w:t>
      </w:r>
    </w:p>
    <w:p w14:paraId="0FA9A4F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38.5</w:t>
      </w:r>
      <w:r>
        <w:rPr>
          <w:rFonts w:hint="eastAsia" w:ascii="宋体" w:hAnsi="宋体" w:eastAsia="宋体" w:cs="宋体"/>
          <w:sz w:val="24"/>
          <w:szCs w:val="24"/>
          <w:highlight w:val="none"/>
        </w:rPr>
        <w:t>投标文件内容未按磋商文件规定签字或盖章的；</w:t>
      </w:r>
    </w:p>
    <w:p w14:paraId="3009B44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38.6</w:t>
      </w:r>
      <w:r>
        <w:rPr>
          <w:rFonts w:hint="eastAsia" w:ascii="宋体" w:hAnsi="宋体" w:eastAsia="宋体" w:cs="宋体"/>
          <w:sz w:val="24"/>
          <w:szCs w:val="24"/>
          <w:highlight w:val="none"/>
        </w:rPr>
        <w:t>投标文件组成漏项或未按规定的格式编制或投标文件正、副本份数不足或内容不全或内容字迹模糊辨认不清的等而导致评标活动无法正常进行；</w:t>
      </w:r>
    </w:p>
    <w:p w14:paraId="6526A97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38.7</w:t>
      </w:r>
      <w:r>
        <w:rPr>
          <w:rFonts w:hint="eastAsia" w:ascii="宋体" w:hAnsi="宋体" w:eastAsia="宋体" w:cs="宋体"/>
          <w:sz w:val="24"/>
          <w:szCs w:val="24"/>
          <w:highlight w:val="none"/>
        </w:rPr>
        <w:t>投标人未按磋商文件变更通知更改投标文件的；</w:t>
      </w:r>
    </w:p>
    <w:p w14:paraId="35297ED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38.8</w:t>
      </w:r>
      <w:r>
        <w:rPr>
          <w:rFonts w:hint="eastAsia" w:ascii="宋体" w:hAnsi="宋体" w:eastAsia="宋体" w:cs="宋体"/>
          <w:sz w:val="24"/>
          <w:szCs w:val="24"/>
          <w:highlight w:val="none"/>
        </w:rPr>
        <w:t>《开标一览表》和《投标分项报价表》内容不完整且不接受修正意见或字迹不能辨认的或未提供；</w:t>
      </w:r>
    </w:p>
    <w:p w14:paraId="672C9D2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38.9</w:t>
      </w:r>
      <w:r>
        <w:rPr>
          <w:rFonts w:hint="eastAsia" w:ascii="宋体" w:hAnsi="宋体" w:eastAsia="宋体" w:cs="宋体"/>
          <w:sz w:val="24"/>
          <w:szCs w:val="24"/>
          <w:highlight w:val="none"/>
        </w:rPr>
        <w:t>标项投标报价超过磋商文件规定的预算金额或最高限价</w:t>
      </w:r>
    </w:p>
    <w:p w14:paraId="648E1E0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38.10</w:t>
      </w:r>
      <w:r>
        <w:rPr>
          <w:rFonts w:hint="eastAsia" w:ascii="宋体" w:hAnsi="宋体" w:eastAsia="宋体" w:cs="宋体"/>
          <w:sz w:val="24"/>
          <w:szCs w:val="24"/>
          <w:highlight w:val="none"/>
        </w:rPr>
        <w:t>因投标人原因编制错误造成经评标委员会修正后的报价达到或超过投标报价的0.5%；</w:t>
      </w:r>
    </w:p>
    <w:p w14:paraId="08086E1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38.11</w:t>
      </w:r>
      <w:r>
        <w:rPr>
          <w:rFonts w:hint="eastAsia" w:ascii="宋体" w:hAnsi="宋体" w:eastAsia="宋体" w:cs="宋体"/>
          <w:sz w:val="24"/>
          <w:szCs w:val="24"/>
          <w:highlight w:val="none"/>
        </w:rPr>
        <w:t>投标人的报价明显低于其他通过符合性审查投标人的报价，有可能影响产品质量或者不能诚信履约的，且在规定时间内不能合理说明原因并提供证明材料的；</w:t>
      </w:r>
    </w:p>
    <w:p w14:paraId="2AC10A2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38.12</w:t>
      </w:r>
      <w:r>
        <w:rPr>
          <w:rFonts w:hint="eastAsia" w:ascii="宋体" w:hAnsi="宋体" w:eastAsia="宋体" w:cs="宋体"/>
          <w:sz w:val="24"/>
          <w:szCs w:val="24"/>
          <w:highlight w:val="none"/>
        </w:rPr>
        <w:t>未实质性响应磋商文件中条款要求的投标文件；</w:t>
      </w:r>
    </w:p>
    <w:p w14:paraId="457411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38.13</w:t>
      </w:r>
      <w:r>
        <w:rPr>
          <w:rFonts w:hint="eastAsia" w:ascii="宋体" w:hAnsi="宋体" w:eastAsia="宋体" w:cs="宋体"/>
          <w:sz w:val="24"/>
          <w:szCs w:val="24"/>
          <w:highlight w:val="none"/>
        </w:rPr>
        <w:t>不符合招标范围、技术规格、技术标准的要求无法满足采购人使用要求；</w:t>
      </w:r>
    </w:p>
    <w:p w14:paraId="49528CB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38.14</w:t>
      </w:r>
      <w:r>
        <w:rPr>
          <w:rFonts w:hint="eastAsia" w:ascii="宋体" w:hAnsi="宋体" w:eastAsia="宋体" w:cs="宋体"/>
          <w:sz w:val="24"/>
          <w:szCs w:val="24"/>
          <w:highlight w:val="none"/>
        </w:rPr>
        <w:t>投标文件附有采购人不能接受的条款；</w:t>
      </w:r>
    </w:p>
    <w:p w14:paraId="1019691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38.15</w:t>
      </w:r>
      <w:r>
        <w:rPr>
          <w:rFonts w:hint="eastAsia" w:ascii="宋体" w:hAnsi="宋体" w:eastAsia="宋体" w:cs="宋体"/>
          <w:sz w:val="24"/>
          <w:szCs w:val="24"/>
          <w:highlight w:val="none"/>
        </w:rPr>
        <w:t>投标文件中提供了赠品或者与本项目采购无关的其他商品、服务；</w:t>
      </w:r>
    </w:p>
    <w:p w14:paraId="0835C17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38.16</w:t>
      </w:r>
      <w:r>
        <w:rPr>
          <w:rFonts w:hint="eastAsia" w:ascii="宋体" w:hAnsi="宋体" w:eastAsia="宋体" w:cs="宋体"/>
          <w:sz w:val="24"/>
          <w:szCs w:val="24"/>
          <w:highlight w:val="none"/>
        </w:rPr>
        <w:t>投标文件中承诺的投标有效期少于磋商文件中载明的投标有效期；</w:t>
      </w:r>
    </w:p>
    <w:p w14:paraId="6B07FB6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38.17</w:t>
      </w:r>
      <w:r>
        <w:rPr>
          <w:rFonts w:hint="eastAsia" w:ascii="宋体" w:hAnsi="宋体" w:eastAsia="宋体" w:cs="宋体"/>
          <w:sz w:val="24"/>
          <w:szCs w:val="24"/>
          <w:highlight w:val="none"/>
        </w:rPr>
        <w:t>投标人串通投标，妨碍其他投标人的竞争行为，损害采购人或者其他投标人的合法权益；</w:t>
      </w:r>
    </w:p>
    <w:p w14:paraId="730042C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38.18</w:t>
      </w:r>
      <w:r>
        <w:rPr>
          <w:rFonts w:hint="eastAsia" w:ascii="宋体" w:hAnsi="宋体" w:eastAsia="宋体" w:cs="宋体"/>
          <w:sz w:val="24"/>
          <w:szCs w:val="24"/>
          <w:highlight w:val="none"/>
        </w:rPr>
        <w:t>违反国家及政府部门相关法律、法规、文件规定或经评标委员会认定的其他属于重大偏离；</w:t>
      </w:r>
    </w:p>
    <w:p w14:paraId="61A4561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39</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废标</w:t>
      </w:r>
    </w:p>
    <w:p w14:paraId="68BA8D0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39.1</w:t>
      </w:r>
      <w:r>
        <w:rPr>
          <w:rFonts w:hint="eastAsia" w:ascii="宋体" w:hAnsi="宋体" w:eastAsia="宋体" w:cs="宋体"/>
          <w:sz w:val="24"/>
          <w:szCs w:val="24"/>
          <w:highlight w:val="none"/>
        </w:rPr>
        <w:t>符合磋商文件规定废标情形的；</w:t>
      </w:r>
    </w:p>
    <w:p w14:paraId="7BECFC1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39.2</w:t>
      </w:r>
      <w:r>
        <w:rPr>
          <w:rFonts w:hint="eastAsia" w:ascii="宋体" w:hAnsi="宋体" w:eastAsia="宋体" w:cs="宋体"/>
          <w:sz w:val="24"/>
          <w:szCs w:val="24"/>
          <w:highlight w:val="none"/>
        </w:rPr>
        <w:t>出现影响采购公正的违法、违规行为的；</w:t>
      </w:r>
    </w:p>
    <w:p w14:paraId="3E71122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39.3</w:t>
      </w:r>
      <w:r>
        <w:rPr>
          <w:rFonts w:hint="eastAsia" w:ascii="宋体" w:hAnsi="宋体" w:eastAsia="宋体" w:cs="宋体"/>
          <w:sz w:val="24"/>
          <w:szCs w:val="24"/>
          <w:highlight w:val="none"/>
        </w:rPr>
        <w:t>供应商的报价均超过了采购预算（或最高限价），采购人不能支付的</w:t>
      </w:r>
      <w:r>
        <w:rPr>
          <w:rFonts w:hint="eastAsia" w:ascii="宋体" w:hAnsi="宋体" w:eastAsia="宋体" w:cs="宋体"/>
          <w:sz w:val="24"/>
          <w:szCs w:val="24"/>
          <w:highlight w:val="none"/>
          <w:lang w:eastAsia="zh-CN"/>
        </w:rPr>
        <w:t>；</w:t>
      </w:r>
    </w:p>
    <w:p w14:paraId="5D18804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39.4</w:t>
      </w:r>
      <w:r>
        <w:rPr>
          <w:rFonts w:hint="eastAsia" w:ascii="宋体" w:hAnsi="宋体" w:eastAsia="宋体" w:cs="宋体"/>
          <w:sz w:val="24"/>
          <w:szCs w:val="24"/>
          <w:highlight w:val="none"/>
        </w:rPr>
        <w:t>因重大变故，采购任务取消的。</w:t>
      </w:r>
    </w:p>
    <w:p w14:paraId="319E86D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40</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突发情况处理</w:t>
      </w:r>
    </w:p>
    <w:p w14:paraId="7004C3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40.1</w:t>
      </w:r>
      <w:r>
        <w:rPr>
          <w:rFonts w:hint="eastAsia" w:ascii="宋体" w:hAnsi="宋体" w:eastAsia="宋体" w:cs="宋体"/>
          <w:sz w:val="24"/>
          <w:szCs w:val="24"/>
          <w:highlight w:val="none"/>
        </w:rPr>
        <w:t>采购过程中出现以下情形，导致电子交易平台无法正常运行，或者无法保证电子交易的公平、公正和安全时，采购组织机构可中止电子交易活动：</w:t>
      </w:r>
    </w:p>
    <w:p w14:paraId="42337C3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电子交易平台发生故障而无法登录访问的；</w:t>
      </w:r>
    </w:p>
    <w:p w14:paraId="4DE6824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电子交易平台应用或数据库出现错误，不能进行正常操作的；</w:t>
      </w:r>
    </w:p>
    <w:p w14:paraId="13571B1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电子交易平台发现严重安全漏洞，有潜在泄密危险的；</w:t>
      </w:r>
    </w:p>
    <w:p w14:paraId="3F81CA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病毒发作导致不能进行正常操作的；</w:t>
      </w:r>
    </w:p>
    <w:p w14:paraId="6273222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其他无法保证电子交易的公平、公正和安全的情况。</w:t>
      </w:r>
    </w:p>
    <w:p w14:paraId="13E86B0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A71530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40.2</w:t>
      </w:r>
      <w:r>
        <w:rPr>
          <w:rFonts w:hint="eastAsia" w:ascii="宋体" w:hAnsi="宋体" w:eastAsia="宋体" w:cs="宋体"/>
          <w:sz w:val="24"/>
          <w:szCs w:val="24"/>
          <w:highlight w:val="none"/>
        </w:rPr>
        <w:t>采购代理机构或评审小组因不可抗力（不可抗力包括但不限于自然灾害、断电、传播疫病等）原因造成电子交易活动无法正常运行的，将采取以下措施：</w:t>
      </w:r>
    </w:p>
    <w:p w14:paraId="222AB7D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短时间内能消除不可抗力因素的，采购代理机构或评审小组在消除不可抗力因素后继续组织电子交易活动；</w:t>
      </w:r>
    </w:p>
    <w:p w14:paraId="244FDD7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长时间内无法消除不可抗力因素的，采购代理机构或评审小组将中止电子交易活动。中止电子交易活动的，采购人应当重新组织政府采购活动。</w:t>
      </w:r>
    </w:p>
    <w:p w14:paraId="3075A6F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41.</w:t>
      </w:r>
      <w:r>
        <w:rPr>
          <w:rFonts w:hint="eastAsia" w:ascii="宋体" w:hAnsi="宋体" w:eastAsia="宋体" w:cs="宋体"/>
          <w:b/>
          <w:bCs/>
          <w:sz w:val="24"/>
          <w:szCs w:val="24"/>
          <w:highlight w:val="none"/>
        </w:rPr>
        <w:t>定标</w:t>
      </w:r>
    </w:p>
    <w:p w14:paraId="3698FD4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41.1</w:t>
      </w:r>
      <w:r>
        <w:rPr>
          <w:rFonts w:hint="eastAsia" w:ascii="宋体" w:hAnsi="宋体" w:eastAsia="宋体" w:cs="宋体"/>
          <w:sz w:val="24"/>
          <w:szCs w:val="24"/>
          <w:highlight w:val="none"/>
        </w:rPr>
        <w:t>采购结果确认（确定中标供应商）</w:t>
      </w:r>
    </w:p>
    <w:p w14:paraId="721873E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采购结果确认（确定中标供应商）：本项目由采购人根据评标委员会提交的《评审报告》，通过“政府采购云平台”依法确认采购结果、确定中标供应商。具体流程如下：</w:t>
      </w:r>
    </w:p>
    <w:p w14:paraId="06C09E1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采购代理机构将在评审结束后2个工作日内将评审报告送采购人。</w:t>
      </w:r>
    </w:p>
    <w:p w14:paraId="66A08BD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采购人将在收到评审报告之日起5个工作日内，在评审报告推荐的中标候选供应商名单中按顺序确定中标供应商，并将确认意见以书面形式回复采购代理机构。</w:t>
      </w:r>
    </w:p>
    <w:p w14:paraId="7C86B83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41.2</w:t>
      </w:r>
      <w:r>
        <w:rPr>
          <w:rFonts w:hint="eastAsia" w:ascii="宋体" w:hAnsi="宋体" w:eastAsia="宋体" w:cs="宋体"/>
          <w:b/>
          <w:bCs/>
          <w:sz w:val="24"/>
          <w:szCs w:val="24"/>
          <w:highlight w:val="none"/>
        </w:rPr>
        <w:t>采购结果经采购人确认后2个工作日内，采购代理机构将在新疆政府采购网（</w:t>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HYPERLINK"http://www.zjzfcg.gov.cn/"\h</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www.zjzfcg.gov.cn</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t>）上公告采购结果，中标公告期限为1个工作日。</w:t>
      </w:r>
    </w:p>
    <w:p w14:paraId="723D736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42.</w:t>
      </w:r>
      <w:r>
        <w:rPr>
          <w:rFonts w:hint="eastAsia" w:ascii="宋体" w:hAnsi="宋体" w:eastAsia="宋体" w:cs="宋体"/>
          <w:b/>
          <w:bCs/>
          <w:sz w:val="24"/>
          <w:szCs w:val="24"/>
          <w:highlight w:val="none"/>
        </w:rPr>
        <w:t>成交通知书</w:t>
      </w:r>
    </w:p>
    <w:p w14:paraId="1FB38B2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42.1</w:t>
      </w:r>
      <w:r>
        <w:rPr>
          <w:rFonts w:hint="eastAsia" w:ascii="宋体" w:hAnsi="宋体" w:eastAsia="宋体" w:cs="宋体"/>
          <w:sz w:val="24"/>
          <w:szCs w:val="24"/>
          <w:highlight w:val="none"/>
        </w:rPr>
        <w:t>在成交通知书发出前，招标人将中标侯选人的情况在新疆政府采购网予以公示，公示期为一个工作日。待公示期结束后，采购组织机构向中标人发出中标通知书。</w:t>
      </w:r>
    </w:p>
    <w:p w14:paraId="791C75A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42.2</w:t>
      </w:r>
      <w:r>
        <w:rPr>
          <w:rFonts w:hint="eastAsia" w:ascii="宋体" w:hAnsi="宋体" w:eastAsia="宋体" w:cs="宋体"/>
          <w:sz w:val="24"/>
          <w:szCs w:val="24"/>
          <w:highlight w:val="none"/>
        </w:rPr>
        <w:t>成交通知书作为签订合同的重要依据，对采购人和中标供应商均具有法律效力。采购人改变中标结果或者中标供应商放弃中标项目的都应承担法律责任。成交供应商不得向他人转让中标项目，也不得将中标项目肢解后分别向他人转让。</w:t>
      </w:r>
    </w:p>
    <w:p w14:paraId="78D20B67">
      <w:pPr>
        <w:pStyle w:val="4"/>
        <w:numPr>
          <w:ilvl w:val="0"/>
          <w:numId w:val="0"/>
        </w:numPr>
        <w:bidi w:val="0"/>
        <w:ind w:leftChars="200"/>
        <w:rPr>
          <w:rFonts w:hint="eastAsia" w:ascii="宋体" w:hAnsi="宋体" w:eastAsia="宋体" w:cs="宋体"/>
          <w:highlight w:val="none"/>
        </w:rPr>
      </w:pPr>
      <w:bookmarkStart w:id="34" w:name="（六）合同的授予"/>
      <w:bookmarkEnd w:id="34"/>
      <w:bookmarkStart w:id="35" w:name="_Toc8315"/>
      <w:r>
        <w:rPr>
          <w:rFonts w:hint="eastAsia" w:ascii="宋体" w:hAnsi="宋体" w:eastAsia="宋体" w:cs="宋体"/>
          <w:highlight w:val="none"/>
        </w:rPr>
        <w:t>（六）合同的授予</w:t>
      </w:r>
      <w:bookmarkEnd w:id="35"/>
    </w:p>
    <w:p w14:paraId="65B61AF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43.</w:t>
      </w:r>
      <w:r>
        <w:rPr>
          <w:rFonts w:hint="eastAsia" w:ascii="宋体" w:hAnsi="宋体" w:eastAsia="宋体" w:cs="宋体"/>
          <w:b/>
          <w:bCs/>
          <w:sz w:val="24"/>
          <w:szCs w:val="24"/>
          <w:highlight w:val="none"/>
        </w:rPr>
        <w:t>履约保证金</w:t>
      </w:r>
    </w:p>
    <w:p w14:paraId="14DDDCA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43.1</w:t>
      </w:r>
      <w:r>
        <w:rPr>
          <w:rFonts w:hint="eastAsia" w:ascii="宋体" w:hAnsi="宋体" w:eastAsia="宋体" w:cs="宋体"/>
          <w:sz w:val="24"/>
          <w:szCs w:val="24"/>
          <w:highlight w:val="none"/>
        </w:rPr>
        <w:t>中标供应商在签订合同后5个工作日内向采购人交纳不超过中标价10%的履约保证金（鼓励以银行、保险公司出具的履约保函形式提交；若以电汇、银行转账方式提交的，必须转到采购人的指定账户）</w:t>
      </w:r>
      <w:r>
        <w:rPr>
          <w:rFonts w:hint="eastAsia" w:ascii="宋体" w:hAnsi="宋体" w:eastAsia="宋体" w:cs="宋体"/>
          <w:sz w:val="24"/>
          <w:szCs w:val="24"/>
          <w:highlight w:val="none"/>
          <w:lang w:val="en-US" w:eastAsia="zh-CN"/>
        </w:rPr>
        <w:t>本项目无需缴纳</w:t>
      </w:r>
      <w:r>
        <w:rPr>
          <w:rFonts w:hint="eastAsia" w:ascii="宋体" w:hAnsi="宋体" w:eastAsia="宋体" w:cs="宋体"/>
          <w:sz w:val="24"/>
          <w:szCs w:val="24"/>
          <w:highlight w:val="none"/>
        </w:rPr>
        <w:t>。</w:t>
      </w:r>
    </w:p>
    <w:p w14:paraId="08858DA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43.2</w:t>
      </w:r>
      <w:r>
        <w:rPr>
          <w:rFonts w:hint="eastAsia" w:ascii="宋体" w:hAnsi="宋体" w:eastAsia="宋体" w:cs="宋体"/>
          <w:sz w:val="24"/>
          <w:szCs w:val="24"/>
          <w:highlight w:val="none"/>
        </w:rPr>
        <w:t>签订合同后，如中标供应商不按合同约定履约的，履约保证金不予退还，履约保证金不足以赔偿损失的，按实际损失赔偿。</w:t>
      </w:r>
    </w:p>
    <w:p w14:paraId="0A635FF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43.3</w:t>
      </w:r>
      <w:r>
        <w:rPr>
          <w:rFonts w:hint="eastAsia" w:ascii="宋体" w:hAnsi="宋体" w:eastAsia="宋体" w:cs="宋体"/>
          <w:sz w:val="24"/>
          <w:szCs w:val="24"/>
          <w:highlight w:val="none"/>
        </w:rPr>
        <w:t>如果中标供应商在建设期内没有涉及采购人的应付而未付金额或违约行为，采购人在项目验收合格后或提前终止合同后全额无息退还履约保证金。</w:t>
      </w:r>
    </w:p>
    <w:p w14:paraId="531F5151">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44.</w:t>
      </w:r>
      <w:r>
        <w:rPr>
          <w:rFonts w:hint="eastAsia" w:ascii="宋体" w:hAnsi="宋体" w:eastAsia="宋体" w:cs="宋体"/>
          <w:b/>
          <w:bCs/>
          <w:sz w:val="24"/>
          <w:szCs w:val="24"/>
          <w:highlight w:val="none"/>
        </w:rPr>
        <w:t>签订合同及公告</w:t>
      </w:r>
    </w:p>
    <w:p w14:paraId="5239789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44.1</w:t>
      </w:r>
      <w:r>
        <w:rPr>
          <w:rFonts w:hint="eastAsia" w:ascii="宋体" w:hAnsi="宋体" w:eastAsia="宋体" w:cs="宋体"/>
          <w:sz w:val="24"/>
          <w:szCs w:val="24"/>
          <w:highlight w:val="none"/>
        </w:rPr>
        <w:t>采购人在中标通知书发出之日起30日内与中标供应商签订合同。</w:t>
      </w:r>
    </w:p>
    <w:p w14:paraId="00C9D87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44.2</w:t>
      </w:r>
      <w:r>
        <w:rPr>
          <w:rFonts w:hint="eastAsia" w:ascii="宋体" w:hAnsi="宋体" w:eastAsia="宋体" w:cs="宋体"/>
          <w:sz w:val="24"/>
          <w:szCs w:val="24"/>
          <w:highlight w:val="none"/>
        </w:rPr>
        <w:t>中标供应商拖延、拒签合同的,取消中标资格。</w:t>
      </w:r>
    </w:p>
    <w:p w14:paraId="3EFFE72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44.3</w:t>
      </w:r>
      <w:r>
        <w:rPr>
          <w:rFonts w:hint="eastAsia" w:ascii="宋体" w:hAnsi="宋体" w:eastAsia="宋体" w:cs="宋体"/>
          <w:sz w:val="24"/>
          <w:szCs w:val="24"/>
          <w:highlight w:val="none"/>
        </w:rPr>
        <w:t>采购文件、中标供应商的投标文件及评标过程中有关澄清文件等均作为签订合同的依据。所签订的合同不得对采购文件和中标供应商的投标文件的内容作实质性修改。</w:t>
      </w:r>
    </w:p>
    <w:p w14:paraId="6843587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44.4</w:t>
      </w:r>
      <w:r>
        <w:rPr>
          <w:rFonts w:hint="eastAsia" w:ascii="宋体" w:hAnsi="宋体" w:eastAsia="宋体" w:cs="宋体"/>
          <w:sz w:val="24"/>
          <w:szCs w:val="24"/>
          <w:highlight w:val="none"/>
        </w:rPr>
        <w:t>采购人应当自政府采购合同签订之日起 2 个工作日内，在省级以上财政部门指定的政府采购信息发布媒体及相关网站上公告。</w:t>
      </w:r>
    </w:p>
    <w:p w14:paraId="39FB4BC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44.5</w:t>
      </w:r>
      <w:r>
        <w:rPr>
          <w:rFonts w:hint="eastAsia" w:ascii="宋体" w:hAnsi="宋体" w:eastAsia="宋体" w:cs="宋体"/>
          <w:sz w:val="24"/>
          <w:szCs w:val="24"/>
          <w:highlight w:val="none"/>
        </w:rPr>
        <w:t>采购人应当自政府采购合同签订之日起 7 个工作日内，将政府采购合同副本报同级人民政府财政部门备案以及采购代理机构存档。</w:t>
      </w:r>
    </w:p>
    <w:p w14:paraId="444D8D13">
      <w:pPr>
        <w:pStyle w:val="4"/>
        <w:numPr>
          <w:ilvl w:val="0"/>
          <w:numId w:val="0"/>
        </w:numPr>
        <w:bidi w:val="0"/>
        <w:ind w:leftChars="200"/>
        <w:rPr>
          <w:rFonts w:hint="eastAsia" w:ascii="宋体" w:hAnsi="宋体" w:eastAsia="宋体" w:cs="宋体"/>
          <w:highlight w:val="none"/>
          <w:lang w:eastAsia="zh-CN"/>
        </w:rPr>
      </w:pPr>
      <w:bookmarkStart w:id="36" w:name="_Toc32527"/>
    </w:p>
    <w:p w14:paraId="46DF5875">
      <w:pPr>
        <w:pStyle w:val="4"/>
        <w:numPr>
          <w:ilvl w:val="0"/>
          <w:numId w:val="0"/>
        </w:numPr>
        <w:bidi w:val="0"/>
        <w:ind w:leftChars="200"/>
        <w:rPr>
          <w:rFonts w:hint="eastAsia" w:ascii="宋体" w:hAnsi="宋体" w:eastAsia="宋体" w:cs="宋体"/>
          <w:highlight w:val="none"/>
          <w:lang w:val="en-US" w:eastAsia="zh-CN"/>
        </w:rPr>
      </w:pPr>
      <w:r>
        <w:rPr>
          <w:rFonts w:hint="eastAsia" w:ascii="宋体" w:hAnsi="宋体" w:eastAsia="宋体" w:cs="宋体"/>
          <w:highlight w:val="none"/>
          <w:lang w:eastAsia="zh-CN"/>
        </w:rPr>
        <w:t>（七）</w:t>
      </w:r>
      <w:r>
        <w:rPr>
          <w:rFonts w:hint="eastAsia" w:ascii="宋体" w:hAnsi="宋体" w:eastAsia="宋体" w:cs="宋体"/>
          <w:highlight w:val="none"/>
        </w:rPr>
        <w:t>纪律和监督</w:t>
      </w:r>
      <w:bookmarkEnd w:id="36"/>
    </w:p>
    <w:p w14:paraId="3443961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45.</w:t>
      </w:r>
      <w:r>
        <w:rPr>
          <w:rFonts w:hint="eastAsia" w:ascii="宋体" w:hAnsi="宋体" w:eastAsia="宋体" w:cs="宋体"/>
          <w:b/>
          <w:bCs/>
          <w:sz w:val="24"/>
          <w:szCs w:val="24"/>
          <w:highlight w:val="none"/>
        </w:rPr>
        <w:t>对招标人的纪律要求</w:t>
      </w:r>
    </w:p>
    <w:p w14:paraId="29AA8CD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45.1</w:t>
      </w:r>
      <w:r>
        <w:rPr>
          <w:rFonts w:hint="eastAsia" w:ascii="宋体" w:hAnsi="宋体" w:eastAsia="宋体" w:cs="宋体"/>
          <w:sz w:val="24"/>
          <w:szCs w:val="24"/>
          <w:highlight w:val="none"/>
        </w:rPr>
        <w:t>招标人不得泄漏招标投标活动中应当保密的情况和资料，不得与投标人串通损害国家利益，社会公共利益或者他人合法权益。</w:t>
      </w:r>
    </w:p>
    <w:p w14:paraId="5E4F6F6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46.</w:t>
      </w:r>
      <w:r>
        <w:rPr>
          <w:rFonts w:hint="eastAsia" w:ascii="宋体" w:hAnsi="宋体" w:eastAsia="宋体" w:cs="宋体"/>
          <w:b/>
          <w:bCs/>
          <w:sz w:val="24"/>
          <w:szCs w:val="24"/>
          <w:highlight w:val="none"/>
        </w:rPr>
        <w:t>对投标人的纪律要求</w:t>
      </w:r>
    </w:p>
    <w:p w14:paraId="75F963F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46.1</w:t>
      </w:r>
      <w:r>
        <w:rPr>
          <w:rFonts w:hint="eastAsia" w:ascii="宋体" w:hAnsi="宋体" w:eastAsia="宋体" w:cs="宋体"/>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4E6AEE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47.</w:t>
      </w:r>
      <w:r>
        <w:rPr>
          <w:rFonts w:hint="eastAsia" w:ascii="宋体" w:hAnsi="宋体" w:eastAsia="宋体" w:cs="宋体"/>
          <w:b/>
          <w:bCs/>
          <w:sz w:val="24"/>
          <w:szCs w:val="24"/>
          <w:highlight w:val="none"/>
        </w:rPr>
        <w:t>对评标委员会成员的纪律要求</w:t>
      </w:r>
    </w:p>
    <w:p w14:paraId="6DD0897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47.1</w:t>
      </w:r>
      <w:r>
        <w:rPr>
          <w:rFonts w:hint="eastAsia" w:ascii="宋体" w:hAnsi="宋体" w:eastAsia="宋体" w:cs="宋体"/>
          <w:sz w:val="24"/>
          <w:szCs w:val="24"/>
          <w:highlight w:val="none"/>
        </w:rPr>
        <w:t>评标委员会成员不得收受他人的财物或者其他好处，不得向他人透漏对投标文件的评审和比较、中标候选人的推荐情况以及评标有关的其他情况。</w:t>
      </w:r>
    </w:p>
    <w:p w14:paraId="7DFA0D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47.2</w:t>
      </w:r>
      <w:r>
        <w:rPr>
          <w:rFonts w:hint="eastAsia" w:ascii="宋体" w:hAnsi="宋体" w:eastAsia="宋体" w:cs="宋体"/>
          <w:sz w:val="24"/>
          <w:szCs w:val="24"/>
          <w:highlight w:val="none"/>
        </w:rPr>
        <w:t>在评标活动中，评标委员会成员不得擅离职守，影响评标程序正常进行，不得使用第三章“评标办法”没有规定的评审因素和标准进行评标。</w:t>
      </w:r>
    </w:p>
    <w:p w14:paraId="73918856">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48.</w:t>
      </w:r>
      <w:r>
        <w:rPr>
          <w:rFonts w:hint="eastAsia" w:ascii="宋体" w:hAnsi="宋体" w:eastAsia="宋体" w:cs="宋体"/>
          <w:b/>
          <w:bCs/>
          <w:sz w:val="24"/>
          <w:szCs w:val="24"/>
          <w:highlight w:val="none"/>
        </w:rPr>
        <w:t>对与评标活动有关的工作人员的纪律要求</w:t>
      </w:r>
    </w:p>
    <w:p w14:paraId="00ED28A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   擅离职守，影响评标程序正常进行。</w:t>
      </w:r>
    </w:p>
    <w:p w14:paraId="36BB8D2C">
      <w:pPr>
        <w:pStyle w:val="4"/>
        <w:numPr>
          <w:ilvl w:val="0"/>
          <w:numId w:val="0"/>
        </w:numPr>
        <w:bidi w:val="0"/>
        <w:rPr>
          <w:rFonts w:hint="eastAsia" w:ascii="宋体" w:hAnsi="宋体" w:eastAsia="宋体" w:cs="宋体"/>
          <w:sz w:val="24"/>
          <w:szCs w:val="24"/>
          <w:highlight w:val="none"/>
        </w:rPr>
      </w:pPr>
      <w:bookmarkStart w:id="37" w:name="_Toc20702"/>
      <w:r>
        <w:rPr>
          <w:rFonts w:hint="eastAsia" w:ascii="宋体" w:hAnsi="宋体" w:eastAsia="宋体" w:cs="宋体"/>
          <w:highlight w:val="none"/>
        </w:rPr>
        <w:t>（八）质疑与投诉</w:t>
      </w:r>
      <w:bookmarkEnd w:id="37"/>
    </w:p>
    <w:p w14:paraId="7CD01AF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49.</w:t>
      </w:r>
      <w:r>
        <w:rPr>
          <w:rFonts w:hint="eastAsia" w:ascii="宋体" w:hAnsi="宋体" w:eastAsia="宋体" w:cs="宋体"/>
          <w:b/>
          <w:bCs/>
          <w:sz w:val="24"/>
          <w:szCs w:val="24"/>
          <w:highlight w:val="none"/>
        </w:rPr>
        <w:t>质疑和投诉</w:t>
      </w:r>
    </w:p>
    <w:p w14:paraId="3DA1E0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7259054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（一）对可以质疑的采购文件提出质疑的，为收到采购文件之日或者采购文件公告期限届满之日；</w:t>
      </w:r>
    </w:p>
    <w:p w14:paraId="1441E9F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（二）对采购过程提出质疑的，为各采购程序环节结束之日；</w:t>
      </w:r>
    </w:p>
    <w:p w14:paraId="764E6D0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（三）对中标或者成交结果提出质疑的，为中标或者成交结果公告期限届满之日。</w:t>
      </w:r>
    </w:p>
    <w:p w14:paraId="178490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49.2</w:t>
      </w:r>
      <w:r>
        <w:rPr>
          <w:rFonts w:hint="eastAsia" w:ascii="宋体" w:hAnsi="宋体" w:eastAsia="宋体" w:cs="宋体"/>
          <w:sz w:val="24"/>
          <w:szCs w:val="24"/>
          <w:highlight w:val="none"/>
        </w:rPr>
        <w:t>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2E9986C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供应商为自然人的，应当由本人签字；供应商为法人或者其他组织的，应当由法定代表人、主要负责人，或者其授权代表签字或者盖章，并加盖公章。</w:t>
      </w:r>
    </w:p>
    <w:p w14:paraId="363A97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49.3</w:t>
      </w:r>
      <w:r>
        <w:rPr>
          <w:rFonts w:hint="eastAsia" w:ascii="宋体" w:hAnsi="宋体" w:eastAsia="宋体" w:cs="宋体"/>
          <w:sz w:val="24"/>
          <w:szCs w:val="24"/>
          <w:highlight w:val="none"/>
        </w:rPr>
        <w:t>供应商质疑、投诉应当有明确的请求和必要的证明材料。供应商投诉的事项不得超出已质疑事项的范围。采购人及采购代理机构按《政府采购质疑和投诉办法》进行处理供应商质疑事项。</w:t>
      </w:r>
    </w:p>
    <w:p w14:paraId="2E69C1A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49.4</w:t>
      </w:r>
      <w:r>
        <w:rPr>
          <w:rFonts w:hint="eastAsia" w:ascii="宋体" w:hAnsi="宋体" w:eastAsia="宋体" w:cs="宋体"/>
          <w:sz w:val="24"/>
          <w:szCs w:val="24"/>
          <w:highlight w:val="none"/>
        </w:rPr>
        <w:t>质疑供应商对采购人、采购代理机构的质疑答复不满意，或者采购人、采购代理机构未在规定期限内作出答复的，供应商可以在答复期满后15个工作日内向同级财政部门提起投诉。</w:t>
      </w:r>
    </w:p>
    <w:p w14:paraId="2F69650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49.5</w:t>
      </w:r>
      <w:r>
        <w:rPr>
          <w:rFonts w:hint="eastAsia" w:ascii="宋体" w:hAnsi="宋体" w:eastAsia="宋体" w:cs="宋体"/>
          <w:sz w:val="24"/>
          <w:szCs w:val="24"/>
          <w:highlight w:val="none"/>
        </w:rPr>
        <w:t>供应商有下列情形之一的，将其列入不良行为记录名单：</w:t>
      </w:r>
    </w:p>
    <w:p w14:paraId="087C1A7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（一）一年内三次以上质疑均查无实据的；</w:t>
      </w:r>
    </w:p>
    <w:p w14:paraId="1178669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（二）捏造事实或者提供虚假质疑材料的。</w:t>
      </w:r>
    </w:p>
    <w:p w14:paraId="691E409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（三）以非法手段取得证明材料。证据来源的合法性存在明显疑问，质疑人无法证明其取得方式合法的，视为以非法手段取得证明材料。</w:t>
      </w:r>
    </w:p>
    <w:p w14:paraId="38CECC8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p>
    <w:p w14:paraId="372240F4">
      <w:pPr>
        <w:keepNext w:val="0"/>
        <w:keepLines w:val="0"/>
        <w:pageBreakBefore w:val="0"/>
        <w:widowControl w:val="0"/>
        <w:kinsoku/>
        <w:wordWrap/>
        <w:overflowPunct/>
        <w:topLinePunct w:val="0"/>
        <w:autoSpaceDE w:val="0"/>
        <w:autoSpaceDN w:val="0"/>
        <w:bidi w:val="0"/>
        <w:adjustRightInd/>
        <w:snapToGrid/>
        <w:ind w:left="0"/>
        <w:textAlignment w:val="auto"/>
        <w:outlineLvl w:val="9"/>
        <w:rPr>
          <w:rFonts w:hint="eastAsia" w:ascii="宋体" w:hAnsi="宋体" w:eastAsia="宋体" w:cs="宋体"/>
          <w:b/>
          <w:sz w:val="14"/>
          <w:highlight w:val="none"/>
        </w:rPr>
      </w:pPr>
      <w:r>
        <w:rPr>
          <w:rFonts w:hint="eastAsia" w:ascii="宋体" w:hAnsi="宋体" w:eastAsia="宋体" w:cs="宋体"/>
          <w:spacing w:val="-5"/>
          <w:highlight w:val="none"/>
        </w:rPr>
        <w:br w:type="page"/>
      </w:r>
      <w:r>
        <w:rPr>
          <w:rFonts w:hint="eastAsia" w:ascii="宋体" w:hAnsi="宋体" w:eastAsia="宋体" w:cs="宋体"/>
          <w:highlight w:val="none"/>
        </w:rPr>
        <w:t>附件：</w:t>
      </w:r>
    </w:p>
    <w:p w14:paraId="2B72EC38">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宋体" w:hAnsi="宋体" w:eastAsia="宋体" w:cs="宋体"/>
          <w:b/>
          <w:sz w:val="32"/>
          <w:highlight w:val="none"/>
        </w:rPr>
      </w:pPr>
      <w:r>
        <w:rPr>
          <w:rFonts w:hint="eastAsia" w:ascii="宋体" w:hAnsi="宋体" w:eastAsia="宋体" w:cs="宋体"/>
          <w:b/>
          <w:sz w:val="32"/>
          <w:highlight w:val="none"/>
        </w:rPr>
        <w:t>政府采购投诉书（范本）、质疑函范本</w:t>
      </w:r>
    </w:p>
    <w:p w14:paraId="5C2D1FD1">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宋体" w:hAnsi="宋体" w:eastAsia="宋体" w:cs="宋体"/>
          <w:b/>
          <w:sz w:val="28"/>
          <w:highlight w:val="none"/>
        </w:rPr>
      </w:pPr>
      <w:r>
        <w:rPr>
          <w:rFonts w:hint="eastAsia" w:ascii="宋体" w:hAnsi="宋体" w:eastAsia="宋体" w:cs="宋体"/>
          <w:b/>
          <w:sz w:val="28"/>
          <w:highlight w:val="none"/>
        </w:rPr>
        <w:t>政府采购投诉书（范本）</w:t>
      </w:r>
    </w:p>
    <w:p w14:paraId="259D5EE7">
      <w:pPr>
        <w:pStyle w:val="7"/>
        <w:spacing w:before="5"/>
        <w:rPr>
          <w:rFonts w:hint="eastAsia" w:ascii="宋体" w:hAnsi="宋体" w:eastAsia="宋体" w:cs="宋体"/>
          <w:b/>
          <w:sz w:val="10"/>
          <w:highlight w:val="none"/>
        </w:rPr>
      </w:pPr>
    </w:p>
    <w:tbl>
      <w:tblPr>
        <w:tblStyle w:val="1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817"/>
        <w:gridCol w:w="4817"/>
      </w:tblGrid>
      <w:tr w14:paraId="1AEEB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2500" w:type="pct"/>
            <w:noWrap w:val="0"/>
            <w:vAlign w:val="center"/>
          </w:tcPr>
          <w:p w14:paraId="31FBF749">
            <w:pPr>
              <w:pStyle w:val="24"/>
              <w:keepNext w:val="0"/>
              <w:keepLines w:val="0"/>
              <w:pageBreakBefore w:val="0"/>
              <w:widowControl w:val="0"/>
              <w:tabs>
                <w:tab w:val="left" w:pos="241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投诉人：</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7A0B4F3C">
            <w:pPr>
              <w:pStyle w:val="24"/>
              <w:keepNext w:val="0"/>
              <w:keepLines w:val="0"/>
              <w:pageBreakBefore w:val="0"/>
              <w:widowControl w:val="0"/>
              <w:tabs>
                <w:tab w:val="left" w:pos="2806"/>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法定代表人：</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40EDA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2500" w:type="pct"/>
            <w:noWrap w:val="0"/>
            <w:vAlign w:val="center"/>
          </w:tcPr>
          <w:p w14:paraId="6DCEB0E8">
            <w:pPr>
              <w:pStyle w:val="24"/>
              <w:keepNext w:val="0"/>
              <w:keepLines w:val="0"/>
              <w:pageBreakBefore w:val="0"/>
              <w:widowControl w:val="0"/>
              <w:tabs>
                <w:tab w:val="left" w:pos="241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地址：</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3FD0C3F1">
            <w:pPr>
              <w:pStyle w:val="24"/>
              <w:keepNext w:val="0"/>
              <w:keepLines w:val="0"/>
              <w:pageBreakBefore w:val="0"/>
              <w:widowControl w:val="0"/>
              <w:tabs>
                <w:tab w:val="left" w:pos="2256"/>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电话：</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6017B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2500" w:type="pct"/>
            <w:noWrap w:val="0"/>
            <w:vAlign w:val="center"/>
          </w:tcPr>
          <w:p w14:paraId="63BA9282">
            <w:pPr>
              <w:pStyle w:val="24"/>
              <w:keepNext w:val="0"/>
              <w:keepLines w:val="0"/>
              <w:pageBreakBefore w:val="0"/>
              <w:widowControl w:val="0"/>
              <w:tabs>
                <w:tab w:val="left" w:pos="241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委托代理人姓名：</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179419BB">
            <w:pPr>
              <w:pStyle w:val="24"/>
              <w:keepNext w:val="0"/>
              <w:keepLines w:val="0"/>
              <w:pageBreakBefore w:val="0"/>
              <w:widowControl w:val="0"/>
              <w:tabs>
                <w:tab w:val="left" w:pos="2256"/>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职务：</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01BC2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500" w:type="pct"/>
            <w:noWrap w:val="0"/>
            <w:vAlign w:val="center"/>
          </w:tcPr>
          <w:p w14:paraId="65C4D71F">
            <w:pPr>
              <w:pStyle w:val="24"/>
              <w:keepNext w:val="0"/>
              <w:keepLines w:val="0"/>
              <w:pageBreakBefore w:val="0"/>
              <w:widowControl w:val="0"/>
              <w:tabs>
                <w:tab w:val="left" w:pos="241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住址：</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50931B9C">
            <w:pPr>
              <w:pStyle w:val="24"/>
              <w:keepNext w:val="0"/>
              <w:keepLines w:val="0"/>
              <w:pageBreakBefore w:val="0"/>
              <w:widowControl w:val="0"/>
              <w:tabs>
                <w:tab w:val="left" w:pos="2703"/>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联系电话：</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57371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2500" w:type="pct"/>
            <w:noWrap w:val="0"/>
            <w:vAlign w:val="center"/>
          </w:tcPr>
          <w:p w14:paraId="7ED27E0D">
            <w:pPr>
              <w:pStyle w:val="24"/>
              <w:keepNext w:val="0"/>
              <w:keepLines w:val="0"/>
              <w:pageBreakBefore w:val="0"/>
              <w:widowControl w:val="0"/>
              <w:tabs>
                <w:tab w:val="left" w:pos="2307"/>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被投诉人：</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6157087C">
            <w:pPr>
              <w:pStyle w:val="24"/>
              <w:keepNext w:val="0"/>
              <w:keepLines w:val="0"/>
              <w:pageBreakBefore w:val="0"/>
              <w:widowControl w:val="0"/>
              <w:tabs>
                <w:tab w:val="left" w:pos="249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法定代表人：</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64088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 w:hRule="atLeast"/>
        </w:trPr>
        <w:tc>
          <w:tcPr>
            <w:tcW w:w="2500" w:type="pct"/>
            <w:noWrap w:val="0"/>
            <w:vAlign w:val="center"/>
          </w:tcPr>
          <w:p w14:paraId="7B0FADC1">
            <w:pPr>
              <w:pStyle w:val="24"/>
              <w:keepNext w:val="0"/>
              <w:keepLines w:val="0"/>
              <w:pageBreakBefore w:val="0"/>
              <w:widowControl w:val="0"/>
              <w:tabs>
                <w:tab w:val="left" w:pos="2307"/>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地址：</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6FFFBFA2">
            <w:pPr>
              <w:pStyle w:val="24"/>
              <w:keepNext w:val="0"/>
              <w:keepLines w:val="0"/>
              <w:pageBreakBefore w:val="0"/>
              <w:widowControl w:val="0"/>
              <w:tabs>
                <w:tab w:val="left" w:pos="2359"/>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电话：</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bl>
    <w:p w14:paraId="4FFC74B7">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p>
    <w:p w14:paraId="2A2F67F7">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我公司参加了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日被投诉人组织的</w:t>
      </w:r>
      <w:r>
        <w:rPr>
          <w:rFonts w:hint="eastAsia" w:ascii="宋体" w:hAnsi="宋体" w:eastAsia="宋体" w:cs="宋体"/>
          <w:sz w:val="24"/>
          <w:szCs w:val="24"/>
          <w:highlight w:val="none"/>
          <w:u w:val="single"/>
        </w:rPr>
        <w:t>（采购人）（项目名称）（项目编号）</w:t>
      </w:r>
      <w:r>
        <w:rPr>
          <w:rFonts w:hint="eastAsia" w:ascii="宋体" w:hAnsi="宋体" w:eastAsia="宋体" w:cs="宋体"/>
          <w:sz w:val="24"/>
          <w:szCs w:val="24"/>
          <w:highlight w:val="none"/>
        </w:rPr>
        <w:t>的采购活动，我公司认为该项目的</w:t>
      </w:r>
      <w:r>
        <w:rPr>
          <w:rFonts w:hint="eastAsia" w:ascii="宋体" w:hAnsi="宋体" w:eastAsia="宋体" w:cs="宋体"/>
          <w:sz w:val="24"/>
          <w:szCs w:val="24"/>
          <w:highlight w:val="none"/>
          <w:u w:val="single"/>
        </w:rPr>
        <w:t>（采购文件/采购过程/中标（中标）结果）</w:t>
      </w:r>
      <w:r>
        <w:rPr>
          <w:rFonts w:hint="eastAsia" w:ascii="宋体" w:hAnsi="宋体" w:eastAsia="宋体" w:cs="宋体"/>
          <w:sz w:val="24"/>
          <w:szCs w:val="24"/>
          <w:highlight w:val="none"/>
        </w:rPr>
        <w:t>损害了我公司权益，对此，我公司于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日向</w:t>
      </w:r>
      <w:r>
        <w:rPr>
          <w:rFonts w:hint="eastAsia" w:ascii="宋体" w:hAnsi="宋体" w:eastAsia="宋体" w:cs="宋体"/>
          <w:sz w:val="24"/>
          <w:szCs w:val="24"/>
          <w:highlight w:val="none"/>
          <w:u w:val="single"/>
        </w:rPr>
        <w:t>（采购人或者政府采购代理机构）</w:t>
      </w:r>
      <w:r>
        <w:rPr>
          <w:rFonts w:hint="eastAsia" w:ascii="宋体" w:hAnsi="宋体" w:eastAsia="宋体" w:cs="宋体"/>
          <w:sz w:val="24"/>
          <w:szCs w:val="24"/>
          <w:highlight w:val="none"/>
        </w:rPr>
        <w:t>提出了质疑，</w:t>
      </w:r>
      <w:r>
        <w:rPr>
          <w:rFonts w:hint="eastAsia" w:ascii="宋体" w:hAnsi="宋体" w:eastAsia="宋体" w:cs="宋体"/>
          <w:sz w:val="24"/>
          <w:szCs w:val="24"/>
          <w:highlight w:val="none"/>
          <w:u w:val="single"/>
        </w:rPr>
        <w:t xml:space="preserve">（其于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日作出书面答复，因对其作出的答复不满意）/（被质疑人未在法定期内予以答复，按照政府采购有关规定）</w:t>
      </w:r>
      <w:r>
        <w:rPr>
          <w:rFonts w:hint="eastAsia" w:ascii="宋体" w:hAnsi="宋体" w:eastAsia="宋体" w:cs="宋体"/>
          <w:sz w:val="24"/>
          <w:szCs w:val="24"/>
          <w:highlight w:val="none"/>
        </w:rPr>
        <w:t>，现向贵机关提起投诉：</w:t>
      </w:r>
    </w:p>
    <w:p w14:paraId="32DD6689">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rPr>
        <w:t>具体的投诉事项及事实依据；</w:t>
      </w:r>
    </w:p>
    <w:p w14:paraId="5A8B6287">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rPr>
        <w:t>质疑和质疑答复情况简要描述；</w:t>
      </w:r>
    </w:p>
    <w:p w14:paraId="56C6AA6B">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u w:val="single"/>
        </w:rPr>
        <w:t>投诉请求</w:t>
      </w:r>
      <w:r>
        <w:rPr>
          <w:rFonts w:hint="eastAsia" w:ascii="宋体" w:hAnsi="宋体" w:eastAsia="宋体" w:cs="宋体"/>
          <w:sz w:val="24"/>
          <w:szCs w:val="24"/>
          <w:highlight w:val="none"/>
        </w:rPr>
        <w:t>。</w:t>
      </w:r>
    </w:p>
    <w:p w14:paraId="107B6FB4">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p>
    <w:p w14:paraId="17B40438">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质疑书和质疑答复书；</w:t>
      </w:r>
    </w:p>
    <w:p w14:paraId="6C7D484E">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证据材料（需注明证据来源），证人的姓名、住址和联系方式等；</w:t>
      </w:r>
    </w:p>
    <w:p w14:paraId="6A453D77">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营业执照；</w:t>
      </w:r>
    </w:p>
    <w:p w14:paraId="5499EFC6">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法定代表人身份证明函</w:t>
      </w:r>
    </w:p>
    <w:p w14:paraId="7B5B8054">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法定代表人授权委托书（包含法定代表人和委托代理人的身份证复印件）；</w:t>
      </w:r>
    </w:p>
    <w:p w14:paraId="1BD04DDD">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政府采购监管部门认为应当提供的其它材料。</w:t>
      </w:r>
    </w:p>
    <w:p w14:paraId="7BC57D0B">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p>
    <w:p w14:paraId="28925132">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p>
    <w:p w14:paraId="0278E0C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投诉供应商：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（盖章）</w:t>
      </w:r>
    </w:p>
    <w:p w14:paraId="12A5E73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法定代表人（或主要负责人）：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（签字）</w:t>
      </w:r>
    </w:p>
    <w:p w14:paraId="6A05746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right"/>
        <w:textAlignment w:val="auto"/>
        <w:rPr>
          <w:rFonts w:hint="eastAsia" w:ascii="宋体" w:hAnsi="宋体" w:eastAsia="宋体" w:cs="宋体"/>
          <w:sz w:val="16"/>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日</w:t>
      </w:r>
    </w:p>
    <w:p w14:paraId="4B32E1EE">
      <w:pPr>
        <w:jc w:val="right"/>
        <w:rPr>
          <w:rFonts w:hint="eastAsia" w:ascii="宋体" w:hAnsi="宋体" w:eastAsia="宋体" w:cs="宋体"/>
          <w:highlight w:val="none"/>
        </w:rPr>
      </w:pPr>
      <w:r>
        <w:rPr>
          <w:rFonts w:hint="eastAsia" w:ascii="宋体" w:hAnsi="宋体" w:eastAsia="宋体" w:cs="宋体"/>
          <w:highlight w:val="none"/>
        </w:rPr>
        <w:t>本投诉书正本叁份，副本</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rPr>
        <w:t>份并附电子文档。</w:t>
      </w:r>
    </w:p>
    <w:p w14:paraId="74209820">
      <w:pPr>
        <w:pageBreakBefore w:val="0"/>
        <w:kinsoku/>
        <w:wordWrap/>
        <w:overflowPunct/>
        <w:topLinePunct w:val="0"/>
        <w:autoSpaceDE w:val="0"/>
        <w:autoSpaceDN w:val="0"/>
        <w:bidi w:val="0"/>
        <w:adjustRightInd/>
        <w:snapToGrid/>
        <w:spacing w:before="0" w:beforeLines="0" w:after="0" w:afterLines="0" w:line="360" w:lineRule="auto"/>
        <w:ind w:right="0"/>
        <w:jc w:val="center"/>
        <w:outlineLvl w:val="9"/>
        <w:rPr>
          <w:rFonts w:hint="eastAsia" w:ascii="宋体" w:hAnsi="宋体" w:eastAsia="宋体" w:cs="宋体"/>
          <w:sz w:val="24"/>
          <w:szCs w:val="24"/>
          <w:highlight w:val="none"/>
        </w:rPr>
      </w:pPr>
      <w:r>
        <w:rPr>
          <w:rFonts w:hint="eastAsia" w:ascii="宋体" w:hAnsi="宋体" w:eastAsia="宋体" w:cs="宋体"/>
          <w:highlight w:val="none"/>
        </w:rPr>
        <w:br w:type="page"/>
      </w:r>
      <w:r>
        <w:rPr>
          <w:rFonts w:hint="eastAsia" w:ascii="宋体" w:hAnsi="宋体" w:eastAsia="宋体" w:cs="宋体"/>
          <w:b/>
          <w:bCs/>
          <w:sz w:val="24"/>
          <w:szCs w:val="24"/>
          <w:highlight w:val="none"/>
        </w:rPr>
        <w:t>质疑函范本</w:t>
      </w:r>
    </w:p>
    <w:p w14:paraId="78D225CC">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highlight w:val="none"/>
        </w:rPr>
      </w:pPr>
    </w:p>
    <w:p w14:paraId="5FAF17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38" w:name="一、质疑供应商基本信息"/>
      <w:bookmarkEnd w:id="38"/>
      <w:r>
        <w:rPr>
          <w:rFonts w:hint="eastAsia" w:ascii="宋体" w:hAnsi="宋体" w:eastAsia="宋体" w:cs="宋体"/>
          <w:sz w:val="24"/>
          <w:szCs w:val="24"/>
          <w:highlight w:val="none"/>
        </w:rPr>
        <w:t>一、质疑供应商基本信息</w:t>
      </w:r>
    </w:p>
    <w:p w14:paraId="0621BDD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质疑供应商：</w:t>
      </w:r>
      <w:r>
        <w:rPr>
          <w:rFonts w:hint="eastAsia" w:ascii="宋体" w:hAnsi="宋体" w:eastAsia="宋体" w:cs="宋体"/>
          <w:sz w:val="24"/>
          <w:szCs w:val="24"/>
          <w:highlight w:val="none"/>
          <w:u w:val="single"/>
          <w:lang w:val="en-US" w:eastAsia="zh-CN"/>
        </w:rPr>
        <w:t xml:space="preserve">                             </w:t>
      </w:r>
    </w:p>
    <w:p w14:paraId="517433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邮编： </w:t>
      </w:r>
      <w:r>
        <w:rPr>
          <w:rFonts w:hint="eastAsia" w:ascii="宋体" w:hAnsi="宋体" w:eastAsia="宋体" w:cs="宋体"/>
          <w:sz w:val="24"/>
          <w:szCs w:val="24"/>
          <w:highlight w:val="none"/>
          <w:u w:val="single"/>
          <w:lang w:val="en-US" w:eastAsia="zh-CN"/>
        </w:rPr>
        <w:t xml:space="preserve">                             </w:t>
      </w:r>
    </w:p>
    <w:p w14:paraId="5F401D8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联系电话： </w:t>
      </w:r>
      <w:r>
        <w:rPr>
          <w:rFonts w:hint="eastAsia" w:ascii="宋体" w:hAnsi="宋体" w:eastAsia="宋体" w:cs="宋体"/>
          <w:sz w:val="24"/>
          <w:szCs w:val="24"/>
          <w:highlight w:val="none"/>
          <w:u w:val="single"/>
          <w:lang w:val="en-US" w:eastAsia="zh-CN"/>
        </w:rPr>
        <w:t xml:space="preserve">                             </w:t>
      </w:r>
    </w:p>
    <w:p w14:paraId="6F7FF0D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lang w:val="en-US" w:eastAsia="zh-CN"/>
        </w:rPr>
        <w:t xml:space="preserve">                             </w:t>
      </w:r>
    </w:p>
    <w:p w14:paraId="030F4C7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联系电话： </w:t>
      </w:r>
      <w:r>
        <w:rPr>
          <w:rFonts w:hint="eastAsia" w:ascii="宋体" w:hAnsi="宋体" w:eastAsia="宋体" w:cs="宋体"/>
          <w:sz w:val="24"/>
          <w:szCs w:val="24"/>
          <w:highlight w:val="none"/>
          <w:u w:val="single"/>
          <w:lang w:val="en-US" w:eastAsia="zh-CN"/>
        </w:rPr>
        <w:t xml:space="preserve">                             </w:t>
      </w:r>
    </w:p>
    <w:p w14:paraId="395CADF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p>
    <w:p w14:paraId="09FC0EB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39" w:name="二、质疑项目基本情况"/>
      <w:bookmarkEnd w:id="39"/>
      <w:r>
        <w:rPr>
          <w:rFonts w:hint="eastAsia" w:ascii="宋体" w:hAnsi="宋体" w:eastAsia="宋体" w:cs="宋体"/>
          <w:sz w:val="24"/>
          <w:szCs w:val="24"/>
          <w:highlight w:val="none"/>
        </w:rPr>
        <w:t>二、质疑项目基本情况</w:t>
      </w:r>
    </w:p>
    <w:p w14:paraId="409C1BA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质疑项目的名称： </w:t>
      </w:r>
      <w:r>
        <w:rPr>
          <w:rFonts w:hint="eastAsia" w:ascii="宋体" w:hAnsi="宋体" w:eastAsia="宋体" w:cs="宋体"/>
          <w:sz w:val="24"/>
          <w:szCs w:val="24"/>
          <w:highlight w:val="none"/>
          <w:u w:val="single"/>
          <w:lang w:val="en-US" w:eastAsia="zh-CN"/>
        </w:rPr>
        <w:t xml:space="preserve">                             </w:t>
      </w:r>
    </w:p>
    <w:p w14:paraId="07125BA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质疑项目的编号： </w:t>
      </w:r>
      <w:r>
        <w:rPr>
          <w:rFonts w:hint="eastAsia" w:ascii="宋体" w:hAnsi="宋体" w:eastAsia="宋体" w:cs="宋体"/>
          <w:sz w:val="24"/>
          <w:szCs w:val="24"/>
          <w:highlight w:val="non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single"/>
          <w:lang w:val="en-US" w:eastAsia="zh-CN"/>
        </w:rPr>
        <w:t xml:space="preserve">                         </w:t>
      </w:r>
    </w:p>
    <w:p w14:paraId="53D3592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采购人名称： </w:t>
      </w:r>
      <w:r>
        <w:rPr>
          <w:rFonts w:hint="eastAsia" w:ascii="宋体" w:hAnsi="宋体" w:eastAsia="宋体" w:cs="宋体"/>
          <w:sz w:val="24"/>
          <w:szCs w:val="24"/>
          <w:highlight w:val="none"/>
          <w:u w:val="single"/>
          <w:lang w:val="en-US" w:eastAsia="zh-CN"/>
        </w:rPr>
        <w:t xml:space="preserve">                             </w:t>
      </w:r>
    </w:p>
    <w:p w14:paraId="75C5B5D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采购文件获取日期：</w:t>
      </w:r>
      <w:r>
        <w:rPr>
          <w:rFonts w:hint="eastAsia" w:ascii="宋体" w:hAnsi="宋体" w:eastAsia="宋体" w:cs="宋体"/>
          <w:sz w:val="24"/>
          <w:szCs w:val="24"/>
          <w:highlight w:val="none"/>
          <w:u w:val="single"/>
          <w:lang w:val="en-US" w:eastAsia="zh-CN"/>
        </w:rPr>
        <w:t xml:space="preserve">                             </w:t>
      </w:r>
    </w:p>
    <w:p w14:paraId="12E3C11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40" w:name="三、质疑事项具体内容"/>
      <w:bookmarkEnd w:id="40"/>
      <w:r>
        <w:rPr>
          <w:rFonts w:hint="eastAsia" w:ascii="宋体" w:hAnsi="宋体" w:eastAsia="宋体" w:cs="宋体"/>
          <w:sz w:val="24"/>
          <w:szCs w:val="24"/>
          <w:highlight w:val="none"/>
        </w:rPr>
        <w:t>三、质疑事项具体内容</w:t>
      </w:r>
    </w:p>
    <w:p w14:paraId="56658BB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质疑事项1：</w:t>
      </w:r>
      <w:r>
        <w:rPr>
          <w:rFonts w:hint="eastAsia" w:ascii="宋体" w:hAnsi="宋体" w:eastAsia="宋体" w:cs="宋体"/>
          <w:sz w:val="24"/>
          <w:szCs w:val="24"/>
          <w:highlight w:val="none"/>
          <w:u w:val="single"/>
          <w:lang w:val="en-US" w:eastAsia="zh-CN"/>
        </w:rPr>
        <w:t xml:space="preserve">                             </w:t>
      </w:r>
    </w:p>
    <w:p w14:paraId="164BB63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single"/>
          <w:lang w:val="en-US" w:eastAsia="zh-CN"/>
        </w:rPr>
        <w:t xml:space="preserve">                             </w:t>
      </w:r>
    </w:p>
    <w:p w14:paraId="06C4949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p>
    <w:p w14:paraId="309F510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质疑事项2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u w:val="single"/>
          <w:lang w:val="en-US" w:eastAsia="zh-CN"/>
        </w:rPr>
        <w:t xml:space="preserve">                             </w:t>
      </w:r>
    </w:p>
    <w:p w14:paraId="04503D0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1C7A07A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41" w:name="四、与质疑事项相关的质疑请求"/>
      <w:bookmarkEnd w:id="41"/>
      <w:r>
        <w:rPr>
          <w:rFonts w:hint="eastAsia" w:ascii="宋体" w:hAnsi="宋体" w:eastAsia="宋体" w:cs="宋体"/>
          <w:sz w:val="24"/>
          <w:szCs w:val="24"/>
          <w:highlight w:val="none"/>
        </w:rPr>
        <w:t>四、与质疑事项相关的质疑请求</w:t>
      </w:r>
    </w:p>
    <w:p w14:paraId="75A3DB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p>
    <w:p w14:paraId="631517B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p>
    <w:p w14:paraId="0146822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rPr>
        <w:t>签字(签章)：</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公章：</w:t>
      </w:r>
      <w:r>
        <w:rPr>
          <w:rFonts w:hint="eastAsia" w:ascii="宋体" w:hAnsi="宋体" w:eastAsia="宋体" w:cs="宋体"/>
          <w:sz w:val="24"/>
          <w:szCs w:val="24"/>
          <w:highlight w:val="none"/>
          <w:u w:val="single"/>
          <w:lang w:val="en-US" w:eastAsia="zh-CN"/>
        </w:rPr>
        <w:t xml:space="preserve">                             </w:t>
      </w:r>
    </w:p>
    <w:p w14:paraId="45031DD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zh-CN"/>
        </w:rPr>
        <w:t>日</w:t>
      </w:r>
    </w:p>
    <w:p w14:paraId="17618BBC">
      <w:pPr>
        <w:pStyle w:val="2"/>
        <w:numPr>
          <w:ilvl w:val="0"/>
          <w:numId w:val="0"/>
        </w:numPr>
        <w:bidi w:val="0"/>
        <w:ind w:leftChars="0"/>
        <w:jc w:val="both"/>
        <w:rPr>
          <w:rFonts w:hint="eastAsia" w:ascii="宋体" w:hAnsi="宋体" w:eastAsia="宋体" w:cs="宋体"/>
          <w:sz w:val="32"/>
          <w:szCs w:val="32"/>
          <w:highlight w:val="none"/>
        </w:rPr>
      </w:pPr>
      <w:r>
        <w:rPr>
          <w:rFonts w:hint="eastAsia" w:ascii="宋体" w:hAnsi="宋体" w:eastAsia="宋体" w:cs="宋体"/>
          <w:sz w:val="24"/>
          <w:szCs w:val="24"/>
          <w:highlight w:val="none"/>
        </w:rPr>
        <w:br w:type="page"/>
      </w:r>
      <w:bookmarkStart w:id="42" w:name="_Toc15101"/>
      <w:r>
        <w:rPr>
          <w:rFonts w:hint="eastAsia" w:ascii="宋体" w:hAnsi="宋体" w:eastAsia="宋体" w:cs="宋体"/>
          <w:sz w:val="24"/>
          <w:szCs w:val="24"/>
          <w:highlight w:val="none"/>
          <w:lang w:val="en-US" w:eastAsia="zh-CN"/>
        </w:rPr>
        <w:t xml:space="preserve">                         </w:t>
      </w:r>
      <w:r>
        <w:rPr>
          <w:rFonts w:hint="eastAsia" w:ascii="宋体" w:hAnsi="宋体" w:eastAsia="宋体" w:cs="宋体"/>
          <w:sz w:val="32"/>
          <w:szCs w:val="32"/>
          <w:highlight w:val="none"/>
        </w:rPr>
        <w:t>第三章</w:t>
      </w:r>
      <w:r>
        <w:rPr>
          <w:rFonts w:hint="eastAsia" w:ascii="宋体" w:hAnsi="宋体" w:eastAsia="宋体" w:cs="宋体"/>
          <w:sz w:val="32"/>
          <w:szCs w:val="32"/>
          <w:highlight w:val="none"/>
          <w:lang w:eastAsia="zh-CN"/>
        </w:rPr>
        <w:t>、</w:t>
      </w:r>
      <w:r>
        <w:rPr>
          <w:rFonts w:hint="eastAsia" w:ascii="宋体" w:hAnsi="宋体" w:eastAsia="宋体" w:cs="宋体"/>
          <w:sz w:val="32"/>
          <w:szCs w:val="32"/>
          <w:highlight w:val="none"/>
        </w:rPr>
        <w:tab/>
      </w:r>
      <w:r>
        <w:rPr>
          <w:rFonts w:hint="eastAsia" w:ascii="宋体" w:hAnsi="宋体" w:eastAsia="宋体" w:cs="宋体"/>
          <w:sz w:val="32"/>
          <w:szCs w:val="32"/>
          <w:highlight w:val="none"/>
        </w:rPr>
        <w:t>评标办法</w:t>
      </w:r>
      <w:bookmarkEnd w:id="42"/>
    </w:p>
    <w:p w14:paraId="09FA7B28">
      <w:pPr>
        <w:pStyle w:val="3"/>
        <w:numPr>
          <w:ilvl w:val="0"/>
          <w:numId w:val="0"/>
        </w:numPr>
        <w:bidi w:val="0"/>
        <w:rPr>
          <w:rFonts w:hint="eastAsia" w:ascii="宋体" w:hAnsi="宋体" w:eastAsia="宋体" w:cs="宋体"/>
          <w:b/>
          <w:sz w:val="24"/>
          <w:szCs w:val="24"/>
          <w:highlight w:val="none"/>
        </w:rPr>
      </w:pPr>
      <w:bookmarkStart w:id="43" w:name="_bookmark4"/>
      <w:bookmarkEnd w:id="43"/>
      <w:bookmarkStart w:id="44" w:name="一  总  则"/>
      <w:bookmarkEnd w:id="44"/>
      <w:bookmarkStart w:id="45" w:name="_Toc9583"/>
      <w:r>
        <w:rPr>
          <w:rFonts w:hint="eastAsia" w:ascii="宋体" w:hAnsi="宋体" w:eastAsia="宋体" w:cs="宋体"/>
          <w:sz w:val="24"/>
          <w:szCs w:val="24"/>
          <w:highlight w:val="none"/>
        </w:rPr>
        <w:t>一</w:t>
      </w:r>
      <w:r>
        <w:rPr>
          <w:rFonts w:hint="eastAsia" w:ascii="宋体" w:hAnsi="宋体" w:eastAsia="宋体" w:cs="宋体"/>
          <w:sz w:val="24"/>
          <w:szCs w:val="24"/>
          <w:highlight w:val="none"/>
        </w:rPr>
        <w:tab/>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总</w:t>
      </w:r>
      <w:r>
        <w:rPr>
          <w:rFonts w:hint="eastAsia" w:ascii="宋体" w:hAnsi="宋体" w:eastAsia="宋体" w:cs="宋体"/>
          <w:sz w:val="24"/>
          <w:szCs w:val="24"/>
          <w:highlight w:val="none"/>
        </w:rPr>
        <w:tab/>
      </w:r>
      <w:r>
        <w:rPr>
          <w:rFonts w:hint="eastAsia" w:ascii="宋体" w:hAnsi="宋体" w:eastAsia="宋体" w:cs="宋体"/>
          <w:sz w:val="24"/>
          <w:szCs w:val="24"/>
          <w:highlight w:val="none"/>
        </w:rPr>
        <w:t>则</w:t>
      </w:r>
      <w:bookmarkEnd w:id="45"/>
    </w:p>
    <w:p w14:paraId="2384CC5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1、一般规定</w:t>
      </w:r>
    </w:p>
    <w:p w14:paraId="7753177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本项目的招标按照《中华人民共和国政府采购法》、《政府采购服务和服务招标磋商管理办法》、《政府采购竞争性磋商采购方式管理暂行办法》及政府采购的有关规定进行。</w:t>
      </w:r>
    </w:p>
    <w:p w14:paraId="3E9A61F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评标必须遵循公开、公平、公正、诚实信用的原则。</w:t>
      </w:r>
    </w:p>
    <w:p w14:paraId="7D91831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招标代理机构组织招标、开标、评标工作，全过程接受政府采购有关部门的监督、管理和指导。</w:t>
      </w:r>
    </w:p>
    <w:p w14:paraId="77883A7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评标按照磋商文件规定的内容进行，采取综合比较和分项打分相结合的评标方法（综合评分法），避免纯技术或纯经济的倾向。</w:t>
      </w:r>
    </w:p>
    <w:p w14:paraId="2F14D26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本办法的评标对象是指供应商按照磋商文件要求提供的有效响应文件，包括供应商应磋商小组要求对原响应文件作出的正式书面澄清文件。</w:t>
      </w:r>
    </w:p>
    <w:p w14:paraId="4FA252D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2、磋商组织机构的组成</w:t>
      </w:r>
    </w:p>
    <w:p w14:paraId="791ABFA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rPr>
        <w:t>磋商小组成员由招标人的代表和随机抽取的有关方面的专家2名组成，成员为3人，磋商小组的成员在评标过程中必须严格遵守政府采购的有关规定。专家从当地专家库中随机抽取产生。</w:t>
      </w:r>
    </w:p>
    <w:p w14:paraId="481CB4C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w:t>
      </w:r>
      <w:r>
        <w:rPr>
          <w:rFonts w:hint="eastAsia" w:ascii="宋体" w:hAnsi="宋体" w:eastAsia="宋体" w:cs="宋体"/>
          <w:sz w:val="24"/>
          <w:szCs w:val="24"/>
          <w:highlight w:val="none"/>
        </w:rPr>
        <w:t>评标工作组由招标人及有关专家组成，由磋商小组确认，并接受其领导。</w:t>
      </w:r>
    </w:p>
    <w:p w14:paraId="5EA0331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磋商小组应相对独立工作，负责评标、撰写技术、商务评标报告。采购代理机构负责评标过程中资料的保管、发放、回收，整理、汇总评标资料。</w:t>
      </w:r>
    </w:p>
    <w:p w14:paraId="446C6C6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3、磋商小组职责</w:t>
      </w:r>
    </w:p>
    <w:p w14:paraId="45609AB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审查磋商文件是否符合磋商文件要求，并作出评价；</w:t>
      </w:r>
    </w:p>
    <w:p w14:paraId="566FED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w:t>
      </w:r>
      <w:r>
        <w:rPr>
          <w:rFonts w:hint="eastAsia" w:ascii="宋体" w:hAnsi="宋体" w:eastAsia="宋体" w:cs="宋体"/>
          <w:sz w:val="24"/>
          <w:szCs w:val="24"/>
          <w:highlight w:val="none"/>
        </w:rPr>
        <w:t>要求供应商对磋商文件有关事项作出解释或者澄清；</w:t>
      </w:r>
    </w:p>
    <w:p w14:paraId="586BFD2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w:t>
      </w:r>
      <w:r>
        <w:rPr>
          <w:rFonts w:hint="eastAsia" w:ascii="宋体" w:hAnsi="宋体" w:eastAsia="宋体" w:cs="宋体"/>
          <w:sz w:val="24"/>
          <w:szCs w:val="24"/>
          <w:highlight w:val="none"/>
        </w:rPr>
        <w:t>推荐成交候选人名单；</w:t>
      </w:r>
    </w:p>
    <w:p w14:paraId="7FBD6B4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3.4</w:t>
      </w:r>
      <w:r>
        <w:rPr>
          <w:rFonts w:hint="eastAsia" w:ascii="宋体" w:hAnsi="宋体" w:eastAsia="宋体" w:cs="宋体"/>
          <w:sz w:val="24"/>
          <w:szCs w:val="24"/>
          <w:highlight w:val="none"/>
        </w:rPr>
        <w:t>向招标人、招标代理机构或者有关部门报告非法干预评标工作的行为。</w:t>
      </w:r>
    </w:p>
    <w:p w14:paraId="70B72DA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4、磋商小组义务</w:t>
      </w:r>
    </w:p>
    <w:p w14:paraId="13364E8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4.1</w:t>
      </w:r>
      <w:r>
        <w:rPr>
          <w:rFonts w:hint="eastAsia" w:ascii="宋体" w:hAnsi="宋体" w:eastAsia="宋体" w:cs="宋体"/>
          <w:sz w:val="24"/>
          <w:szCs w:val="24"/>
          <w:highlight w:val="none"/>
        </w:rPr>
        <w:t>遵纪守法，客观、公正、廉洁地履行职责；</w:t>
      </w:r>
    </w:p>
    <w:p w14:paraId="704D458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4.2</w:t>
      </w:r>
      <w:r>
        <w:rPr>
          <w:rFonts w:hint="eastAsia" w:ascii="宋体" w:hAnsi="宋体" w:eastAsia="宋体" w:cs="宋体"/>
          <w:sz w:val="24"/>
          <w:szCs w:val="24"/>
          <w:highlight w:val="none"/>
        </w:rPr>
        <w:t>按照磋商文件规定的评标方法和评标标准进行评标，对评审意见承担个人责任；</w:t>
      </w:r>
    </w:p>
    <w:p w14:paraId="0D833E0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w:t>
      </w:r>
      <w:r>
        <w:rPr>
          <w:rFonts w:hint="eastAsia" w:ascii="宋体" w:hAnsi="宋体" w:eastAsia="宋体" w:cs="宋体"/>
          <w:sz w:val="24"/>
          <w:szCs w:val="24"/>
          <w:highlight w:val="none"/>
        </w:rPr>
        <w:t>对评标过程和结果，以及供应商的商业秘密保密；</w:t>
      </w:r>
    </w:p>
    <w:p w14:paraId="33E72D2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w:t>
      </w:r>
      <w:r>
        <w:rPr>
          <w:rFonts w:hint="eastAsia" w:ascii="宋体" w:hAnsi="宋体" w:eastAsia="宋体" w:cs="宋体"/>
          <w:sz w:val="24"/>
          <w:szCs w:val="24"/>
          <w:highlight w:val="none"/>
        </w:rPr>
        <w:t>参与评标报告的起草；</w:t>
      </w:r>
    </w:p>
    <w:p w14:paraId="7DAF78B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4.5</w:t>
      </w:r>
      <w:r>
        <w:rPr>
          <w:rFonts w:hint="eastAsia" w:ascii="宋体" w:hAnsi="宋体" w:eastAsia="宋体" w:cs="宋体"/>
          <w:sz w:val="24"/>
          <w:szCs w:val="24"/>
          <w:highlight w:val="none"/>
        </w:rPr>
        <w:t>配合有关部门的投诉处理工作；</w:t>
      </w:r>
    </w:p>
    <w:p w14:paraId="733E49C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4.6</w:t>
      </w:r>
      <w:r>
        <w:rPr>
          <w:rFonts w:hint="eastAsia" w:ascii="宋体" w:hAnsi="宋体" w:eastAsia="宋体" w:cs="宋体"/>
          <w:sz w:val="24"/>
          <w:szCs w:val="24"/>
          <w:highlight w:val="none"/>
        </w:rPr>
        <w:t>配合招标人、招标代理机构答复磋商供应商提出的质疑。</w:t>
      </w:r>
    </w:p>
    <w:p w14:paraId="099987E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5、评标程序</w:t>
      </w:r>
    </w:p>
    <w:p w14:paraId="617EA34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5.1</w:t>
      </w:r>
      <w:r>
        <w:rPr>
          <w:rFonts w:hint="eastAsia" w:ascii="宋体" w:hAnsi="宋体" w:eastAsia="宋体" w:cs="宋体"/>
          <w:sz w:val="24"/>
          <w:szCs w:val="24"/>
          <w:highlight w:val="none"/>
        </w:rPr>
        <w:t>本次评标首先由磋商小组对供应商的响应文件进行初审，对未能通过初审的响应文件作废标处理；对通过初审的供应商的响应文件进行详细的比较和评价。如需要，进行必要的澄清工作；</w:t>
      </w:r>
    </w:p>
    <w:p w14:paraId="777606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5.2</w:t>
      </w:r>
      <w:r>
        <w:rPr>
          <w:rFonts w:hint="eastAsia" w:ascii="宋体" w:hAnsi="宋体" w:eastAsia="宋体" w:cs="宋体"/>
          <w:sz w:val="24"/>
          <w:szCs w:val="24"/>
          <w:highlight w:val="none"/>
        </w:rPr>
        <w:t>评标报告与推荐成交候选人</w:t>
      </w:r>
    </w:p>
    <w:p w14:paraId="11C90A3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5.3磋商小组各成员应当独立对每个有效响应的文件进行评价、打分，然后汇总每个供应商每项评分因素的得分。</w:t>
      </w:r>
    </w:p>
    <w:p w14:paraId="0669C11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综合评分法服务项目的价格分值占总分值的比重(即权值)为</w:t>
      </w:r>
      <w:r>
        <w:rPr>
          <w:rFonts w:hint="eastAsia" w:ascii="宋体" w:hAnsi="宋体" w:eastAsia="宋体" w:cs="宋体"/>
          <w:b/>
          <w:bCs/>
          <w:sz w:val="24"/>
          <w:szCs w:val="24"/>
          <w:highlight w:val="none"/>
          <w:lang w:val="en-US" w:eastAsia="zh-CN"/>
        </w:rPr>
        <w:t>10</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，采购项目中含不同采购对象的，以占项目资金比例最高的采购对象确定其项目属性。其价格不列为评分因素，有特殊情况需要在上述规定范围外设定价格分权重的。</w:t>
      </w:r>
    </w:p>
    <w:p w14:paraId="7AE9B9A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综合评分法中的价格分统一采用低价优先法计算，即满足磋商文件要求且最后报价最低的供应商的价格为磋商基准价，其价格分为满分。其他供应商的价格分统一按照下列公式计算：</w:t>
      </w:r>
    </w:p>
    <w:p w14:paraId="563E108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磋商报价得分=（磋商基准价/最后磋商报价）×价格权值×100项目评审过程中，不得去掉最后报价中的最高报价和最低报价。</w:t>
      </w:r>
    </w:p>
    <w:p w14:paraId="7DC2490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应当根据综合评分情况，按照评审得分由高到低顺序推荐3名以上成交候选供应商符合《政府采购竞争性磋商采购方式管理暂行办法》法第二十五条磋商小组应当根据综合评分情况，按照评审得分由高到低顺序推荐3名以上成交候选供应商。</w:t>
      </w:r>
    </w:p>
    <w:p w14:paraId="04D935D4">
      <w:pPr>
        <w:pStyle w:val="3"/>
        <w:numPr>
          <w:ilvl w:val="0"/>
          <w:numId w:val="0"/>
        </w:numPr>
        <w:spacing w:line="560" w:lineRule="exact"/>
        <w:ind w:leftChars="200"/>
        <w:jc w:val="left"/>
        <w:rPr>
          <w:rFonts w:hint="eastAsia"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6、招标代理费</w:t>
      </w:r>
    </w:p>
    <w:p w14:paraId="61B6E0B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6.1</w:t>
      </w:r>
      <w:r>
        <w:rPr>
          <w:rFonts w:hint="eastAsia" w:ascii="宋体" w:hAnsi="宋体" w:eastAsia="宋体" w:cs="宋体"/>
          <w:sz w:val="24"/>
          <w:szCs w:val="24"/>
          <w:highlight w:val="none"/>
        </w:rPr>
        <w:t>本项目的招标代理服务费等由中标人支付。</w:t>
      </w:r>
    </w:p>
    <w:p w14:paraId="7316EC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6.2</w:t>
      </w:r>
      <w:r>
        <w:rPr>
          <w:rFonts w:hint="eastAsia" w:ascii="宋体" w:hAnsi="宋体" w:eastAsia="宋体" w:cs="宋体"/>
          <w:sz w:val="24"/>
          <w:szCs w:val="24"/>
          <w:highlight w:val="none"/>
        </w:rPr>
        <w:t>投标人应承担其投标文件编制与递交所涉及的一切费用。在任何情况下招标人对上述费用均不负任何责任。</w:t>
      </w:r>
    </w:p>
    <w:p w14:paraId="4A639463">
      <w:pPr>
        <w:spacing w:line="560" w:lineRule="exact"/>
        <w:ind w:firstLine="560"/>
        <w:jc w:val="left"/>
        <w:rPr>
          <w:rFonts w:hint="eastAsia" w:cs="宋体"/>
          <w:highlight w:val="none"/>
        </w:rPr>
      </w:pPr>
    </w:p>
    <w:p w14:paraId="75069ED8">
      <w:pPr>
        <w:pStyle w:val="25"/>
        <w:spacing w:line="560" w:lineRule="exact"/>
        <w:ind w:left="210" w:leftChars="100" w:firstLine="560"/>
        <w:jc w:val="left"/>
        <w:rPr>
          <w:rFonts w:hint="eastAsia"/>
          <w:highlight w:val="none"/>
        </w:rPr>
      </w:pPr>
    </w:p>
    <w:p w14:paraId="2A97B8E5">
      <w:pPr>
        <w:pStyle w:val="25"/>
        <w:spacing w:line="560" w:lineRule="exact"/>
        <w:ind w:left="210" w:leftChars="100" w:firstLine="643"/>
        <w:jc w:val="left"/>
        <w:rPr>
          <w:rFonts w:hint="eastAsia"/>
          <w:b/>
          <w:sz w:val="32"/>
          <w:szCs w:val="21"/>
          <w:highlight w:val="none"/>
        </w:rPr>
      </w:pPr>
    </w:p>
    <w:p w14:paraId="2D204097">
      <w:pPr>
        <w:pStyle w:val="25"/>
        <w:spacing w:line="560" w:lineRule="exact"/>
        <w:ind w:left="210" w:leftChars="100" w:firstLine="643"/>
        <w:jc w:val="left"/>
        <w:rPr>
          <w:rFonts w:hint="eastAsia"/>
          <w:b/>
          <w:sz w:val="32"/>
          <w:szCs w:val="21"/>
          <w:highlight w:val="none"/>
        </w:rPr>
        <w:sectPr>
          <w:footerReference r:id="rId7" w:type="default"/>
          <w:pgSz w:w="11906" w:h="16838"/>
          <w:pgMar w:top="1134" w:right="1134" w:bottom="1213" w:left="1134" w:header="851" w:footer="992" w:gutter="0"/>
          <w:pgNumType w:fmt="decimal"/>
          <w:cols w:space="720" w:num="1"/>
          <w:docGrid w:type="lines" w:linePitch="312" w:charSpace="0"/>
        </w:sectPr>
      </w:pPr>
    </w:p>
    <w:p w14:paraId="17EEF8D6">
      <w:pPr>
        <w:pStyle w:val="2"/>
        <w:pageBreakBefore w:val="0"/>
        <w:widowControl w:val="0"/>
        <w:numPr>
          <w:ilvl w:val="0"/>
          <w:numId w:val="0"/>
        </w:numPr>
        <w:kinsoku/>
        <w:wordWrap/>
        <w:overflowPunct/>
        <w:topLinePunct w:val="0"/>
        <w:bidi w:val="0"/>
        <w:adjustRightInd w:val="0"/>
        <w:snapToGrid/>
        <w:spacing w:line="480" w:lineRule="exact"/>
        <w:ind w:leftChars="0"/>
        <w:jc w:val="center"/>
        <w:textAlignment w:val="baseline"/>
        <w:rPr>
          <w:rFonts w:hint="eastAsia" w:cs="宋体"/>
          <w:b/>
          <w:bCs/>
          <w:highlight w:val="none"/>
          <w:lang w:val="en-US" w:eastAsia="zh-CN"/>
        </w:rPr>
      </w:pPr>
      <w:bookmarkStart w:id="46" w:name="_Toc2952"/>
      <w:bookmarkStart w:id="47" w:name="_Toc439801621"/>
      <w:r>
        <w:rPr>
          <w:rFonts w:hint="eastAsia" w:cs="宋体"/>
          <w:b/>
          <w:bCs/>
          <w:sz w:val="36"/>
          <w:szCs w:val="48"/>
          <w:highlight w:val="none"/>
          <w:lang w:val="en-US" w:eastAsia="zh-CN"/>
        </w:rPr>
        <w:t xml:space="preserve">第四章 </w:t>
      </w:r>
      <w:bookmarkEnd w:id="46"/>
      <w:r>
        <w:rPr>
          <w:rFonts w:hint="eastAsia" w:cs="宋体"/>
          <w:b/>
          <w:bCs/>
          <w:sz w:val="36"/>
          <w:szCs w:val="48"/>
          <w:highlight w:val="none"/>
          <w:lang w:val="en-US" w:eastAsia="zh-CN"/>
        </w:rPr>
        <w:t>项目采购需求</w:t>
      </w:r>
    </w:p>
    <w:p w14:paraId="095775C8">
      <w:pPr>
        <w:keepNext w:val="0"/>
        <w:keepLines w:val="0"/>
        <w:pageBreakBefore w:val="0"/>
        <w:widowControl w:val="0"/>
        <w:kinsoku/>
        <w:wordWrap/>
        <w:overflowPunct/>
        <w:topLinePunct w:val="0"/>
        <w:autoSpaceDE/>
        <w:autoSpaceDN/>
        <w:bidi w:val="0"/>
        <w:adjustRightInd w:val="0"/>
        <w:snapToGrid/>
        <w:spacing w:line="520" w:lineRule="exact"/>
        <w:ind w:firstLine="560"/>
        <w:jc w:val="left"/>
        <w:textAlignment w:val="baseline"/>
        <w:rPr>
          <w:rFonts w:hint="default"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一、工作范围：</w:t>
      </w:r>
      <w:bookmarkEnd w:id="17"/>
      <w:bookmarkEnd w:id="18"/>
      <w:bookmarkEnd w:id="19"/>
      <w:bookmarkEnd w:id="20"/>
      <w:bookmarkEnd w:id="21"/>
      <w:bookmarkEnd w:id="22"/>
      <w:bookmarkEnd w:id="47"/>
      <w:bookmarkStart w:id="48" w:name="_Toc1123"/>
      <w:bookmarkStart w:id="49" w:name="_Toc7149"/>
      <w:bookmarkStart w:id="50" w:name="_Toc23146"/>
      <w:bookmarkStart w:id="51" w:name="_Toc28418"/>
      <w:bookmarkStart w:id="52" w:name="_Toc26554093"/>
      <w:bookmarkStart w:id="53" w:name="OLE_LINK2"/>
      <w:bookmarkStart w:id="54" w:name="_Toc49090575"/>
      <w:bookmarkStart w:id="55" w:name="_Toc120614281"/>
      <w:bookmarkStart w:id="56" w:name="OLE_LINK1"/>
      <w:r>
        <w:rPr>
          <w:rFonts w:hint="eastAsia" w:ascii="仿宋" w:hAnsi="仿宋" w:eastAsia="仿宋" w:cs="仿宋"/>
          <w:snapToGrid w:val="0"/>
          <w:color w:val="000000"/>
          <w:kern w:val="0"/>
          <w:sz w:val="32"/>
          <w:szCs w:val="32"/>
          <w:highlight w:val="none"/>
          <w:lang w:val="en-US" w:eastAsia="zh-CN" w:bidi="ar-SA"/>
        </w:rPr>
        <w:t>呼图壁县</w:t>
      </w:r>
    </w:p>
    <w:p w14:paraId="62FE8509">
      <w:pPr>
        <w:pStyle w:val="8"/>
        <w:numPr>
          <w:ilvl w:val="0"/>
          <w:numId w:val="0"/>
        </w:numPr>
        <w:ind w:firstLine="643" w:firstLineChars="200"/>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二、项目名称：</w:t>
      </w:r>
      <w:r>
        <w:rPr>
          <w:rFonts w:hint="eastAsia" w:ascii="仿宋" w:hAnsi="仿宋" w:eastAsia="仿宋" w:cs="仿宋"/>
          <w:snapToGrid w:val="0"/>
          <w:color w:val="000000"/>
          <w:kern w:val="0"/>
          <w:sz w:val="32"/>
          <w:szCs w:val="32"/>
          <w:highlight w:val="none"/>
          <w:lang w:val="en-US" w:eastAsia="zh-CN" w:bidi="ar-SA"/>
        </w:rPr>
        <w:t xml:space="preserve">呼图壁县重点危险区域城镇住宅抗震鉴定项目（服务） </w:t>
      </w:r>
    </w:p>
    <w:p w14:paraId="4F181C63">
      <w:pPr>
        <w:pStyle w:val="8"/>
        <w:numPr>
          <w:ilvl w:val="0"/>
          <w:numId w:val="0"/>
        </w:numPr>
        <w:ind w:firstLine="643" w:firstLineChars="200"/>
        <w:rPr>
          <w:rFonts w:hint="default"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三、服务期限：</w:t>
      </w:r>
      <w:r>
        <w:rPr>
          <w:rFonts w:hint="eastAsia" w:ascii="仿宋" w:hAnsi="仿宋" w:eastAsia="仿宋" w:cs="仿宋"/>
          <w:snapToGrid w:val="0"/>
          <w:color w:val="000000"/>
          <w:kern w:val="0"/>
          <w:sz w:val="32"/>
          <w:szCs w:val="32"/>
          <w:highlight w:val="none"/>
          <w:lang w:val="en-US" w:eastAsia="zh-CN" w:bidi="ar-SA"/>
        </w:rPr>
        <w:t>自合同签订之日30天（日历日）。</w:t>
      </w:r>
    </w:p>
    <w:p w14:paraId="76DC3FAE">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eastAsia" w:ascii="仿宋" w:hAnsi="仿宋" w:eastAsia="仿宋" w:cs="仿宋"/>
          <w:b/>
          <w:bCs/>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四、采购需求：</w:t>
      </w:r>
    </w:p>
    <w:p w14:paraId="30301958">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0" w:firstLineChars="200"/>
        <w:jc w:val="left"/>
        <w:textAlignment w:val="auto"/>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snapToGrid w:val="0"/>
          <w:color w:val="000000"/>
          <w:kern w:val="0"/>
          <w:sz w:val="32"/>
          <w:szCs w:val="32"/>
          <w:highlight w:val="none"/>
          <w:lang w:val="en-US" w:eastAsia="zh-CN" w:bidi="ar-SA"/>
        </w:rPr>
        <w:t>对全县441户房屋进行测量、取样检测、绘制图纸并分别按栋出具自治区房屋建筑安全与抗震鉴定报告，具体以面积为准。</w:t>
      </w:r>
    </w:p>
    <w:p w14:paraId="68BAF86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eastAsia" w:ascii="仿宋" w:hAnsi="仿宋" w:eastAsia="仿宋" w:cs="仿宋"/>
          <w:b/>
          <w:bCs/>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五、行业规范：</w:t>
      </w:r>
    </w:p>
    <w:p w14:paraId="58A14906">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0" w:firstLineChars="200"/>
        <w:jc w:val="left"/>
        <w:textAlignment w:val="auto"/>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snapToGrid w:val="0"/>
          <w:color w:val="000000"/>
          <w:kern w:val="0"/>
          <w:sz w:val="32"/>
          <w:szCs w:val="32"/>
          <w:highlight w:val="none"/>
          <w:lang w:val="en-US" w:eastAsia="zh-CN" w:bidi="ar-SA"/>
        </w:rPr>
        <w:t>依据《2024年自治区地震重点危险区城镇住宅抗震体检工作指南》；《建筑抗震设计规范》GB50011；《建筑抗震鉴定标准》 GB 50023-2009；《中国地震动参数区划图》(GB18306)；《非结构构件抗震设计规范》(JGJ339)；《既有建筑鉴定与加固通用规范》 GB 55021-2021</w:t>
      </w:r>
      <w:r>
        <w:rPr>
          <w:rFonts w:hint="eastAsia" w:ascii="仿宋" w:hAnsi="仿宋" w:eastAsia="仿宋" w:cs="仿宋"/>
          <w:snapToGrid w:val="0"/>
          <w:color w:val="0000FF"/>
          <w:kern w:val="0"/>
          <w:sz w:val="32"/>
          <w:szCs w:val="32"/>
          <w:highlight w:val="none"/>
          <w:lang w:val="en-US" w:eastAsia="zh-CN" w:bidi="ar-SA"/>
        </w:rPr>
        <w:t>等标准</w:t>
      </w:r>
      <w:r>
        <w:rPr>
          <w:rFonts w:hint="eastAsia" w:ascii="仿宋" w:hAnsi="仿宋" w:eastAsia="仿宋" w:cs="仿宋"/>
          <w:snapToGrid w:val="0"/>
          <w:color w:val="000000"/>
          <w:kern w:val="0"/>
          <w:sz w:val="32"/>
          <w:szCs w:val="32"/>
          <w:highlight w:val="none"/>
          <w:lang w:val="en-US" w:eastAsia="zh-CN" w:bidi="ar-SA"/>
        </w:rPr>
        <w:t>进行鉴定。</w:t>
      </w:r>
    </w:p>
    <w:p w14:paraId="0BA6EF0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六、验收方式：</w:t>
      </w:r>
      <w:r>
        <w:rPr>
          <w:rFonts w:hint="eastAsia" w:ascii="仿宋" w:hAnsi="仿宋" w:eastAsia="仿宋" w:cs="仿宋"/>
          <w:snapToGrid w:val="0"/>
          <w:color w:val="000000"/>
          <w:kern w:val="0"/>
          <w:sz w:val="32"/>
          <w:szCs w:val="32"/>
          <w:highlight w:val="none"/>
          <w:lang w:val="en-US" w:eastAsia="zh-CN" w:bidi="ar-SA"/>
        </w:rPr>
        <w:t>项目验收时，按照相应验收办法、行业强制性标准、自治区建设厅发布的文件、招标文件要求（或响应文件的响应或承诺）以及合同的要求。如果以上标准有不一致的，以较高标准为准。</w:t>
      </w:r>
    </w:p>
    <w:p w14:paraId="4B0E6D9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七、技术情报和资料的保密：</w:t>
      </w:r>
      <w:r>
        <w:rPr>
          <w:rFonts w:hint="eastAsia" w:ascii="仿宋" w:hAnsi="仿宋" w:eastAsia="仿宋" w:cs="仿宋"/>
          <w:snapToGrid w:val="0"/>
          <w:color w:val="000000"/>
          <w:kern w:val="0"/>
          <w:sz w:val="32"/>
          <w:szCs w:val="32"/>
          <w:highlight w:val="none"/>
          <w:lang w:val="en-US" w:eastAsia="zh-CN" w:bidi="ar-SA"/>
        </w:rPr>
        <w:t>甲乙双方均有对成果文件保密的责任和义务，除此之外的第三方使用需经本单位同意。</w:t>
      </w:r>
    </w:p>
    <w:p w14:paraId="367CE4AB">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default"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八、付款方式</w:t>
      </w:r>
      <w:r>
        <w:rPr>
          <w:rFonts w:hint="eastAsia" w:ascii="仿宋" w:hAnsi="仿宋" w:eastAsia="仿宋" w:cs="仿宋"/>
          <w:snapToGrid w:val="0"/>
          <w:color w:val="000000"/>
          <w:kern w:val="0"/>
          <w:sz w:val="32"/>
          <w:szCs w:val="32"/>
          <w:highlight w:val="none"/>
          <w:lang w:val="en-US" w:eastAsia="zh-CN" w:bidi="ar-SA"/>
        </w:rPr>
        <w:t>：根据具体项目合同（协议）约定方式支付。</w:t>
      </w:r>
    </w:p>
    <w:p w14:paraId="33CDD621">
      <w:pPr>
        <w:pStyle w:val="7"/>
        <w:keepNext w:val="0"/>
        <w:keepLines w:val="0"/>
        <w:pageBreakBefore w:val="0"/>
        <w:kinsoku/>
        <w:overflowPunct/>
        <w:topLinePunct w:val="0"/>
        <w:autoSpaceDE/>
        <w:autoSpaceDN/>
        <w:bidi w:val="0"/>
        <w:adjustRightInd/>
        <w:snapToGrid/>
        <w:spacing w:line="560" w:lineRule="exact"/>
        <w:ind w:firstLine="643" w:firstLineChars="200"/>
        <w:rPr>
          <w:rFonts w:hint="eastAsia" w:ascii="仿宋" w:hAnsi="仿宋" w:eastAsia="仿宋" w:cs="仿宋"/>
          <w:b/>
          <w:bCs/>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九、提供成果文件</w:t>
      </w:r>
    </w:p>
    <w:p w14:paraId="33A3DBCC">
      <w:pPr>
        <w:pStyle w:val="7"/>
        <w:ind w:firstLine="640" w:firstLineChars="200"/>
        <w:rPr>
          <w:rFonts w:hint="default" w:ascii="仿宋" w:hAnsi="仿宋" w:eastAsia="仿宋" w:cs="仿宋"/>
          <w:snapToGrid w:val="0"/>
          <w:color w:val="000000"/>
          <w:kern w:val="0"/>
          <w:sz w:val="32"/>
          <w:szCs w:val="32"/>
          <w:highlight w:val="none"/>
          <w:lang w:val="en-US" w:eastAsia="zh-CN" w:bidi="ar-SA"/>
        </w:rPr>
        <w:sectPr>
          <w:pgSz w:w="11906" w:h="16838"/>
          <w:pgMar w:top="1134" w:right="1134" w:bottom="1134" w:left="1134" w:header="851" w:footer="992" w:gutter="0"/>
          <w:pgNumType w:fmt="decimal"/>
          <w:cols w:space="720" w:num="1"/>
          <w:docGrid w:type="lines" w:linePitch="312" w:charSpace="0"/>
        </w:sectPr>
      </w:pPr>
      <w:r>
        <w:rPr>
          <w:rFonts w:hint="default" w:ascii="仿宋" w:hAnsi="仿宋" w:eastAsia="仿宋" w:cs="仿宋"/>
          <w:snapToGrid w:val="0"/>
          <w:color w:val="000000"/>
          <w:kern w:val="0"/>
          <w:sz w:val="32"/>
          <w:szCs w:val="32"/>
          <w:highlight w:val="none"/>
          <w:lang w:val="en-US" w:eastAsia="zh-CN" w:bidi="ar-SA"/>
        </w:rPr>
        <w:t>鉴定机构接受鉴定委托后，根据不同的鉴定目的，依据相应现行的国家及行业技术标准出具鉴定报告。鉴定报告内容应包含房屋概况、执行依据和标准、仪器设备、详细调查与检测结果、安全性鉴定、抗震鉴定、鉴定结论及建议、附件等内容。</w:t>
      </w:r>
    </w:p>
    <w:p w14:paraId="6C813C93">
      <w:pPr>
        <w:pStyle w:val="7"/>
        <w:spacing w:before="101" w:line="224" w:lineRule="auto"/>
        <w:ind w:left="0" w:leftChars="0" w:firstLine="0" w:firstLineChars="0"/>
        <w:jc w:val="center"/>
        <w:outlineLvl w:val="0"/>
        <w:rPr>
          <w:sz w:val="31"/>
          <w:szCs w:val="31"/>
        </w:rPr>
      </w:pPr>
      <w:r>
        <w:rPr>
          <w:rFonts w:hint="eastAsia" w:ascii="宋体" w:hAnsi="Times New Roman" w:cs="Times New Roman"/>
          <w:b/>
          <w:bCs/>
          <w:spacing w:val="5"/>
          <w:sz w:val="44"/>
          <w:szCs w:val="44"/>
          <w:lang w:eastAsia="zh-CN"/>
        </w:rPr>
        <w:t>第</w:t>
      </w:r>
      <w:r>
        <w:rPr>
          <w:rFonts w:hint="eastAsia" w:ascii="宋体" w:hAnsi="Times New Roman" w:cs="Times New Roman"/>
          <w:b/>
          <w:bCs/>
          <w:spacing w:val="5"/>
          <w:sz w:val="44"/>
          <w:szCs w:val="44"/>
          <w:lang w:val="en-US" w:eastAsia="zh-CN"/>
        </w:rPr>
        <w:t>五</w:t>
      </w:r>
      <w:r>
        <w:rPr>
          <w:rFonts w:hint="eastAsia" w:ascii="宋体" w:hAnsi="Times New Roman" w:cs="Times New Roman"/>
          <w:b/>
          <w:bCs/>
          <w:spacing w:val="5"/>
          <w:sz w:val="44"/>
          <w:szCs w:val="44"/>
          <w:lang w:eastAsia="zh-CN"/>
        </w:rPr>
        <w:t>章</w:t>
      </w:r>
      <w:r>
        <w:rPr>
          <w:rFonts w:hint="eastAsia" w:cs="宋体"/>
          <w:sz w:val="40"/>
          <w:szCs w:val="32"/>
          <w:highlight w:val="none"/>
          <w:lang w:val="en-US" w:eastAsia="zh-CN"/>
        </w:rPr>
        <w:t xml:space="preserve">  </w:t>
      </w:r>
      <w:bookmarkEnd w:id="48"/>
      <w:bookmarkEnd w:id="49"/>
      <w:bookmarkEnd w:id="50"/>
      <w:bookmarkEnd w:id="51"/>
      <w:bookmarkStart w:id="57" w:name="_Toc20180"/>
      <w:bookmarkStart w:id="58" w:name="_Toc14197"/>
      <w:bookmarkStart w:id="59" w:name="_Toc29973"/>
      <w:bookmarkStart w:id="60" w:name="_Toc12923"/>
      <w:r>
        <w:rPr>
          <w:b/>
          <w:bCs/>
          <w:spacing w:val="5"/>
          <w:sz w:val="44"/>
          <w:szCs w:val="44"/>
        </w:rPr>
        <w:t>政府采购合同</w:t>
      </w:r>
    </w:p>
    <w:p w14:paraId="41457C00">
      <w:pPr>
        <w:spacing w:line="441" w:lineRule="auto"/>
        <w:rPr>
          <w:rFonts w:ascii="Arial"/>
          <w:sz w:val="21"/>
        </w:rPr>
      </w:pPr>
    </w:p>
    <w:p w14:paraId="6A2B6F21">
      <w:pPr>
        <w:pStyle w:val="7"/>
        <w:spacing w:before="78" w:line="219" w:lineRule="auto"/>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pacing w:val="-3"/>
          <w:sz w:val="32"/>
          <w:szCs w:val="32"/>
        </w:rPr>
        <w:t>合同编号：</w:t>
      </w:r>
    </w:p>
    <w:p w14:paraId="35A0D50A">
      <w:pPr>
        <w:spacing w:line="343" w:lineRule="auto"/>
        <w:rPr>
          <w:rFonts w:ascii="Arial"/>
          <w:sz w:val="21"/>
        </w:rPr>
      </w:pPr>
    </w:p>
    <w:p w14:paraId="7C9291B7">
      <w:pPr>
        <w:pStyle w:val="7"/>
        <w:keepNext w:val="0"/>
        <w:keepLines w:val="0"/>
        <w:pageBreakBefore w:val="0"/>
        <w:widowControl w:val="0"/>
        <w:kinsoku/>
        <w:wordWrap/>
        <w:overflowPunct/>
        <w:topLinePunct w:val="0"/>
        <w:autoSpaceDE/>
        <w:autoSpaceDN/>
        <w:bidi w:val="0"/>
        <w:adjustRightInd w:val="0"/>
        <w:snapToGrid/>
        <w:spacing w:after="0" w:line="360" w:lineRule="auto"/>
        <w:ind w:left="0" w:leftChars="0" w:right="0" w:firstLine="0" w:firstLineChars="0"/>
        <w:jc w:val="center"/>
        <w:textAlignment w:val="baseline"/>
        <w:rPr>
          <w:sz w:val="24"/>
          <w:szCs w:val="24"/>
        </w:rPr>
      </w:pPr>
      <w:r>
        <w:rPr>
          <w:rFonts w:hint="eastAsia"/>
          <w:b/>
          <w:bCs/>
          <w:spacing w:val="5"/>
          <w:sz w:val="43"/>
          <w:szCs w:val="43"/>
          <w:lang w:val="en-US" w:eastAsia="zh-CN"/>
        </w:rPr>
        <w:t xml:space="preserve">   </w:t>
      </w:r>
      <w:r>
        <w:rPr>
          <w:b/>
          <w:bCs/>
          <w:spacing w:val="5"/>
          <w:sz w:val="43"/>
          <w:szCs w:val="43"/>
        </w:rPr>
        <w:t>政府采购合同参考范本</w:t>
      </w:r>
      <w:r>
        <w:rPr>
          <w:b/>
          <w:bCs/>
          <w:spacing w:val="-7"/>
          <w:sz w:val="24"/>
          <w:szCs w:val="24"/>
        </w:rPr>
        <w:t>（服务类）</w:t>
      </w:r>
    </w:p>
    <w:p w14:paraId="5B499C32">
      <w:pPr>
        <w:spacing w:line="404" w:lineRule="auto"/>
        <w:rPr>
          <w:rFonts w:ascii="Arial"/>
          <w:sz w:val="21"/>
        </w:rPr>
      </w:pPr>
    </w:p>
    <w:p w14:paraId="1E90F0AD">
      <w:pPr>
        <w:pStyle w:val="7"/>
        <w:spacing w:before="78" w:line="219" w:lineRule="auto"/>
        <w:ind w:left="3273"/>
        <w:rPr>
          <w:sz w:val="24"/>
          <w:szCs w:val="24"/>
        </w:rPr>
      </w:pPr>
      <w:r>
        <w:rPr>
          <w:b/>
          <w:bCs/>
          <w:spacing w:val="-3"/>
          <w:sz w:val="24"/>
          <w:szCs w:val="24"/>
        </w:rPr>
        <w:t>第一部分</w:t>
      </w:r>
      <w:r>
        <w:rPr>
          <w:spacing w:val="-3"/>
          <w:sz w:val="24"/>
          <w:szCs w:val="24"/>
        </w:rPr>
        <w:t xml:space="preserve"> </w:t>
      </w:r>
      <w:r>
        <w:rPr>
          <w:b/>
          <w:bCs/>
          <w:spacing w:val="-3"/>
          <w:sz w:val="24"/>
          <w:szCs w:val="24"/>
        </w:rPr>
        <w:t>合同书</w:t>
      </w:r>
    </w:p>
    <w:p w14:paraId="47BB5562">
      <w:pPr>
        <w:spacing w:line="386" w:lineRule="auto"/>
        <w:rPr>
          <w:rFonts w:ascii="Arial"/>
          <w:sz w:val="21"/>
        </w:rPr>
      </w:pPr>
    </w:p>
    <w:p w14:paraId="3DF3CCC5">
      <w:pPr>
        <w:pStyle w:val="7"/>
        <w:spacing w:before="78" w:line="220" w:lineRule="auto"/>
        <w:ind w:left="0" w:leftChars="0" w:firstLine="628" w:firstLineChars="200"/>
        <w:rPr>
          <w:rFonts w:hint="eastAsia" w:ascii="仿宋_GB2312" w:hAnsi="仿宋_GB2312" w:eastAsia="仿宋_GB2312" w:cs="仿宋_GB2312"/>
          <w:sz w:val="32"/>
          <w:szCs w:val="32"/>
          <w:u w:val="none" w:color="auto"/>
        </w:rPr>
      </w:pPr>
      <w:r>
        <w:rPr>
          <w:rFonts w:hint="eastAsia" w:ascii="仿宋_GB2312" w:hAnsi="仿宋_GB2312" w:eastAsia="仿宋_GB2312" w:cs="仿宋_GB2312"/>
          <w:spacing w:val="-3"/>
          <w:sz w:val="32"/>
          <w:szCs w:val="32"/>
        </w:rPr>
        <w:t>项目名称：</w:t>
      </w:r>
      <w:r>
        <w:rPr>
          <w:rFonts w:hint="eastAsia" w:ascii="仿宋_GB2312" w:hAnsi="仿宋_GB2312" w:eastAsia="仿宋_GB2312" w:cs="仿宋_GB2312"/>
          <w:sz w:val="32"/>
          <w:szCs w:val="32"/>
          <w:u w:val="none" w:color="auto"/>
        </w:rPr>
        <w:t xml:space="preserve">                                   </w:t>
      </w:r>
    </w:p>
    <w:p w14:paraId="5418F50B">
      <w:pPr>
        <w:spacing w:line="295" w:lineRule="auto"/>
        <w:rPr>
          <w:rFonts w:hint="eastAsia" w:ascii="仿宋_GB2312" w:hAnsi="仿宋_GB2312" w:eastAsia="仿宋_GB2312" w:cs="仿宋_GB2312"/>
          <w:sz w:val="32"/>
          <w:szCs w:val="32"/>
        </w:rPr>
      </w:pPr>
    </w:p>
    <w:p w14:paraId="4CD04CEC">
      <w:pPr>
        <w:spacing w:line="296" w:lineRule="auto"/>
        <w:rPr>
          <w:rFonts w:hint="eastAsia" w:ascii="仿宋_GB2312" w:hAnsi="仿宋_GB2312" w:eastAsia="仿宋_GB2312" w:cs="仿宋_GB2312"/>
          <w:sz w:val="32"/>
          <w:szCs w:val="32"/>
        </w:rPr>
      </w:pPr>
    </w:p>
    <w:p w14:paraId="1A2039AD">
      <w:pPr>
        <w:pStyle w:val="7"/>
        <w:spacing w:before="79" w:line="221" w:lineRule="auto"/>
        <w:rPr>
          <w:rFonts w:hint="eastAsia" w:ascii="仿宋_GB2312" w:hAnsi="仿宋_GB2312" w:eastAsia="仿宋_GB2312" w:cs="仿宋_GB2312"/>
          <w:sz w:val="32"/>
          <w:szCs w:val="32"/>
        </w:rPr>
      </w:pPr>
      <w:r>
        <w:rPr>
          <w:rFonts w:hint="eastAsia" w:ascii="仿宋_GB2312" w:hAnsi="仿宋_GB2312" w:eastAsia="仿宋_GB2312" w:cs="仿宋_GB2312"/>
          <w:spacing w:val="-14"/>
          <w:sz w:val="32"/>
          <w:szCs w:val="32"/>
        </w:rPr>
        <w:t>甲方：</w:t>
      </w:r>
      <w:r>
        <w:rPr>
          <w:rFonts w:hint="eastAsia" w:ascii="仿宋_GB2312" w:hAnsi="仿宋_GB2312" w:eastAsia="仿宋_GB2312" w:cs="仿宋_GB2312"/>
          <w:sz w:val="32"/>
          <w:szCs w:val="32"/>
          <w:u w:val="single" w:color="auto"/>
        </w:rPr>
        <w:t xml:space="preserve">                                        </w:t>
      </w:r>
    </w:p>
    <w:p w14:paraId="5EC57DA7">
      <w:pPr>
        <w:spacing w:line="295" w:lineRule="auto"/>
        <w:rPr>
          <w:rFonts w:hint="eastAsia" w:ascii="仿宋_GB2312" w:hAnsi="仿宋_GB2312" w:eastAsia="仿宋_GB2312" w:cs="仿宋_GB2312"/>
          <w:sz w:val="32"/>
          <w:szCs w:val="32"/>
        </w:rPr>
      </w:pPr>
    </w:p>
    <w:p w14:paraId="4EEB2930">
      <w:pPr>
        <w:spacing w:line="296" w:lineRule="auto"/>
        <w:rPr>
          <w:rFonts w:hint="eastAsia" w:ascii="仿宋_GB2312" w:hAnsi="仿宋_GB2312" w:eastAsia="仿宋_GB2312" w:cs="仿宋_GB2312"/>
          <w:sz w:val="32"/>
          <w:szCs w:val="32"/>
        </w:rPr>
      </w:pPr>
    </w:p>
    <w:p w14:paraId="2FF8F467">
      <w:pPr>
        <w:pStyle w:val="7"/>
        <w:spacing w:before="78" w:line="221" w:lineRule="auto"/>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乙方：</w:t>
      </w:r>
      <w:r>
        <w:rPr>
          <w:rFonts w:hint="eastAsia" w:ascii="仿宋_GB2312" w:hAnsi="仿宋_GB2312" w:eastAsia="仿宋_GB2312" w:cs="仿宋_GB2312"/>
          <w:spacing w:val="-6"/>
          <w:sz w:val="32"/>
          <w:szCs w:val="32"/>
          <w:u w:val="single" w:color="auto"/>
        </w:rPr>
        <w:t xml:space="preserve">                              </w:t>
      </w:r>
      <w:r>
        <w:rPr>
          <w:rFonts w:hint="eastAsia" w:ascii="仿宋_GB2312" w:hAnsi="仿宋_GB2312" w:eastAsia="仿宋_GB2312" w:cs="仿宋_GB2312"/>
          <w:spacing w:val="-7"/>
          <w:sz w:val="32"/>
          <w:szCs w:val="32"/>
          <w:u w:val="single" w:color="auto"/>
        </w:rPr>
        <w:t xml:space="preserve">           </w:t>
      </w:r>
    </w:p>
    <w:p w14:paraId="78F5A363">
      <w:pPr>
        <w:spacing w:line="295" w:lineRule="auto"/>
        <w:rPr>
          <w:rFonts w:hint="eastAsia" w:ascii="仿宋_GB2312" w:hAnsi="仿宋_GB2312" w:eastAsia="仿宋_GB2312" w:cs="仿宋_GB2312"/>
          <w:sz w:val="32"/>
          <w:szCs w:val="32"/>
        </w:rPr>
      </w:pPr>
    </w:p>
    <w:p w14:paraId="207F4A57">
      <w:pPr>
        <w:spacing w:line="296" w:lineRule="auto"/>
        <w:rPr>
          <w:rFonts w:hint="eastAsia" w:ascii="仿宋_GB2312" w:hAnsi="仿宋_GB2312" w:eastAsia="仿宋_GB2312" w:cs="仿宋_GB2312"/>
          <w:sz w:val="32"/>
          <w:szCs w:val="32"/>
        </w:rPr>
      </w:pPr>
    </w:p>
    <w:p w14:paraId="5DA13CF7">
      <w:pPr>
        <w:pStyle w:val="7"/>
        <w:keepNext w:val="0"/>
        <w:keepLines w:val="0"/>
        <w:pageBreakBefore w:val="0"/>
        <w:widowControl w:val="0"/>
        <w:kinsoku/>
        <w:wordWrap/>
        <w:overflowPunct/>
        <w:topLinePunct w:val="0"/>
        <w:autoSpaceDE/>
        <w:autoSpaceDN/>
        <w:bidi w:val="0"/>
        <w:adjustRightInd w:val="0"/>
        <w:snapToGrid/>
        <w:spacing w:after="0" w:line="360" w:lineRule="auto"/>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pacing w:val="-3"/>
          <w:sz w:val="32"/>
          <w:szCs w:val="32"/>
        </w:rPr>
        <w:t>签订地</w:t>
      </w:r>
      <w:r>
        <w:rPr>
          <w:rFonts w:hint="eastAsia" w:ascii="仿宋_GB2312" w:hAnsi="仿宋_GB2312" w:eastAsia="仿宋_GB2312" w:cs="仿宋_GB2312"/>
          <w:spacing w:val="-3"/>
          <w:sz w:val="32"/>
          <w:szCs w:val="32"/>
          <w:u w:val="single" w:color="auto"/>
        </w:rPr>
        <w:t>：</w:t>
      </w:r>
      <w:r>
        <w:rPr>
          <w:rFonts w:hint="eastAsia" w:ascii="仿宋_GB2312" w:hAnsi="仿宋_GB2312" w:eastAsia="仿宋_GB2312" w:cs="仿宋_GB2312"/>
          <w:spacing w:val="-3"/>
          <w:sz w:val="32"/>
          <w:szCs w:val="32"/>
          <w:u w:val="single" w:color="auto"/>
          <w:lang w:val="en-US" w:eastAsia="zh-CN"/>
        </w:rPr>
        <w:t xml:space="preserve">             </w:t>
      </w:r>
      <w:r>
        <w:rPr>
          <w:rFonts w:hint="eastAsia" w:ascii="仿宋_GB2312" w:hAnsi="仿宋_GB2312" w:eastAsia="仿宋_GB2312" w:cs="仿宋_GB2312"/>
          <w:sz w:val="32"/>
          <w:szCs w:val="32"/>
          <w:u w:val="single" w:color="auto"/>
        </w:rPr>
        <w:t xml:space="preserve">                                      </w:t>
      </w:r>
    </w:p>
    <w:p w14:paraId="2487BEE7">
      <w:pPr>
        <w:spacing w:line="294" w:lineRule="auto"/>
        <w:rPr>
          <w:rFonts w:hint="eastAsia" w:ascii="仿宋_GB2312" w:hAnsi="仿宋_GB2312" w:eastAsia="仿宋_GB2312" w:cs="仿宋_GB2312"/>
          <w:sz w:val="32"/>
          <w:szCs w:val="32"/>
        </w:rPr>
      </w:pPr>
    </w:p>
    <w:p w14:paraId="0E4EE180">
      <w:pPr>
        <w:spacing w:line="295" w:lineRule="auto"/>
        <w:rPr>
          <w:rFonts w:hint="eastAsia" w:ascii="仿宋_GB2312" w:hAnsi="仿宋_GB2312" w:eastAsia="仿宋_GB2312" w:cs="仿宋_GB2312"/>
          <w:sz w:val="32"/>
          <w:szCs w:val="32"/>
        </w:rPr>
      </w:pPr>
    </w:p>
    <w:p w14:paraId="7B3FEAB9">
      <w:pPr>
        <w:pStyle w:val="7"/>
        <w:spacing w:before="79" w:line="219" w:lineRule="auto"/>
        <w:rPr>
          <w:rFonts w:hint="eastAsia" w:ascii="仿宋_GB2312" w:hAnsi="仿宋_GB2312" w:eastAsia="仿宋_GB2312" w:cs="仿宋_GB2312"/>
          <w:sz w:val="32"/>
          <w:szCs w:val="32"/>
        </w:rPr>
      </w:pPr>
      <w:r>
        <w:rPr>
          <w:rFonts w:hint="eastAsia" w:ascii="仿宋_GB2312" w:hAnsi="仿宋_GB2312" w:eastAsia="仿宋_GB2312" w:cs="仿宋_GB2312"/>
          <w:spacing w:val="-2"/>
          <w:sz w:val="32"/>
          <w:szCs w:val="32"/>
        </w:rPr>
        <w:t>签订日期：</w:t>
      </w:r>
      <w:r>
        <w:rPr>
          <w:rFonts w:hint="eastAsia" w:ascii="仿宋_GB2312" w:hAnsi="仿宋_GB2312" w:eastAsia="仿宋_GB2312" w:cs="仿宋_GB2312"/>
          <w:spacing w:val="-2"/>
          <w:sz w:val="32"/>
          <w:szCs w:val="32"/>
          <w:u w:val="single" w:color="auto"/>
        </w:rPr>
        <w:t xml:space="preserve">               </w:t>
      </w:r>
      <w:r>
        <w:rPr>
          <w:rFonts w:hint="eastAsia" w:ascii="仿宋_GB2312" w:hAnsi="仿宋_GB2312" w:eastAsia="仿宋_GB2312" w:cs="仿宋_GB2312"/>
          <w:spacing w:val="-100"/>
          <w:sz w:val="32"/>
          <w:szCs w:val="32"/>
        </w:rPr>
        <w:t xml:space="preserve"> </w:t>
      </w:r>
      <w:r>
        <w:rPr>
          <w:rFonts w:hint="eastAsia" w:ascii="仿宋_GB2312" w:hAnsi="仿宋_GB2312" w:eastAsia="仿宋_GB2312" w:cs="仿宋_GB2312"/>
          <w:spacing w:val="-2"/>
          <w:sz w:val="32"/>
          <w:szCs w:val="32"/>
        </w:rPr>
        <w:t>年</w:t>
      </w:r>
      <w:r>
        <w:rPr>
          <w:rFonts w:hint="eastAsia" w:ascii="仿宋_GB2312" w:hAnsi="仿宋_GB2312" w:eastAsia="仿宋_GB2312" w:cs="仿宋_GB2312"/>
          <w:spacing w:val="19"/>
          <w:sz w:val="32"/>
          <w:szCs w:val="32"/>
          <w:u w:val="single" w:color="auto"/>
        </w:rPr>
        <w:t xml:space="preserve">      </w:t>
      </w:r>
      <w:r>
        <w:rPr>
          <w:rFonts w:hint="eastAsia" w:ascii="仿宋_GB2312" w:hAnsi="仿宋_GB2312" w:eastAsia="仿宋_GB2312" w:cs="仿宋_GB2312"/>
          <w:spacing w:val="-99"/>
          <w:sz w:val="32"/>
          <w:szCs w:val="32"/>
        </w:rPr>
        <w:t xml:space="preserve"> </w:t>
      </w:r>
      <w:r>
        <w:rPr>
          <w:rFonts w:hint="eastAsia" w:ascii="仿宋_GB2312" w:hAnsi="仿宋_GB2312" w:eastAsia="仿宋_GB2312" w:cs="仿宋_GB2312"/>
          <w:spacing w:val="-2"/>
          <w:sz w:val="32"/>
          <w:szCs w:val="32"/>
        </w:rPr>
        <w:t>月</w:t>
      </w:r>
      <w:r>
        <w:rPr>
          <w:rFonts w:hint="eastAsia" w:ascii="仿宋_GB2312" w:hAnsi="仿宋_GB2312" w:eastAsia="仿宋_GB2312" w:cs="仿宋_GB2312"/>
          <w:spacing w:val="20"/>
          <w:sz w:val="32"/>
          <w:szCs w:val="32"/>
          <w:u w:val="single" w:color="auto"/>
        </w:rPr>
        <w:t xml:space="preserve">      </w:t>
      </w:r>
      <w:r>
        <w:rPr>
          <w:rFonts w:hint="eastAsia" w:ascii="仿宋_GB2312" w:hAnsi="仿宋_GB2312" w:eastAsia="仿宋_GB2312" w:cs="仿宋_GB2312"/>
          <w:spacing w:val="-69"/>
          <w:sz w:val="32"/>
          <w:szCs w:val="32"/>
        </w:rPr>
        <w:t xml:space="preserve"> </w:t>
      </w:r>
      <w:r>
        <w:rPr>
          <w:rFonts w:hint="eastAsia" w:ascii="仿宋_GB2312" w:hAnsi="仿宋_GB2312" w:eastAsia="仿宋_GB2312" w:cs="仿宋_GB2312"/>
          <w:spacing w:val="-2"/>
          <w:sz w:val="32"/>
          <w:szCs w:val="32"/>
        </w:rPr>
        <w:t>日</w:t>
      </w:r>
    </w:p>
    <w:p w14:paraId="6AF13011">
      <w:pPr>
        <w:spacing w:line="219" w:lineRule="auto"/>
        <w:rPr>
          <w:rFonts w:hint="eastAsia" w:ascii="仿宋_GB2312" w:hAnsi="仿宋_GB2312" w:eastAsia="仿宋_GB2312" w:cs="仿宋_GB2312"/>
          <w:sz w:val="32"/>
          <w:szCs w:val="32"/>
        </w:rPr>
        <w:sectPr>
          <w:footerReference r:id="rId8" w:type="default"/>
          <w:pgSz w:w="11905" w:h="16839"/>
          <w:pgMar w:top="1086" w:right="1785" w:bottom="1175" w:left="1785" w:header="1076" w:footer="1013" w:gutter="0"/>
          <w:pgNumType w:fmt="decimal"/>
          <w:cols w:space="720" w:num="1"/>
        </w:sectPr>
      </w:pPr>
    </w:p>
    <w:p w14:paraId="096F7B26">
      <w:pPr>
        <w:pStyle w:val="7"/>
        <w:tabs>
          <w:tab w:val="left" w:pos="1466"/>
          <w:tab w:val="left" w:pos="8305"/>
        </w:tabs>
        <w:spacing w:before="117" w:line="308" w:lineRule="auto"/>
        <w:ind w:left="0" w:leftChars="0" w:firstLine="720" w:firstLineChars="300"/>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single"/>
          <w:lang w:val="en-US" w:eastAsia="zh-CN" w:bidi="ar-SA"/>
        </w:rPr>
        <w:tab/>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年</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月</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日，</w:t>
      </w:r>
      <w:r>
        <w:rPr>
          <w:rFonts w:hint="eastAsia" w:ascii="仿宋_GB2312" w:hAnsi="仿宋_GB2312" w:eastAsia="仿宋_GB2312" w:cs="仿宋_GB2312"/>
          <w:b w:val="0"/>
          <w:bCs/>
          <w:kern w:val="0"/>
          <w:sz w:val="24"/>
          <w:szCs w:val="24"/>
          <w:highlight w:val="none"/>
          <w:u w:val="single"/>
          <w:lang w:val="en-US" w:eastAsia="zh-CN" w:bidi="ar-SA"/>
        </w:rPr>
        <w:t xml:space="preserve">   （采购人名称）    </w:t>
      </w:r>
      <w:r>
        <w:rPr>
          <w:rFonts w:hint="eastAsia" w:ascii="仿宋_GB2312" w:hAnsi="仿宋_GB2312" w:eastAsia="仿宋_GB2312" w:cs="仿宋_GB2312"/>
          <w:b w:val="0"/>
          <w:bCs/>
          <w:kern w:val="0"/>
          <w:sz w:val="24"/>
          <w:szCs w:val="24"/>
          <w:highlight w:val="none"/>
          <w:u w:val="none"/>
          <w:lang w:val="en-US" w:eastAsia="zh-CN" w:bidi="ar-SA"/>
        </w:rPr>
        <w:t>以</w:t>
      </w:r>
      <w:r>
        <w:rPr>
          <w:rFonts w:hint="eastAsia" w:ascii="仿宋_GB2312" w:hAnsi="仿宋_GB2312" w:eastAsia="仿宋_GB2312" w:cs="仿宋_GB2312"/>
          <w:b w:val="0"/>
          <w:bCs/>
          <w:kern w:val="0"/>
          <w:sz w:val="24"/>
          <w:szCs w:val="24"/>
          <w:highlight w:val="none"/>
          <w:u w:val="single"/>
          <w:lang w:val="en-US" w:eastAsia="zh-CN" w:bidi="ar-SA"/>
        </w:rPr>
        <w:t xml:space="preserve">    （政府采购方式） </w:t>
      </w:r>
      <w:r>
        <w:rPr>
          <w:rFonts w:hint="eastAsia" w:ascii="仿宋_GB2312" w:hAnsi="仿宋_GB2312" w:eastAsia="仿宋_GB2312" w:cs="仿宋_GB2312"/>
          <w:b w:val="0"/>
          <w:bCs/>
          <w:kern w:val="0"/>
          <w:sz w:val="24"/>
          <w:szCs w:val="24"/>
          <w:highlight w:val="none"/>
          <w:u w:val="none"/>
          <w:lang w:val="en-US" w:eastAsia="zh-CN" w:bidi="ar-SA"/>
        </w:rPr>
        <w:t>对</w:t>
      </w:r>
      <w:r>
        <w:rPr>
          <w:rFonts w:hint="eastAsia" w:ascii="仿宋_GB2312" w:hAnsi="仿宋_GB2312" w:eastAsia="仿宋_GB2312" w:cs="仿宋_GB2312"/>
          <w:b w:val="0"/>
          <w:bCs/>
          <w:kern w:val="0"/>
          <w:sz w:val="24"/>
          <w:szCs w:val="24"/>
          <w:highlight w:val="none"/>
          <w:u w:val="single"/>
          <w:lang w:val="en-US" w:eastAsia="zh-CN" w:bidi="ar-SA"/>
        </w:rPr>
        <w:t xml:space="preserve">    （同前页项目名称）    </w:t>
      </w:r>
      <w:r>
        <w:rPr>
          <w:rFonts w:hint="eastAsia" w:ascii="仿宋_GB2312" w:hAnsi="仿宋_GB2312" w:eastAsia="仿宋_GB2312" w:cs="仿宋_GB2312"/>
          <w:b w:val="0"/>
          <w:bCs/>
          <w:kern w:val="0"/>
          <w:sz w:val="24"/>
          <w:szCs w:val="24"/>
          <w:highlight w:val="none"/>
          <w:u w:val="none"/>
          <w:lang w:val="en-US" w:eastAsia="zh-CN" w:bidi="ar-SA"/>
        </w:rPr>
        <w:t>项目进行了采购。经</w:t>
      </w:r>
      <w:r>
        <w:rPr>
          <w:rFonts w:hint="eastAsia" w:ascii="仿宋_GB2312" w:hAnsi="仿宋_GB2312" w:eastAsia="仿宋_GB2312" w:cs="仿宋_GB2312"/>
          <w:b w:val="0"/>
          <w:bCs/>
          <w:kern w:val="0"/>
          <w:sz w:val="24"/>
          <w:szCs w:val="24"/>
          <w:highlight w:val="none"/>
          <w:u w:val="single"/>
          <w:lang w:val="en-US" w:eastAsia="zh-CN" w:bidi="ar-SA"/>
        </w:rPr>
        <w:t xml:space="preserve">    （相关评定主体名称）</w:t>
      </w:r>
      <w:r>
        <w:rPr>
          <w:rFonts w:hint="eastAsia" w:ascii="仿宋_GB2312" w:hAnsi="仿宋_GB2312" w:eastAsia="仿宋_GB2312" w:cs="仿宋_GB2312"/>
          <w:b w:val="0"/>
          <w:bCs/>
          <w:kern w:val="0"/>
          <w:sz w:val="24"/>
          <w:szCs w:val="24"/>
          <w:highlight w:val="none"/>
          <w:u w:val="single"/>
          <w:lang w:val="en-US" w:eastAsia="zh-CN" w:bidi="ar-SA"/>
        </w:rPr>
        <w:tab/>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评定，</w:t>
      </w:r>
      <w:r>
        <w:rPr>
          <w:rFonts w:hint="eastAsia" w:ascii="仿宋_GB2312" w:hAnsi="仿宋_GB2312" w:eastAsia="仿宋_GB2312" w:cs="仿宋_GB2312"/>
          <w:b w:val="0"/>
          <w:bCs/>
          <w:kern w:val="0"/>
          <w:sz w:val="24"/>
          <w:szCs w:val="24"/>
          <w:highlight w:val="none"/>
          <w:u w:val="single"/>
          <w:lang w:val="en-US" w:eastAsia="zh-CN" w:bidi="ar-SA"/>
        </w:rPr>
        <w:t xml:space="preserve">   （成交供应商名称）  </w:t>
      </w:r>
      <w:r>
        <w:rPr>
          <w:rFonts w:hint="eastAsia" w:ascii="仿宋_GB2312" w:hAnsi="仿宋_GB2312" w:eastAsia="仿宋_GB2312" w:cs="仿宋_GB2312"/>
          <w:b w:val="0"/>
          <w:bCs/>
          <w:kern w:val="0"/>
          <w:sz w:val="24"/>
          <w:szCs w:val="24"/>
          <w:highlight w:val="none"/>
          <w:u w:val="none"/>
          <w:lang w:val="en-US" w:eastAsia="zh-CN" w:bidi="ar-SA"/>
        </w:rPr>
        <w:t>为该项目成交供应商。现于成交通知书发出之日起三十日内，按照采购文件确定的事项签订本合同。</w:t>
      </w:r>
    </w:p>
    <w:p w14:paraId="37E61F19">
      <w:pPr>
        <w:pStyle w:val="7"/>
        <w:spacing w:before="4" w:line="307" w:lineRule="auto"/>
        <w:ind w:left="38" w:right="216" w:firstLine="479"/>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根据《中华人民共和国合同法》、《中华人民共和国政府采购法》等相关 法律法规之规定，按照平等、自愿、公平和诚实信用的原则，经</w:t>
      </w:r>
      <w:r>
        <w:rPr>
          <w:rFonts w:hint="eastAsia" w:ascii="仿宋_GB2312" w:hAnsi="仿宋_GB2312" w:eastAsia="仿宋_GB2312" w:cs="仿宋_GB2312"/>
          <w:b w:val="0"/>
          <w:bCs/>
          <w:kern w:val="0"/>
          <w:sz w:val="24"/>
          <w:szCs w:val="24"/>
          <w:highlight w:val="none"/>
          <w:u w:val="single"/>
          <w:lang w:val="en-US" w:eastAsia="zh-CN" w:bidi="ar-SA"/>
        </w:rPr>
        <w:t xml:space="preserve">    （采购人 名称）    </w:t>
      </w:r>
      <w:r>
        <w:rPr>
          <w:rFonts w:hint="eastAsia" w:ascii="仿宋_GB2312" w:hAnsi="仿宋_GB2312" w:eastAsia="仿宋_GB2312" w:cs="仿宋_GB2312"/>
          <w:b w:val="0"/>
          <w:bCs/>
          <w:kern w:val="0"/>
          <w:sz w:val="24"/>
          <w:szCs w:val="24"/>
          <w:highlight w:val="none"/>
          <w:u w:val="none"/>
          <w:lang w:val="en-US" w:eastAsia="zh-CN" w:bidi="ar-SA"/>
        </w:rPr>
        <w:t>(以下简称：甲方)和</w:t>
      </w:r>
      <w:r>
        <w:rPr>
          <w:rFonts w:hint="eastAsia" w:ascii="仿宋_GB2312" w:hAnsi="仿宋_GB2312" w:eastAsia="仿宋_GB2312" w:cs="仿宋_GB2312"/>
          <w:b w:val="0"/>
          <w:bCs/>
          <w:kern w:val="0"/>
          <w:sz w:val="24"/>
          <w:szCs w:val="24"/>
          <w:highlight w:val="none"/>
          <w:u w:val="single"/>
          <w:lang w:val="en-US" w:eastAsia="zh-CN" w:bidi="ar-SA"/>
        </w:rPr>
        <w:t xml:space="preserve">    （成交供应商名称）    </w:t>
      </w:r>
      <w:r>
        <w:rPr>
          <w:rFonts w:hint="eastAsia" w:ascii="仿宋_GB2312" w:hAnsi="仿宋_GB2312" w:eastAsia="仿宋_GB2312" w:cs="仿宋_GB2312"/>
          <w:b w:val="0"/>
          <w:bCs/>
          <w:kern w:val="0"/>
          <w:sz w:val="24"/>
          <w:szCs w:val="24"/>
          <w:highlight w:val="none"/>
          <w:u w:val="none"/>
          <w:lang w:val="en-US" w:eastAsia="zh-CN" w:bidi="ar-SA"/>
        </w:rPr>
        <w:t>(以下简称：乙方)协商一致，约定以下合同条款，以兹共同遵守、全面履行。</w:t>
      </w:r>
    </w:p>
    <w:p w14:paraId="6471953D">
      <w:pPr>
        <w:pStyle w:val="7"/>
        <w:spacing w:line="219" w:lineRule="auto"/>
        <w:ind w:left="535"/>
        <w:outlineLvl w:val="1"/>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 合同组成部分</w:t>
      </w:r>
    </w:p>
    <w:p w14:paraId="47E50CC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下列文件为本合同的组成部分，并构成一个整体，需综合解释、相互补充。 如果下列文件内容出现不一致的情形，那么在保证按照采购文件确定的事项的 前提下，组成本合同的多个文件的优先适用顺序如下：</w:t>
      </w:r>
    </w:p>
    <w:p w14:paraId="092A6C48">
      <w:pPr>
        <w:pStyle w:val="7"/>
        <w:keepNext w:val="0"/>
        <w:keepLines w:val="0"/>
        <w:pageBreakBefore w:val="0"/>
        <w:widowControl w:val="0"/>
        <w:kinsoku/>
        <w:wordWrap/>
        <w:overflowPunct/>
        <w:topLinePunct w:val="0"/>
        <w:autoSpaceDE/>
        <w:autoSpaceDN/>
        <w:bidi w:val="0"/>
        <w:adjustRightInd w:val="0"/>
        <w:snapToGrid/>
        <w:spacing w:after="0" w:line="218" w:lineRule="auto"/>
        <w:ind w:left="0" w:leftChars="0" w:firstLine="480" w:firstLineChars="20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1.1.1 本合同及其补充合同、变更协议；</w:t>
      </w:r>
    </w:p>
    <w:p w14:paraId="4BCA1FF6">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1.1.2 成交通知书；</w:t>
      </w:r>
    </w:p>
    <w:p w14:paraId="1A8AC431">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1.1.3 磋商文件（含澄清或者说明文件）；</w:t>
      </w:r>
    </w:p>
    <w:p w14:paraId="4BE8D173">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1.1.4 磋商文件（含澄清或者修改文件）；</w:t>
      </w:r>
    </w:p>
    <w:p w14:paraId="1917E4B5">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1.1.5 其他相关采购文件。</w:t>
      </w:r>
    </w:p>
    <w:p w14:paraId="24E73D88">
      <w:pPr>
        <w:pStyle w:val="7"/>
        <w:keepNext w:val="0"/>
        <w:keepLines w:val="0"/>
        <w:pageBreakBefore w:val="0"/>
        <w:widowControl w:val="0"/>
        <w:kinsoku/>
        <w:wordWrap/>
        <w:overflowPunct/>
        <w:topLinePunct w:val="0"/>
        <w:autoSpaceDE/>
        <w:autoSpaceDN/>
        <w:bidi w:val="0"/>
        <w:adjustRightInd w:val="0"/>
        <w:snapToGrid/>
        <w:spacing w:after="0" w:line="220" w:lineRule="auto"/>
        <w:ind w:left="0"/>
        <w:textAlignment w:val="baseline"/>
        <w:outlineLvl w:val="1"/>
        <w:rPr>
          <w:rFonts w:hint="eastAsia" w:ascii="仿宋_GB2312" w:hAnsi="仿宋_GB2312" w:eastAsia="仿宋_GB2312" w:cs="仿宋_GB2312"/>
          <w:sz w:val="24"/>
          <w:szCs w:val="24"/>
        </w:rPr>
      </w:pPr>
      <w:r>
        <w:rPr>
          <w:rFonts w:hint="eastAsia" w:ascii="仿宋_GB2312" w:hAnsi="仿宋_GB2312" w:eastAsia="仿宋_GB2312" w:cs="仿宋_GB2312"/>
          <w:b/>
          <w:bCs/>
          <w:spacing w:val="-10"/>
          <w:sz w:val="24"/>
          <w:szCs w:val="24"/>
        </w:rPr>
        <w:t>1.2</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b/>
          <w:bCs/>
          <w:spacing w:val="-10"/>
          <w:sz w:val="24"/>
          <w:szCs w:val="24"/>
        </w:rPr>
        <w:t>标的</w:t>
      </w:r>
    </w:p>
    <w:p w14:paraId="0223F2B1">
      <w:pPr>
        <w:pStyle w:val="7"/>
        <w:spacing w:before="113" w:line="220" w:lineRule="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1.2.1 标的名称</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z w:val="24"/>
          <w:szCs w:val="24"/>
        </w:rPr>
        <w:t>；</w:t>
      </w:r>
    </w:p>
    <w:p w14:paraId="53989215">
      <w:pPr>
        <w:pStyle w:val="7"/>
        <w:spacing w:before="115" w:line="219" w:lineRule="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1.2.2 标的数量</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z w:val="24"/>
          <w:szCs w:val="24"/>
        </w:rPr>
        <w:t>；</w:t>
      </w:r>
    </w:p>
    <w:p w14:paraId="71C829F3">
      <w:pPr>
        <w:pStyle w:val="7"/>
        <w:spacing w:before="116" w:line="220"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1.2.3 标的质量：</w:t>
      </w:r>
      <w:r>
        <w:rPr>
          <w:rFonts w:hint="eastAsia" w:ascii="仿宋_GB2312" w:hAnsi="仿宋_GB2312" w:eastAsia="仿宋_GB2312" w:cs="仿宋_GB2312"/>
          <w:spacing w:val="-2"/>
          <w:sz w:val="24"/>
          <w:szCs w:val="24"/>
          <w:u w:val="single" w:color="auto"/>
        </w:rPr>
        <w:t xml:space="preserve">                       </w:t>
      </w:r>
      <w:r>
        <w:rPr>
          <w:rFonts w:hint="eastAsia" w:ascii="仿宋_GB2312" w:hAnsi="仿宋_GB2312" w:eastAsia="仿宋_GB2312" w:cs="仿宋_GB2312"/>
          <w:spacing w:val="-3"/>
          <w:sz w:val="24"/>
          <w:szCs w:val="24"/>
          <w:u w:val="single" w:color="auto"/>
        </w:rPr>
        <w:t xml:space="preserve">                          </w:t>
      </w:r>
      <w:r>
        <w:rPr>
          <w:rFonts w:hint="eastAsia" w:ascii="仿宋_GB2312" w:hAnsi="仿宋_GB2312" w:eastAsia="仿宋_GB2312" w:cs="仿宋_GB2312"/>
          <w:spacing w:val="-3"/>
          <w:sz w:val="24"/>
          <w:szCs w:val="24"/>
        </w:rPr>
        <w:t>。</w:t>
      </w:r>
    </w:p>
    <w:p w14:paraId="25DB8D29">
      <w:pPr>
        <w:pStyle w:val="7"/>
        <w:spacing w:before="112" w:line="218" w:lineRule="auto"/>
        <w:outlineLvl w:val="1"/>
        <w:rPr>
          <w:rFonts w:hint="eastAsia" w:ascii="仿宋_GB2312" w:hAnsi="仿宋_GB2312" w:eastAsia="仿宋_GB2312" w:cs="仿宋_GB2312"/>
          <w:sz w:val="24"/>
          <w:szCs w:val="24"/>
        </w:rPr>
      </w:pPr>
      <w:r>
        <w:rPr>
          <w:rFonts w:hint="eastAsia" w:ascii="仿宋_GB2312" w:hAnsi="仿宋_GB2312" w:eastAsia="仿宋_GB2312" w:cs="仿宋_GB2312"/>
          <w:b/>
          <w:bCs/>
          <w:spacing w:val="-10"/>
          <w:sz w:val="24"/>
          <w:szCs w:val="24"/>
        </w:rPr>
        <w:t>1.3</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b/>
          <w:bCs/>
          <w:spacing w:val="-10"/>
          <w:sz w:val="24"/>
          <w:szCs w:val="24"/>
        </w:rPr>
        <w:t>价款</w:t>
      </w:r>
    </w:p>
    <w:p w14:paraId="1FB5D7D7">
      <w:pPr>
        <w:pStyle w:val="7"/>
        <w:spacing w:before="119" w:line="263" w:lineRule="auto"/>
        <w:ind w:left="519" w:right="136" w:hanging="1"/>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本合同总价为：￥</w:t>
      </w:r>
      <w:r>
        <w:rPr>
          <w:rFonts w:hint="eastAsia" w:ascii="仿宋_GB2312" w:hAnsi="仿宋_GB2312" w:eastAsia="仿宋_GB2312" w:cs="仿宋_GB2312"/>
          <w:spacing w:val="-87"/>
          <w:sz w:val="24"/>
          <w:szCs w:val="24"/>
        </w:rPr>
        <w:t xml:space="preserve"> </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108"/>
          <w:sz w:val="24"/>
          <w:szCs w:val="24"/>
        </w:rPr>
        <w:t xml:space="preserve"> </w:t>
      </w:r>
      <w:r>
        <w:rPr>
          <w:rFonts w:hint="eastAsia" w:ascii="仿宋_GB2312" w:hAnsi="仿宋_GB2312" w:eastAsia="仿宋_GB2312" w:cs="仿宋_GB2312"/>
          <w:spacing w:val="-3"/>
          <w:sz w:val="24"/>
          <w:szCs w:val="24"/>
        </w:rPr>
        <w:t>元（大写：</w:t>
      </w:r>
      <w:r>
        <w:rPr>
          <w:rFonts w:hint="eastAsia" w:ascii="仿宋_GB2312" w:hAnsi="仿宋_GB2312" w:eastAsia="仿宋_GB2312" w:cs="仿宋_GB2312"/>
          <w:spacing w:val="-3"/>
          <w:sz w:val="24"/>
          <w:szCs w:val="24"/>
          <w:u w:val="single" w:color="auto"/>
        </w:rPr>
        <w:t xml:space="preserve">                 </w:t>
      </w:r>
      <w:r>
        <w:rPr>
          <w:rFonts w:hint="eastAsia" w:ascii="仿宋_GB2312" w:hAnsi="仿宋_GB2312" w:eastAsia="仿宋_GB2312" w:cs="仿宋_GB2312"/>
          <w:spacing w:val="-109"/>
          <w:sz w:val="24"/>
          <w:szCs w:val="24"/>
        </w:rPr>
        <w:t xml:space="preserve"> </w:t>
      </w:r>
      <w:r>
        <w:rPr>
          <w:rFonts w:hint="eastAsia" w:ascii="仿宋_GB2312" w:hAnsi="仿宋_GB2312" w:eastAsia="仿宋_GB2312" w:cs="仿宋_GB2312"/>
          <w:spacing w:val="-3"/>
          <w:sz w:val="24"/>
          <w:szCs w:val="24"/>
        </w:rPr>
        <w:t>元人民币）。</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3"/>
          <w:sz w:val="24"/>
          <w:szCs w:val="24"/>
        </w:rPr>
        <w:t>分项价格：</w:t>
      </w:r>
    </w:p>
    <w:tbl>
      <w:tblPr>
        <w:tblStyle w:val="20"/>
        <w:tblW w:w="7159" w:type="dxa"/>
        <w:tblInd w:w="5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3399"/>
        <w:gridCol w:w="2555"/>
      </w:tblGrid>
      <w:tr w14:paraId="60DEE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205" w:type="dxa"/>
            <w:noWrap w:val="0"/>
            <w:vAlign w:val="top"/>
          </w:tcPr>
          <w:p w14:paraId="5935FF3A">
            <w:pPr>
              <w:spacing w:before="118" w:line="216" w:lineRule="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序号</w:t>
            </w:r>
          </w:p>
        </w:tc>
        <w:tc>
          <w:tcPr>
            <w:tcW w:w="3399" w:type="dxa"/>
            <w:noWrap w:val="0"/>
            <w:vAlign w:val="top"/>
          </w:tcPr>
          <w:p w14:paraId="059AD20E">
            <w:pPr>
              <w:spacing w:before="118" w:line="216" w:lineRule="auto"/>
              <w:ind w:left="0" w:lef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分项名称</w:t>
            </w:r>
          </w:p>
        </w:tc>
        <w:tc>
          <w:tcPr>
            <w:tcW w:w="2555" w:type="dxa"/>
            <w:noWrap w:val="0"/>
            <w:vAlign w:val="top"/>
          </w:tcPr>
          <w:p w14:paraId="36D71CEE">
            <w:pPr>
              <w:spacing w:before="118" w:line="216" w:lineRule="auto"/>
              <w:ind w:left="0" w:lef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分项价格</w:t>
            </w:r>
          </w:p>
        </w:tc>
      </w:tr>
      <w:tr w14:paraId="23CDF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5" w:type="dxa"/>
            <w:noWrap w:val="0"/>
            <w:vAlign w:val="top"/>
          </w:tcPr>
          <w:p w14:paraId="067640E4">
            <w:pPr>
              <w:pStyle w:val="21"/>
              <w:rPr>
                <w:rFonts w:hint="eastAsia" w:ascii="仿宋_GB2312" w:hAnsi="仿宋_GB2312" w:eastAsia="仿宋_GB2312" w:cs="仿宋_GB2312"/>
                <w:sz w:val="24"/>
                <w:szCs w:val="24"/>
              </w:rPr>
            </w:pPr>
          </w:p>
        </w:tc>
        <w:tc>
          <w:tcPr>
            <w:tcW w:w="3399" w:type="dxa"/>
            <w:noWrap w:val="0"/>
            <w:vAlign w:val="top"/>
          </w:tcPr>
          <w:p w14:paraId="5DE54886">
            <w:pPr>
              <w:pStyle w:val="21"/>
              <w:rPr>
                <w:rFonts w:hint="eastAsia" w:ascii="仿宋_GB2312" w:hAnsi="仿宋_GB2312" w:eastAsia="仿宋_GB2312" w:cs="仿宋_GB2312"/>
                <w:sz w:val="24"/>
                <w:szCs w:val="24"/>
              </w:rPr>
            </w:pPr>
          </w:p>
        </w:tc>
        <w:tc>
          <w:tcPr>
            <w:tcW w:w="2555" w:type="dxa"/>
            <w:noWrap w:val="0"/>
            <w:vAlign w:val="top"/>
          </w:tcPr>
          <w:p w14:paraId="4A2E3EE2">
            <w:pPr>
              <w:pStyle w:val="21"/>
              <w:rPr>
                <w:rFonts w:hint="eastAsia" w:ascii="仿宋_GB2312" w:hAnsi="仿宋_GB2312" w:eastAsia="仿宋_GB2312" w:cs="仿宋_GB2312"/>
                <w:sz w:val="24"/>
                <w:szCs w:val="24"/>
              </w:rPr>
            </w:pPr>
          </w:p>
        </w:tc>
      </w:tr>
      <w:tr w14:paraId="3E8DE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5" w:type="dxa"/>
            <w:noWrap w:val="0"/>
            <w:vAlign w:val="top"/>
          </w:tcPr>
          <w:p w14:paraId="28828CCB">
            <w:pPr>
              <w:pStyle w:val="21"/>
              <w:rPr>
                <w:rFonts w:hint="eastAsia" w:ascii="仿宋_GB2312" w:hAnsi="仿宋_GB2312" w:eastAsia="仿宋_GB2312" w:cs="仿宋_GB2312"/>
                <w:sz w:val="24"/>
                <w:szCs w:val="24"/>
              </w:rPr>
            </w:pPr>
          </w:p>
        </w:tc>
        <w:tc>
          <w:tcPr>
            <w:tcW w:w="3399" w:type="dxa"/>
            <w:noWrap w:val="0"/>
            <w:vAlign w:val="top"/>
          </w:tcPr>
          <w:p w14:paraId="3D186EBF">
            <w:pPr>
              <w:pStyle w:val="21"/>
              <w:rPr>
                <w:rFonts w:hint="eastAsia" w:ascii="仿宋_GB2312" w:hAnsi="仿宋_GB2312" w:eastAsia="仿宋_GB2312" w:cs="仿宋_GB2312"/>
                <w:sz w:val="24"/>
                <w:szCs w:val="24"/>
              </w:rPr>
            </w:pPr>
          </w:p>
        </w:tc>
        <w:tc>
          <w:tcPr>
            <w:tcW w:w="2555" w:type="dxa"/>
            <w:noWrap w:val="0"/>
            <w:vAlign w:val="top"/>
          </w:tcPr>
          <w:p w14:paraId="6CE36AD3">
            <w:pPr>
              <w:pStyle w:val="21"/>
              <w:rPr>
                <w:rFonts w:hint="eastAsia" w:ascii="仿宋_GB2312" w:hAnsi="仿宋_GB2312" w:eastAsia="仿宋_GB2312" w:cs="仿宋_GB2312"/>
                <w:sz w:val="24"/>
                <w:szCs w:val="24"/>
              </w:rPr>
            </w:pPr>
          </w:p>
        </w:tc>
      </w:tr>
      <w:tr w14:paraId="5717E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5" w:type="dxa"/>
            <w:noWrap w:val="0"/>
            <w:vAlign w:val="top"/>
          </w:tcPr>
          <w:p w14:paraId="5069DBA6">
            <w:pPr>
              <w:pStyle w:val="21"/>
              <w:rPr>
                <w:rFonts w:hint="eastAsia" w:ascii="仿宋_GB2312" w:hAnsi="仿宋_GB2312" w:eastAsia="仿宋_GB2312" w:cs="仿宋_GB2312"/>
                <w:sz w:val="24"/>
                <w:szCs w:val="24"/>
              </w:rPr>
            </w:pPr>
          </w:p>
        </w:tc>
        <w:tc>
          <w:tcPr>
            <w:tcW w:w="3399" w:type="dxa"/>
            <w:noWrap w:val="0"/>
            <w:vAlign w:val="top"/>
          </w:tcPr>
          <w:p w14:paraId="448CD598">
            <w:pPr>
              <w:pStyle w:val="21"/>
              <w:rPr>
                <w:rFonts w:hint="eastAsia" w:ascii="仿宋_GB2312" w:hAnsi="仿宋_GB2312" w:eastAsia="仿宋_GB2312" w:cs="仿宋_GB2312"/>
                <w:sz w:val="24"/>
                <w:szCs w:val="24"/>
              </w:rPr>
            </w:pPr>
          </w:p>
        </w:tc>
        <w:tc>
          <w:tcPr>
            <w:tcW w:w="2555" w:type="dxa"/>
            <w:noWrap w:val="0"/>
            <w:vAlign w:val="top"/>
          </w:tcPr>
          <w:p w14:paraId="10F3C802">
            <w:pPr>
              <w:pStyle w:val="21"/>
              <w:rPr>
                <w:rFonts w:hint="eastAsia" w:ascii="仿宋_GB2312" w:hAnsi="仿宋_GB2312" w:eastAsia="仿宋_GB2312" w:cs="仿宋_GB2312"/>
                <w:sz w:val="24"/>
                <w:szCs w:val="24"/>
              </w:rPr>
            </w:pPr>
          </w:p>
        </w:tc>
      </w:tr>
      <w:tr w14:paraId="6CD6E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5" w:type="dxa"/>
            <w:noWrap w:val="0"/>
            <w:vAlign w:val="top"/>
          </w:tcPr>
          <w:p w14:paraId="097460E8">
            <w:pPr>
              <w:pStyle w:val="21"/>
              <w:rPr>
                <w:rFonts w:hint="eastAsia" w:ascii="仿宋_GB2312" w:hAnsi="仿宋_GB2312" w:eastAsia="仿宋_GB2312" w:cs="仿宋_GB2312"/>
                <w:sz w:val="24"/>
                <w:szCs w:val="24"/>
              </w:rPr>
            </w:pPr>
          </w:p>
        </w:tc>
        <w:tc>
          <w:tcPr>
            <w:tcW w:w="3399" w:type="dxa"/>
            <w:noWrap w:val="0"/>
            <w:vAlign w:val="top"/>
          </w:tcPr>
          <w:p w14:paraId="7F889508">
            <w:pPr>
              <w:pStyle w:val="21"/>
              <w:rPr>
                <w:rFonts w:hint="eastAsia" w:ascii="仿宋_GB2312" w:hAnsi="仿宋_GB2312" w:eastAsia="仿宋_GB2312" w:cs="仿宋_GB2312"/>
                <w:sz w:val="24"/>
                <w:szCs w:val="24"/>
              </w:rPr>
            </w:pPr>
          </w:p>
        </w:tc>
        <w:tc>
          <w:tcPr>
            <w:tcW w:w="2555" w:type="dxa"/>
            <w:noWrap w:val="0"/>
            <w:vAlign w:val="top"/>
          </w:tcPr>
          <w:p w14:paraId="1804C074">
            <w:pPr>
              <w:pStyle w:val="21"/>
              <w:rPr>
                <w:rFonts w:hint="eastAsia" w:ascii="仿宋_GB2312" w:hAnsi="仿宋_GB2312" w:eastAsia="仿宋_GB2312" w:cs="仿宋_GB2312"/>
                <w:sz w:val="24"/>
                <w:szCs w:val="24"/>
              </w:rPr>
            </w:pPr>
          </w:p>
        </w:tc>
      </w:tr>
      <w:tr w14:paraId="3EB0A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604" w:type="dxa"/>
            <w:gridSpan w:val="2"/>
            <w:noWrap w:val="0"/>
            <w:vAlign w:val="top"/>
          </w:tcPr>
          <w:p w14:paraId="34A9B45F">
            <w:pPr>
              <w:spacing w:before="120" w:line="214" w:lineRule="auto"/>
              <w:ind w:left="2175"/>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总价</w:t>
            </w:r>
          </w:p>
        </w:tc>
        <w:tc>
          <w:tcPr>
            <w:tcW w:w="2555" w:type="dxa"/>
            <w:noWrap w:val="0"/>
            <w:vAlign w:val="top"/>
          </w:tcPr>
          <w:p w14:paraId="043DDE44">
            <w:pPr>
              <w:pStyle w:val="21"/>
              <w:rPr>
                <w:rFonts w:hint="eastAsia" w:ascii="仿宋_GB2312" w:hAnsi="仿宋_GB2312" w:eastAsia="仿宋_GB2312" w:cs="仿宋_GB2312"/>
                <w:sz w:val="24"/>
                <w:szCs w:val="24"/>
              </w:rPr>
            </w:pPr>
          </w:p>
        </w:tc>
      </w:tr>
    </w:tbl>
    <w:p w14:paraId="500913FE">
      <w:pPr>
        <w:pStyle w:val="7"/>
        <w:spacing w:before="114" w:line="219" w:lineRule="auto"/>
        <w:outlineLvl w:val="1"/>
        <w:rPr>
          <w:rFonts w:hint="eastAsia" w:ascii="仿宋_GB2312" w:hAnsi="仿宋_GB2312" w:eastAsia="仿宋_GB2312" w:cs="仿宋_GB2312"/>
          <w:sz w:val="24"/>
          <w:szCs w:val="24"/>
        </w:rPr>
      </w:pPr>
      <w:r>
        <w:rPr>
          <w:rFonts w:hint="eastAsia" w:ascii="仿宋_GB2312" w:hAnsi="仿宋_GB2312" w:eastAsia="仿宋_GB2312" w:cs="仿宋_GB2312"/>
          <w:b/>
          <w:bCs/>
          <w:spacing w:val="-4"/>
          <w:sz w:val="24"/>
          <w:szCs w:val="24"/>
        </w:rPr>
        <w:t>1.4</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b/>
          <w:bCs/>
          <w:spacing w:val="-4"/>
          <w:sz w:val="24"/>
          <w:szCs w:val="24"/>
        </w:rPr>
        <w:t>付款方式和发票开具方式</w:t>
      </w:r>
    </w:p>
    <w:p w14:paraId="084CC1CE">
      <w:pPr>
        <w:pStyle w:val="7"/>
        <w:spacing w:before="116" w:line="219" w:lineRule="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1.4.1</w:t>
      </w:r>
      <w:r>
        <w:rPr>
          <w:rFonts w:hint="eastAsia" w:ascii="仿宋_GB2312" w:hAnsi="仿宋_GB2312" w:eastAsia="仿宋_GB2312" w:cs="仿宋_GB2312"/>
          <w:spacing w:val="-50"/>
          <w:sz w:val="24"/>
          <w:szCs w:val="24"/>
        </w:rPr>
        <w:t xml:space="preserve"> </w:t>
      </w:r>
      <w:r>
        <w:rPr>
          <w:rFonts w:hint="eastAsia" w:ascii="仿宋_GB2312" w:hAnsi="仿宋_GB2312" w:eastAsia="仿宋_GB2312" w:cs="仿宋_GB2312"/>
          <w:spacing w:val="-5"/>
          <w:sz w:val="24"/>
          <w:szCs w:val="24"/>
        </w:rPr>
        <w:t>付款方式</w:t>
      </w:r>
      <w:r>
        <w:rPr>
          <w:rFonts w:hint="eastAsia" w:ascii="仿宋_GB2312" w:hAnsi="仿宋_GB2312" w:eastAsia="仿宋_GB2312" w:cs="仿宋_GB2312"/>
          <w:spacing w:val="3"/>
          <w:sz w:val="24"/>
          <w:szCs w:val="24"/>
        </w:rPr>
        <w:t>：</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3"/>
          <w:sz w:val="24"/>
          <w:szCs w:val="24"/>
        </w:rPr>
        <w:t>；</w:t>
      </w:r>
    </w:p>
    <w:p w14:paraId="1BC076AF">
      <w:pPr>
        <w:pStyle w:val="7"/>
        <w:spacing w:before="116" w:line="219"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1.4.2 发票开具方式：</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2"/>
          <w:sz w:val="24"/>
          <w:szCs w:val="24"/>
        </w:rPr>
        <w:t>。</w:t>
      </w:r>
    </w:p>
    <w:p w14:paraId="79F39486">
      <w:pPr>
        <w:pStyle w:val="7"/>
        <w:spacing w:before="157" w:line="220" w:lineRule="auto"/>
        <w:ind w:left="535"/>
        <w:outlineLvl w:val="1"/>
        <w:rPr>
          <w:b/>
          <w:bCs/>
          <w:spacing w:val="-4"/>
          <w:sz w:val="24"/>
          <w:szCs w:val="24"/>
        </w:rPr>
      </w:pPr>
    </w:p>
    <w:p w14:paraId="0743EFA3">
      <w:pPr>
        <w:pStyle w:val="7"/>
        <w:keepNext w:val="0"/>
        <w:keepLines w:val="0"/>
        <w:pageBreakBefore w:val="0"/>
        <w:widowControl w:val="0"/>
        <w:kinsoku/>
        <w:wordWrap/>
        <w:overflowPunct/>
        <w:topLinePunct w:val="0"/>
        <w:autoSpaceDE/>
        <w:autoSpaceDN/>
        <w:bidi w:val="0"/>
        <w:adjustRightInd w:val="0"/>
        <w:snapToGrid/>
        <w:spacing w:after="0" w:line="220" w:lineRule="auto"/>
        <w:ind w:left="0" w:leftChars="0" w:firstLine="464" w:firstLineChars="200"/>
        <w:textAlignment w:val="baseline"/>
        <w:outlineLvl w:val="1"/>
        <w:rPr>
          <w:sz w:val="24"/>
          <w:szCs w:val="24"/>
        </w:rPr>
      </w:pPr>
      <w:r>
        <w:rPr>
          <w:b/>
          <w:bCs/>
          <w:spacing w:val="-4"/>
          <w:sz w:val="24"/>
          <w:szCs w:val="24"/>
        </w:rPr>
        <w:t>1.5</w:t>
      </w:r>
      <w:r>
        <w:rPr>
          <w:spacing w:val="-4"/>
          <w:sz w:val="24"/>
          <w:szCs w:val="24"/>
        </w:rPr>
        <w:t xml:space="preserve"> </w:t>
      </w:r>
      <w:r>
        <w:rPr>
          <w:b/>
          <w:bCs/>
          <w:spacing w:val="-4"/>
          <w:sz w:val="24"/>
          <w:szCs w:val="24"/>
        </w:rPr>
        <w:t>履行期限、地点和方式</w:t>
      </w:r>
    </w:p>
    <w:p w14:paraId="289E64D4">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1.5.1 履行期限：</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w:t>
      </w:r>
    </w:p>
    <w:p w14:paraId="41567397">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1.5.2 履行地点：</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w:t>
      </w:r>
    </w:p>
    <w:p w14:paraId="0AF0115C">
      <w:pPr>
        <w:pStyle w:val="7"/>
        <w:keepNext w:val="0"/>
        <w:keepLines w:val="0"/>
        <w:pageBreakBefore w:val="0"/>
        <w:widowControl w:val="0"/>
        <w:kinsoku/>
        <w:wordWrap/>
        <w:overflowPunct/>
        <w:topLinePunct w:val="0"/>
        <w:autoSpaceDE/>
        <w:autoSpaceDN/>
        <w:bidi w:val="0"/>
        <w:adjustRightInd w:val="0"/>
        <w:snapToGrid/>
        <w:spacing w:after="0" w:line="220" w:lineRule="auto"/>
        <w:ind w:left="0"/>
        <w:jc w:val="both"/>
        <w:textAlignment w:val="baseline"/>
        <w:rPr>
          <w:sz w:val="24"/>
          <w:szCs w:val="24"/>
        </w:rPr>
      </w:pPr>
      <w:r>
        <w:rPr>
          <w:spacing w:val="-5"/>
          <w:sz w:val="24"/>
          <w:szCs w:val="24"/>
        </w:rPr>
        <w:t>1.5.3 履行方式：</w:t>
      </w:r>
      <w:r>
        <w:rPr>
          <w:spacing w:val="-5"/>
          <w:sz w:val="24"/>
          <w:szCs w:val="24"/>
          <w:u w:val="single" w:color="auto"/>
        </w:rPr>
        <w:t xml:space="preserve">                                                  </w:t>
      </w:r>
      <w:r>
        <w:rPr>
          <w:spacing w:val="-5"/>
          <w:sz w:val="24"/>
          <w:szCs w:val="24"/>
        </w:rPr>
        <w:t>。</w:t>
      </w:r>
    </w:p>
    <w:p w14:paraId="0BB32CC6">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outlineLvl w:val="1"/>
        <w:rPr>
          <w:sz w:val="24"/>
          <w:szCs w:val="24"/>
        </w:rPr>
      </w:pPr>
      <w:r>
        <w:rPr>
          <w:b/>
          <w:bCs/>
          <w:spacing w:val="-5"/>
          <w:sz w:val="24"/>
          <w:szCs w:val="24"/>
        </w:rPr>
        <w:t>1.6</w:t>
      </w:r>
      <w:r>
        <w:rPr>
          <w:spacing w:val="-5"/>
          <w:sz w:val="24"/>
          <w:szCs w:val="24"/>
        </w:rPr>
        <w:t xml:space="preserve"> </w:t>
      </w:r>
      <w:r>
        <w:rPr>
          <w:b/>
          <w:bCs/>
          <w:spacing w:val="-5"/>
          <w:sz w:val="24"/>
          <w:szCs w:val="24"/>
        </w:rPr>
        <w:t>违约责任</w:t>
      </w:r>
    </w:p>
    <w:p w14:paraId="1B3B77F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1.6.1 除不可抗力外，如果乙方没有按照本合同约定的期限、地点和方式 履行，那么甲方可要求乙方支付违约金，违约金按每迟延履行一日的应提供而 未提供服务价格的      %计算，最高限额为本合同总价的       %；迟延履行的 违约金计算数额达到前述最高限额之日起，甲方有权在要求乙方支付违约金的 同时，书面通知乙方解除本合同；</w:t>
      </w:r>
    </w:p>
    <w:p w14:paraId="41B148BF">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1.6.2 除不可抗力外，如果甲方没有按照本合同约定的付款方式付款，那 么乙方可要求甲方支付违约金 ，违约金按每迟延付款一 日 的应付而未付款 的      %计算，最高限额为本合同总价的       %；迟延付款的违约金计算数额 达到前述最高限额之日起，乙方有权在要求甲方支付违约金的同时，书面通知 甲方解除本合同；</w:t>
      </w:r>
    </w:p>
    <w:p w14:paraId="1550CDC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1.6.3 除不可抗力外，任何一方未能履行本合同约定的其他主要义务，经 催告后在合理期限内仍未履行的，或者任何一方有其他违约行为致使不能实现 合同目的的，或者任何一方有腐败行为（即：提供或给予或接受或索取任何财 物或其他好处或者采取其他不正当手段来影响对方当事人在合同签订、履行过 程中的行为）或者欺诈行为（即：以谎报事实或隐瞒真相的方法来影响对方当 事人在合同签订、履行过程中的行为）的，对方当事人可以书面通知违约方解 除本合同；</w:t>
      </w:r>
    </w:p>
    <w:p w14:paraId="1F12EED4">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1.6.4 任何一方按照前述约定要求违约方支付违约金的同时，仍有权要求 违约方继续履行合同、采取补救措施，并有权按照己方实际损失情况要求违约 方赔偿损失；任何一方按照前述约定要求解除本合同的同时，仍有权要求违约 方支付违约金和按照己方实际损失情况要求违约方赔偿损失；且守约方行使的 任何权利救济方式均不视为其放弃了其他法定或者约定的权利救济方式；</w:t>
      </w:r>
    </w:p>
    <w:p w14:paraId="466177E3">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1.6.5 除前述约定外，除不可抗力外，任何一方未能履行本合同约定的义 务，对方当事人均有权要求继续履行、采取补救措施或者赔偿损失等，且对方 当事人行使的任何权利救济方式均不视为其放弃了其他法定或者约定的权利救 济方式；</w:t>
      </w:r>
    </w:p>
    <w:p w14:paraId="111C9410">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1.6.6 如果出现政府采购监督管理部门在处理投诉事项期间，书面通知甲 方暂停采购活动的情形，或者询问或质疑事项可能影响成交结果的，导致甲方 中止履行合同的情形，均不视为甲方违约。</w:t>
      </w:r>
    </w:p>
    <w:p w14:paraId="5D0E5D6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sectPr>
          <w:headerReference r:id="rId9" w:type="default"/>
          <w:footerReference r:id="rId10" w:type="default"/>
          <w:pgSz w:w="11907" w:h="16840"/>
          <w:pgMar w:top="1716" w:right="1732" w:bottom="1036" w:left="1786" w:header="1696" w:footer="873" w:gutter="0"/>
          <w:pgNumType w:fmt="decimal" w:start="35"/>
          <w:cols w:space="720" w:num="1"/>
        </w:sectPr>
      </w:pPr>
    </w:p>
    <w:p w14:paraId="08B2168A">
      <w:pPr>
        <w:pStyle w:val="7"/>
        <w:spacing w:before="119" w:line="219" w:lineRule="auto"/>
        <w:ind w:left="0" w:leftChars="0" w:firstLine="460" w:firstLineChars="200"/>
        <w:outlineLvl w:val="1"/>
        <w:rPr>
          <w:sz w:val="24"/>
          <w:szCs w:val="24"/>
        </w:rPr>
      </w:pPr>
      <w:r>
        <w:rPr>
          <w:b/>
          <w:bCs/>
          <w:spacing w:val="-5"/>
          <w:sz w:val="24"/>
          <w:szCs w:val="24"/>
        </w:rPr>
        <w:t>1.7</w:t>
      </w:r>
      <w:r>
        <w:rPr>
          <w:spacing w:val="-5"/>
          <w:sz w:val="24"/>
          <w:szCs w:val="24"/>
        </w:rPr>
        <w:t xml:space="preserve"> </w:t>
      </w:r>
      <w:r>
        <w:rPr>
          <w:b/>
          <w:bCs/>
          <w:spacing w:val="-5"/>
          <w:sz w:val="24"/>
          <w:szCs w:val="24"/>
        </w:rPr>
        <w:t>合同争议的解决</w:t>
      </w:r>
    </w:p>
    <w:p w14:paraId="4CFBA1DC">
      <w:pPr>
        <w:pStyle w:val="7"/>
        <w:spacing w:before="115" w:line="219" w:lineRule="auto"/>
        <w:ind w:firstLine="234" w:firstLineChars="100"/>
        <w:rPr>
          <w:rFonts w:hint="eastAsia" w:ascii="仿宋_GB2312" w:hAnsi="仿宋_GB2312" w:eastAsia="仿宋_GB2312" w:cs="仿宋_GB2312"/>
          <w:spacing w:val="-3"/>
          <w:sz w:val="24"/>
          <w:szCs w:val="24"/>
        </w:rPr>
      </w:pPr>
      <w:r>
        <w:rPr>
          <w:rFonts w:hint="eastAsia" w:ascii="仿宋_GB2312" w:hAnsi="仿宋_GB2312" w:eastAsia="仿宋_GB2312" w:cs="仿宋_GB2312"/>
          <w:spacing w:val="-3"/>
          <w:sz w:val="24"/>
          <w:szCs w:val="24"/>
        </w:rPr>
        <w:t>本合同履行过程中发生的任何争议，双方当事人均可通过和解或者调解解 决；不愿和解、调解或者和解、调解不成的，可以选择下列第     种方式解决：</w:t>
      </w:r>
    </w:p>
    <w:p w14:paraId="01E87298">
      <w:pPr>
        <w:pStyle w:val="7"/>
        <w:spacing w:before="115" w:line="219" w:lineRule="auto"/>
        <w:rPr>
          <w:rFonts w:hint="eastAsia" w:ascii="仿宋_GB2312" w:hAnsi="仿宋_GB2312" w:eastAsia="仿宋_GB2312" w:cs="仿宋_GB2312"/>
          <w:spacing w:val="-3"/>
          <w:sz w:val="24"/>
          <w:szCs w:val="24"/>
        </w:rPr>
      </w:pPr>
      <w:r>
        <w:rPr>
          <w:rFonts w:hint="eastAsia" w:ascii="仿宋_GB2312" w:hAnsi="仿宋_GB2312" w:eastAsia="仿宋_GB2312" w:cs="仿宋_GB2312"/>
          <w:spacing w:val="-3"/>
          <w:sz w:val="24"/>
          <w:szCs w:val="24"/>
        </w:rPr>
        <w:t xml:space="preserve">1.7.1 将争议提交 </w:t>
      </w:r>
      <w:r>
        <w:rPr>
          <w:rFonts w:hint="eastAsia" w:ascii="仿宋_GB2312" w:hAnsi="仿宋_GB2312" w:eastAsia="仿宋_GB2312" w:cs="仿宋_GB2312"/>
          <w:spacing w:val="-3"/>
          <w:sz w:val="24"/>
          <w:szCs w:val="24"/>
          <w:u w:val="single"/>
        </w:rPr>
        <w:t xml:space="preserve">               </w:t>
      </w:r>
      <w:r>
        <w:rPr>
          <w:rFonts w:hint="eastAsia" w:ascii="仿宋_GB2312" w:hAnsi="仿宋_GB2312" w:eastAsia="仿宋_GB2312" w:cs="仿宋_GB2312"/>
          <w:spacing w:val="-3"/>
          <w:sz w:val="24"/>
          <w:szCs w:val="24"/>
        </w:rPr>
        <w:t>仲裁委员会依申请仲裁时其现行有效的 仲裁规则裁决；</w:t>
      </w:r>
    </w:p>
    <w:p w14:paraId="42F97441">
      <w:pPr>
        <w:pStyle w:val="7"/>
        <w:spacing w:before="115" w:line="219" w:lineRule="auto"/>
        <w:rPr>
          <w:rFonts w:hint="eastAsia" w:ascii="仿宋_GB2312" w:hAnsi="仿宋_GB2312" w:eastAsia="仿宋_GB2312" w:cs="仿宋_GB2312"/>
          <w:spacing w:val="-3"/>
          <w:sz w:val="24"/>
          <w:szCs w:val="24"/>
        </w:rPr>
      </w:pPr>
      <w:r>
        <w:rPr>
          <w:rFonts w:hint="eastAsia" w:ascii="仿宋_GB2312" w:hAnsi="仿宋_GB2312" w:eastAsia="仿宋_GB2312" w:cs="仿宋_GB2312"/>
          <w:spacing w:val="-3"/>
          <w:sz w:val="24"/>
          <w:szCs w:val="24"/>
        </w:rPr>
        <w:t>1.7.2 向（被告住所地、合同履行地、合同签订地、原告住所地、标 的物所在地等与争议有实际联系的地点中选出的人民法院名称） 人民法院起诉。</w:t>
      </w:r>
    </w:p>
    <w:p w14:paraId="770F9568">
      <w:pPr>
        <w:pStyle w:val="7"/>
        <w:spacing w:before="115" w:line="220" w:lineRule="auto"/>
        <w:ind w:left="535"/>
        <w:outlineLvl w:val="1"/>
        <w:rPr>
          <w:sz w:val="24"/>
          <w:szCs w:val="24"/>
        </w:rPr>
      </w:pPr>
      <w:r>
        <w:rPr>
          <w:b/>
          <w:bCs/>
          <w:spacing w:val="-8"/>
          <w:sz w:val="24"/>
          <w:szCs w:val="24"/>
        </w:rPr>
        <w:t>1.8</w:t>
      </w:r>
      <w:r>
        <w:rPr>
          <w:spacing w:val="15"/>
          <w:sz w:val="24"/>
          <w:szCs w:val="24"/>
        </w:rPr>
        <w:t xml:space="preserve"> </w:t>
      </w:r>
      <w:r>
        <w:rPr>
          <w:b/>
          <w:bCs/>
          <w:spacing w:val="-8"/>
          <w:sz w:val="24"/>
          <w:szCs w:val="24"/>
        </w:rPr>
        <w:t>合同生效</w:t>
      </w:r>
    </w:p>
    <w:p w14:paraId="5A5CA9E7">
      <w:pPr>
        <w:pStyle w:val="7"/>
        <w:spacing w:before="111" w:line="219" w:lineRule="auto"/>
        <w:ind w:left="518"/>
        <w:rPr>
          <w:sz w:val="24"/>
          <w:szCs w:val="24"/>
        </w:rPr>
      </w:pPr>
      <w:r>
        <w:rPr>
          <w:spacing w:val="-1"/>
          <w:sz w:val="24"/>
          <w:szCs w:val="24"/>
        </w:rPr>
        <w:t>本合同自双方当事人盖章或者签字时生效。</w:t>
      </w:r>
    </w:p>
    <w:p w14:paraId="6A8BC77A">
      <w:pPr>
        <w:spacing w:line="436" w:lineRule="auto"/>
        <w:rPr>
          <w:rFonts w:ascii="Arial"/>
          <w:sz w:val="21"/>
        </w:rPr>
      </w:pPr>
    </w:p>
    <w:p w14:paraId="50274D53">
      <w:pPr>
        <w:pStyle w:val="7"/>
        <w:spacing w:before="79" w:line="221" w:lineRule="auto"/>
        <w:ind w:left="68"/>
        <w:rPr>
          <w:sz w:val="24"/>
          <w:szCs w:val="24"/>
        </w:rPr>
      </w:pPr>
      <w:r>
        <w:rPr>
          <w:b/>
          <w:bCs/>
          <w:spacing w:val="-7"/>
          <w:sz w:val="24"/>
          <w:szCs w:val="24"/>
        </w:rPr>
        <w:t>甲方</w:t>
      </w:r>
      <w:r>
        <w:rPr>
          <w:spacing w:val="-7"/>
          <w:sz w:val="24"/>
          <w:szCs w:val="24"/>
        </w:rPr>
        <w:t xml:space="preserve">：                                     </w:t>
      </w:r>
      <w:r>
        <w:rPr>
          <w:b/>
          <w:bCs/>
          <w:spacing w:val="-7"/>
          <w:sz w:val="24"/>
          <w:szCs w:val="24"/>
        </w:rPr>
        <w:t>乙方</w:t>
      </w:r>
      <w:r>
        <w:rPr>
          <w:spacing w:val="-7"/>
          <w:sz w:val="24"/>
          <w:szCs w:val="24"/>
        </w:rPr>
        <w:t>：</w:t>
      </w:r>
    </w:p>
    <w:p w14:paraId="656D67BD">
      <w:pPr>
        <w:pStyle w:val="7"/>
        <w:spacing w:before="111" w:line="219" w:lineRule="auto"/>
        <w:ind w:left="43"/>
        <w:rPr>
          <w:sz w:val="24"/>
          <w:szCs w:val="24"/>
        </w:rPr>
      </w:pPr>
      <w:r>
        <w:rPr>
          <w:spacing w:val="2"/>
          <w:sz w:val="24"/>
          <w:szCs w:val="24"/>
        </w:rPr>
        <w:t>统一社会信用代码：                        统一社会信用代码或身份证号</w:t>
      </w:r>
    </w:p>
    <w:p w14:paraId="1DAF2A74">
      <w:pPr>
        <w:pStyle w:val="7"/>
        <w:spacing w:before="116" w:line="223" w:lineRule="auto"/>
        <w:ind w:left="36"/>
        <w:rPr>
          <w:sz w:val="24"/>
          <w:szCs w:val="24"/>
        </w:rPr>
      </w:pPr>
      <w:r>
        <w:rPr>
          <w:spacing w:val="-5"/>
          <w:sz w:val="24"/>
          <w:szCs w:val="24"/>
        </w:rPr>
        <w:t>码：</w:t>
      </w:r>
    </w:p>
    <w:p w14:paraId="7179FCA2">
      <w:pPr>
        <w:spacing w:line="428" w:lineRule="auto"/>
        <w:rPr>
          <w:rFonts w:ascii="Arial"/>
          <w:sz w:val="21"/>
        </w:rPr>
      </w:pPr>
    </w:p>
    <w:p w14:paraId="65DCC01A">
      <w:pPr>
        <w:pStyle w:val="7"/>
        <w:spacing w:before="79" w:line="220" w:lineRule="auto"/>
        <w:ind w:left="36"/>
        <w:rPr>
          <w:sz w:val="24"/>
          <w:szCs w:val="24"/>
        </w:rPr>
      </w:pPr>
      <w:r>
        <w:rPr>
          <w:spacing w:val="-3"/>
          <w:sz w:val="24"/>
          <w:szCs w:val="24"/>
        </w:rPr>
        <w:t>住所：</w:t>
      </w:r>
      <w:r>
        <w:rPr>
          <w:sz w:val="24"/>
          <w:szCs w:val="24"/>
        </w:rPr>
        <w:t xml:space="preserve">                                   </w:t>
      </w:r>
      <w:r>
        <w:rPr>
          <w:spacing w:val="-3"/>
          <w:sz w:val="24"/>
          <w:szCs w:val="24"/>
        </w:rPr>
        <w:t>住所：</w:t>
      </w:r>
    </w:p>
    <w:p w14:paraId="74DFBF40">
      <w:pPr>
        <w:pStyle w:val="7"/>
        <w:spacing w:before="115" w:line="219" w:lineRule="auto"/>
        <w:ind w:left="38"/>
        <w:rPr>
          <w:sz w:val="24"/>
          <w:szCs w:val="24"/>
        </w:rPr>
      </w:pPr>
      <w:r>
        <w:rPr>
          <w:sz w:val="24"/>
          <w:szCs w:val="24"/>
        </w:rPr>
        <w:t xml:space="preserve">法定代表人或                      </w:t>
      </w:r>
      <w:r>
        <w:rPr>
          <w:spacing w:val="-1"/>
          <w:sz w:val="24"/>
          <w:szCs w:val="24"/>
        </w:rPr>
        <w:t xml:space="preserve">       法定代表人</w:t>
      </w:r>
    </w:p>
    <w:p w14:paraId="126EE42A">
      <w:pPr>
        <w:pStyle w:val="7"/>
        <w:spacing w:before="116" w:line="219" w:lineRule="auto"/>
        <w:ind w:left="36"/>
        <w:rPr>
          <w:sz w:val="24"/>
          <w:szCs w:val="24"/>
        </w:rPr>
      </w:pPr>
      <w:r>
        <w:rPr>
          <w:spacing w:val="1"/>
          <w:sz w:val="24"/>
          <w:szCs w:val="24"/>
        </w:rPr>
        <w:t>授权代表（签字</w:t>
      </w:r>
      <w:r>
        <w:rPr>
          <w:spacing w:val="3"/>
          <w:sz w:val="24"/>
          <w:szCs w:val="24"/>
        </w:rPr>
        <w:t>）：</w:t>
      </w:r>
      <w:r>
        <w:rPr>
          <w:sz w:val="24"/>
          <w:szCs w:val="24"/>
        </w:rPr>
        <w:t xml:space="preserve">                        </w:t>
      </w:r>
      <w:r>
        <w:rPr>
          <w:spacing w:val="1"/>
          <w:sz w:val="24"/>
          <w:szCs w:val="24"/>
        </w:rPr>
        <w:t>或授权代表（签字）:</w:t>
      </w:r>
    </w:p>
    <w:p w14:paraId="68BED2B6">
      <w:pPr>
        <w:pStyle w:val="7"/>
        <w:spacing w:before="114" w:line="221" w:lineRule="auto"/>
        <w:ind w:left="38"/>
        <w:rPr>
          <w:sz w:val="24"/>
          <w:szCs w:val="24"/>
        </w:rPr>
      </w:pPr>
      <w:r>
        <w:rPr>
          <w:sz w:val="24"/>
          <w:szCs w:val="24"/>
        </w:rPr>
        <w:t xml:space="preserve">联系人：                         </w:t>
      </w:r>
      <w:r>
        <w:rPr>
          <w:spacing w:val="-1"/>
          <w:sz w:val="24"/>
          <w:szCs w:val="24"/>
        </w:rPr>
        <w:t xml:space="preserve">        联系人：</w:t>
      </w:r>
    </w:p>
    <w:p w14:paraId="2F2AFA5F">
      <w:pPr>
        <w:pStyle w:val="7"/>
        <w:spacing w:before="113" w:line="220" w:lineRule="auto"/>
        <w:ind w:left="43"/>
        <w:rPr>
          <w:sz w:val="24"/>
          <w:szCs w:val="24"/>
        </w:rPr>
      </w:pPr>
      <w:r>
        <w:rPr>
          <w:sz w:val="24"/>
          <w:szCs w:val="24"/>
        </w:rPr>
        <w:t xml:space="preserve">约定送达地址：                 </w:t>
      </w:r>
      <w:r>
        <w:rPr>
          <w:spacing w:val="-1"/>
          <w:sz w:val="24"/>
          <w:szCs w:val="24"/>
        </w:rPr>
        <w:t xml:space="preserve">          约定送达地址：</w:t>
      </w:r>
    </w:p>
    <w:p w14:paraId="04DF0C51">
      <w:pPr>
        <w:pStyle w:val="7"/>
        <w:spacing w:before="115" w:line="219" w:lineRule="auto"/>
        <w:ind w:left="55"/>
        <w:rPr>
          <w:sz w:val="24"/>
          <w:szCs w:val="24"/>
        </w:rPr>
      </w:pPr>
      <w:r>
        <w:rPr>
          <w:spacing w:val="-6"/>
          <w:sz w:val="24"/>
          <w:szCs w:val="24"/>
        </w:rPr>
        <w:t>邮政编码：</w:t>
      </w:r>
      <w:r>
        <w:rPr>
          <w:spacing w:val="1"/>
          <w:sz w:val="24"/>
          <w:szCs w:val="24"/>
        </w:rPr>
        <w:t xml:space="preserve">                               </w:t>
      </w:r>
      <w:r>
        <w:rPr>
          <w:spacing w:val="-6"/>
          <w:sz w:val="24"/>
          <w:szCs w:val="24"/>
        </w:rPr>
        <w:t>邮政编码：</w:t>
      </w:r>
    </w:p>
    <w:p w14:paraId="5E15269C">
      <w:pPr>
        <w:pStyle w:val="7"/>
        <w:spacing w:before="114" w:line="221" w:lineRule="auto"/>
        <w:ind w:left="65"/>
        <w:rPr>
          <w:sz w:val="24"/>
          <w:szCs w:val="24"/>
        </w:rPr>
      </w:pPr>
      <w:r>
        <w:rPr>
          <w:spacing w:val="-3"/>
          <w:sz w:val="24"/>
          <w:szCs w:val="24"/>
        </w:rPr>
        <w:t>电话:                                     电话:</w:t>
      </w:r>
    </w:p>
    <w:p w14:paraId="4566D75D">
      <w:pPr>
        <w:pStyle w:val="7"/>
        <w:spacing w:before="113" w:line="219" w:lineRule="auto"/>
        <w:ind w:left="35"/>
        <w:rPr>
          <w:sz w:val="24"/>
          <w:szCs w:val="24"/>
        </w:rPr>
      </w:pPr>
      <w:r>
        <w:rPr>
          <w:spacing w:val="4"/>
          <w:sz w:val="24"/>
          <w:szCs w:val="24"/>
        </w:rPr>
        <w:t xml:space="preserve">传真:                              </w:t>
      </w:r>
      <w:r>
        <w:rPr>
          <w:spacing w:val="3"/>
          <w:sz w:val="24"/>
          <w:szCs w:val="24"/>
        </w:rPr>
        <w:t xml:space="preserve">     传真:</w:t>
      </w:r>
    </w:p>
    <w:p w14:paraId="50DE5DFF">
      <w:pPr>
        <w:pStyle w:val="7"/>
        <w:spacing w:before="116" w:line="220" w:lineRule="auto"/>
        <w:ind w:left="65"/>
        <w:rPr>
          <w:sz w:val="24"/>
          <w:szCs w:val="24"/>
        </w:rPr>
      </w:pPr>
      <w:r>
        <w:rPr>
          <w:spacing w:val="-4"/>
          <w:sz w:val="24"/>
          <w:szCs w:val="24"/>
        </w:rPr>
        <w:t>电子邮箱：                                电子邮箱：</w:t>
      </w:r>
    </w:p>
    <w:p w14:paraId="67337CB9">
      <w:pPr>
        <w:pStyle w:val="7"/>
        <w:spacing w:before="113" w:line="220" w:lineRule="auto"/>
        <w:ind w:left="38"/>
        <w:rPr>
          <w:sz w:val="24"/>
          <w:szCs w:val="24"/>
        </w:rPr>
      </w:pPr>
      <w:r>
        <w:rPr>
          <w:sz w:val="24"/>
          <w:szCs w:val="24"/>
        </w:rPr>
        <w:t xml:space="preserve">开户银行：                        </w:t>
      </w:r>
      <w:r>
        <w:rPr>
          <w:spacing w:val="-1"/>
          <w:sz w:val="24"/>
          <w:szCs w:val="24"/>
        </w:rPr>
        <w:t xml:space="preserve">       开户银行：</w:t>
      </w:r>
    </w:p>
    <w:p w14:paraId="5C482EBE">
      <w:pPr>
        <w:pStyle w:val="7"/>
        <w:spacing w:before="114" w:line="220" w:lineRule="auto"/>
        <w:ind w:left="38"/>
        <w:rPr>
          <w:sz w:val="24"/>
          <w:szCs w:val="24"/>
        </w:rPr>
      </w:pPr>
      <w:r>
        <w:rPr>
          <w:sz w:val="24"/>
          <w:szCs w:val="24"/>
        </w:rPr>
        <w:t xml:space="preserve">开户名称：                        </w:t>
      </w:r>
      <w:r>
        <w:rPr>
          <w:spacing w:val="-1"/>
          <w:sz w:val="24"/>
          <w:szCs w:val="24"/>
        </w:rPr>
        <w:t xml:space="preserve">       开户名称：</w:t>
      </w:r>
    </w:p>
    <w:p w14:paraId="28545F0E">
      <w:pPr>
        <w:pStyle w:val="7"/>
        <w:spacing w:before="115" w:line="220" w:lineRule="auto"/>
        <w:ind w:left="38"/>
        <w:rPr>
          <w:sz w:val="24"/>
          <w:szCs w:val="24"/>
        </w:rPr>
      </w:pPr>
      <w:r>
        <w:rPr>
          <w:sz w:val="24"/>
          <w:szCs w:val="24"/>
        </w:rPr>
        <w:t xml:space="preserve">开户账号：                        </w:t>
      </w:r>
      <w:r>
        <w:rPr>
          <w:spacing w:val="-1"/>
          <w:sz w:val="24"/>
          <w:szCs w:val="24"/>
        </w:rPr>
        <w:t xml:space="preserve">       开户账号：</w:t>
      </w:r>
    </w:p>
    <w:p w14:paraId="2A176EED">
      <w:pPr>
        <w:spacing w:line="220" w:lineRule="auto"/>
        <w:rPr>
          <w:sz w:val="24"/>
          <w:szCs w:val="24"/>
        </w:rPr>
        <w:sectPr>
          <w:headerReference r:id="rId11" w:type="default"/>
          <w:footerReference r:id="rId12" w:type="default"/>
          <w:pgSz w:w="11907" w:h="16840"/>
          <w:pgMar w:top="400" w:right="1752" w:bottom="1036" w:left="1786" w:header="0" w:footer="873" w:gutter="0"/>
          <w:pgNumType w:fmt="decimal"/>
          <w:cols w:space="720" w:num="1"/>
        </w:sectPr>
      </w:pPr>
    </w:p>
    <w:p w14:paraId="5D8548AA">
      <w:pPr>
        <w:pStyle w:val="7"/>
        <w:spacing w:before="78" w:line="219" w:lineRule="auto"/>
        <w:ind w:left="2910"/>
        <w:outlineLvl w:val="0"/>
        <w:rPr>
          <w:sz w:val="24"/>
          <w:szCs w:val="24"/>
        </w:rPr>
      </w:pPr>
      <w:r>
        <w:rPr>
          <w:b/>
          <w:bCs/>
          <w:spacing w:val="-3"/>
          <w:sz w:val="24"/>
          <w:szCs w:val="24"/>
        </w:rPr>
        <w:t>第二部分</w:t>
      </w:r>
      <w:r>
        <w:rPr>
          <w:spacing w:val="-3"/>
          <w:sz w:val="24"/>
          <w:szCs w:val="24"/>
        </w:rPr>
        <w:t xml:space="preserve"> </w:t>
      </w:r>
      <w:r>
        <w:rPr>
          <w:b/>
          <w:bCs/>
          <w:spacing w:val="-3"/>
          <w:sz w:val="24"/>
          <w:szCs w:val="24"/>
        </w:rPr>
        <w:t>合同一般条款</w:t>
      </w:r>
    </w:p>
    <w:p w14:paraId="35B65F9B">
      <w:pPr>
        <w:pStyle w:val="7"/>
        <w:keepNext w:val="0"/>
        <w:keepLines w:val="0"/>
        <w:pageBreakBefore w:val="0"/>
        <w:widowControl w:val="0"/>
        <w:kinsoku/>
        <w:wordWrap/>
        <w:overflowPunct/>
        <w:topLinePunct w:val="0"/>
        <w:autoSpaceDE/>
        <w:autoSpaceDN/>
        <w:bidi w:val="0"/>
        <w:adjustRightInd w:val="0"/>
        <w:snapToGrid/>
        <w:spacing w:after="0" w:line="220" w:lineRule="auto"/>
        <w:ind w:left="0" w:leftChars="0" w:right="0" w:firstLine="448" w:firstLineChars="200"/>
        <w:textAlignment w:val="baseline"/>
        <w:outlineLvl w:val="1"/>
        <w:rPr>
          <w:sz w:val="24"/>
          <w:szCs w:val="24"/>
        </w:rPr>
      </w:pPr>
      <w:r>
        <w:rPr>
          <w:b/>
          <w:bCs/>
          <w:spacing w:val="-8"/>
          <w:sz w:val="24"/>
          <w:szCs w:val="24"/>
        </w:rPr>
        <w:t>2.1</w:t>
      </w:r>
      <w:r>
        <w:rPr>
          <w:spacing w:val="16"/>
          <w:sz w:val="24"/>
          <w:szCs w:val="24"/>
        </w:rPr>
        <w:t xml:space="preserve"> </w:t>
      </w:r>
      <w:r>
        <w:rPr>
          <w:b/>
          <w:bCs/>
          <w:spacing w:val="-8"/>
          <w:sz w:val="24"/>
          <w:szCs w:val="24"/>
        </w:rPr>
        <w:t>定义</w:t>
      </w:r>
    </w:p>
    <w:p w14:paraId="56897125">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本合同中的下列词语应按以下内容进行解释：</w:t>
      </w:r>
    </w:p>
    <w:p w14:paraId="183413E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 “合同 ”系指采购人和成交供应商签订的载明双方当事人所达成的 协议，并包括所有的附件、附录和构成合同的其他文件。</w:t>
      </w:r>
    </w:p>
    <w:p w14:paraId="06C0734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2.1.2 “合同价 ”系指根据合同约定，成交供应商在完全履行合同义务后， 采购人应支付给成交供应商的价格。</w:t>
      </w:r>
    </w:p>
    <w:p w14:paraId="08CB56FF">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2.1.3 “服务 ”系指成交供应商根据合同约定应向采购人履行的除货物和 工程以外的其他政府采购对象，包括采购人自身需要的服务和向社会公众提供 的公共服务。</w:t>
      </w:r>
    </w:p>
    <w:p w14:paraId="2352208C">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2.1.4 “ 甲方 ”系指与成交供应商签署合同的采购人；采购人委托采购代 理机构代表其与乙方签订合同的，采购人的授权委托书作为合同附件。</w:t>
      </w:r>
    </w:p>
    <w:p w14:paraId="0CFF0C96">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2.1.5 “ 乙方 ”系指根据合同约定提供服务的成交供应商；两个以上的自 然人、法人或者其他组织组成一个联合体，以一个供应商的身份共同参加政府 采购的，联合体各方均应为乙方或者与乙方相同地位的合同当事人，并就合同 约定的事项对甲方承担连带责任。</w:t>
      </w:r>
    </w:p>
    <w:p w14:paraId="710E98E2">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2.1.6 “现场 ”系指合同约定提供服务的地点。</w:t>
      </w:r>
    </w:p>
    <w:p w14:paraId="3DF5C48C">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4"/>
          <w:sz w:val="24"/>
          <w:szCs w:val="24"/>
        </w:rPr>
        <w:t>2.2</w:t>
      </w:r>
      <w:r>
        <w:rPr>
          <w:spacing w:val="-4"/>
          <w:sz w:val="24"/>
          <w:szCs w:val="24"/>
        </w:rPr>
        <w:t xml:space="preserve"> </w:t>
      </w:r>
      <w:r>
        <w:rPr>
          <w:b/>
          <w:bCs/>
          <w:spacing w:val="-4"/>
          <w:sz w:val="24"/>
          <w:szCs w:val="24"/>
        </w:rPr>
        <w:t>技术规范</w:t>
      </w:r>
    </w:p>
    <w:p w14:paraId="7D869B45">
      <w:pPr>
        <w:pStyle w:val="7"/>
        <w:spacing w:before="112" w:line="308" w:lineRule="auto"/>
        <w:ind w:left="41" w:right="136" w:firstLine="483"/>
        <w:jc w:val="both"/>
        <w:rPr>
          <w:sz w:val="24"/>
          <w:szCs w:val="24"/>
        </w:rPr>
      </w:pPr>
      <w:r>
        <w:rPr>
          <w:rFonts w:hint="eastAsia" w:ascii="仿宋_GB2312" w:hAnsi="仿宋_GB2312" w:eastAsia="仿宋_GB2312" w:cs="仿宋_GB2312"/>
          <w:b w:val="0"/>
          <w:bCs/>
          <w:kern w:val="0"/>
          <w:sz w:val="24"/>
          <w:szCs w:val="24"/>
          <w:highlight w:val="none"/>
          <w:u w:val="none"/>
          <w:lang w:val="en-US" w:eastAsia="zh-CN" w:bidi="ar-SA"/>
        </w:rPr>
        <w:t>服务所应遵守的技术规范应与采购文件规定的技术规范和技术规范附件 (如果有的话)及其技术规范偏差表(如果被甲方接受的话)相一致；如果采购文 件中没有技术规范的相应说明，那么应以国家有关部门最新颁布的相应标准和 规范为准。</w:t>
      </w:r>
    </w:p>
    <w:p w14:paraId="349E8333">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6"/>
          <w:sz w:val="24"/>
          <w:szCs w:val="24"/>
        </w:rPr>
        <w:t>2.3</w:t>
      </w:r>
      <w:r>
        <w:rPr>
          <w:spacing w:val="15"/>
          <w:sz w:val="24"/>
          <w:szCs w:val="24"/>
        </w:rPr>
        <w:t xml:space="preserve"> </w:t>
      </w:r>
      <w:r>
        <w:rPr>
          <w:b/>
          <w:bCs/>
          <w:spacing w:val="-6"/>
          <w:sz w:val="24"/>
          <w:szCs w:val="24"/>
        </w:rPr>
        <w:t>知识产权</w:t>
      </w:r>
    </w:p>
    <w:p w14:paraId="0E5A8817">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2.3.1 乙方应保证其提供的服务不受任何第三方提出的侵犯其著作权、商 标权、专利权等知识产权方面的起诉；如果任何第三方提出侵权指控，那么乙 方须与该第三方交涉并承担由此发生的一切责任、费用和赔偿；</w:t>
      </w:r>
    </w:p>
    <w:p w14:paraId="07CC3666">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2.3.2 合同涉及技术成果的归属和收益的分成办法的，详见合同专用条款。</w:t>
      </w:r>
    </w:p>
    <w:p w14:paraId="2DE613DA">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2.4</w:t>
      </w:r>
      <w:r>
        <w:rPr>
          <w:spacing w:val="-3"/>
          <w:sz w:val="24"/>
          <w:szCs w:val="24"/>
        </w:rPr>
        <w:t xml:space="preserve"> </w:t>
      </w:r>
      <w:r>
        <w:rPr>
          <w:b/>
          <w:bCs/>
          <w:spacing w:val="-3"/>
          <w:sz w:val="24"/>
          <w:szCs w:val="24"/>
        </w:rPr>
        <w:t>履约检查和问题反馈</w:t>
      </w:r>
    </w:p>
    <w:p w14:paraId="5D4F2E45">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2.4.1 甲方有权在其认为必要时，对乙方是否能够按照合同约定提供服务 进行履约检查，以确保乙方所提供的服务能够依约满足甲方之项目需求，但不 得因履约检查妨碍乙方的正常工作，乙方应予积极配合；</w:t>
      </w:r>
    </w:p>
    <w:p w14:paraId="5BAE7A86">
      <w:pPr>
        <w:pStyle w:val="7"/>
        <w:spacing w:before="112" w:line="308" w:lineRule="auto"/>
        <w:ind w:left="41" w:right="136" w:firstLine="483"/>
        <w:jc w:val="both"/>
        <w:rPr>
          <w:sz w:val="24"/>
          <w:szCs w:val="24"/>
        </w:rPr>
      </w:pPr>
      <w:r>
        <w:rPr>
          <w:rFonts w:hint="eastAsia" w:ascii="仿宋_GB2312" w:hAnsi="仿宋_GB2312" w:eastAsia="仿宋_GB2312" w:cs="仿宋_GB2312"/>
          <w:b w:val="0"/>
          <w:bCs/>
          <w:kern w:val="0"/>
          <w:sz w:val="24"/>
          <w:szCs w:val="24"/>
          <w:highlight w:val="none"/>
          <w:u w:val="none"/>
          <w:lang w:val="en-US" w:eastAsia="zh-CN" w:bidi="ar-SA"/>
        </w:rPr>
        <w:t>2.4.2 合同履行期间，甲方有权将履行过程中出现的问题反馈给乙方，双 方当事人应以书面形式约定需要完善和改进的内容。</w:t>
      </w:r>
    </w:p>
    <w:p w14:paraId="2C9C8DE0">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2.5</w:t>
      </w:r>
      <w:r>
        <w:rPr>
          <w:spacing w:val="-3"/>
          <w:sz w:val="24"/>
          <w:szCs w:val="24"/>
        </w:rPr>
        <w:t xml:space="preserve"> </w:t>
      </w:r>
      <w:r>
        <w:rPr>
          <w:b/>
          <w:bCs/>
          <w:spacing w:val="-3"/>
          <w:sz w:val="24"/>
          <w:szCs w:val="24"/>
        </w:rPr>
        <w:t>结算方式和付款条件</w:t>
      </w:r>
    </w:p>
    <w:p w14:paraId="2910CCD4">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详见合同专用条款。</w:t>
      </w:r>
    </w:p>
    <w:p w14:paraId="30BC2763">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2.6</w:t>
      </w:r>
      <w:r>
        <w:rPr>
          <w:spacing w:val="-3"/>
          <w:sz w:val="24"/>
          <w:szCs w:val="24"/>
        </w:rPr>
        <w:t xml:space="preserve"> </w:t>
      </w:r>
      <w:r>
        <w:rPr>
          <w:b/>
          <w:bCs/>
          <w:spacing w:val="-3"/>
          <w:sz w:val="24"/>
          <w:szCs w:val="24"/>
        </w:rPr>
        <w:t>技术资料和保密义务</w:t>
      </w:r>
    </w:p>
    <w:p w14:paraId="671E6081">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2.6.1 乙方有权依据合同约定和项目需要，向甲方了解有关情况，调阅有 关资料等，甲方应予积极配合；</w:t>
      </w:r>
    </w:p>
    <w:p w14:paraId="35584A9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2.6.2 乙方有义务妥善保管和保护由甲方提供的前款信息和资料等；</w:t>
      </w:r>
    </w:p>
    <w:p w14:paraId="6DC81A60">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2.6.3 除非依照法律规定或者对方当事人的书面同意，任何一方均应保证 不向任何第三方提供或披露有关合同的或者履行合同过程中知悉的对方当事人 任何未公开的信息和资料，包括但不限于技术情报、技术资料、商业秘密和商 业信息等，并采取一切合理和必要措施和方式防止任何第三方接触到对方当事 人的上述保密信息和资料。</w:t>
      </w:r>
    </w:p>
    <w:p w14:paraId="1BF577ED">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4"/>
          <w:sz w:val="24"/>
          <w:szCs w:val="24"/>
        </w:rPr>
        <w:t>2.7</w:t>
      </w:r>
      <w:r>
        <w:rPr>
          <w:spacing w:val="-4"/>
          <w:sz w:val="24"/>
          <w:szCs w:val="24"/>
        </w:rPr>
        <w:t xml:space="preserve"> </w:t>
      </w:r>
      <w:r>
        <w:rPr>
          <w:b/>
          <w:bCs/>
          <w:spacing w:val="-4"/>
          <w:sz w:val="24"/>
          <w:szCs w:val="24"/>
        </w:rPr>
        <w:t>质量保证</w:t>
      </w:r>
    </w:p>
    <w:p w14:paraId="14EA50B6">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2.7.1 乙方应建立和完善履行合同的内部质量保证体系，并提供相关内部 规章制度给甲方，以便甲方进行监督检查；</w:t>
      </w:r>
    </w:p>
    <w:p w14:paraId="1924195B">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2.7.2 乙方应保证履行合同的人员数量和素质、软件和硬件设备的配置、 场地、环境和设施等满足全面履行合同的要求，并应接受甲方的监督检查。</w:t>
      </w:r>
    </w:p>
    <w:p w14:paraId="6762E991">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4"/>
          <w:sz w:val="24"/>
          <w:szCs w:val="24"/>
        </w:rPr>
        <w:t>2.8</w:t>
      </w:r>
      <w:r>
        <w:rPr>
          <w:spacing w:val="-4"/>
          <w:sz w:val="24"/>
          <w:szCs w:val="24"/>
        </w:rPr>
        <w:t xml:space="preserve"> </w:t>
      </w:r>
      <w:r>
        <w:rPr>
          <w:b/>
          <w:bCs/>
          <w:spacing w:val="-4"/>
          <w:sz w:val="24"/>
          <w:szCs w:val="24"/>
        </w:rPr>
        <w:t>延迟履行</w:t>
      </w:r>
    </w:p>
    <w:p w14:paraId="77D1B5A4">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在合同履行过程中，如果乙方遇到不能按时提供服务的情况，应及时以书 面形式将不能按时提供服务的理由、预期延误时间通知甲方；甲方收到乙方通 知后，认为其理由正当的，可以书面形式酌情同意乙方可以延长履行的具体时 间。</w:t>
      </w:r>
    </w:p>
    <w:p w14:paraId="321EADAE">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4"/>
          <w:sz w:val="24"/>
          <w:szCs w:val="24"/>
        </w:rPr>
        <w:t>2.9</w:t>
      </w:r>
      <w:r>
        <w:rPr>
          <w:spacing w:val="-4"/>
          <w:sz w:val="24"/>
          <w:szCs w:val="24"/>
        </w:rPr>
        <w:t xml:space="preserve"> </w:t>
      </w:r>
      <w:r>
        <w:rPr>
          <w:b/>
          <w:bCs/>
          <w:spacing w:val="-4"/>
          <w:sz w:val="24"/>
          <w:szCs w:val="24"/>
        </w:rPr>
        <w:t>合同变更</w:t>
      </w:r>
    </w:p>
    <w:p w14:paraId="0E4B9810">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2.9.1 双方当事人协商一致，可以签订书面补充合同的形式变更合同，但 不得违背采购文件确定的事项，且如果系追加与合同标的相同的服务的，那么 所有补充合同的采购金额不得超过原合同价的 10%；</w:t>
      </w:r>
    </w:p>
    <w:p w14:paraId="0863574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2.9.2 合同继续履行将损害国家利益和社会公共利益的，双方当事人应当 以书面形式变更合同。有过错的一方应当承担赔偿责任，双方当事人都有过错 的，各自承担相应的责任。</w:t>
      </w:r>
    </w:p>
    <w:p w14:paraId="2AE57C3E">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3"/>
          <w:sz w:val="24"/>
          <w:szCs w:val="24"/>
        </w:rPr>
        <w:t>2.10</w:t>
      </w:r>
      <w:r>
        <w:rPr>
          <w:spacing w:val="-3"/>
          <w:sz w:val="24"/>
          <w:szCs w:val="24"/>
        </w:rPr>
        <w:t xml:space="preserve"> </w:t>
      </w:r>
      <w:r>
        <w:rPr>
          <w:b/>
          <w:bCs/>
          <w:spacing w:val="-3"/>
          <w:sz w:val="24"/>
          <w:szCs w:val="24"/>
        </w:rPr>
        <w:t>合同转让和分包</w:t>
      </w:r>
    </w:p>
    <w:p w14:paraId="3224F75F">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合同的权利义务依法不得转让，但经甲方同意，乙方可以依法采取分包方 式履行合同，即：依法可以将合同项下的部分非主体、非关键性工作分包给他 人完成，接受分包的人应当具备相应的资格条件，并不得再次分包，且乙方应 就分包项目向甲方负责，并与分包供应商就分包项目向甲方承担连带责任。</w:t>
      </w:r>
    </w:p>
    <w:p w14:paraId="61F585CD">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4"/>
          <w:sz w:val="24"/>
          <w:szCs w:val="24"/>
        </w:rPr>
        <w:t>2.11</w:t>
      </w:r>
      <w:r>
        <w:rPr>
          <w:spacing w:val="-4"/>
          <w:sz w:val="24"/>
          <w:szCs w:val="24"/>
        </w:rPr>
        <w:t xml:space="preserve"> </w:t>
      </w:r>
      <w:r>
        <w:rPr>
          <w:b/>
          <w:bCs/>
          <w:spacing w:val="-4"/>
          <w:sz w:val="24"/>
          <w:szCs w:val="24"/>
        </w:rPr>
        <w:t>不可抗力</w:t>
      </w:r>
    </w:p>
    <w:p w14:paraId="18BCEA8B">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2.11.1 如果任何一方遭遇法律规定的不可抗力，致使合同履行受阻时，履 行合同的期限应予延长，延长的期限应相当于不可抗力所影响的时间；</w:t>
      </w:r>
    </w:p>
    <w:p w14:paraId="67E300BE">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2.11.2 因不可抗力致使不能实现合同目的的，当事人可以解除合同；</w:t>
      </w:r>
    </w:p>
    <w:p w14:paraId="6852A1C2">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2.11.3 因不可抗力致使合同有变更必要的，双方当事人应在合同专用条 款约定时间内以书面形式变更合同；</w:t>
      </w:r>
    </w:p>
    <w:p w14:paraId="162A1862">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2.11.4 受不可抗力影响的一方在不可抗力发生后，应在合同专用条款约定 时间内以书面形式通知对方当事人，并在合同专用条款约定时间内，将有关部 门出具的证明文件送达对方当事人。</w:t>
      </w:r>
    </w:p>
    <w:p w14:paraId="3B8588C4">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2.12 税费</w:t>
      </w:r>
    </w:p>
    <w:p w14:paraId="3D9AD662">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与合同有关的一切税费，均按照中华人民共和国法律的相关规定缴纳。</w:t>
      </w:r>
    </w:p>
    <w:p w14:paraId="15BE3B19">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8"/>
          <w:sz w:val="24"/>
          <w:szCs w:val="24"/>
        </w:rPr>
        <w:t>2.13</w:t>
      </w:r>
      <w:r>
        <w:rPr>
          <w:spacing w:val="35"/>
          <w:sz w:val="24"/>
          <w:szCs w:val="24"/>
        </w:rPr>
        <w:t xml:space="preserve"> </w:t>
      </w:r>
      <w:r>
        <w:rPr>
          <w:b/>
          <w:bCs/>
          <w:spacing w:val="-8"/>
          <w:sz w:val="24"/>
          <w:szCs w:val="24"/>
        </w:rPr>
        <w:t>乙方破产</w:t>
      </w:r>
    </w:p>
    <w:p w14:paraId="7F429C05">
      <w:pPr>
        <w:pStyle w:val="7"/>
        <w:spacing w:before="112" w:line="308" w:lineRule="auto"/>
        <w:ind w:left="41" w:right="136" w:firstLine="483"/>
        <w:jc w:val="both"/>
        <w:rPr>
          <w:sz w:val="24"/>
          <w:szCs w:val="24"/>
        </w:rPr>
      </w:pPr>
      <w:r>
        <w:rPr>
          <w:rFonts w:hint="eastAsia" w:ascii="仿宋_GB2312" w:hAnsi="仿宋_GB2312" w:eastAsia="仿宋_GB2312" w:cs="仿宋_GB2312"/>
          <w:b w:val="0"/>
          <w:bCs/>
          <w:kern w:val="0"/>
          <w:sz w:val="24"/>
          <w:szCs w:val="24"/>
          <w:highlight w:val="none"/>
          <w:u w:val="none"/>
          <w:lang w:val="en-US" w:eastAsia="zh-CN" w:bidi="ar-SA"/>
        </w:rPr>
        <w:t>如果乙方破产导致合同无法履行时，甲方可以书面形式通知乙方终止合同 且不给予乙方任何补偿和赔偿，但合同的终止不损害或不影响甲方已经采取或 将要采取的任何要求乙方支付违约金、赔偿损失等的行动或补救措施的权利。</w:t>
      </w:r>
    </w:p>
    <w:p w14:paraId="43B45D85">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3"/>
          <w:sz w:val="24"/>
          <w:szCs w:val="24"/>
        </w:rPr>
        <w:t>2.14</w:t>
      </w:r>
      <w:r>
        <w:rPr>
          <w:spacing w:val="-3"/>
          <w:sz w:val="24"/>
          <w:szCs w:val="24"/>
        </w:rPr>
        <w:t xml:space="preserve"> </w:t>
      </w:r>
      <w:r>
        <w:rPr>
          <w:b/>
          <w:bCs/>
          <w:spacing w:val="-3"/>
          <w:sz w:val="24"/>
          <w:szCs w:val="24"/>
        </w:rPr>
        <w:t>合同中止、终止</w:t>
      </w:r>
    </w:p>
    <w:p w14:paraId="741DB7F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2.14.1 双方当事人不得擅自中止或者终止合同；</w:t>
      </w:r>
    </w:p>
    <w:p w14:paraId="3E52AFE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2.14.2 合同继续履行将损害国家利益和社会公共利益的，双方当事人应当 中止或者终止合同。有过错的一方应当承担赔偿责任，双方当事人都有过错的， 各自承担相应的责任。</w:t>
      </w:r>
    </w:p>
    <w:p w14:paraId="61A5E7E2">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2.15</w:t>
      </w:r>
      <w:r>
        <w:rPr>
          <w:spacing w:val="-3"/>
          <w:sz w:val="24"/>
          <w:szCs w:val="24"/>
        </w:rPr>
        <w:t xml:space="preserve"> </w:t>
      </w:r>
      <w:r>
        <w:rPr>
          <w:b/>
          <w:bCs/>
          <w:spacing w:val="-3"/>
          <w:sz w:val="24"/>
          <w:szCs w:val="24"/>
        </w:rPr>
        <w:t>检验和验收</w:t>
      </w:r>
    </w:p>
    <w:p w14:paraId="3880AB47">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2.15.1 乙方按照合同专用条款的约定，定期提交服务报告， 甲方按照合 同专用条款的约定进行定期验收；</w:t>
      </w:r>
    </w:p>
    <w:p w14:paraId="5026BBE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2.15.2 合同期满或者履行完毕后， 甲方有权组织（包括依法邀请国家认 可的质量检测机构参加）对乙方履约的验收，即：按照合同约定的标准，组织对乙方履约情况的验收，并出具验收书；向社会公众提供的公共服务项目，验 收时应当邀请服务对象参与并出具意见，验收结果应当向社会公告；</w:t>
      </w:r>
    </w:p>
    <w:p w14:paraId="070DA810">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2.15.3 检验和验收标准、程序等具体内容以及前述验收书的效力详见合 同专用条款。</w:t>
      </w:r>
    </w:p>
    <w:p w14:paraId="7FCE7B08">
      <w:pPr>
        <w:pStyle w:val="7"/>
        <w:keepNext w:val="0"/>
        <w:keepLines w:val="0"/>
        <w:pageBreakBefore w:val="0"/>
        <w:widowControl w:val="0"/>
        <w:kinsoku/>
        <w:wordWrap/>
        <w:overflowPunct/>
        <w:topLinePunct w:val="0"/>
        <w:autoSpaceDE/>
        <w:autoSpaceDN/>
        <w:bidi w:val="0"/>
        <w:adjustRightInd w:val="0"/>
        <w:snapToGrid/>
        <w:spacing w:after="0" w:line="221" w:lineRule="auto"/>
        <w:ind w:left="0" w:right="0"/>
        <w:textAlignment w:val="baseline"/>
        <w:outlineLvl w:val="1"/>
        <w:rPr>
          <w:sz w:val="24"/>
          <w:szCs w:val="24"/>
        </w:rPr>
      </w:pPr>
      <w:r>
        <w:rPr>
          <w:b/>
          <w:bCs/>
          <w:spacing w:val="-3"/>
          <w:sz w:val="24"/>
          <w:szCs w:val="24"/>
        </w:rPr>
        <w:t>2.16</w:t>
      </w:r>
      <w:r>
        <w:rPr>
          <w:spacing w:val="-3"/>
          <w:sz w:val="24"/>
          <w:szCs w:val="24"/>
        </w:rPr>
        <w:t xml:space="preserve"> </w:t>
      </w:r>
      <w:r>
        <w:rPr>
          <w:b/>
          <w:bCs/>
          <w:spacing w:val="-3"/>
          <w:sz w:val="24"/>
          <w:szCs w:val="24"/>
        </w:rPr>
        <w:t>通知和送达</w:t>
      </w:r>
    </w:p>
    <w:p w14:paraId="4B1B9811">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2.16.1 任 何 一 方 因 履 行 合 同 而 以 合 同 第 一 部 分 尾 部 所 列 明 的发出的所有通知、文件、材料，均视为已向对方当事人送达；任何一方变更上述送达方式或者地址的，应于</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个工作日内书面通知对方当事人，在对方当事人收到有关变更通知之前，变更前的约定送达方式或者地址仍视为有效。</w:t>
      </w:r>
    </w:p>
    <w:p w14:paraId="25578A87">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2.16.2 以当面交付方式送达的，交付之时视为送达；以电子邮件方式送达的，发出电子邮件之时视为送达；以传真方式送达的，发出传真之时视为送达； 以邮寄方式送达的，邮件挂号寄出或者交邮之日之次日视为送达。</w:t>
      </w:r>
    </w:p>
    <w:p w14:paraId="630F1F22">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2.17</w:t>
      </w:r>
      <w:r>
        <w:rPr>
          <w:spacing w:val="-3"/>
          <w:sz w:val="24"/>
          <w:szCs w:val="24"/>
        </w:rPr>
        <w:t xml:space="preserve"> </w:t>
      </w:r>
      <w:r>
        <w:rPr>
          <w:b/>
          <w:bCs/>
          <w:spacing w:val="-3"/>
          <w:sz w:val="24"/>
          <w:szCs w:val="24"/>
        </w:rPr>
        <w:t>合同使用的文字和适用的法律</w:t>
      </w:r>
    </w:p>
    <w:p w14:paraId="7D89863E">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2.17.1 合同使用汉语书就、变更和解释；</w:t>
      </w:r>
    </w:p>
    <w:p w14:paraId="6EE060C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2.17.2 合同适用中华人民共和国法律。</w:t>
      </w:r>
    </w:p>
    <w:p w14:paraId="7243D6DA">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3"/>
          <w:sz w:val="24"/>
          <w:szCs w:val="24"/>
        </w:rPr>
        <w:t>2.18</w:t>
      </w:r>
      <w:r>
        <w:rPr>
          <w:spacing w:val="-3"/>
          <w:sz w:val="24"/>
          <w:szCs w:val="24"/>
        </w:rPr>
        <w:t xml:space="preserve"> </w:t>
      </w:r>
      <w:r>
        <w:rPr>
          <w:b/>
          <w:bCs/>
          <w:spacing w:val="-3"/>
          <w:sz w:val="24"/>
          <w:szCs w:val="24"/>
        </w:rPr>
        <w:t>履约保证金</w:t>
      </w:r>
    </w:p>
    <w:p w14:paraId="543F9F91">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2.18.1 采购文件要求乙方提交履约保证金的，乙方应按合同专用条款约 定的方式，以支票、汇票、本票或者金融机构、担保机构出具的保函等非现金 形式，提交不超过合同价 10%的履约保证金；</w:t>
      </w:r>
    </w:p>
    <w:p w14:paraId="71E23B1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2.18.2 履约保证金在合同专用条款约定期间内不予退还或者应完全有效， 前述约定期间届满之日起     个工作日内，甲方应将履约保证金退还乙方；</w:t>
      </w:r>
    </w:p>
    <w:p w14:paraId="61C3D92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2.18.3 如果乙方不履行合同，履约保证金不予退还；如果乙方未能按合 同约定全面履行义务，那么甲方有权从履约保证金中取得补偿或赔偿，同时不 影响甲方要求乙方承担合同约定的超过履约保证金的违约责任的权利。</w:t>
      </w:r>
    </w:p>
    <w:p w14:paraId="4771A466">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4"/>
          <w:sz w:val="24"/>
          <w:szCs w:val="24"/>
        </w:rPr>
        <w:t>2.19</w:t>
      </w:r>
      <w:r>
        <w:rPr>
          <w:spacing w:val="-4"/>
          <w:sz w:val="24"/>
          <w:szCs w:val="24"/>
        </w:rPr>
        <w:t xml:space="preserve"> </w:t>
      </w:r>
      <w:r>
        <w:rPr>
          <w:b/>
          <w:bCs/>
          <w:spacing w:val="-4"/>
          <w:sz w:val="24"/>
          <w:szCs w:val="24"/>
        </w:rPr>
        <w:t>合同份数</w:t>
      </w:r>
    </w:p>
    <w:p w14:paraId="35CB2ED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合同份数按合同专用条款规定，每份均具有同等法律效力。</w:t>
      </w:r>
    </w:p>
    <w:p w14:paraId="5A864826">
      <w:pPr>
        <w:pStyle w:val="7"/>
        <w:keepNext w:val="0"/>
        <w:keepLines w:val="0"/>
        <w:pageBreakBefore w:val="0"/>
        <w:widowControl w:val="0"/>
        <w:kinsoku/>
        <w:wordWrap/>
        <w:overflowPunct/>
        <w:topLinePunct w:val="0"/>
        <w:autoSpaceDE/>
        <w:autoSpaceDN/>
        <w:bidi w:val="0"/>
        <w:adjustRightInd w:val="0"/>
        <w:snapToGrid/>
        <w:spacing w:after="0" w:line="228" w:lineRule="auto"/>
        <w:ind w:left="0" w:right="0"/>
        <w:textAlignment w:val="baseline"/>
        <w:outlineLvl w:val="0"/>
        <w:rPr>
          <w:sz w:val="20"/>
          <w:szCs w:val="20"/>
        </w:rPr>
      </w:pPr>
      <w:r>
        <w:rPr>
          <w:b/>
          <w:bCs/>
          <w:spacing w:val="7"/>
          <w:sz w:val="20"/>
          <w:szCs w:val="20"/>
        </w:rPr>
        <w:t>第三部分</w:t>
      </w:r>
      <w:r>
        <w:rPr>
          <w:spacing w:val="7"/>
          <w:sz w:val="20"/>
          <w:szCs w:val="20"/>
        </w:rPr>
        <w:t xml:space="preserve">  </w:t>
      </w:r>
      <w:r>
        <w:rPr>
          <w:b/>
          <w:bCs/>
          <w:spacing w:val="7"/>
          <w:sz w:val="20"/>
          <w:szCs w:val="20"/>
        </w:rPr>
        <w:t>合同专用条款</w:t>
      </w:r>
    </w:p>
    <w:p w14:paraId="2F6CC515">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本部分是对前两部分的补充和修改，如果前两部分和本部分的约定不一致， 应以本部分的约定为准。本部分的条款号应与前两部分的条款号保持对应；与 前两部分无对应关系的内容可另行编制条款号。</w:t>
      </w:r>
    </w:p>
    <w:tbl>
      <w:tblPr>
        <w:tblStyle w:val="20"/>
        <w:tblW w:w="96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4"/>
        <w:gridCol w:w="7923"/>
      </w:tblGrid>
      <w:tr w14:paraId="0F64B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754" w:type="dxa"/>
            <w:noWrap w:val="0"/>
            <w:vAlign w:val="top"/>
          </w:tcPr>
          <w:p w14:paraId="5DE42059">
            <w:pPr>
              <w:spacing w:before="120" w:line="216" w:lineRule="auto"/>
              <w:ind w:left="0" w:leftChars="0" w:firstLine="0" w:firstLineChars="0"/>
              <w:jc w:val="center"/>
              <w:rPr>
                <w:rFonts w:ascii="宋体" w:hAnsi="宋体" w:eastAsia="宋体" w:cs="宋体"/>
                <w:sz w:val="24"/>
                <w:szCs w:val="24"/>
              </w:rPr>
            </w:pPr>
            <w:r>
              <w:rPr>
                <w:rFonts w:ascii="宋体" w:hAnsi="宋体" w:eastAsia="宋体" w:cs="宋体"/>
                <w:b/>
                <w:bCs/>
                <w:spacing w:val="-6"/>
                <w:sz w:val="24"/>
                <w:szCs w:val="24"/>
              </w:rPr>
              <w:t>条款号</w:t>
            </w:r>
          </w:p>
        </w:tc>
        <w:tc>
          <w:tcPr>
            <w:tcW w:w="7923" w:type="dxa"/>
            <w:noWrap w:val="0"/>
            <w:vAlign w:val="top"/>
          </w:tcPr>
          <w:p w14:paraId="56457AD6">
            <w:pPr>
              <w:spacing w:before="120" w:line="216" w:lineRule="auto"/>
              <w:ind w:left="3339"/>
              <w:rPr>
                <w:rFonts w:ascii="宋体" w:hAnsi="宋体" w:eastAsia="宋体" w:cs="宋体"/>
                <w:sz w:val="24"/>
                <w:szCs w:val="24"/>
              </w:rPr>
            </w:pPr>
            <w:r>
              <w:rPr>
                <w:rFonts w:ascii="宋体" w:hAnsi="宋体" w:eastAsia="宋体" w:cs="宋体"/>
                <w:b/>
                <w:bCs/>
                <w:spacing w:val="-6"/>
                <w:sz w:val="24"/>
                <w:szCs w:val="24"/>
              </w:rPr>
              <w:t>约定内容</w:t>
            </w:r>
          </w:p>
        </w:tc>
      </w:tr>
      <w:tr w14:paraId="16F31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54" w:type="dxa"/>
            <w:noWrap w:val="0"/>
            <w:vAlign w:val="top"/>
          </w:tcPr>
          <w:p w14:paraId="7E2C6212">
            <w:pPr>
              <w:pStyle w:val="21"/>
            </w:pPr>
          </w:p>
        </w:tc>
        <w:tc>
          <w:tcPr>
            <w:tcW w:w="7923" w:type="dxa"/>
            <w:noWrap w:val="0"/>
            <w:vAlign w:val="top"/>
          </w:tcPr>
          <w:p w14:paraId="075471DA">
            <w:pPr>
              <w:pStyle w:val="21"/>
            </w:pPr>
          </w:p>
        </w:tc>
      </w:tr>
      <w:tr w14:paraId="17B4B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54" w:type="dxa"/>
            <w:noWrap w:val="0"/>
            <w:vAlign w:val="top"/>
          </w:tcPr>
          <w:p w14:paraId="01B10C6C">
            <w:pPr>
              <w:pStyle w:val="21"/>
            </w:pPr>
          </w:p>
        </w:tc>
        <w:tc>
          <w:tcPr>
            <w:tcW w:w="7923" w:type="dxa"/>
            <w:noWrap w:val="0"/>
            <w:vAlign w:val="top"/>
          </w:tcPr>
          <w:p w14:paraId="31B7AE4B">
            <w:pPr>
              <w:pStyle w:val="21"/>
            </w:pPr>
          </w:p>
        </w:tc>
      </w:tr>
      <w:tr w14:paraId="772B0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754" w:type="dxa"/>
            <w:noWrap w:val="0"/>
            <w:vAlign w:val="top"/>
          </w:tcPr>
          <w:p w14:paraId="1EFB3BB8">
            <w:pPr>
              <w:pStyle w:val="21"/>
            </w:pPr>
          </w:p>
        </w:tc>
        <w:tc>
          <w:tcPr>
            <w:tcW w:w="7923" w:type="dxa"/>
            <w:noWrap w:val="0"/>
            <w:vAlign w:val="top"/>
          </w:tcPr>
          <w:p w14:paraId="1F4B7FF3">
            <w:pPr>
              <w:pStyle w:val="21"/>
            </w:pPr>
          </w:p>
        </w:tc>
      </w:tr>
      <w:tr w14:paraId="580C5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754" w:type="dxa"/>
            <w:noWrap w:val="0"/>
            <w:vAlign w:val="top"/>
          </w:tcPr>
          <w:p w14:paraId="02E8ED99">
            <w:pPr>
              <w:pStyle w:val="21"/>
            </w:pPr>
          </w:p>
        </w:tc>
        <w:tc>
          <w:tcPr>
            <w:tcW w:w="7923" w:type="dxa"/>
            <w:noWrap w:val="0"/>
            <w:vAlign w:val="top"/>
          </w:tcPr>
          <w:p w14:paraId="30ADF620">
            <w:pPr>
              <w:pStyle w:val="21"/>
            </w:pPr>
          </w:p>
        </w:tc>
      </w:tr>
      <w:tr w14:paraId="67E31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754" w:type="dxa"/>
            <w:noWrap w:val="0"/>
            <w:vAlign w:val="top"/>
          </w:tcPr>
          <w:p w14:paraId="074E1027">
            <w:pPr>
              <w:pStyle w:val="21"/>
            </w:pPr>
          </w:p>
        </w:tc>
        <w:tc>
          <w:tcPr>
            <w:tcW w:w="7923" w:type="dxa"/>
            <w:noWrap w:val="0"/>
            <w:vAlign w:val="top"/>
          </w:tcPr>
          <w:p w14:paraId="4EE77A90">
            <w:pPr>
              <w:pStyle w:val="21"/>
            </w:pPr>
          </w:p>
        </w:tc>
      </w:tr>
      <w:tr w14:paraId="1422D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754" w:type="dxa"/>
            <w:noWrap w:val="0"/>
            <w:vAlign w:val="top"/>
          </w:tcPr>
          <w:p w14:paraId="2EAFF896">
            <w:pPr>
              <w:pStyle w:val="21"/>
            </w:pPr>
          </w:p>
        </w:tc>
        <w:tc>
          <w:tcPr>
            <w:tcW w:w="7923" w:type="dxa"/>
            <w:noWrap w:val="0"/>
            <w:vAlign w:val="top"/>
          </w:tcPr>
          <w:p w14:paraId="56ED3D2C">
            <w:pPr>
              <w:pStyle w:val="21"/>
            </w:pPr>
          </w:p>
        </w:tc>
      </w:tr>
      <w:tr w14:paraId="6E625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754" w:type="dxa"/>
            <w:noWrap w:val="0"/>
            <w:vAlign w:val="top"/>
          </w:tcPr>
          <w:p w14:paraId="17033A0E">
            <w:pPr>
              <w:pStyle w:val="21"/>
            </w:pPr>
          </w:p>
        </w:tc>
        <w:tc>
          <w:tcPr>
            <w:tcW w:w="7923" w:type="dxa"/>
            <w:noWrap w:val="0"/>
            <w:vAlign w:val="top"/>
          </w:tcPr>
          <w:p w14:paraId="4D2DB08E">
            <w:pPr>
              <w:pStyle w:val="21"/>
            </w:pPr>
          </w:p>
        </w:tc>
      </w:tr>
    </w:tbl>
    <w:p w14:paraId="463BC635">
      <w:pPr>
        <w:spacing w:line="434" w:lineRule="auto"/>
        <w:rPr>
          <w:rFonts w:ascii="Arial"/>
          <w:sz w:val="21"/>
        </w:rPr>
      </w:pPr>
    </w:p>
    <w:p w14:paraId="0F7A8978">
      <w:pPr>
        <w:pStyle w:val="7"/>
        <w:spacing w:before="79" w:line="219" w:lineRule="auto"/>
        <w:ind w:left="72"/>
        <w:rPr>
          <w:sz w:val="24"/>
          <w:szCs w:val="24"/>
        </w:rPr>
      </w:pPr>
      <w:r>
        <w:rPr>
          <w:b/>
          <w:bCs/>
          <w:spacing w:val="-3"/>
          <w:sz w:val="24"/>
          <w:szCs w:val="24"/>
        </w:rPr>
        <w:t>注：</w:t>
      </w:r>
      <w:r>
        <w:rPr>
          <w:spacing w:val="-3"/>
          <w:sz w:val="24"/>
          <w:szCs w:val="24"/>
        </w:rPr>
        <w:t xml:space="preserve"> </w:t>
      </w:r>
      <w:r>
        <w:rPr>
          <w:b/>
          <w:bCs/>
          <w:spacing w:val="-3"/>
          <w:sz w:val="24"/>
          <w:szCs w:val="24"/>
        </w:rPr>
        <w:t>合同仅供参考</w:t>
      </w:r>
    </w:p>
    <w:p w14:paraId="629B6A32">
      <w:pPr>
        <w:ind w:left="0" w:leftChars="0" w:firstLine="0" w:firstLineChars="0"/>
        <w:rPr>
          <w:rFonts w:hint="eastAsia"/>
          <w:highlight w:val="none"/>
          <w:lang w:eastAsia="zh-CN"/>
        </w:rPr>
      </w:pPr>
      <w:r>
        <w:rPr>
          <w:rFonts w:hint="eastAsia"/>
          <w:highlight w:val="none"/>
          <w:lang w:eastAsia="zh-CN"/>
        </w:rPr>
        <w:t xml:space="preserve"> </w:t>
      </w:r>
    </w:p>
    <w:p w14:paraId="73DB503E">
      <w:pPr>
        <w:pStyle w:val="6"/>
        <w:rPr>
          <w:rFonts w:hint="eastAsia"/>
          <w:highlight w:val="none"/>
          <w:lang w:eastAsia="zh-CN"/>
        </w:rPr>
      </w:pPr>
    </w:p>
    <w:p w14:paraId="5655E618">
      <w:pPr>
        <w:rPr>
          <w:rFonts w:hint="eastAsia"/>
          <w:highlight w:val="none"/>
          <w:lang w:eastAsia="zh-CN"/>
        </w:rPr>
      </w:pPr>
    </w:p>
    <w:p w14:paraId="32F58FDF">
      <w:pPr>
        <w:spacing w:line="440" w:lineRule="exact"/>
        <w:rPr>
          <w:rFonts w:hint="eastAsia" w:ascii="宋体" w:hAnsi="宋体" w:eastAsia="宋体" w:cs="宋体"/>
          <w:b/>
          <w:bCs/>
          <w:sz w:val="28"/>
          <w:szCs w:val="28"/>
          <w:highlight w:val="none"/>
          <w:lang w:val="en-US" w:eastAsia="zh-CN"/>
        </w:rPr>
      </w:pPr>
      <w:r>
        <w:rPr>
          <w:rFonts w:hint="eastAsia" w:ascii="宋体" w:hAnsi="宋体" w:eastAsia="宋体" w:cs="宋体"/>
          <w:sz w:val="28"/>
          <w:szCs w:val="28"/>
          <w:highlight w:val="none"/>
          <w:lang w:val="en-US" w:eastAsia="zh-CN"/>
        </w:rPr>
        <w:t>★</w:t>
      </w:r>
      <w:r>
        <w:rPr>
          <w:rFonts w:hint="eastAsia" w:ascii="宋体" w:hAnsi="宋体" w:eastAsia="宋体" w:cs="宋体"/>
          <w:b/>
          <w:bCs/>
          <w:sz w:val="28"/>
          <w:szCs w:val="28"/>
          <w:highlight w:val="none"/>
          <w:lang w:val="en-US" w:eastAsia="zh-CN"/>
        </w:rPr>
        <w:t>注：合同文本仅供参考，具体签订以呼图壁县住房和城乡建设局提供合同文本为准 。</w:t>
      </w:r>
    </w:p>
    <w:p w14:paraId="06BD3F4E">
      <w:pPr>
        <w:pStyle w:val="5"/>
        <w:rPr>
          <w:rFonts w:hint="eastAsia" w:ascii="宋体" w:hAnsi="宋体" w:eastAsia="宋体" w:cs="宋体"/>
          <w:b/>
          <w:bCs/>
          <w:sz w:val="28"/>
          <w:szCs w:val="28"/>
          <w:highlight w:val="none"/>
          <w:lang w:val="en-US" w:eastAsia="zh-CN"/>
        </w:rPr>
      </w:pPr>
    </w:p>
    <w:p w14:paraId="29D3ECE0">
      <w:pPr>
        <w:pStyle w:val="6"/>
        <w:rPr>
          <w:rFonts w:hint="eastAsia" w:ascii="宋体" w:hAnsi="宋体" w:eastAsia="宋体" w:cs="宋体"/>
          <w:b/>
          <w:bCs/>
          <w:sz w:val="28"/>
          <w:szCs w:val="28"/>
          <w:highlight w:val="none"/>
          <w:lang w:val="en-US" w:eastAsia="zh-CN"/>
        </w:rPr>
      </w:pPr>
    </w:p>
    <w:p w14:paraId="5F55B091">
      <w:pPr>
        <w:rPr>
          <w:rFonts w:hint="eastAsia" w:ascii="宋体" w:hAnsi="宋体" w:eastAsia="宋体" w:cs="宋体"/>
          <w:b/>
          <w:bCs/>
          <w:sz w:val="28"/>
          <w:szCs w:val="28"/>
          <w:highlight w:val="none"/>
          <w:lang w:val="en-US" w:eastAsia="zh-CN"/>
        </w:rPr>
      </w:pPr>
    </w:p>
    <w:p w14:paraId="3DC1546B">
      <w:pPr>
        <w:rPr>
          <w:rFonts w:hint="eastAsia" w:ascii="宋体" w:hAnsi="宋体" w:eastAsia="宋体" w:cs="宋体"/>
          <w:b/>
          <w:bCs/>
          <w:sz w:val="28"/>
          <w:szCs w:val="28"/>
          <w:highlight w:val="none"/>
          <w:lang w:val="en-US" w:eastAsia="zh-CN"/>
        </w:rPr>
      </w:pPr>
    </w:p>
    <w:p w14:paraId="5545DBD7">
      <w:pPr>
        <w:rPr>
          <w:rFonts w:hint="eastAsia" w:ascii="宋体" w:hAnsi="宋体" w:eastAsia="宋体" w:cs="宋体"/>
          <w:b/>
          <w:bCs/>
          <w:sz w:val="28"/>
          <w:szCs w:val="28"/>
          <w:highlight w:val="none"/>
          <w:lang w:val="en-US" w:eastAsia="zh-CN"/>
        </w:rPr>
      </w:pPr>
    </w:p>
    <w:p w14:paraId="6EA9E824">
      <w:pPr>
        <w:rPr>
          <w:rFonts w:hint="eastAsia" w:ascii="宋体" w:hAnsi="宋体" w:eastAsia="宋体" w:cs="宋体"/>
          <w:b/>
          <w:bCs/>
          <w:sz w:val="28"/>
          <w:szCs w:val="28"/>
          <w:highlight w:val="none"/>
          <w:lang w:val="en-US" w:eastAsia="zh-CN"/>
        </w:rPr>
      </w:pPr>
    </w:p>
    <w:p w14:paraId="2C4F8CC0">
      <w:pPr>
        <w:rPr>
          <w:rFonts w:hint="eastAsia" w:ascii="宋体" w:hAnsi="宋体" w:eastAsia="宋体" w:cs="宋体"/>
          <w:b/>
          <w:bCs/>
          <w:sz w:val="28"/>
          <w:szCs w:val="28"/>
          <w:highlight w:val="none"/>
          <w:lang w:val="en-US" w:eastAsia="zh-CN"/>
        </w:rPr>
      </w:pPr>
    </w:p>
    <w:p w14:paraId="1BC231B7">
      <w:pPr>
        <w:rPr>
          <w:rFonts w:hint="eastAsia" w:ascii="宋体" w:hAnsi="宋体" w:eastAsia="宋体" w:cs="宋体"/>
          <w:b/>
          <w:bCs/>
          <w:sz w:val="28"/>
          <w:szCs w:val="28"/>
          <w:highlight w:val="none"/>
          <w:lang w:val="en-US" w:eastAsia="zh-CN"/>
        </w:rPr>
      </w:pPr>
    </w:p>
    <w:p w14:paraId="415CFE7D">
      <w:pPr>
        <w:rPr>
          <w:rFonts w:hint="eastAsia" w:ascii="宋体" w:hAnsi="宋体" w:eastAsia="宋体" w:cs="宋体"/>
          <w:b/>
          <w:bCs/>
          <w:sz w:val="28"/>
          <w:szCs w:val="28"/>
          <w:highlight w:val="none"/>
          <w:lang w:val="en-US" w:eastAsia="zh-CN"/>
        </w:rPr>
      </w:pPr>
    </w:p>
    <w:p w14:paraId="11C4FACE">
      <w:pPr>
        <w:rPr>
          <w:rFonts w:hint="eastAsia" w:ascii="宋体" w:hAnsi="宋体" w:eastAsia="宋体" w:cs="宋体"/>
          <w:b/>
          <w:bCs/>
          <w:sz w:val="28"/>
          <w:szCs w:val="28"/>
          <w:highlight w:val="none"/>
          <w:lang w:val="en-US" w:eastAsia="zh-CN"/>
        </w:rPr>
      </w:pPr>
    </w:p>
    <w:p w14:paraId="18803B73">
      <w:pPr>
        <w:rPr>
          <w:rFonts w:hint="eastAsia" w:ascii="宋体" w:hAnsi="宋体" w:eastAsia="宋体" w:cs="宋体"/>
          <w:b/>
          <w:bCs/>
          <w:sz w:val="28"/>
          <w:szCs w:val="28"/>
          <w:highlight w:val="none"/>
          <w:lang w:val="en-US" w:eastAsia="zh-CN"/>
        </w:rPr>
      </w:pPr>
    </w:p>
    <w:p w14:paraId="779CD9D5">
      <w:pPr>
        <w:rPr>
          <w:rFonts w:hint="eastAsia" w:ascii="宋体" w:hAnsi="宋体" w:eastAsia="宋体" w:cs="宋体"/>
          <w:b/>
          <w:bCs/>
          <w:sz w:val="28"/>
          <w:szCs w:val="28"/>
          <w:highlight w:val="none"/>
          <w:lang w:val="en-US" w:eastAsia="zh-CN"/>
        </w:rPr>
      </w:pPr>
    </w:p>
    <w:p w14:paraId="63E99A05">
      <w:pPr>
        <w:rPr>
          <w:rFonts w:hint="eastAsia" w:ascii="宋体" w:hAnsi="宋体" w:eastAsia="宋体" w:cs="宋体"/>
          <w:b/>
          <w:bCs/>
          <w:sz w:val="28"/>
          <w:szCs w:val="28"/>
          <w:highlight w:val="none"/>
          <w:lang w:val="en-US" w:eastAsia="zh-CN"/>
        </w:rPr>
      </w:pPr>
    </w:p>
    <w:p w14:paraId="3A2714AD">
      <w:pPr>
        <w:rPr>
          <w:rFonts w:hint="eastAsia" w:ascii="宋体" w:hAnsi="宋体" w:eastAsia="宋体" w:cs="宋体"/>
          <w:b/>
          <w:bCs/>
          <w:sz w:val="28"/>
          <w:szCs w:val="28"/>
          <w:highlight w:val="none"/>
          <w:lang w:val="en-US" w:eastAsia="zh-CN"/>
        </w:rPr>
      </w:pPr>
    </w:p>
    <w:p w14:paraId="5B509663">
      <w:pPr>
        <w:rPr>
          <w:rFonts w:hint="eastAsia" w:ascii="宋体" w:hAnsi="宋体" w:eastAsia="宋体" w:cs="宋体"/>
          <w:b/>
          <w:bCs/>
          <w:sz w:val="28"/>
          <w:szCs w:val="28"/>
          <w:highlight w:val="none"/>
          <w:lang w:val="en-US" w:eastAsia="zh-CN"/>
        </w:rPr>
      </w:pPr>
    </w:p>
    <w:p w14:paraId="40089EA7">
      <w:pPr>
        <w:rPr>
          <w:rFonts w:hint="eastAsia" w:ascii="宋体" w:hAnsi="宋体" w:eastAsia="宋体" w:cs="宋体"/>
          <w:b/>
          <w:bCs/>
          <w:sz w:val="28"/>
          <w:szCs w:val="28"/>
          <w:highlight w:val="none"/>
          <w:lang w:val="en-US" w:eastAsia="zh-CN"/>
        </w:rPr>
      </w:pPr>
    </w:p>
    <w:p w14:paraId="250CAA5E">
      <w:pPr>
        <w:rPr>
          <w:rFonts w:hint="eastAsia" w:ascii="宋体" w:hAnsi="宋体" w:eastAsia="宋体" w:cs="宋体"/>
          <w:b/>
          <w:bCs/>
          <w:sz w:val="28"/>
          <w:szCs w:val="28"/>
          <w:highlight w:val="none"/>
          <w:lang w:val="en-US" w:eastAsia="zh-CN"/>
        </w:rPr>
      </w:pPr>
    </w:p>
    <w:p w14:paraId="2D9667AB">
      <w:pPr>
        <w:pStyle w:val="2"/>
        <w:numPr>
          <w:ilvl w:val="0"/>
          <w:numId w:val="3"/>
        </w:numPr>
        <w:ind w:leftChars="0"/>
        <w:jc w:val="center"/>
        <w:rPr>
          <w:rFonts w:hint="eastAsia" w:cs="宋体"/>
          <w:highlight w:val="none"/>
        </w:rPr>
      </w:pPr>
      <w:r>
        <w:rPr>
          <w:rFonts w:hint="eastAsia" w:cs="宋体"/>
          <w:highlight w:val="none"/>
          <w:lang w:val="en-US" w:eastAsia="zh-CN"/>
        </w:rPr>
        <w:t xml:space="preserve"> </w:t>
      </w:r>
      <w:r>
        <w:rPr>
          <w:rFonts w:hint="eastAsia" w:cs="宋体"/>
          <w:highlight w:val="none"/>
        </w:rPr>
        <w:t>评审标准</w:t>
      </w:r>
      <w:bookmarkEnd w:id="57"/>
      <w:bookmarkEnd w:id="58"/>
      <w:bookmarkEnd w:id="59"/>
      <w:bookmarkEnd w:id="60"/>
    </w:p>
    <w:p w14:paraId="5EA5AA6B">
      <w:pPr>
        <w:rPr>
          <w:rFonts w:hint="eastAsia"/>
          <w:highlight w:val="none"/>
        </w:rPr>
      </w:pPr>
      <w:r>
        <w:rPr>
          <w:rFonts w:hint="eastAsia" w:ascii="宋体" w:hAnsi="宋体" w:cs="宋体"/>
          <w:b/>
          <w:sz w:val="24"/>
          <w:highlight w:val="none"/>
        </w:rPr>
        <w:t>附表：</w:t>
      </w:r>
      <w:r>
        <w:rPr>
          <w:rFonts w:hint="eastAsia" w:ascii="宋体" w:hAnsi="宋体" w:eastAsia="宋体" w:cs="宋体"/>
          <w:b/>
          <w:sz w:val="24"/>
          <w:highlight w:val="none"/>
        </w:rPr>
        <w:t>资格审查</w:t>
      </w:r>
    </w:p>
    <w:tbl>
      <w:tblPr>
        <w:tblStyle w:val="16"/>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039"/>
        <w:gridCol w:w="5928"/>
        <w:gridCol w:w="1001"/>
      </w:tblGrid>
      <w:tr w14:paraId="0A82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2571" w:type="dxa"/>
            <w:gridSpan w:val="2"/>
            <w:noWrap w:val="0"/>
            <w:vAlign w:val="center"/>
          </w:tcPr>
          <w:p w14:paraId="2282BE54">
            <w:pPr>
              <w:spacing w:line="360" w:lineRule="exact"/>
              <w:jc w:val="center"/>
              <w:rPr>
                <w:rFonts w:ascii="宋体" w:hAnsi="宋体"/>
                <w:b/>
                <w:spacing w:val="-2"/>
                <w:sz w:val="18"/>
                <w:szCs w:val="18"/>
                <w:highlight w:val="none"/>
              </w:rPr>
            </w:pPr>
            <w:r>
              <w:rPr>
                <w:rFonts w:hint="eastAsia" w:ascii="宋体" w:hAnsi="宋体"/>
                <w:b/>
                <w:spacing w:val="-2"/>
                <w:sz w:val="18"/>
                <w:szCs w:val="18"/>
                <w:highlight w:val="none"/>
              </w:rPr>
              <w:t>评审内容</w:t>
            </w:r>
          </w:p>
        </w:tc>
        <w:tc>
          <w:tcPr>
            <w:tcW w:w="5928" w:type="dxa"/>
            <w:noWrap w:val="0"/>
            <w:vAlign w:val="center"/>
          </w:tcPr>
          <w:p w14:paraId="4D9DCF5F">
            <w:pPr>
              <w:jc w:val="center"/>
              <w:rPr>
                <w:rFonts w:hint="eastAsia" w:ascii="宋体" w:hAnsi="宋体" w:eastAsia="宋体" w:cs="宋体"/>
                <w:szCs w:val="21"/>
                <w:highlight w:val="none"/>
              </w:rPr>
            </w:pPr>
            <w:r>
              <w:rPr>
                <w:rFonts w:hint="eastAsia" w:ascii="宋体" w:hAnsi="宋体" w:eastAsia="宋体" w:cs="宋体"/>
                <w:b/>
                <w:bCs/>
                <w:szCs w:val="21"/>
                <w:highlight w:val="none"/>
              </w:rPr>
              <w:t>评审标准</w:t>
            </w:r>
          </w:p>
        </w:tc>
        <w:tc>
          <w:tcPr>
            <w:tcW w:w="1001" w:type="dxa"/>
            <w:noWrap w:val="0"/>
            <w:vAlign w:val="center"/>
          </w:tcPr>
          <w:p w14:paraId="17967A10">
            <w:pPr>
              <w:spacing w:line="440" w:lineRule="exact"/>
              <w:ind w:left="0" w:leftChars="0" w:firstLine="0" w:firstLineChars="0"/>
              <w:jc w:val="both"/>
              <w:rPr>
                <w:rFonts w:ascii="宋体" w:hAnsi="宋体"/>
                <w:b/>
                <w:spacing w:val="-2"/>
                <w:sz w:val="18"/>
                <w:szCs w:val="18"/>
                <w:highlight w:val="none"/>
              </w:rPr>
            </w:pPr>
            <w:r>
              <w:rPr>
                <w:rFonts w:ascii="宋体" w:hAnsi="宋体"/>
                <w:b/>
                <w:spacing w:val="-2"/>
                <w:sz w:val="18"/>
                <w:szCs w:val="18"/>
                <w:highlight w:val="none"/>
              </w:rPr>
              <w:t>评审意见</w:t>
            </w:r>
          </w:p>
        </w:tc>
      </w:tr>
      <w:tr w14:paraId="7407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32" w:type="dxa"/>
            <w:noWrap w:val="0"/>
            <w:vAlign w:val="center"/>
          </w:tcPr>
          <w:p w14:paraId="5D62C2CD">
            <w:pPr>
              <w:ind w:left="0" w:leftChars="0" w:firstLine="0" w:firstLineChars="0"/>
              <w:jc w:val="left"/>
              <w:rPr>
                <w:rFonts w:hint="eastAsia" w:ascii="宋体" w:hAnsi="宋体" w:eastAsia="宋体"/>
                <w:b/>
                <w:spacing w:val="-2"/>
                <w:sz w:val="18"/>
                <w:szCs w:val="18"/>
                <w:highlight w:val="none"/>
                <w:lang w:val="en-US" w:eastAsia="zh-CN"/>
              </w:rPr>
            </w:pPr>
            <w:r>
              <w:rPr>
                <w:rFonts w:hint="eastAsia" w:ascii="宋体" w:hAnsi="宋体" w:eastAsia="宋体" w:cs="宋体"/>
                <w:sz w:val="24"/>
                <w:szCs w:val="20"/>
                <w:highlight w:val="none"/>
                <w:lang w:val="en-US" w:eastAsia="zh-CN"/>
              </w:rPr>
              <w:t>1</w:t>
            </w:r>
          </w:p>
        </w:tc>
        <w:tc>
          <w:tcPr>
            <w:tcW w:w="2039" w:type="dxa"/>
            <w:noWrap w:val="0"/>
            <w:vAlign w:val="center"/>
          </w:tcPr>
          <w:p w14:paraId="21667F77">
            <w:pPr>
              <w:spacing w:line="360" w:lineRule="exact"/>
              <w:jc w:val="center"/>
              <w:rPr>
                <w:rFonts w:hint="eastAsia" w:ascii="宋体" w:hAnsi="宋体"/>
                <w:b/>
                <w:spacing w:val="-2"/>
                <w:sz w:val="18"/>
                <w:szCs w:val="18"/>
                <w:highlight w:val="none"/>
              </w:rPr>
            </w:pPr>
            <w:r>
              <w:rPr>
                <w:rFonts w:hint="eastAsia" w:ascii="宋体" w:hAnsi="宋体" w:eastAsia="宋体" w:cs="宋体"/>
                <w:sz w:val="24"/>
                <w:szCs w:val="20"/>
                <w:highlight w:val="none"/>
              </w:rPr>
              <w:t>供应商应为中小企业或供应商以联合体形式参加采购活动，且联合体中中小企业承担的部分达到30%。</w:t>
            </w:r>
          </w:p>
        </w:tc>
        <w:tc>
          <w:tcPr>
            <w:tcW w:w="5928" w:type="dxa"/>
            <w:noWrap w:val="0"/>
            <w:vAlign w:val="center"/>
          </w:tcPr>
          <w:p w14:paraId="39E20169">
            <w:pPr>
              <w:spacing w:line="360" w:lineRule="exact"/>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请根据要求单独上传《中小企业声明函》。格式以采购文件要求为准。</w:t>
            </w:r>
          </w:p>
          <w:p w14:paraId="1B0F3B88">
            <w:pPr>
              <w:spacing w:line="360" w:lineRule="exact"/>
              <w:jc w:val="left"/>
              <w:rPr>
                <w:rFonts w:hint="eastAsia" w:ascii="宋体" w:hAnsi="宋体" w:eastAsia="宋体" w:cs="宋体"/>
                <w:b/>
                <w:bCs/>
                <w:szCs w:val="21"/>
                <w:highlight w:val="none"/>
              </w:rPr>
            </w:pPr>
            <w:r>
              <w:rPr>
                <w:rFonts w:hint="eastAsia" w:ascii="宋体" w:hAnsi="宋体" w:eastAsia="宋体" w:cs="宋体"/>
                <w:sz w:val="24"/>
                <w:szCs w:val="20"/>
                <w:highlight w:val="none"/>
              </w:rPr>
              <w:t>请根据要求单独上传《联合协议》，并在联合体协议中进行相关比例说明。格式以采购文件要求为准。</w:t>
            </w:r>
          </w:p>
        </w:tc>
        <w:tc>
          <w:tcPr>
            <w:tcW w:w="1001" w:type="dxa"/>
            <w:noWrap w:val="0"/>
            <w:vAlign w:val="center"/>
          </w:tcPr>
          <w:p w14:paraId="286BF1E5">
            <w:pPr>
              <w:spacing w:line="440" w:lineRule="exact"/>
              <w:ind w:left="0" w:leftChars="0" w:firstLine="0" w:firstLineChars="0"/>
              <w:jc w:val="both"/>
              <w:rPr>
                <w:rFonts w:ascii="宋体" w:hAnsi="宋体"/>
                <w:b/>
                <w:spacing w:val="-2"/>
                <w:sz w:val="18"/>
                <w:szCs w:val="18"/>
                <w:highlight w:val="none"/>
              </w:rPr>
            </w:pPr>
          </w:p>
        </w:tc>
      </w:tr>
      <w:tr w14:paraId="1739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50A7507F">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2</w:t>
            </w:r>
          </w:p>
        </w:tc>
        <w:tc>
          <w:tcPr>
            <w:tcW w:w="2039" w:type="dxa"/>
            <w:noWrap w:val="0"/>
            <w:vAlign w:val="center"/>
          </w:tcPr>
          <w:p w14:paraId="68F17564">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供应商的授权委托书</w:t>
            </w:r>
          </w:p>
        </w:tc>
        <w:tc>
          <w:tcPr>
            <w:tcW w:w="5928" w:type="dxa"/>
            <w:noWrap w:val="0"/>
            <w:vAlign w:val="center"/>
          </w:tcPr>
          <w:p w14:paraId="1903AA66">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是否提供有效的投标代表的授权委托书，授权委托书应由法定代表人（或负责人）电子签字或签章并加盖企业电子公章。如为法定代表人（或负责人）参加投标，需提供法定代表人（或负责人）身份证明。</w:t>
            </w:r>
          </w:p>
        </w:tc>
        <w:tc>
          <w:tcPr>
            <w:tcW w:w="1001" w:type="dxa"/>
            <w:noWrap w:val="0"/>
            <w:vAlign w:val="center"/>
          </w:tcPr>
          <w:p w14:paraId="7CA1BCEB">
            <w:pPr>
              <w:spacing w:line="440" w:lineRule="exact"/>
              <w:jc w:val="left"/>
              <w:rPr>
                <w:rFonts w:hint="eastAsia" w:ascii="宋体" w:hAnsi="宋体" w:eastAsia="宋体" w:cs="宋体"/>
                <w:sz w:val="16"/>
                <w:szCs w:val="16"/>
                <w:highlight w:val="none"/>
              </w:rPr>
            </w:pPr>
          </w:p>
        </w:tc>
      </w:tr>
      <w:tr w14:paraId="5121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57564731">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3</w:t>
            </w:r>
          </w:p>
        </w:tc>
        <w:tc>
          <w:tcPr>
            <w:tcW w:w="2039" w:type="dxa"/>
            <w:noWrap w:val="0"/>
            <w:vAlign w:val="center"/>
          </w:tcPr>
          <w:p w14:paraId="61D4BC5A">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被授权人身份证</w:t>
            </w:r>
          </w:p>
        </w:tc>
        <w:tc>
          <w:tcPr>
            <w:tcW w:w="5928" w:type="dxa"/>
            <w:noWrap w:val="0"/>
            <w:vAlign w:val="center"/>
          </w:tcPr>
          <w:p w14:paraId="357674AC">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是否提供有效的被授权人身份证扫描件。</w:t>
            </w:r>
          </w:p>
        </w:tc>
        <w:tc>
          <w:tcPr>
            <w:tcW w:w="1001" w:type="dxa"/>
            <w:noWrap w:val="0"/>
            <w:vAlign w:val="center"/>
          </w:tcPr>
          <w:p w14:paraId="261559B9">
            <w:pPr>
              <w:spacing w:line="440" w:lineRule="exact"/>
              <w:jc w:val="left"/>
              <w:rPr>
                <w:rFonts w:hint="eastAsia" w:ascii="宋体" w:hAnsi="宋体" w:eastAsia="宋体" w:cs="宋体"/>
                <w:sz w:val="16"/>
                <w:szCs w:val="16"/>
                <w:highlight w:val="none"/>
              </w:rPr>
            </w:pPr>
          </w:p>
        </w:tc>
      </w:tr>
      <w:tr w14:paraId="3682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2868F1B4">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4</w:t>
            </w:r>
          </w:p>
        </w:tc>
        <w:tc>
          <w:tcPr>
            <w:tcW w:w="2039" w:type="dxa"/>
            <w:noWrap w:val="0"/>
            <w:vAlign w:val="center"/>
          </w:tcPr>
          <w:p w14:paraId="319E2776">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rPr>
              <w:t>企业营业执照</w:t>
            </w:r>
            <w:r>
              <w:rPr>
                <w:rFonts w:hint="eastAsia" w:eastAsia="宋体" w:cs="宋体"/>
                <w:sz w:val="24"/>
                <w:szCs w:val="20"/>
                <w:highlight w:val="none"/>
                <w:lang w:val="en-US" w:eastAsia="zh-CN"/>
              </w:rPr>
              <w:t>及资质证书</w:t>
            </w:r>
          </w:p>
        </w:tc>
        <w:tc>
          <w:tcPr>
            <w:tcW w:w="5928" w:type="dxa"/>
            <w:noWrap w:val="0"/>
            <w:vAlign w:val="center"/>
          </w:tcPr>
          <w:p w14:paraId="4F82D321">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eastAsia="zh-CN"/>
              </w:rPr>
              <w:t>（</w:t>
            </w:r>
            <w:r>
              <w:rPr>
                <w:rFonts w:hint="eastAsia" w:ascii="宋体" w:hAnsi="宋体" w:eastAsia="宋体" w:cs="宋体"/>
                <w:sz w:val="24"/>
                <w:szCs w:val="20"/>
                <w:highlight w:val="none"/>
                <w:lang w:val="en-US" w:eastAsia="zh-CN"/>
              </w:rPr>
              <w:t>1</w:t>
            </w:r>
            <w:r>
              <w:rPr>
                <w:rFonts w:hint="eastAsia" w:ascii="宋体" w:hAnsi="宋体" w:eastAsia="宋体" w:cs="宋体"/>
                <w:sz w:val="24"/>
                <w:szCs w:val="20"/>
                <w:highlight w:val="none"/>
                <w:lang w:eastAsia="zh-CN"/>
              </w:rPr>
              <w:t>）</w:t>
            </w:r>
            <w:r>
              <w:rPr>
                <w:rFonts w:hint="eastAsia" w:ascii="宋体" w:hAnsi="宋体" w:eastAsia="宋体" w:cs="宋体"/>
                <w:sz w:val="24"/>
                <w:szCs w:val="20"/>
                <w:highlight w:val="none"/>
              </w:rPr>
              <w:t>是否提供有效的</w:t>
            </w:r>
            <w:r>
              <w:rPr>
                <w:rFonts w:hint="eastAsia" w:ascii="宋体" w:hAnsi="宋体" w:eastAsia="宋体" w:cs="宋体"/>
                <w:sz w:val="24"/>
                <w:szCs w:val="20"/>
                <w:highlight w:val="none"/>
                <w:lang w:val="en-US" w:eastAsia="zh-CN"/>
              </w:rPr>
              <w:t>在中华人民共和国境内注册，具有独立法人资格，</w:t>
            </w:r>
            <w:r>
              <w:rPr>
                <w:rFonts w:hint="eastAsia" w:ascii="宋体" w:hAnsi="宋体" w:eastAsia="宋体" w:cs="宋体"/>
                <w:sz w:val="24"/>
                <w:szCs w:val="20"/>
                <w:highlight w:val="none"/>
              </w:rPr>
              <w:t>具有有效的营业执照或“三证合一”的营业执照；</w:t>
            </w:r>
          </w:p>
          <w:p w14:paraId="33002110">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（2）供应商须具备建设主管部门颁发的建设工程质量检测机构资质证书(检测范围 须包含：主体结构工程现场检测、见证取样检测、钢结构工程检测及地基基础工程检测)，并同时具备工程设计建筑行业（建筑工程）专业乙级或乙级以上资 质及工程勘察专业类（岩土工程（勘察））乙级或乙级以上资质。</w:t>
            </w:r>
          </w:p>
          <w:p w14:paraId="51BAF4FC">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lang w:val="en-US" w:eastAsia="zh-CN"/>
              </w:rPr>
              <w:t>（3）项目负责人须具备一级注册结构工程师资格近六个月的缴纳社会保障资金的证明材料件加盖公章。；</w:t>
            </w:r>
          </w:p>
        </w:tc>
        <w:tc>
          <w:tcPr>
            <w:tcW w:w="1001" w:type="dxa"/>
            <w:noWrap w:val="0"/>
            <w:vAlign w:val="center"/>
          </w:tcPr>
          <w:p w14:paraId="1D040641">
            <w:pPr>
              <w:spacing w:line="440" w:lineRule="exact"/>
              <w:jc w:val="left"/>
              <w:rPr>
                <w:rFonts w:hint="eastAsia" w:ascii="宋体" w:hAnsi="宋体" w:eastAsia="宋体" w:cs="宋体"/>
                <w:sz w:val="16"/>
                <w:szCs w:val="16"/>
                <w:highlight w:val="none"/>
              </w:rPr>
            </w:pPr>
          </w:p>
        </w:tc>
      </w:tr>
      <w:tr w14:paraId="536A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361FE22E">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5</w:t>
            </w:r>
          </w:p>
        </w:tc>
        <w:tc>
          <w:tcPr>
            <w:tcW w:w="2039" w:type="dxa"/>
            <w:noWrap w:val="0"/>
            <w:vAlign w:val="center"/>
          </w:tcPr>
          <w:p w14:paraId="4403BCD8">
            <w:pPr>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财务报告</w:t>
            </w:r>
          </w:p>
        </w:tc>
        <w:tc>
          <w:tcPr>
            <w:tcW w:w="5928" w:type="dxa"/>
            <w:noWrap w:val="0"/>
            <w:vAlign w:val="center"/>
          </w:tcPr>
          <w:p w14:paraId="71FA389A">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本单位上一年度由会计师事务所出具的财务审计报告（当上一年度审计报告未出来时，可提供前一年度审计报告），审计报告须包括资产负债表、利润表、现金流量表、所有者权益变动（如有）及其附注（原件扫描件加盖电子公章）。成立不足一年的提供自成立以来任意一个月财务报表（财务报表应至少包括资产负债表、损益表、现金流量表或财务状况变动表，当月新成立公司不需提供。</w:t>
            </w:r>
          </w:p>
        </w:tc>
        <w:tc>
          <w:tcPr>
            <w:tcW w:w="1001" w:type="dxa"/>
            <w:noWrap w:val="0"/>
            <w:vAlign w:val="center"/>
          </w:tcPr>
          <w:p w14:paraId="0DCB04BC">
            <w:pPr>
              <w:spacing w:line="440" w:lineRule="exact"/>
              <w:jc w:val="left"/>
              <w:rPr>
                <w:rFonts w:hint="eastAsia" w:ascii="宋体" w:hAnsi="宋体" w:eastAsia="宋体" w:cs="宋体"/>
                <w:sz w:val="16"/>
                <w:szCs w:val="16"/>
                <w:highlight w:val="none"/>
              </w:rPr>
            </w:pPr>
          </w:p>
        </w:tc>
      </w:tr>
      <w:tr w14:paraId="3BCB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7E290253">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6</w:t>
            </w:r>
          </w:p>
        </w:tc>
        <w:tc>
          <w:tcPr>
            <w:tcW w:w="2039" w:type="dxa"/>
            <w:noWrap w:val="0"/>
            <w:vAlign w:val="center"/>
          </w:tcPr>
          <w:p w14:paraId="70770A65">
            <w:pPr>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纳税证明</w:t>
            </w:r>
          </w:p>
        </w:tc>
        <w:tc>
          <w:tcPr>
            <w:tcW w:w="5928" w:type="dxa"/>
            <w:noWrap w:val="0"/>
            <w:vAlign w:val="center"/>
          </w:tcPr>
          <w:p w14:paraId="735BC423">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是否提供的近三月内任意一月的依法缴纳税收证明，当月新成立公司不需提供；无需纳税或免税的也需提供相应证明材料。</w:t>
            </w:r>
          </w:p>
        </w:tc>
        <w:tc>
          <w:tcPr>
            <w:tcW w:w="1001" w:type="dxa"/>
            <w:noWrap w:val="0"/>
            <w:vAlign w:val="center"/>
          </w:tcPr>
          <w:p w14:paraId="7985088B">
            <w:pPr>
              <w:spacing w:line="440" w:lineRule="exact"/>
              <w:jc w:val="left"/>
              <w:rPr>
                <w:rFonts w:hint="eastAsia" w:ascii="宋体" w:hAnsi="宋体" w:eastAsia="宋体" w:cs="宋体"/>
                <w:sz w:val="16"/>
                <w:szCs w:val="16"/>
                <w:highlight w:val="none"/>
              </w:rPr>
            </w:pPr>
          </w:p>
        </w:tc>
      </w:tr>
      <w:tr w14:paraId="0A61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0FEACD0A">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7</w:t>
            </w:r>
          </w:p>
        </w:tc>
        <w:tc>
          <w:tcPr>
            <w:tcW w:w="2039" w:type="dxa"/>
            <w:noWrap w:val="0"/>
            <w:vAlign w:val="center"/>
          </w:tcPr>
          <w:p w14:paraId="02798512">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缴纳社会保障资金证明</w:t>
            </w:r>
          </w:p>
        </w:tc>
        <w:tc>
          <w:tcPr>
            <w:tcW w:w="5928" w:type="dxa"/>
            <w:noWrap w:val="0"/>
            <w:vAlign w:val="center"/>
          </w:tcPr>
          <w:p w14:paraId="7ECEEE09">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是否提供社保机构出具的社保缴纳证明（近三个月至响应文件递交截止日任意一月），当月新成立公司不需提供。</w:t>
            </w:r>
          </w:p>
        </w:tc>
        <w:tc>
          <w:tcPr>
            <w:tcW w:w="1001" w:type="dxa"/>
            <w:noWrap w:val="0"/>
            <w:vAlign w:val="center"/>
          </w:tcPr>
          <w:p w14:paraId="153F7F93">
            <w:pPr>
              <w:spacing w:line="440" w:lineRule="exact"/>
              <w:jc w:val="left"/>
              <w:rPr>
                <w:rFonts w:hint="eastAsia" w:ascii="宋体" w:hAnsi="宋体" w:eastAsia="宋体" w:cs="宋体"/>
                <w:sz w:val="16"/>
                <w:szCs w:val="16"/>
                <w:highlight w:val="none"/>
              </w:rPr>
            </w:pPr>
          </w:p>
        </w:tc>
      </w:tr>
      <w:tr w14:paraId="61E6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32" w:type="dxa"/>
            <w:noWrap w:val="0"/>
            <w:vAlign w:val="center"/>
          </w:tcPr>
          <w:p w14:paraId="48B22B57">
            <w:pPr>
              <w:ind w:left="0" w:leftChars="0" w:firstLine="0" w:firstLineChars="0"/>
              <w:jc w:val="center"/>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8</w:t>
            </w:r>
          </w:p>
        </w:tc>
        <w:tc>
          <w:tcPr>
            <w:tcW w:w="2039" w:type="dxa"/>
            <w:noWrap w:val="0"/>
            <w:vAlign w:val="center"/>
          </w:tcPr>
          <w:p w14:paraId="7F48976E">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履行合同所必需的设备和能力</w:t>
            </w:r>
          </w:p>
        </w:tc>
        <w:tc>
          <w:tcPr>
            <w:tcW w:w="5928" w:type="dxa"/>
            <w:noWrap w:val="0"/>
            <w:vAlign w:val="center"/>
          </w:tcPr>
          <w:p w14:paraId="40886004">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是否提供具有履行合同所必需的设备和专业技术能力相关证明材料或承诺书。</w:t>
            </w:r>
          </w:p>
        </w:tc>
        <w:tc>
          <w:tcPr>
            <w:tcW w:w="1001" w:type="dxa"/>
            <w:noWrap w:val="0"/>
            <w:vAlign w:val="center"/>
          </w:tcPr>
          <w:p w14:paraId="48D7841C">
            <w:pPr>
              <w:spacing w:line="440" w:lineRule="exact"/>
              <w:jc w:val="left"/>
              <w:rPr>
                <w:rFonts w:hint="eastAsia" w:ascii="宋体" w:hAnsi="宋体" w:eastAsia="宋体" w:cs="宋体"/>
                <w:sz w:val="16"/>
                <w:szCs w:val="16"/>
                <w:highlight w:val="none"/>
              </w:rPr>
            </w:pPr>
          </w:p>
        </w:tc>
      </w:tr>
      <w:tr w14:paraId="7856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32" w:type="dxa"/>
            <w:noWrap w:val="0"/>
            <w:vAlign w:val="center"/>
          </w:tcPr>
          <w:p w14:paraId="45FE3946">
            <w:pPr>
              <w:ind w:left="0" w:leftChars="0" w:firstLine="0" w:firstLineChars="0"/>
              <w:jc w:val="center"/>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9</w:t>
            </w:r>
          </w:p>
        </w:tc>
        <w:tc>
          <w:tcPr>
            <w:tcW w:w="2039" w:type="dxa"/>
            <w:noWrap w:val="0"/>
            <w:vAlign w:val="center"/>
          </w:tcPr>
          <w:p w14:paraId="4D0E065E">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无重大违法记录的书面声明</w:t>
            </w:r>
          </w:p>
        </w:tc>
        <w:tc>
          <w:tcPr>
            <w:tcW w:w="5928" w:type="dxa"/>
            <w:noWrap w:val="0"/>
            <w:vAlign w:val="center"/>
          </w:tcPr>
          <w:p w14:paraId="512051E5">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是否提供参加采购活动前三年内在经营活动中没有重大违法记录的书面声明。</w:t>
            </w:r>
          </w:p>
        </w:tc>
        <w:tc>
          <w:tcPr>
            <w:tcW w:w="1001" w:type="dxa"/>
            <w:noWrap w:val="0"/>
            <w:vAlign w:val="center"/>
          </w:tcPr>
          <w:p w14:paraId="600D570B">
            <w:pPr>
              <w:spacing w:line="440" w:lineRule="exact"/>
              <w:jc w:val="left"/>
              <w:rPr>
                <w:rFonts w:hint="eastAsia" w:ascii="宋体" w:hAnsi="宋体" w:eastAsia="宋体" w:cs="宋体"/>
                <w:sz w:val="16"/>
                <w:szCs w:val="16"/>
                <w:highlight w:val="none"/>
              </w:rPr>
            </w:pPr>
          </w:p>
        </w:tc>
      </w:tr>
      <w:tr w14:paraId="1047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32" w:type="dxa"/>
            <w:noWrap w:val="0"/>
            <w:vAlign w:val="center"/>
          </w:tcPr>
          <w:p w14:paraId="6212FA95">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10</w:t>
            </w:r>
          </w:p>
        </w:tc>
        <w:tc>
          <w:tcPr>
            <w:tcW w:w="2039" w:type="dxa"/>
            <w:noWrap w:val="0"/>
            <w:vAlign w:val="center"/>
          </w:tcPr>
          <w:p w14:paraId="777347B5">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投标保证金</w:t>
            </w:r>
          </w:p>
        </w:tc>
        <w:tc>
          <w:tcPr>
            <w:tcW w:w="5928" w:type="dxa"/>
            <w:noWrap w:val="0"/>
            <w:vAlign w:val="center"/>
          </w:tcPr>
          <w:p w14:paraId="18D284C3">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是否按照竞争性谈判文件要求缴纳投标保证金</w:t>
            </w:r>
            <w:r>
              <w:rPr>
                <w:rFonts w:hint="eastAsia" w:ascii="宋体" w:hAnsi="宋体" w:eastAsia="宋体" w:cs="宋体"/>
                <w:sz w:val="24"/>
                <w:szCs w:val="20"/>
                <w:highlight w:val="none"/>
                <w:lang w:eastAsia="zh-CN"/>
              </w:rPr>
              <w:t>。</w:t>
            </w:r>
            <w:r>
              <w:rPr>
                <w:rFonts w:hint="eastAsia" w:ascii="宋体" w:hAnsi="宋体" w:eastAsia="宋体" w:cs="宋体"/>
                <w:sz w:val="24"/>
                <w:szCs w:val="20"/>
                <w:highlight w:val="none"/>
              </w:rPr>
              <w:t>谈判保证金的缴纳主体与供应商一致的。</w:t>
            </w:r>
          </w:p>
        </w:tc>
        <w:tc>
          <w:tcPr>
            <w:tcW w:w="1001" w:type="dxa"/>
            <w:noWrap w:val="0"/>
            <w:vAlign w:val="center"/>
          </w:tcPr>
          <w:p w14:paraId="6BB68839">
            <w:pPr>
              <w:spacing w:line="440" w:lineRule="exact"/>
              <w:jc w:val="left"/>
              <w:rPr>
                <w:rFonts w:hint="eastAsia" w:ascii="宋体" w:hAnsi="宋体" w:eastAsia="宋体" w:cs="宋体"/>
                <w:sz w:val="16"/>
                <w:szCs w:val="16"/>
                <w:highlight w:val="none"/>
              </w:rPr>
            </w:pPr>
          </w:p>
        </w:tc>
      </w:tr>
      <w:tr w14:paraId="40D1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32" w:type="dxa"/>
            <w:noWrap w:val="0"/>
            <w:vAlign w:val="center"/>
          </w:tcPr>
          <w:p w14:paraId="0DCC7330">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11</w:t>
            </w:r>
          </w:p>
        </w:tc>
        <w:tc>
          <w:tcPr>
            <w:tcW w:w="2039" w:type="dxa"/>
            <w:noWrap w:val="0"/>
            <w:vAlign w:val="center"/>
          </w:tcPr>
          <w:p w14:paraId="6FDFF180">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法律、行政法规规定的其他条件</w:t>
            </w:r>
          </w:p>
        </w:tc>
        <w:tc>
          <w:tcPr>
            <w:tcW w:w="5928" w:type="dxa"/>
            <w:noWrap w:val="0"/>
            <w:vAlign w:val="center"/>
          </w:tcPr>
          <w:p w14:paraId="3DB79662">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响应文件是否附有“信用中国”网站、中国政府采购网站网查询企业信用信息截图或打印件的扫描件，且未被列入“失信被执行人”、“重大税收违法案件当事人名单。</w:t>
            </w:r>
          </w:p>
        </w:tc>
        <w:tc>
          <w:tcPr>
            <w:tcW w:w="1001" w:type="dxa"/>
            <w:noWrap w:val="0"/>
            <w:vAlign w:val="center"/>
          </w:tcPr>
          <w:p w14:paraId="1185F4C2">
            <w:pPr>
              <w:spacing w:line="440" w:lineRule="exact"/>
              <w:jc w:val="left"/>
              <w:rPr>
                <w:rFonts w:hint="eastAsia" w:ascii="宋体" w:hAnsi="宋体" w:eastAsia="宋体" w:cs="宋体"/>
                <w:sz w:val="16"/>
                <w:szCs w:val="16"/>
                <w:highlight w:val="none"/>
              </w:rPr>
            </w:pPr>
          </w:p>
        </w:tc>
      </w:tr>
      <w:tr w14:paraId="6E68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32" w:type="dxa"/>
            <w:noWrap w:val="0"/>
            <w:vAlign w:val="center"/>
          </w:tcPr>
          <w:p w14:paraId="7A76ED3F">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12</w:t>
            </w:r>
          </w:p>
        </w:tc>
        <w:tc>
          <w:tcPr>
            <w:tcW w:w="2039" w:type="dxa"/>
            <w:noWrap w:val="0"/>
            <w:vAlign w:val="center"/>
          </w:tcPr>
          <w:p w14:paraId="3329CBF1">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不参与围标串标承诺书</w:t>
            </w:r>
          </w:p>
        </w:tc>
        <w:tc>
          <w:tcPr>
            <w:tcW w:w="5928" w:type="dxa"/>
            <w:noWrap w:val="0"/>
            <w:vAlign w:val="center"/>
          </w:tcPr>
          <w:p w14:paraId="54BB55A2">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提供承诺书</w:t>
            </w:r>
          </w:p>
        </w:tc>
        <w:tc>
          <w:tcPr>
            <w:tcW w:w="1001" w:type="dxa"/>
            <w:noWrap w:val="0"/>
            <w:vAlign w:val="center"/>
          </w:tcPr>
          <w:p w14:paraId="5E3EF264">
            <w:pPr>
              <w:spacing w:line="440" w:lineRule="exact"/>
              <w:jc w:val="left"/>
              <w:rPr>
                <w:rFonts w:hint="eastAsia" w:ascii="仿宋_GB2312" w:hAnsi="仿宋_GB2312" w:eastAsia="仿宋_GB2312" w:cs="仿宋_GB2312"/>
                <w:sz w:val="18"/>
                <w:szCs w:val="18"/>
                <w:highlight w:val="none"/>
              </w:rPr>
            </w:pPr>
          </w:p>
        </w:tc>
      </w:tr>
      <w:tr w14:paraId="47DD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32" w:type="dxa"/>
            <w:noWrap w:val="0"/>
            <w:vAlign w:val="center"/>
          </w:tcPr>
          <w:p w14:paraId="6875328B">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13</w:t>
            </w:r>
          </w:p>
        </w:tc>
        <w:tc>
          <w:tcPr>
            <w:tcW w:w="2039" w:type="dxa"/>
            <w:noWrap w:val="0"/>
            <w:vAlign w:val="center"/>
          </w:tcPr>
          <w:p w14:paraId="0824325A">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承诺书</w:t>
            </w:r>
          </w:p>
        </w:tc>
        <w:tc>
          <w:tcPr>
            <w:tcW w:w="5928" w:type="dxa"/>
            <w:noWrap w:val="0"/>
            <w:vAlign w:val="center"/>
          </w:tcPr>
          <w:p w14:paraId="772254F8">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提供针对本次项目《反商业贿赂承诺书》</w:t>
            </w:r>
          </w:p>
        </w:tc>
        <w:tc>
          <w:tcPr>
            <w:tcW w:w="1001" w:type="dxa"/>
            <w:noWrap w:val="0"/>
            <w:vAlign w:val="center"/>
          </w:tcPr>
          <w:p w14:paraId="08CE7474">
            <w:pPr>
              <w:spacing w:line="440" w:lineRule="exact"/>
              <w:jc w:val="left"/>
              <w:rPr>
                <w:rFonts w:hint="eastAsia" w:ascii="仿宋_GB2312" w:hAnsi="仿宋_GB2312" w:eastAsia="仿宋_GB2312" w:cs="仿宋_GB2312"/>
                <w:sz w:val="18"/>
                <w:szCs w:val="18"/>
                <w:highlight w:val="none"/>
              </w:rPr>
            </w:pPr>
          </w:p>
        </w:tc>
      </w:tr>
      <w:tr w14:paraId="28B0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32" w:type="dxa"/>
            <w:noWrap w:val="0"/>
            <w:vAlign w:val="center"/>
          </w:tcPr>
          <w:p w14:paraId="2E66F17D">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14</w:t>
            </w:r>
          </w:p>
        </w:tc>
        <w:tc>
          <w:tcPr>
            <w:tcW w:w="2039" w:type="dxa"/>
            <w:noWrap w:val="0"/>
            <w:vAlign w:val="center"/>
          </w:tcPr>
          <w:p w14:paraId="21509FDA">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联合体投标</w:t>
            </w:r>
          </w:p>
        </w:tc>
        <w:tc>
          <w:tcPr>
            <w:tcW w:w="5928" w:type="dxa"/>
            <w:noWrap w:val="0"/>
            <w:vAlign w:val="center"/>
          </w:tcPr>
          <w:p w14:paraId="3B658D68">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是否提供联合体协议书</w:t>
            </w:r>
          </w:p>
        </w:tc>
        <w:tc>
          <w:tcPr>
            <w:tcW w:w="1001" w:type="dxa"/>
            <w:noWrap w:val="0"/>
            <w:vAlign w:val="center"/>
          </w:tcPr>
          <w:p w14:paraId="6A8E943E">
            <w:pPr>
              <w:spacing w:line="440" w:lineRule="exact"/>
              <w:jc w:val="left"/>
              <w:rPr>
                <w:rFonts w:hint="eastAsia" w:ascii="仿宋_GB2312" w:hAnsi="仿宋_GB2312" w:eastAsia="仿宋_GB2312" w:cs="仿宋_GB2312"/>
                <w:sz w:val="18"/>
                <w:szCs w:val="18"/>
                <w:highlight w:val="none"/>
              </w:rPr>
            </w:pPr>
          </w:p>
        </w:tc>
      </w:tr>
    </w:tbl>
    <w:p w14:paraId="6C3DD870">
      <w:pPr>
        <w:numPr>
          <w:ilvl w:val="0"/>
          <w:numId w:val="0"/>
        </w:numPr>
        <w:jc w:val="left"/>
        <w:rPr>
          <w:rFonts w:hint="eastAsia" w:cs="宋体"/>
          <w:szCs w:val="28"/>
          <w:highlight w:val="none"/>
        </w:rPr>
      </w:pPr>
    </w:p>
    <w:p w14:paraId="31852D14">
      <w:pPr>
        <w:rPr>
          <w:rFonts w:hint="eastAsia" w:ascii="宋体" w:hAnsi="宋体" w:eastAsia="宋体" w:cs="宋体"/>
          <w:b/>
          <w:sz w:val="24"/>
          <w:highlight w:val="none"/>
        </w:rPr>
      </w:pPr>
      <w:r>
        <w:rPr>
          <w:rFonts w:hint="eastAsia" w:ascii="宋体" w:hAnsi="宋体" w:eastAsia="宋体" w:cs="宋体"/>
          <w:b/>
          <w:sz w:val="24"/>
          <w:highlight w:val="none"/>
        </w:rPr>
        <w:t>符合性审查</w:t>
      </w:r>
    </w:p>
    <w:tbl>
      <w:tblPr>
        <w:tblStyle w:val="16"/>
        <w:tblpPr w:leftFromText="180" w:rightFromText="180" w:vertAnchor="text" w:horzAnchor="page" w:tblpXSpec="center" w:tblpY="84"/>
        <w:tblOverlap w:val="never"/>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0"/>
        <w:gridCol w:w="508"/>
        <w:gridCol w:w="5716"/>
        <w:gridCol w:w="1185"/>
        <w:gridCol w:w="1075"/>
      </w:tblGrid>
      <w:tr w14:paraId="0F0AA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860" w:type="dxa"/>
            <w:vMerge w:val="restart"/>
            <w:noWrap w:val="0"/>
            <w:vAlign w:val="center"/>
          </w:tcPr>
          <w:p w14:paraId="5621F8C8">
            <w:pPr>
              <w:ind w:left="0" w:leftChars="0" w:firstLine="0" w:firstLineChars="0"/>
              <w:jc w:val="both"/>
              <w:rPr>
                <w:rFonts w:hint="eastAsia" w:ascii="宋体" w:hAnsi="宋体" w:eastAsia="宋体" w:cs="宋体"/>
                <w:b/>
                <w:bCs/>
                <w:szCs w:val="21"/>
                <w:highlight w:val="none"/>
                <w:lang w:eastAsia="zh-CN"/>
              </w:rPr>
            </w:pPr>
          </w:p>
        </w:tc>
        <w:tc>
          <w:tcPr>
            <w:tcW w:w="6224" w:type="dxa"/>
            <w:gridSpan w:val="2"/>
            <w:vMerge w:val="restart"/>
            <w:noWrap w:val="0"/>
            <w:vAlign w:val="center"/>
          </w:tcPr>
          <w:p w14:paraId="7EBE8930">
            <w:pPr>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评审内容</w:t>
            </w:r>
          </w:p>
        </w:tc>
        <w:tc>
          <w:tcPr>
            <w:tcW w:w="2260" w:type="dxa"/>
            <w:gridSpan w:val="2"/>
            <w:noWrap w:val="0"/>
            <w:vAlign w:val="center"/>
          </w:tcPr>
          <w:p w14:paraId="2AF178EE">
            <w:pPr>
              <w:ind w:left="0" w:leftChars="0" w:firstLine="0" w:firstLineChars="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评审意见</w:t>
            </w:r>
          </w:p>
        </w:tc>
      </w:tr>
      <w:tr w14:paraId="30EAA8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860" w:type="dxa"/>
            <w:vMerge w:val="continue"/>
            <w:noWrap w:val="0"/>
            <w:vAlign w:val="center"/>
          </w:tcPr>
          <w:p w14:paraId="6C99E82D">
            <w:pPr>
              <w:jc w:val="center"/>
              <w:rPr>
                <w:rFonts w:hint="eastAsia" w:ascii="宋体" w:hAnsi="宋体" w:eastAsia="宋体" w:cs="宋体"/>
                <w:b/>
                <w:bCs/>
                <w:szCs w:val="21"/>
                <w:highlight w:val="none"/>
                <w:lang w:eastAsia="zh-CN"/>
              </w:rPr>
            </w:pPr>
          </w:p>
        </w:tc>
        <w:tc>
          <w:tcPr>
            <w:tcW w:w="6224" w:type="dxa"/>
            <w:gridSpan w:val="2"/>
            <w:vMerge w:val="continue"/>
            <w:noWrap w:val="0"/>
            <w:vAlign w:val="center"/>
          </w:tcPr>
          <w:p w14:paraId="06576385">
            <w:pPr>
              <w:jc w:val="center"/>
              <w:rPr>
                <w:rFonts w:hint="eastAsia" w:ascii="宋体" w:hAnsi="宋体" w:eastAsia="宋体" w:cs="宋体"/>
                <w:b/>
                <w:bCs/>
                <w:szCs w:val="21"/>
                <w:highlight w:val="none"/>
                <w:lang w:eastAsia="zh-CN"/>
              </w:rPr>
            </w:pPr>
          </w:p>
        </w:tc>
        <w:tc>
          <w:tcPr>
            <w:tcW w:w="2260" w:type="dxa"/>
            <w:gridSpan w:val="2"/>
            <w:noWrap w:val="0"/>
            <w:vAlign w:val="center"/>
          </w:tcPr>
          <w:p w14:paraId="1B777836">
            <w:pPr>
              <w:ind w:left="0" w:leftChars="0" w:firstLine="0" w:firstLineChars="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投标人A.</w:t>
            </w:r>
          </w:p>
        </w:tc>
      </w:tr>
      <w:tr w14:paraId="50718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860" w:type="dxa"/>
            <w:vMerge w:val="continue"/>
            <w:noWrap w:val="0"/>
            <w:vAlign w:val="center"/>
          </w:tcPr>
          <w:p w14:paraId="3588D35A">
            <w:pPr>
              <w:jc w:val="center"/>
              <w:rPr>
                <w:rFonts w:hint="eastAsia" w:ascii="宋体" w:hAnsi="宋体" w:eastAsia="宋体" w:cs="宋体"/>
                <w:b/>
                <w:bCs/>
                <w:szCs w:val="21"/>
                <w:highlight w:val="none"/>
                <w:lang w:eastAsia="zh-CN"/>
              </w:rPr>
            </w:pPr>
          </w:p>
        </w:tc>
        <w:tc>
          <w:tcPr>
            <w:tcW w:w="6224" w:type="dxa"/>
            <w:gridSpan w:val="2"/>
            <w:vMerge w:val="continue"/>
            <w:noWrap w:val="0"/>
            <w:vAlign w:val="top"/>
          </w:tcPr>
          <w:p w14:paraId="5ECAD26C">
            <w:pPr>
              <w:jc w:val="center"/>
              <w:rPr>
                <w:rFonts w:hint="eastAsia" w:ascii="宋体" w:hAnsi="宋体" w:eastAsia="宋体" w:cs="宋体"/>
                <w:b/>
                <w:bCs/>
                <w:szCs w:val="21"/>
                <w:highlight w:val="none"/>
                <w:lang w:eastAsia="zh-CN"/>
              </w:rPr>
            </w:pPr>
          </w:p>
        </w:tc>
        <w:tc>
          <w:tcPr>
            <w:tcW w:w="1185" w:type="dxa"/>
            <w:noWrap w:val="0"/>
            <w:vAlign w:val="center"/>
          </w:tcPr>
          <w:p w14:paraId="3532F0A0">
            <w:pPr>
              <w:ind w:left="0" w:leftChars="0" w:firstLine="0" w:firstLineChars="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是</w:t>
            </w:r>
          </w:p>
        </w:tc>
        <w:tc>
          <w:tcPr>
            <w:tcW w:w="1075" w:type="dxa"/>
            <w:noWrap w:val="0"/>
            <w:vAlign w:val="center"/>
          </w:tcPr>
          <w:p w14:paraId="0F2A0ED8">
            <w:pPr>
              <w:ind w:left="0" w:leftChars="0" w:firstLine="0" w:firstLineChars="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否</w:t>
            </w:r>
          </w:p>
        </w:tc>
      </w:tr>
      <w:tr w14:paraId="6087CE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60" w:type="dxa"/>
            <w:vMerge w:val="continue"/>
            <w:noWrap w:val="0"/>
            <w:textDirection w:val="tbRlV"/>
            <w:vAlign w:val="center"/>
          </w:tcPr>
          <w:p w14:paraId="1BE1A978">
            <w:pPr>
              <w:ind w:left="0" w:leftChars="0" w:firstLine="0" w:firstLineChars="0"/>
              <w:jc w:val="left"/>
              <w:rPr>
                <w:rFonts w:hint="eastAsia" w:ascii="宋体" w:hAnsi="宋体" w:eastAsia="宋体" w:cs="宋体"/>
                <w:sz w:val="24"/>
                <w:szCs w:val="20"/>
                <w:highlight w:val="none"/>
                <w:lang w:eastAsia="zh-CN"/>
              </w:rPr>
            </w:pPr>
          </w:p>
        </w:tc>
        <w:tc>
          <w:tcPr>
            <w:tcW w:w="508" w:type="dxa"/>
            <w:noWrap w:val="0"/>
            <w:vAlign w:val="center"/>
          </w:tcPr>
          <w:p w14:paraId="5DE7D349">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w:t>
            </w:r>
          </w:p>
        </w:tc>
        <w:tc>
          <w:tcPr>
            <w:tcW w:w="5716" w:type="dxa"/>
            <w:noWrap w:val="0"/>
            <w:vAlign w:val="center"/>
          </w:tcPr>
          <w:p w14:paraId="271E14AA">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响应文件是否具有单位法定代表人或其授权代表签字（章）和加盖投标单位公章的；</w:t>
            </w:r>
          </w:p>
        </w:tc>
        <w:tc>
          <w:tcPr>
            <w:tcW w:w="1185" w:type="dxa"/>
            <w:noWrap w:val="0"/>
            <w:vAlign w:val="center"/>
          </w:tcPr>
          <w:p w14:paraId="04703F44">
            <w:pPr>
              <w:ind w:left="0" w:leftChars="0" w:firstLine="0" w:firstLineChars="0"/>
              <w:jc w:val="left"/>
              <w:rPr>
                <w:rFonts w:hint="eastAsia" w:ascii="宋体" w:hAnsi="宋体" w:eastAsia="宋体" w:cs="宋体"/>
                <w:sz w:val="24"/>
                <w:szCs w:val="20"/>
                <w:highlight w:val="none"/>
                <w:lang w:eastAsia="zh-CN"/>
              </w:rPr>
            </w:pPr>
          </w:p>
        </w:tc>
        <w:tc>
          <w:tcPr>
            <w:tcW w:w="1075" w:type="dxa"/>
            <w:noWrap w:val="0"/>
            <w:vAlign w:val="center"/>
          </w:tcPr>
          <w:p w14:paraId="4F76B1FC">
            <w:pPr>
              <w:ind w:left="0" w:leftChars="0" w:firstLine="0" w:firstLineChars="0"/>
              <w:jc w:val="left"/>
              <w:rPr>
                <w:rFonts w:hint="eastAsia" w:ascii="宋体" w:hAnsi="宋体" w:eastAsia="宋体" w:cs="宋体"/>
                <w:sz w:val="24"/>
                <w:szCs w:val="20"/>
                <w:highlight w:val="none"/>
                <w:lang w:eastAsia="zh-CN"/>
              </w:rPr>
            </w:pPr>
          </w:p>
        </w:tc>
      </w:tr>
      <w:tr w14:paraId="0BE6A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860" w:type="dxa"/>
            <w:vMerge w:val="continue"/>
            <w:noWrap w:val="0"/>
            <w:textDirection w:val="tbRlV"/>
            <w:vAlign w:val="center"/>
          </w:tcPr>
          <w:p w14:paraId="5E4AC294">
            <w:pPr>
              <w:ind w:left="0" w:leftChars="0" w:firstLine="0" w:firstLineChars="0"/>
              <w:jc w:val="left"/>
              <w:rPr>
                <w:rFonts w:hint="eastAsia" w:ascii="宋体" w:hAnsi="宋体" w:eastAsia="宋体" w:cs="宋体"/>
                <w:sz w:val="24"/>
                <w:szCs w:val="20"/>
                <w:highlight w:val="none"/>
                <w:lang w:eastAsia="zh-CN"/>
              </w:rPr>
            </w:pPr>
          </w:p>
        </w:tc>
        <w:tc>
          <w:tcPr>
            <w:tcW w:w="508" w:type="dxa"/>
            <w:noWrap w:val="0"/>
            <w:vAlign w:val="center"/>
          </w:tcPr>
          <w:p w14:paraId="0CD8EAC0">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2</w:t>
            </w:r>
          </w:p>
        </w:tc>
        <w:tc>
          <w:tcPr>
            <w:tcW w:w="5716" w:type="dxa"/>
            <w:noWrap w:val="0"/>
            <w:vAlign w:val="center"/>
          </w:tcPr>
          <w:p w14:paraId="5B37F4B7">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投标的工期没有超过采购文件规定的期限</w:t>
            </w:r>
          </w:p>
        </w:tc>
        <w:tc>
          <w:tcPr>
            <w:tcW w:w="1185" w:type="dxa"/>
            <w:noWrap w:val="0"/>
            <w:vAlign w:val="center"/>
          </w:tcPr>
          <w:p w14:paraId="14FBF1AE">
            <w:pPr>
              <w:ind w:left="0" w:leftChars="0" w:firstLine="0" w:firstLineChars="0"/>
              <w:jc w:val="left"/>
              <w:rPr>
                <w:rFonts w:hint="eastAsia" w:ascii="宋体" w:hAnsi="宋体" w:eastAsia="宋体" w:cs="宋体"/>
                <w:sz w:val="24"/>
                <w:szCs w:val="20"/>
                <w:highlight w:val="none"/>
                <w:lang w:eastAsia="zh-CN"/>
              </w:rPr>
            </w:pPr>
          </w:p>
        </w:tc>
        <w:tc>
          <w:tcPr>
            <w:tcW w:w="1075" w:type="dxa"/>
            <w:noWrap w:val="0"/>
            <w:vAlign w:val="center"/>
          </w:tcPr>
          <w:p w14:paraId="129B7862">
            <w:pPr>
              <w:ind w:left="0" w:leftChars="0" w:firstLine="0" w:firstLineChars="0"/>
              <w:jc w:val="left"/>
              <w:rPr>
                <w:rFonts w:hint="eastAsia" w:ascii="宋体" w:hAnsi="宋体" w:eastAsia="宋体" w:cs="宋体"/>
                <w:sz w:val="24"/>
                <w:szCs w:val="20"/>
                <w:highlight w:val="none"/>
                <w:lang w:eastAsia="zh-CN"/>
              </w:rPr>
            </w:pPr>
          </w:p>
        </w:tc>
      </w:tr>
      <w:tr w14:paraId="6DE4A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860" w:type="dxa"/>
            <w:vMerge w:val="continue"/>
            <w:noWrap w:val="0"/>
            <w:vAlign w:val="center"/>
          </w:tcPr>
          <w:p w14:paraId="31F94C71">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00A86A04">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3</w:t>
            </w:r>
          </w:p>
        </w:tc>
        <w:tc>
          <w:tcPr>
            <w:tcW w:w="5716" w:type="dxa"/>
            <w:tcBorders>
              <w:bottom w:val="single" w:color="auto" w:sz="4" w:space="0"/>
            </w:tcBorders>
            <w:noWrap w:val="0"/>
            <w:vAlign w:val="center"/>
          </w:tcPr>
          <w:p w14:paraId="0776B239">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是否按采购文件规定的格式填写，内容全或关键字迹清晰且可辨认；</w:t>
            </w:r>
          </w:p>
        </w:tc>
        <w:tc>
          <w:tcPr>
            <w:tcW w:w="1185" w:type="dxa"/>
            <w:tcBorders>
              <w:bottom w:val="single" w:color="auto" w:sz="4" w:space="0"/>
            </w:tcBorders>
            <w:noWrap w:val="0"/>
            <w:vAlign w:val="center"/>
          </w:tcPr>
          <w:p w14:paraId="1D9402DF">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4A6D4047">
            <w:pPr>
              <w:ind w:left="0" w:leftChars="0" w:firstLine="0" w:firstLineChars="0"/>
              <w:jc w:val="left"/>
              <w:rPr>
                <w:rFonts w:hint="eastAsia" w:ascii="宋体" w:hAnsi="宋体" w:eastAsia="宋体" w:cs="宋体"/>
                <w:sz w:val="24"/>
                <w:szCs w:val="20"/>
                <w:highlight w:val="none"/>
                <w:lang w:eastAsia="zh-CN"/>
              </w:rPr>
            </w:pPr>
          </w:p>
        </w:tc>
      </w:tr>
      <w:tr w14:paraId="45774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860" w:type="dxa"/>
            <w:vMerge w:val="continue"/>
            <w:noWrap w:val="0"/>
            <w:vAlign w:val="center"/>
          </w:tcPr>
          <w:p w14:paraId="7EF6E7A7">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2A1A429D">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4</w:t>
            </w:r>
          </w:p>
        </w:tc>
        <w:tc>
          <w:tcPr>
            <w:tcW w:w="5716" w:type="dxa"/>
            <w:tcBorders>
              <w:bottom w:val="single" w:color="auto" w:sz="4" w:space="0"/>
            </w:tcBorders>
            <w:noWrap w:val="0"/>
            <w:vAlign w:val="center"/>
          </w:tcPr>
          <w:p w14:paraId="534D32A2">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投标报价没有高于设定的招标控制价；</w:t>
            </w:r>
          </w:p>
        </w:tc>
        <w:tc>
          <w:tcPr>
            <w:tcW w:w="1185" w:type="dxa"/>
            <w:tcBorders>
              <w:bottom w:val="single" w:color="auto" w:sz="4" w:space="0"/>
            </w:tcBorders>
            <w:noWrap w:val="0"/>
            <w:vAlign w:val="center"/>
          </w:tcPr>
          <w:p w14:paraId="663B5231">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487F28F9">
            <w:pPr>
              <w:ind w:left="0" w:leftChars="0" w:firstLine="0" w:firstLineChars="0"/>
              <w:jc w:val="left"/>
              <w:rPr>
                <w:rFonts w:hint="eastAsia" w:ascii="宋体" w:hAnsi="宋体" w:eastAsia="宋体" w:cs="宋体"/>
                <w:sz w:val="24"/>
                <w:szCs w:val="20"/>
                <w:highlight w:val="none"/>
                <w:lang w:eastAsia="zh-CN"/>
              </w:rPr>
            </w:pPr>
          </w:p>
        </w:tc>
      </w:tr>
      <w:tr w14:paraId="22700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860" w:type="dxa"/>
            <w:vMerge w:val="continue"/>
            <w:noWrap w:val="0"/>
            <w:vAlign w:val="center"/>
          </w:tcPr>
          <w:p w14:paraId="4821DB9B">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05387AFB">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5</w:t>
            </w:r>
          </w:p>
        </w:tc>
        <w:tc>
          <w:tcPr>
            <w:tcW w:w="5716" w:type="dxa"/>
            <w:tcBorders>
              <w:bottom w:val="single" w:color="auto" w:sz="4" w:space="0"/>
            </w:tcBorders>
            <w:noWrap w:val="0"/>
            <w:vAlign w:val="center"/>
          </w:tcPr>
          <w:p w14:paraId="556CCE67">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供应商对同一采购项目没有作出两个以上报价未明确效力；</w:t>
            </w:r>
          </w:p>
        </w:tc>
        <w:tc>
          <w:tcPr>
            <w:tcW w:w="1185" w:type="dxa"/>
            <w:tcBorders>
              <w:bottom w:val="single" w:color="auto" w:sz="4" w:space="0"/>
            </w:tcBorders>
            <w:noWrap w:val="0"/>
            <w:vAlign w:val="center"/>
          </w:tcPr>
          <w:p w14:paraId="505A8DBE">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4BC20352">
            <w:pPr>
              <w:ind w:left="0" w:leftChars="0" w:firstLine="0" w:firstLineChars="0"/>
              <w:jc w:val="left"/>
              <w:rPr>
                <w:rFonts w:hint="eastAsia" w:ascii="宋体" w:hAnsi="宋体" w:eastAsia="宋体" w:cs="宋体"/>
                <w:sz w:val="24"/>
                <w:szCs w:val="20"/>
                <w:highlight w:val="none"/>
                <w:lang w:eastAsia="zh-CN"/>
              </w:rPr>
            </w:pPr>
          </w:p>
        </w:tc>
      </w:tr>
      <w:tr w14:paraId="3A5A7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60" w:type="dxa"/>
            <w:vMerge w:val="continue"/>
            <w:noWrap w:val="0"/>
            <w:vAlign w:val="center"/>
          </w:tcPr>
          <w:p w14:paraId="65B8E009">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2501C12F">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6</w:t>
            </w:r>
          </w:p>
        </w:tc>
        <w:tc>
          <w:tcPr>
            <w:tcW w:w="5716" w:type="dxa"/>
            <w:tcBorders>
              <w:bottom w:val="single" w:color="auto" w:sz="4" w:space="0"/>
            </w:tcBorders>
            <w:noWrap w:val="0"/>
            <w:vAlign w:val="center"/>
          </w:tcPr>
          <w:p w14:paraId="7619BC93">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技术性能、技术参数满足招标文件要求；</w:t>
            </w:r>
          </w:p>
        </w:tc>
        <w:tc>
          <w:tcPr>
            <w:tcW w:w="1185" w:type="dxa"/>
            <w:tcBorders>
              <w:bottom w:val="single" w:color="auto" w:sz="4" w:space="0"/>
            </w:tcBorders>
            <w:noWrap w:val="0"/>
            <w:vAlign w:val="center"/>
          </w:tcPr>
          <w:p w14:paraId="5E61C012">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2EFD32DF">
            <w:pPr>
              <w:ind w:left="0" w:leftChars="0" w:firstLine="0" w:firstLineChars="0"/>
              <w:jc w:val="left"/>
              <w:rPr>
                <w:rFonts w:hint="eastAsia" w:ascii="宋体" w:hAnsi="宋体" w:eastAsia="宋体" w:cs="宋体"/>
                <w:sz w:val="24"/>
                <w:szCs w:val="20"/>
                <w:highlight w:val="none"/>
                <w:lang w:eastAsia="zh-CN"/>
              </w:rPr>
            </w:pPr>
          </w:p>
        </w:tc>
      </w:tr>
      <w:tr w14:paraId="2725E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60" w:type="dxa"/>
            <w:vMerge w:val="continue"/>
            <w:noWrap w:val="0"/>
            <w:vAlign w:val="center"/>
          </w:tcPr>
          <w:p w14:paraId="6EA63CAC">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420166B8">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7</w:t>
            </w:r>
          </w:p>
        </w:tc>
        <w:tc>
          <w:tcPr>
            <w:tcW w:w="5716" w:type="dxa"/>
            <w:tcBorders>
              <w:bottom w:val="single" w:color="auto" w:sz="4" w:space="0"/>
            </w:tcBorders>
            <w:noWrap w:val="0"/>
            <w:vAlign w:val="center"/>
          </w:tcPr>
          <w:p w14:paraId="4B5CE656">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响应文件没有附有采购人不能接受条件的；</w:t>
            </w:r>
          </w:p>
        </w:tc>
        <w:tc>
          <w:tcPr>
            <w:tcW w:w="1185" w:type="dxa"/>
            <w:tcBorders>
              <w:bottom w:val="single" w:color="auto" w:sz="4" w:space="0"/>
            </w:tcBorders>
            <w:noWrap w:val="0"/>
            <w:vAlign w:val="center"/>
          </w:tcPr>
          <w:p w14:paraId="5D9FDDA8">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0D553935">
            <w:pPr>
              <w:ind w:left="0" w:leftChars="0" w:firstLine="0" w:firstLineChars="0"/>
              <w:jc w:val="left"/>
              <w:rPr>
                <w:rFonts w:hint="eastAsia" w:ascii="宋体" w:hAnsi="宋体" w:eastAsia="宋体" w:cs="宋体"/>
                <w:sz w:val="24"/>
                <w:szCs w:val="20"/>
                <w:highlight w:val="none"/>
                <w:lang w:eastAsia="zh-CN"/>
              </w:rPr>
            </w:pPr>
          </w:p>
        </w:tc>
      </w:tr>
      <w:tr w14:paraId="3EF7B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60" w:type="dxa"/>
            <w:vMerge w:val="continue"/>
            <w:noWrap w:val="0"/>
            <w:vAlign w:val="center"/>
          </w:tcPr>
          <w:p w14:paraId="7F35D01A">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0B8AFA4A">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8</w:t>
            </w:r>
          </w:p>
        </w:tc>
        <w:tc>
          <w:tcPr>
            <w:tcW w:w="5716" w:type="dxa"/>
            <w:tcBorders>
              <w:bottom w:val="single" w:color="auto" w:sz="4" w:space="0"/>
            </w:tcBorders>
            <w:noWrap w:val="0"/>
            <w:vAlign w:val="center"/>
          </w:tcPr>
          <w:p w14:paraId="56B4981F">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是否满足采购文件实质性要求的其他情形</w:t>
            </w:r>
          </w:p>
        </w:tc>
        <w:tc>
          <w:tcPr>
            <w:tcW w:w="1185" w:type="dxa"/>
            <w:tcBorders>
              <w:bottom w:val="single" w:color="auto" w:sz="4" w:space="0"/>
            </w:tcBorders>
            <w:noWrap w:val="0"/>
            <w:vAlign w:val="center"/>
          </w:tcPr>
          <w:p w14:paraId="02AFCC2D">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0F55DCFC">
            <w:pPr>
              <w:ind w:left="0" w:leftChars="0" w:firstLine="0" w:firstLineChars="0"/>
              <w:jc w:val="left"/>
              <w:rPr>
                <w:rFonts w:hint="eastAsia" w:ascii="宋体" w:hAnsi="宋体" w:eastAsia="宋体" w:cs="宋体"/>
                <w:sz w:val="24"/>
                <w:szCs w:val="20"/>
                <w:highlight w:val="none"/>
                <w:lang w:eastAsia="zh-CN"/>
              </w:rPr>
            </w:pPr>
          </w:p>
        </w:tc>
      </w:tr>
      <w:tr w14:paraId="09F4E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60" w:type="dxa"/>
            <w:vMerge w:val="continue"/>
            <w:noWrap w:val="0"/>
            <w:vAlign w:val="center"/>
          </w:tcPr>
          <w:p w14:paraId="39AE5D64">
            <w:pPr>
              <w:ind w:left="0" w:leftChars="0" w:firstLine="0" w:firstLineChars="0"/>
              <w:jc w:val="left"/>
              <w:rPr>
                <w:rFonts w:hint="eastAsia" w:ascii="宋体" w:hAnsi="宋体" w:eastAsia="宋体" w:cs="宋体"/>
                <w:sz w:val="24"/>
                <w:szCs w:val="20"/>
                <w:highlight w:val="none"/>
                <w:lang w:eastAsia="zh-CN"/>
              </w:rPr>
            </w:pPr>
          </w:p>
        </w:tc>
        <w:tc>
          <w:tcPr>
            <w:tcW w:w="6224" w:type="dxa"/>
            <w:gridSpan w:val="2"/>
            <w:noWrap w:val="0"/>
            <w:vAlign w:val="center"/>
          </w:tcPr>
          <w:p w14:paraId="50A46ECC">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结论：是否通过评审</w:t>
            </w:r>
          </w:p>
        </w:tc>
        <w:tc>
          <w:tcPr>
            <w:tcW w:w="1185" w:type="dxa"/>
            <w:noWrap w:val="0"/>
            <w:vAlign w:val="top"/>
          </w:tcPr>
          <w:p w14:paraId="5DB5750D">
            <w:pPr>
              <w:ind w:left="0" w:leftChars="0" w:firstLine="0" w:firstLineChars="0"/>
              <w:jc w:val="left"/>
              <w:rPr>
                <w:rFonts w:hint="eastAsia" w:ascii="宋体" w:hAnsi="宋体" w:eastAsia="宋体" w:cs="宋体"/>
                <w:sz w:val="24"/>
                <w:szCs w:val="20"/>
                <w:highlight w:val="none"/>
                <w:lang w:eastAsia="zh-CN"/>
              </w:rPr>
            </w:pPr>
          </w:p>
        </w:tc>
        <w:tc>
          <w:tcPr>
            <w:tcW w:w="1075" w:type="dxa"/>
            <w:noWrap w:val="0"/>
            <w:vAlign w:val="top"/>
          </w:tcPr>
          <w:p w14:paraId="4CE28DAC">
            <w:pPr>
              <w:ind w:left="0" w:leftChars="0" w:firstLine="0" w:firstLineChars="0"/>
              <w:jc w:val="left"/>
              <w:rPr>
                <w:rFonts w:hint="eastAsia" w:ascii="宋体" w:hAnsi="宋体" w:eastAsia="宋体" w:cs="宋体"/>
                <w:sz w:val="24"/>
                <w:szCs w:val="20"/>
                <w:highlight w:val="none"/>
                <w:lang w:eastAsia="zh-CN"/>
              </w:rPr>
            </w:pPr>
          </w:p>
        </w:tc>
      </w:tr>
    </w:tbl>
    <w:p w14:paraId="0E8F2E2C">
      <w:pPr>
        <w:spacing w:line="300" w:lineRule="exact"/>
        <w:ind w:firstLine="420"/>
        <w:rPr>
          <w:rFonts w:hint="eastAsia" w:ascii="宋体" w:hAnsi="宋体" w:cs="宋体"/>
          <w:szCs w:val="21"/>
          <w:highlight w:val="none"/>
        </w:rPr>
      </w:pPr>
    </w:p>
    <w:p w14:paraId="54B555B6">
      <w:pPr>
        <w:jc w:val="left"/>
        <w:rPr>
          <w:rFonts w:hint="eastAsia" w:ascii="宋体" w:hAnsi="宋体" w:cs="宋体"/>
          <w:b/>
          <w:bCs/>
          <w:szCs w:val="28"/>
          <w:highlight w:val="none"/>
        </w:rPr>
      </w:pPr>
    </w:p>
    <w:p w14:paraId="499C11CC">
      <w:pPr>
        <w:numPr>
          <w:ilvl w:val="0"/>
          <w:numId w:val="4"/>
        </w:numPr>
        <w:ind w:firstLine="560"/>
        <w:jc w:val="left"/>
        <w:rPr>
          <w:rFonts w:hint="eastAsia" w:cs="宋体"/>
          <w:szCs w:val="28"/>
          <w:highlight w:val="none"/>
        </w:rPr>
      </w:pPr>
      <w:r>
        <w:rPr>
          <w:rFonts w:hint="eastAsia" w:ascii="仿宋_GB2312" w:hAnsi="仿宋_GB2312" w:eastAsia="仿宋_GB2312" w:cs="仿宋_GB2312"/>
          <w:sz w:val="28"/>
          <w:szCs w:val="21"/>
          <w:highlight w:val="none"/>
        </w:rPr>
        <w:br w:type="page"/>
      </w:r>
      <w:r>
        <w:rPr>
          <w:rFonts w:hint="eastAsia" w:ascii="宋体" w:hAnsi="宋体" w:eastAsia="宋体" w:cs="宋体"/>
          <w:sz w:val="24"/>
          <w:szCs w:val="20"/>
          <w:highlight w:val="none"/>
        </w:rPr>
        <w:t>详细评审阶段</w:t>
      </w:r>
    </w:p>
    <w:p w14:paraId="7A0DA51C">
      <w:pPr>
        <w:ind w:firstLine="48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bl>
      <w:tblPr>
        <w:tblStyle w:val="20"/>
        <w:tblW w:w="103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232"/>
        <w:gridCol w:w="599"/>
        <w:gridCol w:w="6399"/>
        <w:gridCol w:w="1290"/>
      </w:tblGrid>
      <w:tr w14:paraId="3CF82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850" w:type="dxa"/>
            <w:vAlign w:val="top"/>
          </w:tcPr>
          <w:p w14:paraId="4E72282F">
            <w:pPr>
              <w:pStyle w:val="21"/>
              <w:spacing w:before="237" w:line="183" w:lineRule="auto"/>
              <w:ind w:left="0" w:leftChars="0" w:firstLine="0" w:firstLineChars="0"/>
              <w:rPr>
                <w:sz w:val="18"/>
                <w:szCs w:val="18"/>
              </w:rPr>
            </w:pPr>
            <w:r>
              <w:rPr>
                <w:b/>
                <w:bCs/>
                <w:spacing w:val="-1"/>
                <w:sz w:val="18"/>
                <w:szCs w:val="18"/>
              </w:rPr>
              <w:t>序号</w:t>
            </w:r>
          </w:p>
        </w:tc>
        <w:tc>
          <w:tcPr>
            <w:tcW w:w="1232" w:type="dxa"/>
            <w:vAlign w:val="top"/>
          </w:tcPr>
          <w:p w14:paraId="135AEE1A">
            <w:pPr>
              <w:pStyle w:val="21"/>
              <w:spacing w:before="86" w:line="197" w:lineRule="auto"/>
              <w:ind w:left="0" w:leftChars="0" w:right="254" w:firstLine="0" w:firstLineChars="0"/>
              <w:rPr>
                <w:sz w:val="18"/>
                <w:szCs w:val="18"/>
              </w:rPr>
            </w:pPr>
            <w:r>
              <w:rPr>
                <w:b/>
                <w:bCs/>
                <w:spacing w:val="-1"/>
                <w:sz w:val="18"/>
                <w:szCs w:val="18"/>
              </w:rPr>
              <w:t>评分因素</w:t>
            </w:r>
            <w:r>
              <w:rPr>
                <w:b/>
                <w:bCs/>
                <w:sz w:val="18"/>
                <w:szCs w:val="18"/>
              </w:rPr>
              <w:t xml:space="preserve"> </w:t>
            </w:r>
            <w:r>
              <w:rPr>
                <w:b/>
                <w:bCs/>
                <w:spacing w:val="-1"/>
                <w:sz w:val="18"/>
                <w:szCs w:val="18"/>
              </w:rPr>
              <w:t>及权重</w:t>
            </w:r>
          </w:p>
        </w:tc>
        <w:tc>
          <w:tcPr>
            <w:tcW w:w="599" w:type="dxa"/>
            <w:vAlign w:val="top"/>
          </w:tcPr>
          <w:p w14:paraId="178A4CB4">
            <w:pPr>
              <w:pStyle w:val="21"/>
              <w:spacing w:before="237" w:line="183" w:lineRule="auto"/>
              <w:ind w:left="0" w:leftChars="0" w:firstLine="0" w:firstLineChars="0"/>
              <w:rPr>
                <w:sz w:val="18"/>
                <w:szCs w:val="18"/>
              </w:rPr>
            </w:pPr>
            <w:r>
              <w:rPr>
                <w:b/>
                <w:bCs/>
                <w:spacing w:val="-1"/>
                <w:sz w:val="18"/>
                <w:szCs w:val="18"/>
              </w:rPr>
              <w:t>分值</w:t>
            </w:r>
          </w:p>
        </w:tc>
        <w:tc>
          <w:tcPr>
            <w:tcW w:w="6399" w:type="dxa"/>
            <w:vAlign w:val="top"/>
          </w:tcPr>
          <w:p w14:paraId="661F513A">
            <w:pPr>
              <w:pStyle w:val="21"/>
              <w:spacing w:before="85" w:line="184" w:lineRule="auto"/>
              <w:ind w:left="2838"/>
              <w:rPr>
                <w:sz w:val="18"/>
                <w:szCs w:val="18"/>
              </w:rPr>
            </w:pPr>
            <w:r>
              <w:rPr>
                <w:b/>
                <w:bCs/>
                <w:spacing w:val="-1"/>
                <w:sz w:val="18"/>
                <w:szCs w:val="18"/>
              </w:rPr>
              <w:t>评分标准</w:t>
            </w:r>
          </w:p>
          <w:p w14:paraId="388E51EA">
            <w:pPr>
              <w:pStyle w:val="21"/>
              <w:spacing w:before="64" w:line="161" w:lineRule="auto"/>
              <w:ind w:left="1625"/>
              <w:rPr>
                <w:sz w:val="18"/>
                <w:szCs w:val="18"/>
              </w:rPr>
            </w:pPr>
            <w:r>
              <w:rPr>
                <w:b/>
                <w:bCs/>
                <w:spacing w:val="-1"/>
                <w:sz w:val="18"/>
                <w:szCs w:val="18"/>
              </w:rPr>
              <w:t>价     格：10 分</w:t>
            </w:r>
            <w:r>
              <w:rPr>
                <w:b/>
                <w:bCs/>
                <w:spacing w:val="7"/>
                <w:sz w:val="18"/>
                <w:szCs w:val="18"/>
              </w:rPr>
              <w:t xml:space="preserve">      </w:t>
            </w:r>
            <w:r>
              <w:rPr>
                <w:b/>
                <w:bCs/>
                <w:spacing w:val="-1"/>
                <w:sz w:val="18"/>
                <w:szCs w:val="18"/>
              </w:rPr>
              <w:t>商务及技术：90</w:t>
            </w:r>
            <w:r>
              <w:rPr>
                <w:b/>
                <w:bCs/>
                <w:spacing w:val="-2"/>
                <w:sz w:val="18"/>
                <w:szCs w:val="18"/>
              </w:rPr>
              <w:t xml:space="preserve"> 分</w:t>
            </w:r>
          </w:p>
        </w:tc>
        <w:tc>
          <w:tcPr>
            <w:tcW w:w="1290" w:type="dxa"/>
            <w:vAlign w:val="top"/>
          </w:tcPr>
          <w:p w14:paraId="338FEB23">
            <w:pPr>
              <w:pStyle w:val="21"/>
              <w:spacing w:before="237" w:line="183" w:lineRule="auto"/>
              <w:rPr>
                <w:sz w:val="18"/>
                <w:szCs w:val="18"/>
              </w:rPr>
            </w:pPr>
            <w:r>
              <w:rPr>
                <w:b/>
                <w:bCs/>
                <w:spacing w:val="-1"/>
                <w:sz w:val="18"/>
                <w:szCs w:val="18"/>
              </w:rPr>
              <w:t>说明</w:t>
            </w:r>
          </w:p>
        </w:tc>
      </w:tr>
      <w:tr w14:paraId="36F15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trPr>
        <w:tc>
          <w:tcPr>
            <w:tcW w:w="850" w:type="dxa"/>
            <w:tcBorders>
              <w:bottom w:val="single" w:color="auto" w:sz="4" w:space="0"/>
            </w:tcBorders>
            <w:vAlign w:val="top"/>
          </w:tcPr>
          <w:p w14:paraId="4240059A">
            <w:pPr>
              <w:spacing w:line="303" w:lineRule="auto"/>
              <w:rPr>
                <w:rFonts w:ascii="Arial"/>
                <w:sz w:val="21"/>
                <w:szCs w:val="21"/>
              </w:rPr>
            </w:pPr>
          </w:p>
          <w:p w14:paraId="2ABC0D54">
            <w:pPr>
              <w:pStyle w:val="21"/>
              <w:spacing w:before="78" w:line="183" w:lineRule="auto"/>
              <w:ind w:left="0" w:leftChars="0" w:firstLine="0" w:firstLineChars="0"/>
              <w:rPr>
                <w:sz w:val="21"/>
                <w:szCs w:val="21"/>
              </w:rPr>
            </w:pPr>
            <w:r>
              <w:rPr>
                <w:b/>
                <w:bCs/>
                <w:spacing w:val="-1"/>
                <w:sz w:val="21"/>
                <w:szCs w:val="21"/>
              </w:rPr>
              <w:t>价格评分标准</w:t>
            </w:r>
          </w:p>
        </w:tc>
        <w:tc>
          <w:tcPr>
            <w:tcW w:w="1232" w:type="dxa"/>
            <w:tcBorders>
              <w:bottom w:val="single" w:color="auto" w:sz="4" w:space="0"/>
            </w:tcBorders>
            <w:vAlign w:val="top"/>
          </w:tcPr>
          <w:p w14:paraId="7FF91C55">
            <w:pPr>
              <w:spacing w:line="454" w:lineRule="auto"/>
              <w:rPr>
                <w:rFonts w:ascii="Arial"/>
                <w:sz w:val="21"/>
                <w:szCs w:val="21"/>
              </w:rPr>
            </w:pPr>
          </w:p>
          <w:p w14:paraId="67A5C3C5">
            <w:pPr>
              <w:pStyle w:val="21"/>
              <w:spacing w:before="233" w:line="242" w:lineRule="auto"/>
              <w:ind w:left="101" w:right="99"/>
              <w:jc w:val="both"/>
              <w:rPr>
                <w:sz w:val="21"/>
                <w:szCs w:val="21"/>
              </w:rPr>
            </w:pPr>
            <w:r>
              <w:rPr>
                <w:rFonts w:hint="eastAsia" w:ascii="宋体" w:hAnsi="宋体" w:eastAsia="宋体" w:cs="宋体"/>
                <w:snapToGrid w:val="0"/>
                <w:color w:val="000000"/>
                <w:kern w:val="0"/>
                <w:sz w:val="24"/>
                <w:szCs w:val="20"/>
                <w:highlight w:val="none"/>
                <w:lang w:val="en-US" w:eastAsia="en-US" w:bidi="ar-SA"/>
              </w:rPr>
              <w:t>投标报价</w:t>
            </w:r>
          </w:p>
        </w:tc>
        <w:tc>
          <w:tcPr>
            <w:tcW w:w="599" w:type="dxa"/>
            <w:tcBorders>
              <w:bottom w:val="single" w:color="auto" w:sz="4" w:space="0"/>
            </w:tcBorders>
            <w:vAlign w:val="top"/>
          </w:tcPr>
          <w:p w14:paraId="06667084">
            <w:pPr>
              <w:spacing w:line="419" w:lineRule="auto"/>
              <w:rPr>
                <w:rFonts w:ascii="Arial"/>
                <w:sz w:val="21"/>
                <w:szCs w:val="21"/>
              </w:rPr>
            </w:pPr>
          </w:p>
          <w:p w14:paraId="5F2B423C">
            <w:pPr>
              <w:pStyle w:val="21"/>
              <w:spacing w:before="77" w:line="313" w:lineRule="exact"/>
              <w:ind w:left="0" w:leftChars="0" w:firstLine="0" w:firstLineChars="0"/>
              <w:rPr>
                <w:sz w:val="21"/>
                <w:szCs w:val="21"/>
              </w:rPr>
            </w:pPr>
            <w:r>
              <w:rPr>
                <w:spacing w:val="-5"/>
                <w:position w:val="3"/>
                <w:sz w:val="21"/>
                <w:szCs w:val="21"/>
              </w:rPr>
              <w:t>10</w:t>
            </w:r>
          </w:p>
        </w:tc>
        <w:tc>
          <w:tcPr>
            <w:tcW w:w="6399" w:type="dxa"/>
            <w:tcBorders>
              <w:bottom w:val="single" w:color="auto" w:sz="4" w:space="0"/>
            </w:tcBorders>
            <w:vAlign w:val="top"/>
          </w:tcPr>
          <w:p w14:paraId="476CB6CD">
            <w:pPr>
              <w:pStyle w:val="21"/>
              <w:spacing w:before="233" w:line="242" w:lineRule="auto"/>
              <w:ind w:left="101" w:right="99"/>
              <w:jc w:val="both"/>
              <w:rPr>
                <w:sz w:val="21"/>
                <w:szCs w:val="21"/>
              </w:rPr>
            </w:pPr>
            <w:r>
              <w:rPr>
                <w:rFonts w:hint="eastAsia" w:ascii="宋体" w:hAnsi="宋体" w:eastAsia="宋体" w:cs="宋体"/>
                <w:snapToGrid w:val="0"/>
                <w:color w:val="000000"/>
                <w:kern w:val="0"/>
                <w:sz w:val="24"/>
                <w:szCs w:val="20"/>
                <w:highlight w:val="none"/>
                <w:lang w:val="en-US" w:eastAsia="en-US" w:bidi="ar-SA"/>
              </w:rPr>
              <w:t>满足招标文件要求且投标报价最低的为评标基准价，其价格分为满分。 其他供 应商的价格分统一按照下列公式计算：投标报价得分＝（基准价/投标报价）×价 格权重×100。</w:t>
            </w:r>
          </w:p>
        </w:tc>
        <w:tc>
          <w:tcPr>
            <w:tcW w:w="1290" w:type="dxa"/>
            <w:tcBorders>
              <w:bottom w:val="single" w:color="auto" w:sz="4" w:space="0"/>
            </w:tcBorders>
            <w:vAlign w:val="top"/>
          </w:tcPr>
          <w:p w14:paraId="43B3D303">
            <w:pPr>
              <w:pStyle w:val="21"/>
              <w:spacing w:before="233" w:line="242" w:lineRule="auto"/>
              <w:ind w:left="101" w:right="99"/>
              <w:jc w:val="both"/>
              <w:rPr>
                <w:sz w:val="21"/>
                <w:szCs w:val="21"/>
              </w:rPr>
            </w:pPr>
            <w:r>
              <w:rPr>
                <w:rFonts w:hint="eastAsia" w:ascii="宋体" w:hAnsi="宋体" w:eastAsia="宋体" w:cs="宋体"/>
                <w:snapToGrid w:val="0"/>
                <w:color w:val="000000"/>
                <w:kern w:val="0"/>
                <w:sz w:val="24"/>
                <w:szCs w:val="20"/>
                <w:highlight w:val="none"/>
                <w:lang w:val="en-US" w:eastAsia="en-US" w:bidi="ar-SA"/>
              </w:rPr>
              <w:t>投标报价超过采购预算价的按废标 处理</w:t>
            </w:r>
          </w:p>
        </w:tc>
      </w:tr>
      <w:tr w14:paraId="17FB9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trPr>
        <w:tc>
          <w:tcPr>
            <w:tcW w:w="850" w:type="dxa"/>
            <w:vMerge w:val="restart"/>
            <w:tcBorders>
              <w:top w:val="single" w:color="auto" w:sz="4" w:space="0"/>
              <w:left w:val="single" w:color="auto" w:sz="4" w:space="0"/>
              <w:bottom w:val="single" w:color="auto" w:sz="4" w:space="0"/>
              <w:right w:val="single" w:color="auto" w:sz="4" w:space="0"/>
            </w:tcBorders>
            <w:vAlign w:val="top"/>
          </w:tcPr>
          <w:p w14:paraId="1A34C46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B19D7D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B25A7A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7D33A0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2268ED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584A299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F19734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0123603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0B22508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BF201E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4D9D5A5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3828A89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3B70BE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7983B1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45445DD7">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70C475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4A9F38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F1EEBCF">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75AEBD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4346CE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商务及技术评分标准</w:t>
            </w:r>
          </w:p>
        </w:tc>
        <w:tc>
          <w:tcPr>
            <w:tcW w:w="1232" w:type="dxa"/>
            <w:vMerge w:val="restart"/>
            <w:tcBorders>
              <w:top w:val="single" w:color="auto" w:sz="4" w:space="0"/>
              <w:left w:val="single" w:color="auto" w:sz="4" w:space="0"/>
              <w:bottom w:val="single" w:color="auto" w:sz="4" w:space="0"/>
              <w:right w:val="single" w:color="auto" w:sz="4" w:space="0"/>
            </w:tcBorders>
            <w:vAlign w:val="top"/>
          </w:tcPr>
          <w:p w14:paraId="72742FF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32B23E9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6A9DC2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0D126E8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4ECD5E2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类似业绩</w:t>
            </w:r>
          </w:p>
          <w:p w14:paraId="7C61C2D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7C9B5D6">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8A9FB7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599" w:type="dxa"/>
            <w:tcBorders>
              <w:top w:val="single" w:color="auto" w:sz="4" w:space="0"/>
              <w:left w:val="single" w:color="auto" w:sz="4" w:space="0"/>
              <w:bottom w:val="single" w:color="auto" w:sz="4" w:space="0"/>
              <w:right w:val="single" w:color="auto" w:sz="4" w:space="0"/>
            </w:tcBorders>
            <w:vAlign w:val="top"/>
          </w:tcPr>
          <w:p w14:paraId="077694C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zh-CN" w:bidi="ar-SA"/>
              </w:rPr>
            </w:pPr>
          </w:p>
          <w:p w14:paraId="7B84E92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zh-CN" w:bidi="ar-SA"/>
              </w:rPr>
              <w:tab/>
            </w:r>
            <w:r>
              <w:rPr>
                <w:rFonts w:hint="eastAsia" w:ascii="宋体" w:hAnsi="宋体" w:eastAsia="宋体" w:cs="宋体"/>
                <w:snapToGrid w:val="0"/>
                <w:color w:val="000000"/>
                <w:kern w:val="0"/>
                <w:sz w:val="24"/>
                <w:szCs w:val="20"/>
                <w:highlight w:val="none"/>
                <w:lang w:val="en-US" w:eastAsia="zh-CN" w:bidi="ar-SA"/>
              </w:rPr>
              <w:t>4</w:t>
            </w:r>
          </w:p>
        </w:tc>
        <w:tc>
          <w:tcPr>
            <w:tcW w:w="6399" w:type="dxa"/>
            <w:tcBorders>
              <w:top w:val="single" w:color="auto" w:sz="4" w:space="0"/>
              <w:left w:val="single" w:color="auto" w:sz="4" w:space="0"/>
              <w:bottom w:val="single" w:color="auto" w:sz="4" w:space="0"/>
              <w:right w:val="single" w:color="auto" w:sz="4" w:space="0"/>
            </w:tcBorders>
            <w:vAlign w:val="top"/>
          </w:tcPr>
          <w:p w14:paraId="7369483F">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投标人近三年(202</w:t>
            </w:r>
            <w:r>
              <w:rPr>
                <w:rFonts w:hint="eastAsia" w:ascii="宋体" w:hAnsi="宋体" w:eastAsia="宋体" w:cs="宋体"/>
                <w:snapToGrid w:val="0"/>
                <w:color w:val="000000"/>
                <w:kern w:val="0"/>
                <w:sz w:val="24"/>
                <w:szCs w:val="20"/>
                <w:highlight w:val="none"/>
                <w:lang w:val="en-US" w:eastAsia="zh-CN" w:bidi="ar-SA"/>
              </w:rPr>
              <w:t>3</w:t>
            </w:r>
            <w:r>
              <w:rPr>
                <w:rFonts w:hint="eastAsia" w:ascii="宋体" w:hAnsi="宋体" w:eastAsia="宋体" w:cs="宋体"/>
                <w:snapToGrid w:val="0"/>
                <w:color w:val="000000"/>
                <w:kern w:val="0"/>
                <w:sz w:val="24"/>
                <w:szCs w:val="20"/>
                <w:highlight w:val="none"/>
                <w:lang w:val="en-US" w:eastAsia="en-US" w:bidi="ar-SA"/>
              </w:rPr>
              <w:t xml:space="preserve"> 年</w:t>
            </w:r>
            <w:r>
              <w:rPr>
                <w:rFonts w:hint="eastAsia" w:ascii="宋体" w:hAnsi="宋体" w:eastAsia="宋体" w:cs="宋体"/>
                <w:snapToGrid w:val="0"/>
                <w:color w:val="000000"/>
                <w:kern w:val="0"/>
                <w:sz w:val="24"/>
                <w:szCs w:val="20"/>
                <w:highlight w:val="none"/>
                <w:lang w:val="en-US" w:eastAsia="zh-CN" w:bidi="ar-SA"/>
              </w:rPr>
              <w:t>6</w:t>
            </w:r>
            <w:r>
              <w:rPr>
                <w:rFonts w:hint="eastAsia" w:ascii="宋体" w:hAnsi="宋体" w:eastAsia="宋体" w:cs="宋体"/>
                <w:snapToGrid w:val="0"/>
                <w:color w:val="000000"/>
                <w:kern w:val="0"/>
                <w:sz w:val="24"/>
                <w:szCs w:val="20"/>
                <w:highlight w:val="none"/>
                <w:lang w:val="en-US" w:eastAsia="en-US" w:bidi="ar-SA"/>
              </w:rPr>
              <w:t>月至今)类似项目业绩，附合同或委托协议(须体现项目名称、项目时间、项目内容、签订双方单位名称及公章);证明材料应符合要求清晰可辨，否则将不予认定为有效业绩。每满足一项得 2 分，最高得 4 分。</w:t>
            </w:r>
          </w:p>
          <w:p w14:paraId="63F2A59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未提供证明材料或证明材料不满足要求的不得分。</w:t>
            </w:r>
          </w:p>
        </w:tc>
        <w:tc>
          <w:tcPr>
            <w:tcW w:w="1290" w:type="dxa"/>
            <w:tcBorders>
              <w:top w:val="single" w:color="auto" w:sz="4" w:space="0"/>
              <w:left w:val="single" w:color="auto" w:sz="4" w:space="0"/>
              <w:bottom w:val="single" w:color="auto" w:sz="4" w:space="0"/>
              <w:right w:val="single" w:color="auto" w:sz="4" w:space="0"/>
            </w:tcBorders>
            <w:vAlign w:val="top"/>
          </w:tcPr>
          <w:p w14:paraId="2EDE0BD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0125C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7C6E50D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vMerge w:val="continue"/>
            <w:tcBorders>
              <w:top w:val="single" w:color="auto" w:sz="4" w:space="0"/>
              <w:left w:val="single" w:color="auto" w:sz="4" w:space="0"/>
              <w:bottom w:val="single" w:color="auto" w:sz="4" w:space="0"/>
              <w:right w:val="single" w:color="auto" w:sz="4" w:space="0"/>
            </w:tcBorders>
            <w:vAlign w:val="top"/>
          </w:tcPr>
          <w:p w14:paraId="383CBB0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599" w:type="dxa"/>
            <w:tcBorders>
              <w:top w:val="single" w:color="auto" w:sz="4" w:space="0"/>
              <w:left w:val="single" w:color="auto" w:sz="4" w:space="0"/>
              <w:bottom w:val="single" w:color="auto" w:sz="4" w:space="0"/>
              <w:right w:val="single" w:color="auto" w:sz="4" w:space="0"/>
            </w:tcBorders>
            <w:vAlign w:val="top"/>
          </w:tcPr>
          <w:p w14:paraId="49366A0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11E6FB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zh-CN" w:bidi="ar-SA"/>
              </w:rPr>
              <w:t>4</w:t>
            </w:r>
          </w:p>
        </w:tc>
        <w:tc>
          <w:tcPr>
            <w:tcW w:w="6399" w:type="dxa"/>
            <w:tcBorders>
              <w:top w:val="single" w:color="auto" w:sz="4" w:space="0"/>
              <w:left w:val="single" w:color="auto" w:sz="4" w:space="0"/>
              <w:bottom w:val="single" w:color="auto" w:sz="4" w:space="0"/>
              <w:right w:val="single" w:color="auto" w:sz="4" w:space="0"/>
            </w:tcBorders>
            <w:vAlign w:val="top"/>
          </w:tcPr>
          <w:p w14:paraId="423F23E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提供项目负责人近三年(202</w:t>
            </w:r>
            <w:r>
              <w:rPr>
                <w:rFonts w:hint="eastAsia" w:ascii="宋体" w:hAnsi="宋体" w:eastAsia="宋体" w:cs="宋体"/>
                <w:snapToGrid w:val="0"/>
                <w:color w:val="000000"/>
                <w:kern w:val="0"/>
                <w:sz w:val="24"/>
                <w:szCs w:val="20"/>
                <w:highlight w:val="none"/>
                <w:lang w:val="en-US" w:eastAsia="zh-CN" w:bidi="ar-SA"/>
              </w:rPr>
              <w:t>3</w:t>
            </w:r>
            <w:r>
              <w:rPr>
                <w:rFonts w:hint="eastAsia" w:ascii="宋体" w:hAnsi="宋体" w:eastAsia="宋体" w:cs="宋体"/>
                <w:snapToGrid w:val="0"/>
                <w:color w:val="000000"/>
                <w:kern w:val="0"/>
                <w:sz w:val="24"/>
                <w:szCs w:val="20"/>
                <w:highlight w:val="none"/>
                <w:lang w:val="en-US" w:eastAsia="en-US" w:bidi="ar-SA"/>
              </w:rPr>
              <w:t>年</w:t>
            </w:r>
            <w:r>
              <w:rPr>
                <w:rFonts w:hint="eastAsia" w:ascii="宋体" w:hAnsi="宋体" w:eastAsia="宋体" w:cs="宋体"/>
                <w:snapToGrid w:val="0"/>
                <w:color w:val="000000"/>
                <w:kern w:val="0"/>
                <w:sz w:val="24"/>
                <w:szCs w:val="20"/>
                <w:highlight w:val="none"/>
                <w:lang w:val="en-US" w:eastAsia="zh-CN" w:bidi="ar-SA"/>
              </w:rPr>
              <w:t>6</w:t>
            </w:r>
            <w:r>
              <w:rPr>
                <w:rFonts w:hint="eastAsia" w:ascii="宋体" w:hAnsi="宋体" w:eastAsia="宋体" w:cs="宋体"/>
                <w:snapToGrid w:val="0"/>
                <w:color w:val="000000"/>
                <w:kern w:val="0"/>
                <w:sz w:val="24"/>
                <w:szCs w:val="20"/>
                <w:highlight w:val="none"/>
                <w:lang w:val="en-US" w:eastAsia="en-US" w:bidi="ar-SA"/>
              </w:rPr>
              <w:t>月至今)类似项目业绩，合同或委托协议或中标（成交）通知书，</w:t>
            </w:r>
            <w:r>
              <w:rPr>
                <w:rFonts w:hint="eastAsia" w:ascii="宋体" w:hAnsi="宋体" w:eastAsia="宋体" w:cs="宋体"/>
                <w:snapToGrid w:val="0"/>
                <w:color w:val="000000"/>
                <w:kern w:val="0"/>
                <w:sz w:val="24"/>
                <w:szCs w:val="20"/>
                <w:highlight w:val="none"/>
                <w:lang w:val="en-US" w:eastAsia="zh-CN" w:bidi="ar-SA"/>
              </w:rPr>
              <w:t>每</w:t>
            </w:r>
            <w:r>
              <w:rPr>
                <w:rFonts w:hint="eastAsia" w:ascii="宋体" w:hAnsi="宋体" w:eastAsia="宋体" w:cs="宋体"/>
                <w:snapToGrid w:val="0"/>
                <w:color w:val="000000"/>
                <w:kern w:val="0"/>
                <w:sz w:val="24"/>
                <w:szCs w:val="20"/>
                <w:highlight w:val="none"/>
                <w:lang w:val="en-US" w:eastAsia="en-US" w:bidi="ar-SA"/>
              </w:rPr>
              <w:t>提供一个得 2 分，最高可得 4 分。</w:t>
            </w:r>
          </w:p>
          <w:p w14:paraId="6E8D39F6">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注：合同或协议须体现项目名称、项目时间、项目内容、签订双方单位名称及 公章、项目负责人姓名及联系方式);证明材料应符合要求且清晰可辨，否则将不予认定为有效业绩。</w:t>
            </w:r>
          </w:p>
        </w:tc>
        <w:tc>
          <w:tcPr>
            <w:tcW w:w="1290" w:type="dxa"/>
            <w:tcBorders>
              <w:top w:val="single" w:color="auto" w:sz="4" w:space="0"/>
              <w:left w:val="single" w:color="auto" w:sz="4" w:space="0"/>
              <w:bottom w:val="single" w:color="auto" w:sz="4" w:space="0"/>
              <w:right w:val="single" w:color="auto" w:sz="4" w:space="0"/>
            </w:tcBorders>
            <w:vAlign w:val="top"/>
          </w:tcPr>
          <w:p w14:paraId="254D13DD">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665A9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034BD1C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7892B1F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30BFB5D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FC0B0DB">
            <w:pPr>
              <w:pStyle w:val="21"/>
              <w:spacing w:before="233" w:line="242" w:lineRule="auto"/>
              <w:ind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项目团队人员配备</w:t>
            </w:r>
          </w:p>
        </w:tc>
        <w:tc>
          <w:tcPr>
            <w:tcW w:w="599" w:type="dxa"/>
            <w:tcBorders>
              <w:top w:val="single" w:color="auto" w:sz="4" w:space="0"/>
              <w:left w:val="single" w:color="auto" w:sz="4" w:space="0"/>
              <w:bottom w:val="single" w:color="auto" w:sz="4" w:space="0"/>
              <w:right w:val="single" w:color="auto" w:sz="4" w:space="0"/>
            </w:tcBorders>
            <w:vAlign w:val="top"/>
          </w:tcPr>
          <w:p w14:paraId="3EF4A2C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C306AFD">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282E17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A8B5DE2">
            <w:pPr>
              <w:pStyle w:val="21"/>
              <w:spacing w:before="233" w:line="242" w:lineRule="auto"/>
              <w:ind w:left="101" w:right="99"/>
              <w:jc w:val="both"/>
              <w:rPr>
                <w:rFonts w:hint="default" w:ascii="宋体" w:hAnsi="宋体" w:eastAsia="宋体" w:cs="宋体"/>
                <w:snapToGrid w:val="0"/>
                <w:color w:val="000000"/>
                <w:kern w:val="0"/>
                <w:sz w:val="24"/>
                <w:szCs w:val="20"/>
                <w:highlight w:val="none"/>
                <w:lang w:val="en-US" w:eastAsia="zh-CN" w:bidi="ar-SA"/>
              </w:rPr>
            </w:pPr>
            <w:r>
              <w:rPr>
                <w:rFonts w:hint="eastAsia" w:ascii="宋体" w:hAnsi="宋体" w:eastAsia="宋体" w:cs="宋体"/>
                <w:snapToGrid w:val="0"/>
                <w:color w:val="000000"/>
                <w:kern w:val="0"/>
                <w:sz w:val="24"/>
                <w:szCs w:val="20"/>
                <w:highlight w:val="none"/>
                <w:lang w:val="en-US" w:eastAsia="zh-CN" w:bidi="ar-SA"/>
              </w:rPr>
              <w:t>10</w:t>
            </w:r>
          </w:p>
        </w:tc>
        <w:tc>
          <w:tcPr>
            <w:tcW w:w="6399" w:type="dxa"/>
            <w:tcBorders>
              <w:top w:val="single" w:color="auto" w:sz="4" w:space="0"/>
              <w:left w:val="single" w:color="auto" w:sz="4" w:space="0"/>
              <w:bottom w:val="single" w:color="auto" w:sz="4" w:space="0"/>
              <w:right w:val="single" w:color="auto" w:sz="4" w:space="0"/>
            </w:tcBorders>
            <w:vAlign w:val="top"/>
          </w:tcPr>
          <w:p w14:paraId="0E0F39C7">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投标人提供的拟投入的本项目团队人员(不含项目负责人)中具有建筑专业或结构专业高级技术职称或具有一级注册结构工程师的，每提供一个证书得 3 分； 具有建筑专业或结构专业中级技术职称及具有二级注册结构工程师的，每提供  一个证书得 2 分；本项最高得 10 分。</w:t>
            </w:r>
          </w:p>
          <w:p w14:paraId="6151D2B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同一人具有两个以上证书的，仅计算一次(以得分高的有效证书为准),须提供证书扫描件及投标截止时间前 6 个月内任意1 个月在投标单位缴纳社会保险证明材料扫描件，二者缺一不可，未提供或被评标委员会认定无效的，不得分。</w:t>
            </w:r>
          </w:p>
        </w:tc>
        <w:tc>
          <w:tcPr>
            <w:tcW w:w="1290" w:type="dxa"/>
            <w:tcBorders>
              <w:top w:val="single" w:color="auto" w:sz="4" w:space="0"/>
              <w:left w:val="single" w:color="auto" w:sz="4" w:space="0"/>
              <w:bottom w:val="single" w:color="auto" w:sz="4" w:space="0"/>
              <w:right w:val="single" w:color="auto" w:sz="4" w:space="0"/>
            </w:tcBorders>
            <w:vAlign w:val="top"/>
          </w:tcPr>
          <w:p w14:paraId="4552476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2C2F2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5D560A9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16789EC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A69A53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项目理解</w:t>
            </w:r>
          </w:p>
        </w:tc>
        <w:tc>
          <w:tcPr>
            <w:tcW w:w="599" w:type="dxa"/>
            <w:tcBorders>
              <w:top w:val="single" w:color="auto" w:sz="4" w:space="0"/>
              <w:left w:val="single" w:color="auto" w:sz="4" w:space="0"/>
              <w:bottom w:val="single" w:color="auto" w:sz="4" w:space="0"/>
              <w:right w:val="single" w:color="auto" w:sz="4" w:space="0"/>
            </w:tcBorders>
            <w:vAlign w:val="top"/>
          </w:tcPr>
          <w:p w14:paraId="27189EA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zh-CN" w:bidi="ar-SA"/>
              </w:rPr>
            </w:pPr>
          </w:p>
          <w:p w14:paraId="26BFB5CE">
            <w:pPr>
              <w:pStyle w:val="21"/>
              <w:spacing w:before="233" w:line="242" w:lineRule="auto"/>
              <w:ind w:left="101" w:right="99"/>
              <w:jc w:val="both"/>
              <w:rPr>
                <w:rFonts w:hint="default" w:ascii="宋体" w:hAnsi="宋体" w:eastAsia="宋体" w:cs="宋体"/>
                <w:snapToGrid w:val="0"/>
                <w:color w:val="000000"/>
                <w:kern w:val="0"/>
                <w:sz w:val="24"/>
                <w:szCs w:val="20"/>
                <w:highlight w:val="none"/>
                <w:lang w:val="en-US" w:eastAsia="zh-CN" w:bidi="ar-SA"/>
              </w:rPr>
            </w:pPr>
            <w:r>
              <w:rPr>
                <w:rFonts w:hint="eastAsia" w:ascii="宋体" w:hAnsi="宋体" w:eastAsia="宋体" w:cs="宋体"/>
                <w:snapToGrid w:val="0"/>
                <w:color w:val="000000"/>
                <w:kern w:val="0"/>
                <w:sz w:val="24"/>
                <w:szCs w:val="20"/>
                <w:highlight w:val="none"/>
                <w:lang w:val="en-US" w:eastAsia="zh-CN" w:bidi="ar-SA"/>
              </w:rPr>
              <w:t>15</w:t>
            </w:r>
          </w:p>
        </w:tc>
        <w:tc>
          <w:tcPr>
            <w:tcW w:w="6399" w:type="dxa"/>
            <w:tcBorders>
              <w:top w:val="single" w:color="auto" w:sz="4" w:space="0"/>
              <w:left w:val="single" w:color="auto" w:sz="4" w:space="0"/>
              <w:bottom w:val="single" w:color="auto" w:sz="4" w:space="0"/>
              <w:right w:val="single" w:color="auto" w:sz="4" w:space="0"/>
            </w:tcBorders>
            <w:vAlign w:val="top"/>
          </w:tcPr>
          <w:p w14:paraId="6571755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根据供应商针对本项目提供的需求理解进行评审，包括①项目背景</w:t>
            </w:r>
            <w:r>
              <w:rPr>
                <w:rFonts w:hint="eastAsia" w:ascii="宋体" w:hAnsi="宋体" w:eastAsia="宋体" w:cs="宋体"/>
                <w:snapToGrid w:val="0"/>
                <w:color w:val="000000"/>
                <w:kern w:val="0"/>
                <w:sz w:val="24"/>
                <w:szCs w:val="20"/>
                <w:highlight w:val="none"/>
                <w:lang w:val="en-US" w:eastAsia="zh-CN" w:bidi="ar-SA"/>
              </w:rPr>
              <w:t>；</w:t>
            </w:r>
            <w:r>
              <w:rPr>
                <w:rFonts w:hint="eastAsia" w:ascii="宋体" w:hAnsi="宋体" w:eastAsia="宋体" w:cs="宋体"/>
                <w:snapToGrid w:val="0"/>
                <w:color w:val="000000"/>
                <w:kern w:val="0"/>
                <w:sz w:val="24"/>
                <w:szCs w:val="20"/>
                <w:highlight w:val="none"/>
                <w:lang w:val="en-US" w:eastAsia="en-US" w:bidi="ar-SA"/>
              </w:rPr>
              <w:t>②项目现状</w:t>
            </w:r>
            <w:r>
              <w:rPr>
                <w:rFonts w:hint="eastAsia" w:ascii="宋体" w:hAnsi="宋体" w:eastAsia="宋体" w:cs="宋体"/>
                <w:snapToGrid w:val="0"/>
                <w:color w:val="000000"/>
                <w:kern w:val="0"/>
                <w:sz w:val="24"/>
                <w:szCs w:val="20"/>
                <w:highlight w:val="none"/>
                <w:lang w:val="en-US" w:eastAsia="zh-CN" w:bidi="ar-SA"/>
              </w:rPr>
              <w:t>；</w:t>
            </w:r>
            <w:r>
              <w:rPr>
                <w:rFonts w:hint="eastAsia" w:ascii="宋体" w:hAnsi="宋体" w:eastAsia="宋体" w:cs="宋体"/>
                <w:snapToGrid w:val="0"/>
                <w:color w:val="000000"/>
                <w:kern w:val="0"/>
                <w:sz w:val="24"/>
                <w:szCs w:val="20"/>
                <w:highlight w:val="none"/>
                <w:lang w:val="en-US" w:eastAsia="en-US" w:bidi="ar-SA"/>
              </w:rPr>
              <w:t>③需求分析</w:t>
            </w:r>
            <w:r>
              <w:rPr>
                <w:rFonts w:hint="eastAsia" w:ascii="宋体" w:hAnsi="宋体" w:eastAsia="宋体" w:cs="宋体"/>
                <w:snapToGrid w:val="0"/>
                <w:color w:val="000000"/>
                <w:kern w:val="0"/>
                <w:sz w:val="24"/>
                <w:szCs w:val="20"/>
                <w:highlight w:val="none"/>
                <w:lang w:val="en-US" w:eastAsia="zh-CN" w:bidi="ar-SA"/>
              </w:rPr>
              <w:t>；</w:t>
            </w:r>
            <w:r>
              <w:rPr>
                <w:rFonts w:hint="eastAsia" w:ascii="宋体" w:hAnsi="宋体" w:eastAsia="宋体" w:cs="宋体"/>
                <w:snapToGrid w:val="0"/>
                <w:color w:val="000000"/>
                <w:kern w:val="0"/>
                <w:sz w:val="24"/>
                <w:szCs w:val="20"/>
                <w:highlight w:val="none"/>
                <w:lang w:val="en-US" w:eastAsia="en-US" w:bidi="ar-SA"/>
              </w:rPr>
              <w:t>④整体工作流程</w:t>
            </w:r>
            <w:r>
              <w:rPr>
                <w:rFonts w:hint="eastAsia" w:ascii="宋体" w:hAnsi="宋体" w:eastAsia="宋体" w:cs="宋体"/>
                <w:snapToGrid w:val="0"/>
                <w:color w:val="000000"/>
                <w:kern w:val="0"/>
                <w:sz w:val="24"/>
                <w:szCs w:val="20"/>
                <w:highlight w:val="none"/>
                <w:lang w:val="en-US" w:eastAsia="zh-CN" w:bidi="ar-SA"/>
              </w:rPr>
              <w:t>；</w:t>
            </w:r>
            <w:r>
              <w:rPr>
                <w:rFonts w:hint="eastAsia" w:ascii="宋体" w:hAnsi="宋体" w:eastAsia="宋体" w:cs="宋体"/>
                <w:snapToGrid w:val="0"/>
                <w:color w:val="000000"/>
                <w:kern w:val="0"/>
                <w:sz w:val="24"/>
                <w:szCs w:val="20"/>
                <w:highlight w:val="none"/>
                <w:lang w:val="en-US" w:eastAsia="en-US" w:bidi="ar-SA"/>
              </w:rPr>
              <w:t>⑤工作依据等。以上</w:t>
            </w:r>
            <w:r>
              <w:rPr>
                <w:rFonts w:hint="eastAsia" w:ascii="宋体" w:hAnsi="宋体" w:eastAsia="宋体" w:cs="宋体"/>
                <w:snapToGrid w:val="0"/>
                <w:color w:val="000000"/>
                <w:kern w:val="0"/>
                <w:sz w:val="24"/>
                <w:szCs w:val="20"/>
                <w:highlight w:val="none"/>
                <w:lang w:val="en-US" w:eastAsia="zh-CN" w:bidi="ar-SA"/>
              </w:rPr>
              <w:t>内容</w:t>
            </w:r>
            <w:r>
              <w:rPr>
                <w:rFonts w:hint="eastAsia" w:ascii="宋体" w:hAnsi="宋体" w:eastAsia="宋体" w:cs="宋体"/>
                <w:snapToGrid w:val="0"/>
                <w:color w:val="000000"/>
                <w:kern w:val="0"/>
                <w:sz w:val="24"/>
                <w:szCs w:val="20"/>
                <w:highlight w:val="none"/>
                <w:lang w:val="en-US" w:eastAsia="en-US" w:bidi="ar-SA"/>
              </w:rPr>
              <w:t>贴合本项目实际情况、方案内容全面、逻辑清晰，完全满足项目采购需求的得 15 分，每有</w:t>
            </w:r>
            <w:r>
              <w:rPr>
                <w:rFonts w:hint="eastAsia" w:ascii="宋体" w:hAnsi="宋体" w:eastAsia="宋体" w:cs="宋体"/>
                <w:snapToGrid w:val="0"/>
                <w:color w:val="000000"/>
                <w:kern w:val="0"/>
                <w:sz w:val="24"/>
                <w:szCs w:val="20"/>
                <w:highlight w:val="none"/>
                <w:lang w:val="en-US" w:eastAsia="zh-CN" w:bidi="ar-SA"/>
              </w:rPr>
              <w:t xml:space="preserve"> </w:t>
            </w:r>
            <w:r>
              <w:rPr>
                <w:rFonts w:hint="eastAsia" w:ascii="宋体" w:hAnsi="宋体" w:eastAsia="宋体" w:cs="宋体"/>
                <w:snapToGrid w:val="0"/>
                <w:color w:val="000000"/>
                <w:kern w:val="0"/>
                <w:sz w:val="24"/>
                <w:szCs w:val="20"/>
                <w:highlight w:val="none"/>
                <w:lang w:val="en-US" w:eastAsia="en-US" w:bidi="ar-SA"/>
              </w:rPr>
              <w:t>1</w:t>
            </w:r>
            <w:r>
              <w:rPr>
                <w:rFonts w:hint="eastAsia" w:ascii="宋体" w:hAnsi="宋体" w:eastAsia="宋体" w:cs="宋体"/>
                <w:snapToGrid w:val="0"/>
                <w:color w:val="000000"/>
                <w:kern w:val="0"/>
                <w:sz w:val="24"/>
                <w:szCs w:val="20"/>
                <w:highlight w:val="none"/>
                <w:lang w:val="en-US" w:eastAsia="zh-CN" w:bidi="ar-SA"/>
              </w:rPr>
              <w:t xml:space="preserve"> </w:t>
            </w:r>
            <w:r>
              <w:rPr>
                <w:rFonts w:hint="eastAsia" w:ascii="宋体" w:hAnsi="宋体" w:eastAsia="宋体" w:cs="宋体"/>
                <w:snapToGrid w:val="0"/>
                <w:color w:val="000000"/>
                <w:kern w:val="0"/>
                <w:sz w:val="24"/>
                <w:szCs w:val="20"/>
                <w:highlight w:val="none"/>
                <w:lang w:val="en-US" w:eastAsia="en-US" w:bidi="ar-SA"/>
              </w:rPr>
              <w:t>处 瑕疵的扣 3 分，扣完为止。</w:t>
            </w:r>
          </w:p>
        </w:tc>
        <w:tc>
          <w:tcPr>
            <w:tcW w:w="1290" w:type="dxa"/>
            <w:vMerge w:val="restart"/>
            <w:tcBorders>
              <w:top w:val="single" w:color="auto" w:sz="4" w:space="0"/>
              <w:left w:val="single" w:color="auto" w:sz="4" w:space="0"/>
              <w:bottom w:val="single" w:color="auto" w:sz="4" w:space="0"/>
              <w:right w:val="single" w:color="auto" w:sz="4" w:space="0"/>
            </w:tcBorders>
            <w:vAlign w:val="top"/>
          </w:tcPr>
          <w:p w14:paraId="1D09F62D">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3B80B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4687783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6F17AA7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重点难点分析</w:t>
            </w:r>
          </w:p>
        </w:tc>
        <w:tc>
          <w:tcPr>
            <w:tcW w:w="599" w:type="dxa"/>
            <w:tcBorders>
              <w:top w:val="single" w:color="auto" w:sz="4" w:space="0"/>
              <w:left w:val="single" w:color="auto" w:sz="4" w:space="0"/>
              <w:bottom w:val="single" w:color="auto" w:sz="4" w:space="0"/>
              <w:right w:val="single" w:color="auto" w:sz="4" w:space="0"/>
            </w:tcBorders>
            <w:vAlign w:val="top"/>
          </w:tcPr>
          <w:p w14:paraId="720F461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10</w:t>
            </w:r>
          </w:p>
        </w:tc>
        <w:tc>
          <w:tcPr>
            <w:tcW w:w="6399" w:type="dxa"/>
            <w:tcBorders>
              <w:top w:val="single" w:color="auto" w:sz="4" w:space="0"/>
              <w:left w:val="single" w:color="auto" w:sz="4" w:space="0"/>
              <w:bottom w:val="single" w:color="auto" w:sz="4" w:space="0"/>
              <w:right w:val="single" w:color="auto" w:sz="4" w:space="0"/>
            </w:tcBorders>
            <w:vAlign w:val="top"/>
          </w:tcPr>
          <w:p w14:paraId="1CAE9C36">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根据本项目特点及实际情况，提供完善、细致的重点难点分析方案，方案先进、 规范、科学合理、可行性强，得 10 分。每有</w:t>
            </w:r>
            <w:r>
              <w:rPr>
                <w:rFonts w:hint="eastAsia" w:ascii="宋体" w:hAnsi="宋体" w:eastAsia="宋体" w:cs="宋体"/>
                <w:snapToGrid w:val="0"/>
                <w:color w:val="000000"/>
                <w:kern w:val="0"/>
                <w:sz w:val="24"/>
                <w:szCs w:val="20"/>
                <w:highlight w:val="none"/>
                <w:lang w:val="en-US" w:eastAsia="zh-CN" w:bidi="ar-SA"/>
              </w:rPr>
              <w:t xml:space="preserve"> </w:t>
            </w:r>
            <w:r>
              <w:rPr>
                <w:rFonts w:hint="eastAsia" w:ascii="宋体" w:hAnsi="宋体" w:eastAsia="宋体" w:cs="宋体"/>
                <w:snapToGrid w:val="0"/>
                <w:color w:val="000000"/>
                <w:kern w:val="0"/>
                <w:sz w:val="24"/>
                <w:szCs w:val="20"/>
                <w:highlight w:val="none"/>
                <w:lang w:val="en-US" w:eastAsia="en-US" w:bidi="ar-SA"/>
              </w:rPr>
              <w:t>1 处瑕疵的扣 1 分，扣完为止。</w:t>
            </w:r>
          </w:p>
        </w:tc>
        <w:tc>
          <w:tcPr>
            <w:tcW w:w="1290" w:type="dxa"/>
            <w:vMerge w:val="continue"/>
            <w:tcBorders>
              <w:top w:val="single" w:color="auto" w:sz="4" w:space="0"/>
              <w:left w:val="single" w:color="auto" w:sz="4" w:space="0"/>
              <w:bottom w:val="single" w:color="auto" w:sz="4" w:space="0"/>
              <w:right w:val="single" w:color="auto" w:sz="4" w:space="0"/>
            </w:tcBorders>
            <w:vAlign w:val="top"/>
          </w:tcPr>
          <w:p w14:paraId="7DFE2AE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62C66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3D9B7E6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4D6B1AE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47D2E7AB">
            <w:pPr>
              <w:pStyle w:val="21"/>
              <w:spacing w:before="233" w:line="242" w:lineRule="auto"/>
              <w:ind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具体鉴定评估实施方案</w:t>
            </w:r>
          </w:p>
        </w:tc>
        <w:tc>
          <w:tcPr>
            <w:tcW w:w="599" w:type="dxa"/>
            <w:tcBorders>
              <w:top w:val="single" w:color="auto" w:sz="4" w:space="0"/>
              <w:left w:val="single" w:color="auto" w:sz="4" w:space="0"/>
              <w:bottom w:val="single" w:color="auto" w:sz="4" w:space="0"/>
              <w:right w:val="single" w:color="auto" w:sz="4" w:space="0"/>
            </w:tcBorders>
            <w:vAlign w:val="top"/>
          </w:tcPr>
          <w:p w14:paraId="2578436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5893294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08C65A80">
            <w:pPr>
              <w:pStyle w:val="21"/>
              <w:spacing w:before="233" w:line="242" w:lineRule="auto"/>
              <w:ind w:left="101" w:right="99"/>
              <w:jc w:val="both"/>
              <w:rPr>
                <w:rFonts w:hint="default" w:ascii="宋体" w:hAnsi="宋体" w:eastAsia="宋体" w:cs="宋体"/>
                <w:snapToGrid w:val="0"/>
                <w:color w:val="000000"/>
                <w:kern w:val="0"/>
                <w:sz w:val="24"/>
                <w:szCs w:val="20"/>
                <w:highlight w:val="none"/>
                <w:lang w:val="en-US" w:eastAsia="zh-CN" w:bidi="ar-SA"/>
              </w:rPr>
            </w:pPr>
            <w:r>
              <w:rPr>
                <w:rFonts w:hint="eastAsia" w:ascii="宋体" w:hAnsi="宋体" w:eastAsia="宋体" w:cs="宋体"/>
                <w:snapToGrid w:val="0"/>
                <w:color w:val="000000"/>
                <w:kern w:val="0"/>
                <w:sz w:val="24"/>
                <w:szCs w:val="20"/>
                <w:highlight w:val="none"/>
                <w:lang w:val="en-US" w:eastAsia="zh-CN" w:bidi="ar-SA"/>
              </w:rPr>
              <w:t>24</w:t>
            </w:r>
          </w:p>
        </w:tc>
        <w:tc>
          <w:tcPr>
            <w:tcW w:w="6399" w:type="dxa"/>
            <w:tcBorders>
              <w:top w:val="single" w:color="auto" w:sz="4" w:space="0"/>
              <w:left w:val="single" w:color="auto" w:sz="4" w:space="0"/>
              <w:bottom w:val="single" w:color="auto" w:sz="4" w:space="0"/>
              <w:right w:val="single" w:color="auto" w:sz="4" w:space="0"/>
            </w:tcBorders>
            <w:vAlign w:val="top"/>
          </w:tcPr>
          <w:p w14:paraId="77CB87C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根据供应商针对本项目提供的具体鉴定评估方案进行评审，包括①场地情况鉴定评估实施方案；②地基基础鉴定评估实施方案； ③上部结构鉴定评估实施方案；④隔震与消能减震设施鉴定评估施方案；⑤建筑非结构构件及附属设施鉴定 评估实施方案；⑥以上方案贴合本项目实际情况、方案内容全面、逻辑清晰， 完全满足项目采购需求的得 24 分，每有</w:t>
            </w:r>
            <w:r>
              <w:rPr>
                <w:rFonts w:hint="eastAsia" w:ascii="宋体" w:hAnsi="宋体" w:eastAsia="宋体" w:cs="宋体"/>
                <w:snapToGrid w:val="0"/>
                <w:color w:val="000000"/>
                <w:kern w:val="0"/>
                <w:sz w:val="24"/>
                <w:szCs w:val="20"/>
                <w:highlight w:val="none"/>
                <w:lang w:val="en-US" w:eastAsia="zh-CN" w:bidi="ar-SA"/>
              </w:rPr>
              <w:t xml:space="preserve"> </w:t>
            </w:r>
            <w:r>
              <w:rPr>
                <w:rFonts w:hint="eastAsia" w:ascii="宋体" w:hAnsi="宋体" w:eastAsia="宋体" w:cs="宋体"/>
                <w:snapToGrid w:val="0"/>
                <w:color w:val="000000"/>
                <w:kern w:val="0"/>
                <w:sz w:val="24"/>
                <w:szCs w:val="20"/>
                <w:highlight w:val="none"/>
                <w:lang w:val="en-US" w:eastAsia="en-US" w:bidi="ar-SA"/>
              </w:rPr>
              <w:t>1 处瑕疵的扣 4 分，扣完为止。</w:t>
            </w:r>
          </w:p>
        </w:tc>
        <w:tc>
          <w:tcPr>
            <w:tcW w:w="1290" w:type="dxa"/>
            <w:vMerge w:val="continue"/>
            <w:tcBorders>
              <w:top w:val="single" w:color="auto" w:sz="4" w:space="0"/>
              <w:left w:val="single" w:color="auto" w:sz="4" w:space="0"/>
              <w:bottom w:val="single" w:color="auto" w:sz="4" w:space="0"/>
              <w:right w:val="single" w:color="auto" w:sz="4" w:space="0"/>
            </w:tcBorders>
            <w:vAlign w:val="top"/>
          </w:tcPr>
          <w:p w14:paraId="75CE4B2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0D92C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1B5A9F3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5870CCA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649B11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D8E63A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服务方案</w:t>
            </w:r>
          </w:p>
        </w:tc>
        <w:tc>
          <w:tcPr>
            <w:tcW w:w="599" w:type="dxa"/>
            <w:tcBorders>
              <w:top w:val="single" w:color="auto" w:sz="4" w:space="0"/>
              <w:left w:val="single" w:color="auto" w:sz="4" w:space="0"/>
              <w:bottom w:val="single" w:color="auto" w:sz="4" w:space="0"/>
              <w:right w:val="single" w:color="auto" w:sz="4" w:space="0"/>
            </w:tcBorders>
            <w:vAlign w:val="top"/>
          </w:tcPr>
          <w:p w14:paraId="39AD226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9F57F4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FF6B003">
            <w:pPr>
              <w:pStyle w:val="21"/>
              <w:spacing w:before="233" w:line="242" w:lineRule="auto"/>
              <w:ind w:left="101" w:right="99"/>
              <w:jc w:val="both"/>
              <w:rPr>
                <w:rFonts w:hint="default" w:ascii="宋体" w:hAnsi="宋体" w:eastAsia="宋体" w:cs="宋体"/>
                <w:snapToGrid w:val="0"/>
                <w:color w:val="000000"/>
                <w:kern w:val="0"/>
                <w:sz w:val="24"/>
                <w:szCs w:val="20"/>
                <w:highlight w:val="none"/>
                <w:lang w:val="en-US" w:eastAsia="zh-CN" w:bidi="ar-SA"/>
              </w:rPr>
            </w:pPr>
            <w:r>
              <w:rPr>
                <w:rFonts w:hint="eastAsia" w:ascii="宋体" w:hAnsi="宋体" w:eastAsia="宋体" w:cs="宋体"/>
                <w:snapToGrid w:val="0"/>
                <w:color w:val="000000"/>
                <w:kern w:val="0"/>
                <w:sz w:val="24"/>
                <w:szCs w:val="20"/>
                <w:highlight w:val="none"/>
                <w:lang w:val="en-US" w:eastAsia="zh-CN" w:bidi="ar-SA"/>
              </w:rPr>
              <w:t>10</w:t>
            </w:r>
          </w:p>
        </w:tc>
        <w:tc>
          <w:tcPr>
            <w:tcW w:w="6399" w:type="dxa"/>
            <w:tcBorders>
              <w:top w:val="single" w:color="auto" w:sz="4" w:space="0"/>
              <w:left w:val="single" w:color="auto" w:sz="4" w:space="0"/>
              <w:bottom w:val="single" w:color="auto" w:sz="4" w:space="0"/>
              <w:right w:val="single" w:color="auto" w:sz="4" w:space="0"/>
            </w:tcBorders>
            <w:vAlign w:val="top"/>
          </w:tcPr>
          <w:p w14:paraId="2B5A779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根据项目情况提供①项目质量保障方案、②项目进度保障方案、③项目组织管理 方案，④鉴定报告管理方案，⑤根据鉴定结果对安全性或抗震性存在问题的房屋 提供初步加固方案，以及大概所需加固资金预算等；以上方案贴合本项目实际 情况、方案内容全面、逻辑清晰，  完全满足项目采购需求的得 10 分，每有1 处 瑕疵的扣 2 分，扣完为止</w:t>
            </w:r>
          </w:p>
        </w:tc>
        <w:tc>
          <w:tcPr>
            <w:tcW w:w="1290" w:type="dxa"/>
            <w:vMerge w:val="continue"/>
            <w:tcBorders>
              <w:top w:val="single" w:color="auto" w:sz="4" w:space="0"/>
              <w:left w:val="single" w:color="auto" w:sz="4" w:space="0"/>
              <w:bottom w:val="single" w:color="auto" w:sz="4" w:space="0"/>
              <w:right w:val="single" w:color="auto" w:sz="4" w:space="0"/>
            </w:tcBorders>
            <w:vAlign w:val="top"/>
          </w:tcPr>
          <w:p w14:paraId="2697BCA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bl>
    <w:tbl>
      <w:tblPr>
        <w:tblStyle w:val="20"/>
        <w:tblpPr w:leftFromText="180" w:rightFromText="180" w:vertAnchor="text" w:horzAnchor="page" w:tblpX="898" w:tblpY="5"/>
        <w:tblOverlap w:val="never"/>
        <w:tblW w:w="10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1216"/>
        <w:gridCol w:w="628"/>
        <w:gridCol w:w="6395"/>
        <w:gridCol w:w="1266"/>
      </w:tblGrid>
      <w:tr w14:paraId="4DE07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845" w:type="dxa"/>
            <w:vMerge w:val="restart"/>
            <w:tcBorders>
              <w:bottom w:val="single" w:color="auto" w:sz="4" w:space="0"/>
              <w:right w:val="single" w:color="auto" w:sz="4" w:space="0"/>
            </w:tcBorders>
            <w:vAlign w:val="top"/>
          </w:tcPr>
          <w:p w14:paraId="57D9D00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16" w:type="dxa"/>
            <w:tcBorders>
              <w:left w:val="single" w:color="auto" w:sz="4" w:space="0"/>
              <w:bottom w:val="single" w:color="auto" w:sz="4" w:space="0"/>
              <w:right w:val="single" w:color="auto" w:sz="4" w:space="0"/>
            </w:tcBorders>
            <w:vAlign w:val="top"/>
          </w:tcPr>
          <w:p w14:paraId="38FC82FF">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E64491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合理化建议与措施</w:t>
            </w:r>
          </w:p>
        </w:tc>
        <w:tc>
          <w:tcPr>
            <w:tcW w:w="628" w:type="dxa"/>
            <w:tcBorders>
              <w:left w:val="single" w:color="auto" w:sz="4" w:space="0"/>
              <w:bottom w:val="single" w:color="auto" w:sz="4" w:space="0"/>
              <w:right w:val="single" w:color="auto" w:sz="4" w:space="0"/>
            </w:tcBorders>
            <w:vAlign w:val="top"/>
          </w:tcPr>
          <w:p w14:paraId="684DA454">
            <w:pPr>
              <w:pStyle w:val="21"/>
              <w:spacing w:before="233" w:line="242" w:lineRule="auto"/>
              <w:ind w:right="99"/>
              <w:jc w:val="both"/>
              <w:rPr>
                <w:rFonts w:hint="eastAsia" w:ascii="宋体" w:hAnsi="宋体" w:eastAsia="宋体" w:cs="宋体"/>
                <w:snapToGrid w:val="0"/>
                <w:color w:val="000000"/>
                <w:kern w:val="0"/>
                <w:sz w:val="24"/>
                <w:szCs w:val="20"/>
                <w:highlight w:val="none"/>
                <w:lang w:val="en-US" w:eastAsia="zh-CN" w:bidi="ar-SA"/>
              </w:rPr>
            </w:pPr>
          </w:p>
          <w:p w14:paraId="7AD2DDB2">
            <w:pPr>
              <w:pStyle w:val="21"/>
              <w:spacing w:before="233" w:line="242" w:lineRule="auto"/>
              <w:ind w:right="99"/>
              <w:jc w:val="center"/>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zh-CN" w:bidi="ar-SA"/>
              </w:rPr>
              <w:t>5</w:t>
            </w:r>
          </w:p>
        </w:tc>
        <w:tc>
          <w:tcPr>
            <w:tcW w:w="6395" w:type="dxa"/>
            <w:tcBorders>
              <w:left w:val="single" w:color="auto" w:sz="4" w:space="0"/>
              <w:bottom w:val="single" w:color="auto" w:sz="4" w:space="0"/>
              <w:right w:val="single" w:color="auto" w:sz="4" w:space="0"/>
            </w:tcBorders>
            <w:vAlign w:val="top"/>
          </w:tcPr>
          <w:p w14:paraId="3671754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是否有招标文件中未提及的，但有益于本项目实施的合理化建议与措施，提供详细的建议事项以及相对应建议事项的解决措施得 5 分，提供了合理化建议但未提供相对应的建议事项的解决措施或提供解决措施与建议事项无关的得 2 分， 未提供此项不得分。</w:t>
            </w:r>
          </w:p>
        </w:tc>
        <w:tc>
          <w:tcPr>
            <w:tcW w:w="1266" w:type="dxa"/>
            <w:tcBorders>
              <w:left w:val="single" w:color="auto" w:sz="4" w:space="0"/>
              <w:bottom w:val="single" w:color="auto" w:sz="4" w:space="0"/>
            </w:tcBorders>
            <w:vAlign w:val="top"/>
          </w:tcPr>
          <w:p w14:paraId="0573486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739F9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5" w:hRule="atLeast"/>
        </w:trPr>
        <w:tc>
          <w:tcPr>
            <w:tcW w:w="845" w:type="dxa"/>
            <w:vMerge w:val="continue"/>
            <w:tcBorders>
              <w:top w:val="single" w:color="auto" w:sz="4" w:space="0"/>
              <w:right w:val="single" w:color="auto" w:sz="4" w:space="0"/>
            </w:tcBorders>
            <w:vAlign w:val="top"/>
          </w:tcPr>
          <w:p w14:paraId="14DCCF1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16" w:type="dxa"/>
            <w:tcBorders>
              <w:top w:val="single" w:color="auto" w:sz="4" w:space="0"/>
              <w:left w:val="single" w:color="auto" w:sz="4" w:space="0"/>
              <w:right w:val="single" w:color="auto" w:sz="4" w:space="0"/>
            </w:tcBorders>
            <w:vAlign w:val="top"/>
          </w:tcPr>
          <w:p w14:paraId="05EE811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313A1FE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D9CE4D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E13B13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服务承诺</w:t>
            </w:r>
          </w:p>
        </w:tc>
        <w:tc>
          <w:tcPr>
            <w:tcW w:w="628" w:type="dxa"/>
            <w:tcBorders>
              <w:top w:val="single" w:color="auto" w:sz="4" w:space="0"/>
              <w:left w:val="single" w:color="auto" w:sz="4" w:space="0"/>
              <w:right w:val="single" w:color="auto" w:sz="4" w:space="0"/>
            </w:tcBorders>
            <w:vAlign w:val="top"/>
          </w:tcPr>
          <w:p w14:paraId="6CD9B97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117E366">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0ABEAD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zh-CN" w:bidi="ar-SA"/>
              </w:rPr>
            </w:pPr>
          </w:p>
          <w:p w14:paraId="17026C4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zh-CN" w:bidi="ar-SA"/>
              </w:rPr>
              <w:t>8</w:t>
            </w:r>
          </w:p>
        </w:tc>
        <w:tc>
          <w:tcPr>
            <w:tcW w:w="6395" w:type="dxa"/>
            <w:tcBorders>
              <w:top w:val="single" w:color="auto" w:sz="4" w:space="0"/>
              <w:left w:val="single" w:color="auto" w:sz="4" w:space="0"/>
              <w:right w:val="single" w:color="auto" w:sz="4" w:space="0"/>
            </w:tcBorders>
            <w:vAlign w:val="top"/>
          </w:tcPr>
          <w:p w14:paraId="2AD2C16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bookmarkStart w:id="80" w:name="_GoBack"/>
            <w:r>
              <w:rPr>
                <w:rFonts w:hint="eastAsia" w:ascii="宋体" w:hAnsi="宋体" w:eastAsia="宋体" w:cs="宋体"/>
                <w:snapToGrid w:val="0"/>
                <w:color w:val="000000"/>
                <w:kern w:val="0"/>
                <w:sz w:val="24"/>
                <w:szCs w:val="20"/>
                <w:highlight w:val="none"/>
                <w:lang w:val="en-US" w:eastAsia="en-US" w:bidi="ar-SA"/>
              </w:rPr>
              <w:t>为保证项实施，供应商须提供服务承诺书，承诺内容须包含：①后期参与本项目实施人员须为投标标书内提供得人员，②项目进度与采购单位实时汇报、跟进， ③项目实施期间不消极怠工，④未能完成任务及违反相关规定的相应处罚。供应商承诺内容全面，有明确的违约处罚规定，文字表述清晰、详细的，得 8 分；其中承诺的内容不全、无明确的违约处罚规定、文字表述不清晰、不详细，缺项漏项或不能满足采购方需求的，每有一项扣 2 分，扣完为止，未提供的此项不得分。（注：承诺函书格式自拟）</w:t>
            </w:r>
            <w:bookmarkEnd w:id="80"/>
          </w:p>
        </w:tc>
        <w:tc>
          <w:tcPr>
            <w:tcW w:w="1266" w:type="dxa"/>
            <w:tcBorders>
              <w:top w:val="single" w:color="auto" w:sz="4" w:space="0"/>
              <w:left w:val="single" w:color="auto" w:sz="4" w:space="0"/>
            </w:tcBorders>
            <w:vAlign w:val="top"/>
          </w:tcPr>
          <w:p w14:paraId="4ED82CE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7C95C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10350" w:type="dxa"/>
            <w:gridSpan w:val="5"/>
            <w:vAlign w:val="top"/>
          </w:tcPr>
          <w:p w14:paraId="7068D6D7">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注：本评分表所称“瑕疵”是指方案非专门针对本项目或不适用本项目特性、套用其他项目内容、对同一问题前后表述矛盾、存 在逻辑漏洞、标准引用错误、科学原理或常识错误、不利于本项目目标的实现、现有技术条件下不可能出现的情形等任意一种情 形。</w:t>
            </w:r>
          </w:p>
        </w:tc>
      </w:tr>
    </w:tbl>
    <w:p w14:paraId="49F11FD9">
      <w:pPr>
        <w:pStyle w:val="7"/>
        <w:rPr>
          <w:sz w:val="21"/>
          <w:szCs w:val="21"/>
        </w:rPr>
      </w:pPr>
    </w:p>
    <w:p w14:paraId="56B64DC4">
      <w:pPr>
        <w:rPr>
          <w:sz w:val="21"/>
          <w:szCs w:val="21"/>
        </w:rPr>
        <w:sectPr>
          <w:footerReference r:id="rId13" w:type="default"/>
          <w:pgSz w:w="11905" w:h="16839"/>
          <w:pgMar w:top="400" w:right="645" w:bottom="1197" w:left="879" w:header="0" w:footer="963" w:gutter="0"/>
          <w:pgNumType w:fmt="decimal"/>
          <w:cols w:space="720" w:num="1"/>
        </w:sectPr>
      </w:pPr>
    </w:p>
    <w:p w14:paraId="3FE2322A">
      <w:pPr>
        <w:spacing w:before="18"/>
        <w:rPr>
          <w:sz w:val="21"/>
          <w:szCs w:val="21"/>
        </w:rPr>
      </w:pPr>
    </w:p>
    <w:p w14:paraId="4250F5E2">
      <w:pPr>
        <w:pStyle w:val="5"/>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一、评标原则</w:t>
      </w:r>
    </w:p>
    <w:p w14:paraId="67D25F62">
      <w:pPr>
        <w:pStyle w:val="14"/>
        <w:tabs>
          <w:tab w:val="right" w:leader="dot" w:pos="9185"/>
        </w:tabs>
        <w:spacing w:line="360" w:lineRule="auto"/>
        <w:ind w:left="0"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评标依据：评委将以竞争性磋商文件和竞争性磋商响应文件为评标依据，对供应商的报价、技术、商务等内容打分。其中价格分10分；技术、商务90分。</w:t>
      </w:r>
    </w:p>
    <w:p w14:paraId="3767B110">
      <w:pPr>
        <w:pStyle w:val="5"/>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二、评标方法</w:t>
      </w:r>
    </w:p>
    <w:p w14:paraId="21B22DDF">
      <w:pPr>
        <w:pStyle w:val="14"/>
        <w:tabs>
          <w:tab w:val="right" w:leader="dot" w:pos="9185"/>
        </w:tabs>
        <w:spacing w:line="360" w:lineRule="auto"/>
        <w:ind w:left="0"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（一）对进入详评的，采用百分制综合评分法。</w:t>
      </w:r>
    </w:p>
    <w:p w14:paraId="491A0048">
      <w:pPr>
        <w:pStyle w:val="14"/>
        <w:tabs>
          <w:tab w:val="right" w:leader="dot" w:pos="9185"/>
        </w:tabs>
        <w:spacing w:line="360" w:lineRule="auto"/>
        <w:ind w:left="0"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（二）计分办法（按四舍五入取至百分位）：</w:t>
      </w:r>
    </w:p>
    <w:p w14:paraId="162E8AEB">
      <w:pPr>
        <w:ind w:firstLine="480"/>
        <w:rPr>
          <w:rFonts w:hint="eastAsia" w:cs="宋体"/>
          <w:color w:val="auto"/>
          <w:sz w:val="24"/>
          <w:szCs w:val="24"/>
          <w:highlight w:val="none"/>
        </w:rPr>
      </w:pPr>
      <w:r>
        <w:rPr>
          <w:rFonts w:hint="eastAsia" w:cs="宋体"/>
          <w:color w:val="auto"/>
          <w:sz w:val="24"/>
          <w:szCs w:val="24"/>
          <w:highlight w:val="none"/>
        </w:rPr>
        <w:t>1、根据《政府采购促进中小企业发展管理办法》（财库〔2020〕46号）的规定，投标人为小型或微型企业且所投产品为小型或微型企业生产的，其磋商报价扣除</w:t>
      </w:r>
      <w:r>
        <w:rPr>
          <w:rFonts w:hint="eastAsia" w:cs="宋体"/>
          <w:color w:val="auto"/>
          <w:sz w:val="24"/>
          <w:szCs w:val="24"/>
          <w:highlight w:val="none"/>
          <w:lang w:val="en-US" w:eastAsia="zh-CN"/>
        </w:rPr>
        <w:t>10</w:t>
      </w:r>
      <w:r>
        <w:rPr>
          <w:rFonts w:hint="eastAsia" w:cs="宋体"/>
          <w:color w:val="auto"/>
          <w:sz w:val="24"/>
          <w:szCs w:val="24"/>
          <w:highlight w:val="none"/>
        </w:rPr>
        <w:t>%后参与评审。响应文件中须同时提供：投标人、投标产品制造商的小微企业证明（中小企业资格确认意见书或者磋商截止时间前7日内“国家企业信用信息公示系统——小微企业名录”页面查询结果），未提供完整证明材料的，磋商报价不予扣减。</w:t>
      </w:r>
    </w:p>
    <w:p w14:paraId="7F2E0A30">
      <w:pPr>
        <w:ind w:firstLine="480"/>
        <w:rPr>
          <w:rFonts w:hint="eastAsia" w:cs="宋体"/>
          <w:color w:val="auto"/>
          <w:sz w:val="24"/>
          <w:szCs w:val="24"/>
          <w:highlight w:val="none"/>
        </w:rPr>
      </w:pPr>
      <w:r>
        <w:rPr>
          <w:rFonts w:hint="eastAsia" w:cs="宋体"/>
          <w:color w:val="auto"/>
          <w:sz w:val="24"/>
          <w:szCs w:val="24"/>
          <w:highlight w:val="none"/>
        </w:rPr>
        <w:t>2、根据《关于政府采购支持监狱企业发展有关问题的通知》（财库[2014]68号）的规定，投标人如为监狱企业且所投产品为小型或微型企业生产的，其磋商报价扣除</w:t>
      </w:r>
      <w:r>
        <w:rPr>
          <w:rFonts w:hint="eastAsia" w:cs="宋体"/>
          <w:color w:val="auto"/>
          <w:sz w:val="24"/>
          <w:szCs w:val="24"/>
          <w:highlight w:val="none"/>
          <w:lang w:val="en-US" w:eastAsia="zh-CN"/>
        </w:rPr>
        <w:t>10</w:t>
      </w:r>
      <w:r>
        <w:rPr>
          <w:rFonts w:hint="eastAsia" w:cs="宋体"/>
          <w:color w:val="auto"/>
          <w:sz w:val="24"/>
          <w:szCs w:val="24"/>
          <w:highlight w:val="none"/>
        </w:rPr>
        <w:t>%后参与评审。响应文件中须同时提供：投标人的省级以上监狱管理局、戒毒管理局(含新疆生产建设兵团)出具的属于监狱企业的证明文件，投标产品制造商的小微企业证明（中小企业资格确认意见书或者磋商截止时间前7日内“国家企业信用信息公示系统——小微企业名录”页面查询结果），未提供完整证明材料的，磋商报价不予扣减。</w:t>
      </w:r>
    </w:p>
    <w:p w14:paraId="53629B07">
      <w:pPr>
        <w:ind w:firstLine="480"/>
        <w:rPr>
          <w:rFonts w:hint="eastAsia" w:cs="宋体"/>
          <w:color w:val="auto"/>
          <w:sz w:val="24"/>
          <w:szCs w:val="24"/>
          <w:highlight w:val="none"/>
        </w:rPr>
      </w:pPr>
      <w:r>
        <w:rPr>
          <w:rFonts w:hint="eastAsia" w:cs="宋体"/>
          <w:color w:val="auto"/>
          <w:sz w:val="24"/>
          <w:szCs w:val="24"/>
          <w:highlight w:val="none"/>
        </w:rPr>
        <w:t>3、残疾人福利性单位视同小型、微型企业，享受预留份额、评审中价格扣除等促进中小企业发展的政府采购政策。符合条件的残疾人福利性单位在参加政采购活动时，应当提供《残疾人福利性单位声明函》，并对声明的真实性负责。享受政府采购支持政策的残疾人福利性单位应当同时满足以下条件：</w:t>
      </w:r>
    </w:p>
    <w:p w14:paraId="0A4D081A">
      <w:pPr>
        <w:ind w:firstLine="480"/>
        <w:rPr>
          <w:rFonts w:hint="eastAsia" w:cs="宋体"/>
          <w:color w:val="auto"/>
          <w:sz w:val="24"/>
          <w:szCs w:val="24"/>
          <w:highlight w:val="none"/>
        </w:rPr>
      </w:pPr>
      <w:r>
        <w:rPr>
          <w:rFonts w:hint="eastAsia" w:cs="宋体"/>
          <w:color w:val="auto"/>
          <w:sz w:val="24"/>
          <w:szCs w:val="24"/>
          <w:highlight w:val="none"/>
        </w:rPr>
        <w:t>（1）安置的残疾人占本单位在职职工人数的比例不低于25%（含25%），并且安置的残疾人人数不少于10人（含10人）；</w:t>
      </w:r>
    </w:p>
    <w:p w14:paraId="44F3C096">
      <w:pPr>
        <w:pStyle w:val="26"/>
        <w:ind w:firstLine="357" w:firstLineChars="149"/>
        <w:rPr>
          <w:rFonts w:hint="eastAsia" w:cs="宋体"/>
          <w:color w:val="auto"/>
          <w:sz w:val="24"/>
          <w:szCs w:val="24"/>
          <w:highlight w:val="none"/>
        </w:rPr>
      </w:pPr>
      <w:r>
        <w:rPr>
          <w:rFonts w:hint="eastAsia" w:cs="宋体"/>
          <w:color w:val="auto"/>
          <w:sz w:val="24"/>
          <w:szCs w:val="24"/>
          <w:highlight w:val="none"/>
        </w:rPr>
        <w:t>（2）依法与安置的每位残疾人签订了一年以上（含一年）的劳动合同或服务协议；</w:t>
      </w:r>
    </w:p>
    <w:p w14:paraId="65873744">
      <w:pPr>
        <w:pStyle w:val="26"/>
        <w:ind w:firstLine="357" w:firstLineChars="149"/>
        <w:rPr>
          <w:rFonts w:hint="eastAsia" w:cs="宋体"/>
          <w:color w:val="auto"/>
          <w:sz w:val="24"/>
          <w:szCs w:val="24"/>
          <w:highlight w:val="none"/>
        </w:rPr>
      </w:pPr>
      <w:r>
        <w:rPr>
          <w:rFonts w:hint="eastAsia" w:cs="宋体"/>
          <w:color w:val="auto"/>
          <w:sz w:val="24"/>
          <w:szCs w:val="24"/>
          <w:highlight w:val="none"/>
        </w:rPr>
        <w:t>（3）为安置的每位残疾人按月足额缴纳了基本养老保险、基本医疗保险、失业保险、工伤保险和生育保险等社会保险费；</w:t>
      </w:r>
    </w:p>
    <w:p w14:paraId="2DC5B748">
      <w:pPr>
        <w:pStyle w:val="26"/>
        <w:ind w:firstLine="357" w:firstLineChars="149"/>
        <w:rPr>
          <w:rFonts w:hint="eastAsia" w:cs="宋体"/>
          <w:color w:val="auto"/>
          <w:sz w:val="24"/>
          <w:szCs w:val="24"/>
          <w:highlight w:val="none"/>
        </w:rPr>
      </w:pPr>
      <w:r>
        <w:rPr>
          <w:rFonts w:hint="eastAsia" w:cs="宋体"/>
          <w:color w:val="auto"/>
          <w:sz w:val="24"/>
          <w:szCs w:val="24"/>
          <w:highlight w:val="none"/>
        </w:rPr>
        <w:t>（4）通过银行等金融机构向安置的每位残疾人，按月支付了不低于单位所在区县适用的经省级人民政府批准的月最低工资标准的工资；</w:t>
      </w:r>
    </w:p>
    <w:p w14:paraId="4A1BA4EE">
      <w:pPr>
        <w:pStyle w:val="26"/>
        <w:ind w:firstLine="357" w:firstLineChars="149"/>
        <w:rPr>
          <w:rFonts w:hint="eastAsia" w:cs="宋体"/>
          <w:color w:val="auto"/>
          <w:sz w:val="24"/>
          <w:szCs w:val="24"/>
          <w:highlight w:val="none"/>
        </w:rPr>
      </w:pPr>
      <w:r>
        <w:rPr>
          <w:rFonts w:hint="eastAsia" w:cs="宋体"/>
          <w:color w:val="auto"/>
          <w:sz w:val="24"/>
          <w:szCs w:val="24"/>
          <w:highlight w:val="none"/>
        </w:rPr>
        <w:t>（5）提供本单位制造的货物、承担的工程或者服务（以下简称产品），或者提供其他残疾人福利性单位制造的货物（不包括使用非残疾人福利性单位注册商标的货物）。</w:t>
      </w:r>
    </w:p>
    <w:p w14:paraId="724F5E33">
      <w:pPr>
        <w:pStyle w:val="26"/>
        <w:ind w:firstLine="480"/>
        <w:rPr>
          <w:rFonts w:hint="eastAsia" w:cs="宋体"/>
          <w:color w:val="auto"/>
          <w:sz w:val="24"/>
          <w:szCs w:val="24"/>
          <w:highlight w:val="none"/>
        </w:rPr>
      </w:pPr>
      <w:r>
        <w:rPr>
          <w:rFonts w:hint="eastAsia" w:cs="宋体"/>
          <w:color w:val="auto"/>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0841583">
      <w:pPr>
        <w:rPr>
          <w:rFonts w:hint="eastAsia" w:eastAsia="宋体"/>
          <w:highlight w:val="none"/>
          <w:lang w:eastAsia="zh-CN"/>
        </w:rPr>
      </w:pPr>
      <w:r>
        <w:rPr>
          <w:rFonts w:hint="eastAsia" w:cs="宋体"/>
          <w:color w:val="auto"/>
          <w:sz w:val="24"/>
          <w:szCs w:val="24"/>
          <w:highlight w:val="none"/>
          <w:lang w:eastAsia="zh-CN"/>
        </w:rPr>
        <w:t>（三）</w:t>
      </w:r>
      <w:r>
        <w:rPr>
          <w:rFonts w:hint="eastAsia" w:cs="宋体"/>
          <w:color w:val="auto"/>
          <w:sz w:val="24"/>
          <w:szCs w:val="24"/>
          <w:highlight w:val="none"/>
          <w:lang w:val="en-US" w:eastAsia="zh-CN"/>
        </w:rPr>
        <w:t>价格不作为评分的主要因素。</w:t>
      </w:r>
    </w:p>
    <w:p w14:paraId="74F2A5FE">
      <w:pPr>
        <w:ind w:firstLine="480"/>
        <w:rPr>
          <w:rFonts w:hint="eastAsia" w:cs="宋体"/>
          <w:sz w:val="24"/>
          <w:szCs w:val="24"/>
          <w:highlight w:val="none"/>
        </w:rPr>
      </w:pPr>
      <w:r>
        <w:rPr>
          <w:rFonts w:hint="eastAsia" w:cs="宋体"/>
          <w:sz w:val="24"/>
          <w:szCs w:val="24"/>
          <w:highlight w:val="none"/>
        </w:rPr>
        <w:t>（四）、投标人最终得分（100分）</w:t>
      </w:r>
    </w:p>
    <w:p w14:paraId="0FCE5D57">
      <w:pPr>
        <w:ind w:firstLine="480"/>
        <w:rPr>
          <w:rFonts w:hint="eastAsia" w:cs="宋体"/>
          <w:sz w:val="24"/>
          <w:szCs w:val="24"/>
          <w:highlight w:val="none"/>
        </w:rPr>
      </w:pPr>
      <w:r>
        <w:rPr>
          <w:rFonts w:hint="eastAsia" w:cs="宋体"/>
          <w:sz w:val="24"/>
          <w:szCs w:val="24"/>
          <w:highlight w:val="none"/>
        </w:rPr>
        <w:t>投标人最终得分＝商务、技术部分评分最终得分+磋商报价部分评分最终得分。</w:t>
      </w:r>
      <w:bookmarkEnd w:id="52"/>
      <w:bookmarkEnd w:id="53"/>
      <w:bookmarkEnd w:id="54"/>
      <w:bookmarkEnd w:id="55"/>
      <w:bookmarkEnd w:id="56"/>
    </w:p>
    <w:p w14:paraId="336E2694">
      <w:pPr>
        <w:ind w:firstLine="560"/>
        <w:rPr>
          <w:rFonts w:hint="eastAsia" w:cs="宋体"/>
          <w:szCs w:val="28"/>
          <w:highlight w:val="none"/>
        </w:rPr>
        <w:sectPr>
          <w:headerReference r:id="rId14" w:type="default"/>
          <w:footerReference r:id="rId15" w:type="default"/>
          <w:pgSz w:w="11906" w:h="16838"/>
          <w:pgMar w:top="1134" w:right="1134" w:bottom="1134" w:left="1134" w:header="851" w:footer="992" w:gutter="0"/>
          <w:pgNumType w:fmt="decimal"/>
          <w:cols w:space="720" w:num="1"/>
          <w:docGrid w:type="lines" w:linePitch="312" w:charSpace="0"/>
        </w:sectPr>
      </w:pPr>
    </w:p>
    <w:p w14:paraId="50D47946">
      <w:pPr>
        <w:pStyle w:val="2"/>
        <w:numPr>
          <w:ilvl w:val="0"/>
          <w:numId w:val="0"/>
        </w:numPr>
        <w:bidi w:val="0"/>
        <w:ind w:leftChars="0"/>
        <w:jc w:val="center"/>
      </w:pPr>
      <w:bookmarkStart w:id="61" w:name="bookmark9"/>
      <w:bookmarkEnd w:id="61"/>
      <w:bookmarkStart w:id="62" w:name="bookmark8"/>
      <w:bookmarkEnd w:id="62"/>
      <w:r>
        <w:rPr>
          <w:rFonts w:hint="eastAsia" w:eastAsia="宋体"/>
          <w:lang w:val="en-US" w:eastAsia="zh-CN"/>
        </w:rPr>
        <w:t>第七章</w:t>
      </w:r>
      <w:r>
        <w:t xml:space="preserve"> 投标文件格式</w:t>
      </w:r>
    </w:p>
    <w:p w14:paraId="2565EE4E">
      <w:pPr>
        <w:spacing w:before="93" w:line="184" w:lineRule="auto"/>
        <w:ind w:left="3162"/>
        <w:outlineLvl w:val="1"/>
        <w:rPr>
          <w:rFonts w:hint="eastAsia" w:ascii="仿宋" w:hAnsi="仿宋" w:eastAsia="仿宋" w:cs="仿宋"/>
          <w:snapToGrid w:val="0"/>
          <w:color w:val="000000"/>
          <w:kern w:val="0"/>
          <w:sz w:val="28"/>
          <w:szCs w:val="28"/>
          <w:highlight w:val="none"/>
          <w:lang w:val="en-US" w:eastAsia="zh-CN" w:bidi="ar-SA"/>
        </w:rPr>
      </w:pPr>
      <w:bookmarkStart w:id="63" w:name="bookmark37"/>
      <w:bookmarkEnd w:id="63"/>
      <w:r>
        <w:rPr>
          <w:rFonts w:hint="eastAsia" w:ascii="仿宋" w:hAnsi="仿宋" w:eastAsia="仿宋" w:cs="仿宋"/>
          <w:b/>
          <w:bCs/>
          <w:snapToGrid w:val="0"/>
          <w:color w:val="000000"/>
          <w:kern w:val="0"/>
          <w:sz w:val="28"/>
          <w:szCs w:val="28"/>
          <w:highlight w:val="none"/>
          <w:lang w:val="en-US" w:eastAsia="zh-CN" w:bidi="ar-SA"/>
        </w:rPr>
        <w:t>第一部分 开标一览表及资格证明文件</w:t>
      </w:r>
    </w:p>
    <w:p w14:paraId="2A44439F">
      <w:pPr>
        <w:spacing w:before="171" w:line="183" w:lineRule="auto"/>
        <w:ind w:left="503"/>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1、开标一览表；</w:t>
      </w:r>
    </w:p>
    <w:p w14:paraId="46B80B96">
      <w:pPr>
        <w:spacing w:before="94" w:line="182" w:lineRule="auto"/>
        <w:ind w:left="491"/>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2、联合体协议；</w:t>
      </w:r>
    </w:p>
    <w:p w14:paraId="62121063">
      <w:pPr>
        <w:spacing w:before="171" w:line="183" w:lineRule="auto"/>
        <w:ind w:left="494"/>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3、符合《中华人民共和国政府采购法》第二十二条的规定；</w:t>
      </w:r>
    </w:p>
    <w:p w14:paraId="48769BE6">
      <w:pPr>
        <w:spacing w:before="150" w:line="200" w:lineRule="auto"/>
        <w:ind w:right="240" w:firstLine="487"/>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①具有独立承担民事责任的能力；（投标时，提供在中华人民共和国境内注册的法人或其 他组织的营业执照或事业单位法人证书或社会团体法人登记证书）；</w:t>
      </w:r>
    </w:p>
    <w:p w14:paraId="13E18249">
      <w:pPr>
        <w:spacing w:before="128" w:line="200" w:lineRule="auto"/>
        <w:ind w:left="1" w:right="243" w:firstLine="485"/>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②提供法定代表人资格证明及授权书、被授权人身份证；（法定代表人投标需提供法定代 表人身份证）；</w:t>
      </w:r>
    </w:p>
    <w:p w14:paraId="7912467F">
      <w:pPr>
        <w:spacing w:before="87" w:line="212" w:lineRule="auto"/>
        <w:ind w:left="1" w:right="244" w:firstLine="485"/>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en-US" w:bidi="ar-SA"/>
        </w:rPr>
        <w:t xml:space="preserve">③提供本单位依法缴纳连续近 </w:t>
      </w:r>
      <w:r>
        <w:rPr>
          <w:rFonts w:hint="eastAsia" w:ascii="仿宋" w:hAnsi="仿宋" w:eastAsia="仿宋" w:cs="仿宋"/>
          <w:snapToGrid w:val="0"/>
          <w:color w:val="000000"/>
          <w:kern w:val="0"/>
          <w:sz w:val="28"/>
          <w:szCs w:val="28"/>
          <w:highlight w:val="none"/>
          <w:lang w:val="en-US" w:eastAsia="zh-CN" w:bidi="ar-SA"/>
        </w:rPr>
        <w:t>6</w:t>
      </w:r>
      <w:r>
        <w:rPr>
          <w:rFonts w:hint="eastAsia" w:ascii="仿宋" w:hAnsi="仿宋" w:eastAsia="仿宋" w:cs="仿宋"/>
          <w:snapToGrid w:val="0"/>
          <w:color w:val="000000"/>
          <w:kern w:val="0"/>
          <w:sz w:val="28"/>
          <w:szCs w:val="28"/>
          <w:highlight w:val="none"/>
          <w:lang w:val="en-US" w:eastAsia="en-US" w:bidi="ar-SA"/>
        </w:rPr>
        <w:t xml:space="preserve"> 个月内任意一个月的</w:t>
      </w:r>
      <w:r>
        <w:rPr>
          <w:rFonts w:hint="eastAsia" w:ascii="仿宋" w:hAnsi="仿宋" w:eastAsia="仿宋" w:cs="仿宋"/>
          <w:snapToGrid w:val="0"/>
          <w:color w:val="000000"/>
          <w:kern w:val="0"/>
          <w:sz w:val="28"/>
          <w:szCs w:val="28"/>
          <w:highlight w:val="none"/>
          <w:lang w:val="en-US" w:eastAsia="zh-CN" w:bidi="ar-SA"/>
        </w:rPr>
        <w:t>社会保险证明（新成立公司提供相关证明文件）；</w:t>
      </w:r>
    </w:p>
    <w:p w14:paraId="64DA1073">
      <w:pPr>
        <w:spacing w:before="88" w:line="212" w:lineRule="auto"/>
        <w:ind w:left="1" w:right="244" w:firstLine="485"/>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④税务部门出具的近 6 个月内任意一个月的完税证明（依法免缴的应提供依法免缴的相关 证明文件或零申报报表）；</w:t>
      </w:r>
    </w:p>
    <w:p w14:paraId="0CC3A5E0">
      <w:pPr>
        <w:spacing w:before="86" w:line="218" w:lineRule="auto"/>
        <w:ind w:left="487"/>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⑤提供近两年任意一年完整的财务审计报告或近 3 个月内任意一个月的银行资信证明；</w:t>
      </w:r>
    </w:p>
    <w:p w14:paraId="158947A9">
      <w:pPr>
        <w:spacing w:before="72" w:line="212" w:lineRule="auto"/>
        <w:ind w:left="1" w:right="240" w:firstLine="486"/>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⑥参与政府采购活动前 3 年内未被列入失信、重大税收违法案件、财政部门禁止参加政府 采购活动的承诺书；</w:t>
      </w:r>
    </w:p>
    <w:p w14:paraId="6500DC03">
      <w:pPr>
        <w:spacing w:before="131" w:line="183" w:lineRule="auto"/>
        <w:ind w:left="487"/>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⑦提供针对本次项目的反商业贿赂承诺书；</w:t>
      </w:r>
    </w:p>
    <w:p w14:paraId="1934F22D">
      <w:pPr>
        <w:spacing w:before="218" w:line="184" w:lineRule="auto"/>
        <w:ind w:left="487"/>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⑧凡拟参加本次采购项目的供应商，必须为未被列入“信用中国” 网站(</w:t>
      </w:r>
      <w:r>
        <w:rPr>
          <w:rFonts w:hint="eastAsia" w:ascii="仿宋" w:hAnsi="仿宋" w:eastAsia="仿宋" w:cs="仿宋"/>
          <w:snapToGrid w:val="0"/>
          <w:color w:val="000000"/>
          <w:kern w:val="0"/>
          <w:sz w:val="28"/>
          <w:szCs w:val="28"/>
          <w:highlight w:val="none"/>
          <w:lang w:val="en-US" w:eastAsia="zh-CN" w:bidi="ar-SA"/>
        </w:rPr>
        <w:fldChar w:fldCharType="begin"/>
      </w:r>
      <w:r>
        <w:rPr>
          <w:rFonts w:hint="eastAsia" w:ascii="仿宋" w:hAnsi="仿宋" w:eastAsia="仿宋" w:cs="仿宋"/>
          <w:snapToGrid w:val="0"/>
          <w:color w:val="000000"/>
          <w:kern w:val="0"/>
          <w:sz w:val="28"/>
          <w:szCs w:val="28"/>
          <w:highlight w:val="none"/>
          <w:lang w:val="en-US" w:eastAsia="zh-CN" w:bidi="ar-SA"/>
        </w:rPr>
        <w:instrText xml:space="preserve"> HYPERLINK "https://www.creditchina.gov.cn" </w:instrText>
      </w:r>
      <w:r>
        <w:rPr>
          <w:rFonts w:hint="eastAsia" w:ascii="仿宋" w:hAnsi="仿宋" w:eastAsia="仿宋" w:cs="仿宋"/>
          <w:snapToGrid w:val="0"/>
          <w:color w:val="000000"/>
          <w:kern w:val="0"/>
          <w:sz w:val="28"/>
          <w:szCs w:val="28"/>
          <w:highlight w:val="none"/>
          <w:lang w:val="en-US" w:eastAsia="zh-CN" w:bidi="ar-SA"/>
        </w:rPr>
        <w:fldChar w:fldCharType="separate"/>
      </w:r>
      <w:r>
        <w:rPr>
          <w:rFonts w:hint="eastAsia" w:ascii="仿宋" w:hAnsi="仿宋" w:eastAsia="仿宋" w:cs="仿宋"/>
          <w:snapToGrid w:val="0"/>
          <w:color w:val="000000"/>
          <w:kern w:val="0"/>
          <w:sz w:val="28"/>
          <w:szCs w:val="28"/>
          <w:highlight w:val="none"/>
          <w:lang w:val="en-US" w:eastAsia="zh-CN" w:bidi="ar-SA"/>
        </w:rPr>
        <w:t>www.creditchina.gov.cn</w:t>
      </w:r>
      <w:r>
        <w:rPr>
          <w:rFonts w:hint="eastAsia" w:ascii="仿宋" w:hAnsi="仿宋" w:eastAsia="仿宋" w:cs="仿宋"/>
          <w:snapToGrid w:val="0"/>
          <w:color w:val="000000"/>
          <w:kern w:val="0"/>
          <w:sz w:val="28"/>
          <w:szCs w:val="28"/>
          <w:highlight w:val="none"/>
          <w:lang w:val="en-US" w:eastAsia="zh-CN" w:bidi="ar-SA"/>
        </w:rPr>
        <w:fldChar w:fldCharType="end"/>
      </w:r>
      <w:r>
        <w:rPr>
          <w:rFonts w:hint="eastAsia" w:ascii="仿宋" w:hAnsi="仿宋" w:eastAsia="仿宋" w:cs="仿宋"/>
          <w:snapToGrid w:val="0"/>
          <w:color w:val="000000"/>
          <w:kern w:val="0"/>
          <w:sz w:val="28"/>
          <w:szCs w:val="28"/>
          <w:highlight w:val="none"/>
          <w:lang w:val="en-US" w:eastAsia="zh-CN" w:bidi="ar-SA"/>
        </w:rPr>
        <w:t>)（失信被执行人名单、重大税收违法案件当事人名单） 、中国    政府采购网(</w:t>
      </w:r>
      <w:r>
        <w:rPr>
          <w:rFonts w:hint="eastAsia" w:ascii="仿宋" w:hAnsi="仿宋" w:eastAsia="仿宋" w:cs="仿宋"/>
          <w:snapToGrid w:val="0"/>
          <w:color w:val="000000"/>
          <w:kern w:val="0"/>
          <w:sz w:val="28"/>
          <w:szCs w:val="28"/>
          <w:highlight w:val="none"/>
          <w:lang w:val="en-US" w:eastAsia="zh-CN" w:bidi="ar-SA"/>
        </w:rPr>
        <w:fldChar w:fldCharType="begin"/>
      </w:r>
      <w:r>
        <w:rPr>
          <w:rFonts w:hint="eastAsia" w:ascii="仿宋" w:hAnsi="仿宋" w:eastAsia="仿宋" w:cs="仿宋"/>
          <w:snapToGrid w:val="0"/>
          <w:color w:val="000000"/>
          <w:kern w:val="0"/>
          <w:sz w:val="28"/>
          <w:szCs w:val="28"/>
          <w:highlight w:val="none"/>
          <w:lang w:val="en-US" w:eastAsia="zh-CN" w:bidi="ar-SA"/>
        </w:rPr>
        <w:instrText xml:space="preserve"> HYPERLINK "https://www.ccgp.gov.cn" </w:instrText>
      </w:r>
      <w:r>
        <w:rPr>
          <w:rFonts w:hint="eastAsia" w:ascii="仿宋" w:hAnsi="仿宋" w:eastAsia="仿宋" w:cs="仿宋"/>
          <w:snapToGrid w:val="0"/>
          <w:color w:val="000000"/>
          <w:kern w:val="0"/>
          <w:sz w:val="28"/>
          <w:szCs w:val="28"/>
          <w:highlight w:val="none"/>
          <w:lang w:val="en-US" w:eastAsia="zh-CN" w:bidi="ar-SA"/>
        </w:rPr>
        <w:fldChar w:fldCharType="separate"/>
      </w:r>
      <w:r>
        <w:rPr>
          <w:rFonts w:hint="eastAsia" w:ascii="仿宋" w:hAnsi="仿宋" w:eastAsia="仿宋" w:cs="仿宋"/>
          <w:snapToGrid w:val="0"/>
          <w:color w:val="000000"/>
          <w:kern w:val="0"/>
          <w:sz w:val="28"/>
          <w:szCs w:val="28"/>
          <w:highlight w:val="none"/>
          <w:lang w:val="en-US" w:eastAsia="zh-CN" w:bidi="ar-SA"/>
        </w:rPr>
        <w:t>www.ccgp.gov.cn</w:t>
      </w:r>
      <w:r>
        <w:rPr>
          <w:rFonts w:hint="eastAsia" w:ascii="仿宋" w:hAnsi="仿宋" w:eastAsia="仿宋" w:cs="仿宋"/>
          <w:snapToGrid w:val="0"/>
          <w:color w:val="000000"/>
          <w:kern w:val="0"/>
          <w:sz w:val="28"/>
          <w:szCs w:val="28"/>
          <w:highlight w:val="none"/>
          <w:lang w:val="en-US" w:eastAsia="zh-CN" w:bidi="ar-SA"/>
        </w:rPr>
        <w:fldChar w:fldCharType="end"/>
      </w:r>
      <w:r>
        <w:rPr>
          <w:rFonts w:hint="eastAsia" w:ascii="仿宋" w:hAnsi="仿宋" w:eastAsia="仿宋" w:cs="仿宋"/>
          <w:snapToGrid w:val="0"/>
          <w:color w:val="000000"/>
          <w:kern w:val="0"/>
          <w:sz w:val="28"/>
          <w:szCs w:val="28"/>
          <w:highlight w:val="none"/>
          <w:lang w:val="en-US" w:eastAsia="zh-CN" w:bidi="ar-SA"/>
        </w:rPr>
        <w:t>)（政府采购严重违法失信行为记录名单），国家企业公示信息    系统（</w:t>
      </w:r>
      <w:r>
        <w:rPr>
          <w:rFonts w:hint="eastAsia" w:ascii="仿宋" w:hAnsi="仿宋" w:eastAsia="仿宋" w:cs="仿宋"/>
          <w:snapToGrid w:val="0"/>
          <w:color w:val="000000"/>
          <w:kern w:val="0"/>
          <w:sz w:val="28"/>
          <w:szCs w:val="28"/>
          <w:highlight w:val="none"/>
          <w:lang w:val="en-US" w:eastAsia="zh-CN" w:bidi="ar-SA"/>
        </w:rPr>
        <w:fldChar w:fldCharType="begin"/>
      </w:r>
      <w:r>
        <w:rPr>
          <w:rFonts w:hint="eastAsia" w:ascii="仿宋" w:hAnsi="仿宋" w:eastAsia="仿宋" w:cs="仿宋"/>
          <w:snapToGrid w:val="0"/>
          <w:color w:val="000000"/>
          <w:kern w:val="0"/>
          <w:sz w:val="28"/>
          <w:szCs w:val="28"/>
          <w:highlight w:val="none"/>
          <w:lang w:val="en-US" w:eastAsia="zh-CN" w:bidi="ar-SA"/>
        </w:rPr>
        <w:instrText xml:space="preserve"> HYPERLINK "https://www.gsxt.gov.cn" </w:instrText>
      </w:r>
      <w:r>
        <w:rPr>
          <w:rFonts w:hint="eastAsia" w:ascii="仿宋" w:hAnsi="仿宋" w:eastAsia="仿宋" w:cs="仿宋"/>
          <w:snapToGrid w:val="0"/>
          <w:color w:val="000000"/>
          <w:kern w:val="0"/>
          <w:sz w:val="28"/>
          <w:szCs w:val="28"/>
          <w:highlight w:val="none"/>
          <w:lang w:val="en-US" w:eastAsia="zh-CN" w:bidi="ar-SA"/>
        </w:rPr>
        <w:fldChar w:fldCharType="separate"/>
      </w:r>
      <w:r>
        <w:rPr>
          <w:rFonts w:hint="eastAsia" w:ascii="仿宋" w:hAnsi="仿宋" w:eastAsia="仿宋" w:cs="仿宋"/>
          <w:snapToGrid w:val="0"/>
          <w:color w:val="000000"/>
          <w:kern w:val="0"/>
          <w:sz w:val="28"/>
          <w:szCs w:val="28"/>
          <w:highlight w:val="none"/>
          <w:lang w:val="en-US" w:eastAsia="zh-CN" w:bidi="ar-SA"/>
        </w:rPr>
        <w:t>www.gsxt.gov.cn</w:t>
      </w:r>
      <w:r>
        <w:rPr>
          <w:rFonts w:hint="eastAsia" w:ascii="仿宋" w:hAnsi="仿宋" w:eastAsia="仿宋" w:cs="仿宋"/>
          <w:snapToGrid w:val="0"/>
          <w:color w:val="000000"/>
          <w:kern w:val="0"/>
          <w:sz w:val="28"/>
          <w:szCs w:val="28"/>
          <w:highlight w:val="none"/>
          <w:lang w:val="en-US" w:eastAsia="zh-CN" w:bidi="ar-SA"/>
        </w:rPr>
        <w:fldChar w:fldCharType="end"/>
      </w:r>
      <w:r>
        <w:rPr>
          <w:rFonts w:hint="eastAsia" w:ascii="仿宋" w:hAnsi="仿宋" w:eastAsia="仿宋" w:cs="仿宋"/>
          <w:snapToGrid w:val="0"/>
          <w:color w:val="000000"/>
          <w:kern w:val="0"/>
          <w:sz w:val="28"/>
          <w:szCs w:val="28"/>
          <w:highlight w:val="none"/>
          <w:lang w:val="en-US" w:eastAsia="zh-CN" w:bidi="ar-SA"/>
        </w:rPr>
        <w:t>）（经营异常名录、严重违法失信名单）。（须提供查询记录并加盖    公章）；</w:t>
      </w:r>
    </w:p>
    <w:p w14:paraId="43E5C4EA">
      <w:pPr>
        <w:spacing w:before="166" w:line="183" w:lineRule="auto"/>
        <w:ind w:left="487"/>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⑨中小企业声明函（根据招标文件中法定格式提供）；</w:t>
      </w:r>
    </w:p>
    <w:p w14:paraId="7A47B341">
      <w:pPr>
        <w:spacing w:before="88" w:line="229" w:lineRule="auto"/>
        <w:ind w:left="1" w:right="239" w:firstLine="478"/>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4、本项目特定资格要求①供应商须具备建设主管部门颁发的建设工程质量检测机构资质 证书(检测范围须包含：主体结构工程现场检测、见证取样检测、钢结构工程检测及地基基础 工程检测)，并同时具备工程设计建筑行业（建筑工程）专业乙级或乙级以上资质及工程勘察 专业类（岩土工程（勘察））乙级或乙级以上资质。②拟派项目负责人具备一级注册结构工程师执业证书；</w:t>
      </w:r>
    </w:p>
    <w:p w14:paraId="63CF5B1F">
      <w:pPr>
        <w:spacing w:before="172" w:line="183" w:lineRule="auto"/>
        <w:ind w:left="498"/>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5、投标保证金有效凭证；</w:t>
      </w:r>
    </w:p>
    <w:p w14:paraId="1023B835">
      <w:pPr>
        <w:spacing w:line="183" w:lineRule="auto"/>
        <w:rPr>
          <w:rFonts w:hint="eastAsia" w:ascii="仿宋" w:hAnsi="仿宋" w:eastAsia="仿宋" w:cs="仿宋"/>
          <w:snapToGrid w:val="0"/>
          <w:color w:val="000000"/>
          <w:kern w:val="0"/>
          <w:sz w:val="28"/>
          <w:szCs w:val="28"/>
          <w:highlight w:val="none"/>
          <w:lang w:val="en-US" w:eastAsia="zh-CN" w:bidi="ar-SA"/>
        </w:rPr>
        <w:sectPr>
          <w:footerReference r:id="rId16" w:type="default"/>
          <w:pgSz w:w="11906" w:h="16840"/>
          <w:pgMar w:top="1431" w:right="840" w:bottom="1113" w:left="1081" w:header="0" w:footer="879" w:gutter="0"/>
          <w:pgNumType w:fmt="decimal"/>
          <w:cols w:space="720" w:num="1"/>
        </w:sectPr>
      </w:pPr>
    </w:p>
    <w:p w14:paraId="1A1C1434">
      <w:pPr>
        <w:pStyle w:val="7"/>
        <w:spacing w:line="339" w:lineRule="auto"/>
      </w:pPr>
    </w:p>
    <w:p w14:paraId="08A0E3F4">
      <w:pPr>
        <w:pStyle w:val="7"/>
        <w:spacing w:line="339" w:lineRule="auto"/>
      </w:pPr>
    </w:p>
    <w:p w14:paraId="74163454">
      <w:pPr>
        <w:spacing w:before="103" w:line="230" w:lineRule="auto"/>
        <w:ind w:left="3390"/>
        <w:outlineLvl w:val="1"/>
        <w:rPr>
          <w:rFonts w:ascii="微软雅黑" w:hAnsi="微软雅黑" w:eastAsia="微软雅黑" w:cs="微软雅黑"/>
          <w:sz w:val="24"/>
          <w:szCs w:val="24"/>
        </w:rPr>
      </w:pPr>
      <w:bookmarkStart w:id="64" w:name="bookmark10"/>
      <w:bookmarkEnd w:id="64"/>
      <w:r>
        <w:rPr>
          <w:rFonts w:ascii="微软雅黑" w:hAnsi="微软雅黑" w:eastAsia="微软雅黑" w:cs="微软雅黑"/>
          <w:b/>
          <w:bCs/>
          <w:spacing w:val="-5"/>
          <w:sz w:val="24"/>
          <w:szCs w:val="24"/>
        </w:rPr>
        <w:t>1</w:t>
      </w:r>
      <w:r>
        <w:rPr>
          <w:rFonts w:ascii="微软雅黑" w:hAnsi="微软雅黑" w:eastAsia="微软雅黑" w:cs="微软雅黑"/>
          <w:b/>
          <w:bCs/>
          <w:spacing w:val="10"/>
          <w:sz w:val="24"/>
          <w:szCs w:val="24"/>
        </w:rPr>
        <w:t xml:space="preserve">   </w:t>
      </w:r>
      <w:r>
        <w:rPr>
          <w:rFonts w:ascii="微软雅黑" w:hAnsi="微软雅黑" w:eastAsia="微软雅黑" w:cs="微软雅黑"/>
          <w:b/>
          <w:bCs/>
          <w:spacing w:val="-5"/>
          <w:sz w:val="24"/>
          <w:szCs w:val="24"/>
        </w:rPr>
        <w:t>开标一览表</w:t>
      </w:r>
    </w:p>
    <w:p w14:paraId="1C7FA0FD">
      <w:pPr>
        <w:pStyle w:val="7"/>
        <w:spacing w:line="374" w:lineRule="auto"/>
      </w:pPr>
    </w:p>
    <w:p w14:paraId="6F4A85F7">
      <w:pPr>
        <w:spacing w:before="103" w:line="183" w:lineRule="auto"/>
        <w:ind w:left="9"/>
        <w:rPr>
          <w:rFonts w:ascii="微软雅黑" w:hAnsi="微软雅黑" w:eastAsia="微软雅黑" w:cs="微软雅黑"/>
          <w:sz w:val="24"/>
          <w:szCs w:val="24"/>
        </w:rPr>
      </w:pPr>
      <w:r>
        <w:rPr>
          <w:rFonts w:ascii="微软雅黑" w:hAnsi="微软雅黑" w:eastAsia="微软雅黑" w:cs="微软雅黑"/>
          <w:spacing w:val="-1"/>
          <w:sz w:val="24"/>
          <w:szCs w:val="24"/>
        </w:rPr>
        <w:t xml:space="preserve">项目名称：                        </w:t>
      </w:r>
      <w:r>
        <w:rPr>
          <w:rFonts w:ascii="微软雅黑" w:hAnsi="微软雅黑" w:eastAsia="微软雅黑" w:cs="微软雅黑"/>
          <w:spacing w:val="-2"/>
          <w:sz w:val="24"/>
          <w:szCs w:val="24"/>
        </w:rPr>
        <w:t xml:space="preserve">                        项目编号：</w:t>
      </w:r>
    </w:p>
    <w:p w14:paraId="12D0E0A9">
      <w:pPr>
        <w:pStyle w:val="7"/>
        <w:spacing w:line="403" w:lineRule="auto"/>
      </w:pPr>
    </w:p>
    <w:p w14:paraId="2D40962C">
      <w:pPr>
        <w:spacing w:before="103" w:line="178" w:lineRule="auto"/>
        <w:ind w:left="11"/>
        <w:rPr>
          <w:rFonts w:ascii="微软雅黑" w:hAnsi="微软雅黑" w:eastAsia="微软雅黑" w:cs="微软雅黑"/>
          <w:sz w:val="24"/>
          <w:szCs w:val="24"/>
        </w:rPr>
      </w:pPr>
      <w:r>
        <w:rPr>
          <w:rFonts w:ascii="微软雅黑" w:hAnsi="微软雅黑" w:eastAsia="微软雅黑" w:cs="微软雅黑"/>
          <w:spacing w:val="-4"/>
          <w:sz w:val="24"/>
          <w:szCs w:val="24"/>
        </w:rPr>
        <w:t>报价单位：人民币</w:t>
      </w:r>
      <w:r>
        <w:rPr>
          <w:rFonts w:ascii="微软雅黑" w:hAnsi="微软雅黑" w:eastAsia="微软雅黑" w:cs="微软雅黑"/>
          <w:spacing w:val="12"/>
          <w:sz w:val="24"/>
          <w:szCs w:val="24"/>
        </w:rPr>
        <w:t xml:space="preserve">   </w:t>
      </w:r>
      <w:r>
        <w:rPr>
          <w:rFonts w:ascii="微软雅黑" w:hAnsi="微软雅黑" w:eastAsia="微软雅黑" w:cs="微软雅黑"/>
          <w:b/>
          <w:bCs/>
          <w:spacing w:val="-4"/>
          <w:sz w:val="24"/>
          <w:szCs w:val="24"/>
        </w:rPr>
        <w:t>元</w:t>
      </w:r>
      <w:r>
        <w:rPr>
          <w:rFonts w:ascii="微软雅黑" w:hAnsi="微软雅黑" w:eastAsia="微软雅黑" w:cs="微软雅黑"/>
          <w:b/>
          <w:bCs/>
          <w:spacing w:val="1"/>
          <w:sz w:val="24"/>
          <w:szCs w:val="24"/>
        </w:rPr>
        <w:t xml:space="preserve">                            </w:t>
      </w:r>
    </w:p>
    <w:tbl>
      <w:tblPr>
        <w:tblStyle w:val="20"/>
        <w:tblW w:w="93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7"/>
        <w:gridCol w:w="2212"/>
        <w:gridCol w:w="1673"/>
        <w:gridCol w:w="2125"/>
        <w:gridCol w:w="2130"/>
      </w:tblGrid>
      <w:tr w14:paraId="3BA09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217" w:type="dxa"/>
            <w:tcBorders>
              <w:bottom w:val="single" w:color="000000" w:sz="8" w:space="0"/>
              <w:right w:val="single" w:color="000000" w:sz="8" w:space="0"/>
            </w:tcBorders>
            <w:vAlign w:val="top"/>
          </w:tcPr>
          <w:p w14:paraId="6FD52E48">
            <w:pPr>
              <w:spacing w:before="214" w:line="184" w:lineRule="auto"/>
              <w:ind w:right="19"/>
              <w:jc w:val="right"/>
              <w:rPr>
                <w:rFonts w:ascii="微软雅黑" w:hAnsi="微软雅黑" w:eastAsia="微软雅黑" w:cs="微软雅黑"/>
                <w:sz w:val="24"/>
                <w:szCs w:val="24"/>
              </w:rPr>
            </w:pPr>
            <w:r>
              <w:rPr>
                <w:rFonts w:ascii="微软雅黑" w:hAnsi="微软雅黑" w:eastAsia="微软雅黑" w:cs="微软雅黑"/>
                <w:spacing w:val="-1"/>
                <w:sz w:val="24"/>
                <w:szCs w:val="24"/>
              </w:rPr>
              <w:t>服务名称</w:t>
            </w:r>
          </w:p>
        </w:tc>
        <w:tc>
          <w:tcPr>
            <w:tcW w:w="2212" w:type="dxa"/>
            <w:tcBorders>
              <w:left w:val="single" w:color="000000" w:sz="8" w:space="0"/>
              <w:bottom w:val="single" w:color="000000" w:sz="8" w:space="0"/>
            </w:tcBorders>
            <w:vAlign w:val="top"/>
          </w:tcPr>
          <w:p w14:paraId="0769E13C">
            <w:pPr>
              <w:spacing w:before="216" w:line="183" w:lineRule="auto"/>
              <w:ind w:left="500"/>
              <w:rPr>
                <w:rFonts w:ascii="微软雅黑" w:hAnsi="微软雅黑" w:eastAsia="微软雅黑" w:cs="微软雅黑"/>
                <w:sz w:val="24"/>
                <w:szCs w:val="24"/>
              </w:rPr>
            </w:pPr>
            <w:r>
              <w:rPr>
                <w:rFonts w:ascii="微软雅黑" w:hAnsi="微软雅黑" w:eastAsia="微软雅黑" w:cs="微软雅黑"/>
                <w:spacing w:val="-1"/>
                <w:sz w:val="24"/>
                <w:szCs w:val="24"/>
              </w:rPr>
              <w:t>投标总报价</w:t>
            </w:r>
          </w:p>
        </w:tc>
        <w:tc>
          <w:tcPr>
            <w:tcW w:w="1673" w:type="dxa"/>
            <w:tcBorders>
              <w:top w:val="single" w:color="000000" w:sz="8" w:space="0"/>
              <w:bottom w:val="single" w:color="000000" w:sz="8" w:space="0"/>
            </w:tcBorders>
            <w:vAlign w:val="top"/>
          </w:tcPr>
          <w:p w14:paraId="2360ADAB">
            <w:pPr>
              <w:spacing w:before="217" w:line="182" w:lineRule="auto"/>
              <w:ind w:left="233"/>
              <w:rPr>
                <w:rFonts w:ascii="微软雅黑" w:hAnsi="微软雅黑" w:eastAsia="微软雅黑" w:cs="微软雅黑"/>
                <w:sz w:val="24"/>
                <w:szCs w:val="24"/>
              </w:rPr>
            </w:pPr>
            <w:r>
              <w:rPr>
                <w:rFonts w:ascii="微软雅黑" w:hAnsi="微软雅黑" w:eastAsia="微软雅黑" w:cs="微软雅黑"/>
                <w:spacing w:val="-1"/>
                <w:sz w:val="24"/>
                <w:szCs w:val="24"/>
              </w:rPr>
              <w:t>投标保证金</w:t>
            </w:r>
          </w:p>
        </w:tc>
        <w:tc>
          <w:tcPr>
            <w:tcW w:w="2125" w:type="dxa"/>
            <w:tcBorders>
              <w:top w:val="single" w:color="000000" w:sz="8" w:space="0"/>
              <w:bottom w:val="single" w:color="000000" w:sz="8" w:space="0"/>
            </w:tcBorders>
            <w:vAlign w:val="top"/>
          </w:tcPr>
          <w:p w14:paraId="6B4B2988">
            <w:pPr>
              <w:spacing w:before="214" w:line="184" w:lineRule="auto"/>
              <w:ind w:left="582"/>
              <w:rPr>
                <w:rFonts w:ascii="微软雅黑" w:hAnsi="微软雅黑" w:eastAsia="微软雅黑" w:cs="微软雅黑"/>
                <w:sz w:val="24"/>
                <w:szCs w:val="24"/>
              </w:rPr>
            </w:pPr>
            <w:r>
              <w:rPr>
                <w:rFonts w:ascii="微软雅黑" w:hAnsi="微软雅黑" w:eastAsia="微软雅黑" w:cs="微软雅黑"/>
                <w:spacing w:val="-1"/>
                <w:sz w:val="24"/>
                <w:szCs w:val="24"/>
              </w:rPr>
              <w:t>服务期限</w:t>
            </w:r>
          </w:p>
        </w:tc>
        <w:tc>
          <w:tcPr>
            <w:tcW w:w="2130" w:type="dxa"/>
            <w:tcBorders>
              <w:top w:val="single" w:color="000000" w:sz="8" w:space="0"/>
              <w:bottom w:val="single" w:color="000000" w:sz="8" w:space="0"/>
            </w:tcBorders>
            <w:vAlign w:val="top"/>
          </w:tcPr>
          <w:p w14:paraId="2B846290">
            <w:pPr>
              <w:spacing w:before="214" w:line="184" w:lineRule="auto"/>
              <w:ind w:left="820"/>
              <w:rPr>
                <w:rFonts w:ascii="微软雅黑" w:hAnsi="微软雅黑" w:eastAsia="微软雅黑" w:cs="微软雅黑"/>
                <w:sz w:val="24"/>
                <w:szCs w:val="24"/>
              </w:rPr>
            </w:pPr>
            <w:r>
              <w:rPr>
                <w:rFonts w:ascii="微软雅黑" w:hAnsi="微软雅黑" w:eastAsia="微软雅黑" w:cs="微软雅黑"/>
                <w:spacing w:val="-1"/>
                <w:sz w:val="24"/>
                <w:szCs w:val="24"/>
              </w:rPr>
              <w:t>备注</w:t>
            </w:r>
          </w:p>
        </w:tc>
      </w:tr>
      <w:tr w14:paraId="4CD5D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1217" w:type="dxa"/>
            <w:tcBorders>
              <w:top w:val="single" w:color="000000" w:sz="8" w:space="0"/>
              <w:right w:val="single" w:color="000000" w:sz="8" w:space="0"/>
            </w:tcBorders>
            <w:vAlign w:val="top"/>
          </w:tcPr>
          <w:p w14:paraId="384F3B88">
            <w:pPr>
              <w:rPr>
                <w:rFonts w:ascii="Arial"/>
                <w:sz w:val="21"/>
              </w:rPr>
            </w:pPr>
          </w:p>
        </w:tc>
        <w:tc>
          <w:tcPr>
            <w:tcW w:w="2212" w:type="dxa"/>
            <w:tcBorders>
              <w:top w:val="single" w:color="000000" w:sz="8" w:space="0"/>
              <w:left w:val="single" w:color="000000" w:sz="8" w:space="0"/>
            </w:tcBorders>
            <w:vAlign w:val="top"/>
          </w:tcPr>
          <w:p w14:paraId="3C1D17AB">
            <w:pPr>
              <w:spacing w:line="358" w:lineRule="auto"/>
              <w:rPr>
                <w:rFonts w:ascii="Arial"/>
                <w:sz w:val="21"/>
              </w:rPr>
            </w:pPr>
          </w:p>
          <w:p w14:paraId="34CA709A">
            <w:pPr>
              <w:spacing w:before="103" w:line="181" w:lineRule="auto"/>
              <w:rPr>
                <w:rFonts w:ascii="微软雅黑" w:hAnsi="微软雅黑" w:eastAsia="微软雅黑" w:cs="微软雅黑"/>
                <w:sz w:val="24"/>
                <w:szCs w:val="24"/>
              </w:rPr>
            </w:pPr>
            <w:r>
              <w:rPr>
                <w:rFonts w:ascii="微软雅黑" w:hAnsi="微软雅黑" w:eastAsia="微软雅黑" w:cs="微软雅黑"/>
                <w:spacing w:val="-11"/>
                <w:sz w:val="24"/>
                <w:szCs w:val="24"/>
              </w:rPr>
              <w:t>大写：</w:t>
            </w:r>
          </w:p>
          <w:p w14:paraId="0B4B0C1E">
            <w:pPr>
              <w:spacing w:before="101" w:line="181" w:lineRule="auto"/>
              <w:ind w:left="1"/>
              <w:rPr>
                <w:rFonts w:ascii="微软雅黑" w:hAnsi="微软雅黑" w:eastAsia="微软雅黑" w:cs="微软雅黑"/>
                <w:sz w:val="24"/>
                <w:szCs w:val="24"/>
              </w:rPr>
            </w:pPr>
            <w:r>
              <w:rPr>
                <w:rFonts w:ascii="微软雅黑" w:hAnsi="微软雅黑" w:eastAsia="微软雅黑" w:cs="微软雅黑"/>
                <w:spacing w:val="-11"/>
                <w:sz w:val="24"/>
                <w:szCs w:val="24"/>
              </w:rPr>
              <w:t>小写：</w:t>
            </w:r>
          </w:p>
        </w:tc>
        <w:tc>
          <w:tcPr>
            <w:tcW w:w="1673" w:type="dxa"/>
            <w:tcBorders>
              <w:top w:val="single" w:color="000000" w:sz="8" w:space="0"/>
            </w:tcBorders>
            <w:vAlign w:val="top"/>
          </w:tcPr>
          <w:p w14:paraId="3593EBE8">
            <w:pPr>
              <w:rPr>
                <w:rFonts w:ascii="Arial"/>
                <w:sz w:val="21"/>
              </w:rPr>
            </w:pPr>
          </w:p>
        </w:tc>
        <w:tc>
          <w:tcPr>
            <w:tcW w:w="2125" w:type="dxa"/>
            <w:tcBorders>
              <w:top w:val="single" w:color="000000" w:sz="8" w:space="0"/>
            </w:tcBorders>
            <w:vAlign w:val="top"/>
          </w:tcPr>
          <w:p w14:paraId="555FA093">
            <w:pPr>
              <w:rPr>
                <w:rFonts w:ascii="Arial"/>
                <w:sz w:val="21"/>
              </w:rPr>
            </w:pPr>
          </w:p>
        </w:tc>
        <w:tc>
          <w:tcPr>
            <w:tcW w:w="2130" w:type="dxa"/>
            <w:tcBorders>
              <w:top w:val="single" w:color="000000" w:sz="8" w:space="0"/>
            </w:tcBorders>
            <w:vAlign w:val="top"/>
          </w:tcPr>
          <w:p w14:paraId="43DF4388">
            <w:pPr>
              <w:rPr>
                <w:rFonts w:ascii="Arial"/>
                <w:sz w:val="21"/>
              </w:rPr>
            </w:pPr>
          </w:p>
        </w:tc>
      </w:tr>
    </w:tbl>
    <w:p w14:paraId="3071D4D1">
      <w:pPr>
        <w:pStyle w:val="7"/>
        <w:spacing w:line="273" w:lineRule="auto"/>
      </w:pPr>
    </w:p>
    <w:p w14:paraId="3D8B9DAF">
      <w:pPr>
        <w:pStyle w:val="7"/>
        <w:spacing w:line="273" w:lineRule="auto"/>
      </w:pPr>
    </w:p>
    <w:p w14:paraId="5389C476">
      <w:pPr>
        <w:pStyle w:val="7"/>
        <w:spacing w:line="274" w:lineRule="auto"/>
      </w:pPr>
    </w:p>
    <w:p w14:paraId="1955F515">
      <w:pPr>
        <w:spacing w:before="103" w:line="184" w:lineRule="auto"/>
        <w:ind w:left="548"/>
        <w:rPr>
          <w:rFonts w:ascii="微软雅黑" w:hAnsi="微软雅黑" w:eastAsia="微软雅黑" w:cs="微软雅黑"/>
          <w:sz w:val="24"/>
          <w:szCs w:val="24"/>
        </w:rPr>
      </w:pPr>
      <w:r>
        <w:rPr>
          <w:rFonts w:ascii="微软雅黑" w:hAnsi="微软雅黑" w:eastAsia="微软雅黑" w:cs="微软雅黑"/>
          <w:spacing w:val="-5"/>
          <w:sz w:val="24"/>
          <w:szCs w:val="24"/>
        </w:rPr>
        <w:t>供应商名称（公章</w:t>
      </w:r>
      <w:r>
        <w:rPr>
          <w:rFonts w:ascii="微软雅黑" w:hAnsi="微软雅黑" w:eastAsia="微软雅黑" w:cs="微软雅黑"/>
          <w:spacing w:val="-2"/>
          <w:sz w:val="24"/>
          <w:szCs w:val="24"/>
        </w:rPr>
        <w:t>）：</w:t>
      </w:r>
    </w:p>
    <w:p w14:paraId="4EC13665">
      <w:pPr>
        <w:spacing w:before="95" w:line="184" w:lineRule="auto"/>
        <w:ind w:left="551"/>
        <w:rPr>
          <w:rFonts w:ascii="微软雅黑" w:hAnsi="微软雅黑" w:eastAsia="微软雅黑" w:cs="微软雅黑"/>
          <w:sz w:val="24"/>
          <w:szCs w:val="24"/>
        </w:rPr>
      </w:pPr>
      <w:r>
        <w:rPr>
          <w:rFonts w:ascii="微软雅黑" w:hAnsi="微软雅黑" w:eastAsia="微软雅黑" w:cs="微软雅黑"/>
          <w:spacing w:val="-1"/>
          <w:sz w:val="24"/>
          <w:szCs w:val="24"/>
        </w:rPr>
        <w:t>法定代表人或委托代理人（签字或盖章）:</w:t>
      </w:r>
    </w:p>
    <w:p w14:paraId="783500F7">
      <w:pPr>
        <w:pStyle w:val="7"/>
        <w:spacing w:line="244" w:lineRule="auto"/>
      </w:pPr>
    </w:p>
    <w:p w14:paraId="43301B9A">
      <w:pPr>
        <w:pStyle w:val="7"/>
        <w:spacing w:line="244" w:lineRule="auto"/>
      </w:pPr>
    </w:p>
    <w:p w14:paraId="4AC42C03">
      <w:pPr>
        <w:pStyle w:val="7"/>
        <w:spacing w:line="244" w:lineRule="auto"/>
      </w:pPr>
    </w:p>
    <w:p w14:paraId="076B3106">
      <w:pPr>
        <w:pStyle w:val="7"/>
        <w:spacing w:line="245" w:lineRule="auto"/>
      </w:pPr>
    </w:p>
    <w:p w14:paraId="3B442DF4">
      <w:pPr>
        <w:pStyle w:val="7"/>
        <w:spacing w:line="245" w:lineRule="auto"/>
      </w:pPr>
    </w:p>
    <w:p w14:paraId="52997D15">
      <w:pPr>
        <w:spacing w:before="103" w:line="183" w:lineRule="auto"/>
        <w:ind w:left="550"/>
        <w:rPr>
          <w:rFonts w:ascii="微软雅黑" w:hAnsi="微软雅黑" w:eastAsia="微软雅黑" w:cs="微软雅黑"/>
          <w:sz w:val="24"/>
          <w:szCs w:val="24"/>
        </w:rPr>
      </w:pPr>
      <w:r>
        <w:rPr>
          <w:rFonts w:ascii="微软雅黑" w:hAnsi="微软雅黑" w:eastAsia="微软雅黑" w:cs="微软雅黑"/>
          <w:spacing w:val="-1"/>
          <w:sz w:val="24"/>
          <w:szCs w:val="24"/>
        </w:rPr>
        <w:t>注:1、此表中，投标总价应和投标分项报价表的总价相一致。</w:t>
      </w:r>
    </w:p>
    <w:p w14:paraId="5B37E2D5">
      <w:pPr>
        <w:spacing w:before="98" w:line="183" w:lineRule="auto"/>
        <w:ind w:left="981"/>
        <w:rPr>
          <w:rFonts w:ascii="微软雅黑" w:hAnsi="微软雅黑" w:eastAsia="微软雅黑" w:cs="微软雅黑"/>
          <w:sz w:val="24"/>
          <w:szCs w:val="24"/>
        </w:rPr>
      </w:pPr>
      <w:r>
        <w:rPr>
          <w:rFonts w:ascii="微软雅黑" w:hAnsi="微软雅黑" w:eastAsia="微软雅黑" w:cs="微软雅黑"/>
          <w:spacing w:val="-3"/>
          <w:sz w:val="24"/>
          <w:szCs w:val="24"/>
        </w:rPr>
        <w:t>2、此报价中包含一切与本项目相关的费用。</w:t>
      </w:r>
    </w:p>
    <w:p w14:paraId="5D3C7D69">
      <w:pPr>
        <w:spacing w:before="56"/>
        <w:ind w:left="5" w:firstLine="6"/>
        <w:jc w:val="both"/>
        <w:rPr>
          <w:rFonts w:ascii="微软雅黑" w:hAnsi="微软雅黑" w:eastAsia="微软雅黑" w:cs="微软雅黑"/>
          <w:sz w:val="24"/>
          <w:szCs w:val="24"/>
        </w:rPr>
      </w:pPr>
      <w:r>
        <w:rPr>
          <w:rFonts w:ascii="微软雅黑" w:hAnsi="微软雅黑" w:eastAsia="微软雅黑" w:cs="微软雅黑"/>
          <w:spacing w:val="1"/>
          <w:sz w:val="24"/>
          <w:szCs w:val="24"/>
        </w:rPr>
        <w:t>根据《政府采购促进中小企业发展管理办法》（财库[2</w:t>
      </w:r>
      <w:r>
        <w:rPr>
          <w:rFonts w:ascii="微软雅黑" w:hAnsi="微软雅黑" w:eastAsia="微软雅黑" w:cs="微软雅黑"/>
          <w:sz w:val="24"/>
          <w:szCs w:val="24"/>
        </w:rPr>
        <w:t>020]46 号）、《关于落实好政府采购  支持中小企业发展的通知》（新财购 〔2022〕22</w:t>
      </w:r>
      <w:r>
        <w:rPr>
          <w:rFonts w:ascii="微软雅黑" w:hAnsi="微软雅黑" w:eastAsia="微软雅黑" w:cs="微软雅黑"/>
          <w:spacing w:val="63"/>
          <w:w w:val="101"/>
          <w:sz w:val="24"/>
          <w:szCs w:val="24"/>
        </w:rPr>
        <w:t xml:space="preserve"> </w:t>
      </w:r>
      <w:r>
        <w:rPr>
          <w:rFonts w:ascii="微软雅黑" w:hAnsi="微软雅黑" w:eastAsia="微软雅黑" w:cs="微软雅黑"/>
          <w:sz w:val="24"/>
          <w:szCs w:val="24"/>
        </w:rPr>
        <w:t>号）、《财政部关于政府采购支持</w:t>
      </w:r>
      <w:r>
        <w:rPr>
          <w:rFonts w:ascii="微软雅黑" w:hAnsi="微软雅黑" w:eastAsia="微软雅黑" w:cs="微软雅黑"/>
          <w:spacing w:val="-35"/>
          <w:sz w:val="24"/>
          <w:szCs w:val="24"/>
        </w:rPr>
        <w:t xml:space="preserve"> </w:t>
      </w:r>
      <w:r>
        <w:rPr>
          <w:rFonts w:ascii="微软雅黑" w:hAnsi="微软雅黑" w:eastAsia="微软雅黑" w:cs="微软雅黑"/>
          <w:sz w:val="24"/>
          <w:szCs w:val="24"/>
        </w:rPr>
        <w:t xml:space="preserve">jian yu  </w:t>
      </w:r>
      <w:r>
        <w:rPr>
          <w:rFonts w:ascii="微软雅黑" w:hAnsi="微软雅黑" w:eastAsia="微软雅黑" w:cs="微软雅黑"/>
          <w:spacing w:val="-1"/>
          <w:sz w:val="24"/>
          <w:szCs w:val="24"/>
        </w:rPr>
        <w:t>企业发展有关问题的通知》（财库〔2014〕68 号）和《三部门联合发布关于促进残</w:t>
      </w:r>
      <w:r>
        <w:rPr>
          <w:rFonts w:ascii="微软雅黑" w:hAnsi="微软雅黑" w:eastAsia="微软雅黑" w:cs="微软雅黑"/>
          <w:spacing w:val="-2"/>
          <w:sz w:val="24"/>
          <w:szCs w:val="24"/>
        </w:rPr>
        <w:t>疾人就业</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政府采购政策的通知》（财库〔2017〕</w:t>
      </w:r>
      <w:r>
        <w:rPr>
          <w:rFonts w:ascii="微软雅黑" w:hAnsi="微软雅黑" w:eastAsia="微软雅黑" w:cs="微软雅黑"/>
          <w:spacing w:val="-43"/>
          <w:sz w:val="24"/>
          <w:szCs w:val="24"/>
        </w:rPr>
        <w:t xml:space="preserve"> </w:t>
      </w:r>
      <w:r>
        <w:rPr>
          <w:rFonts w:ascii="微软雅黑" w:hAnsi="微软雅黑" w:eastAsia="微软雅黑" w:cs="微软雅黑"/>
          <w:spacing w:val="1"/>
          <w:sz w:val="24"/>
          <w:szCs w:val="24"/>
        </w:rPr>
        <w:t xml:space="preserve">141 </w:t>
      </w:r>
      <w:r>
        <w:rPr>
          <w:rFonts w:ascii="微软雅黑" w:hAnsi="微软雅黑" w:eastAsia="微软雅黑" w:cs="微软雅黑"/>
          <w:sz w:val="24"/>
          <w:szCs w:val="24"/>
        </w:rPr>
        <w:t xml:space="preserve">号）、《关于进一步加大政府采购支持中小企业  </w:t>
      </w:r>
      <w:r>
        <w:rPr>
          <w:rFonts w:ascii="微软雅黑" w:hAnsi="微软雅黑" w:eastAsia="微软雅黑" w:cs="微软雅黑"/>
          <w:spacing w:val="3"/>
          <w:sz w:val="24"/>
          <w:szCs w:val="24"/>
        </w:rPr>
        <w:t>力度的通知》（财库〔2022〕</w:t>
      </w:r>
      <w:r>
        <w:rPr>
          <w:rFonts w:ascii="微软雅黑" w:hAnsi="微软雅黑" w:eastAsia="微软雅黑" w:cs="微软雅黑"/>
          <w:spacing w:val="-33"/>
          <w:sz w:val="24"/>
          <w:szCs w:val="24"/>
        </w:rPr>
        <w:t xml:space="preserve"> </w:t>
      </w:r>
      <w:r>
        <w:rPr>
          <w:rFonts w:ascii="微软雅黑" w:hAnsi="微软雅黑" w:eastAsia="微软雅黑" w:cs="微软雅黑"/>
          <w:spacing w:val="3"/>
          <w:sz w:val="24"/>
          <w:szCs w:val="24"/>
        </w:rPr>
        <w:t>19 号）</w:t>
      </w:r>
      <w:r>
        <w:rPr>
          <w:rFonts w:ascii="微软雅黑" w:hAnsi="微软雅黑" w:eastAsia="微软雅黑" w:cs="微软雅黑"/>
          <w:spacing w:val="-46"/>
          <w:sz w:val="24"/>
          <w:szCs w:val="24"/>
        </w:rPr>
        <w:t xml:space="preserve"> </w:t>
      </w:r>
      <w:r>
        <w:rPr>
          <w:rFonts w:ascii="微软雅黑" w:hAnsi="微软雅黑" w:eastAsia="微软雅黑" w:cs="微软雅黑"/>
          <w:spacing w:val="3"/>
          <w:sz w:val="24"/>
          <w:szCs w:val="24"/>
        </w:rPr>
        <w:t>的规定，对满足价格扣除条件且在响应文件中提交了</w:t>
      </w:r>
      <w:r>
        <w:rPr>
          <w:rFonts w:ascii="微软雅黑" w:hAnsi="微软雅黑" w:eastAsia="微软雅黑" w:cs="微软雅黑"/>
          <w:sz w:val="24"/>
          <w:szCs w:val="24"/>
        </w:rPr>
        <w:t xml:space="preserve">  《中小企业声明函》或省级以上</w:t>
      </w:r>
      <w:r>
        <w:rPr>
          <w:rFonts w:ascii="微软雅黑" w:hAnsi="微软雅黑" w:eastAsia="微软雅黑" w:cs="微软雅黑"/>
          <w:spacing w:val="-21"/>
          <w:sz w:val="24"/>
          <w:szCs w:val="24"/>
        </w:rPr>
        <w:t xml:space="preserve"> </w:t>
      </w:r>
      <w:r>
        <w:rPr>
          <w:rFonts w:ascii="微软雅黑" w:hAnsi="微软雅黑" w:eastAsia="微软雅黑" w:cs="微软雅黑"/>
          <w:sz w:val="24"/>
          <w:szCs w:val="24"/>
        </w:rPr>
        <w:t xml:space="preserve">jian yu 管理局、戒毒管理局（含新疆生产建设兵团）出具的  </w:t>
      </w:r>
      <w:r>
        <w:rPr>
          <w:rFonts w:ascii="微软雅黑" w:hAnsi="微软雅黑" w:eastAsia="微软雅黑" w:cs="微软雅黑"/>
          <w:spacing w:val="1"/>
          <w:sz w:val="24"/>
          <w:szCs w:val="24"/>
        </w:rPr>
        <w:t>属于</w:t>
      </w:r>
      <w:r>
        <w:rPr>
          <w:rFonts w:ascii="微软雅黑" w:hAnsi="微软雅黑" w:eastAsia="微软雅黑" w:cs="微软雅黑"/>
          <w:spacing w:val="-35"/>
          <w:sz w:val="24"/>
          <w:szCs w:val="24"/>
        </w:rPr>
        <w:t xml:space="preserve"> </w:t>
      </w:r>
      <w:r>
        <w:rPr>
          <w:rFonts w:ascii="微软雅黑" w:hAnsi="微软雅黑" w:eastAsia="微软雅黑" w:cs="微软雅黑"/>
          <w:sz w:val="24"/>
          <w:szCs w:val="24"/>
        </w:rPr>
        <w:t>jian</w:t>
      </w:r>
      <w:r>
        <w:rPr>
          <w:rFonts w:ascii="微软雅黑" w:hAnsi="微软雅黑" w:eastAsia="微软雅黑" w:cs="微软雅黑"/>
          <w:spacing w:val="1"/>
          <w:sz w:val="24"/>
          <w:szCs w:val="24"/>
        </w:rPr>
        <w:t xml:space="preserve"> </w:t>
      </w:r>
      <w:r>
        <w:rPr>
          <w:rFonts w:ascii="微软雅黑" w:hAnsi="微软雅黑" w:eastAsia="微软雅黑" w:cs="微软雅黑"/>
          <w:sz w:val="24"/>
          <w:szCs w:val="24"/>
        </w:rPr>
        <w:t>yu</w:t>
      </w:r>
      <w:r>
        <w:rPr>
          <w:rFonts w:ascii="微软雅黑" w:hAnsi="微软雅黑" w:eastAsia="微软雅黑" w:cs="微软雅黑"/>
          <w:spacing w:val="1"/>
          <w:sz w:val="24"/>
          <w:szCs w:val="24"/>
        </w:rPr>
        <w:t xml:space="preserve"> 企业的证明文件的供应商，其投标报价扣除</w:t>
      </w:r>
      <w:r>
        <w:rPr>
          <w:rFonts w:ascii="微软雅黑" w:hAnsi="微软雅黑" w:eastAsia="微软雅黑" w:cs="微软雅黑"/>
          <w:spacing w:val="1"/>
          <w:sz w:val="24"/>
          <w:szCs w:val="24"/>
          <w:u w:val="single" w:color="auto"/>
        </w:rPr>
        <w:t xml:space="preserve">        </w:t>
      </w:r>
      <w:r>
        <w:rPr>
          <w:rFonts w:ascii="微软雅黑" w:hAnsi="微软雅黑" w:eastAsia="微软雅黑" w:cs="微软雅黑"/>
          <w:spacing w:val="-61"/>
          <w:sz w:val="24"/>
          <w:szCs w:val="24"/>
        </w:rPr>
        <w:t xml:space="preserve"> </w:t>
      </w:r>
      <w:r>
        <w:rPr>
          <w:rFonts w:ascii="微软雅黑" w:hAnsi="微软雅黑" w:eastAsia="微软雅黑" w:cs="微软雅黑"/>
          <w:spacing w:val="1"/>
          <w:sz w:val="24"/>
          <w:szCs w:val="24"/>
        </w:rPr>
        <w:t>%后参与评</w:t>
      </w:r>
      <w:r>
        <w:rPr>
          <w:rFonts w:ascii="微软雅黑" w:hAnsi="微软雅黑" w:eastAsia="微软雅黑" w:cs="微软雅黑"/>
          <w:sz w:val="24"/>
          <w:szCs w:val="24"/>
        </w:rPr>
        <w:t xml:space="preserve">标。对于同时属于小 </w:t>
      </w:r>
      <w:r>
        <w:rPr>
          <w:rFonts w:ascii="微软雅黑" w:hAnsi="微软雅黑" w:eastAsia="微软雅黑" w:cs="微软雅黑"/>
          <w:spacing w:val="-1"/>
          <w:sz w:val="24"/>
          <w:szCs w:val="24"/>
        </w:rPr>
        <w:t>微企业、jian yu 企业或残疾人福利性</w:t>
      </w:r>
      <w:r>
        <w:rPr>
          <w:rFonts w:ascii="微软雅黑" w:hAnsi="微软雅黑" w:eastAsia="微软雅黑" w:cs="微软雅黑"/>
          <w:spacing w:val="-2"/>
          <w:sz w:val="24"/>
          <w:szCs w:val="24"/>
        </w:rPr>
        <w:t>单位的，不重复进行投标报价扣除。</w:t>
      </w:r>
    </w:p>
    <w:p w14:paraId="704D331A">
      <w:pPr>
        <w:rPr>
          <w:rFonts w:ascii="微软雅黑" w:hAnsi="微软雅黑" w:eastAsia="微软雅黑" w:cs="微软雅黑"/>
          <w:sz w:val="24"/>
          <w:szCs w:val="24"/>
        </w:rPr>
        <w:sectPr>
          <w:footerReference r:id="rId17" w:type="default"/>
          <w:pgSz w:w="11906" w:h="16840"/>
          <w:pgMar w:top="1431" w:right="978" w:bottom="1113" w:left="1071" w:header="0" w:footer="879" w:gutter="0"/>
          <w:pgNumType w:fmt="decimal"/>
          <w:cols w:space="720" w:num="1"/>
        </w:sectPr>
      </w:pPr>
    </w:p>
    <w:p w14:paraId="06471C4C">
      <w:pPr>
        <w:pStyle w:val="7"/>
        <w:spacing w:line="441" w:lineRule="auto"/>
      </w:pPr>
    </w:p>
    <w:p w14:paraId="086D69D2">
      <w:pPr>
        <w:spacing w:before="103" w:line="230" w:lineRule="auto"/>
        <w:ind w:left="10"/>
        <w:outlineLvl w:val="1"/>
        <w:rPr>
          <w:rFonts w:ascii="微软雅黑" w:hAnsi="微软雅黑" w:eastAsia="微软雅黑" w:cs="微软雅黑"/>
          <w:sz w:val="24"/>
          <w:szCs w:val="24"/>
        </w:rPr>
      </w:pPr>
      <w:bookmarkStart w:id="65" w:name="bookmark11"/>
      <w:bookmarkEnd w:id="65"/>
      <w:r>
        <w:rPr>
          <w:rFonts w:ascii="微软雅黑" w:hAnsi="微软雅黑" w:eastAsia="微软雅黑" w:cs="微软雅黑"/>
          <w:b/>
          <w:bCs/>
          <w:spacing w:val="-7"/>
          <w:sz w:val="24"/>
          <w:szCs w:val="24"/>
        </w:rPr>
        <w:t>2</w:t>
      </w:r>
      <w:r>
        <w:rPr>
          <w:rFonts w:ascii="微软雅黑" w:hAnsi="微软雅黑" w:eastAsia="微软雅黑" w:cs="微软雅黑"/>
          <w:b/>
          <w:bCs/>
          <w:spacing w:val="26"/>
          <w:sz w:val="24"/>
          <w:szCs w:val="24"/>
        </w:rPr>
        <w:t xml:space="preserve">  </w:t>
      </w:r>
      <w:r>
        <w:rPr>
          <w:rFonts w:ascii="微软雅黑" w:hAnsi="微软雅黑" w:eastAsia="微软雅黑" w:cs="微软雅黑"/>
          <w:b/>
          <w:bCs/>
          <w:spacing w:val="-7"/>
          <w:sz w:val="24"/>
          <w:szCs w:val="24"/>
        </w:rPr>
        <w:t>联合体协议；</w:t>
      </w:r>
    </w:p>
    <w:p w14:paraId="0F8B5F03">
      <w:pPr>
        <w:spacing w:before="303" w:line="243" w:lineRule="auto"/>
        <w:ind w:firstLine="1"/>
        <w:jc w:val="both"/>
        <w:rPr>
          <w:rFonts w:ascii="微软雅黑" w:hAnsi="微软雅黑" w:eastAsia="微软雅黑" w:cs="微软雅黑"/>
          <w:sz w:val="24"/>
          <w:szCs w:val="24"/>
        </w:rPr>
      </w:pPr>
      <w:r>
        <w:rPr>
          <w:rFonts w:ascii="微软雅黑" w:hAnsi="微软雅黑" w:eastAsia="微软雅黑" w:cs="微软雅黑"/>
          <w:spacing w:val="-4"/>
          <w:sz w:val="24"/>
          <w:szCs w:val="24"/>
        </w:rPr>
        <w:t>说明：①协议书中应指定联合体牵头单位，并明确联合体牵头单位及各方的权利义务。 ②联合</w:t>
      </w:r>
      <w:r>
        <w:rPr>
          <w:rFonts w:ascii="微软雅黑" w:hAnsi="微软雅黑" w:eastAsia="微软雅黑" w:cs="微软雅黑"/>
          <w:spacing w:val="9"/>
          <w:sz w:val="24"/>
          <w:szCs w:val="24"/>
        </w:rPr>
        <w:t xml:space="preserve"> </w:t>
      </w:r>
      <w:r>
        <w:rPr>
          <w:rFonts w:ascii="微软雅黑" w:hAnsi="微软雅黑" w:eastAsia="微软雅黑" w:cs="微软雅黑"/>
          <w:spacing w:val="-2"/>
          <w:sz w:val="24"/>
          <w:szCs w:val="24"/>
        </w:rPr>
        <w:t>体各方应当具备与联合体协议中约定的分工相适应的资质</w:t>
      </w:r>
      <w:r>
        <w:rPr>
          <w:rFonts w:ascii="微软雅黑" w:hAnsi="微软雅黑" w:eastAsia="微软雅黑" w:cs="微软雅黑"/>
          <w:spacing w:val="-3"/>
          <w:sz w:val="24"/>
          <w:szCs w:val="24"/>
        </w:rPr>
        <w:t>和能力；③联合体各方不得再以自己</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名义单独或参加其他联合体在同项目中投标；④投标保证</w:t>
      </w:r>
      <w:r>
        <w:rPr>
          <w:rFonts w:ascii="微软雅黑" w:hAnsi="微软雅黑" w:eastAsia="微软雅黑" w:cs="微软雅黑"/>
          <w:spacing w:val="-3"/>
          <w:sz w:val="24"/>
          <w:szCs w:val="24"/>
        </w:rPr>
        <w:t>金须由联合体牵头单位缴纳。对联合</w:t>
      </w:r>
      <w:r>
        <w:rPr>
          <w:rFonts w:ascii="微软雅黑" w:hAnsi="微软雅黑" w:eastAsia="微软雅黑" w:cs="微软雅黑"/>
          <w:sz w:val="24"/>
          <w:szCs w:val="24"/>
        </w:rPr>
        <w:t xml:space="preserve"> </w:t>
      </w:r>
      <w:r>
        <w:rPr>
          <w:rFonts w:ascii="微软雅黑" w:hAnsi="微软雅黑" w:eastAsia="微软雅黑" w:cs="微软雅黑"/>
          <w:spacing w:val="-4"/>
          <w:sz w:val="24"/>
          <w:szCs w:val="24"/>
        </w:rPr>
        <w:t>体各方均具有约束力。⑤本次投标盖章由联合体牵头单位盖章， 签署由联合体牵头单位法定代</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表人或其授权的授权代表负责签署本次投标文件；⑥联合体协议格式自拟。</w:t>
      </w:r>
    </w:p>
    <w:p w14:paraId="1E89AAC2">
      <w:pPr>
        <w:pStyle w:val="7"/>
        <w:spacing w:line="244" w:lineRule="auto"/>
      </w:pPr>
    </w:p>
    <w:p w14:paraId="6BC9CC57">
      <w:pPr>
        <w:pStyle w:val="7"/>
        <w:spacing w:line="244" w:lineRule="auto"/>
      </w:pPr>
    </w:p>
    <w:p w14:paraId="6B1B15CD">
      <w:pPr>
        <w:pStyle w:val="7"/>
        <w:spacing w:line="244" w:lineRule="auto"/>
      </w:pPr>
    </w:p>
    <w:p w14:paraId="45E77D6C">
      <w:pPr>
        <w:pStyle w:val="7"/>
        <w:spacing w:line="244" w:lineRule="auto"/>
      </w:pPr>
    </w:p>
    <w:p w14:paraId="73186B0E">
      <w:pPr>
        <w:pStyle w:val="7"/>
        <w:spacing w:line="244" w:lineRule="auto"/>
      </w:pPr>
    </w:p>
    <w:p w14:paraId="0D6C8541">
      <w:pPr>
        <w:pStyle w:val="7"/>
        <w:spacing w:line="244" w:lineRule="auto"/>
      </w:pPr>
    </w:p>
    <w:p w14:paraId="35DF1853">
      <w:pPr>
        <w:pStyle w:val="7"/>
        <w:spacing w:line="244" w:lineRule="auto"/>
      </w:pPr>
    </w:p>
    <w:p w14:paraId="47CC2CCF">
      <w:pPr>
        <w:pStyle w:val="7"/>
        <w:spacing w:line="244" w:lineRule="auto"/>
      </w:pPr>
    </w:p>
    <w:p w14:paraId="1677D48A">
      <w:pPr>
        <w:pStyle w:val="7"/>
        <w:spacing w:line="245" w:lineRule="auto"/>
      </w:pPr>
    </w:p>
    <w:p w14:paraId="080C915E">
      <w:pPr>
        <w:pStyle w:val="7"/>
        <w:spacing w:line="245" w:lineRule="auto"/>
      </w:pPr>
    </w:p>
    <w:p w14:paraId="5DA0DB17">
      <w:pPr>
        <w:pStyle w:val="7"/>
        <w:spacing w:line="245" w:lineRule="auto"/>
      </w:pPr>
    </w:p>
    <w:p w14:paraId="2AE24F04">
      <w:pPr>
        <w:pStyle w:val="7"/>
        <w:spacing w:line="245" w:lineRule="auto"/>
      </w:pPr>
    </w:p>
    <w:p w14:paraId="0A6416CF">
      <w:pPr>
        <w:pStyle w:val="7"/>
        <w:spacing w:line="245" w:lineRule="auto"/>
      </w:pPr>
    </w:p>
    <w:p w14:paraId="5ADE5241">
      <w:pPr>
        <w:pStyle w:val="7"/>
        <w:spacing w:line="245" w:lineRule="auto"/>
      </w:pPr>
    </w:p>
    <w:p w14:paraId="3019E9E7">
      <w:pPr>
        <w:pStyle w:val="7"/>
        <w:spacing w:line="245" w:lineRule="auto"/>
      </w:pPr>
    </w:p>
    <w:p w14:paraId="34F4FB70">
      <w:pPr>
        <w:spacing w:before="103" w:line="229" w:lineRule="auto"/>
        <w:ind w:left="436"/>
        <w:outlineLvl w:val="1"/>
        <w:rPr>
          <w:rFonts w:ascii="微软雅黑" w:hAnsi="微软雅黑" w:eastAsia="微软雅黑" w:cs="微软雅黑"/>
          <w:sz w:val="24"/>
          <w:szCs w:val="24"/>
        </w:rPr>
      </w:pPr>
      <w:bookmarkStart w:id="66" w:name="bookmark12"/>
      <w:bookmarkEnd w:id="66"/>
      <w:r>
        <w:rPr>
          <w:rFonts w:ascii="微软雅黑" w:hAnsi="微软雅黑" w:eastAsia="微软雅黑" w:cs="微软雅黑"/>
          <w:b/>
          <w:bCs/>
          <w:sz w:val="24"/>
          <w:szCs w:val="24"/>
        </w:rPr>
        <w:t>3   符合《中华人民共和国政府采购法》第二十二条的规定</w:t>
      </w:r>
    </w:p>
    <w:p w14:paraId="5FD87311">
      <w:pPr>
        <w:pStyle w:val="7"/>
        <w:spacing w:line="373" w:lineRule="auto"/>
      </w:pPr>
    </w:p>
    <w:p w14:paraId="241C588B">
      <w:pPr>
        <w:spacing w:before="303" w:line="243" w:lineRule="auto"/>
        <w:ind w:firstLine="1"/>
        <w:jc w:val="both"/>
        <w:rPr>
          <w:rFonts w:ascii="微软雅黑" w:hAnsi="微软雅黑" w:eastAsia="微软雅黑" w:cs="微软雅黑"/>
          <w:spacing w:val="-2"/>
          <w:sz w:val="24"/>
          <w:szCs w:val="24"/>
        </w:rPr>
      </w:pPr>
      <w:r>
        <w:rPr>
          <w:rFonts w:ascii="微软雅黑" w:hAnsi="微软雅黑" w:eastAsia="微软雅黑" w:cs="微软雅黑"/>
          <w:spacing w:val="-2"/>
          <w:sz w:val="24"/>
          <w:szCs w:val="24"/>
        </w:rPr>
        <w:t>①具有独立承担民事责任的能力；（投标时，提供在中华人民共和国境内注册的法人或其 他组织的营业执照或事业单位法人证书或社会团体法人登记证书）</w:t>
      </w:r>
    </w:p>
    <w:p w14:paraId="70176C16">
      <w:pPr>
        <w:spacing w:before="303" w:line="243" w:lineRule="auto"/>
        <w:ind w:firstLine="1"/>
        <w:jc w:val="both"/>
        <w:rPr>
          <w:rFonts w:ascii="微软雅黑" w:hAnsi="微软雅黑" w:eastAsia="微软雅黑" w:cs="微软雅黑"/>
          <w:spacing w:val="-2"/>
          <w:sz w:val="24"/>
          <w:szCs w:val="24"/>
        </w:rPr>
      </w:pPr>
      <w:r>
        <w:rPr>
          <w:rFonts w:ascii="微软雅黑" w:hAnsi="微软雅黑" w:eastAsia="微软雅黑" w:cs="微软雅黑"/>
          <w:spacing w:val="-2"/>
          <w:sz w:val="24"/>
          <w:szCs w:val="24"/>
        </w:rPr>
        <w:t>说明：1、营业执照正本或副本，须上传扫描件并加盖本单位公章。</w:t>
      </w:r>
    </w:p>
    <w:p w14:paraId="03D36D05">
      <w:pPr>
        <w:spacing w:before="303" w:line="243" w:lineRule="auto"/>
        <w:ind w:firstLine="708" w:firstLineChars="300"/>
        <w:jc w:val="both"/>
        <w:rPr>
          <w:rFonts w:ascii="微软雅黑" w:hAnsi="微软雅黑" w:eastAsia="微软雅黑" w:cs="微软雅黑"/>
          <w:spacing w:val="-2"/>
          <w:sz w:val="24"/>
          <w:szCs w:val="24"/>
        </w:rPr>
      </w:pPr>
      <w:r>
        <w:rPr>
          <w:rFonts w:ascii="微软雅黑" w:hAnsi="微软雅黑" w:eastAsia="微软雅黑" w:cs="微软雅黑"/>
          <w:spacing w:val="-2"/>
          <w:sz w:val="24"/>
          <w:szCs w:val="24"/>
        </w:rPr>
        <w:t>2、联合体投标的，双方均需提供相关证明。</w:t>
      </w:r>
    </w:p>
    <w:p w14:paraId="214AA647">
      <w:pPr>
        <w:spacing w:line="183" w:lineRule="auto"/>
        <w:rPr>
          <w:rFonts w:ascii="微软雅黑" w:hAnsi="微软雅黑" w:eastAsia="微软雅黑" w:cs="微软雅黑"/>
          <w:sz w:val="24"/>
          <w:szCs w:val="24"/>
        </w:rPr>
        <w:sectPr>
          <w:footerReference r:id="rId18" w:type="default"/>
          <w:pgSz w:w="11906" w:h="16840"/>
          <w:pgMar w:top="1431" w:right="1069" w:bottom="1113" w:left="1082" w:header="0" w:footer="879" w:gutter="0"/>
          <w:pgNumType w:fmt="decimal"/>
          <w:cols w:space="720" w:num="1"/>
        </w:sectPr>
      </w:pPr>
    </w:p>
    <w:p w14:paraId="42ED74B3">
      <w:pPr>
        <w:spacing w:before="113" w:line="272" w:lineRule="auto"/>
        <w:ind w:firstLine="482"/>
        <w:rPr>
          <w:rFonts w:ascii="微软雅黑" w:hAnsi="微软雅黑" w:eastAsia="微软雅黑" w:cs="微软雅黑"/>
          <w:sz w:val="24"/>
          <w:szCs w:val="24"/>
        </w:rPr>
      </w:pPr>
      <w:r>
        <w:rPr>
          <w:rFonts w:ascii="微软雅黑" w:hAnsi="微软雅黑" w:eastAsia="微软雅黑" w:cs="微软雅黑"/>
          <w:b/>
          <w:bCs/>
          <w:spacing w:val="-3"/>
          <w:sz w:val="24"/>
          <w:szCs w:val="24"/>
        </w:rPr>
        <w:t>②法人投标须提供法人身份证明及法人身份证，被授权委托人须提供法人身份证明、授权</w:t>
      </w:r>
      <w:r>
        <w:rPr>
          <w:rFonts w:ascii="微软雅黑" w:hAnsi="微软雅黑" w:eastAsia="微软雅黑" w:cs="微软雅黑"/>
          <w:b/>
          <w:bCs/>
          <w:spacing w:val="16"/>
          <w:sz w:val="24"/>
          <w:szCs w:val="24"/>
        </w:rPr>
        <w:t xml:space="preserve"> </w:t>
      </w:r>
      <w:r>
        <w:rPr>
          <w:rFonts w:ascii="微软雅黑" w:hAnsi="微软雅黑" w:eastAsia="微软雅黑" w:cs="微软雅黑"/>
          <w:b/>
          <w:bCs/>
          <w:spacing w:val="-4"/>
          <w:sz w:val="24"/>
          <w:szCs w:val="24"/>
        </w:rPr>
        <w:t>委托书及身份证复印件；</w:t>
      </w:r>
    </w:p>
    <w:p w14:paraId="11A5117D">
      <w:pPr>
        <w:pStyle w:val="7"/>
        <w:spacing w:line="392" w:lineRule="auto"/>
      </w:pPr>
    </w:p>
    <w:p w14:paraId="578928DE">
      <w:pPr>
        <w:spacing w:before="94" w:line="225" w:lineRule="auto"/>
        <w:ind w:left="26"/>
        <w:rPr>
          <w:rFonts w:ascii="微软雅黑" w:hAnsi="微软雅黑" w:eastAsia="微软雅黑" w:cs="微软雅黑"/>
          <w:sz w:val="22"/>
          <w:szCs w:val="22"/>
        </w:rPr>
      </w:pPr>
      <w:r>
        <w:rPr>
          <w:rFonts w:ascii="微软雅黑" w:hAnsi="微软雅黑" w:eastAsia="微软雅黑" w:cs="微软雅黑"/>
          <w:b/>
          <w:bCs/>
          <w:spacing w:val="-4"/>
          <w:sz w:val="22"/>
          <w:szCs w:val="22"/>
        </w:rPr>
        <w:t>（一）法定代表人身份证明</w:t>
      </w:r>
    </w:p>
    <w:p w14:paraId="7D00758D">
      <w:pPr>
        <w:pStyle w:val="7"/>
        <w:spacing w:line="399" w:lineRule="auto"/>
      </w:pPr>
    </w:p>
    <w:p w14:paraId="0D5CA79E">
      <w:pPr>
        <w:tabs>
          <w:tab w:val="left" w:pos="1646"/>
        </w:tabs>
        <w:spacing w:before="94" w:line="184" w:lineRule="auto"/>
        <w:ind w:left="546"/>
        <w:rPr>
          <w:rFonts w:ascii="微软雅黑" w:hAnsi="微软雅黑" w:eastAsia="微软雅黑" w:cs="微软雅黑"/>
          <w:sz w:val="22"/>
          <w:szCs w:val="22"/>
        </w:rPr>
      </w:pPr>
      <w:r>
        <w:rPr>
          <w:rFonts w:ascii="微软雅黑" w:hAnsi="微软雅黑" w:eastAsia="微软雅黑" w:cs="微软雅黑"/>
          <w:sz w:val="22"/>
          <w:szCs w:val="22"/>
          <w:u w:val="single" w:color="auto"/>
        </w:rPr>
        <w:tab/>
      </w:r>
      <w:r>
        <w:rPr>
          <w:rFonts w:ascii="微软雅黑" w:hAnsi="微软雅黑" w:eastAsia="微软雅黑" w:cs="微软雅黑"/>
          <w:spacing w:val="-35"/>
          <w:sz w:val="22"/>
          <w:szCs w:val="22"/>
        </w:rPr>
        <w:t xml:space="preserve"> </w:t>
      </w:r>
      <w:r>
        <w:rPr>
          <w:rFonts w:ascii="微软雅黑" w:hAnsi="微软雅黑" w:eastAsia="微软雅黑" w:cs="微软雅黑"/>
          <w:spacing w:val="-2"/>
          <w:sz w:val="22"/>
          <w:szCs w:val="22"/>
        </w:rPr>
        <w:t>同志，现任我单位</w:t>
      </w:r>
      <w:r>
        <w:rPr>
          <w:rFonts w:ascii="微软雅黑" w:hAnsi="微软雅黑" w:eastAsia="微软雅黑" w:cs="微软雅黑"/>
          <w:spacing w:val="-2"/>
          <w:sz w:val="22"/>
          <w:szCs w:val="22"/>
          <w:u w:val="single" w:color="auto"/>
        </w:rPr>
        <w:t xml:space="preserve">                 </w:t>
      </w:r>
      <w:r>
        <w:rPr>
          <w:rFonts w:ascii="微软雅黑" w:hAnsi="微软雅黑" w:eastAsia="微软雅黑" w:cs="微软雅黑"/>
          <w:spacing w:val="-61"/>
          <w:sz w:val="22"/>
          <w:szCs w:val="22"/>
        </w:rPr>
        <w:t xml:space="preserve"> </w:t>
      </w:r>
      <w:r>
        <w:rPr>
          <w:rFonts w:ascii="微软雅黑" w:hAnsi="微软雅黑" w:eastAsia="微软雅黑" w:cs="微软雅黑"/>
          <w:spacing w:val="-2"/>
          <w:sz w:val="22"/>
          <w:szCs w:val="22"/>
        </w:rPr>
        <w:t>职务，为法定代表人，特此证明。</w:t>
      </w:r>
    </w:p>
    <w:p w14:paraId="6F69D8F3">
      <w:pPr>
        <w:spacing w:before="278" w:line="183" w:lineRule="auto"/>
        <w:ind w:left="219"/>
        <w:rPr>
          <w:rFonts w:ascii="微软雅黑" w:hAnsi="微软雅黑" w:eastAsia="微软雅黑" w:cs="微软雅黑"/>
          <w:sz w:val="22"/>
          <w:szCs w:val="22"/>
        </w:rPr>
      </w:pPr>
      <w:r>
        <w:rPr>
          <w:rFonts w:ascii="微软雅黑" w:hAnsi="微软雅黑" w:eastAsia="微软雅黑" w:cs="微软雅黑"/>
          <w:spacing w:val="-2"/>
          <w:sz w:val="22"/>
          <w:szCs w:val="22"/>
        </w:rPr>
        <w:t>签发日期：                               单位：</w:t>
      </w:r>
    </w:p>
    <w:p w14:paraId="2C238805">
      <w:pPr>
        <w:spacing w:before="278" w:line="183" w:lineRule="auto"/>
        <w:ind w:left="230"/>
        <w:rPr>
          <w:rFonts w:ascii="微软雅黑" w:hAnsi="微软雅黑" w:eastAsia="微软雅黑" w:cs="微软雅黑"/>
          <w:sz w:val="22"/>
          <w:szCs w:val="22"/>
        </w:rPr>
      </w:pPr>
      <w:r>
        <w:rPr>
          <w:rFonts w:ascii="微软雅黑" w:hAnsi="微软雅黑" w:eastAsia="微软雅黑" w:cs="微软雅黑"/>
          <w:spacing w:val="-1"/>
          <w:sz w:val="22"/>
          <w:szCs w:val="22"/>
        </w:rPr>
        <w:t>附：代表人性别：                    年龄：                   身份证号码：</w:t>
      </w:r>
    </w:p>
    <w:p w14:paraId="3673ED8A">
      <w:pPr>
        <w:spacing w:before="279" w:line="182" w:lineRule="auto"/>
        <w:ind w:left="219"/>
        <w:rPr>
          <w:rFonts w:ascii="微软雅黑" w:hAnsi="微软雅黑" w:eastAsia="微软雅黑" w:cs="微软雅黑"/>
          <w:sz w:val="22"/>
          <w:szCs w:val="22"/>
        </w:rPr>
      </w:pPr>
      <w:r>
        <w:rPr>
          <w:rFonts w:ascii="微软雅黑" w:hAnsi="微软雅黑" w:eastAsia="微软雅黑" w:cs="微软雅黑"/>
          <w:spacing w:val="-8"/>
          <w:sz w:val="22"/>
          <w:szCs w:val="22"/>
        </w:rPr>
        <w:t>联系电话：</w:t>
      </w:r>
    </w:p>
    <w:p w14:paraId="5A90A598">
      <w:pPr>
        <w:spacing w:before="279" w:line="183" w:lineRule="auto"/>
        <w:ind w:left="221"/>
        <w:rPr>
          <w:rFonts w:ascii="微软雅黑" w:hAnsi="微软雅黑" w:eastAsia="微软雅黑" w:cs="微软雅黑"/>
          <w:sz w:val="22"/>
          <w:szCs w:val="22"/>
        </w:rPr>
      </w:pPr>
      <w:r>
        <w:rPr>
          <w:rFonts w:ascii="微软雅黑" w:hAnsi="微软雅黑" w:eastAsia="微软雅黑" w:cs="微软雅黑"/>
          <w:spacing w:val="-2"/>
          <w:sz w:val="22"/>
          <w:szCs w:val="22"/>
        </w:rPr>
        <w:t>营业执照号码：                        经济性质：</w:t>
      </w:r>
    </w:p>
    <w:p w14:paraId="3024E89C">
      <w:pPr>
        <w:spacing w:before="279" w:line="182" w:lineRule="auto"/>
        <w:rPr>
          <w:rFonts w:ascii="微软雅黑" w:hAnsi="微软雅黑" w:eastAsia="微软雅黑" w:cs="微软雅黑"/>
          <w:sz w:val="22"/>
          <w:szCs w:val="22"/>
        </w:rPr>
      </w:pPr>
      <w:r>
        <w:rPr>
          <w:rFonts w:ascii="微软雅黑" w:hAnsi="微软雅黑" w:eastAsia="微软雅黑" w:cs="微软雅黑"/>
          <w:spacing w:val="-10"/>
          <w:sz w:val="22"/>
          <w:szCs w:val="22"/>
        </w:rPr>
        <w:t>说明：</w:t>
      </w:r>
    </w:p>
    <w:p w14:paraId="53C41739">
      <w:pPr>
        <w:spacing w:before="277" w:line="184" w:lineRule="auto"/>
        <w:ind w:left="239"/>
        <w:rPr>
          <w:rFonts w:ascii="微软雅黑" w:hAnsi="微软雅黑" w:eastAsia="微软雅黑" w:cs="微软雅黑"/>
          <w:sz w:val="22"/>
          <w:szCs w:val="22"/>
        </w:rPr>
      </w:pPr>
      <w:r>
        <w:rPr>
          <w:rFonts w:ascii="微软雅黑" w:hAnsi="微软雅黑" w:eastAsia="微软雅黑" w:cs="微软雅黑"/>
          <w:spacing w:val="-2"/>
          <w:sz w:val="22"/>
          <w:szCs w:val="22"/>
        </w:rPr>
        <w:t>1、法定代表人为企业事业单位、国家机关、社会团体的主要行政负责人。</w:t>
      </w:r>
    </w:p>
    <w:p w14:paraId="7547DBC2">
      <w:pPr>
        <w:spacing w:before="278" w:line="183" w:lineRule="auto"/>
        <w:ind w:left="229"/>
        <w:rPr>
          <w:rFonts w:ascii="微软雅黑" w:hAnsi="微软雅黑" w:eastAsia="微软雅黑" w:cs="微软雅黑"/>
          <w:sz w:val="22"/>
          <w:szCs w:val="22"/>
        </w:rPr>
      </w:pPr>
      <w:r>
        <w:rPr>
          <w:rFonts w:ascii="微软雅黑" w:hAnsi="微软雅黑" w:eastAsia="微软雅黑" w:cs="微软雅黑"/>
          <w:spacing w:val="-3"/>
          <w:sz w:val="22"/>
          <w:szCs w:val="22"/>
        </w:rPr>
        <w:t>2、内容必须填写真实、清楚、涂改无效，不得转让。</w:t>
      </w:r>
    </w:p>
    <w:p w14:paraId="2269A4FB">
      <w:pPr>
        <w:pStyle w:val="7"/>
        <w:spacing w:line="258" w:lineRule="auto"/>
      </w:pPr>
    </w:p>
    <w:p w14:paraId="29F6E2C7">
      <w:pPr>
        <w:pStyle w:val="7"/>
        <w:spacing w:line="258" w:lineRule="auto"/>
      </w:pPr>
    </w:p>
    <w:p w14:paraId="1346D985">
      <w:pPr>
        <w:pStyle w:val="7"/>
        <w:spacing w:line="258" w:lineRule="auto"/>
      </w:pPr>
      <w:r>
        <w:pict>
          <v:group id="_x0000_s1028" o:spid="_x0000_s1028" o:spt="203" style="position:absolute;left:0pt;margin-left:11.6pt;margin-top:11.8pt;height:125.5pt;width:184.5pt;z-index:251660288;mso-width-relative:page;mso-height-relative:page;" coordsize="3690,2510">
            <o:lock v:ext="edit"/>
            <v:shape id="_x0000_s1029" o:spid="_x0000_s1029" style="position:absolute;left:0;top:0;height:2510;width:3690;" filled="f" stroked="t" coordsize="3690,2510" path="m7,423c7,313,51,207,129,129c207,51,313,7,423,7l423,7,3266,7c3376,7,3482,51,3560,129c3638,207,3682,313,3682,423l3682,423,3682,2086c3682,2196,3638,2302,3560,2380c3482,2458,3376,2502,3266,2502l3266,2502,423,2502c313,2502,207,2458,129,2380c51,2302,7,2196,7,2086l7,423xe">
              <v:fill on="f" focussize="0,0"/>
              <v:stroke color="#000000" miterlimit="10" joinstyle="miter"/>
              <v:imagedata o:title=""/>
              <o:lock v:ext="edit"/>
            </v:shape>
            <v:shape id="_x0000_s1030" o:spid="_x0000_s1030" o:spt="202" type="#_x0000_t202" style="position:absolute;left:-20;top:-20;height:2590;width:3730;" filled="f" stroked="f" coordsize="21600,21600">
              <v:path/>
              <v:fill on="f" focussize="0,0"/>
              <v:stroke on="f"/>
              <v:imagedata o:title=""/>
              <o:lock v:ext="edit" aspectratio="f"/>
              <v:textbox inset="0mm,0mm,0mm,0mm">
                <w:txbxContent>
                  <w:p w14:paraId="6B6BEA56">
                    <w:pPr>
                      <w:pStyle w:val="7"/>
                      <w:spacing w:line="303" w:lineRule="auto"/>
                    </w:pPr>
                  </w:p>
                  <w:p w14:paraId="4690A1A9">
                    <w:pPr>
                      <w:pStyle w:val="7"/>
                      <w:spacing w:line="303" w:lineRule="auto"/>
                    </w:pPr>
                  </w:p>
                  <w:p w14:paraId="548C8B8C">
                    <w:pPr>
                      <w:pStyle w:val="7"/>
                      <w:spacing w:line="303" w:lineRule="auto"/>
                    </w:pPr>
                  </w:p>
                  <w:p w14:paraId="2FB8FF5B">
                    <w:pPr>
                      <w:spacing w:before="69" w:line="220" w:lineRule="auto"/>
                      <w:ind w:left="718"/>
                      <w:rPr>
                        <w:rFonts w:ascii="宋体" w:hAnsi="宋体" w:eastAsia="宋体" w:cs="宋体"/>
                        <w:sz w:val="21"/>
                        <w:szCs w:val="21"/>
                      </w:rPr>
                    </w:pPr>
                    <w:r>
                      <w:rPr>
                        <w:rFonts w:ascii="宋体" w:hAnsi="宋体" w:eastAsia="宋体" w:cs="宋体"/>
                        <w:spacing w:val="-1"/>
                        <w:sz w:val="21"/>
                        <w:szCs w:val="21"/>
                      </w:rPr>
                      <w:t>法定代表人身份证复印件</w:t>
                    </w:r>
                  </w:p>
                </w:txbxContent>
              </v:textbox>
            </v:shape>
          </v:group>
        </w:pict>
      </w:r>
    </w:p>
    <w:p w14:paraId="3EF49293">
      <w:pPr>
        <w:pStyle w:val="7"/>
        <w:spacing w:before="1" w:line="2477" w:lineRule="exact"/>
        <w:ind w:firstLine="4580"/>
      </w:pPr>
      <w:r>
        <w:rPr>
          <w:position w:val="-49"/>
        </w:rPr>
        <w:pict>
          <v:group id="_x0000_s1031" o:spid="_x0000_s1031" o:spt="203" style="height:123.9pt;width:206.75pt;" coordsize="4135,2478">
            <o:lock v:ext="edit"/>
            <v:shape id="_x0000_s1032" o:spid="_x0000_s1032" style="position:absolute;left:0;top:0;height:2478;width:4135;" filled="f" stroked="t" coordsize="4135,2478" path="m12,421c12,312,55,208,132,132c208,55,312,12,421,12l421,12,3713,12c3822,12,3926,55,4002,132c4079,208,4122,312,4122,421l4122,421,4122,2055c4122,2164,4079,2268,4002,2344c3926,2421,3822,2464,3713,2464l3713,2464,421,2464c312,2464,208,2421,132,2344c55,2268,12,2164,12,2055l12,421xe">
              <v:fill on="f" focussize="0,0"/>
              <v:stroke weight="1.25pt" color="#808080" miterlimit="10"/>
              <v:imagedata o:title=""/>
              <o:lock v:ext="edit"/>
            </v:shape>
            <v:shape id="_x0000_s1033" o:spid="_x0000_s1033" o:spt="202" type="#_x0000_t202" style="position:absolute;left:-20;top:-20;height:2518;width:4175;" filled="f" stroked="f" coordsize="21600,21600">
              <v:path/>
              <v:fill on="f" focussize="0,0"/>
              <v:stroke on="f"/>
              <v:imagedata o:title=""/>
              <o:lock v:ext="edit" aspectratio="f"/>
              <v:textbox inset="0mm,0mm,0mm,0mm">
                <w:txbxContent>
                  <w:p w14:paraId="7DB368FB">
                    <w:pPr>
                      <w:spacing w:line="305" w:lineRule="auto"/>
                      <w:rPr>
                        <w:rFonts w:ascii="Arial"/>
                        <w:sz w:val="21"/>
                      </w:rPr>
                    </w:pPr>
                  </w:p>
                  <w:p w14:paraId="24F34535">
                    <w:pPr>
                      <w:spacing w:line="305" w:lineRule="auto"/>
                      <w:rPr>
                        <w:rFonts w:ascii="Arial"/>
                        <w:sz w:val="21"/>
                      </w:rPr>
                    </w:pPr>
                  </w:p>
                  <w:p w14:paraId="67D4B190">
                    <w:pPr>
                      <w:spacing w:line="306" w:lineRule="auto"/>
                      <w:rPr>
                        <w:rFonts w:ascii="Arial"/>
                        <w:sz w:val="21"/>
                      </w:rPr>
                    </w:pPr>
                  </w:p>
                  <w:p w14:paraId="6A813343">
                    <w:pPr>
                      <w:spacing w:before="68" w:line="220" w:lineRule="auto"/>
                      <w:ind w:left="940"/>
                      <w:rPr>
                        <w:rFonts w:ascii="宋体" w:hAnsi="宋体" w:eastAsia="宋体" w:cs="宋体"/>
                        <w:sz w:val="21"/>
                        <w:szCs w:val="21"/>
                      </w:rPr>
                    </w:pPr>
                    <w:r>
                      <w:rPr>
                        <w:rFonts w:ascii="宋体" w:hAnsi="宋体" w:eastAsia="宋体" w:cs="宋体"/>
                        <w:spacing w:val="-1"/>
                        <w:sz w:val="21"/>
                        <w:szCs w:val="21"/>
                      </w:rPr>
                      <w:t>法定代表人身份证复印件</w:t>
                    </w:r>
                  </w:p>
                </w:txbxContent>
              </v:textbox>
            </v:shape>
            <w10:wrap type="none"/>
            <w10:anchorlock/>
          </v:group>
        </w:pict>
      </w:r>
    </w:p>
    <w:p w14:paraId="067527F6">
      <w:pPr>
        <w:pStyle w:val="7"/>
        <w:spacing w:line="320" w:lineRule="auto"/>
      </w:pPr>
    </w:p>
    <w:p w14:paraId="78AB005E">
      <w:pPr>
        <w:spacing w:before="95" w:line="184" w:lineRule="auto"/>
        <w:ind w:left="717"/>
        <w:rPr>
          <w:rFonts w:ascii="微软雅黑" w:hAnsi="微软雅黑" w:eastAsia="微软雅黑" w:cs="微软雅黑"/>
          <w:sz w:val="22"/>
          <w:szCs w:val="22"/>
        </w:rPr>
      </w:pPr>
      <w:r>
        <w:rPr>
          <w:rFonts w:ascii="微软雅黑" w:hAnsi="微软雅黑" w:eastAsia="微软雅黑" w:cs="微软雅黑"/>
          <w:spacing w:val="-6"/>
          <w:sz w:val="22"/>
          <w:szCs w:val="22"/>
        </w:rPr>
        <w:t>供应商（公章</w:t>
      </w:r>
      <w:r>
        <w:rPr>
          <w:rFonts w:ascii="微软雅黑" w:hAnsi="微软雅黑" w:eastAsia="微软雅黑" w:cs="微软雅黑"/>
          <w:spacing w:val="-1"/>
          <w:sz w:val="22"/>
          <w:szCs w:val="22"/>
        </w:rPr>
        <w:t>）：</w:t>
      </w:r>
    </w:p>
    <w:p w14:paraId="0731FE25">
      <w:pPr>
        <w:spacing w:before="276" w:line="184" w:lineRule="auto"/>
        <w:ind w:left="719"/>
        <w:rPr>
          <w:rFonts w:ascii="微软雅黑" w:hAnsi="微软雅黑" w:eastAsia="微软雅黑" w:cs="微软雅黑"/>
          <w:sz w:val="22"/>
          <w:szCs w:val="22"/>
        </w:rPr>
      </w:pPr>
      <w:r>
        <w:rPr>
          <w:rFonts w:ascii="微软雅黑" w:hAnsi="微软雅黑" w:eastAsia="微软雅黑" w:cs="微软雅黑"/>
          <w:spacing w:val="-4"/>
          <w:sz w:val="22"/>
          <w:szCs w:val="22"/>
        </w:rPr>
        <w:t>法定代表人（签字或盖章</w:t>
      </w:r>
      <w:r>
        <w:rPr>
          <w:rFonts w:ascii="微软雅黑" w:hAnsi="微软雅黑" w:eastAsia="微软雅黑" w:cs="微软雅黑"/>
          <w:spacing w:val="1"/>
          <w:sz w:val="22"/>
          <w:szCs w:val="22"/>
        </w:rPr>
        <w:t>）：</w:t>
      </w:r>
    </w:p>
    <w:p w14:paraId="49C84B2A">
      <w:pPr>
        <w:spacing w:before="283" w:line="180" w:lineRule="auto"/>
        <w:ind w:left="749"/>
        <w:rPr>
          <w:rFonts w:ascii="微软雅黑" w:hAnsi="微软雅黑" w:eastAsia="微软雅黑" w:cs="微软雅黑"/>
          <w:sz w:val="22"/>
          <w:szCs w:val="22"/>
        </w:rPr>
      </w:pPr>
      <w:r>
        <w:rPr>
          <w:rFonts w:ascii="微软雅黑" w:hAnsi="微软雅黑" w:eastAsia="微软雅黑" w:cs="微软雅黑"/>
          <w:spacing w:val="-17"/>
          <w:sz w:val="22"/>
          <w:szCs w:val="22"/>
        </w:rPr>
        <w:t>日期：</w:t>
      </w:r>
    </w:p>
    <w:p w14:paraId="76838530">
      <w:pPr>
        <w:pStyle w:val="7"/>
        <w:spacing w:line="277" w:lineRule="auto"/>
      </w:pPr>
    </w:p>
    <w:p w14:paraId="70B008D5">
      <w:pPr>
        <w:pStyle w:val="7"/>
        <w:spacing w:line="277" w:lineRule="auto"/>
      </w:pPr>
    </w:p>
    <w:p w14:paraId="75F6BDDF">
      <w:pPr>
        <w:pStyle w:val="7"/>
        <w:spacing w:line="278" w:lineRule="auto"/>
      </w:pPr>
    </w:p>
    <w:p w14:paraId="2B00CFA7">
      <w:pPr>
        <w:spacing w:before="103" w:line="183" w:lineRule="auto"/>
        <w:rPr>
          <w:rFonts w:ascii="微软雅黑" w:hAnsi="微软雅黑" w:eastAsia="微软雅黑" w:cs="微软雅黑"/>
          <w:sz w:val="24"/>
          <w:szCs w:val="24"/>
        </w:rPr>
      </w:pPr>
      <w:r>
        <w:rPr>
          <w:rFonts w:ascii="微软雅黑" w:hAnsi="微软雅黑" w:eastAsia="微软雅黑" w:cs="微软雅黑"/>
          <w:b/>
          <w:bCs/>
          <w:spacing w:val="-3"/>
          <w:sz w:val="24"/>
          <w:szCs w:val="24"/>
        </w:rPr>
        <w:t>注：联合体投标，联合体单位均需提供。</w:t>
      </w:r>
    </w:p>
    <w:p w14:paraId="1F6D207F">
      <w:pPr>
        <w:spacing w:line="183" w:lineRule="auto"/>
        <w:rPr>
          <w:rFonts w:ascii="微软雅黑" w:hAnsi="微软雅黑" w:eastAsia="微软雅黑" w:cs="微软雅黑"/>
          <w:sz w:val="24"/>
          <w:szCs w:val="24"/>
        </w:rPr>
        <w:sectPr>
          <w:footerReference r:id="rId19" w:type="default"/>
          <w:pgSz w:w="11906" w:h="16840"/>
          <w:pgMar w:top="1431" w:right="1080" w:bottom="1113" w:left="1083" w:header="0" w:footer="879" w:gutter="0"/>
          <w:pgNumType w:fmt="decimal"/>
          <w:cols w:space="720" w:num="1"/>
        </w:sectPr>
      </w:pPr>
    </w:p>
    <w:p w14:paraId="6D890D06">
      <w:pPr>
        <w:spacing w:before="132" w:line="183" w:lineRule="auto"/>
        <w:ind w:left="36"/>
        <w:rPr>
          <w:rFonts w:ascii="微软雅黑" w:hAnsi="微软雅黑" w:eastAsia="微软雅黑" w:cs="微软雅黑"/>
          <w:sz w:val="28"/>
          <w:szCs w:val="28"/>
        </w:rPr>
      </w:pPr>
      <w:r>
        <w:rPr>
          <w:rFonts w:ascii="微软雅黑" w:hAnsi="微软雅黑" w:eastAsia="微软雅黑" w:cs="微软雅黑"/>
          <w:b/>
          <w:bCs/>
          <w:spacing w:val="-4"/>
          <w:sz w:val="28"/>
          <w:szCs w:val="28"/>
        </w:rPr>
        <w:t>（二）法定代表人授权委托书</w:t>
      </w:r>
    </w:p>
    <w:p w14:paraId="0E63D0C9">
      <w:pPr>
        <w:pStyle w:val="7"/>
        <w:spacing w:line="295" w:lineRule="auto"/>
      </w:pPr>
    </w:p>
    <w:p w14:paraId="3671460A">
      <w:pPr>
        <w:spacing w:before="103" w:line="183" w:lineRule="auto"/>
        <w:ind w:left="4163"/>
        <w:rPr>
          <w:rFonts w:ascii="微软雅黑" w:hAnsi="微软雅黑" w:eastAsia="微软雅黑" w:cs="微软雅黑"/>
          <w:sz w:val="24"/>
          <w:szCs w:val="24"/>
        </w:rPr>
      </w:pPr>
      <w:r>
        <w:rPr>
          <w:rFonts w:ascii="微软雅黑" w:hAnsi="微软雅黑" w:eastAsia="微软雅黑" w:cs="微软雅黑"/>
          <w:spacing w:val="-2"/>
          <w:sz w:val="24"/>
          <w:szCs w:val="24"/>
        </w:rPr>
        <w:t>法定代表人授权书</w:t>
      </w:r>
    </w:p>
    <w:p w14:paraId="71E7C90E">
      <w:pPr>
        <w:pStyle w:val="7"/>
        <w:spacing w:line="264" w:lineRule="auto"/>
      </w:pPr>
    </w:p>
    <w:p w14:paraId="6D9D7A7B">
      <w:pPr>
        <w:pStyle w:val="7"/>
        <w:spacing w:line="265" w:lineRule="auto"/>
      </w:pPr>
    </w:p>
    <w:p w14:paraId="2F6A0AC8">
      <w:pPr>
        <w:spacing w:before="103" w:line="221" w:lineRule="auto"/>
        <w:ind w:left="491"/>
        <w:rPr>
          <w:rFonts w:ascii="微软雅黑" w:hAnsi="微软雅黑" w:eastAsia="微软雅黑" w:cs="微软雅黑"/>
          <w:sz w:val="24"/>
          <w:szCs w:val="24"/>
        </w:rPr>
      </w:pPr>
      <w:r>
        <w:rPr>
          <w:rFonts w:ascii="微软雅黑" w:hAnsi="微软雅黑" w:eastAsia="微软雅黑" w:cs="微软雅黑"/>
          <w:spacing w:val="-3"/>
          <w:sz w:val="24"/>
          <w:szCs w:val="24"/>
        </w:rPr>
        <w:t>本授权委托书声明：我</w:t>
      </w:r>
      <w:r>
        <w:rPr>
          <w:rFonts w:ascii="微软雅黑" w:hAnsi="微软雅黑" w:eastAsia="微软雅黑" w:cs="微软雅黑"/>
          <w:spacing w:val="-3"/>
          <w:sz w:val="24"/>
          <w:szCs w:val="24"/>
          <w:u w:val="single" w:color="auto"/>
        </w:rPr>
        <w:t xml:space="preserve">   ( 姓   名  )</w:t>
      </w:r>
      <w:r>
        <w:rPr>
          <w:rFonts w:ascii="微软雅黑" w:hAnsi="微软雅黑" w:eastAsia="微软雅黑" w:cs="微软雅黑"/>
          <w:spacing w:val="-3"/>
          <w:sz w:val="24"/>
          <w:szCs w:val="24"/>
        </w:rPr>
        <w:t>系</w:t>
      </w:r>
      <w:r>
        <w:rPr>
          <w:rFonts w:ascii="微软雅黑" w:hAnsi="微软雅黑" w:eastAsia="微软雅黑" w:cs="微软雅黑"/>
          <w:spacing w:val="46"/>
          <w:w w:val="101"/>
          <w:sz w:val="24"/>
          <w:szCs w:val="24"/>
        </w:rPr>
        <w:t xml:space="preserve"> </w:t>
      </w:r>
      <w:r>
        <w:rPr>
          <w:rFonts w:ascii="微软雅黑" w:hAnsi="微软雅黑" w:eastAsia="微软雅黑" w:cs="微软雅黑"/>
          <w:spacing w:val="-3"/>
          <w:sz w:val="24"/>
          <w:szCs w:val="24"/>
          <w:u w:val="single" w:color="auto"/>
        </w:rPr>
        <w:t xml:space="preserve">   (供应商牵头人名称)</w:t>
      </w:r>
      <w:r>
        <w:rPr>
          <w:rFonts w:ascii="微软雅黑" w:hAnsi="微软雅黑" w:eastAsia="微软雅黑" w:cs="微软雅黑"/>
          <w:spacing w:val="-3"/>
          <w:sz w:val="24"/>
          <w:szCs w:val="24"/>
        </w:rPr>
        <w:t xml:space="preserve">的法定代表人，我  </w:t>
      </w:r>
      <w:r>
        <w:rPr>
          <w:rFonts w:ascii="微软雅黑" w:hAnsi="微软雅黑" w:eastAsia="微软雅黑" w:cs="微软雅黑"/>
          <w:spacing w:val="-3"/>
          <w:sz w:val="24"/>
          <w:szCs w:val="24"/>
          <w:u w:val="single" w:color="auto"/>
        </w:rPr>
        <w:t xml:space="preserve">( 姓 名  </w:t>
      </w:r>
      <w:r>
        <w:rPr>
          <w:rFonts w:ascii="微软雅黑" w:hAnsi="微软雅黑" w:eastAsia="微软雅黑" w:cs="微软雅黑"/>
          <w:spacing w:val="-4"/>
          <w:sz w:val="24"/>
          <w:szCs w:val="24"/>
          <w:u w:val="single" w:color="auto"/>
        </w:rPr>
        <w:t xml:space="preserve"> )</w:t>
      </w:r>
    </w:p>
    <w:p w14:paraId="79BF87CC">
      <w:pPr>
        <w:spacing w:before="227" w:line="354" w:lineRule="auto"/>
        <w:ind w:left="1"/>
        <w:rPr>
          <w:rFonts w:ascii="微软雅黑" w:hAnsi="微软雅黑" w:eastAsia="微软雅黑" w:cs="微软雅黑"/>
          <w:sz w:val="24"/>
          <w:szCs w:val="24"/>
        </w:rPr>
      </w:pPr>
      <w:r>
        <w:rPr>
          <w:rFonts w:ascii="微软雅黑" w:hAnsi="微软雅黑" w:eastAsia="微软雅黑" w:cs="微软雅黑"/>
          <w:spacing w:val="-5"/>
          <w:sz w:val="24"/>
          <w:szCs w:val="24"/>
        </w:rPr>
        <w:t>系</w:t>
      </w:r>
      <w:r>
        <w:rPr>
          <w:rFonts w:ascii="微软雅黑" w:hAnsi="微软雅黑" w:eastAsia="微软雅黑" w:cs="微软雅黑"/>
          <w:spacing w:val="-5"/>
          <w:sz w:val="24"/>
          <w:szCs w:val="24"/>
          <w:u w:val="single" w:color="auto"/>
        </w:rPr>
        <w:t xml:space="preserve">     (供应商另 一  成员单位名称)</w:t>
      </w:r>
      <w:r>
        <w:rPr>
          <w:rFonts w:ascii="微软雅黑" w:hAnsi="微软雅黑" w:eastAsia="微软雅黑" w:cs="微软雅黑"/>
          <w:spacing w:val="-5"/>
          <w:sz w:val="24"/>
          <w:szCs w:val="24"/>
        </w:rPr>
        <w:t>的法定代表人，现共同授权委托</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54"/>
          <w:sz w:val="24"/>
          <w:szCs w:val="24"/>
          <w:u w:val="single" w:color="auto"/>
        </w:rPr>
        <w:t xml:space="preserve"> </w:t>
      </w:r>
      <w:r>
        <w:rPr>
          <w:rFonts w:ascii="微软雅黑" w:hAnsi="微软雅黑" w:eastAsia="微软雅黑" w:cs="微软雅黑"/>
          <w:spacing w:val="-5"/>
          <w:sz w:val="24"/>
          <w:szCs w:val="24"/>
          <w:u w:val="single" w:color="auto"/>
        </w:rPr>
        <w:t>供应商牵头人名称)</w:t>
      </w:r>
      <w:r>
        <w:rPr>
          <w:rFonts w:ascii="微软雅黑" w:hAnsi="微软雅黑" w:eastAsia="微软雅黑" w:cs="微软雅黑"/>
          <w:spacing w:val="-5"/>
          <w:sz w:val="24"/>
          <w:szCs w:val="24"/>
        </w:rPr>
        <w:t>的</w:t>
      </w:r>
      <w:r>
        <w:rPr>
          <w:rFonts w:ascii="微软雅黑" w:hAnsi="微软雅黑" w:eastAsia="微软雅黑" w:cs="微软雅黑"/>
          <w:spacing w:val="59"/>
          <w:sz w:val="24"/>
          <w:szCs w:val="24"/>
        </w:rPr>
        <w:t xml:space="preserve"> </w:t>
      </w:r>
      <w:r>
        <w:rPr>
          <w:rFonts w:ascii="微软雅黑" w:hAnsi="微软雅黑" w:eastAsia="微软雅黑" w:cs="微软雅黑"/>
          <w:spacing w:val="-5"/>
          <w:sz w:val="24"/>
          <w:szCs w:val="24"/>
          <w:u w:val="single" w:color="auto"/>
        </w:rPr>
        <w:t>( 姓</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u w:val="single" w:color="auto"/>
        </w:rPr>
        <w:t>名</w:t>
      </w:r>
      <w:r>
        <w:rPr>
          <w:rFonts w:ascii="微软雅黑" w:hAnsi="微软雅黑" w:eastAsia="微软雅黑" w:cs="微软雅黑"/>
          <w:spacing w:val="47"/>
          <w:sz w:val="24"/>
          <w:szCs w:val="24"/>
          <w:u w:val="single" w:color="auto"/>
        </w:rPr>
        <w:t xml:space="preserve"> </w:t>
      </w:r>
      <w:r>
        <w:rPr>
          <w:rFonts w:ascii="微软雅黑" w:hAnsi="微软雅黑" w:eastAsia="微软雅黑" w:cs="微软雅黑"/>
          <w:spacing w:val="-1"/>
          <w:sz w:val="24"/>
          <w:szCs w:val="24"/>
          <w:u w:val="single" w:color="auto"/>
        </w:rPr>
        <w:t>)</w:t>
      </w:r>
      <w:r>
        <w:rPr>
          <w:rFonts w:ascii="微软雅黑" w:hAnsi="微软雅黑" w:eastAsia="微软雅黑" w:cs="微软雅黑"/>
          <w:spacing w:val="-1"/>
          <w:sz w:val="24"/>
          <w:szCs w:val="24"/>
        </w:rPr>
        <w:t>为我联合体的法定代表人授权委托代理人。</w:t>
      </w:r>
      <w:r>
        <w:rPr>
          <w:rFonts w:ascii="微软雅黑" w:hAnsi="微软雅黑" w:eastAsia="微软雅黑" w:cs="微软雅黑"/>
          <w:spacing w:val="47"/>
          <w:w w:val="101"/>
          <w:sz w:val="24"/>
          <w:szCs w:val="24"/>
        </w:rPr>
        <w:t xml:space="preserve"> </w:t>
      </w:r>
      <w:r>
        <w:rPr>
          <w:rFonts w:ascii="微软雅黑" w:hAnsi="微软雅黑" w:eastAsia="微软雅黑" w:cs="微软雅黑"/>
          <w:spacing w:val="-1"/>
          <w:sz w:val="24"/>
          <w:szCs w:val="24"/>
        </w:rPr>
        <w:t>代理人根据授权</w:t>
      </w:r>
      <w:r>
        <w:rPr>
          <w:rFonts w:ascii="微软雅黑" w:hAnsi="微软雅黑" w:eastAsia="微软雅黑" w:cs="微软雅黑"/>
          <w:spacing w:val="-2"/>
          <w:sz w:val="24"/>
          <w:szCs w:val="24"/>
        </w:rPr>
        <w:t>，以联合体名义获取招标文</w:t>
      </w:r>
    </w:p>
    <w:p w14:paraId="35FB7DAC">
      <w:pPr>
        <w:spacing w:before="4" w:line="361" w:lineRule="auto"/>
        <w:ind w:right="323"/>
        <w:rPr>
          <w:rFonts w:ascii="微软雅黑" w:hAnsi="微软雅黑" w:eastAsia="微软雅黑" w:cs="微软雅黑"/>
          <w:sz w:val="24"/>
          <w:szCs w:val="24"/>
        </w:rPr>
      </w:pPr>
      <w:r>
        <w:rPr>
          <w:rFonts w:ascii="微软雅黑" w:hAnsi="微软雅黑" w:eastAsia="微软雅黑" w:cs="微软雅黑"/>
          <w:spacing w:val="1"/>
          <w:sz w:val="24"/>
          <w:szCs w:val="24"/>
        </w:rPr>
        <w:t>件，签署、澄清、</w:t>
      </w:r>
      <w:r>
        <w:rPr>
          <w:rFonts w:ascii="微软雅黑" w:hAnsi="微软雅黑" w:eastAsia="微软雅黑" w:cs="微软雅黑"/>
          <w:spacing w:val="75"/>
          <w:sz w:val="24"/>
          <w:szCs w:val="24"/>
        </w:rPr>
        <w:t xml:space="preserve"> </w:t>
      </w:r>
      <w:r>
        <w:rPr>
          <w:rFonts w:ascii="微软雅黑" w:hAnsi="微软雅黑" w:eastAsia="微软雅黑" w:cs="微软雅黑"/>
          <w:spacing w:val="1"/>
          <w:sz w:val="24"/>
          <w:szCs w:val="24"/>
        </w:rPr>
        <w:t>说明、补正、递</w:t>
      </w:r>
      <w:r>
        <w:rPr>
          <w:rFonts w:ascii="微软雅黑" w:hAnsi="微软雅黑" w:eastAsia="微软雅黑" w:cs="微软雅黑"/>
          <w:spacing w:val="60"/>
          <w:sz w:val="24"/>
          <w:szCs w:val="24"/>
        </w:rPr>
        <w:t xml:space="preserve"> </w:t>
      </w:r>
      <w:r>
        <w:rPr>
          <w:rFonts w:ascii="微软雅黑" w:hAnsi="微软雅黑" w:eastAsia="微软雅黑" w:cs="微软雅黑"/>
          <w:spacing w:val="1"/>
          <w:sz w:val="24"/>
          <w:szCs w:val="24"/>
        </w:rPr>
        <w:t>交、撤回、修改(项目名称及包号)投标文件，</w:t>
      </w:r>
      <w:r>
        <w:rPr>
          <w:rFonts w:ascii="微软雅黑" w:hAnsi="微软雅黑" w:eastAsia="微软雅黑" w:cs="微软雅黑"/>
          <w:spacing w:val="-44"/>
          <w:sz w:val="24"/>
          <w:szCs w:val="24"/>
        </w:rPr>
        <w:t xml:space="preserve"> </w:t>
      </w:r>
      <w:r>
        <w:rPr>
          <w:rFonts w:ascii="微软雅黑" w:hAnsi="微软雅黑" w:eastAsia="微软雅黑" w:cs="微软雅黑"/>
          <w:spacing w:val="1"/>
          <w:sz w:val="24"/>
          <w:szCs w:val="24"/>
        </w:rPr>
        <w:t>出席开标</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会、签订合同和处理有关事宜，其签名真迹和印章如本授</w:t>
      </w:r>
      <w:r>
        <w:rPr>
          <w:rFonts w:ascii="微软雅黑" w:hAnsi="微软雅黑" w:eastAsia="微软雅黑" w:cs="微软雅黑"/>
          <w:sz w:val="24"/>
          <w:szCs w:val="24"/>
        </w:rPr>
        <w:t xml:space="preserve">权委托书末尾所示，其法律后果由 </w:t>
      </w:r>
      <w:r>
        <w:rPr>
          <w:rFonts w:ascii="微软雅黑" w:hAnsi="微软雅黑" w:eastAsia="微软雅黑" w:cs="微软雅黑"/>
          <w:spacing w:val="-5"/>
          <w:sz w:val="24"/>
          <w:szCs w:val="24"/>
        </w:rPr>
        <w:t>我联合体共同承担。</w:t>
      </w:r>
    </w:p>
    <w:p w14:paraId="62A81C81">
      <w:pPr>
        <w:spacing w:before="30" w:line="182" w:lineRule="auto"/>
        <w:ind w:left="12"/>
        <w:rPr>
          <w:rFonts w:ascii="微软雅黑" w:hAnsi="微软雅黑" w:eastAsia="微软雅黑" w:cs="微软雅黑"/>
          <w:sz w:val="24"/>
          <w:szCs w:val="24"/>
        </w:rPr>
      </w:pPr>
      <w:r>
        <w:rPr>
          <w:rFonts w:ascii="微软雅黑" w:hAnsi="微软雅黑" w:eastAsia="微软雅黑" w:cs="微软雅黑"/>
          <w:spacing w:val="-4"/>
          <w:sz w:val="24"/>
          <w:szCs w:val="24"/>
        </w:rPr>
        <w:t>委托期限：</w:t>
      </w:r>
    </w:p>
    <w:p w14:paraId="0975153C">
      <w:pPr>
        <w:spacing w:before="250" w:line="183" w:lineRule="auto"/>
        <w:ind w:left="12"/>
        <w:rPr>
          <w:rFonts w:ascii="微软雅黑" w:hAnsi="微软雅黑" w:eastAsia="微软雅黑" w:cs="微软雅黑"/>
          <w:sz w:val="24"/>
          <w:szCs w:val="24"/>
        </w:rPr>
      </w:pPr>
      <w:r>
        <w:rPr>
          <w:rFonts w:ascii="微软雅黑" w:hAnsi="微软雅黑" w:eastAsia="微软雅黑" w:cs="微软雅黑"/>
          <w:spacing w:val="-4"/>
          <w:sz w:val="24"/>
          <w:szCs w:val="24"/>
        </w:rPr>
        <w:t>代理人无转委托。</w:t>
      </w:r>
    </w:p>
    <w:p w14:paraId="53EA4E02">
      <w:pPr>
        <w:pStyle w:val="7"/>
        <w:spacing w:line="407" w:lineRule="auto"/>
      </w:pPr>
    </w:p>
    <w:p w14:paraId="0C364EC3">
      <w:pPr>
        <w:spacing w:before="104" w:line="222" w:lineRule="auto"/>
        <w:rPr>
          <w:rFonts w:ascii="微软雅黑" w:hAnsi="微软雅黑" w:eastAsia="微软雅黑" w:cs="微软雅黑"/>
          <w:sz w:val="24"/>
          <w:szCs w:val="24"/>
        </w:rPr>
      </w:pPr>
      <w:r>
        <w:rPr>
          <w:rFonts w:ascii="微软雅黑" w:hAnsi="微软雅黑" w:eastAsia="微软雅黑" w:cs="微软雅黑"/>
          <w:spacing w:val="-2"/>
          <w:sz w:val="24"/>
          <w:szCs w:val="24"/>
        </w:rPr>
        <w:t>供应商(牵头单位):</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2"/>
          <w:sz w:val="24"/>
          <w:szCs w:val="24"/>
        </w:rPr>
        <w:t>（盖单位公章)            供应商(成员):</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3"/>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3"/>
          <w:sz w:val="24"/>
          <w:szCs w:val="24"/>
        </w:rPr>
        <w:t>单位公章)</w:t>
      </w:r>
    </w:p>
    <w:p w14:paraId="6C634399">
      <w:pPr>
        <w:pStyle w:val="7"/>
        <w:spacing w:line="251" w:lineRule="auto"/>
      </w:pPr>
    </w:p>
    <w:p w14:paraId="076315A1">
      <w:pPr>
        <w:pStyle w:val="7"/>
        <w:spacing w:line="251" w:lineRule="auto"/>
      </w:pPr>
    </w:p>
    <w:p w14:paraId="17A5705B">
      <w:pPr>
        <w:spacing w:before="103" w:line="221" w:lineRule="auto"/>
        <w:ind w:left="29"/>
        <w:rPr>
          <w:rFonts w:ascii="微软雅黑" w:hAnsi="微软雅黑" w:eastAsia="微软雅黑" w:cs="微软雅黑"/>
          <w:sz w:val="24"/>
          <w:szCs w:val="24"/>
        </w:rPr>
      </w:pPr>
      <w:r>
        <w:rPr>
          <w:rFonts w:ascii="微软雅黑" w:hAnsi="微软雅黑" w:eastAsia="微软雅黑" w:cs="微软雅黑"/>
          <w:spacing w:val="-5"/>
          <w:sz w:val="24"/>
          <w:szCs w:val="24"/>
        </w:rPr>
        <w:t>法定代表人</w:t>
      </w:r>
      <w:r>
        <w:rPr>
          <w:rFonts w:ascii="微软雅黑" w:hAnsi="微软雅黑" w:eastAsia="微软雅黑" w:cs="微软雅黑"/>
          <w:spacing w:val="-28"/>
          <w:sz w:val="24"/>
          <w:szCs w:val="24"/>
          <w:u w:val="single" w:color="auto"/>
        </w:rPr>
        <w:t>：</w:t>
      </w:r>
      <w:r>
        <w:rPr>
          <w:rFonts w:ascii="微软雅黑" w:hAnsi="微软雅黑" w:eastAsia="微软雅黑" w:cs="微软雅黑"/>
          <w:spacing w:val="4"/>
          <w:sz w:val="24"/>
          <w:szCs w:val="24"/>
          <w:u w:val="single" w:color="auto"/>
        </w:rPr>
        <w:t xml:space="preserve">                 </w:t>
      </w:r>
      <w:r>
        <w:rPr>
          <w:rFonts w:ascii="微软雅黑" w:hAnsi="微软雅黑" w:eastAsia="微软雅黑" w:cs="微软雅黑"/>
          <w:spacing w:val="-28"/>
          <w:sz w:val="24"/>
          <w:szCs w:val="24"/>
        </w:rPr>
        <w:t>（</w:t>
      </w:r>
      <w:r>
        <w:rPr>
          <w:rFonts w:ascii="微软雅黑" w:hAnsi="微软雅黑" w:eastAsia="微软雅黑" w:cs="微软雅黑"/>
          <w:spacing w:val="-5"/>
          <w:sz w:val="24"/>
          <w:szCs w:val="24"/>
        </w:rPr>
        <w:t>签章）                           法定代表人</w:t>
      </w:r>
      <w:r>
        <w:rPr>
          <w:rFonts w:ascii="微软雅黑" w:hAnsi="微软雅黑" w:eastAsia="微软雅黑" w:cs="微软雅黑"/>
          <w:spacing w:val="-28"/>
          <w:sz w:val="24"/>
          <w:szCs w:val="24"/>
        </w:rPr>
        <w:t>：</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28"/>
          <w:sz w:val="24"/>
          <w:szCs w:val="24"/>
        </w:rPr>
        <w:t>（</w:t>
      </w:r>
      <w:r>
        <w:rPr>
          <w:rFonts w:ascii="微软雅黑" w:hAnsi="微软雅黑" w:eastAsia="微软雅黑" w:cs="微软雅黑"/>
          <w:spacing w:val="-5"/>
          <w:sz w:val="24"/>
          <w:szCs w:val="24"/>
        </w:rPr>
        <w:t>签章）</w:t>
      </w:r>
    </w:p>
    <w:p w14:paraId="49560AB7">
      <w:pPr>
        <w:spacing w:before="108" w:line="183" w:lineRule="auto"/>
        <w:ind w:left="26"/>
        <w:rPr>
          <w:rFonts w:ascii="微软雅黑" w:hAnsi="微软雅黑" w:eastAsia="微软雅黑" w:cs="微软雅黑"/>
          <w:sz w:val="24"/>
          <w:szCs w:val="24"/>
        </w:rPr>
      </w:pPr>
      <w:r>
        <w:rPr>
          <w:rFonts w:ascii="微软雅黑" w:hAnsi="微软雅黑" w:eastAsia="微软雅黑" w:cs="微软雅黑"/>
          <w:spacing w:val="-3"/>
          <w:sz w:val="24"/>
          <w:szCs w:val="24"/>
        </w:rPr>
        <w:t>身份证号码：</w:t>
      </w:r>
      <w:r>
        <w:rPr>
          <w:rFonts w:ascii="微软雅黑" w:hAnsi="微软雅黑" w:eastAsia="微软雅黑" w:cs="微软雅黑"/>
          <w:spacing w:val="-3"/>
          <w:sz w:val="24"/>
          <w:szCs w:val="24"/>
          <w:u w:val="single" w:color="auto"/>
        </w:rPr>
        <w:t xml:space="preserve">                          </w:t>
      </w:r>
      <w:r>
        <w:rPr>
          <w:rFonts w:ascii="微软雅黑" w:hAnsi="微软雅黑" w:eastAsia="微软雅黑" w:cs="微软雅黑"/>
          <w:spacing w:val="-4"/>
          <w:sz w:val="24"/>
          <w:szCs w:val="24"/>
          <w:u w:val="single" w:color="auto"/>
        </w:rPr>
        <w:t xml:space="preserve">       </w:t>
      </w:r>
      <w:r>
        <w:rPr>
          <w:rFonts w:ascii="微软雅黑" w:hAnsi="微软雅黑" w:eastAsia="微软雅黑" w:cs="微软雅黑"/>
          <w:spacing w:val="-4"/>
          <w:sz w:val="24"/>
          <w:szCs w:val="24"/>
        </w:rPr>
        <w:t xml:space="preserve">                           身份证号码：</w:t>
      </w:r>
      <w:r>
        <w:rPr>
          <w:rFonts w:ascii="微软雅黑" w:hAnsi="微软雅黑" w:eastAsia="微软雅黑" w:cs="微软雅黑"/>
          <w:spacing w:val="-4"/>
          <w:sz w:val="24"/>
          <w:szCs w:val="24"/>
          <w:u w:val="single" w:color="auto"/>
        </w:rPr>
        <w:t xml:space="preserve">                           </w:t>
      </w:r>
    </w:p>
    <w:p w14:paraId="6F160AB5">
      <w:pPr>
        <w:pStyle w:val="7"/>
        <w:spacing w:line="259" w:lineRule="auto"/>
      </w:pPr>
    </w:p>
    <w:p w14:paraId="08965C14">
      <w:pPr>
        <w:pStyle w:val="7"/>
        <w:spacing w:line="259" w:lineRule="auto"/>
      </w:pPr>
    </w:p>
    <w:p w14:paraId="792DC477">
      <w:pPr>
        <w:spacing w:before="103" w:line="221" w:lineRule="auto"/>
        <w:ind w:left="12"/>
        <w:rPr>
          <w:rFonts w:ascii="微软雅黑" w:hAnsi="微软雅黑" w:eastAsia="微软雅黑" w:cs="微软雅黑"/>
          <w:sz w:val="24"/>
          <w:szCs w:val="24"/>
        </w:rPr>
      </w:pPr>
      <w:r>
        <w:rPr>
          <w:rFonts w:ascii="微软雅黑" w:hAnsi="微软雅黑" w:eastAsia="微软雅黑" w:cs="微软雅黑"/>
          <w:spacing w:val="-4"/>
          <w:sz w:val="24"/>
          <w:szCs w:val="24"/>
        </w:rPr>
        <w:t>委托代理人</w:t>
      </w:r>
      <w:r>
        <w:rPr>
          <w:rFonts w:ascii="微软雅黑" w:hAnsi="微软雅黑" w:eastAsia="微软雅黑" w:cs="微软雅黑"/>
          <w:spacing w:val="-23"/>
          <w:sz w:val="24"/>
          <w:szCs w:val="24"/>
        </w:rPr>
        <w:t>：</w:t>
      </w:r>
      <w:r>
        <w:rPr>
          <w:rFonts w:ascii="微软雅黑" w:hAnsi="微软雅黑" w:eastAsia="微软雅黑" w:cs="微软雅黑"/>
          <w:sz w:val="24"/>
          <w:szCs w:val="24"/>
          <w:u w:val="single" w:color="auto"/>
        </w:rPr>
        <w:t xml:space="preserve">                    </w:t>
      </w:r>
      <w:r>
        <w:rPr>
          <w:rFonts w:ascii="微软雅黑" w:hAnsi="微软雅黑" w:eastAsia="微软雅黑" w:cs="微软雅黑"/>
          <w:spacing w:val="-23"/>
          <w:sz w:val="24"/>
          <w:szCs w:val="24"/>
        </w:rPr>
        <w:t>（</w:t>
      </w:r>
      <w:r>
        <w:rPr>
          <w:rFonts w:ascii="微软雅黑" w:hAnsi="微软雅黑" w:eastAsia="微软雅黑" w:cs="微软雅黑"/>
          <w:spacing w:val="-4"/>
          <w:sz w:val="24"/>
          <w:szCs w:val="24"/>
        </w:rPr>
        <w:t>签字）</w:t>
      </w:r>
    </w:p>
    <w:p w14:paraId="3173F1DE">
      <w:pPr>
        <w:spacing w:before="335" w:line="183" w:lineRule="auto"/>
        <w:ind w:left="13"/>
        <w:rPr>
          <w:rFonts w:ascii="微软雅黑" w:hAnsi="微软雅黑" w:eastAsia="微软雅黑" w:cs="微软雅黑"/>
          <w:sz w:val="24"/>
          <w:szCs w:val="24"/>
        </w:rPr>
      </w:pPr>
      <w:r>
        <w:rPr>
          <w:rFonts w:ascii="微软雅黑" w:hAnsi="微软雅黑" w:eastAsia="微软雅黑" w:cs="微软雅黑"/>
          <w:spacing w:val="-9"/>
          <w:sz w:val="24"/>
          <w:szCs w:val="24"/>
        </w:rPr>
        <w:t>身份证号码：</w:t>
      </w:r>
      <w:r>
        <w:rPr>
          <w:rFonts w:ascii="微软雅黑" w:hAnsi="微软雅黑" w:eastAsia="微软雅黑" w:cs="微软雅黑"/>
          <w:sz w:val="24"/>
          <w:szCs w:val="24"/>
          <w:u w:val="single" w:color="auto"/>
        </w:rPr>
        <w:t xml:space="preserve">                            </w:t>
      </w:r>
    </w:p>
    <w:p w14:paraId="5A040D14">
      <w:pPr>
        <w:spacing w:before="314" w:line="182" w:lineRule="auto"/>
        <w:ind w:left="45"/>
        <w:rPr>
          <w:rFonts w:ascii="微软雅黑" w:hAnsi="微软雅黑" w:eastAsia="微软雅黑" w:cs="微软雅黑"/>
          <w:sz w:val="24"/>
          <w:szCs w:val="24"/>
        </w:rPr>
      </w:pPr>
      <w:r>
        <w:rPr>
          <w:rFonts w:ascii="微软雅黑" w:hAnsi="微软雅黑" w:eastAsia="微软雅黑" w:cs="微软雅黑"/>
          <w:spacing w:val="-12"/>
          <w:sz w:val="24"/>
          <w:szCs w:val="24"/>
        </w:rPr>
        <w:t>电           话：</w:t>
      </w:r>
      <w:r>
        <w:rPr>
          <w:rFonts w:ascii="微软雅黑" w:hAnsi="微软雅黑" w:eastAsia="微软雅黑" w:cs="微软雅黑"/>
          <w:sz w:val="24"/>
          <w:szCs w:val="24"/>
          <w:u w:val="single" w:color="auto"/>
        </w:rPr>
        <w:t xml:space="preserve">                               </w:t>
      </w:r>
    </w:p>
    <w:p w14:paraId="21E535B0">
      <w:pPr>
        <w:pStyle w:val="7"/>
        <w:spacing w:line="464" w:lineRule="auto"/>
      </w:pPr>
    </w:p>
    <w:p w14:paraId="16DC6A50">
      <w:pPr>
        <w:spacing w:before="103" w:line="183" w:lineRule="auto"/>
        <w:ind w:left="8058"/>
        <w:rPr>
          <w:rFonts w:ascii="微软雅黑" w:hAnsi="微软雅黑" w:eastAsia="微软雅黑" w:cs="微软雅黑"/>
          <w:sz w:val="24"/>
          <w:szCs w:val="24"/>
        </w:rPr>
      </w:pPr>
      <w:r>
        <w:rPr>
          <w:rFonts w:ascii="微软雅黑" w:hAnsi="微软雅黑" w:eastAsia="微软雅黑" w:cs="微软雅黑"/>
          <w:spacing w:val="-5"/>
          <w:sz w:val="24"/>
          <w:szCs w:val="24"/>
        </w:rPr>
        <w:t>年</w:t>
      </w:r>
      <w:r>
        <w:rPr>
          <w:rFonts w:ascii="微软雅黑" w:hAnsi="微软雅黑" w:eastAsia="微软雅黑" w:cs="微软雅黑"/>
          <w:spacing w:val="6"/>
          <w:sz w:val="24"/>
          <w:szCs w:val="24"/>
        </w:rPr>
        <w:t xml:space="preserve">     </w:t>
      </w:r>
      <w:r>
        <w:rPr>
          <w:rFonts w:ascii="微软雅黑" w:hAnsi="微软雅黑" w:eastAsia="微软雅黑" w:cs="微软雅黑"/>
          <w:spacing w:val="-5"/>
          <w:sz w:val="24"/>
          <w:szCs w:val="24"/>
        </w:rPr>
        <w:t>月</w:t>
      </w:r>
      <w:r>
        <w:rPr>
          <w:rFonts w:ascii="微软雅黑" w:hAnsi="微软雅黑" w:eastAsia="微软雅黑" w:cs="微软雅黑"/>
          <w:spacing w:val="6"/>
          <w:sz w:val="24"/>
          <w:szCs w:val="24"/>
        </w:rPr>
        <w:t xml:space="preserve">        </w:t>
      </w:r>
      <w:r>
        <w:rPr>
          <w:rFonts w:ascii="微软雅黑" w:hAnsi="微软雅黑" w:eastAsia="微软雅黑" w:cs="微软雅黑"/>
          <w:spacing w:val="-5"/>
          <w:sz w:val="24"/>
          <w:szCs w:val="24"/>
        </w:rPr>
        <w:t>日</w:t>
      </w:r>
    </w:p>
    <w:p w14:paraId="6C2E7646">
      <w:pPr>
        <w:spacing w:before="157" w:line="184" w:lineRule="auto"/>
        <w:ind w:left="7"/>
        <w:rPr>
          <w:rFonts w:ascii="微软雅黑" w:hAnsi="微软雅黑" w:eastAsia="微软雅黑" w:cs="微软雅黑"/>
          <w:sz w:val="24"/>
          <w:szCs w:val="24"/>
        </w:rPr>
      </w:pPr>
      <w:r>
        <w:rPr>
          <w:rFonts w:ascii="微软雅黑" w:hAnsi="微软雅黑" w:eastAsia="微软雅黑" w:cs="微软雅黑"/>
          <w:spacing w:val="-3"/>
          <w:sz w:val="24"/>
          <w:szCs w:val="24"/>
        </w:rPr>
        <w:t>说明：</w:t>
      </w:r>
      <w:r>
        <w:rPr>
          <w:rFonts w:ascii="微软雅黑" w:hAnsi="微软雅黑" w:eastAsia="微软雅黑" w:cs="微软雅黑"/>
          <w:spacing w:val="-48"/>
          <w:sz w:val="24"/>
          <w:szCs w:val="24"/>
        </w:rPr>
        <w:t xml:space="preserve"> </w:t>
      </w:r>
      <w:r>
        <w:rPr>
          <w:rFonts w:ascii="微软雅黑" w:hAnsi="微软雅黑" w:eastAsia="微软雅黑" w:cs="微软雅黑"/>
          <w:spacing w:val="-3"/>
          <w:sz w:val="24"/>
          <w:szCs w:val="24"/>
        </w:rPr>
        <w:t>1.本招标项目只能委托供应商牵头单位正式员工或项目负责人作为委托代</w:t>
      </w:r>
      <w:r>
        <w:rPr>
          <w:rFonts w:ascii="微软雅黑" w:hAnsi="微软雅黑" w:eastAsia="微软雅黑" w:cs="微软雅黑"/>
          <w:spacing w:val="-4"/>
          <w:sz w:val="24"/>
          <w:szCs w:val="24"/>
        </w:rPr>
        <w:t>理人。</w:t>
      </w:r>
    </w:p>
    <w:p w14:paraId="3202C985">
      <w:pPr>
        <w:spacing w:before="92" w:line="226" w:lineRule="auto"/>
        <w:ind w:left="732"/>
        <w:rPr>
          <w:rFonts w:ascii="微软雅黑" w:hAnsi="微软雅黑" w:eastAsia="微软雅黑" w:cs="微软雅黑"/>
          <w:sz w:val="24"/>
          <w:szCs w:val="24"/>
        </w:rPr>
      </w:pPr>
      <w:r>
        <w:rPr>
          <w:rFonts w:ascii="微软雅黑" w:hAnsi="微软雅黑" w:eastAsia="微软雅黑" w:cs="微软雅黑"/>
          <w:spacing w:val="-1"/>
          <w:sz w:val="24"/>
          <w:szCs w:val="24"/>
        </w:rPr>
        <w:t>2.附委托代理人身份证复印件</w:t>
      </w:r>
    </w:p>
    <w:p w14:paraId="10EE35F6">
      <w:pPr>
        <w:spacing w:line="226" w:lineRule="auto"/>
        <w:rPr>
          <w:rFonts w:ascii="微软雅黑" w:hAnsi="微软雅黑" w:eastAsia="微软雅黑" w:cs="微软雅黑"/>
          <w:sz w:val="24"/>
          <w:szCs w:val="24"/>
        </w:rPr>
        <w:sectPr>
          <w:footerReference r:id="rId20" w:type="default"/>
          <w:pgSz w:w="11906" w:h="16840"/>
          <w:pgMar w:top="1431" w:right="873" w:bottom="1113" w:left="1080" w:header="0" w:footer="878" w:gutter="0"/>
          <w:pgNumType w:fmt="decimal"/>
          <w:cols w:space="720" w:num="1"/>
        </w:sectPr>
      </w:pPr>
    </w:p>
    <w:p w14:paraId="54BA6FE6">
      <w:pPr>
        <w:pStyle w:val="7"/>
        <w:spacing w:line="450" w:lineRule="auto"/>
      </w:pPr>
    </w:p>
    <w:p w14:paraId="2FDE2607">
      <w:pPr>
        <w:spacing w:before="103" w:line="232" w:lineRule="auto"/>
        <w:ind w:right="116" w:firstLine="481"/>
        <w:rPr>
          <w:rFonts w:ascii="微软雅黑" w:hAnsi="微软雅黑" w:eastAsia="微软雅黑" w:cs="微软雅黑"/>
          <w:sz w:val="24"/>
          <w:szCs w:val="24"/>
        </w:rPr>
      </w:pPr>
      <w:r>
        <w:rPr>
          <w:rFonts w:ascii="微软雅黑" w:hAnsi="微软雅黑" w:eastAsia="微软雅黑" w:cs="微软雅黑"/>
          <w:b/>
          <w:bCs/>
          <w:spacing w:val="-1"/>
          <w:sz w:val="24"/>
          <w:szCs w:val="24"/>
        </w:rPr>
        <w:t xml:space="preserve">③提供本单位依法缴纳连续近 </w:t>
      </w:r>
      <w:r>
        <w:rPr>
          <w:rFonts w:hint="eastAsia" w:ascii="微软雅黑" w:hAnsi="微软雅黑" w:eastAsia="微软雅黑" w:cs="微软雅黑"/>
          <w:b/>
          <w:bCs/>
          <w:spacing w:val="-1"/>
          <w:sz w:val="24"/>
          <w:szCs w:val="24"/>
          <w:lang w:val="en-US" w:eastAsia="zh-CN"/>
        </w:rPr>
        <w:t>6</w:t>
      </w:r>
      <w:r>
        <w:rPr>
          <w:rFonts w:ascii="微软雅黑" w:hAnsi="微软雅黑" w:eastAsia="微软雅黑" w:cs="微软雅黑"/>
          <w:b/>
          <w:bCs/>
          <w:spacing w:val="-1"/>
          <w:sz w:val="24"/>
          <w:szCs w:val="24"/>
        </w:rPr>
        <w:t xml:space="preserve"> 个月内任意一个月的社会保险证明（新成立公司提供相</w:t>
      </w:r>
      <w:r>
        <w:rPr>
          <w:rFonts w:ascii="微软雅黑" w:hAnsi="微软雅黑" w:eastAsia="微软雅黑" w:cs="微软雅黑"/>
          <w:b/>
          <w:bCs/>
          <w:spacing w:val="10"/>
          <w:sz w:val="24"/>
          <w:szCs w:val="24"/>
        </w:rPr>
        <w:t xml:space="preserve"> </w:t>
      </w:r>
      <w:r>
        <w:rPr>
          <w:rFonts w:ascii="微软雅黑" w:hAnsi="微软雅黑" w:eastAsia="微软雅黑" w:cs="微软雅黑"/>
          <w:b/>
          <w:bCs/>
          <w:spacing w:val="-6"/>
          <w:sz w:val="24"/>
          <w:szCs w:val="24"/>
        </w:rPr>
        <w:t>关证明文件</w:t>
      </w:r>
      <w:r>
        <w:rPr>
          <w:rFonts w:ascii="微软雅黑" w:hAnsi="微软雅黑" w:eastAsia="微软雅黑" w:cs="微软雅黑"/>
          <w:b/>
          <w:bCs/>
          <w:spacing w:val="-3"/>
          <w:sz w:val="24"/>
          <w:szCs w:val="24"/>
        </w:rPr>
        <w:t>）；</w:t>
      </w:r>
    </w:p>
    <w:p w14:paraId="6EF7B552">
      <w:pPr>
        <w:spacing w:before="84" w:line="227" w:lineRule="auto"/>
        <w:ind w:left="10" w:firstLine="469"/>
        <w:rPr>
          <w:rFonts w:ascii="微软雅黑" w:hAnsi="微软雅黑" w:eastAsia="微软雅黑" w:cs="微软雅黑"/>
          <w:sz w:val="24"/>
          <w:szCs w:val="24"/>
        </w:rPr>
      </w:pPr>
      <w:r>
        <w:rPr>
          <w:rFonts w:ascii="微软雅黑" w:hAnsi="微软雅黑" w:eastAsia="微软雅黑" w:cs="微软雅黑"/>
          <w:spacing w:val="-1"/>
          <w:sz w:val="24"/>
          <w:szCs w:val="24"/>
        </w:rPr>
        <w:t>说明：1.社保证明可含：社保缴费凭证或社保缴</w:t>
      </w:r>
      <w:r>
        <w:rPr>
          <w:rFonts w:ascii="微软雅黑" w:hAnsi="微软雅黑" w:eastAsia="微软雅黑" w:cs="微软雅黑"/>
          <w:spacing w:val="-2"/>
          <w:sz w:val="24"/>
          <w:szCs w:val="24"/>
        </w:rPr>
        <w:t>费证明或社保缴费汇总单或依法缴纳社保</w:t>
      </w:r>
      <w:r>
        <w:rPr>
          <w:rFonts w:ascii="微软雅黑" w:hAnsi="微软雅黑" w:eastAsia="微软雅黑" w:cs="微软雅黑"/>
          <w:sz w:val="24"/>
          <w:szCs w:val="24"/>
        </w:rPr>
        <w:t xml:space="preserve"> </w:t>
      </w:r>
      <w:r>
        <w:rPr>
          <w:rFonts w:ascii="微软雅黑" w:hAnsi="微软雅黑" w:eastAsia="微软雅黑" w:cs="微软雅黑"/>
          <w:spacing w:val="-9"/>
          <w:sz w:val="24"/>
          <w:szCs w:val="24"/>
        </w:rPr>
        <w:t>的完税证明。</w:t>
      </w:r>
    </w:p>
    <w:p w14:paraId="3B5723EA">
      <w:pPr>
        <w:spacing w:before="1" w:line="224" w:lineRule="auto"/>
        <w:ind w:left="490"/>
        <w:rPr>
          <w:rFonts w:ascii="微软雅黑" w:hAnsi="微软雅黑" w:eastAsia="微软雅黑" w:cs="微软雅黑"/>
          <w:sz w:val="24"/>
          <w:szCs w:val="24"/>
        </w:rPr>
      </w:pPr>
      <w:r>
        <w:rPr>
          <w:rFonts w:ascii="微软雅黑" w:hAnsi="微软雅黑" w:eastAsia="微软雅黑" w:cs="微软雅黑"/>
          <w:spacing w:val="-4"/>
          <w:sz w:val="24"/>
          <w:szCs w:val="24"/>
        </w:rPr>
        <w:t xml:space="preserve">2、近 </w:t>
      </w:r>
      <w:r>
        <w:rPr>
          <w:rFonts w:hint="eastAsia" w:ascii="微软雅黑" w:hAnsi="微软雅黑" w:eastAsia="微软雅黑" w:cs="微软雅黑"/>
          <w:spacing w:val="-4"/>
          <w:sz w:val="24"/>
          <w:szCs w:val="24"/>
          <w:lang w:val="en-US" w:eastAsia="zh-CN"/>
        </w:rPr>
        <w:t>6</w:t>
      </w:r>
      <w:r>
        <w:rPr>
          <w:rFonts w:ascii="微软雅黑" w:hAnsi="微软雅黑" w:eastAsia="微软雅黑" w:cs="微软雅黑"/>
          <w:spacing w:val="-4"/>
          <w:sz w:val="24"/>
          <w:szCs w:val="24"/>
        </w:rPr>
        <w:t xml:space="preserve"> 个月是指项目开标截止日期前的 </w:t>
      </w:r>
      <w:r>
        <w:rPr>
          <w:rFonts w:hint="eastAsia" w:ascii="微软雅黑" w:hAnsi="微软雅黑" w:eastAsia="微软雅黑" w:cs="微软雅黑"/>
          <w:spacing w:val="-4"/>
          <w:sz w:val="24"/>
          <w:szCs w:val="24"/>
          <w:lang w:val="en-US" w:eastAsia="zh-CN"/>
        </w:rPr>
        <w:t>6</w:t>
      </w:r>
      <w:r>
        <w:rPr>
          <w:rFonts w:ascii="微软雅黑" w:hAnsi="微软雅黑" w:eastAsia="微软雅黑" w:cs="微软雅黑"/>
          <w:spacing w:val="-4"/>
          <w:sz w:val="24"/>
          <w:szCs w:val="24"/>
        </w:rPr>
        <w:t>个月。</w:t>
      </w:r>
    </w:p>
    <w:p w14:paraId="67DD2C76">
      <w:pPr>
        <w:spacing w:before="70" w:line="183" w:lineRule="auto"/>
        <w:ind w:left="495"/>
        <w:rPr>
          <w:rFonts w:ascii="微软雅黑" w:hAnsi="微软雅黑" w:eastAsia="微软雅黑" w:cs="微软雅黑"/>
          <w:sz w:val="24"/>
          <w:szCs w:val="24"/>
        </w:rPr>
      </w:pPr>
      <w:r>
        <w:rPr>
          <w:rFonts w:ascii="微软雅黑" w:hAnsi="微软雅黑" w:eastAsia="微软雅黑" w:cs="微软雅黑"/>
          <w:b/>
          <w:bCs/>
          <w:spacing w:val="-3"/>
          <w:sz w:val="24"/>
          <w:szCs w:val="24"/>
        </w:rPr>
        <w:t>3、联合体投标的，联合体双方均需提供相关证明。</w:t>
      </w:r>
    </w:p>
    <w:p w14:paraId="705B17E4">
      <w:pPr>
        <w:pStyle w:val="7"/>
      </w:pPr>
    </w:p>
    <w:p w14:paraId="0D926BDF">
      <w:pPr>
        <w:pStyle w:val="7"/>
      </w:pPr>
    </w:p>
    <w:p w14:paraId="13C3EE69">
      <w:pPr>
        <w:pStyle w:val="7"/>
        <w:spacing w:line="241" w:lineRule="auto"/>
      </w:pPr>
    </w:p>
    <w:p w14:paraId="3B5E7740">
      <w:pPr>
        <w:pStyle w:val="7"/>
        <w:spacing w:line="241" w:lineRule="auto"/>
      </w:pPr>
    </w:p>
    <w:p w14:paraId="1145BB5E">
      <w:pPr>
        <w:pStyle w:val="7"/>
        <w:spacing w:line="241" w:lineRule="auto"/>
      </w:pPr>
    </w:p>
    <w:p w14:paraId="27442698">
      <w:pPr>
        <w:spacing w:before="103" w:line="232" w:lineRule="auto"/>
        <w:ind w:right="116" w:firstLine="481"/>
        <w:rPr>
          <w:rFonts w:ascii="微软雅黑" w:hAnsi="微软雅黑" w:eastAsia="微软雅黑" w:cs="微软雅黑"/>
          <w:sz w:val="24"/>
          <w:szCs w:val="24"/>
        </w:rPr>
      </w:pPr>
      <w:r>
        <w:rPr>
          <w:rFonts w:ascii="微软雅黑" w:hAnsi="微软雅黑" w:eastAsia="微软雅黑" w:cs="微软雅黑"/>
          <w:b/>
          <w:bCs/>
          <w:spacing w:val="-1"/>
          <w:sz w:val="24"/>
          <w:szCs w:val="24"/>
        </w:rPr>
        <w:t>④税务部门出具的近 6 个月内任意一个月的完税证明（依法免缴的应提供依法免缴的相</w:t>
      </w:r>
      <w:r>
        <w:rPr>
          <w:rFonts w:ascii="微软雅黑" w:hAnsi="微软雅黑" w:eastAsia="微软雅黑" w:cs="微软雅黑"/>
          <w:b/>
          <w:bCs/>
          <w:spacing w:val="10"/>
          <w:sz w:val="24"/>
          <w:szCs w:val="24"/>
        </w:rPr>
        <w:t xml:space="preserve"> </w:t>
      </w:r>
      <w:r>
        <w:rPr>
          <w:rFonts w:ascii="微软雅黑" w:hAnsi="微软雅黑" w:eastAsia="微软雅黑" w:cs="微软雅黑"/>
          <w:b/>
          <w:bCs/>
          <w:spacing w:val="-4"/>
          <w:sz w:val="24"/>
          <w:szCs w:val="24"/>
        </w:rPr>
        <w:t>关证明文件或零申报报表</w:t>
      </w:r>
      <w:r>
        <w:rPr>
          <w:rFonts w:ascii="微软雅黑" w:hAnsi="微软雅黑" w:eastAsia="微软雅黑" w:cs="微软雅黑"/>
          <w:b/>
          <w:bCs/>
          <w:spacing w:val="2"/>
          <w:sz w:val="24"/>
          <w:szCs w:val="24"/>
        </w:rPr>
        <w:t>）；</w:t>
      </w:r>
    </w:p>
    <w:p w14:paraId="1F98C1F7">
      <w:pPr>
        <w:spacing w:before="83" w:line="184" w:lineRule="auto"/>
        <w:ind w:left="480"/>
        <w:rPr>
          <w:rFonts w:ascii="微软雅黑" w:hAnsi="微软雅黑" w:eastAsia="微软雅黑" w:cs="微软雅黑"/>
          <w:sz w:val="24"/>
          <w:szCs w:val="24"/>
        </w:rPr>
      </w:pPr>
      <w:r>
        <w:rPr>
          <w:rFonts w:ascii="微软雅黑" w:hAnsi="微软雅黑" w:eastAsia="微软雅黑" w:cs="微软雅黑"/>
          <w:spacing w:val="-2"/>
          <w:sz w:val="24"/>
          <w:szCs w:val="24"/>
        </w:rPr>
        <w:t>说明：1、新成立公司若无纳税记录，可开具无欠税证明或零申报报表。</w:t>
      </w:r>
    </w:p>
    <w:p w14:paraId="083E70A9">
      <w:pPr>
        <w:spacing w:before="98" w:line="183" w:lineRule="auto"/>
        <w:ind w:left="490"/>
        <w:rPr>
          <w:rFonts w:ascii="微软雅黑" w:hAnsi="微软雅黑" w:eastAsia="微软雅黑" w:cs="微软雅黑"/>
          <w:sz w:val="24"/>
          <w:szCs w:val="24"/>
        </w:rPr>
      </w:pPr>
      <w:r>
        <w:rPr>
          <w:rFonts w:ascii="微软雅黑" w:hAnsi="微软雅黑" w:eastAsia="微软雅黑" w:cs="微软雅黑"/>
          <w:spacing w:val="-2"/>
          <w:sz w:val="24"/>
          <w:szCs w:val="24"/>
        </w:rPr>
        <w:t>2、完税证明中“税种”非养老保险、医疗保险、失业保险、工伤保险和生育保险。</w:t>
      </w:r>
    </w:p>
    <w:p w14:paraId="3669D1BF">
      <w:pPr>
        <w:spacing w:before="83" w:line="184" w:lineRule="auto"/>
        <w:ind w:left="480"/>
        <w:rPr>
          <w:rFonts w:ascii="微软雅黑" w:hAnsi="微软雅黑" w:eastAsia="微软雅黑" w:cs="微软雅黑"/>
          <w:spacing w:val="-2"/>
          <w:sz w:val="24"/>
          <w:szCs w:val="24"/>
        </w:rPr>
      </w:pPr>
      <w:r>
        <w:rPr>
          <w:rFonts w:ascii="微软雅黑" w:hAnsi="微软雅黑" w:eastAsia="微软雅黑" w:cs="微软雅黑"/>
          <w:spacing w:val="-2"/>
          <w:sz w:val="24"/>
          <w:szCs w:val="24"/>
        </w:rPr>
        <w:t>3、近 6 个月是指开标截止日期前的 6 个月。</w:t>
      </w:r>
    </w:p>
    <w:p w14:paraId="514C83AC">
      <w:pPr>
        <w:spacing w:before="83" w:line="184" w:lineRule="auto"/>
        <w:ind w:left="480"/>
        <w:rPr>
          <w:rFonts w:ascii="微软雅黑" w:hAnsi="微软雅黑" w:eastAsia="微软雅黑" w:cs="微软雅黑"/>
          <w:spacing w:val="-2"/>
          <w:sz w:val="24"/>
          <w:szCs w:val="24"/>
        </w:rPr>
      </w:pPr>
      <w:r>
        <w:rPr>
          <w:rFonts w:ascii="微软雅黑" w:hAnsi="微软雅黑" w:eastAsia="微软雅黑" w:cs="微软雅黑"/>
          <w:spacing w:val="-2"/>
          <w:sz w:val="24"/>
          <w:szCs w:val="24"/>
        </w:rPr>
        <w:t>4、联合体投标的，双方均需提供相关证明。</w:t>
      </w:r>
    </w:p>
    <w:p w14:paraId="21013559">
      <w:pPr>
        <w:pStyle w:val="7"/>
        <w:spacing w:line="269" w:lineRule="auto"/>
      </w:pPr>
    </w:p>
    <w:p w14:paraId="5601FE1D">
      <w:pPr>
        <w:pStyle w:val="7"/>
        <w:spacing w:line="270" w:lineRule="auto"/>
      </w:pPr>
    </w:p>
    <w:p w14:paraId="391150EC">
      <w:pPr>
        <w:pStyle w:val="7"/>
        <w:spacing w:line="270" w:lineRule="auto"/>
      </w:pPr>
    </w:p>
    <w:p w14:paraId="1D8F64DC">
      <w:pPr>
        <w:pStyle w:val="7"/>
        <w:spacing w:line="270" w:lineRule="auto"/>
      </w:pPr>
    </w:p>
    <w:p w14:paraId="1FFE9AC1">
      <w:pPr>
        <w:spacing w:before="103"/>
        <w:ind w:left="539" w:right="154" w:hanging="57"/>
        <w:rPr>
          <w:rFonts w:ascii="微软雅黑" w:hAnsi="微软雅黑" w:eastAsia="微软雅黑" w:cs="微软雅黑"/>
          <w:sz w:val="24"/>
          <w:szCs w:val="24"/>
        </w:rPr>
      </w:pPr>
      <w:r>
        <w:rPr>
          <w:rFonts w:ascii="微软雅黑" w:hAnsi="微软雅黑" w:eastAsia="微软雅黑" w:cs="微软雅黑"/>
          <w:b/>
          <w:bCs/>
          <w:spacing w:val="-2"/>
          <w:sz w:val="24"/>
          <w:szCs w:val="24"/>
        </w:rPr>
        <w:t>⑤提供近两年任意一年完整的财务审计报告或近 3 个月内任意一个月的银行资信证明；</w:t>
      </w:r>
      <w:r>
        <w:rPr>
          <w:rFonts w:ascii="微软雅黑" w:hAnsi="微软雅黑" w:eastAsia="微软雅黑" w:cs="微软雅黑"/>
          <w:b/>
          <w:bCs/>
          <w:spacing w:val="12"/>
          <w:sz w:val="24"/>
          <w:szCs w:val="24"/>
        </w:rPr>
        <w:t xml:space="preserve"> </w:t>
      </w:r>
      <w:r>
        <w:rPr>
          <w:rFonts w:ascii="微软雅黑" w:hAnsi="微软雅黑" w:eastAsia="微软雅黑" w:cs="微软雅黑"/>
          <w:spacing w:val="-11"/>
          <w:sz w:val="24"/>
          <w:szCs w:val="24"/>
        </w:rPr>
        <w:t>说明：</w:t>
      </w:r>
    </w:p>
    <w:p w14:paraId="0C13BAA7">
      <w:pPr>
        <w:spacing w:before="96" w:line="184" w:lineRule="auto"/>
        <w:ind w:left="561"/>
        <w:rPr>
          <w:rFonts w:ascii="微软雅黑" w:hAnsi="微软雅黑" w:eastAsia="微软雅黑" w:cs="微软雅黑"/>
          <w:sz w:val="24"/>
          <w:szCs w:val="24"/>
        </w:rPr>
      </w:pPr>
      <w:r>
        <w:rPr>
          <w:rFonts w:ascii="微软雅黑" w:hAnsi="微软雅黑" w:eastAsia="微软雅黑" w:cs="微软雅黑"/>
          <w:spacing w:val="-2"/>
          <w:sz w:val="24"/>
          <w:szCs w:val="24"/>
        </w:rPr>
        <w:t>1、如提供本单位上年度经会计师事务所出具的完整审计报告复印件须加盖本单位章。</w:t>
      </w:r>
    </w:p>
    <w:p w14:paraId="3F922E6B">
      <w:pPr>
        <w:spacing w:before="97" w:line="183" w:lineRule="auto"/>
        <w:ind w:left="430"/>
        <w:rPr>
          <w:rFonts w:ascii="微软雅黑" w:hAnsi="微软雅黑" w:eastAsia="微软雅黑" w:cs="微软雅黑"/>
          <w:sz w:val="24"/>
          <w:szCs w:val="24"/>
        </w:rPr>
      </w:pPr>
      <w:r>
        <w:rPr>
          <w:rFonts w:ascii="微软雅黑" w:hAnsi="微软雅黑" w:eastAsia="微软雅黑" w:cs="微软雅黑"/>
          <w:spacing w:val="-3"/>
          <w:sz w:val="24"/>
          <w:szCs w:val="24"/>
        </w:rPr>
        <w:t>2、如果是联合体投标，联合体各方均需提供上述证明。</w:t>
      </w:r>
    </w:p>
    <w:p w14:paraId="39DBFFE3">
      <w:pPr>
        <w:spacing w:before="96" w:line="184" w:lineRule="auto"/>
        <w:ind w:left="561"/>
        <w:rPr>
          <w:rFonts w:ascii="微软雅黑" w:hAnsi="微软雅黑" w:eastAsia="微软雅黑" w:cs="微软雅黑"/>
          <w:spacing w:val="-2"/>
          <w:sz w:val="24"/>
          <w:szCs w:val="24"/>
        </w:rPr>
      </w:pPr>
      <w:r>
        <w:rPr>
          <w:rFonts w:ascii="微软雅黑" w:hAnsi="微软雅黑" w:eastAsia="微软雅黑" w:cs="微软雅黑"/>
          <w:spacing w:val="-2"/>
          <w:sz w:val="24"/>
          <w:szCs w:val="24"/>
        </w:rPr>
        <w:t>3、近两年任意一年指 20</w:t>
      </w:r>
      <w:r>
        <w:rPr>
          <w:rFonts w:hint="eastAsia" w:ascii="微软雅黑" w:hAnsi="微软雅黑" w:eastAsia="微软雅黑" w:cs="微软雅黑"/>
          <w:spacing w:val="-2"/>
          <w:sz w:val="24"/>
          <w:szCs w:val="24"/>
          <w:lang w:val="en-US" w:eastAsia="zh-CN"/>
        </w:rPr>
        <w:t>23</w:t>
      </w:r>
      <w:r>
        <w:rPr>
          <w:rFonts w:ascii="微软雅黑" w:hAnsi="微软雅黑" w:eastAsia="微软雅黑" w:cs="微软雅黑"/>
          <w:spacing w:val="-2"/>
          <w:sz w:val="24"/>
          <w:szCs w:val="24"/>
        </w:rPr>
        <w:t xml:space="preserve"> 年或 20</w:t>
      </w:r>
      <w:r>
        <w:rPr>
          <w:rFonts w:hint="eastAsia" w:ascii="微软雅黑" w:hAnsi="微软雅黑" w:eastAsia="微软雅黑" w:cs="微软雅黑"/>
          <w:spacing w:val="-2"/>
          <w:sz w:val="24"/>
          <w:szCs w:val="24"/>
          <w:lang w:val="en-US" w:eastAsia="zh-CN"/>
        </w:rPr>
        <w:t>24</w:t>
      </w:r>
      <w:r>
        <w:rPr>
          <w:rFonts w:ascii="微软雅黑" w:hAnsi="微软雅黑" w:eastAsia="微软雅黑" w:cs="微软雅黑"/>
          <w:spacing w:val="-2"/>
          <w:sz w:val="24"/>
          <w:szCs w:val="24"/>
        </w:rPr>
        <w:t xml:space="preserve"> 年，近 3 个月是指开标截止日期前 3 个月。</w:t>
      </w:r>
    </w:p>
    <w:p w14:paraId="2F1B12BC">
      <w:pPr>
        <w:spacing w:before="96" w:line="184" w:lineRule="auto"/>
        <w:ind w:left="561"/>
        <w:rPr>
          <w:rFonts w:ascii="微软雅黑" w:hAnsi="微软雅黑" w:eastAsia="微软雅黑" w:cs="微软雅黑"/>
          <w:spacing w:val="-2"/>
          <w:sz w:val="24"/>
          <w:szCs w:val="24"/>
        </w:rPr>
      </w:pPr>
      <w:r>
        <w:rPr>
          <w:rFonts w:ascii="微软雅黑" w:hAnsi="微软雅黑" w:eastAsia="微软雅黑" w:cs="微软雅黑"/>
          <w:spacing w:val="-2"/>
          <w:sz w:val="24"/>
          <w:szCs w:val="24"/>
        </w:rPr>
        <w:t>4、联合体投标的，双方均需提供相关证明。</w:t>
      </w:r>
    </w:p>
    <w:p w14:paraId="0747A710">
      <w:pPr>
        <w:pStyle w:val="7"/>
        <w:spacing w:line="269" w:lineRule="auto"/>
      </w:pPr>
    </w:p>
    <w:p w14:paraId="729C3CDA">
      <w:pPr>
        <w:pStyle w:val="7"/>
        <w:spacing w:line="269" w:lineRule="auto"/>
      </w:pPr>
    </w:p>
    <w:p w14:paraId="71C82968">
      <w:pPr>
        <w:pStyle w:val="7"/>
        <w:spacing w:line="269" w:lineRule="auto"/>
      </w:pPr>
    </w:p>
    <w:p w14:paraId="1F844F01">
      <w:pPr>
        <w:pStyle w:val="7"/>
        <w:spacing w:line="270" w:lineRule="auto"/>
      </w:pPr>
    </w:p>
    <w:p w14:paraId="15E807E5">
      <w:pPr>
        <w:spacing w:before="103" w:line="232" w:lineRule="auto"/>
        <w:ind w:right="116" w:firstLine="482"/>
        <w:rPr>
          <w:rFonts w:ascii="微软雅黑" w:hAnsi="微软雅黑" w:eastAsia="微软雅黑" w:cs="微软雅黑"/>
          <w:sz w:val="24"/>
          <w:szCs w:val="24"/>
        </w:rPr>
      </w:pPr>
      <w:r>
        <w:rPr>
          <w:rFonts w:ascii="微软雅黑" w:hAnsi="微软雅黑" w:eastAsia="微软雅黑" w:cs="微软雅黑"/>
          <w:b/>
          <w:bCs/>
          <w:spacing w:val="-1"/>
          <w:sz w:val="24"/>
          <w:szCs w:val="24"/>
        </w:rPr>
        <w:t>⑥参与政府采购活动前 3 年内未被列入失信、重大税收违法案件、财政部门禁止参加政</w:t>
      </w:r>
      <w:r>
        <w:rPr>
          <w:rFonts w:ascii="微软雅黑" w:hAnsi="微软雅黑" w:eastAsia="微软雅黑" w:cs="微软雅黑"/>
          <w:b/>
          <w:bCs/>
          <w:spacing w:val="10"/>
          <w:sz w:val="24"/>
          <w:szCs w:val="24"/>
        </w:rPr>
        <w:t xml:space="preserve"> </w:t>
      </w:r>
      <w:r>
        <w:rPr>
          <w:rFonts w:ascii="微软雅黑" w:hAnsi="微软雅黑" w:eastAsia="微软雅黑" w:cs="微软雅黑"/>
          <w:b/>
          <w:bCs/>
          <w:spacing w:val="-4"/>
          <w:sz w:val="24"/>
          <w:szCs w:val="24"/>
        </w:rPr>
        <w:t>府采购活动的承诺书；</w:t>
      </w:r>
    </w:p>
    <w:p w14:paraId="132299E4">
      <w:pPr>
        <w:spacing w:before="85" w:line="183" w:lineRule="auto"/>
        <w:ind w:left="720"/>
        <w:rPr>
          <w:rFonts w:ascii="微软雅黑" w:hAnsi="微软雅黑" w:eastAsia="微软雅黑" w:cs="微软雅黑"/>
          <w:spacing w:val="-2"/>
          <w:sz w:val="24"/>
          <w:szCs w:val="24"/>
        </w:rPr>
      </w:pPr>
      <w:r>
        <w:rPr>
          <w:rFonts w:ascii="微软雅黑" w:hAnsi="微软雅黑" w:eastAsia="微软雅黑" w:cs="微软雅黑"/>
          <w:spacing w:val="-2"/>
          <w:sz w:val="24"/>
          <w:szCs w:val="24"/>
        </w:rPr>
        <w:t>说明：1.供应商应按照相关法规规定如实作出承诺，格式自拟。</w:t>
      </w:r>
    </w:p>
    <w:p w14:paraId="21B1B804">
      <w:pPr>
        <w:spacing w:before="85" w:line="183" w:lineRule="auto"/>
        <w:ind w:left="720" w:firstLine="708" w:firstLineChars="300"/>
        <w:rPr>
          <w:rFonts w:ascii="微软雅黑" w:hAnsi="微软雅黑" w:eastAsia="微软雅黑" w:cs="微软雅黑"/>
          <w:spacing w:val="-2"/>
          <w:sz w:val="24"/>
          <w:szCs w:val="24"/>
        </w:rPr>
      </w:pPr>
      <w:r>
        <w:rPr>
          <w:rFonts w:ascii="微软雅黑" w:hAnsi="微软雅黑" w:eastAsia="微软雅黑" w:cs="微软雅黑"/>
          <w:spacing w:val="-2"/>
          <w:sz w:val="24"/>
          <w:szCs w:val="24"/>
        </w:rPr>
        <w:t>2、联合体投标的，双方均需提供相关证明。</w:t>
      </w:r>
    </w:p>
    <w:p w14:paraId="2906399C">
      <w:pPr>
        <w:spacing w:line="183" w:lineRule="auto"/>
        <w:rPr>
          <w:rFonts w:ascii="微软雅黑" w:hAnsi="微软雅黑" w:eastAsia="微软雅黑" w:cs="微软雅黑"/>
          <w:sz w:val="24"/>
          <w:szCs w:val="24"/>
        </w:rPr>
        <w:sectPr>
          <w:footerReference r:id="rId21" w:type="default"/>
          <w:pgSz w:w="11905" w:h="16839"/>
          <w:pgMar w:top="1431" w:right="1080" w:bottom="1197" w:left="1083" w:header="0" w:footer="962" w:gutter="0"/>
          <w:pgNumType w:fmt="decimal"/>
          <w:cols w:space="720" w:num="1"/>
        </w:sectPr>
      </w:pPr>
    </w:p>
    <w:p w14:paraId="40E0E28C">
      <w:pPr>
        <w:pStyle w:val="7"/>
        <w:spacing w:line="430" w:lineRule="auto"/>
      </w:pPr>
    </w:p>
    <w:p w14:paraId="5F5C9A98">
      <w:pPr>
        <w:spacing w:before="103" w:line="183" w:lineRule="auto"/>
        <w:ind w:left="482"/>
        <w:rPr>
          <w:rFonts w:ascii="微软雅黑" w:hAnsi="微软雅黑" w:eastAsia="微软雅黑" w:cs="微软雅黑"/>
          <w:sz w:val="24"/>
          <w:szCs w:val="24"/>
        </w:rPr>
      </w:pPr>
      <w:r>
        <w:rPr>
          <w:rFonts w:ascii="微软雅黑" w:hAnsi="微软雅黑" w:eastAsia="微软雅黑" w:cs="微软雅黑"/>
          <w:b/>
          <w:bCs/>
          <w:spacing w:val="-3"/>
          <w:sz w:val="24"/>
          <w:szCs w:val="24"/>
        </w:rPr>
        <w:t>⑦提供针对本次项目的反商业贿赂承诺书。</w:t>
      </w:r>
    </w:p>
    <w:p w14:paraId="705E255F">
      <w:pPr>
        <w:spacing w:before="145" w:line="183" w:lineRule="auto"/>
        <w:ind w:left="720"/>
        <w:rPr>
          <w:rFonts w:ascii="微软雅黑" w:hAnsi="微软雅黑" w:eastAsia="微软雅黑" w:cs="微软雅黑"/>
          <w:spacing w:val="-2"/>
          <w:sz w:val="24"/>
          <w:szCs w:val="24"/>
        </w:rPr>
      </w:pPr>
      <w:r>
        <w:rPr>
          <w:rFonts w:ascii="微软雅黑" w:hAnsi="微软雅黑" w:eastAsia="微软雅黑" w:cs="微软雅黑"/>
          <w:spacing w:val="-2"/>
          <w:sz w:val="24"/>
          <w:szCs w:val="24"/>
        </w:rPr>
        <w:t>说明：1.供应商应按照相关法规规定如实作出承诺，格式自拟。</w:t>
      </w:r>
    </w:p>
    <w:p w14:paraId="30E5E70C">
      <w:pPr>
        <w:spacing w:before="145" w:line="183" w:lineRule="auto"/>
        <w:ind w:left="720" w:firstLine="708" w:firstLineChars="300"/>
        <w:rPr>
          <w:rFonts w:ascii="微软雅黑" w:hAnsi="微软雅黑" w:eastAsia="微软雅黑" w:cs="微软雅黑"/>
          <w:spacing w:val="-2"/>
          <w:sz w:val="24"/>
          <w:szCs w:val="24"/>
        </w:rPr>
      </w:pPr>
      <w:r>
        <w:rPr>
          <w:rFonts w:ascii="微软雅黑" w:hAnsi="微软雅黑" w:eastAsia="微软雅黑" w:cs="微软雅黑"/>
          <w:spacing w:val="-2"/>
          <w:sz w:val="24"/>
          <w:szCs w:val="24"/>
        </w:rPr>
        <w:t>2、联合体投标的，双方均需提供相关证明。</w:t>
      </w:r>
    </w:p>
    <w:p w14:paraId="4324E6C8">
      <w:pPr>
        <w:pStyle w:val="7"/>
        <w:spacing w:line="253" w:lineRule="auto"/>
      </w:pPr>
    </w:p>
    <w:p w14:paraId="4AC8D684">
      <w:pPr>
        <w:pStyle w:val="7"/>
        <w:spacing w:line="253" w:lineRule="auto"/>
      </w:pPr>
    </w:p>
    <w:p w14:paraId="71B2D13C">
      <w:pPr>
        <w:pStyle w:val="7"/>
        <w:spacing w:line="253" w:lineRule="auto"/>
      </w:pPr>
    </w:p>
    <w:p w14:paraId="32D0391F">
      <w:pPr>
        <w:pStyle w:val="7"/>
        <w:spacing w:line="253" w:lineRule="auto"/>
      </w:pPr>
    </w:p>
    <w:p w14:paraId="15675D34">
      <w:pPr>
        <w:spacing w:before="103" w:line="205" w:lineRule="auto"/>
        <w:ind w:left="10" w:right="78" w:firstLine="472"/>
        <w:rPr>
          <w:rFonts w:ascii="微软雅黑" w:hAnsi="微软雅黑" w:eastAsia="微软雅黑" w:cs="微软雅黑"/>
          <w:sz w:val="24"/>
          <w:szCs w:val="24"/>
        </w:rPr>
      </w:pPr>
      <w:r>
        <w:rPr>
          <w:rFonts w:ascii="微软雅黑" w:hAnsi="微软雅黑" w:eastAsia="微软雅黑" w:cs="微软雅黑"/>
          <w:b/>
          <w:bCs/>
          <w:sz w:val="24"/>
          <w:szCs w:val="24"/>
        </w:rPr>
        <w:t>⑧根据《政府采购领域“整顿市场秩序、建设法规体系、促进产业发展</w:t>
      </w:r>
      <w:r>
        <w:rPr>
          <w:rFonts w:ascii="微软雅黑" w:hAnsi="微软雅黑" w:eastAsia="微软雅黑" w:cs="微软雅黑"/>
          <w:b/>
          <w:bCs/>
          <w:spacing w:val="-1"/>
          <w:sz w:val="24"/>
          <w:szCs w:val="24"/>
        </w:rPr>
        <w:t>”三年行动方案</w:t>
      </w:r>
      <w:r>
        <w:rPr>
          <w:rFonts w:ascii="微软雅黑" w:hAnsi="微软雅黑" w:eastAsia="微软雅黑" w:cs="微软雅黑"/>
          <w:b/>
          <w:bCs/>
          <w:sz w:val="24"/>
          <w:szCs w:val="24"/>
        </w:rPr>
        <w:t xml:space="preserve">  </w:t>
      </w:r>
      <w:r>
        <w:rPr>
          <w:rFonts w:ascii="微软雅黑" w:hAnsi="微软雅黑" w:eastAsia="微软雅黑" w:cs="微软雅黑"/>
          <w:b/>
          <w:bCs/>
          <w:spacing w:val="-1"/>
          <w:sz w:val="24"/>
          <w:szCs w:val="24"/>
        </w:rPr>
        <w:t>（2024—2026 年）》的通知，凡拟参加本次采购项目的供应商，必须为未被列入“信用中</w:t>
      </w:r>
      <w:r>
        <w:rPr>
          <w:rFonts w:ascii="微软雅黑" w:hAnsi="微软雅黑" w:eastAsia="微软雅黑" w:cs="微软雅黑"/>
          <w:b/>
          <w:bCs/>
          <w:spacing w:val="18"/>
          <w:sz w:val="24"/>
          <w:szCs w:val="24"/>
        </w:rPr>
        <w:t xml:space="preserve"> </w:t>
      </w:r>
      <w:r>
        <w:rPr>
          <w:rFonts w:ascii="微软雅黑" w:hAnsi="微软雅黑" w:eastAsia="微软雅黑" w:cs="微软雅黑"/>
          <w:b/>
          <w:bCs/>
          <w:sz w:val="24"/>
          <w:szCs w:val="24"/>
        </w:rPr>
        <w:t>国”网站(</w:t>
      </w:r>
      <w:r>
        <w:fldChar w:fldCharType="begin"/>
      </w:r>
      <w:r>
        <w:instrText xml:space="preserve"> HYPERLINK "https://www.creditchina.gov.cn" </w:instrText>
      </w:r>
      <w:r>
        <w:fldChar w:fldCharType="separate"/>
      </w:r>
      <w:r>
        <w:rPr>
          <w:rFonts w:ascii="微软雅黑" w:hAnsi="微软雅黑" w:eastAsia="微软雅黑" w:cs="微软雅黑"/>
          <w:b/>
          <w:bCs/>
          <w:sz w:val="24"/>
          <w:szCs w:val="24"/>
        </w:rPr>
        <w:t>www.creditchina.gov.cn</w:t>
      </w:r>
      <w:r>
        <w:rPr>
          <w:rFonts w:ascii="微软雅黑" w:hAnsi="微软雅黑" w:eastAsia="微软雅黑" w:cs="微软雅黑"/>
          <w:b/>
          <w:bCs/>
          <w:sz w:val="24"/>
          <w:szCs w:val="24"/>
        </w:rPr>
        <w:fldChar w:fldCharType="end"/>
      </w:r>
      <w:r>
        <w:rPr>
          <w:rFonts w:ascii="微软雅黑" w:hAnsi="微软雅黑" w:eastAsia="微软雅黑" w:cs="微软雅黑"/>
          <w:b/>
          <w:bCs/>
          <w:sz w:val="24"/>
          <w:szCs w:val="24"/>
        </w:rPr>
        <w:t>)（失信被执行人</w:t>
      </w:r>
      <w:r>
        <w:rPr>
          <w:rFonts w:ascii="微软雅黑" w:hAnsi="微软雅黑" w:eastAsia="微软雅黑" w:cs="微软雅黑"/>
          <w:b/>
          <w:bCs/>
          <w:spacing w:val="-1"/>
          <w:sz w:val="24"/>
          <w:szCs w:val="24"/>
        </w:rPr>
        <w:t>名单、重大税收违法案件当事人名</w:t>
      </w:r>
    </w:p>
    <w:p w14:paraId="0E0F4896">
      <w:pPr>
        <w:spacing w:before="51" w:line="217" w:lineRule="auto"/>
        <w:rPr>
          <w:rFonts w:ascii="微软雅黑" w:hAnsi="微软雅黑" w:eastAsia="微软雅黑" w:cs="微软雅黑"/>
          <w:sz w:val="24"/>
          <w:szCs w:val="24"/>
        </w:rPr>
      </w:pPr>
      <w:r>
        <w:rPr>
          <w:rFonts w:ascii="微软雅黑" w:hAnsi="微软雅黑" w:eastAsia="微软雅黑" w:cs="微软雅黑"/>
          <w:b/>
          <w:bCs/>
          <w:spacing w:val="-1"/>
          <w:sz w:val="24"/>
          <w:szCs w:val="24"/>
        </w:rPr>
        <w:t>单）、中国政府采购网(</w:t>
      </w:r>
      <w:r>
        <w:fldChar w:fldCharType="begin"/>
      </w:r>
      <w:r>
        <w:instrText xml:space="preserve"> HYPERLINK "https://www.ccgp.gov.cn" </w:instrText>
      </w:r>
      <w:r>
        <w:fldChar w:fldCharType="separate"/>
      </w:r>
      <w:r>
        <w:rPr>
          <w:rFonts w:ascii="微软雅黑" w:hAnsi="微软雅黑" w:eastAsia="微软雅黑" w:cs="微软雅黑"/>
          <w:b/>
          <w:bCs/>
          <w:spacing w:val="-1"/>
          <w:sz w:val="24"/>
          <w:szCs w:val="24"/>
        </w:rPr>
        <w:t>www.ccgp.gov.cn</w:t>
      </w:r>
      <w:r>
        <w:rPr>
          <w:rFonts w:ascii="微软雅黑" w:hAnsi="微软雅黑" w:eastAsia="微软雅黑" w:cs="微软雅黑"/>
          <w:b/>
          <w:bCs/>
          <w:spacing w:val="-1"/>
          <w:sz w:val="24"/>
          <w:szCs w:val="24"/>
        </w:rPr>
        <w:fldChar w:fldCharType="end"/>
      </w:r>
      <w:r>
        <w:rPr>
          <w:rFonts w:ascii="微软雅黑" w:hAnsi="微软雅黑" w:eastAsia="微软雅黑" w:cs="微软雅黑"/>
          <w:b/>
          <w:bCs/>
          <w:spacing w:val="-1"/>
          <w:sz w:val="24"/>
          <w:szCs w:val="24"/>
        </w:rPr>
        <w:t>)（政府采购严重违法失信行为记录名单</w:t>
      </w:r>
      <w:r>
        <w:rPr>
          <w:rFonts w:ascii="微软雅黑" w:hAnsi="微软雅黑" w:eastAsia="微软雅黑" w:cs="微软雅黑"/>
          <w:b/>
          <w:bCs/>
          <w:spacing w:val="2"/>
          <w:sz w:val="24"/>
          <w:szCs w:val="24"/>
        </w:rPr>
        <w:t>）</w:t>
      </w:r>
      <w:r>
        <w:rPr>
          <w:rFonts w:ascii="微软雅黑" w:hAnsi="微软雅黑" w:eastAsia="微软雅黑" w:cs="微软雅黑"/>
          <w:b/>
          <w:bCs/>
          <w:spacing w:val="-42"/>
          <w:sz w:val="24"/>
          <w:szCs w:val="24"/>
        </w:rPr>
        <w:t xml:space="preserve"> </w:t>
      </w:r>
      <w:r>
        <w:rPr>
          <w:rFonts w:ascii="微软雅黑" w:hAnsi="微软雅黑" w:eastAsia="微软雅黑" w:cs="微软雅黑"/>
          <w:b/>
          <w:bCs/>
          <w:spacing w:val="2"/>
          <w:sz w:val="24"/>
          <w:szCs w:val="24"/>
        </w:rPr>
        <w:t>，</w:t>
      </w:r>
      <w:r>
        <w:rPr>
          <w:rFonts w:ascii="微软雅黑" w:hAnsi="微软雅黑" w:eastAsia="微软雅黑" w:cs="微软雅黑"/>
          <w:b/>
          <w:bCs/>
          <w:spacing w:val="-1"/>
          <w:sz w:val="24"/>
          <w:szCs w:val="24"/>
        </w:rPr>
        <w:t>国家</w:t>
      </w:r>
      <w:r>
        <w:rPr>
          <w:rFonts w:ascii="微软雅黑" w:hAnsi="微软雅黑" w:eastAsia="微软雅黑" w:cs="微软雅黑"/>
          <w:b/>
          <w:bCs/>
          <w:sz w:val="24"/>
          <w:szCs w:val="24"/>
        </w:rPr>
        <w:t xml:space="preserve"> 企业公示信息系统（</w:t>
      </w:r>
      <w:r>
        <w:fldChar w:fldCharType="begin"/>
      </w:r>
      <w:r>
        <w:instrText xml:space="preserve"> HYPERLINK "https://www.gsxt.gov.cn" </w:instrText>
      </w:r>
      <w:r>
        <w:fldChar w:fldCharType="separate"/>
      </w:r>
      <w:r>
        <w:rPr>
          <w:rFonts w:ascii="微软雅黑" w:hAnsi="微软雅黑" w:eastAsia="微软雅黑" w:cs="微软雅黑"/>
          <w:b/>
          <w:bCs/>
          <w:sz w:val="24"/>
          <w:szCs w:val="24"/>
        </w:rPr>
        <w:t>www.gsxt.gov.cn</w:t>
      </w:r>
      <w:r>
        <w:rPr>
          <w:rFonts w:ascii="微软雅黑" w:hAnsi="微软雅黑" w:eastAsia="微软雅黑" w:cs="微软雅黑"/>
          <w:b/>
          <w:bCs/>
          <w:sz w:val="24"/>
          <w:szCs w:val="24"/>
        </w:rPr>
        <w:fldChar w:fldCharType="end"/>
      </w:r>
      <w:r>
        <w:rPr>
          <w:rFonts w:ascii="微软雅黑" w:hAnsi="微软雅黑" w:eastAsia="微软雅黑" w:cs="微软雅黑"/>
          <w:b/>
          <w:bCs/>
          <w:sz w:val="24"/>
          <w:szCs w:val="24"/>
        </w:rPr>
        <w:t>）（经营异常名录</w:t>
      </w:r>
      <w:r>
        <w:rPr>
          <w:rFonts w:ascii="微软雅黑" w:hAnsi="微软雅黑" w:eastAsia="微软雅黑" w:cs="微软雅黑"/>
          <w:b/>
          <w:bCs/>
          <w:spacing w:val="-1"/>
          <w:sz w:val="24"/>
          <w:szCs w:val="24"/>
        </w:rPr>
        <w:t>、严重违法失信名单）。（须提供</w:t>
      </w:r>
      <w:r>
        <w:rPr>
          <w:rFonts w:ascii="微软雅黑" w:hAnsi="微软雅黑" w:eastAsia="微软雅黑" w:cs="微软雅黑"/>
          <w:b/>
          <w:bCs/>
          <w:sz w:val="24"/>
          <w:szCs w:val="24"/>
        </w:rPr>
        <w:t xml:space="preserve"> </w:t>
      </w:r>
      <w:r>
        <w:rPr>
          <w:rFonts w:ascii="微软雅黑" w:hAnsi="微软雅黑" w:eastAsia="微软雅黑" w:cs="微软雅黑"/>
          <w:b/>
          <w:bCs/>
          <w:spacing w:val="-4"/>
          <w:sz w:val="24"/>
          <w:szCs w:val="24"/>
        </w:rPr>
        <w:t>查询记录并加盖公章</w:t>
      </w:r>
      <w:r>
        <w:rPr>
          <w:rFonts w:ascii="微软雅黑" w:hAnsi="微软雅黑" w:eastAsia="微软雅黑" w:cs="微软雅黑"/>
          <w:b/>
          <w:bCs/>
          <w:spacing w:val="-2"/>
          <w:sz w:val="24"/>
          <w:szCs w:val="24"/>
        </w:rPr>
        <w:t>）；</w:t>
      </w:r>
    </w:p>
    <w:p w14:paraId="2C96BF2B">
      <w:pPr>
        <w:pStyle w:val="7"/>
        <w:spacing w:line="423" w:lineRule="auto"/>
      </w:pPr>
    </w:p>
    <w:p w14:paraId="60AD97A0">
      <w:pPr>
        <w:spacing w:before="104" w:line="183" w:lineRule="auto"/>
        <w:ind w:left="480"/>
        <w:rPr>
          <w:rFonts w:ascii="微软雅黑" w:hAnsi="微软雅黑" w:eastAsia="微软雅黑" w:cs="微软雅黑"/>
          <w:sz w:val="24"/>
          <w:szCs w:val="24"/>
        </w:rPr>
      </w:pPr>
      <w:r>
        <w:rPr>
          <w:rFonts w:ascii="微软雅黑" w:hAnsi="微软雅黑" w:eastAsia="微软雅黑" w:cs="微软雅黑"/>
          <w:spacing w:val="-3"/>
          <w:sz w:val="24"/>
          <w:szCs w:val="24"/>
        </w:rPr>
        <w:t>说明：联合体投标的，双方均需提供相关证明。</w:t>
      </w:r>
    </w:p>
    <w:p w14:paraId="25AEDAFC">
      <w:pPr>
        <w:spacing w:line="183" w:lineRule="auto"/>
        <w:rPr>
          <w:rFonts w:ascii="微软雅黑" w:hAnsi="微软雅黑" w:eastAsia="微软雅黑" w:cs="微软雅黑"/>
          <w:sz w:val="24"/>
          <w:szCs w:val="24"/>
        </w:rPr>
        <w:sectPr>
          <w:footerReference r:id="rId22" w:type="default"/>
          <w:pgSz w:w="11905" w:h="16839"/>
          <w:pgMar w:top="1431" w:right="1083" w:bottom="1197" w:left="1083" w:header="0" w:footer="963" w:gutter="0"/>
          <w:pgNumType w:fmt="decimal"/>
          <w:cols w:space="720" w:num="1"/>
        </w:sectPr>
      </w:pPr>
    </w:p>
    <w:p w14:paraId="064D972E">
      <w:pPr>
        <w:pStyle w:val="7"/>
        <w:spacing w:line="312" w:lineRule="auto"/>
      </w:pPr>
    </w:p>
    <w:p w14:paraId="15F6C007">
      <w:pPr>
        <w:spacing w:before="103" w:line="183" w:lineRule="auto"/>
        <w:ind w:left="484"/>
        <w:rPr>
          <w:rFonts w:ascii="微软雅黑" w:hAnsi="微软雅黑" w:eastAsia="微软雅黑" w:cs="微软雅黑"/>
          <w:sz w:val="24"/>
          <w:szCs w:val="24"/>
        </w:rPr>
      </w:pPr>
      <w:r>
        <w:rPr>
          <w:rFonts w:ascii="微软雅黑" w:hAnsi="微软雅黑" w:eastAsia="微软雅黑" w:cs="微软雅黑"/>
          <w:b/>
          <w:bCs/>
          <w:spacing w:val="-1"/>
          <w:sz w:val="24"/>
          <w:szCs w:val="24"/>
        </w:rPr>
        <w:t>⑨中小企业声明函</w:t>
      </w:r>
    </w:p>
    <w:p w14:paraId="1C4254A9">
      <w:pPr>
        <w:spacing w:before="136" w:line="183" w:lineRule="auto"/>
        <w:ind w:left="3674"/>
        <w:rPr>
          <w:rFonts w:ascii="微软雅黑" w:hAnsi="微软雅黑" w:eastAsia="微软雅黑" w:cs="微软雅黑"/>
          <w:sz w:val="22"/>
          <w:szCs w:val="22"/>
        </w:rPr>
      </w:pPr>
      <w:r>
        <w:rPr>
          <w:rFonts w:ascii="微软雅黑" w:hAnsi="微软雅黑" w:eastAsia="微软雅黑" w:cs="微软雅黑"/>
          <w:b/>
          <w:bCs/>
          <w:spacing w:val="-4"/>
          <w:sz w:val="22"/>
          <w:szCs w:val="22"/>
        </w:rPr>
        <w:t>中小企业声明函（服务）</w:t>
      </w:r>
    </w:p>
    <w:p w14:paraId="5BF63990">
      <w:pPr>
        <w:pStyle w:val="7"/>
        <w:spacing w:line="398" w:lineRule="auto"/>
      </w:pPr>
    </w:p>
    <w:p w14:paraId="77501B4C">
      <w:pPr>
        <w:spacing w:before="103" w:line="221" w:lineRule="auto"/>
        <w:ind w:left="478"/>
        <w:rPr>
          <w:rFonts w:ascii="微软雅黑" w:hAnsi="微软雅黑" w:eastAsia="微软雅黑" w:cs="微软雅黑"/>
          <w:sz w:val="24"/>
          <w:szCs w:val="24"/>
        </w:rPr>
      </w:pPr>
      <w:r>
        <w:rPr>
          <w:rFonts w:ascii="微软雅黑" w:hAnsi="微软雅黑" w:eastAsia="微软雅黑" w:cs="微软雅黑"/>
          <w:spacing w:val="-4"/>
          <w:sz w:val="24"/>
          <w:szCs w:val="24"/>
        </w:rPr>
        <w:t>本公司（联合体）郑重声明</w:t>
      </w:r>
      <w:r>
        <w:rPr>
          <w:rFonts w:ascii="微软雅黑" w:hAnsi="微软雅黑" w:eastAsia="微软雅黑" w:cs="微软雅黑"/>
          <w:spacing w:val="-12"/>
          <w:sz w:val="24"/>
          <w:szCs w:val="24"/>
        </w:rPr>
        <w:t xml:space="preserve"> </w:t>
      </w:r>
      <w:r>
        <w:rPr>
          <w:rFonts w:ascii="微软雅黑" w:hAnsi="微软雅黑" w:eastAsia="微软雅黑" w:cs="微软雅黑"/>
          <w:spacing w:val="-4"/>
          <w:sz w:val="24"/>
          <w:szCs w:val="24"/>
        </w:rPr>
        <w:t>，根据《政府采购促进中小企业发展管理办法》（财库</w:t>
      </w:r>
    </w:p>
    <w:p w14:paraId="711A0E67">
      <w:pPr>
        <w:spacing w:before="99" w:line="280" w:lineRule="auto"/>
        <w:ind w:right="187" w:firstLine="92"/>
        <w:rPr>
          <w:rFonts w:ascii="微软雅黑" w:hAnsi="微软雅黑" w:eastAsia="微软雅黑" w:cs="微软雅黑"/>
          <w:sz w:val="24"/>
          <w:szCs w:val="24"/>
        </w:rPr>
      </w:pPr>
      <w:r>
        <w:rPr>
          <w:rFonts w:ascii="微软雅黑" w:hAnsi="微软雅黑" w:eastAsia="微软雅黑" w:cs="微软雅黑"/>
          <w:spacing w:val="-6"/>
          <w:sz w:val="24"/>
          <w:szCs w:val="24"/>
        </w:rPr>
        <w:t>﹝2020﹞46 号）</w:t>
      </w:r>
      <w:r>
        <w:rPr>
          <w:rFonts w:ascii="微软雅黑" w:hAnsi="微软雅黑" w:eastAsia="微软雅黑" w:cs="微软雅黑"/>
          <w:spacing w:val="-50"/>
          <w:sz w:val="24"/>
          <w:szCs w:val="24"/>
        </w:rPr>
        <w:t xml:space="preserve"> </w:t>
      </w:r>
      <w:r>
        <w:rPr>
          <w:rFonts w:ascii="微软雅黑" w:hAnsi="微软雅黑" w:eastAsia="微软雅黑" w:cs="微软雅黑"/>
          <w:spacing w:val="-6"/>
          <w:sz w:val="24"/>
          <w:szCs w:val="24"/>
        </w:rPr>
        <w:t>的规定</w:t>
      </w:r>
      <w:r>
        <w:rPr>
          <w:rFonts w:ascii="微软雅黑" w:hAnsi="微软雅黑" w:eastAsia="微软雅黑" w:cs="微软雅黑"/>
          <w:spacing w:val="-27"/>
          <w:sz w:val="24"/>
          <w:szCs w:val="24"/>
        </w:rPr>
        <w:t xml:space="preserve"> </w:t>
      </w:r>
      <w:r>
        <w:rPr>
          <w:rFonts w:ascii="微软雅黑" w:hAnsi="微软雅黑" w:eastAsia="微软雅黑" w:cs="微软雅黑"/>
          <w:spacing w:val="-6"/>
          <w:sz w:val="24"/>
          <w:szCs w:val="24"/>
        </w:rPr>
        <w:t>，本公司（联合体</w:t>
      </w:r>
      <w:r>
        <w:rPr>
          <w:rFonts w:ascii="微软雅黑" w:hAnsi="微软雅黑" w:eastAsia="微软雅黑" w:cs="微软雅黑"/>
          <w:spacing w:val="-7"/>
          <w:sz w:val="24"/>
          <w:szCs w:val="24"/>
        </w:rPr>
        <w:t>）参加</w:t>
      </w:r>
      <w:r>
        <w:rPr>
          <w:rFonts w:ascii="微软雅黑" w:hAnsi="微软雅黑" w:eastAsia="微软雅黑" w:cs="微软雅黑"/>
          <w:spacing w:val="-7"/>
          <w:sz w:val="24"/>
          <w:szCs w:val="24"/>
          <w:u w:val="single" w:color="auto"/>
        </w:rPr>
        <w:t>（单位名称）</w:t>
      </w:r>
      <w:r>
        <w:rPr>
          <w:rFonts w:ascii="微软雅黑" w:hAnsi="微软雅黑" w:eastAsia="微软雅黑" w:cs="微软雅黑"/>
          <w:spacing w:val="-50"/>
          <w:sz w:val="24"/>
          <w:szCs w:val="24"/>
          <w:u w:val="single" w:color="auto"/>
        </w:rPr>
        <w:t xml:space="preserve"> </w:t>
      </w:r>
      <w:r>
        <w:rPr>
          <w:rFonts w:ascii="微软雅黑" w:hAnsi="微软雅黑" w:eastAsia="微软雅黑" w:cs="微软雅黑"/>
          <w:spacing w:val="-7"/>
          <w:sz w:val="24"/>
          <w:szCs w:val="24"/>
        </w:rPr>
        <w:t>的</w:t>
      </w:r>
      <w:r>
        <w:rPr>
          <w:rFonts w:ascii="微软雅黑" w:hAnsi="微软雅黑" w:eastAsia="微软雅黑" w:cs="微软雅黑"/>
          <w:spacing w:val="-7"/>
          <w:sz w:val="24"/>
          <w:szCs w:val="24"/>
          <w:u w:val="single" w:color="auto"/>
        </w:rPr>
        <w:t>（项目名称）</w:t>
      </w:r>
      <w:r>
        <w:rPr>
          <w:rFonts w:ascii="微软雅黑" w:hAnsi="微软雅黑" w:eastAsia="微软雅黑" w:cs="微软雅黑"/>
          <w:spacing w:val="-7"/>
          <w:sz w:val="24"/>
          <w:szCs w:val="24"/>
        </w:rPr>
        <w:t>采购活动，服</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务全部由符合政策要求的中小企业承接。相关企业（含联合体中的中小企业、签订分包意向协</w:t>
      </w:r>
      <w:r>
        <w:rPr>
          <w:rFonts w:ascii="微软雅黑" w:hAnsi="微软雅黑" w:eastAsia="微软雅黑" w:cs="微软雅黑"/>
          <w:spacing w:val="15"/>
          <w:sz w:val="24"/>
          <w:szCs w:val="24"/>
        </w:rPr>
        <w:t xml:space="preserve"> </w:t>
      </w:r>
      <w:r>
        <w:rPr>
          <w:rFonts w:ascii="微软雅黑" w:hAnsi="微软雅黑" w:eastAsia="微软雅黑" w:cs="微软雅黑"/>
          <w:spacing w:val="-4"/>
          <w:sz w:val="24"/>
          <w:szCs w:val="24"/>
        </w:rPr>
        <w:t>议的中小企业）</w:t>
      </w:r>
      <w:r>
        <w:rPr>
          <w:rFonts w:ascii="微软雅黑" w:hAnsi="微软雅黑" w:eastAsia="微软雅黑" w:cs="微软雅黑"/>
          <w:spacing w:val="-51"/>
          <w:sz w:val="24"/>
          <w:szCs w:val="24"/>
        </w:rPr>
        <w:t xml:space="preserve"> </w:t>
      </w:r>
      <w:r>
        <w:rPr>
          <w:rFonts w:ascii="微软雅黑" w:hAnsi="微软雅黑" w:eastAsia="微软雅黑" w:cs="微软雅黑"/>
          <w:spacing w:val="-4"/>
          <w:sz w:val="24"/>
          <w:szCs w:val="24"/>
        </w:rPr>
        <w:t>的具体情况如下：</w:t>
      </w:r>
    </w:p>
    <w:p w14:paraId="0B4D0854">
      <w:pPr>
        <w:spacing w:before="1" w:line="260" w:lineRule="auto"/>
        <w:ind w:right="123" w:firstLine="497"/>
        <w:rPr>
          <w:rFonts w:ascii="微软雅黑" w:hAnsi="微软雅黑" w:eastAsia="微软雅黑" w:cs="微软雅黑"/>
          <w:sz w:val="24"/>
          <w:szCs w:val="24"/>
        </w:rPr>
      </w:pPr>
      <w:r>
        <w:rPr>
          <w:rFonts w:ascii="微软雅黑" w:hAnsi="微软雅黑" w:eastAsia="微软雅黑" w:cs="微软雅黑"/>
          <w:spacing w:val="-2"/>
          <w:sz w:val="24"/>
          <w:szCs w:val="24"/>
        </w:rPr>
        <w:t>1.</w:t>
      </w:r>
      <w:r>
        <w:rPr>
          <w:rFonts w:ascii="微软雅黑" w:hAnsi="微软雅黑" w:eastAsia="微软雅黑" w:cs="微软雅黑"/>
          <w:spacing w:val="-2"/>
          <w:sz w:val="24"/>
          <w:szCs w:val="24"/>
          <w:u w:val="single" w:color="auto"/>
        </w:rPr>
        <w:t>（标的名称</w:t>
      </w:r>
      <w:r>
        <w:rPr>
          <w:rFonts w:ascii="微软雅黑" w:hAnsi="微软雅黑" w:eastAsia="微软雅黑" w:cs="微软雅黑"/>
          <w:spacing w:val="-22"/>
          <w:sz w:val="24"/>
          <w:szCs w:val="24"/>
          <w:u w:val="single" w:color="auto"/>
        </w:rPr>
        <w:t>）</w:t>
      </w:r>
      <w:r>
        <w:rPr>
          <w:rFonts w:ascii="微软雅黑" w:hAnsi="微软雅黑" w:eastAsia="微软雅黑" w:cs="微软雅黑"/>
          <w:spacing w:val="52"/>
          <w:sz w:val="24"/>
          <w:szCs w:val="24"/>
        </w:rPr>
        <w:t xml:space="preserve"> </w:t>
      </w:r>
      <w:r>
        <w:rPr>
          <w:rFonts w:ascii="微软雅黑" w:hAnsi="微软雅黑" w:eastAsia="微软雅黑" w:cs="微软雅黑"/>
          <w:spacing w:val="-22"/>
          <w:sz w:val="24"/>
          <w:szCs w:val="24"/>
        </w:rPr>
        <w:t>，</w:t>
      </w:r>
      <w:r>
        <w:rPr>
          <w:rFonts w:ascii="微软雅黑" w:hAnsi="微软雅黑" w:eastAsia="微软雅黑" w:cs="微软雅黑"/>
          <w:spacing w:val="-2"/>
          <w:sz w:val="24"/>
          <w:szCs w:val="24"/>
        </w:rPr>
        <w:t>属于</w:t>
      </w:r>
      <w:r>
        <w:rPr>
          <w:rFonts w:ascii="微软雅黑" w:hAnsi="微软雅黑" w:eastAsia="微软雅黑" w:cs="微软雅黑"/>
          <w:spacing w:val="-2"/>
          <w:sz w:val="24"/>
          <w:szCs w:val="24"/>
          <w:u w:val="single" w:color="auto"/>
        </w:rPr>
        <w:t>（采购文件中明确的所属行业）行业</w:t>
      </w:r>
      <w:r>
        <w:rPr>
          <w:rFonts w:ascii="微软雅黑" w:hAnsi="微软雅黑" w:eastAsia="微软雅黑" w:cs="微软雅黑"/>
          <w:spacing w:val="-2"/>
          <w:sz w:val="24"/>
          <w:szCs w:val="24"/>
        </w:rPr>
        <w:t>；</w:t>
      </w:r>
      <w:r>
        <w:rPr>
          <w:rFonts w:ascii="微软雅黑" w:hAnsi="微软雅黑" w:eastAsia="微软雅黑" w:cs="微软雅黑"/>
          <w:spacing w:val="-47"/>
          <w:sz w:val="24"/>
          <w:szCs w:val="24"/>
        </w:rPr>
        <w:t xml:space="preserve"> </w:t>
      </w:r>
      <w:r>
        <w:rPr>
          <w:rFonts w:ascii="微软雅黑" w:hAnsi="微软雅黑" w:eastAsia="微软雅黑" w:cs="微软雅黑"/>
          <w:spacing w:val="-2"/>
          <w:sz w:val="24"/>
          <w:szCs w:val="24"/>
        </w:rPr>
        <w:t>承</w:t>
      </w:r>
      <w:r>
        <w:rPr>
          <w:rFonts w:ascii="微软雅黑" w:hAnsi="微软雅黑" w:eastAsia="微软雅黑" w:cs="微软雅黑"/>
          <w:spacing w:val="-3"/>
          <w:sz w:val="24"/>
          <w:szCs w:val="24"/>
        </w:rPr>
        <w:t>接企业为</w:t>
      </w:r>
      <w:r>
        <w:rPr>
          <w:rFonts w:ascii="微软雅黑" w:hAnsi="微软雅黑" w:eastAsia="微软雅黑" w:cs="微软雅黑"/>
          <w:spacing w:val="-3"/>
          <w:sz w:val="24"/>
          <w:szCs w:val="24"/>
          <w:u w:val="single" w:color="auto"/>
        </w:rPr>
        <w:t>（企业名称</w:t>
      </w:r>
      <w:r>
        <w:rPr>
          <w:rFonts w:ascii="微软雅黑" w:hAnsi="微软雅黑" w:eastAsia="微软雅黑" w:cs="微软雅黑"/>
          <w:spacing w:val="-22"/>
          <w:sz w:val="24"/>
          <w:szCs w:val="24"/>
          <w:u w:val="single" w:color="auto"/>
        </w:rPr>
        <w:t>）</w:t>
      </w:r>
      <w:r>
        <w:rPr>
          <w:rFonts w:ascii="微软雅黑" w:hAnsi="微软雅黑" w:eastAsia="微软雅黑" w:cs="微软雅黑"/>
          <w:spacing w:val="-22"/>
          <w:sz w:val="24"/>
          <w:szCs w:val="24"/>
        </w:rPr>
        <w:t>，</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从业人员</w:t>
      </w:r>
      <w:r>
        <w:rPr>
          <w:rFonts w:ascii="微软雅黑" w:hAnsi="微软雅黑" w:eastAsia="微软雅黑" w:cs="微软雅黑"/>
          <w:spacing w:val="-45"/>
          <w:sz w:val="24"/>
          <w:szCs w:val="24"/>
        </w:rPr>
        <w:t xml:space="preserve"> </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2"/>
          <w:sz w:val="24"/>
          <w:szCs w:val="24"/>
        </w:rPr>
        <w:t>人</w:t>
      </w:r>
      <w:r>
        <w:rPr>
          <w:rFonts w:ascii="微软雅黑" w:hAnsi="微软雅黑" w:eastAsia="微软雅黑" w:cs="微软雅黑"/>
          <w:spacing w:val="-21"/>
          <w:sz w:val="24"/>
          <w:szCs w:val="24"/>
        </w:rPr>
        <w:t xml:space="preserve"> </w:t>
      </w:r>
      <w:r>
        <w:rPr>
          <w:rFonts w:ascii="微软雅黑" w:hAnsi="微软雅黑" w:eastAsia="微软雅黑" w:cs="微软雅黑"/>
          <w:spacing w:val="-2"/>
          <w:sz w:val="24"/>
          <w:szCs w:val="24"/>
        </w:rPr>
        <w:t>，营业收入为</w:t>
      </w:r>
      <w:r>
        <w:rPr>
          <w:rFonts w:ascii="微软雅黑" w:hAnsi="微软雅黑" w:eastAsia="微软雅黑" w:cs="微软雅黑"/>
          <w:spacing w:val="-57"/>
          <w:sz w:val="24"/>
          <w:szCs w:val="24"/>
        </w:rPr>
        <w:t xml:space="preserve"> </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66"/>
          <w:sz w:val="24"/>
          <w:szCs w:val="24"/>
        </w:rPr>
        <w:t xml:space="preserve"> </w:t>
      </w:r>
      <w:r>
        <w:rPr>
          <w:rFonts w:ascii="微软雅黑" w:hAnsi="微软雅黑" w:eastAsia="微软雅黑" w:cs="微软雅黑"/>
          <w:spacing w:val="-2"/>
          <w:sz w:val="24"/>
          <w:szCs w:val="24"/>
        </w:rPr>
        <w:t>万元，资产总额为</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2"/>
          <w:sz w:val="24"/>
          <w:szCs w:val="24"/>
        </w:rPr>
        <w:t>万元，属于</w:t>
      </w:r>
      <w:r>
        <w:rPr>
          <w:rFonts w:ascii="微软雅黑" w:hAnsi="微软雅黑" w:eastAsia="微软雅黑" w:cs="微软雅黑"/>
          <w:spacing w:val="-2"/>
          <w:sz w:val="24"/>
          <w:szCs w:val="24"/>
          <w:u w:val="single" w:color="auto"/>
        </w:rPr>
        <w:t>（中型企业、小</w:t>
      </w:r>
      <w:r>
        <w:rPr>
          <w:rFonts w:ascii="微软雅黑" w:hAnsi="微软雅黑" w:eastAsia="微软雅黑" w:cs="微软雅黑"/>
          <w:sz w:val="24"/>
          <w:szCs w:val="24"/>
        </w:rPr>
        <w:t xml:space="preserve">  </w:t>
      </w:r>
      <w:r>
        <w:rPr>
          <w:rFonts w:ascii="微软雅黑" w:hAnsi="微软雅黑" w:eastAsia="微软雅黑" w:cs="微软雅黑"/>
          <w:spacing w:val="-4"/>
          <w:sz w:val="24"/>
          <w:szCs w:val="24"/>
          <w:u w:val="single" w:color="auto"/>
        </w:rPr>
        <w:t>型企业、微型企业</w:t>
      </w:r>
      <w:r>
        <w:rPr>
          <w:rFonts w:ascii="微软雅黑" w:hAnsi="微软雅黑" w:eastAsia="微软雅黑" w:cs="微软雅黑"/>
          <w:spacing w:val="1"/>
          <w:sz w:val="24"/>
          <w:szCs w:val="24"/>
          <w:u w:val="single" w:color="auto"/>
        </w:rPr>
        <w:t>）</w:t>
      </w:r>
      <w:r>
        <w:rPr>
          <w:rFonts w:ascii="微软雅黑" w:hAnsi="微软雅黑" w:eastAsia="微软雅黑" w:cs="微软雅黑"/>
          <w:spacing w:val="1"/>
          <w:sz w:val="24"/>
          <w:szCs w:val="24"/>
        </w:rPr>
        <w:t>；</w:t>
      </w:r>
    </w:p>
    <w:p w14:paraId="7638285E">
      <w:pPr>
        <w:spacing w:before="102" w:line="260" w:lineRule="auto"/>
        <w:ind w:firstLine="487"/>
        <w:rPr>
          <w:rFonts w:ascii="微软雅黑" w:hAnsi="微软雅黑" w:eastAsia="微软雅黑" w:cs="微软雅黑"/>
          <w:sz w:val="24"/>
          <w:szCs w:val="24"/>
        </w:rPr>
      </w:pPr>
      <w:r>
        <w:rPr>
          <w:rFonts w:ascii="微软雅黑" w:hAnsi="微软雅黑" w:eastAsia="微软雅黑" w:cs="微软雅黑"/>
          <w:spacing w:val="-2"/>
          <w:sz w:val="24"/>
          <w:szCs w:val="24"/>
        </w:rPr>
        <w:t>2.</w:t>
      </w:r>
      <w:r>
        <w:rPr>
          <w:rFonts w:ascii="微软雅黑" w:hAnsi="微软雅黑" w:eastAsia="微软雅黑" w:cs="微软雅黑"/>
          <w:spacing w:val="61"/>
          <w:w w:val="101"/>
          <w:sz w:val="24"/>
          <w:szCs w:val="24"/>
        </w:rPr>
        <w:t xml:space="preserve"> </w:t>
      </w:r>
      <w:r>
        <w:rPr>
          <w:rFonts w:ascii="微软雅黑" w:hAnsi="微软雅黑" w:eastAsia="微软雅黑" w:cs="微软雅黑"/>
          <w:spacing w:val="-2"/>
          <w:sz w:val="24"/>
          <w:szCs w:val="24"/>
          <w:u w:val="single" w:color="auto"/>
        </w:rPr>
        <w:t>（标的名称</w:t>
      </w:r>
      <w:r>
        <w:rPr>
          <w:rFonts w:ascii="微软雅黑" w:hAnsi="微软雅黑" w:eastAsia="微软雅黑" w:cs="微软雅黑"/>
          <w:spacing w:val="-22"/>
          <w:sz w:val="24"/>
          <w:szCs w:val="24"/>
          <w:u w:val="single" w:color="auto"/>
        </w:rPr>
        <w:t>）</w:t>
      </w:r>
      <w:r>
        <w:rPr>
          <w:rFonts w:ascii="微软雅黑" w:hAnsi="微软雅黑" w:eastAsia="微软雅黑" w:cs="微软雅黑"/>
          <w:spacing w:val="49"/>
          <w:sz w:val="24"/>
          <w:szCs w:val="24"/>
        </w:rPr>
        <w:t xml:space="preserve"> </w:t>
      </w:r>
      <w:r>
        <w:rPr>
          <w:rFonts w:ascii="微软雅黑" w:hAnsi="微软雅黑" w:eastAsia="微软雅黑" w:cs="微软雅黑"/>
          <w:spacing w:val="-22"/>
          <w:sz w:val="24"/>
          <w:szCs w:val="24"/>
        </w:rPr>
        <w:t>，</w:t>
      </w:r>
      <w:r>
        <w:rPr>
          <w:rFonts w:ascii="微软雅黑" w:hAnsi="微软雅黑" w:eastAsia="微软雅黑" w:cs="微软雅黑"/>
          <w:spacing w:val="-2"/>
          <w:sz w:val="24"/>
          <w:szCs w:val="24"/>
        </w:rPr>
        <w:t>属于</w:t>
      </w:r>
      <w:r>
        <w:rPr>
          <w:rFonts w:ascii="微软雅黑" w:hAnsi="微软雅黑" w:eastAsia="微软雅黑" w:cs="微软雅黑"/>
          <w:spacing w:val="-2"/>
          <w:sz w:val="24"/>
          <w:szCs w:val="24"/>
          <w:u w:val="single" w:color="auto"/>
        </w:rPr>
        <w:t>（采购文件中明确的所属行业）行业</w:t>
      </w:r>
      <w:r>
        <w:rPr>
          <w:rFonts w:ascii="微软雅黑" w:hAnsi="微软雅黑" w:eastAsia="微软雅黑" w:cs="微软雅黑"/>
          <w:spacing w:val="-2"/>
          <w:sz w:val="24"/>
          <w:szCs w:val="24"/>
        </w:rPr>
        <w:t>；</w:t>
      </w:r>
      <w:r>
        <w:rPr>
          <w:rFonts w:ascii="微软雅黑" w:hAnsi="微软雅黑" w:eastAsia="微软雅黑" w:cs="微软雅黑"/>
          <w:spacing w:val="-47"/>
          <w:sz w:val="24"/>
          <w:szCs w:val="24"/>
        </w:rPr>
        <w:t xml:space="preserve"> </w:t>
      </w:r>
      <w:r>
        <w:rPr>
          <w:rFonts w:ascii="微软雅黑" w:hAnsi="微软雅黑" w:eastAsia="微软雅黑" w:cs="微软雅黑"/>
          <w:spacing w:val="-2"/>
          <w:sz w:val="24"/>
          <w:szCs w:val="24"/>
        </w:rPr>
        <w:t>承接企业为</w:t>
      </w:r>
      <w:r>
        <w:rPr>
          <w:rFonts w:ascii="微软雅黑" w:hAnsi="微软雅黑" w:eastAsia="微软雅黑" w:cs="微软雅黑"/>
          <w:spacing w:val="-2"/>
          <w:sz w:val="24"/>
          <w:szCs w:val="24"/>
          <w:u w:val="single" w:color="auto"/>
        </w:rPr>
        <w:t>（</w:t>
      </w:r>
      <w:r>
        <w:rPr>
          <w:rFonts w:ascii="微软雅黑" w:hAnsi="微软雅黑" w:eastAsia="微软雅黑" w:cs="微软雅黑"/>
          <w:spacing w:val="-3"/>
          <w:sz w:val="24"/>
          <w:szCs w:val="24"/>
          <w:u w:val="single" w:color="auto"/>
        </w:rPr>
        <w:t>企业名称</w:t>
      </w:r>
      <w:r>
        <w:rPr>
          <w:rFonts w:ascii="微软雅黑" w:hAnsi="微软雅黑" w:eastAsia="微软雅黑" w:cs="微软雅黑"/>
          <w:spacing w:val="-22"/>
          <w:sz w:val="24"/>
          <w:szCs w:val="24"/>
          <w:u w:val="single" w:color="auto"/>
        </w:rPr>
        <w:t>）</w:t>
      </w:r>
      <w:r>
        <w:rPr>
          <w:rFonts w:ascii="微软雅黑" w:hAnsi="微软雅黑" w:eastAsia="微软雅黑" w:cs="微软雅黑"/>
          <w:spacing w:val="-22"/>
          <w:sz w:val="24"/>
          <w:szCs w:val="24"/>
        </w:rPr>
        <w:t>，</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从业人员</w:t>
      </w:r>
      <w:r>
        <w:rPr>
          <w:rFonts w:ascii="微软雅黑" w:hAnsi="微软雅黑" w:eastAsia="微软雅黑" w:cs="微软雅黑"/>
          <w:spacing w:val="-45"/>
          <w:sz w:val="24"/>
          <w:szCs w:val="24"/>
        </w:rPr>
        <w:t xml:space="preserve"> </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2"/>
          <w:sz w:val="24"/>
          <w:szCs w:val="24"/>
        </w:rPr>
        <w:t>人</w:t>
      </w:r>
      <w:r>
        <w:rPr>
          <w:rFonts w:ascii="微软雅黑" w:hAnsi="微软雅黑" w:eastAsia="微软雅黑" w:cs="微软雅黑"/>
          <w:spacing w:val="-21"/>
          <w:sz w:val="24"/>
          <w:szCs w:val="24"/>
        </w:rPr>
        <w:t xml:space="preserve"> </w:t>
      </w:r>
      <w:r>
        <w:rPr>
          <w:rFonts w:ascii="微软雅黑" w:hAnsi="微软雅黑" w:eastAsia="微软雅黑" w:cs="微软雅黑"/>
          <w:spacing w:val="-2"/>
          <w:sz w:val="24"/>
          <w:szCs w:val="24"/>
        </w:rPr>
        <w:t>，营业收入为</w:t>
      </w:r>
      <w:r>
        <w:rPr>
          <w:rFonts w:ascii="微软雅黑" w:hAnsi="微软雅黑" w:eastAsia="微软雅黑" w:cs="微软雅黑"/>
          <w:spacing w:val="-57"/>
          <w:sz w:val="24"/>
          <w:szCs w:val="24"/>
        </w:rPr>
        <w:t xml:space="preserve"> </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66"/>
          <w:sz w:val="24"/>
          <w:szCs w:val="24"/>
        </w:rPr>
        <w:t xml:space="preserve"> </w:t>
      </w:r>
      <w:r>
        <w:rPr>
          <w:rFonts w:ascii="微软雅黑" w:hAnsi="微软雅黑" w:eastAsia="微软雅黑" w:cs="微软雅黑"/>
          <w:spacing w:val="-2"/>
          <w:sz w:val="24"/>
          <w:szCs w:val="24"/>
        </w:rPr>
        <w:t>万元，资产总额为</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2"/>
          <w:sz w:val="24"/>
          <w:szCs w:val="24"/>
        </w:rPr>
        <w:t>万元，属于</w:t>
      </w:r>
      <w:r>
        <w:rPr>
          <w:rFonts w:ascii="微软雅黑" w:hAnsi="微软雅黑" w:eastAsia="微软雅黑" w:cs="微软雅黑"/>
          <w:spacing w:val="-2"/>
          <w:sz w:val="24"/>
          <w:szCs w:val="24"/>
          <w:u w:val="single" w:color="auto"/>
        </w:rPr>
        <w:t>（中型企业、小</w:t>
      </w:r>
      <w:r>
        <w:rPr>
          <w:rFonts w:ascii="微软雅黑" w:hAnsi="微软雅黑" w:eastAsia="微软雅黑" w:cs="微软雅黑"/>
          <w:sz w:val="24"/>
          <w:szCs w:val="24"/>
        </w:rPr>
        <w:t xml:space="preserve">    </w:t>
      </w:r>
      <w:r>
        <w:rPr>
          <w:rFonts w:ascii="微软雅黑" w:hAnsi="微软雅黑" w:eastAsia="微软雅黑" w:cs="微软雅黑"/>
          <w:spacing w:val="-4"/>
          <w:sz w:val="24"/>
          <w:szCs w:val="24"/>
          <w:u w:val="single" w:color="auto"/>
        </w:rPr>
        <w:t>型企业、微型企业</w:t>
      </w:r>
      <w:r>
        <w:rPr>
          <w:rFonts w:ascii="微软雅黑" w:hAnsi="微软雅黑" w:eastAsia="微软雅黑" w:cs="微软雅黑"/>
          <w:spacing w:val="1"/>
          <w:sz w:val="24"/>
          <w:szCs w:val="24"/>
          <w:u w:val="single" w:color="auto"/>
        </w:rPr>
        <w:t>）</w:t>
      </w:r>
      <w:r>
        <w:rPr>
          <w:rFonts w:ascii="微软雅黑" w:hAnsi="微软雅黑" w:eastAsia="微软雅黑" w:cs="微软雅黑"/>
          <w:spacing w:val="1"/>
          <w:sz w:val="24"/>
          <w:szCs w:val="24"/>
        </w:rPr>
        <w:t>；</w:t>
      </w:r>
    </w:p>
    <w:p w14:paraId="342F8E3F">
      <w:pPr>
        <w:spacing w:before="322" w:line="137" w:lineRule="exact"/>
        <w:ind w:left="491"/>
        <w:rPr>
          <w:rFonts w:ascii="微软雅黑" w:hAnsi="微软雅黑" w:eastAsia="微软雅黑" w:cs="微软雅黑"/>
          <w:sz w:val="24"/>
          <w:szCs w:val="24"/>
        </w:rPr>
      </w:pPr>
      <w:r>
        <w:rPr>
          <w:rFonts w:ascii="微软雅黑" w:hAnsi="微软雅黑" w:eastAsia="微软雅黑" w:cs="微软雅黑"/>
          <w:position w:val="-3"/>
          <w:sz w:val="24"/>
          <w:szCs w:val="24"/>
        </w:rPr>
        <w:t>……</w:t>
      </w:r>
    </w:p>
    <w:p w14:paraId="610DD878">
      <w:pPr>
        <w:spacing w:before="165" w:line="280" w:lineRule="auto"/>
        <w:ind w:left="3" w:right="187" w:firstLine="482"/>
        <w:rPr>
          <w:rFonts w:ascii="微软雅黑" w:hAnsi="微软雅黑" w:eastAsia="微软雅黑" w:cs="微软雅黑"/>
          <w:sz w:val="24"/>
          <w:szCs w:val="24"/>
        </w:rPr>
      </w:pPr>
      <w:r>
        <w:rPr>
          <w:rFonts w:ascii="微软雅黑" w:hAnsi="微软雅黑" w:eastAsia="微软雅黑" w:cs="微软雅黑"/>
          <w:spacing w:val="-3"/>
          <w:sz w:val="24"/>
          <w:szCs w:val="24"/>
        </w:rPr>
        <w:t>以上企业，不属于大企业的分支机构，不存在控股股东为大企业的情形，也不存在与大企</w:t>
      </w:r>
      <w:r>
        <w:rPr>
          <w:rFonts w:ascii="微软雅黑" w:hAnsi="微软雅黑" w:eastAsia="微软雅黑" w:cs="微软雅黑"/>
          <w:spacing w:val="3"/>
          <w:sz w:val="24"/>
          <w:szCs w:val="24"/>
        </w:rPr>
        <w:t xml:space="preserve"> </w:t>
      </w:r>
      <w:r>
        <w:rPr>
          <w:rFonts w:ascii="微软雅黑" w:hAnsi="微软雅黑" w:eastAsia="微软雅黑" w:cs="微软雅黑"/>
          <w:spacing w:val="-3"/>
          <w:sz w:val="24"/>
          <w:szCs w:val="24"/>
        </w:rPr>
        <w:t>业的负责人为同一人的情形。</w:t>
      </w:r>
    </w:p>
    <w:p w14:paraId="7EE0A46A">
      <w:pPr>
        <w:spacing w:before="1" w:line="183" w:lineRule="auto"/>
        <w:ind w:left="478"/>
        <w:rPr>
          <w:rFonts w:ascii="微软雅黑" w:hAnsi="微软雅黑" w:eastAsia="微软雅黑" w:cs="微软雅黑"/>
          <w:sz w:val="24"/>
          <w:szCs w:val="24"/>
        </w:rPr>
      </w:pPr>
      <w:r>
        <w:rPr>
          <w:rFonts w:ascii="微软雅黑" w:hAnsi="微软雅黑" w:eastAsia="微软雅黑" w:cs="微软雅黑"/>
          <w:spacing w:val="-4"/>
          <w:sz w:val="24"/>
          <w:szCs w:val="24"/>
        </w:rPr>
        <w:t>本企业对上述声明内容的真实性负责。如有虚假</w:t>
      </w:r>
      <w:r>
        <w:rPr>
          <w:rFonts w:ascii="微软雅黑" w:hAnsi="微软雅黑" w:eastAsia="微软雅黑" w:cs="微软雅黑"/>
          <w:spacing w:val="-20"/>
          <w:sz w:val="24"/>
          <w:szCs w:val="24"/>
        </w:rPr>
        <w:t xml:space="preserve"> </w:t>
      </w:r>
      <w:r>
        <w:rPr>
          <w:rFonts w:ascii="微软雅黑" w:hAnsi="微软雅黑" w:eastAsia="微软雅黑" w:cs="微软雅黑"/>
          <w:spacing w:val="-4"/>
          <w:sz w:val="24"/>
          <w:szCs w:val="24"/>
        </w:rPr>
        <w:t>，将依法承担相应责任。</w:t>
      </w:r>
    </w:p>
    <w:p w14:paraId="128A5506">
      <w:pPr>
        <w:pStyle w:val="7"/>
        <w:spacing w:line="243" w:lineRule="auto"/>
      </w:pPr>
    </w:p>
    <w:p w14:paraId="099F9EFB">
      <w:pPr>
        <w:pStyle w:val="7"/>
        <w:spacing w:line="243" w:lineRule="auto"/>
      </w:pPr>
    </w:p>
    <w:p w14:paraId="563E6308">
      <w:pPr>
        <w:pStyle w:val="7"/>
        <w:spacing w:line="243" w:lineRule="auto"/>
      </w:pPr>
    </w:p>
    <w:p w14:paraId="6C80BF5F">
      <w:pPr>
        <w:pStyle w:val="7"/>
        <w:spacing w:line="243" w:lineRule="auto"/>
      </w:pPr>
    </w:p>
    <w:p w14:paraId="69AADF70">
      <w:pPr>
        <w:spacing w:before="103" w:line="221" w:lineRule="auto"/>
        <w:ind w:left="6611"/>
        <w:rPr>
          <w:rFonts w:ascii="微软雅黑" w:hAnsi="微软雅黑" w:eastAsia="微软雅黑" w:cs="微软雅黑"/>
          <w:sz w:val="24"/>
          <w:szCs w:val="24"/>
        </w:rPr>
      </w:pPr>
      <w:r>
        <w:rPr>
          <w:rFonts w:ascii="微软雅黑" w:hAnsi="微软雅黑" w:eastAsia="微软雅黑" w:cs="微软雅黑"/>
          <w:spacing w:val="-4"/>
          <w:sz w:val="24"/>
          <w:szCs w:val="24"/>
        </w:rPr>
        <w:t>企业名称（盖章</w:t>
      </w:r>
      <w:r>
        <w:rPr>
          <w:rFonts w:ascii="微软雅黑" w:hAnsi="微软雅黑" w:eastAsia="微软雅黑" w:cs="微软雅黑"/>
          <w:sz w:val="24"/>
          <w:szCs w:val="24"/>
        </w:rPr>
        <w:t>）：</w:t>
      </w:r>
    </w:p>
    <w:p w14:paraId="645EA556">
      <w:pPr>
        <w:spacing w:before="167" w:line="180" w:lineRule="auto"/>
        <w:ind w:left="5913"/>
        <w:rPr>
          <w:rFonts w:ascii="微软雅黑" w:hAnsi="微软雅黑" w:eastAsia="微软雅黑" w:cs="微软雅黑"/>
          <w:sz w:val="24"/>
          <w:szCs w:val="24"/>
        </w:rPr>
      </w:pPr>
      <w:r>
        <w:rPr>
          <w:rFonts w:ascii="微软雅黑" w:hAnsi="微软雅黑" w:eastAsia="微软雅黑" w:cs="微软雅黑"/>
          <w:spacing w:val="-17"/>
          <w:sz w:val="24"/>
          <w:szCs w:val="24"/>
        </w:rPr>
        <w:t>日期：</w:t>
      </w:r>
    </w:p>
    <w:p w14:paraId="0D7ED3D2">
      <w:pPr>
        <w:pStyle w:val="7"/>
        <w:spacing w:line="261" w:lineRule="auto"/>
      </w:pPr>
    </w:p>
    <w:p w14:paraId="439CFE72">
      <w:pPr>
        <w:pStyle w:val="7"/>
        <w:spacing w:line="261" w:lineRule="auto"/>
      </w:pPr>
    </w:p>
    <w:p w14:paraId="7D9BAF8C">
      <w:pPr>
        <w:pStyle w:val="7"/>
        <w:spacing w:line="261" w:lineRule="auto"/>
      </w:pPr>
    </w:p>
    <w:p w14:paraId="68AC20BE">
      <w:pPr>
        <w:pStyle w:val="7"/>
        <w:spacing w:line="262" w:lineRule="auto"/>
      </w:pPr>
    </w:p>
    <w:p w14:paraId="784B5B5E">
      <w:pPr>
        <w:spacing w:before="90" w:line="184" w:lineRule="auto"/>
        <w:ind w:left="1"/>
        <w:rPr>
          <w:rFonts w:ascii="微软雅黑" w:hAnsi="微软雅黑" w:eastAsia="微软雅黑" w:cs="微软雅黑"/>
          <w:sz w:val="21"/>
          <w:szCs w:val="21"/>
        </w:rPr>
      </w:pPr>
      <w:r>
        <w:rPr>
          <w:rFonts w:ascii="微软雅黑" w:hAnsi="微软雅黑" w:eastAsia="微软雅黑" w:cs="微软雅黑"/>
          <w:b/>
          <w:bCs/>
          <w:spacing w:val="-1"/>
          <w:sz w:val="21"/>
          <w:szCs w:val="21"/>
        </w:rPr>
        <w:t>注：1、须附从业人员、营业收入、资产总额填报上一年度数据，无上一年度数据的新成立企业可不填报。</w:t>
      </w:r>
    </w:p>
    <w:p w14:paraId="0F23B4D8">
      <w:pPr>
        <w:spacing w:before="42" w:line="226" w:lineRule="auto"/>
        <w:ind w:left="5" w:right="177" w:firstLine="319"/>
        <w:rPr>
          <w:rFonts w:ascii="微软雅黑" w:hAnsi="微软雅黑" w:eastAsia="微软雅黑" w:cs="微软雅黑"/>
          <w:sz w:val="21"/>
          <w:szCs w:val="21"/>
        </w:rPr>
      </w:pPr>
      <w:r>
        <w:rPr>
          <w:rFonts w:ascii="微软雅黑" w:hAnsi="微软雅黑" w:eastAsia="微软雅黑" w:cs="微软雅黑"/>
          <w:b/>
          <w:bCs/>
          <w:spacing w:val="1"/>
          <w:sz w:val="21"/>
          <w:szCs w:val="21"/>
        </w:rPr>
        <w:t>2、潜在投标企业属于中小微企业的，应在投标文件中提供‘’中小企业声明函“如果未提供或提供的</w:t>
      </w:r>
      <w:r>
        <w:rPr>
          <w:rFonts w:ascii="微软雅黑" w:hAnsi="微软雅黑" w:eastAsia="微软雅黑" w:cs="微软雅黑"/>
          <w:b/>
          <w:bCs/>
          <w:spacing w:val="2"/>
          <w:sz w:val="21"/>
          <w:szCs w:val="21"/>
        </w:rPr>
        <w:t xml:space="preserve"> </w:t>
      </w:r>
      <w:r>
        <w:rPr>
          <w:rFonts w:ascii="微软雅黑" w:hAnsi="微软雅黑" w:eastAsia="微软雅黑" w:cs="微软雅黑"/>
          <w:b/>
          <w:bCs/>
          <w:spacing w:val="-1"/>
          <w:sz w:val="21"/>
          <w:szCs w:val="21"/>
        </w:rPr>
        <w:t>“中小企业声明函”存在虚假情况的，承接商将不享受中小</w:t>
      </w:r>
      <w:r>
        <w:rPr>
          <w:rFonts w:ascii="微软雅黑" w:hAnsi="微软雅黑" w:eastAsia="微软雅黑" w:cs="微软雅黑"/>
          <w:b/>
          <w:bCs/>
          <w:spacing w:val="-2"/>
          <w:sz w:val="21"/>
          <w:szCs w:val="21"/>
        </w:rPr>
        <w:t>企业相关优惠政策。</w:t>
      </w:r>
    </w:p>
    <w:p w14:paraId="09274519">
      <w:pPr>
        <w:spacing w:before="85" w:line="183" w:lineRule="auto"/>
        <w:ind w:left="15"/>
        <w:rPr>
          <w:rFonts w:ascii="微软雅黑" w:hAnsi="微软雅黑" w:eastAsia="微软雅黑" w:cs="微软雅黑"/>
          <w:sz w:val="21"/>
          <w:szCs w:val="21"/>
        </w:rPr>
      </w:pPr>
      <w:r>
        <w:rPr>
          <w:rFonts w:ascii="微软雅黑" w:hAnsi="微软雅黑" w:eastAsia="微软雅黑" w:cs="微软雅黑"/>
          <w:b/>
          <w:bCs/>
          <w:spacing w:val="-2"/>
          <w:sz w:val="21"/>
          <w:szCs w:val="21"/>
        </w:rPr>
        <w:t>3、本项目所属行业：</w:t>
      </w:r>
      <w:r>
        <w:rPr>
          <w:rFonts w:ascii="微软雅黑" w:hAnsi="微软雅黑" w:eastAsia="微软雅黑" w:cs="微软雅黑"/>
          <w:b/>
          <w:bCs/>
          <w:spacing w:val="-2"/>
          <w:sz w:val="21"/>
          <w:szCs w:val="21"/>
          <w:u w:val="single" w:color="auto"/>
        </w:rPr>
        <w:t xml:space="preserve"> 其他未列明行业      </w:t>
      </w:r>
    </w:p>
    <w:p w14:paraId="7618E17E">
      <w:pPr>
        <w:spacing w:before="84" w:line="212" w:lineRule="auto"/>
        <w:ind w:left="2" w:right="177"/>
        <w:rPr>
          <w:rFonts w:ascii="微软雅黑" w:hAnsi="微软雅黑" w:eastAsia="微软雅黑" w:cs="微软雅黑"/>
          <w:sz w:val="21"/>
          <w:szCs w:val="21"/>
        </w:rPr>
      </w:pPr>
      <w:r>
        <w:rPr>
          <w:rFonts w:ascii="微软雅黑" w:hAnsi="微软雅黑" w:eastAsia="微软雅黑" w:cs="微软雅黑"/>
          <w:b/>
          <w:bCs/>
          <w:spacing w:val="-1"/>
          <w:sz w:val="21"/>
          <w:szCs w:val="21"/>
        </w:rPr>
        <w:t>4、联合体投标的，联合体双方均需提供“中小企业声明函”如有一方未提供的将被视为实质性不响应</w:t>
      </w:r>
      <w:r>
        <w:rPr>
          <w:rFonts w:ascii="微软雅黑" w:hAnsi="微软雅黑" w:eastAsia="微软雅黑" w:cs="微软雅黑"/>
          <w:b/>
          <w:bCs/>
          <w:spacing w:val="-2"/>
          <w:sz w:val="21"/>
          <w:szCs w:val="21"/>
        </w:rPr>
        <w:t>招标</w:t>
      </w:r>
      <w:r>
        <w:rPr>
          <w:rFonts w:ascii="微软雅黑" w:hAnsi="微软雅黑" w:eastAsia="微软雅黑" w:cs="微软雅黑"/>
          <w:b/>
          <w:bCs/>
          <w:sz w:val="21"/>
          <w:szCs w:val="21"/>
        </w:rPr>
        <w:t xml:space="preserve"> </w:t>
      </w:r>
      <w:r>
        <w:rPr>
          <w:rFonts w:ascii="微软雅黑" w:hAnsi="微软雅黑" w:eastAsia="微软雅黑" w:cs="微软雅黑"/>
          <w:b/>
          <w:bCs/>
          <w:spacing w:val="-7"/>
          <w:sz w:val="21"/>
          <w:szCs w:val="21"/>
        </w:rPr>
        <w:t>文件要求。</w:t>
      </w:r>
    </w:p>
    <w:p w14:paraId="732749D6">
      <w:pPr>
        <w:spacing w:line="212" w:lineRule="auto"/>
        <w:rPr>
          <w:rFonts w:ascii="微软雅黑" w:hAnsi="微软雅黑" w:eastAsia="微软雅黑" w:cs="微软雅黑"/>
          <w:sz w:val="21"/>
          <w:szCs w:val="21"/>
        </w:rPr>
        <w:sectPr>
          <w:footerReference r:id="rId23" w:type="default"/>
          <w:pgSz w:w="11905" w:h="16839"/>
          <w:pgMar w:top="1431" w:right="902" w:bottom="1197" w:left="1081" w:header="0" w:footer="962" w:gutter="0"/>
          <w:pgNumType w:fmt="decimal"/>
          <w:cols w:space="720" w:num="1"/>
        </w:sectPr>
      </w:pPr>
    </w:p>
    <w:p w14:paraId="71177915">
      <w:pPr>
        <w:pStyle w:val="7"/>
        <w:spacing w:line="276" w:lineRule="auto"/>
      </w:pPr>
    </w:p>
    <w:p w14:paraId="5C0ABFBA">
      <w:pPr>
        <w:pStyle w:val="7"/>
        <w:spacing w:line="276" w:lineRule="auto"/>
      </w:pPr>
    </w:p>
    <w:p w14:paraId="00343EDB">
      <w:pPr>
        <w:pStyle w:val="7"/>
        <w:spacing w:line="276" w:lineRule="auto"/>
      </w:pPr>
    </w:p>
    <w:p w14:paraId="0FE1B504">
      <w:pPr>
        <w:spacing w:before="103" w:line="184" w:lineRule="auto"/>
        <w:ind w:left="3836"/>
        <w:rPr>
          <w:rFonts w:ascii="微软雅黑" w:hAnsi="微软雅黑" w:eastAsia="微软雅黑" w:cs="微软雅黑"/>
          <w:sz w:val="24"/>
          <w:szCs w:val="24"/>
        </w:rPr>
      </w:pPr>
      <w:r>
        <w:rPr>
          <w:rFonts w:ascii="微软雅黑" w:hAnsi="微软雅黑" w:eastAsia="微软雅黑" w:cs="微软雅黑"/>
          <w:b/>
          <w:bCs/>
          <w:spacing w:val="-2"/>
          <w:sz w:val="24"/>
          <w:szCs w:val="24"/>
        </w:rPr>
        <w:t>中小微企业划分标准</w:t>
      </w:r>
    </w:p>
    <w:p w14:paraId="02CAB567">
      <w:pPr>
        <w:spacing w:before="121" w:line="184" w:lineRule="auto"/>
        <w:ind w:left="515"/>
        <w:rPr>
          <w:rFonts w:ascii="微软雅黑" w:hAnsi="微软雅黑" w:eastAsia="微软雅黑" w:cs="微软雅黑"/>
          <w:sz w:val="24"/>
          <w:szCs w:val="24"/>
        </w:rPr>
      </w:pPr>
      <w:r>
        <w:rPr>
          <w:rFonts w:ascii="微软雅黑" w:hAnsi="微软雅黑" w:eastAsia="微软雅黑" w:cs="微软雅黑"/>
          <w:sz w:val="24"/>
          <w:szCs w:val="24"/>
        </w:rPr>
        <w:t>工业和信息化部、国家统计局、发展改革委、财政部等四部门《关于印发</w:t>
      </w:r>
      <w:r>
        <w:rPr>
          <w:rFonts w:ascii="微软雅黑" w:hAnsi="微软雅黑" w:eastAsia="微软雅黑" w:cs="微软雅黑"/>
          <w:spacing w:val="-1"/>
          <w:sz w:val="24"/>
          <w:szCs w:val="24"/>
        </w:rPr>
        <w:t>中 小企业划型</w:t>
      </w:r>
    </w:p>
    <w:p w14:paraId="22864A5A">
      <w:pPr>
        <w:spacing w:before="105" w:line="168" w:lineRule="auto"/>
        <w:ind w:left="31"/>
        <w:rPr>
          <w:rFonts w:ascii="微软雅黑" w:hAnsi="微软雅黑" w:eastAsia="微软雅黑" w:cs="微软雅黑"/>
          <w:sz w:val="24"/>
          <w:szCs w:val="24"/>
        </w:rPr>
      </w:pPr>
      <w:r>
        <w:rPr>
          <w:rFonts w:ascii="微软雅黑" w:hAnsi="微软雅黑" w:eastAsia="微软雅黑" w:cs="微软雅黑"/>
          <w:spacing w:val="-1"/>
          <w:sz w:val="24"/>
          <w:szCs w:val="24"/>
        </w:rPr>
        <w:t>标准规定的通知》（工信部联企业〔2011〕300 号）</w:t>
      </w:r>
      <w:r>
        <w:rPr>
          <w:rFonts w:ascii="微软雅黑" w:hAnsi="微软雅黑" w:eastAsia="微软雅黑" w:cs="微软雅黑"/>
          <w:spacing w:val="-2"/>
          <w:sz w:val="24"/>
          <w:szCs w:val="24"/>
        </w:rPr>
        <w:t>规定中小企业划型标准如表所示：</w:t>
      </w:r>
    </w:p>
    <w:tbl>
      <w:tblPr>
        <w:tblStyle w:val="20"/>
        <w:tblW w:w="97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4"/>
        <w:gridCol w:w="848"/>
        <w:gridCol w:w="6551"/>
      </w:tblGrid>
      <w:tr w14:paraId="2DA24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394" w:type="dxa"/>
            <w:vMerge w:val="restart"/>
            <w:tcBorders>
              <w:bottom w:val="nil"/>
            </w:tcBorders>
            <w:vAlign w:val="top"/>
          </w:tcPr>
          <w:p w14:paraId="3774EDE7">
            <w:pPr>
              <w:spacing w:line="335" w:lineRule="auto"/>
              <w:rPr>
                <w:rFonts w:ascii="Arial"/>
                <w:sz w:val="21"/>
              </w:rPr>
            </w:pPr>
          </w:p>
          <w:p w14:paraId="6D621C04">
            <w:pPr>
              <w:spacing w:line="335" w:lineRule="auto"/>
              <w:rPr>
                <w:rFonts w:ascii="Arial"/>
                <w:sz w:val="21"/>
              </w:rPr>
            </w:pPr>
          </w:p>
          <w:p w14:paraId="485B9381">
            <w:pPr>
              <w:pStyle w:val="21"/>
              <w:spacing w:before="90" w:line="183" w:lineRule="auto"/>
              <w:ind w:left="351"/>
            </w:pPr>
            <w:r>
              <w:rPr>
                <w:spacing w:val="-1"/>
              </w:rPr>
              <w:t>农、林、牧、渔业</w:t>
            </w:r>
          </w:p>
        </w:tc>
        <w:tc>
          <w:tcPr>
            <w:tcW w:w="7399" w:type="dxa"/>
            <w:gridSpan w:val="2"/>
            <w:vAlign w:val="top"/>
          </w:tcPr>
          <w:p w14:paraId="58CE8591">
            <w:pPr>
              <w:pStyle w:val="21"/>
              <w:spacing w:before="76" w:line="225" w:lineRule="auto"/>
              <w:ind w:left="1552"/>
            </w:pPr>
            <w:r>
              <w:rPr>
                <w:spacing w:val="-3"/>
              </w:rPr>
              <w:t>营业收入 20000 万元以下的为中小微型企业。</w:t>
            </w:r>
          </w:p>
        </w:tc>
      </w:tr>
      <w:tr w14:paraId="2940F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394" w:type="dxa"/>
            <w:vMerge w:val="continue"/>
            <w:tcBorders>
              <w:top w:val="nil"/>
              <w:bottom w:val="nil"/>
            </w:tcBorders>
            <w:vAlign w:val="top"/>
          </w:tcPr>
          <w:p w14:paraId="7BFBF4F6">
            <w:pPr>
              <w:rPr>
                <w:rFonts w:ascii="Arial"/>
                <w:sz w:val="21"/>
              </w:rPr>
            </w:pPr>
          </w:p>
        </w:tc>
        <w:tc>
          <w:tcPr>
            <w:tcW w:w="848" w:type="dxa"/>
            <w:vAlign w:val="top"/>
          </w:tcPr>
          <w:p w14:paraId="5A7310B1">
            <w:pPr>
              <w:pStyle w:val="21"/>
              <w:spacing w:before="111" w:line="182" w:lineRule="auto"/>
              <w:ind w:left="223"/>
            </w:pPr>
            <w:r>
              <w:rPr>
                <w:spacing w:val="-5"/>
              </w:rPr>
              <w:t>中型</w:t>
            </w:r>
          </w:p>
        </w:tc>
        <w:tc>
          <w:tcPr>
            <w:tcW w:w="6551" w:type="dxa"/>
            <w:vAlign w:val="top"/>
          </w:tcPr>
          <w:p w14:paraId="78F1D156">
            <w:pPr>
              <w:pStyle w:val="21"/>
              <w:spacing w:before="70" w:line="226" w:lineRule="auto"/>
              <w:ind w:left="118"/>
            </w:pPr>
            <w:r>
              <w:rPr>
                <w:spacing w:val="-3"/>
              </w:rPr>
              <w:t>500 万元-20000 万元</w:t>
            </w:r>
          </w:p>
        </w:tc>
      </w:tr>
      <w:tr w14:paraId="30DB3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394" w:type="dxa"/>
            <w:vMerge w:val="continue"/>
            <w:tcBorders>
              <w:top w:val="nil"/>
              <w:bottom w:val="nil"/>
            </w:tcBorders>
            <w:vAlign w:val="top"/>
          </w:tcPr>
          <w:p w14:paraId="0E9C62A1">
            <w:pPr>
              <w:rPr>
                <w:rFonts w:ascii="Arial"/>
                <w:sz w:val="21"/>
              </w:rPr>
            </w:pPr>
          </w:p>
        </w:tc>
        <w:tc>
          <w:tcPr>
            <w:tcW w:w="848" w:type="dxa"/>
            <w:vAlign w:val="top"/>
          </w:tcPr>
          <w:p w14:paraId="4236EE61">
            <w:pPr>
              <w:pStyle w:val="21"/>
              <w:spacing w:before="113" w:line="181" w:lineRule="auto"/>
              <w:ind w:left="210"/>
            </w:pPr>
            <w:r>
              <w:rPr>
                <w:spacing w:val="-1"/>
              </w:rPr>
              <w:t>小型</w:t>
            </w:r>
          </w:p>
        </w:tc>
        <w:tc>
          <w:tcPr>
            <w:tcW w:w="6551" w:type="dxa"/>
            <w:vAlign w:val="top"/>
          </w:tcPr>
          <w:p w14:paraId="20C6746D">
            <w:pPr>
              <w:pStyle w:val="21"/>
              <w:spacing w:before="70" w:line="226" w:lineRule="auto"/>
              <w:ind w:left="118"/>
            </w:pPr>
            <w:r>
              <w:rPr>
                <w:spacing w:val="-3"/>
              </w:rPr>
              <w:t>50 万元-500 万元</w:t>
            </w:r>
          </w:p>
        </w:tc>
      </w:tr>
      <w:tr w14:paraId="58053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394" w:type="dxa"/>
            <w:vMerge w:val="continue"/>
            <w:tcBorders>
              <w:top w:val="nil"/>
            </w:tcBorders>
            <w:vAlign w:val="top"/>
          </w:tcPr>
          <w:p w14:paraId="71A238B8">
            <w:pPr>
              <w:rPr>
                <w:rFonts w:ascii="Arial"/>
                <w:sz w:val="21"/>
              </w:rPr>
            </w:pPr>
          </w:p>
        </w:tc>
        <w:tc>
          <w:tcPr>
            <w:tcW w:w="848" w:type="dxa"/>
            <w:vAlign w:val="top"/>
          </w:tcPr>
          <w:p w14:paraId="0C997669">
            <w:pPr>
              <w:pStyle w:val="21"/>
              <w:spacing w:before="116" w:line="182" w:lineRule="auto"/>
              <w:ind w:left="209"/>
            </w:pPr>
            <w:r>
              <w:rPr>
                <w:spacing w:val="-1"/>
              </w:rPr>
              <w:t>微型</w:t>
            </w:r>
          </w:p>
        </w:tc>
        <w:tc>
          <w:tcPr>
            <w:tcW w:w="6551" w:type="dxa"/>
            <w:vAlign w:val="top"/>
          </w:tcPr>
          <w:p w14:paraId="66230FEC">
            <w:pPr>
              <w:pStyle w:val="21"/>
              <w:spacing w:before="75" w:line="226" w:lineRule="auto"/>
              <w:ind w:left="118"/>
            </w:pPr>
            <w:r>
              <w:rPr>
                <w:spacing w:val="-4"/>
              </w:rPr>
              <w:t>50 万元以下</w:t>
            </w:r>
          </w:p>
        </w:tc>
      </w:tr>
      <w:tr w14:paraId="0B124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394" w:type="dxa"/>
            <w:vMerge w:val="restart"/>
            <w:tcBorders>
              <w:bottom w:val="nil"/>
            </w:tcBorders>
            <w:vAlign w:val="top"/>
          </w:tcPr>
          <w:p w14:paraId="3FFE0F7B">
            <w:pPr>
              <w:pStyle w:val="21"/>
              <w:spacing w:before="114" w:line="180" w:lineRule="auto"/>
              <w:ind w:left="986"/>
            </w:pPr>
            <w:r>
              <w:rPr>
                <w:spacing w:val="-2"/>
              </w:rPr>
              <w:t>工业</w:t>
            </w:r>
          </w:p>
          <w:p w14:paraId="50609A10">
            <w:pPr>
              <w:pStyle w:val="21"/>
              <w:spacing w:before="145" w:line="183" w:lineRule="auto"/>
              <w:ind w:right="10"/>
              <w:jc w:val="right"/>
            </w:pPr>
            <w:r>
              <w:rPr>
                <w:spacing w:val="-12"/>
              </w:rPr>
              <w:t>（包括采矿业，制造 业，</w:t>
            </w:r>
          </w:p>
          <w:p w14:paraId="0063505A">
            <w:pPr>
              <w:pStyle w:val="21"/>
              <w:spacing w:before="145" w:line="183" w:lineRule="auto"/>
              <w:ind w:left="116"/>
            </w:pPr>
            <w:r>
              <w:rPr>
                <w:spacing w:val="-2"/>
              </w:rPr>
              <w:t>电力、热力、燃 气及水</w:t>
            </w:r>
          </w:p>
          <w:p w14:paraId="7C834296">
            <w:pPr>
              <w:pStyle w:val="21"/>
              <w:spacing w:before="145" w:line="183" w:lineRule="auto"/>
              <w:ind w:left="668"/>
            </w:pPr>
            <w:r>
              <w:rPr>
                <w:spacing w:val="-1"/>
              </w:rPr>
              <w:t>生产和供应</w:t>
            </w:r>
          </w:p>
          <w:p w14:paraId="00EDE0C7">
            <w:pPr>
              <w:pStyle w:val="21"/>
              <w:spacing w:before="149" w:line="180" w:lineRule="auto"/>
              <w:ind w:left="984"/>
            </w:pPr>
            <w:r>
              <w:rPr>
                <w:spacing w:val="-10"/>
              </w:rPr>
              <w:t>业）</w:t>
            </w:r>
          </w:p>
        </w:tc>
        <w:tc>
          <w:tcPr>
            <w:tcW w:w="7399" w:type="dxa"/>
            <w:gridSpan w:val="2"/>
            <w:vAlign w:val="top"/>
          </w:tcPr>
          <w:p w14:paraId="0F8830F6">
            <w:pPr>
              <w:pStyle w:val="21"/>
              <w:spacing w:before="81" w:line="225" w:lineRule="auto"/>
              <w:ind w:left="384"/>
            </w:pPr>
            <w:r>
              <w:rPr>
                <w:spacing w:val="-2"/>
              </w:rPr>
              <w:t>从业人员 1000 人以下或营业收入 40000</w:t>
            </w:r>
            <w:r>
              <w:rPr>
                <w:spacing w:val="48"/>
              </w:rPr>
              <w:t xml:space="preserve"> </w:t>
            </w:r>
            <w:r>
              <w:rPr>
                <w:spacing w:val="-2"/>
              </w:rPr>
              <w:t>万元以下的为中小微型企业。</w:t>
            </w:r>
          </w:p>
        </w:tc>
      </w:tr>
      <w:tr w14:paraId="46C93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394" w:type="dxa"/>
            <w:vMerge w:val="continue"/>
            <w:tcBorders>
              <w:top w:val="nil"/>
              <w:bottom w:val="nil"/>
            </w:tcBorders>
            <w:vAlign w:val="top"/>
          </w:tcPr>
          <w:p w14:paraId="3A87FB58">
            <w:pPr>
              <w:rPr>
                <w:rFonts w:ascii="Arial"/>
                <w:sz w:val="21"/>
              </w:rPr>
            </w:pPr>
          </w:p>
        </w:tc>
        <w:tc>
          <w:tcPr>
            <w:tcW w:w="848" w:type="dxa"/>
            <w:vAlign w:val="top"/>
          </w:tcPr>
          <w:p w14:paraId="6BE0B27D">
            <w:pPr>
              <w:pStyle w:val="21"/>
              <w:spacing w:before="116" w:line="182" w:lineRule="auto"/>
              <w:ind w:left="223"/>
            </w:pPr>
            <w:r>
              <w:rPr>
                <w:spacing w:val="-5"/>
              </w:rPr>
              <w:t>中型</w:t>
            </w:r>
          </w:p>
        </w:tc>
        <w:tc>
          <w:tcPr>
            <w:tcW w:w="6551" w:type="dxa"/>
            <w:vAlign w:val="top"/>
          </w:tcPr>
          <w:p w14:paraId="33CF959E">
            <w:pPr>
              <w:pStyle w:val="21"/>
              <w:spacing w:before="75" w:line="225" w:lineRule="auto"/>
              <w:ind w:left="102"/>
            </w:pPr>
            <w:r>
              <w:rPr>
                <w:spacing w:val="-1"/>
              </w:rPr>
              <w:t>从业人员 300</w:t>
            </w:r>
            <w:r>
              <w:rPr>
                <w:spacing w:val="36"/>
                <w:w w:val="101"/>
              </w:rPr>
              <w:t xml:space="preserve"> </w:t>
            </w:r>
            <w:r>
              <w:rPr>
                <w:spacing w:val="-1"/>
              </w:rPr>
              <w:t>人一 1000 人，且营业收入 2000</w:t>
            </w:r>
            <w:r>
              <w:rPr>
                <w:spacing w:val="37"/>
              </w:rPr>
              <w:t xml:space="preserve"> </w:t>
            </w:r>
            <w:r>
              <w:rPr>
                <w:spacing w:val="-1"/>
              </w:rPr>
              <w:t>万元一 4</w:t>
            </w:r>
            <w:r>
              <w:rPr>
                <w:spacing w:val="-2"/>
              </w:rPr>
              <w:t>0000 万元</w:t>
            </w:r>
          </w:p>
        </w:tc>
      </w:tr>
      <w:tr w14:paraId="65211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394" w:type="dxa"/>
            <w:vMerge w:val="continue"/>
            <w:tcBorders>
              <w:top w:val="nil"/>
              <w:bottom w:val="nil"/>
            </w:tcBorders>
            <w:vAlign w:val="top"/>
          </w:tcPr>
          <w:p w14:paraId="31039FFA">
            <w:pPr>
              <w:rPr>
                <w:rFonts w:ascii="Arial"/>
                <w:sz w:val="21"/>
              </w:rPr>
            </w:pPr>
          </w:p>
        </w:tc>
        <w:tc>
          <w:tcPr>
            <w:tcW w:w="848" w:type="dxa"/>
            <w:vAlign w:val="top"/>
          </w:tcPr>
          <w:p w14:paraId="6E74C001">
            <w:pPr>
              <w:pStyle w:val="21"/>
              <w:spacing w:before="134" w:line="181" w:lineRule="auto"/>
              <w:ind w:left="210"/>
            </w:pPr>
            <w:r>
              <w:rPr>
                <w:spacing w:val="-1"/>
              </w:rPr>
              <w:t>小型</w:t>
            </w:r>
          </w:p>
        </w:tc>
        <w:tc>
          <w:tcPr>
            <w:tcW w:w="6551" w:type="dxa"/>
            <w:vAlign w:val="top"/>
          </w:tcPr>
          <w:p w14:paraId="7B4DC741">
            <w:pPr>
              <w:pStyle w:val="21"/>
              <w:spacing w:before="92" w:line="225" w:lineRule="auto"/>
              <w:ind w:left="102"/>
            </w:pPr>
            <w:r>
              <w:rPr>
                <w:spacing w:val="-2"/>
              </w:rPr>
              <w:t>从业人员 20 人一 300 人，且营业收入 300</w:t>
            </w:r>
            <w:r>
              <w:rPr>
                <w:spacing w:val="48"/>
              </w:rPr>
              <w:t xml:space="preserve"> </w:t>
            </w:r>
            <w:r>
              <w:rPr>
                <w:spacing w:val="-2"/>
              </w:rPr>
              <w:t>万元一 2000 万元</w:t>
            </w:r>
          </w:p>
        </w:tc>
      </w:tr>
      <w:tr w14:paraId="33A98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2394" w:type="dxa"/>
            <w:vMerge w:val="continue"/>
            <w:tcBorders>
              <w:top w:val="nil"/>
            </w:tcBorders>
            <w:vAlign w:val="top"/>
          </w:tcPr>
          <w:p w14:paraId="3921E0A6">
            <w:pPr>
              <w:rPr>
                <w:rFonts w:ascii="Arial"/>
                <w:sz w:val="21"/>
              </w:rPr>
            </w:pPr>
          </w:p>
        </w:tc>
        <w:tc>
          <w:tcPr>
            <w:tcW w:w="848" w:type="dxa"/>
            <w:vAlign w:val="top"/>
          </w:tcPr>
          <w:p w14:paraId="33D55BAA">
            <w:pPr>
              <w:pStyle w:val="21"/>
              <w:spacing w:before="271" w:line="182" w:lineRule="auto"/>
              <w:ind w:left="209"/>
            </w:pPr>
            <w:r>
              <w:rPr>
                <w:spacing w:val="-1"/>
              </w:rPr>
              <w:t>微型</w:t>
            </w:r>
          </w:p>
        </w:tc>
        <w:tc>
          <w:tcPr>
            <w:tcW w:w="6551" w:type="dxa"/>
            <w:vAlign w:val="top"/>
          </w:tcPr>
          <w:p w14:paraId="37463083">
            <w:pPr>
              <w:pStyle w:val="21"/>
              <w:spacing w:before="230" w:line="225" w:lineRule="auto"/>
              <w:ind w:left="102"/>
            </w:pPr>
            <w:r>
              <w:rPr>
                <w:spacing w:val="-1"/>
              </w:rPr>
              <w:t>从业人员 20 人以下或营业收入 300</w:t>
            </w:r>
            <w:r>
              <w:rPr>
                <w:spacing w:val="37"/>
                <w:w w:val="101"/>
              </w:rPr>
              <w:t xml:space="preserve"> </w:t>
            </w:r>
            <w:r>
              <w:rPr>
                <w:spacing w:val="-1"/>
              </w:rPr>
              <w:t>万元</w:t>
            </w:r>
            <w:r>
              <w:rPr>
                <w:spacing w:val="-2"/>
              </w:rPr>
              <w:t>以下</w:t>
            </w:r>
          </w:p>
        </w:tc>
      </w:tr>
      <w:tr w14:paraId="0F89B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56F8C3CE">
            <w:pPr>
              <w:spacing w:line="277" w:lineRule="auto"/>
              <w:rPr>
                <w:rFonts w:ascii="Arial"/>
                <w:sz w:val="21"/>
              </w:rPr>
            </w:pPr>
          </w:p>
          <w:p w14:paraId="77A724CB">
            <w:pPr>
              <w:spacing w:line="277" w:lineRule="auto"/>
              <w:rPr>
                <w:rFonts w:ascii="Arial"/>
                <w:sz w:val="21"/>
              </w:rPr>
            </w:pPr>
          </w:p>
          <w:p w14:paraId="4A029668">
            <w:pPr>
              <w:spacing w:line="278" w:lineRule="auto"/>
              <w:rPr>
                <w:rFonts w:ascii="Arial"/>
                <w:sz w:val="21"/>
              </w:rPr>
            </w:pPr>
          </w:p>
          <w:p w14:paraId="60D9C83B">
            <w:pPr>
              <w:spacing w:line="278" w:lineRule="auto"/>
              <w:rPr>
                <w:rFonts w:ascii="Arial"/>
                <w:sz w:val="21"/>
              </w:rPr>
            </w:pPr>
          </w:p>
          <w:p w14:paraId="3B970FFA">
            <w:pPr>
              <w:pStyle w:val="21"/>
              <w:spacing w:before="90" w:line="182" w:lineRule="auto"/>
              <w:ind w:left="878"/>
            </w:pPr>
            <w:r>
              <w:rPr>
                <w:spacing w:val="-1"/>
              </w:rPr>
              <w:t>建筑业</w:t>
            </w:r>
          </w:p>
        </w:tc>
        <w:tc>
          <w:tcPr>
            <w:tcW w:w="7399" w:type="dxa"/>
            <w:gridSpan w:val="2"/>
            <w:vAlign w:val="top"/>
          </w:tcPr>
          <w:p w14:paraId="4DB0F4CC">
            <w:pPr>
              <w:pStyle w:val="21"/>
              <w:spacing w:before="151" w:line="225" w:lineRule="auto"/>
              <w:ind w:left="220"/>
            </w:pPr>
            <w:r>
              <w:rPr>
                <w:spacing w:val="-2"/>
              </w:rPr>
              <w:t>营业收入 80000 万元以下或资产总额 80000</w:t>
            </w:r>
            <w:r>
              <w:rPr>
                <w:spacing w:val="49"/>
              </w:rPr>
              <w:t xml:space="preserve"> </w:t>
            </w:r>
            <w:r>
              <w:rPr>
                <w:spacing w:val="-2"/>
              </w:rPr>
              <w:t>万元以下的为中小微型企业。</w:t>
            </w:r>
          </w:p>
        </w:tc>
      </w:tr>
      <w:tr w14:paraId="2BB8D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394" w:type="dxa"/>
            <w:vMerge w:val="continue"/>
            <w:tcBorders>
              <w:top w:val="nil"/>
              <w:bottom w:val="nil"/>
            </w:tcBorders>
            <w:vAlign w:val="top"/>
          </w:tcPr>
          <w:p w14:paraId="49C9087A">
            <w:pPr>
              <w:rPr>
                <w:rFonts w:ascii="Arial"/>
                <w:sz w:val="21"/>
              </w:rPr>
            </w:pPr>
          </w:p>
        </w:tc>
        <w:tc>
          <w:tcPr>
            <w:tcW w:w="848" w:type="dxa"/>
            <w:vAlign w:val="top"/>
          </w:tcPr>
          <w:p w14:paraId="772BF4BF">
            <w:pPr>
              <w:pStyle w:val="21"/>
              <w:spacing w:before="323" w:line="182" w:lineRule="auto"/>
              <w:ind w:left="223"/>
            </w:pPr>
            <w:r>
              <w:rPr>
                <w:spacing w:val="-5"/>
              </w:rPr>
              <w:t>中型</w:t>
            </w:r>
          </w:p>
        </w:tc>
        <w:tc>
          <w:tcPr>
            <w:tcW w:w="6551" w:type="dxa"/>
            <w:vAlign w:val="top"/>
          </w:tcPr>
          <w:p w14:paraId="5BFCE329">
            <w:pPr>
              <w:pStyle w:val="21"/>
              <w:spacing w:before="72" w:line="252" w:lineRule="auto"/>
              <w:ind w:left="104" w:right="50" w:firstLine="1"/>
            </w:pPr>
            <w:r>
              <w:rPr>
                <w:spacing w:val="-2"/>
              </w:rPr>
              <w:t xml:space="preserve">营业收入 6000 万元一 80000 </w:t>
            </w:r>
            <w:r>
              <w:rPr>
                <w:spacing w:val="-3"/>
              </w:rPr>
              <w:t>万元，且资产总额</w:t>
            </w:r>
            <w:r>
              <w:rPr>
                <w:spacing w:val="17"/>
                <w:w w:val="101"/>
              </w:rPr>
              <w:t xml:space="preserve"> </w:t>
            </w:r>
            <w:r>
              <w:rPr>
                <w:spacing w:val="-3"/>
              </w:rPr>
              <w:t>5000</w:t>
            </w:r>
            <w:r>
              <w:rPr>
                <w:spacing w:val="37"/>
              </w:rPr>
              <w:t xml:space="preserve"> </w:t>
            </w:r>
            <w:r>
              <w:rPr>
                <w:spacing w:val="-3"/>
              </w:rPr>
              <w:t>万元一 80000</w:t>
            </w:r>
            <w:r>
              <w:t xml:space="preserve"> </w:t>
            </w:r>
            <w:r>
              <w:rPr>
                <w:spacing w:val="-1"/>
              </w:rPr>
              <w:t>万元</w:t>
            </w:r>
          </w:p>
        </w:tc>
      </w:tr>
      <w:tr w14:paraId="7B972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78CAD403">
            <w:pPr>
              <w:rPr>
                <w:rFonts w:ascii="Arial"/>
                <w:sz w:val="21"/>
              </w:rPr>
            </w:pPr>
          </w:p>
        </w:tc>
        <w:tc>
          <w:tcPr>
            <w:tcW w:w="848" w:type="dxa"/>
            <w:vAlign w:val="top"/>
          </w:tcPr>
          <w:p w14:paraId="0C23383C">
            <w:pPr>
              <w:pStyle w:val="21"/>
              <w:spacing w:before="196" w:line="181" w:lineRule="auto"/>
              <w:ind w:left="210"/>
            </w:pPr>
            <w:r>
              <w:rPr>
                <w:spacing w:val="-1"/>
              </w:rPr>
              <w:t>小型</w:t>
            </w:r>
          </w:p>
        </w:tc>
        <w:tc>
          <w:tcPr>
            <w:tcW w:w="6551" w:type="dxa"/>
            <w:vAlign w:val="top"/>
          </w:tcPr>
          <w:p w14:paraId="37558F94">
            <w:pPr>
              <w:pStyle w:val="21"/>
              <w:spacing w:before="153" w:line="225" w:lineRule="auto"/>
              <w:ind w:left="105"/>
            </w:pPr>
            <w:r>
              <w:rPr>
                <w:spacing w:val="-2"/>
              </w:rPr>
              <w:t>营业收入</w:t>
            </w:r>
            <w:r>
              <w:rPr>
                <w:spacing w:val="15"/>
              </w:rPr>
              <w:t xml:space="preserve"> </w:t>
            </w:r>
            <w:r>
              <w:rPr>
                <w:spacing w:val="-2"/>
              </w:rPr>
              <w:t>300</w:t>
            </w:r>
            <w:r>
              <w:rPr>
                <w:spacing w:val="37"/>
              </w:rPr>
              <w:t xml:space="preserve"> </w:t>
            </w:r>
            <w:r>
              <w:rPr>
                <w:spacing w:val="-2"/>
              </w:rPr>
              <w:t>万元一 6000 万元，且资产总额</w:t>
            </w:r>
            <w:r>
              <w:rPr>
                <w:spacing w:val="14"/>
              </w:rPr>
              <w:t xml:space="preserve"> </w:t>
            </w:r>
            <w:r>
              <w:rPr>
                <w:spacing w:val="-2"/>
              </w:rPr>
              <w:t>300</w:t>
            </w:r>
            <w:r>
              <w:rPr>
                <w:spacing w:val="37"/>
                <w:w w:val="101"/>
              </w:rPr>
              <w:t xml:space="preserve"> </w:t>
            </w:r>
            <w:r>
              <w:rPr>
                <w:spacing w:val="-2"/>
              </w:rPr>
              <w:t>万一 5</w:t>
            </w:r>
            <w:r>
              <w:rPr>
                <w:spacing w:val="-3"/>
              </w:rPr>
              <w:t>000 万元</w:t>
            </w:r>
          </w:p>
        </w:tc>
      </w:tr>
      <w:tr w14:paraId="39E0F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6C771A02">
            <w:pPr>
              <w:rPr>
                <w:rFonts w:ascii="Arial"/>
                <w:sz w:val="21"/>
              </w:rPr>
            </w:pPr>
          </w:p>
        </w:tc>
        <w:tc>
          <w:tcPr>
            <w:tcW w:w="848" w:type="dxa"/>
            <w:vAlign w:val="top"/>
          </w:tcPr>
          <w:p w14:paraId="3599912B">
            <w:pPr>
              <w:pStyle w:val="21"/>
              <w:spacing w:before="195" w:line="182" w:lineRule="auto"/>
              <w:ind w:left="209"/>
            </w:pPr>
            <w:r>
              <w:rPr>
                <w:spacing w:val="-1"/>
              </w:rPr>
              <w:t>微型</w:t>
            </w:r>
          </w:p>
        </w:tc>
        <w:tc>
          <w:tcPr>
            <w:tcW w:w="6551" w:type="dxa"/>
            <w:vAlign w:val="top"/>
          </w:tcPr>
          <w:p w14:paraId="7A8207CF">
            <w:pPr>
              <w:pStyle w:val="21"/>
              <w:spacing w:before="154" w:line="225" w:lineRule="auto"/>
              <w:ind w:left="105"/>
            </w:pPr>
            <w:r>
              <w:rPr>
                <w:spacing w:val="-1"/>
              </w:rPr>
              <w:t>营业收入 300 万元以下或资产总额 300</w:t>
            </w:r>
            <w:r>
              <w:rPr>
                <w:spacing w:val="37"/>
                <w:w w:val="101"/>
              </w:rPr>
              <w:t xml:space="preserve"> </w:t>
            </w:r>
            <w:r>
              <w:rPr>
                <w:spacing w:val="-1"/>
              </w:rPr>
              <w:t>万</w:t>
            </w:r>
            <w:r>
              <w:rPr>
                <w:spacing w:val="-2"/>
              </w:rPr>
              <w:t>元以下</w:t>
            </w:r>
          </w:p>
        </w:tc>
      </w:tr>
      <w:tr w14:paraId="6BD03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545146F8">
            <w:pPr>
              <w:spacing w:line="246" w:lineRule="auto"/>
              <w:rPr>
                <w:rFonts w:ascii="Arial"/>
                <w:sz w:val="21"/>
              </w:rPr>
            </w:pPr>
          </w:p>
          <w:p w14:paraId="1A837259">
            <w:pPr>
              <w:spacing w:line="246" w:lineRule="auto"/>
              <w:rPr>
                <w:rFonts w:ascii="Arial"/>
                <w:sz w:val="21"/>
              </w:rPr>
            </w:pPr>
          </w:p>
          <w:p w14:paraId="053CA6E3">
            <w:pPr>
              <w:spacing w:line="246" w:lineRule="auto"/>
              <w:rPr>
                <w:rFonts w:ascii="Arial"/>
                <w:sz w:val="21"/>
              </w:rPr>
            </w:pPr>
          </w:p>
          <w:p w14:paraId="200B28B5">
            <w:pPr>
              <w:spacing w:line="247" w:lineRule="auto"/>
              <w:rPr>
                <w:rFonts w:ascii="Arial"/>
                <w:sz w:val="21"/>
              </w:rPr>
            </w:pPr>
          </w:p>
          <w:p w14:paraId="137E13EC">
            <w:pPr>
              <w:pStyle w:val="21"/>
              <w:spacing w:before="90" w:line="182" w:lineRule="auto"/>
              <w:ind w:left="878"/>
            </w:pPr>
            <w:r>
              <w:rPr>
                <w:spacing w:val="-1"/>
              </w:rPr>
              <w:t>批发业</w:t>
            </w:r>
          </w:p>
        </w:tc>
        <w:tc>
          <w:tcPr>
            <w:tcW w:w="7399" w:type="dxa"/>
            <w:gridSpan w:val="2"/>
            <w:vAlign w:val="top"/>
          </w:tcPr>
          <w:p w14:paraId="682A55A2">
            <w:pPr>
              <w:pStyle w:val="21"/>
              <w:spacing w:before="156" w:line="225" w:lineRule="auto"/>
              <w:ind w:left="472"/>
            </w:pPr>
            <w:r>
              <w:rPr>
                <w:spacing w:val="-2"/>
              </w:rPr>
              <w:t>从业人员 200 人以下或营业收入 40000 万元以下的为中小</w:t>
            </w:r>
            <w:r>
              <w:rPr>
                <w:spacing w:val="-3"/>
              </w:rPr>
              <w:t>微型企业。</w:t>
            </w:r>
          </w:p>
        </w:tc>
      </w:tr>
      <w:tr w14:paraId="6D34B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35BBF976">
            <w:pPr>
              <w:rPr>
                <w:rFonts w:ascii="Arial"/>
                <w:sz w:val="21"/>
              </w:rPr>
            </w:pPr>
          </w:p>
        </w:tc>
        <w:tc>
          <w:tcPr>
            <w:tcW w:w="848" w:type="dxa"/>
            <w:vAlign w:val="top"/>
          </w:tcPr>
          <w:p w14:paraId="3C31549C">
            <w:pPr>
              <w:pStyle w:val="21"/>
              <w:spacing w:before="197" w:line="182" w:lineRule="auto"/>
              <w:ind w:left="223"/>
            </w:pPr>
            <w:r>
              <w:rPr>
                <w:spacing w:val="-5"/>
              </w:rPr>
              <w:t>中型</w:t>
            </w:r>
          </w:p>
        </w:tc>
        <w:tc>
          <w:tcPr>
            <w:tcW w:w="6551" w:type="dxa"/>
            <w:vAlign w:val="top"/>
          </w:tcPr>
          <w:p w14:paraId="314B2E58">
            <w:pPr>
              <w:pStyle w:val="21"/>
              <w:spacing w:before="157" w:line="225" w:lineRule="auto"/>
              <w:ind w:left="102"/>
            </w:pPr>
            <w:r>
              <w:rPr>
                <w:spacing w:val="-2"/>
              </w:rPr>
              <w:t>从业人员 20 人一 200 人，且营业收入 5000 万元一 40000 万元</w:t>
            </w:r>
          </w:p>
        </w:tc>
      </w:tr>
      <w:tr w14:paraId="0A976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2A3143B6">
            <w:pPr>
              <w:rPr>
                <w:rFonts w:ascii="Arial"/>
                <w:sz w:val="21"/>
              </w:rPr>
            </w:pPr>
          </w:p>
        </w:tc>
        <w:tc>
          <w:tcPr>
            <w:tcW w:w="848" w:type="dxa"/>
            <w:vAlign w:val="top"/>
          </w:tcPr>
          <w:p w14:paraId="71FF3BB5">
            <w:pPr>
              <w:pStyle w:val="21"/>
              <w:spacing w:before="200" w:line="181" w:lineRule="auto"/>
              <w:ind w:left="210"/>
            </w:pPr>
            <w:r>
              <w:rPr>
                <w:spacing w:val="-1"/>
              </w:rPr>
              <w:t>小型</w:t>
            </w:r>
          </w:p>
        </w:tc>
        <w:tc>
          <w:tcPr>
            <w:tcW w:w="6551" w:type="dxa"/>
            <w:vAlign w:val="top"/>
          </w:tcPr>
          <w:p w14:paraId="2369F7A5">
            <w:pPr>
              <w:pStyle w:val="21"/>
              <w:spacing w:before="158" w:line="225" w:lineRule="auto"/>
              <w:ind w:left="102"/>
            </w:pPr>
            <w:r>
              <w:rPr>
                <w:spacing w:val="-2"/>
              </w:rPr>
              <w:t>从业人员 5 人一 20 人，且营业收入 1000 万元一 50</w:t>
            </w:r>
            <w:r>
              <w:rPr>
                <w:spacing w:val="-3"/>
              </w:rPr>
              <w:t>00 万元</w:t>
            </w:r>
          </w:p>
        </w:tc>
      </w:tr>
      <w:tr w14:paraId="3D4E6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5CF74A02">
            <w:pPr>
              <w:rPr>
                <w:rFonts w:ascii="Arial"/>
                <w:sz w:val="21"/>
              </w:rPr>
            </w:pPr>
          </w:p>
        </w:tc>
        <w:tc>
          <w:tcPr>
            <w:tcW w:w="848" w:type="dxa"/>
            <w:vAlign w:val="top"/>
          </w:tcPr>
          <w:p w14:paraId="1A5247C1">
            <w:pPr>
              <w:pStyle w:val="21"/>
              <w:spacing w:before="199" w:line="182" w:lineRule="auto"/>
              <w:ind w:left="209"/>
            </w:pPr>
            <w:r>
              <w:rPr>
                <w:spacing w:val="-1"/>
              </w:rPr>
              <w:t>微型</w:t>
            </w:r>
          </w:p>
        </w:tc>
        <w:tc>
          <w:tcPr>
            <w:tcW w:w="6551" w:type="dxa"/>
            <w:vAlign w:val="top"/>
          </w:tcPr>
          <w:p w14:paraId="4531E719">
            <w:pPr>
              <w:pStyle w:val="21"/>
              <w:spacing w:before="159" w:line="225" w:lineRule="auto"/>
              <w:ind w:left="102"/>
            </w:pPr>
            <w:r>
              <w:rPr>
                <w:spacing w:val="1"/>
              </w:rPr>
              <w:t>从业人员 5 人以下或营业收入1000 万</w:t>
            </w:r>
            <w:r>
              <w:t>元以下</w:t>
            </w:r>
          </w:p>
        </w:tc>
      </w:tr>
      <w:tr w14:paraId="695A8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0396909D">
            <w:pPr>
              <w:spacing w:line="246" w:lineRule="auto"/>
              <w:rPr>
                <w:rFonts w:ascii="Arial"/>
                <w:sz w:val="21"/>
              </w:rPr>
            </w:pPr>
          </w:p>
          <w:p w14:paraId="4FDA642B">
            <w:pPr>
              <w:spacing w:line="246" w:lineRule="auto"/>
              <w:rPr>
                <w:rFonts w:ascii="Arial"/>
                <w:sz w:val="21"/>
              </w:rPr>
            </w:pPr>
          </w:p>
          <w:p w14:paraId="634EF2B8">
            <w:pPr>
              <w:spacing w:line="247" w:lineRule="auto"/>
              <w:rPr>
                <w:rFonts w:ascii="Arial"/>
                <w:sz w:val="21"/>
              </w:rPr>
            </w:pPr>
          </w:p>
          <w:p w14:paraId="2EB35333">
            <w:pPr>
              <w:spacing w:line="247" w:lineRule="auto"/>
              <w:rPr>
                <w:rFonts w:ascii="Arial"/>
                <w:sz w:val="21"/>
              </w:rPr>
            </w:pPr>
          </w:p>
          <w:p w14:paraId="1587E8A6">
            <w:pPr>
              <w:pStyle w:val="21"/>
              <w:spacing w:before="90" w:line="184" w:lineRule="auto"/>
              <w:ind w:left="877"/>
            </w:pPr>
            <w:r>
              <w:rPr>
                <w:spacing w:val="-1"/>
              </w:rPr>
              <w:t>零售业</w:t>
            </w:r>
          </w:p>
        </w:tc>
        <w:tc>
          <w:tcPr>
            <w:tcW w:w="7399" w:type="dxa"/>
            <w:gridSpan w:val="2"/>
            <w:vAlign w:val="top"/>
          </w:tcPr>
          <w:p w14:paraId="32A55297">
            <w:pPr>
              <w:pStyle w:val="21"/>
              <w:spacing w:before="160" w:line="225" w:lineRule="auto"/>
              <w:ind w:left="446"/>
            </w:pPr>
            <w:r>
              <w:rPr>
                <w:spacing w:val="-2"/>
              </w:rPr>
              <w:t>从业人员 300 人以下或营业收入 20000</w:t>
            </w:r>
            <w:r>
              <w:rPr>
                <w:spacing w:val="46"/>
              </w:rPr>
              <w:t xml:space="preserve"> </w:t>
            </w:r>
            <w:r>
              <w:rPr>
                <w:spacing w:val="-2"/>
              </w:rPr>
              <w:t>万元以下的为中小微型企业。</w:t>
            </w:r>
          </w:p>
        </w:tc>
      </w:tr>
      <w:tr w14:paraId="306FC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3F19D963">
            <w:pPr>
              <w:rPr>
                <w:rFonts w:ascii="Arial"/>
                <w:sz w:val="21"/>
              </w:rPr>
            </w:pPr>
          </w:p>
        </w:tc>
        <w:tc>
          <w:tcPr>
            <w:tcW w:w="848" w:type="dxa"/>
            <w:vAlign w:val="top"/>
          </w:tcPr>
          <w:p w14:paraId="45EA1B18">
            <w:pPr>
              <w:pStyle w:val="21"/>
              <w:spacing w:before="201" w:line="182" w:lineRule="auto"/>
              <w:ind w:left="223"/>
            </w:pPr>
            <w:r>
              <w:rPr>
                <w:spacing w:val="-5"/>
              </w:rPr>
              <w:t>中型</w:t>
            </w:r>
          </w:p>
        </w:tc>
        <w:tc>
          <w:tcPr>
            <w:tcW w:w="6551" w:type="dxa"/>
            <w:vAlign w:val="top"/>
          </w:tcPr>
          <w:p w14:paraId="65D457F7">
            <w:pPr>
              <w:pStyle w:val="21"/>
              <w:spacing w:before="161" w:line="225" w:lineRule="auto"/>
              <w:ind w:left="102"/>
            </w:pPr>
            <w:r>
              <w:rPr>
                <w:spacing w:val="-2"/>
              </w:rPr>
              <w:t>从业人员</w:t>
            </w:r>
            <w:r>
              <w:rPr>
                <w:spacing w:val="18"/>
              </w:rPr>
              <w:t xml:space="preserve"> </w:t>
            </w:r>
            <w:r>
              <w:rPr>
                <w:spacing w:val="-2"/>
              </w:rPr>
              <w:t>50</w:t>
            </w:r>
            <w:r>
              <w:rPr>
                <w:spacing w:val="37"/>
              </w:rPr>
              <w:t xml:space="preserve"> </w:t>
            </w:r>
            <w:r>
              <w:rPr>
                <w:spacing w:val="-2"/>
              </w:rPr>
              <w:t>人一 300 人，且营业收入 500 万元一 2</w:t>
            </w:r>
            <w:r>
              <w:rPr>
                <w:spacing w:val="-3"/>
              </w:rPr>
              <w:t>0000 万元</w:t>
            </w:r>
          </w:p>
        </w:tc>
      </w:tr>
      <w:tr w14:paraId="4E871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6D9C447F">
            <w:pPr>
              <w:rPr>
                <w:rFonts w:ascii="Arial"/>
                <w:sz w:val="21"/>
              </w:rPr>
            </w:pPr>
          </w:p>
        </w:tc>
        <w:tc>
          <w:tcPr>
            <w:tcW w:w="848" w:type="dxa"/>
            <w:vAlign w:val="top"/>
          </w:tcPr>
          <w:p w14:paraId="1921044A">
            <w:pPr>
              <w:pStyle w:val="21"/>
              <w:spacing w:before="203" w:line="181" w:lineRule="auto"/>
              <w:ind w:left="210"/>
            </w:pPr>
            <w:r>
              <w:rPr>
                <w:spacing w:val="-1"/>
              </w:rPr>
              <w:t>小型</w:t>
            </w:r>
          </w:p>
        </w:tc>
        <w:tc>
          <w:tcPr>
            <w:tcW w:w="6551" w:type="dxa"/>
            <w:vAlign w:val="top"/>
          </w:tcPr>
          <w:p w14:paraId="05196166">
            <w:pPr>
              <w:pStyle w:val="21"/>
              <w:spacing w:before="161" w:line="225" w:lineRule="auto"/>
              <w:ind w:left="102"/>
            </w:pPr>
            <w:r>
              <w:rPr>
                <w:spacing w:val="-2"/>
              </w:rPr>
              <w:t>从业人员 10 人一 50 人，且营业收入 100 万元一</w:t>
            </w:r>
            <w:r>
              <w:rPr>
                <w:spacing w:val="-3"/>
              </w:rPr>
              <w:t xml:space="preserve"> 500 万元</w:t>
            </w:r>
          </w:p>
        </w:tc>
      </w:tr>
      <w:tr w14:paraId="63FE8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75902770">
            <w:pPr>
              <w:rPr>
                <w:rFonts w:ascii="Arial"/>
                <w:sz w:val="21"/>
              </w:rPr>
            </w:pPr>
          </w:p>
        </w:tc>
        <w:tc>
          <w:tcPr>
            <w:tcW w:w="848" w:type="dxa"/>
            <w:vAlign w:val="top"/>
          </w:tcPr>
          <w:p w14:paraId="08F233C6">
            <w:pPr>
              <w:pStyle w:val="21"/>
              <w:spacing w:before="201" w:line="182" w:lineRule="auto"/>
              <w:ind w:left="209"/>
            </w:pPr>
            <w:r>
              <w:rPr>
                <w:spacing w:val="-1"/>
              </w:rPr>
              <w:t>微型</w:t>
            </w:r>
          </w:p>
        </w:tc>
        <w:tc>
          <w:tcPr>
            <w:tcW w:w="6551" w:type="dxa"/>
            <w:vAlign w:val="top"/>
          </w:tcPr>
          <w:p w14:paraId="0D0B64EC">
            <w:pPr>
              <w:pStyle w:val="21"/>
              <w:spacing w:before="161" w:line="225" w:lineRule="auto"/>
              <w:ind w:left="102"/>
            </w:pPr>
            <w:r>
              <w:rPr>
                <w:spacing w:val="1"/>
              </w:rPr>
              <w:t>从业人员 10 人以下或营业收入100 万</w:t>
            </w:r>
            <w:r>
              <w:t>元以下</w:t>
            </w:r>
          </w:p>
        </w:tc>
      </w:tr>
      <w:tr w14:paraId="5B2FE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394" w:type="dxa"/>
            <w:vAlign w:val="top"/>
          </w:tcPr>
          <w:p w14:paraId="2A606F94">
            <w:pPr>
              <w:pStyle w:val="21"/>
              <w:spacing w:before="200" w:line="183" w:lineRule="auto"/>
              <w:ind w:left="107"/>
            </w:pPr>
            <w:r>
              <w:rPr>
                <w:spacing w:val="-1"/>
              </w:rPr>
              <w:t>交通运输业 （不含铁路</w:t>
            </w:r>
          </w:p>
        </w:tc>
        <w:tc>
          <w:tcPr>
            <w:tcW w:w="7399" w:type="dxa"/>
            <w:gridSpan w:val="2"/>
            <w:vAlign w:val="top"/>
          </w:tcPr>
          <w:p w14:paraId="65AF3CA0">
            <w:pPr>
              <w:pStyle w:val="21"/>
              <w:spacing w:before="161" w:line="225" w:lineRule="auto"/>
              <w:ind w:left="384"/>
            </w:pPr>
            <w:r>
              <w:rPr>
                <w:spacing w:val="-2"/>
              </w:rPr>
              <w:t>从业人员 1000 人以下或营业收入 30000</w:t>
            </w:r>
            <w:r>
              <w:rPr>
                <w:spacing w:val="48"/>
              </w:rPr>
              <w:t xml:space="preserve"> </w:t>
            </w:r>
            <w:r>
              <w:rPr>
                <w:spacing w:val="-2"/>
              </w:rPr>
              <w:t>万元以下的为中小微型企业。</w:t>
            </w:r>
          </w:p>
        </w:tc>
      </w:tr>
    </w:tbl>
    <w:p w14:paraId="7E4D6D24">
      <w:pPr>
        <w:pStyle w:val="7"/>
      </w:pPr>
    </w:p>
    <w:p w14:paraId="57D942A7">
      <w:pPr>
        <w:sectPr>
          <w:footerReference r:id="rId24" w:type="default"/>
          <w:pgSz w:w="11905" w:h="16839"/>
          <w:pgMar w:top="1431" w:right="1050" w:bottom="1197" w:left="1050" w:header="0" w:footer="963" w:gutter="0"/>
          <w:pgNumType w:fmt="decimal"/>
          <w:cols w:space="720" w:num="1"/>
        </w:sectPr>
      </w:pPr>
    </w:p>
    <w:p w14:paraId="442EC244">
      <w:pPr>
        <w:spacing w:line="91" w:lineRule="auto"/>
        <w:rPr>
          <w:rFonts w:ascii="Arial"/>
          <w:sz w:val="2"/>
        </w:rPr>
      </w:pPr>
    </w:p>
    <w:tbl>
      <w:tblPr>
        <w:tblStyle w:val="20"/>
        <w:tblW w:w="97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4"/>
        <w:gridCol w:w="848"/>
        <w:gridCol w:w="6551"/>
      </w:tblGrid>
      <w:tr w14:paraId="1913C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394" w:type="dxa"/>
            <w:vMerge w:val="restart"/>
            <w:tcBorders>
              <w:bottom w:val="nil"/>
            </w:tcBorders>
            <w:vAlign w:val="top"/>
          </w:tcPr>
          <w:p w14:paraId="37313B89">
            <w:pPr>
              <w:pStyle w:val="21"/>
              <w:spacing w:before="116" w:line="182" w:lineRule="auto"/>
              <w:ind w:left="773"/>
            </w:pPr>
            <w:r>
              <w:rPr>
                <w:spacing w:val="-7"/>
              </w:rPr>
              <w:t>运输业）</w:t>
            </w:r>
          </w:p>
        </w:tc>
        <w:tc>
          <w:tcPr>
            <w:tcW w:w="848" w:type="dxa"/>
            <w:vAlign w:val="top"/>
          </w:tcPr>
          <w:p w14:paraId="7BDEB038">
            <w:pPr>
              <w:pStyle w:val="21"/>
              <w:spacing w:before="196" w:line="182" w:lineRule="auto"/>
              <w:ind w:left="223"/>
            </w:pPr>
            <w:r>
              <w:rPr>
                <w:spacing w:val="-5"/>
              </w:rPr>
              <w:t>中型</w:t>
            </w:r>
          </w:p>
        </w:tc>
        <w:tc>
          <w:tcPr>
            <w:tcW w:w="6551" w:type="dxa"/>
            <w:vAlign w:val="top"/>
          </w:tcPr>
          <w:p w14:paraId="1B80DBEC">
            <w:pPr>
              <w:pStyle w:val="21"/>
              <w:spacing w:before="156" w:line="225" w:lineRule="auto"/>
              <w:ind w:left="102"/>
            </w:pPr>
            <w:r>
              <w:rPr>
                <w:spacing w:val="-2"/>
              </w:rPr>
              <w:t>从业人员</w:t>
            </w:r>
            <w:r>
              <w:rPr>
                <w:spacing w:val="31"/>
              </w:rPr>
              <w:t xml:space="preserve"> </w:t>
            </w:r>
            <w:r>
              <w:rPr>
                <w:spacing w:val="-2"/>
              </w:rPr>
              <w:t>300</w:t>
            </w:r>
            <w:r>
              <w:rPr>
                <w:spacing w:val="36"/>
                <w:w w:val="101"/>
              </w:rPr>
              <w:t xml:space="preserve"> </w:t>
            </w:r>
            <w:r>
              <w:rPr>
                <w:spacing w:val="-2"/>
              </w:rPr>
              <w:t>人一 1000 人，且营业收入 3000</w:t>
            </w:r>
            <w:r>
              <w:rPr>
                <w:spacing w:val="37"/>
              </w:rPr>
              <w:t xml:space="preserve"> </w:t>
            </w:r>
            <w:r>
              <w:rPr>
                <w:spacing w:val="-2"/>
              </w:rPr>
              <w:t>万元一 30000 万元</w:t>
            </w:r>
          </w:p>
        </w:tc>
      </w:tr>
      <w:tr w14:paraId="2BFC3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7B50F4AF">
            <w:pPr>
              <w:rPr>
                <w:rFonts w:ascii="Arial"/>
                <w:sz w:val="21"/>
              </w:rPr>
            </w:pPr>
          </w:p>
        </w:tc>
        <w:tc>
          <w:tcPr>
            <w:tcW w:w="848" w:type="dxa"/>
            <w:vAlign w:val="top"/>
          </w:tcPr>
          <w:p w14:paraId="62E3DE3A">
            <w:pPr>
              <w:pStyle w:val="21"/>
              <w:spacing w:before="194" w:line="181" w:lineRule="auto"/>
              <w:ind w:left="210"/>
            </w:pPr>
            <w:r>
              <w:rPr>
                <w:spacing w:val="-1"/>
              </w:rPr>
              <w:t>小型</w:t>
            </w:r>
          </w:p>
        </w:tc>
        <w:tc>
          <w:tcPr>
            <w:tcW w:w="6551" w:type="dxa"/>
            <w:vAlign w:val="top"/>
          </w:tcPr>
          <w:p w14:paraId="10182BAD">
            <w:pPr>
              <w:pStyle w:val="21"/>
              <w:spacing w:before="152" w:line="225" w:lineRule="auto"/>
              <w:ind w:left="102"/>
            </w:pPr>
            <w:r>
              <w:rPr>
                <w:spacing w:val="-2"/>
              </w:rPr>
              <w:t>从业人员 20 人一 300 人，且营业收入 200</w:t>
            </w:r>
            <w:r>
              <w:rPr>
                <w:spacing w:val="48"/>
              </w:rPr>
              <w:t xml:space="preserve"> </w:t>
            </w:r>
            <w:r>
              <w:rPr>
                <w:spacing w:val="-2"/>
              </w:rPr>
              <w:t>万元一 3000 万元</w:t>
            </w:r>
          </w:p>
        </w:tc>
      </w:tr>
      <w:tr w14:paraId="3C274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4A7E5AA1">
            <w:pPr>
              <w:rPr>
                <w:rFonts w:ascii="Arial"/>
                <w:sz w:val="21"/>
              </w:rPr>
            </w:pPr>
          </w:p>
        </w:tc>
        <w:tc>
          <w:tcPr>
            <w:tcW w:w="848" w:type="dxa"/>
            <w:vAlign w:val="top"/>
          </w:tcPr>
          <w:p w14:paraId="2FB0B2A1">
            <w:pPr>
              <w:pStyle w:val="21"/>
              <w:spacing w:before="193" w:line="182" w:lineRule="auto"/>
              <w:ind w:left="209"/>
            </w:pPr>
            <w:r>
              <w:rPr>
                <w:spacing w:val="-1"/>
              </w:rPr>
              <w:t>微型</w:t>
            </w:r>
          </w:p>
        </w:tc>
        <w:tc>
          <w:tcPr>
            <w:tcW w:w="6551" w:type="dxa"/>
            <w:vAlign w:val="top"/>
          </w:tcPr>
          <w:p w14:paraId="5769B692">
            <w:pPr>
              <w:pStyle w:val="21"/>
              <w:spacing w:before="153" w:line="225" w:lineRule="auto"/>
              <w:ind w:left="102"/>
            </w:pPr>
            <w:r>
              <w:rPr>
                <w:spacing w:val="-2"/>
              </w:rPr>
              <w:t>从业人员 20 人以下或营业收入 200 万元以下</w:t>
            </w:r>
          </w:p>
        </w:tc>
      </w:tr>
      <w:tr w14:paraId="7B53B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697C519A">
            <w:pPr>
              <w:spacing w:line="245" w:lineRule="auto"/>
              <w:rPr>
                <w:rFonts w:ascii="Arial"/>
                <w:sz w:val="21"/>
              </w:rPr>
            </w:pPr>
          </w:p>
          <w:p w14:paraId="39C0EAD2">
            <w:pPr>
              <w:spacing w:line="246" w:lineRule="auto"/>
              <w:rPr>
                <w:rFonts w:ascii="Arial"/>
                <w:sz w:val="21"/>
              </w:rPr>
            </w:pPr>
          </w:p>
          <w:p w14:paraId="4458C070">
            <w:pPr>
              <w:spacing w:line="246" w:lineRule="auto"/>
              <w:rPr>
                <w:rFonts w:ascii="Arial"/>
                <w:sz w:val="21"/>
              </w:rPr>
            </w:pPr>
          </w:p>
          <w:p w14:paraId="73F9398A">
            <w:pPr>
              <w:spacing w:line="246" w:lineRule="auto"/>
              <w:rPr>
                <w:rFonts w:ascii="Arial"/>
                <w:sz w:val="21"/>
              </w:rPr>
            </w:pPr>
          </w:p>
          <w:p w14:paraId="01494922">
            <w:pPr>
              <w:pStyle w:val="21"/>
              <w:spacing w:before="90" w:line="182" w:lineRule="auto"/>
              <w:ind w:left="877"/>
            </w:pPr>
            <w:r>
              <w:rPr>
                <w:spacing w:val="-1"/>
              </w:rPr>
              <w:t>仓储业</w:t>
            </w:r>
          </w:p>
        </w:tc>
        <w:tc>
          <w:tcPr>
            <w:tcW w:w="7399" w:type="dxa"/>
            <w:gridSpan w:val="2"/>
            <w:vAlign w:val="top"/>
          </w:tcPr>
          <w:p w14:paraId="648F5BC9">
            <w:pPr>
              <w:pStyle w:val="21"/>
              <w:spacing w:before="154" w:line="225" w:lineRule="auto"/>
              <w:ind w:left="446"/>
            </w:pPr>
            <w:r>
              <w:rPr>
                <w:spacing w:val="-2"/>
              </w:rPr>
              <w:t>从业人员 200 人以下或营业收入 30000</w:t>
            </w:r>
            <w:r>
              <w:rPr>
                <w:spacing w:val="46"/>
              </w:rPr>
              <w:t xml:space="preserve"> </w:t>
            </w:r>
            <w:r>
              <w:rPr>
                <w:spacing w:val="-2"/>
              </w:rPr>
              <w:t>万元以下的为中小微型企业。</w:t>
            </w:r>
          </w:p>
        </w:tc>
      </w:tr>
      <w:tr w14:paraId="342C6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3319C854">
            <w:pPr>
              <w:rPr>
                <w:rFonts w:ascii="Arial"/>
                <w:sz w:val="21"/>
              </w:rPr>
            </w:pPr>
          </w:p>
        </w:tc>
        <w:tc>
          <w:tcPr>
            <w:tcW w:w="848" w:type="dxa"/>
            <w:vAlign w:val="top"/>
          </w:tcPr>
          <w:p w14:paraId="699CCC21">
            <w:pPr>
              <w:pStyle w:val="21"/>
              <w:spacing w:before="195" w:line="182" w:lineRule="auto"/>
              <w:ind w:left="223"/>
            </w:pPr>
            <w:r>
              <w:rPr>
                <w:spacing w:val="-5"/>
              </w:rPr>
              <w:t>中型</w:t>
            </w:r>
          </w:p>
        </w:tc>
        <w:tc>
          <w:tcPr>
            <w:tcW w:w="6551" w:type="dxa"/>
            <w:vAlign w:val="top"/>
          </w:tcPr>
          <w:p w14:paraId="1D21ABE6">
            <w:pPr>
              <w:pStyle w:val="21"/>
              <w:spacing w:before="155" w:line="225" w:lineRule="auto"/>
              <w:ind w:left="102"/>
            </w:pPr>
            <w:r>
              <w:rPr>
                <w:spacing w:val="-2"/>
              </w:rPr>
              <w:t>从业人员 100 人一 200 人，且营业收入</w:t>
            </w:r>
            <w:r>
              <w:rPr>
                <w:spacing w:val="22"/>
              </w:rPr>
              <w:t xml:space="preserve"> </w:t>
            </w:r>
            <w:r>
              <w:rPr>
                <w:spacing w:val="-2"/>
              </w:rPr>
              <w:t>1000</w:t>
            </w:r>
            <w:r>
              <w:rPr>
                <w:spacing w:val="37"/>
              </w:rPr>
              <w:t xml:space="preserve"> </w:t>
            </w:r>
            <w:r>
              <w:rPr>
                <w:spacing w:val="-2"/>
              </w:rPr>
              <w:t>万元一 3</w:t>
            </w:r>
            <w:r>
              <w:rPr>
                <w:spacing w:val="-3"/>
              </w:rPr>
              <w:t>0000 万元</w:t>
            </w:r>
          </w:p>
        </w:tc>
      </w:tr>
      <w:tr w14:paraId="753EE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613629A3">
            <w:pPr>
              <w:rPr>
                <w:rFonts w:ascii="Arial"/>
                <w:sz w:val="21"/>
              </w:rPr>
            </w:pPr>
          </w:p>
        </w:tc>
        <w:tc>
          <w:tcPr>
            <w:tcW w:w="848" w:type="dxa"/>
            <w:vAlign w:val="top"/>
          </w:tcPr>
          <w:p w14:paraId="5C033219">
            <w:pPr>
              <w:pStyle w:val="21"/>
              <w:spacing w:before="198" w:line="181" w:lineRule="auto"/>
              <w:ind w:left="210"/>
            </w:pPr>
            <w:r>
              <w:rPr>
                <w:spacing w:val="-1"/>
              </w:rPr>
              <w:t>小型</w:t>
            </w:r>
          </w:p>
        </w:tc>
        <w:tc>
          <w:tcPr>
            <w:tcW w:w="6551" w:type="dxa"/>
            <w:vAlign w:val="top"/>
          </w:tcPr>
          <w:p w14:paraId="1F2FA978">
            <w:pPr>
              <w:pStyle w:val="21"/>
              <w:spacing w:before="156" w:line="225" w:lineRule="auto"/>
              <w:ind w:left="102"/>
            </w:pPr>
            <w:r>
              <w:rPr>
                <w:spacing w:val="-2"/>
              </w:rPr>
              <w:t>从业人员 20 人一 100 人，且营业收入</w:t>
            </w:r>
            <w:r>
              <w:rPr>
                <w:spacing w:val="22"/>
              </w:rPr>
              <w:t xml:space="preserve"> </w:t>
            </w:r>
            <w:r>
              <w:rPr>
                <w:spacing w:val="-2"/>
              </w:rPr>
              <w:t>1</w:t>
            </w:r>
            <w:r>
              <w:rPr>
                <w:spacing w:val="-3"/>
              </w:rPr>
              <w:t>00</w:t>
            </w:r>
            <w:r>
              <w:rPr>
                <w:spacing w:val="37"/>
              </w:rPr>
              <w:t xml:space="preserve"> </w:t>
            </w:r>
            <w:r>
              <w:rPr>
                <w:spacing w:val="-3"/>
              </w:rPr>
              <w:t>万元一 1000 万元</w:t>
            </w:r>
          </w:p>
        </w:tc>
      </w:tr>
      <w:tr w14:paraId="2C39F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6790AB37">
            <w:pPr>
              <w:rPr>
                <w:rFonts w:ascii="Arial"/>
                <w:sz w:val="21"/>
              </w:rPr>
            </w:pPr>
          </w:p>
        </w:tc>
        <w:tc>
          <w:tcPr>
            <w:tcW w:w="848" w:type="dxa"/>
            <w:vAlign w:val="top"/>
          </w:tcPr>
          <w:p w14:paraId="6B637154">
            <w:pPr>
              <w:pStyle w:val="21"/>
              <w:spacing w:before="197" w:line="182" w:lineRule="auto"/>
              <w:ind w:left="209"/>
            </w:pPr>
            <w:r>
              <w:rPr>
                <w:spacing w:val="-1"/>
              </w:rPr>
              <w:t>微型</w:t>
            </w:r>
          </w:p>
        </w:tc>
        <w:tc>
          <w:tcPr>
            <w:tcW w:w="6551" w:type="dxa"/>
            <w:vAlign w:val="top"/>
          </w:tcPr>
          <w:p w14:paraId="4753AA12">
            <w:pPr>
              <w:pStyle w:val="21"/>
              <w:spacing w:before="157" w:line="225" w:lineRule="auto"/>
              <w:ind w:left="102"/>
            </w:pPr>
            <w:r>
              <w:rPr>
                <w:spacing w:val="-2"/>
              </w:rPr>
              <w:t>从业人员 20 人以下或营业收入</w:t>
            </w:r>
            <w:r>
              <w:rPr>
                <w:spacing w:val="21"/>
                <w:w w:val="101"/>
              </w:rPr>
              <w:t xml:space="preserve"> </w:t>
            </w:r>
            <w:r>
              <w:rPr>
                <w:spacing w:val="-2"/>
              </w:rPr>
              <w:t>100</w:t>
            </w:r>
            <w:r>
              <w:rPr>
                <w:spacing w:val="36"/>
                <w:w w:val="101"/>
              </w:rPr>
              <w:t xml:space="preserve"> </w:t>
            </w:r>
            <w:r>
              <w:rPr>
                <w:spacing w:val="-2"/>
              </w:rPr>
              <w:t>万元以下</w:t>
            </w:r>
          </w:p>
        </w:tc>
      </w:tr>
      <w:tr w14:paraId="6710F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1EFB7722">
            <w:pPr>
              <w:spacing w:line="246" w:lineRule="auto"/>
              <w:rPr>
                <w:rFonts w:ascii="Arial"/>
                <w:sz w:val="21"/>
              </w:rPr>
            </w:pPr>
          </w:p>
          <w:p w14:paraId="75D3528A">
            <w:pPr>
              <w:spacing w:line="247" w:lineRule="auto"/>
              <w:rPr>
                <w:rFonts w:ascii="Arial"/>
                <w:sz w:val="21"/>
              </w:rPr>
            </w:pPr>
          </w:p>
          <w:p w14:paraId="7B7229FB">
            <w:pPr>
              <w:spacing w:line="247" w:lineRule="auto"/>
              <w:rPr>
                <w:rFonts w:ascii="Arial"/>
                <w:sz w:val="21"/>
              </w:rPr>
            </w:pPr>
          </w:p>
          <w:p w14:paraId="2160A67E">
            <w:pPr>
              <w:spacing w:line="247" w:lineRule="auto"/>
              <w:rPr>
                <w:rFonts w:ascii="Arial"/>
                <w:sz w:val="21"/>
              </w:rPr>
            </w:pPr>
          </w:p>
          <w:p w14:paraId="1E548A2D">
            <w:pPr>
              <w:pStyle w:val="21"/>
              <w:spacing w:before="90" w:line="182" w:lineRule="auto"/>
              <w:ind w:left="890"/>
            </w:pPr>
            <w:r>
              <w:rPr>
                <w:spacing w:val="-4"/>
              </w:rPr>
              <w:t>邮政业</w:t>
            </w:r>
          </w:p>
        </w:tc>
        <w:tc>
          <w:tcPr>
            <w:tcW w:w="7399" w:type="dxa"/>
            <w:gridSpan w:val="2"/>
            <w:vAlign w:val="top"/>
          </w:tcPr>
          <w:p w14:paraId="0C433683">
            <w:pPr>
              <w:pStyle w:val="21"/>
              <w:spacing w:before="158" w:line="225" w:lineRule="auto"/>
              <w:ind w:left="384"/>
            </w:pPr>
            <w:r>
              <w:rPr>
                <w:spacing w:val="-2"/>
              </w:rPr>
              <w:t>从业人员 1000 人以下或营业收入 30000</w:t>
            </w:r>
            <w:r>
              <w:rPr>
                <w:spacing w:val="48"/>
              </w:rPr>
              <w:t xml:space="preserve"> </w:t>
            </w:r>
            <w:r>
              <w:rPr>
                <w:spacing w:val="-2"/>
              </w:rPr>
              <w:t>万元以下的为中小微型企业。</w:t>
            </w:r>
          </w:p>
        </w:tc>
      </w:tr>
      <w:tr w14:paraId="79E6D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2EA41D7E">
            <w:pPr>
              <w:rPr>
                <w:rFonts w:ascii="Arial"/>
                <w:sz w:val="21"/>
              </w:rPr>
            </w:pPr>
          </w:p>
        </w:tc>
        <w:tc>
          <w:tcPr>
            <w:tcW w:w="848" w:type="dxa"/>
            <w:vAlign w:val="top"/>
          </w:tcPr>
          <w:p w14:paraId="02075B56">
            <w:pPr>
              <w:pStyle w:val="21"/>
              <w:spacing w:before="199" w:line="182" w:lineRule="auto"/>
              <w:ind w:left="223"/>
            </w:pPr>
            <w:r>
              <w:rPr>
                <w:spacing w:val="-5"/>
              </w:rPr>
              <w:t>中型</w:t>
            </w:r>
          </w:p>
        </w:tc>
        <w:tc>
          <w:tcPr>
            <w:tcW w:w="6551" w:type="dxa"/>
            <w:vAlign w:val="top"/>
          </w:tcPr>
          <w:p w14:paraId="7819D706">
            <w:pPr>
              <w:pStyle w:val="21"/>
              <w:spacing w:before="159" w:line="225" w:lineRule="auto"/>
              <w:ind w:left="102"/>
            </w:pPr>
            <w:r>
              <w:rPr>
                <w:spacing w:val="-2"/>
              </w:rPr>
              <w:t>从业人员</w:t>
            </w:r>
            <w:r>
              <w:rPr>
                <w:spacing w:val="31"/>
              </w:rPr>
              <w:t xml:space="preserve"> </w:t>
            </w:r>
            <w:r>
              <w:rPr>
                <w:spacing w:val="-2"/>
              </w:rPr>
              <w:t>300</w:t>
            </w:r>
            <w:r>
              <w:rPr>
                <w:spacing w:val="36"/>
                <w:w w:val="101"/>
              </w:rPr>
              <w:t xml:space="preserve"> </w:t>
            </w:r>
            <w:r>
              <w:rPr>
                <w:spacing w:val="-2"/>
              </w:rPr>
              <w:t>人一 1000 人，且营业收入 2000</w:t>
            </w:r>
            <w:r>
              <w:rPr>
                <w:spacing w:val="37"/>
              </w:rPr>
              <w:t xml:space="preserve"> </w:t>
            </w:r>
            <w:r>
              <w:rPr>
                <w:spacing w:val="-2"/>
              </w:rPr>
              <w:t>万元一 30000 万元</w:t>
            </w:r>
          </w:p>
        </w:tc>
      </w:tr>
      <w:tr w14:paraId="3B621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5E3EDEF2">
            <w:pPr>
              <w:rPr>
                <w:rFonts w:ascii="Arial"/>
                <w:sz w:val="21"/>
              </w:rPr>
            </w:pPr>
          </w:p>
        </w:tc>
        <w:tc>
          <w:tcPr>
            <w:tcW w:w="848" w:type="dxa"/>
            <w:vAlign w:val="top"/>
          </w:tcPr>
          <w:p w14:paraId="41784F4F">
            <w:pPr>
              <w:pStyle w:val="21"/>
              <w:spacing w:before="202" w:line="181" w:lineRule="auto"/>
              <w:ind w:left="210"/>
            </w:pPr>
            <w:r>
              <w:rPr>
                <w:spacing w:val="-1"/>
              </w:rPr>
              <w:t>小型</w:t>
            </w:r>
          </w:p>
        </w:tc>
        <w:tc>
          <w:tcPr>
            <w:tcW w:w="6551" w:type="dxa"/>
            <w:vAlign w:val="top"/>
          </w:tcPr>
          <w:p w14:paraId="183BD997">
            <w:pPr>
              <w:pStyle w:val="21"/>
              <w:spacing w:before="160" w:line="225" w:lineRule="auto"/>
              <w:ind w:left="102"/>
            </w:pPr>
            <w:r>
              <w:rPr>
                <w:spacing w:val="-2"/>
              </w:rPr>
              <w:t>从业人员 20 人一 300 人，且营业收入</w:t>
            </w:r>
            <w:r>
              <w:rPr>
                <w:spacing w:val="22"/>
              </w:rPr>
              <w:t xml:space="preserve"> </w:t>
            </w:r>
            <w:r>
              <w:rPr>
                <w:spacing w:val="-2"/>
              </w:rPr>
              <w:t>1</w:t>
            </w:r>
            <w:r>
              <w:rPr>
                <w:spacing w:val="-3"/>
              </w:rPr>
              <w:t>00</w:t>
            </w:r>
            <w:r>
              <w:rPr>
                <w:spacing w:val="37"/>
              </w:rPr>
              <w:t xml:space="preserve"> </w:t>
            </w:r>
            <w:r>
              <w:rPr>
                <w:spacing w:val="-3"/>
              </w:rPr>
              <w:t>万元一 2000 万元</w:t>
            </w:r>
          </w:p>
        </w:tc>
      </w:tr>
      <w:tr w14:paraId="008B9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5A577693">
            <w:pPr>
              <w:rPr>
                <w:rFonts w:ascii="Arial"/>
                <w:sz w:val="21"/>
              </w:rPr>
            </w:pPr>
          </w:p>
        </w:tc>
        <w:tc>
          <w:tcPr>
            <w:tcW w:w="848" w:type="dxa"/>
            <w:vAlign w:val="top"/>
          </w:tcPr>
          <w:p w14:paraId="71536FE0">
            <w:pPr>
              <w:pStyle w:val="21"/>
              <w:spacing w:before="201" w:line="182" w:lineRule="auto"/>
              <w:ind w:left="209"/>
            </w:pPr>
            <w:r>
              <w:rPr>
                <w:spacing w:val="-1"/>
              </w:rPr>
              <w:t>微型</w:t>
            </w:r>
          </w:p>
        </w:tc>
        <w:tc>
          <w:tcPr>
            <w:tcW w:w="6551" w:type="dxa"/>
            <w:vAlign w:val="top"/>
          </w:tcPr>
          <w:p w14:paraId="74EB3EB4">
            <w:pPr>
              <w:pStyle w:val="21"/>
              <w:spacing w:before="161" w:line="225" w:lineRule="auto"/>
              <w:ind w:left="102"/>
            </w:pPr>
            <w:r>
              <w:rPr>
                <w:spacing w:val="-2"/>
              </w:rPr>
              <w:t>从业人员 20 人以下或营业收入</w:t>
            </w:r>
            <w:r>
              <w:rPr>
                <w:spacing w:val="21"/>
                <w:w w:val="101"/>
              </w:rPr>
              <w:t xml:space="preserve"> </w:t>
            </w:r>
            <w:r>
              <w:rPr>
                <w:spacing w:val="-2"/>
              </w:rPr>
              <w:t>100</w:t>
            </w:r>
            <w:r>
              <w:rPr>
                <w:spacing w:val="36"/>
                <w:w w:val="101"/>
              </w:rPr>
              <w:t xml:space="preserve"> </w:t>
            </w:r>
            <w:r>
              <w:rPr>
                <w:spacing w:val="-2"/>
              </w:rPr>
              <w:t>万元以下</w:t>
            </w:r>
          </w:p>
        </w:tc>
      </w:tr>
      <w:tr w14:paraId="3B77F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restart"/>
            <w:tcBorders>
              <w:bottom w:val="nil"/>
            </w:tcBorders>
            <w:vAlign w:val="top"/>
          </w:tcPr>
          <w:p w14:paraId="41590DF4">
            <w:pPr>
              <w:spacing w:line="247" w:lineRule="auto"/>
              <w:rPr>
                <w:rFonts w:ascii="Arial"/>
                <w:sz w:val="21"/>
              </w:rPr>
            </w:pPr>
          </w:p>
          <w:p w14:paraId="519F5069">
            <w:pPr>
              <w:spacing w:line="247" w:lineRule="auto"/>
              <w:rPr>
                <w:rFonts w:ascii="Arial"/>
                <w:sz w:val="21"/>
              </w:rPr>
            </w:pPr>
          </w:p>
          <w:p w14:paraId="3B4CED68">
            <w:pPr>
              <w:spacing w:line="247" w:lineRule="auto"/>
              <w:rPr>
                <w:rFonts w:ascii="Arial"/>
                <w:sz w:val="21"/>
              </w:rPr>
            </w:pPr>
          </w:p>
          <w:p w14:paraId="2F6E7D6A">
            <w:pPr>
              <w:spacing w:line="247" w:lineRule="auto"/>
              <w:rPr>
                <w:rFonts w:ascii="Arial"/>
                <w:sz w:val="21"/>
              </w:rPr>
            </w:pPr>
          </w:p>
          <w:p w14:paraId="18EF5CB6">
            <w:pPr>
              <w:pStyle w:val="21"/>
              <w:spacing w:before="91" w:line="183" w:lineRule="auto"/>
              <w:ind w:left="878"/>
            </w:pPr>
            <w:r>
              <w:rPr>
                <w:spacing w:val="-1"/>
              </w:rPr>
              <w:t>住宿业</w:t>
            </w:r>
          </w:p>
        </w:tc>
        <w:tc>
          <w:tcPr>
            <w:tcW w:w="7399" w:type="dxa"/>
            <w:gridSpan w:val="2"/>
            <w:vAlign w:val="top"/>
          </w:tcPr>
          <w:p w14:paraId="28D3BEAA">
            <w:pPr>
              <w:pStyle w:val="21"/>
              <w:spacing w:before="161" w:line="225" w:lineRule="auto"/>
              <w:ind w:left="446"/>
            </w:pPr>
            <w:r>
              <w:rPr>
                <w:spacing w:val="-2"/>
              </w:rPr>
              <w:t>从业人员 300 人以下或营业收入</w:t>
            </w:r>
            <w:r>
              <w:rPr>
                <w:spacing w:val="22"/>
              </w:rPr>
              <w:t xml:space="preserve"> </w:t>
            </w:r>
            <w:r>
              <w:rPr>
                <w:spacing w:val="-2"/>
              </w:rPr>
              <w:t>100</w:t>
            </w:r>
            <w:r>
              <w:rPr>
                <w:spacing w:val="-3"/>
              </w:rPr>
              <w:t>00</w:t>
            </w:r>
            <w:r>
              <w:rPr>
                <w:spacing w:val="37"/>
              </w:rPr>
              <w:t xml:space="preserve"> </w:t>
            </w:r>
            <w:r>
              <w:rPr>
                <w:spacing w:val="-3"/>
              </w:rPr>
              <w:t>万元以下的为中小微型企业。</w:t>
            </w:r>
          </w:p>
        </w:tc>
      </w:tr>
      <w:tr w14:paraId="64649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670AD483">
            <w:pPr>
              <w:rPr>
                <w:rFonts w:ascii="Arial"/>
                <w:sz w:val="21"/>
              </w:rPr>
            </w:pPr>
          </w:p>
        </w:tc>
        <w:tc>
          <w:tcPr>
            <w:tcW w:w="848" w:type="dxa"/>
            <w:vAlign w:val="top"/>
          </w:tcPr>
          <w:p w14:paraId="3BE9C7E8">
            <w:pPr>
              <w:pStyle w:val="21"/>
              <w:spacing w:before="201" w:line="182" w:lineRule="auto"/>
              <w:ind w:left="223"/>
            </w:pPr>
            <w:r>
              <w:rPr>
                <w:spacing w:val="-5"/>
              </w:rPr>
              <w:t>中型</w:t>
            </w:r>
          </w:p>
        </w:tc>
        <w:tc>
          <w:tcPr>
            <w:tcW w:w="6551" w:type="dxa"/>
            <w:vAlign w:val="top"/>
          </w:tcPr>
          <w:p w14:paraId="2D61A847">
            <w:pPr>
              <w:pStyle w:val="21"/>
              <w:spacing w:before="161" w:line="225" w:lineRule="auto"/>
              <w:ind w:left="102"/>
            </w:pPr>
            <w:r>
              <w:rPr>
                <w:spacing w:val="-2"/>
              </w:rPr>
              <w:t>从业人员 100 人一 300 人，且营业收入 2000</w:t>
            </w:r>
            <w:r>
              <w:rPr>
                <w:spacing w:val="54"/>
              </w:rPr>
              <w:t xml:space="preserve"> </w:t>
            </w:r>
            <w:r>
              <w:rPr>
                <w:spacing w:val="-2"/>
              </w:rPr>
              <w:t>万元一 10000 万元</w:t>
            </w:r>
          </w:p>
        </w:tc>
      </w:tr>
      <w:tr w14:paraId="15080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71CAC0AF">
            <w:pPr>
              <w:rPr>
                <w:rFonts w:ascii="Arial"/>
                <w:sz w:val="21"/>
              </w:rPr>
            </w:pPr>
          </w:p>
        </w:tc>
        <w:tc>
          <w:tcPr>
            <w:tcW w:w="848" w:type="dxa"/>
            <w:vAlign w:val="top"/>
          </w:tcPr>
          <w:p w14:paraId="7B9D00DE">
            <w:pPr>
              <w:pStyle w:val="21"/>
              <w:spacing w:before="203" w:line="181" w:lineRule="auto"/>
              <w:ind w:left="210"/>
            </w:pPr>
            <w:r>
              <w:rPr>
                <w:spacing w:val="-1"/>
              </w:rPr>
              <w:t>小型</w:t>
            </w:r>
          </w:p>
        </w:tc>
        <w:tc>
          <w:tcPr>
            <w:tcW w:w="6551" w:type="dxa"/>
            <w:vAlign w:val="top"/>
          </w:tcPr>
          <w:p w14:paraId="75CA8BA5">
            <w:pPr>
              <w:pStyle w:val="21"/>
              <w:spacing w:before="161" w:line="225" w:lineRule="auto"/>
              <w:ind w:left="102"/>
            </w:pPr>
            <w:r>
              <w:rPr>
                <w:spacing w:val="-2"/>
              </w:rPr>
              <w:t>从业人员 10 人一 100 人，且营业收入</w:t>
            </w:r>
            <w:r>
              <w:rPr>
                <w:spacing w:val="22"/>
              </w:rPr>
              <w:t xml:space="preserve"> </w:t>
            </w:r>
            <w:r>
              <w:rPr>
                <w:spacing w:val="-2"/>
              </w:rPr>
              <w:t>1</w:t>
            </w:r>
            <w:r>
              <w:rPr>
                <w:spacing w:val="-3"/>
              </w:rPr>
              <w:t>00</w:t>
            </w:r>
            <w:r>
              <w:rPr>
                <w:spacing w:val="37"/>
              </w:rPr>
              <w:t xml:space="preserve"> </w:t>
            </w:r>
            <w:r>
              <w:rPr>
                <w:spacing w:val="-3"/>
              </w:rPr>
              <w:t>万元一 2000 万元</w:t>
            </w:r>
          </w:p>
        </w:tc>
      </w:tr>
      <w:tr w14:paraId="06C41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4D5CA923">
            <w:pPr>
              <w:rPr>
                <w:rFonts w:ascii="Arial"/>
                <w:sz w:val="21"/>
              </w:rPr>
            </w:pPr>
          </w:p>
        </w:tc>
        <w:tc>
          <w:tcPr>
            <w:tcW w:w="848" w:type="dxa"/>
            <w:vAlign w:val="top"/>
          </w:tcPr>
          <w:p w14:paraId="466D354D">
            <w:pPr>
              <w:pStyle w:val="21"/>
              <w:spacing w:before="201" w:line="182" w:lineRule="auto"/>
              <w:ind w:left="209"/>
            </w:pPr>
            <w:r>
              <w:rPr>
                <w:spacing w:val="-1"/>
              </w:rPr>
              <w:t>微型</w:t>
            </w:r>
          </w:p>
        </w:tc>
        <w:tc>
          <w:tcPr>
            <w:tcW w:w="6551" w:type="dxa"/>
            <w:vAlign w:val="top"/>
          </w:tcPr>
          <w:p w14:paraId="650995EE">
            <w:pPr>
              <w:pStyle w:val="21"/>
              <w:spacing w:before="161" w:line="225" w:lineRule="auto"/>
              <w:ind w:left="102"/>
            </w:pPr>
            <w:r>
              <w:rPr>
                <w:spacing w:val="-2"/>
              </w:rPr>
              <w:t>从业人员 10 人以下或营业收入</w:t>
            </w:r>
            <w:r>
              <w:rPr>
                <w:spacing w:val="21"/>
                <w:w w:val="101"/>
              </w:rPr>
              <w:t xml:space="preserve"> </w:t>
            </w:r>
            <w:r>
              <w:rPr>
                <w:spacing w:val="-2"/>
              </w:rPr>
              <w:t>100</w:t>
            </w:r>
            <w:r>
              <w:rPr>
                <w:spacing w:val="36"/>
                <w:w w:val="101"/>
              </w:rPr>
              <w:t xml:space="preserve"> </w:t>
            </w:r>
            <w:r>
              <w:rPr>
                <w:spacing w:val="-2"/>
              </w:rPr>
              <w:t>万元以下</w:t>
            </w:r>
          </w:p>
        </w:tc>
      </w:tr>
      <w:tr w14:paraId="0F375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restart"/>
            <w:tcBorders>
              <w:bottom w:val="nil"/>
            </w:tcBorders>
            <w:vAlign w:val="top"/>
          </w:tcPr>
          <w:p w14:paraId="7FF6D671">
            <w:pPr>
              <w:spacing w:line="247" w:lineRule="auto"/>
              <w:rPr>
                <w:rFonts w:ascii="Arial"/>
                <w:sz w:val="21"/>
              </w:rPr>
            </w:pPr>
          </w:p>
          <w:p w14:paraId="2E887399">
            <w:pPr>
              <w:spacing w:line="247" w:lineRule="auto"/>
              <w:rPr>
                <w:rFonts w:ascii="Arial"/>
                <w:sz w:val="21"/>
              </w:rPr>
            </w:pPr>
          </w:p>
          <w:p w14:paraId="13C9115C">
            <w:pPr>
              <w:spacing w:line="248" w:lineRule="auto"/>
              <w:rPr>
                <w:rFonts w:ascii="Arial"/>
                <w:sz w:val="21"/>
              </w:rPr>
            </w:pPr>
          </w:p>
          <w:p w14:paraId="0AAF56C1">
            <w:pPr>
              <w:spacing w:line="248" w:lineRule="auto"/>
              <w:rPr>
                <w:rFonts w:ascii="Arial"/>
                <w:sz w:val="21"/>
              </w:rPr>
            </w:pPr>
          </w:p>
          <w:p w14:paraId="596D4F38">
            <w:pPr>
              <w:pStyle w:val="21"/>
              <w:spacing w:before="90" w:line="182" w:lineRule="auto"/>
              <w:ind w:left="877"/>
            </w:pPr>
            <w:r>
              <w:rPr>
                <w:spacing w:val="-1"/>
              </w:rPr>
              <w:t>餐饮业</w:t>
            </w:r>
          </w:p>
        </w:tc>
        <w:tc>
          <w:tcPr>
            <w:tcW w:w="7399" w:type="dxa"/>
            <w:gridSpan w:val="2"/>
            <w:vAlign w:val="top"/>
          </w:tcPr>
          <w:p w14:paraId="07BE0B5F">
            <w:pPr>
              <w:pStyle w:val="21"/>
              <w:spacing w:before="161" w:line="225" w:lineRule="auto"/>
              <w:ind w:left="446"/>
            </w:pPr>
            <w:r>
              <w:rPr>
                <w:spacing w:val="-2"/>
              </w:rPr>
              <w:t>从业人员 300 人以下或营业收入</w:t>
            </w:r>
            <w:r>
              <w:rPr>
                <w:spacing w:val="22"/>
              </w:rPr>
              <w:t xml:space="preserve"> </w:t>
            </w:r>
            <w:r>
              <w:rPr>
                <w:spacing w:val="-2"/>
              </w:rPr>
              <w:t>100</w:t>
            </w:r>
            <w:r>
              <w:rPr>
                <w:spacing w:val="-3"/>
              </w:rPr>
              <w:t>00</w:t>
            </w:r>
            <w:r>
              <w:rPr>
                <w:spacing w:val="37"/>
              </w:rPr>
              <w:t xml:space="preserve"> </w:t>
            </w:r>
            <w:r>
              <w:rPr>
                <w:spacing w:val="-3"/>
              </w:rPr>
              <w:t>万元以下的为中小微型企业。</w:t>
            </w:r>
          </w:p>
        </w:tc>
      </w:tr>
      <w:tr w14:paraId="4CB78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4F7DEAEF">
            <w:pPr>
              <w:rPr>
                <w:rFonts w:ascii="Arial"/>
                <w:sz w:val="21"/>
              </w:rPr>
            </w:pPr>
          </w:p>
        </w:tc>
        <w:tc>
          <w:tcPr>
            <w:tcW w:w="848" w:type="dxa"/>
            <w:vAlign w:val="top"/>
          </w:tcPr>
          <w:p w14:paraId="21058F36">
            <w:pPr>
              <w:pStyle w:val="21"/>
              <w:spacing w:before="201" w:line="182" w:lineRule="auto"/>
              <w:ind w:left="223"/>
            </w:pPr>
            <w:r>
              <w:rPr>
                <w:spacing w:val="-5"/>
              </w:rPr>
              <w:t>中型</w:t>
            </w:r>
          </w:p>
        </w:tc>
        <w:tc>
          <w:tcPr>
            <w:tcW w:w="6551" w:type="dxa"/>
            <w:vAlign w:val="top"/>
          </w:tcPr>
          <w:p w14:paraId="663CCD9F">
            <w:pPr>
              <w:pStyle w:val="21"/>
              <w:spacing w:before="161" w:line="225" w:lineRule="auto"/>
              <w:ind w:left="102"/>
            </w:pPr>
            <w:r>
              <w:rPr>
                <w:spacing w:val="-1"/>
              </w:rPr>
              <w:t>从业人员 100— 300 人，且营业收入 2000</w:t>
            </w:r>
            <w:r>
              <w:rPr>
                <w:spacing w:val="37"/>
              </w:rPr>
              <w:t xml:space="preserve"> </w:t>
            </w:r>
            <w:r>
              <w:rPr>
                <w:spacing w:val="-1"/>
              </w:rPr>
              <w:t>万元一 10</w:t>
            </w:r>
            <w:r>
              <w:rPr>
                <w:spacing w:val="-2"/>
              </w:rPr>
              <w:t>000 万元</w:t>
            </w:r>
          </w:p>
        </w:tc>
      </w:tr>
      <w:tr w14:paraId="67953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23DF8082">
            <w:pPr>
              <w:rPr>
                <w:rFonts w:ascii="Arial"/>
                <w:sz w:val="21"/>
              </w:rPr>
            </w:pPr>
          </w:p>
        </w:tc>
        <w:tc>
          <w:tcPr>
            <w:tcW w:w="848" w:type="dxa"/>
            <w:vAlign w:val="top"/>
          </w:tcPr>
          <w:p w14:paraId="6A04D6D5">
            <w:pPr>
              <w:pStyle w:val="21"/>
              <w:spacing w:before="203" w:line="181" w:lineRule="auto"/>
              <w:ind w:left="210"/>
            </w:pPr>
            <w:r>
              <w:rPr>
                <w:spacing w:val="-1"/>
              </w:rPr>
              <w:t>小型</w:t>
            </w:r>
          </w:p>
        </w:tc>
        <w:tc>
          <w:tcPr>
            <w:tcW w:w="6551" w:type="dxa"/>
            <w:vAlign w:val="top"/>
          </w:tcPr>
          <w:p w14:paraId="328AB652">
            <w:pPr>
              <w:pStyle w:val="21"/>
              <w:spacing w:before="161" w:line="225" w:lineRule="auto"/>
              <w:ind w:left="102"/>
            </w:pPr>
            <w:r>
              <w:rPr>
                <w:spacing w:val="-2"/>
              </w:rPr>
              <w:t>从业人员 10 人一 100 人，且营业收入</w:t>
            </w:r>
            <w:r>
              <w:rPr>
                <w:spacing w:val="22"/>
              </w:rPr>
              <w:t xml:space="preserve"> </w:t>
            </w:r>
            <w:r>
              <w:rPr>
                <w:spacing w:val="-2"/>
              </w:rPr>
              <w:t>1</w:t>
            </w:r>
            <w:r>
              <w:rPr>
                <w:spacing w:val="-3"/>
              </w:rPr>
              <w:t>00</w:t>
            </w:r>
            <w:r>
              <w:rPr>
                <w:spacing w:val="37"/>
              </w:rPr>
              <w:t xml:space="preserve"> </w:t>
            </w:r>
            <w:r>
              <w:rPr>
                <w:spacing w:val="-3"/>
              </w:rPr>
              <w:t>万元一 2000 万元</w:t>
            </w:r>
          </w:p>
        </w:tc>
      </w:tr>
      <w:tr w14:paraId="5E534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2AA9EC14">
            <w:pPr>
              <w:rPr>
                <w:rFonts w:ascii="Arial"/>
                <w:sz w:val="21"/>
              </w:rPr>
            </w:pPr>
          </w:p>
        </w:tc>
        <w:tc>
          <w:tcPr>
            <w:tcW w:w="848" w:type="dxa"/>
            <w:vAlign w:val="top"/>
          </w:tcPr>
          <w:p w14:paraId="3714642D">
            <w:pPr>
              <w:pStyle w:val="21"/>
              <w:spacing w:before="201" w:line="182" w:lineRule="auto"/>
              <w:ind w:left="209"/>
            </w:pPr>
            <w:r>
              <w:rPr>
                <w:spacing w:val="-1"/>
              </w:rPr>
              <w:t>微型</w:t>
            </w:r>
          </w:p>
        </w:tc>
        <w:tc>
          <w:tcPr>
            <w:tcW w:w="6551" w:type="dxa"/>
            <w:vAlign w:val="top"/>
          </w:tcPr>
          <w:p w14:paraId="6742E6DD">
            <w:pPr>
              <w:pStyle w:val="21"/>
              <w:spacing w:before="161" w:line="225" w:lineRule="auto"/>
              <w:ind w:left="102"/>
            </w:pPr>
            <w:r>
              <w:rPr>
                <w:spacing w:val="-2"/>
              </w:rPr>
              <w:t>从业人员 10 人以下或营业收入</w:t>
            </w:r>
            <w:r>
              <w:rPr>
                <w:spacing w:val="21"/>
                <w:w w:val="101"/>
              </w:rPr>
              <w:t xml:space="preserve"> </w:t>
            </w:r>
            <w:r>
              <w:rPr>
                <w:spacing w:val="-2"/>
              </w:rPr>
              <w:t>100</w:t>
            </w:r>
            <w:r>
              <w:rPr>
                <w:spacing w:val="36"/>
                <w:w w:val="101"/>
              </w:rPr>
              <w:t xml:space="preserve"> </w:t>
            </w:r>
            <w:r>
              <w:rPr>
                <w:spacing w:val="-2"/>
              </w:rPr>
              <w:t>万元以下</w:t>
            </w:r>
          </w:p>
        </w:tc>
      </w:tr>
      <w:tr w14:paraId="5EC0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restart"/>
            <w:tcBorders>
              <w:bottom w:val="nil"/>
            </w:tcBorders>
            <w:vAlign w:val="top"/>
          </w:tcPr>
          <w:p w14:paraId="0A138D76">
            <w:pPr>
              <w:spacing w:line="259" w:lineRule="auto"/>
              <w:rPr>
                <w:rFonts w:ascii="Arial"/>
                <w:sz w:val="21"/>
              </w:rPr>
            </w:pPr>
          </w:p>
          <w:p w14:paraId="1A585AF6">
            <w:pPr>
              <w:spacing w:line="260" w:lineRule="auto"/>
              <w:rPr>
                <w:rFonts w:ascii="Arial"/>
                <w:sz w:val="21"/>
              </w:rPr>
            </w:pPr>
          </w:p>
          <w:p w14:paraId="52F4355D">
            <w:pPr>
              <w:spacing w:line="260" w:lineRule="auto"/>
              <w:rPr>
                <w:rFonts w:ascii="Arial"/>
                <w:sz w:val="21"/>
              </w:rPr>
            </w:pPr>
          </w:p>
          <w:p w14:paraId="59E47F3E">
            <w:pPr>
              <w:pStyle w:val="21"/>
              <w:spacing w:before="90" w:line="288" w:lineRule="auto"/>
              <w:ind w:left="198" w:hanging="93"/>
            </w:pPr>
            <w:r>
              <w:rPr>
                <w:spacing w:val="-8"/>
              </w:rPr>
              <w:t>信息传输业 （包括电信、</w:t>
            </w:r>
            <w:r>
              <w:rPr>
                <w:spacing w:val="1"/>
              </w:rPr>
              <w:t xml:space="preserve"> </w:t>
            </w:r>
            <w:r>
              <w:rPr>
                <w:spacing w:val="-7"/>
              </w:rPr>
              <w:t>互联网 和相关服务）</w:t>
            </w:r>
          </w:p>
        </w:tc>
        <w:tc>
          <w:tcPr>
            <w:tcW w:w="7399" w:type="dxa"/>
            <w:gridSpan w:val="2"/>
            <w:vAlign w:val="top"/>
          </w:tcPr>
          <w:p w14:paraId="0DD61854">
            <w:pPr>
              <w:pStyle w:val="21"/>
              <w:spacing w:before="161" w:line="225" w:lineRule="auto"/>
              <w:ind w:left="322"/>
            </w:pPr>
            <w:r>
              <w:rPr>
                <w:spacing w:val="-2"/>
              </w:rPr>
              <w:t>从业人员 2000 人以下或营业收入</w:t>
            </w:r>
            <w:r>
              <w:rPr>
                <w:spacing w:val="22"/>
              </w:rPr>
              <w:t xml:space="preserve"> </w:t>
            </w:r>
            <w:r>
              <w:rPr>
                <w:spacing w:val="-2"/>
              </w:rPr>
              <w:t>100000</w:t>
            </w:r>
            <w:r>
              <w:rPr>
                <w:spacing w:val="37"/>
              </w:rPr>
              <w:t xml:space="preserve"> </w:t>
            </w:r>
            <w:r>
              <w:rPr>
                <w:spacing w:val="-2"/>
              </w:rPr>
              <w:t>万元</w:t>
            </w:r>
            <w:r>
              <w:rPr>
                <w:spacing w:val="-3"/>
              </w:rPr>
              <w:t>以下的为中小微型企业。</w:t>
            </w:r>
          </w:p>
        </w:tc>
      </w:tr>
      <w:tr w14:paraId="18276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0BAC0F8B">
            <w:pPr>
              <w:rPr>
                <w:rFonts w:ascii="Arial"/>
                <w:sz w:val="21"/>
              </w:rPr>
            </w:pPr>
          </w:p>
        </w:tc>
        <w:tc>
          <w:tcPr>
            <w:tcW w:w="848" w:type="dxa"/>
            <w:vAlign w:val="top"/>
          </w:tcPr>
          <w:p w14:paraId="29E3FD45">
            <w:pPr>
              <w:pStyle w:val="21"/>
              <w:spacing w:before="201" w:line="182" w:lineRule="auto"/>
              <w:ind w:left="223"/>
            </w:pPr>
            <w:r>
              <w:rPr>
                <w:spacing w:val="-5"/>
              </w:rPr>
              <w:t>中型</w:t>
            </w:r>
          </w:p>
        </w:tc>
        <w:tc>
          <w:tcPr>
            <w:tcW w:w="6551" w:type="dxa"/>
            <w:vAlign w:val="top"/>
          </w:tcPr>
          <w:p w14:paraId="30F1DAB5">
            <w:pPr>
              <w:pStyle w:val="21"/>
              <w:spacing w:before="161" w:line="225" w:lineRule="auto"/>
              <w:ind w:left="102"/>
            </w:pPr>
            <w:r>
              <w:rPr>
                <w:spacing w:val="-2"/>
              </w:rPr>
              <w:t>从业人员 100 人一 2000 人，且营业收入</w:t>
            </w:r>
            <w:r>
              <w:rPr>
                <w:spacing w:val="22"/>
              </w:rPr>
              <w:t xml:space="preserve"> </w:t>
            </w:r>
            <w:r>
              <w:rPr>
                <w:spacing w:val="-2"/>
              </w:rPr>
              <w:t>1000</w:t>
            </w:r>
            <w:r>
              <w:rPr>
                <w:spacing w:val="37"/>
              </w:rPr>
              <w:t xml:space="preserve"> </w:t>
            </w:r>
            <w:r>
              <w:rPr>
                <w:spacing w:val="-2"/>
              </w:rPr>
              <w:t>万元一 100</w:t>
            </w:r>
            <w:r>
              <w:rPr>
                <w:spacing w:val="-3"/>
              </w:rPr>
              <w:t>00 万元</w:t>
            </w:r>
          </w:p>
        </w:tc>
      </w:tr>
      <w:tr w14:paraId="6378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7D9E5710">
            <w:pPr>
              <w:rPr>
                <w:rFonts w:ascii="Arial"/>
                <w:sz w:val="21"/>
              </w:rPr>
            </w:pPr>
          </w:p>
        </w:tc>
        <w:tc>
          <w:tcPr>
            <w:tcW w:w="848" w:type="dxa"/>
            <w:vAlign w:val="top"/>
          </w:tcPr>
          <w:p w14:paraId="335C52D8">
            <w:pPr>
              <w:pStyle w:val="21"/>
              <w:spacing w:before="203" w:line="181" w:lineRule="auto"/>
              <w:ind w:left="210"/>
            </w:pPr>
            <w:r>
              <w:rPr>
                <w:spacing w:val="-1"/>
              </w:rPr>
              <w:t>小型</w:t>
            </w:r>
          </w:p>
        </w:tc>
        <w:tc>
          <w:tcPr>
            <w:tcW w:w="6551" w:type="dxa"/>
            <w:vAlign w:val="top"/>
          </w:tcPr>
          <w:p w14:paraId="6A8C71BA">
            <w:pPr>
              <w:pStyle w:val="21"/>
              <w:spacing w:before="161" w:line="225" w:lineRule="auto"/>
              <w:ind w:left="102"/>
            </w:pPr>
            <w:r>
              <w:rPr>
                <w:spacing w:val="-2"/>
              </w:rPr>
              <w:t>从业人员 10 人一 100 人，且营业收入</w:t>
            </w:r>
            <w:r>
              <w:rPr>
                <w:spacing w:val="22"/>
              </w:rPr>
              <w:t xml:space="preserve"> </w:t>
            </w:r>
            <w:r>
              <w:rPr>
                <w:spacing w:val="-2"/>
              </w:rPr>
              <w:t>1</w:t>
            </w:r>
            <w:r>
              <w:rPr>
                <w:spacing w:val="-3"/>
              </w:rPr>
              <w:t>00</w:t>
            </w:r>
            <w:r>
              <w:rPr>
                <w:spacing w:val="37"/>
              </w:rPr>
              <w:t xml:space="preserve"> </w:t>
            </w:r>
            <w:r>
              <w:rPr>
                <w:spacing w:val="-3"/>
              </w:rPr>
              <w:t>万元一 1000 万元</w:t>
            </w:r>
          </w:p>
        </w:tc>
      </w:tr>
      <w:tr w14:paraId="22ED8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394" w:type="dxa"/>
            <w:vMerge w:val="continue"/>
            <w:tcBorders>
              <w:top w:val="nil"/>
            </w:tcBorders>
            <w:vAlign w:val="top"/>
          </w:tcPr>
          <w:p w14:paraId="146D1B4A">
            <w:pPr>
              <w:rPr>
                <w:rFonts w:ascii="Arial"/>
                <w:sz w:val="21"/>
              </w:rPr>
            </w:pPr>
          </w:p>
        </w:tc>
        <w:tc>
          <w:tcPr>
            <w:tcW w:w="848" w:type="dxa"/>
            <w:vAlign w:val="top"/>
          </w:tcPr>
          <w:p w14:paraId="4F8AB448">
            <w:pPr>
              <w:pStyle w:val="21"/>
              <w:spacing w:before="201" w:line="182" w:lineRule="auto"/>
              <w:ind w:left="209"/>
            </w:pPr>
            <w:r>
              <w:rPr>
                <w:spacing w:val="-1"/>
              </w:rPr>
              <w:t>微型</w:t>
            </w:r>
          </w:p>
        </w:tc>
        <w:tc>
          <w:tcPr>
            <w:tcW w:w="6551" w:type="dxa"/>
            <w:vAlign w:val="top"/>
          </w:tcPr>
          <w:p w14:paraId="7CCE9977">
            <w:pPr>
              <w:pStyle w:val="21"/>
              <w:spacing w:before="161" w:line="225" w:lineRule="auto"/>
              <w:ind w:left="102"/>
            </w:pPr>
            <w:r>
              <w:rPr>
                <w:spacing w:val="-2"/>
              </w:rPr>
              <w:t>从业人员 10 人以下或营业收入</w:t>
            </w:r>
            <w:r>
              <w:rPr>
                <w:spacing w:val="21"/>
                <w:w w:val="101"/>
              </w:rPr>
              <w:t xml:space="preserve"> </w:t>
            </w:r>
            <w:r>
              <w:rPr>
                <w:spacing w:val="-2"/>
              </w:rPr>
              <w:t>100</w:t>
            </w:r>
            <w:r>
              <w:rPr>
                <w:spacing w:val="36"/>
                <w:w w:val="101"/>
              </w:rPr>
              <w:t xml:space="preserve"> </w:t>
            </w:r>
            <w:r>
              <w:rPr>
                <w:spacing w:val="-2"/>
              </w:rPr>
              <w:t>万元以下</w:t>
            </w:r>
          </w:p>
        </w:tc>
      </w:tr>
    </w:tbl>
    <w:p w14:paraId="123AB063">
      <w:pPr>
        <w:pStyle w:val="7"/>
      </w:pPr>
    </w:p>
    <w:p w14:paraId="6AF3F863">
      <w:pPr>
        <w:sectPr>
          <w:footerReference r:id="rId25" w:type="default"/>
          <w:pgSz w:w="11905" w:h="16839"/>
          <w:pgMar w:top="1431" w:right="1050" w:bottom="1197" w:left="1050" w:header="0" w:footer="963" w:gutter="0"/>
          <w:pgNumType w:fmt="decimal"/>
          <w:cols w:space="720" w:num="1"/>
        </w:sectPr>
      </w:pPr>
    </w:p>
    <w:p w14:paraId="778960F5">
      <w:pPr>
        <w:spacing w:line="91" w:lineRule="auto"/>
        <w:rPr>
          <w:rFonts w:ascii="Arial"/>
          <w:sz w:val="2"/>
        </w:rPr>
      </w:pPr>
    </w:p>
    <w:tbl>
      <w:tblPr>
        <w:tblStyle w:val="20"/>
        <w:tblW w:w="97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4"/>
        <w:gridCol w:w="848"/>
        <w:gridCol w:w="6551"/>
      </w:tblGrid>
      <w:tr w14:paraId="7C046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394" w:type="dxa"/>
            <w:vMerge w:val="restart"/>
            <w:tcBorders>
              <w:bottom w:val="nil"/>
            </w:tcBorders>
            <w:vAlign w:val="top"/>
          </w:tcPr>
          <w:p w14:paraId="128A906C">
            <w:pPr>
              <w:spacing w:line="245" w:lineRule="auto"/>
              <w:rPr>
                <w:rFonts w:ascii="Arial"/>
                <w:sz w:val="21"/>
              </w:rPr>
            </w:pPr>
          </w:p>
          <w:p w14:paraId="714B8AAE">
            <w:pPr>
              <w:spacing w:line="245" w:lineRule="auto"/>
              <w:rPr>
                <w:rFonts w:ascii="Arial"/>
                <w:sz w:val="21"/>
              </w:rPr>
            </w:pPr>
          </w:p>
          <w:p w14:paraId="12B30575">
            <w:pPr>
              <w:spacing w:line="246" w:lineRule="auto"/>
              <w:rPr>
                <w:rFonts w:ascii="Arial"/>
                <w:sz w:val="21"/>
              </w:rPr>
            </w:pPr>
          </w:p>
          <w:p w14:paraId="04960089">
            <w:pPr>
              <w:spacing w:line="246" w:lineRule="auto"/>
              <w:rPr>
                <w:rFonts w:ascii="Arial"/>
                <w:sz w:val="21"/>
              </w:rPr>
            </w:pPr>
          </w:p>
          <w:p w14:paraId="78704A85">
            <w:pPr>
              <w:pStyle w:val="21"/>
              <w:spacing w:before="90" w:line="184" w:lineRule="auto"/>
              <w:ind w:left="144"/>
            </w:pPr>
            <w:r>
              <w:rPr>
                <w:spacing w:val="-1"/>
              </w:rPr>
              <w:t>软件和信息技术服务业</w:t>
            </w:r>
          </w:p>
        </w:tc>
        <w:tc>
          <w:tcPr>
            <w:tcW w:w="7399" w:type="dxa"/>
            <w:gridSpan w:val="2"/>
            <w:vAlign w:val="top"/>
          </w:tcPr>
          <w:p w14:paraId="68B21B79">
            <w:pPr>
              <w:pStyle w:val="21"/>
              <w:spacing w:before="156" w:line="225" w:lineRule="auto"/>
              <w:ind w:left="446"/>
            </w:pPr>
            <w:r>
              <w:rPr>
                <w:spacing w:val="-2"/>
              </w:rPr>
              <w:t>从业人员 300 人以下或营业收入</w:t>
            </w:r>
            <w:r>
              <w:rPr>
                <w:spacing w:val="22"/>
              </w:rPr>
              <w:t xml:space="preserve"> </w:t>
            </w:r>
            <w:r>
              <w:rPr>
                <w:spacing w:val="-2"/>
              </w:rPr>
              <w:t>100</w:t>
            </w:r>
            <w:r>
              <w:rPr>
                <w:spacing w:val="-3"/>
              </w:rPr>
              <w:t>00</w:t>
            </w:r>
            <w:r>
              <w:rPr>
                <w:spacing w:val="37"/>
              </w:rPr>
              <w:t xml:space="preserve"> </w:t>
            </w:r>
            <w:r>
              <w:rPr>
                <w:spacing w:val="-3"/>
              </w:rPr>
              <w:t>万元以下的为中小微型企业。</w:t>
            </w:r>
          </w:p>
        </w:tc>
      </w:tr>
      <w:tr w14:paraId="5CFF1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555505F0">
            <w:pPr>
              <w:rPr>
                <w:rFonts w:ascii="Arial"/>
                <w:sz w:val="21"/>
              </w:rPr>
            </w:pPr>
          </w:p>
        </w:tc>
        <w:tc>
          <w:tcPr>
            <w:tcW w:w="848" w:type="dxa"/>
            <w:vAlign w:val="top"/>
          </w:tcPr>
          <w:p w14:paraId="2CA8D21F">
            <w:pPr>
              <w:pStyle w:val="21"/>
              <w:spacing w:before="192" w:line="182" w:lineRule="auto"/>
              <w:ind w:left="223"/>
            </w:pPr>
            <w:r>
              <w:rPr>
                <w:spacing w:val="-5"/>
              </w:rPr>
              <w:t>中型</w:t>
            </w:r>
          </w:p>
        </w:tc>
        <w:tc>
          <w:tcPr>
            <w:tcW w:w="6551" w:type="dxa"/>
            <w:vAlign w:val="top"/>
          </w:tcPr>
          <w:p w14:paraId="40480887">
            <w:pPr>
              <w:pStyle w:val="21"/>
              <w:spacing w:before="152" w:line="225" w:lineRule="auto"/>
              <w:ind w:left="102"/>
            </w:pPr>
            <w:r>
              <w:rPr>
                <w:spacing w:val="-2"/>
              </w:rPr>
              <w:t>从业人员 100—</w:t>
            </w:r>
            <w:r>
              <w:rPr>
                <w:spacing w:val="14"/>
              </w:rPr>
              <w:t xml:space="preserve"> </w:t>
            </w:r>
            <w:r>
              <w:rPr>
                <w:spacing w:val="-2"/>
              </w:rPr>
              <w:t>300 人，且营业收入</w:t>
            </w:r>
            <w:r>
              <w:rPr>
                <w:spacing w:val="22"/>
              </w:rPr>
              <w:t xml:space="preserve"> </w:t>
            </w:r>
            <w:r>
              <w:rPr>
                <w:spacing w:val="-2"/>
              </w:rPr>
              <w:t>1000</w:t>
            </w:r>
            <w:r>
              <w:rPr>
                <w:spacing w:val="37"/>
              </w:rPr>
              <w:t xml:space="preserve"> </w:t>
            </w:r>
            <w:r>
              <w:rPr>
                <w:spacing w:val="-2"/>
              </w:rPr>
              <w:t xml:space="preserve">万元一 </w:t>
            </w:r>
            <w:r>
              <w:rPr>
                <w:spacing w:val="-3"/>
              </w:rPr>
              <w:t>10000 万元</w:t>
            </w:r>
          </w:p>
        </w:tc>
      </w:tr>
      <w:tr w14:paraId="65A39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423C8872">
            <w:pPr>
              <w:rPr>
                <w:rFonts w:ascii="Arial"/>
                <w:sz w:val="21"/>
              </w:rPr>
            </w:pPr>
          </w:p>
        </w:tc>
        <w:tc>
          <w:tcPr>
            <w:tcW w:w="848" w:type="dxa"/>
            <w:vAlign w:val="top"/>
          </w:tcPr>
          <w:p w14:paraId="59691A24">
            <w:pPr>
              <w:pStyle w:val="21"/>
              <w:spacing w:before="195" w:line="181" w:lineRule="auto"/>
              <w:ind w:left="210"/>
            </w:pPr>
            <w:r>
              <w:rPr>
                <w:spacing w:val="-1"/>
              </w:rPr>
              <w:t>小型</w:t>
            </w:r>
          </w:p>
        </w:tc>
        <w:tc>
          <w:tcPr>
            <w:tcW w:w="6551" w:type="dxa"/>
            <w:vAlign w:val="top"/>
          </w:tcPr>
          <w:p w14:paraId="482B2985">
            <w:pPr>
              <w:pStyle w:val="21"/>
              <w:spacing w:before="153" w:line="225" w:lineRule="auto"/>
              <w:ind w:left="102"/>
            </w:pPr>
            <w:r>
              <w:rPr>
                <w:spacing w:val="-2"/>
              </w:rPr>
              <w:t>从业人员 10 人一 100 人，且营业收入</w:t>
            </w:r>
            <w:r>
              <w:rPr>
                <w:spacing w:val="18"/>
              </w:rPr>
              <w:t xml:space="preserve"> </w:t>
            </w:r>
            <w:r>
              <w:rPr>
                <w:spacing w:val="-2"/>
              </w:rPr>
              <w:t>50</w:t>
            </w:r>
            <w:r>
              <w:rPr>
                <w:spacing w:val="37"/>
              </w:rPr>
              <w:t xml:space="preserve"> </w:t>
            </w:r>
            <w:r>
              <w:rPr>
                <w:spacing w:val="-3"/>
              </w:rPr>
              <w:t>万元一 1000 万元</w:t>
            </w:r>
          </w:p>
        </w:tc>
      </w:tr>
      <w:tr w14:paraId="06022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37B15168">
            <w:pPr>
              <w:rPr>
                <w:rFonts w:ascii="Arial"/>
                <w:sz w:val="21"/>
              </w:rPr>
            </w:pPr>
          </w:p>
        </w:tc>
        <w:tc>
          <w:tcPr>
            <w:tcW w:w="848" w:type="dxa"/>
            <w:vAlign w:val="top"/>
          </w:tcPr>
          <w:p w14:paraId="29026926">
            <w:pPr>
              <w:pStyle w:val="21"/>
              <w:spacing w:before="194" w:line="182" w:lineRule="auto"/>
              <w:ind w:left="209"/>
            </w:pPr>
            <w:r>
              <w:rPr>
                <w:spacing w:val="-1"/>
              </w:rPr>
              <w:t>微型</w:t>
            </w:r>
          </w:p>
        </w:tc>
        <w:tc>
          <w:tcPr>
            <w:tcW w:w="6551" w:type="dxa"/>
            <w:vAlign w:val="top"/>
          </w:tcPr>
          <w:p w14:paraId="16DB722C">
            <w:pPr>
              <w:pStyle w:val="21"/>
              <w:spacing w:before="154" w:line="225" w:lineRule="auto"/>
              <w:ind w:left="102"/>
            </w:pPr>
            <w:r>
              <w:rPr>
                <w:spacing w:val="-2"/>
              </w:rPr>
              <w:t>从业人员 10 人以下或营业收入</w:t>
            </w:r>
            <w:r>
              <w:rPr>
                <w:spacing w:val="18"/>
                <w:w w:val="101"/>
              </w:rPr>
              <w:t xml:space="preserve"> </w:t>
            </w:r>
            <w:r>
              <w:rPr>
                <w:spacing w:val="-2"/>
              </w:rPr>
              <w:t>50</w:t>
            </w:r>
            <w:r>
              <w:rPr>
                <w:spacing w:val="37"/>
              </w:rPr>
              <w:t xml:space="preserve"> </w:t>
            </w:r>
            <w:r>
              <w:rPr>
                <w:spacing w:val="-2"/>
              </w:rPr>
              <w:t>万元以下</w:t>
            </w:r>
          </w:p>
        </w:tc>
      </w:tr>
      <w:tr w14:paraId="38223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3841E21A">
            <w:pPr>
              <w:spacing w:line="248" w:lineRule="auto"/>
              <w:rPr>
                <w:rFonts w:ascii="Arial"/>
                <w:sz w:val="21"/>
              </w:rPr>
            </w:pPr>
          </w:p>
          <w:p w14:paraId="0C596762">
            <w:pPr>
              <w:spacing w:line="248" w:lineRule="auto"/>
              <w:rPr>
                <w:rFonts w:ascii="Arial"/>
                <w:sz w:val="21"/>
              </w:rPr>
            </w:pPr>
          </w:p>
          <w:p w14:paraId="0AA1FE29">
            <w:pPr>
              <w:spacing w:line="248" w:lineRule="auto"/>
              <w:rPr>
                <w:rFonts w:ascii="Arial"/>
                <w:sz w:val="21"/>
              </w:rPr>
            </w:pPr>
          </w:p>
          <w:p w14:paraId="0DF43D57">
            <w:pPr>
              <w:spacing w:line="248" w:lineRule="auto"/>
              <w:rPr>
                <w:rFonts w:ascii="Arial"/>
                <w:sz w:val="21"/>
              </w:rPr>
            </w:pPr>
          </w:p>
          <w:p w14:paraId="0E8E3C7D">
            <w:pPr>
              <w:spacing w:line="249" w:lineRule="auto"/>
              <w:rPr>
                <w:rFonts w:ascii="Arial"/>
                <w:sz w:val="21"/>
              </w:rPr>
            </w:pPr>
          </w:p>
          <w:p w14:paraId="7A7A564B">
            <w:pPr>
              <w:pStyle w:val="21"/>
              <w:spacing w:before="90" w:line="183" w:lineRule="auto"/>
              <w:ind w:left="457"/>
            </w:pPr>
            <w:r>
              <w:rPr>
                <w:spacing w:val="-1"/>
              </w:rPr>
              <w:t>房地产开发经营</w:t>
            </w:r>
          </w:p>
        </w:tc>
        <w:tc>
          <w:tcPr>
            <w:tcW w:w="7399" w:type="dxa"/>
            <w:gridSpan w:val="2"/>
            <w:vAlign w:val="top"/>
          </w:tcPr>
          <w:p w14:paraId="23654E65">
            <w:pPr>
              <w:pStyle w:val="21"/>
              <w:spacing w:before="154" w:line="225" w:lineRule="auto"/>
              <w:ind w:left="159"/>
            </w:pPr>
            <w:r>
              <w:rPr>
                <w:spacing w:val="-2"/>
              </w:rPr>
              <w:t>营业收入 200000 万元以下或资产总额</w:t>
            </w:r>
            <w:r>
              <w:rPr>
                <w:spacing w:val="22"/>
              </w:rPr>
              <w:t xml:space="preserve"> </w:t>
            </w:r>
            <w:r>
              <w:rPr>
                <w:spacing w:val="-2"/>
              </w:rPr>
              <w:t>10000</w:t>
            </w:r>
            <w:r>
              <w:rPr>
                <w:spacing w:val="37"/>
              </w:rPr>
              <w:t xml:space="preserve"> </w:t>
            </w:r>
            <w:r>
              <w:rPr>
                <w:spacing w:val="-2"/>
              </w:rPr>
              <w:t>万元以</w:t>
            </w:r>
            <w:r>
              <w:rPr>
                <w:spacing w:val="-3"/>
              </w:rPr>
              <w:t>下的为中小微型企业。</w:t>
            </w:r>
          </w:p>
        </w:tc>
      </w:tr>
      <w:tr w14:paraId="4F44E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394" w:type="dxa"/>
            <w:vMerge w:val="continue"/>
            <w:tcBorders>
              <w:top w:val="nil"/>
              <w:bottom w:val="nil"/>
            </w:tcBorders>
            <w:vAlign w:val="top"/>
          </w:tcPr>
          <w:p w14:paraId="003ADF4F">
            <w:pPr>
              <w:rPr>
                <w:rFonts w:ascii="Arial"/>
                <w:sz w:val="21"/>
              </w:rPr>
            </w:pPr>
          </w:p>
        </w:tc>
        <w:tc>
          <w:tcPr>
            <w:tcW w:w="848" w:type="dxa"/>
            <w:vAlign w:val="top"/>
          </w:tcPr>
          <w:p w14:paraId="1F166611">
            <w:pPr>
              <w:pStyle w:val="21"/>
              <w:spacing w:before="326" w:line="182" w:lineRule="auto"/>
              <w:ind w:left="223"/>
            </w:pPr>
            <w:r>
              <w:rPr>
                <w:spacing w:val="-5"/>
              </w:rPr>
              <w:t>中型</w:t>
            </w:r>
          </w:p>
        </w:tc>
        <w:tc>
          <w:tcPr>
            <w:tcW w:w="6551" w:type="dxa"/>
            <w:vAlign w:val="top"/>
          </w:tcPr>
          <w:p w14:paraId="7AEB6C57">
            <w:pPr>
              <w:pStyle w:val="21"/>
              <w:spacing w:before="75" w:line="251" w:lineRule="auto"/>
              <w:ind w:left="122" w:right="568" w:hanging="17"/>
            </w:pPr>
            <w:r>
              <w:rPr>
                <w:spacing w:val="-2"/>
              </w:rPr>
              <w:t>营业收入 1000 万元一 200000 万元，且资产总额</w:t>
            </w:r>
            <w:r>
              <w:rPr>
                <w:spacing w:val="23"/>
                <w:w w:val="101"/>
              </w:rPr>
              <w:t xml:space="preserve"> </w:t>
            </w:r>
            <w:r>
              <w:rPr>
                <w:spacing w:val="-2"/>
              </w:rPr>
              <w:t>5000</w:t>
            </w:r>
            <w:r>
              <w:rPr>
                <w:spacing w:val="37"/>
              </w:rPr>
              <w:t xml:space="preserve"> </w:t>
            </w:r>
            <w:r>
              <w:rPr>
                <w:spacing w:val="-2"/>
              </w:rPr>
              <w:t>万元一</w:t>
            </w:r>
            <w:r>
              <w:t xml:space="preserve"> </w:t>
            </w:r>
            <w:r>
              <w:rPr>
                <w:spacing w:val="-4"/>
              </w:rPr>
              <w:t>10000 万元</w:t>
            </w:r>
          </w:p>
        </w:tc>
      </w:tr>
      <w:tr w14:paraId="20D32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394" w:type="dxa"/>
            <w:vMerge w:val="continue"/>
            <w:tcBorders>
              <w:top w:val="nil"/>
              <w:bottom w:val="nil"/>
            </w:tcBorders>
            <w:vAlign w:val="top"/>
          </w:tcPr>
          <w:p w14:paraId="09C4E3D0">
            <w:pPr>
              <w:rPr>
                <w:rFonts w:ascii="Arial"/>
                <w:sz w:val="21"/>
              </w:rPr>
            </w:pPr>
          </w:p>
        </w:tc>
        <w:tc>
          <w:tcPr>
            <w:tcW w:w="848" w:type="dxa"/>
            <w:vAlign w:val="top"/>
          </w:tcPr>
          <w:p w14:paraId="35AABE08">
            <w:pPr>
              <w:pStyle w:val="21"/>
              <w:spacing w:before="329" w:line="181" w:lineRule="auto"/>
              <w:ind w:left="210"/>
            </w:pPr>
            <w:r>
              <w:rPr>
                <w:spacing w:val="-1"/>
              </w:rPr>
              <w:t>小型</w:t>
            </w:r>
          </w:p>
        </w:tc>
        <w:tc>
          <w:tcPr>
            <w:tcW w:w="6551" w:type="dxa"/>
            <w:vAlign w:val="top"/>
          </w:tcPr>
          <w:p w14:paraId="782ABC94">
            <w:pPr>
              <w:pStyle w:val="21"/>
              <w:spacing w:before="78" w:line="250" w:lineRule="auto"/>
              <w:ind w:left="104" w:right="58" w:firstLine="1"/>
            </w:pPr>
            <w:r>
              <w:rPr>
                <w:spacing w:val="-1"/>
              </w:rPr>
              <w:t>营业收入 100 万元一 1000 万元，且资产总额</w:t>
            </w:r>
            <w:r>
              <w:rPr>
                <w:spacing w:val="-2"/>
              </w:rPr>
              <w:t xml:space="preserve"> 2 000</w:t>
            </w:r>
            <w:r>
              <w:rPr>
                <w:spacing w:val="37"/>
              </w:rPr>
              <w:t xml:space="preserve"> </w:t>
            </w:r>
            <w:r>
              <w:rPr>
                <w:spacing w:val="-2"/>
              </w:rPr>
              <w:t>万元一 5000 万</w:t>
            </w:r>
            <w:r>
              <w:t xml:space="preserve"> 元</w:t>
            </w:r>
          </w:p>
        </w:tc>
      </w:tr>
      <w:tr w14:paraId="32CD9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56878DB8">
            <w:pPr>
              <w:rPr>
                <w:rFonts w:ascii="Arial"/>
                <w:sz w:val="21"/>
              </w:rPr>
            </w:pPr>
          </w:p>
        </w:tc>
        <w:tc>
          <w:tcPr>
            <w:tcW w:w="848" w:type="dxa"/>
            <w:vAlign w:val="top"/>
          </w:tcPr>
          <w:p w14:paraId="24EC0676">
            <w:pPr>
              <w:pStyle w:val="21"/>
              <w:spacing w:before="198" w:line="182" w:lineRule="auto"/>
              <w:ind w:left="209"/>
            </w:pPr>
            <w:r>
              <w:rPr>
                <w:spacing w:val="-1"/>
              </w:rPr>
              <w:t>微型</w:t>
            </w:r>
          </w:p>
        </w:tc>
        <w:tc>
          <w:tcPr>
            <w:tcW w:w="6551" w:type="dxa"/>
            <w:vAlign w:val="top"/>
          </w:tcPr>
          <w:p w14:paraId="58F2EAEC">
            <w:pPr>
              <w:pStyle w:val="21"/>
              <w:spacing w:before="157" w:line="225" w:lineRule="auto"/>
              <w:ind w:left="105"/>
            </w:pPr>
            <w:r>
              <w:rPr>
                <w:spacing w:val="-1"/>
              </w:rPr>
              <w:t>营业收入 100 万元以下或资产总额 2000</w:t>
            </w:r>
            <w:r>
              <w:rPr>
                <w:spacing w:val="41"/>
              </w:rPr>
              <w:t xml:space="preserve"> </w:t>
            </w:r>
            <w:r>
              <w:rPr>
                <w:spacing w:val="-1"/>
              </w:rPr>
              <w:t>万元以下的为微型企业</w:t>
            </w:r>
          </w:p>
        </w:tc>
      </w:tr>
      <w:tr w14:paraId="46063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606548D5">
            <w:pPr>
              <w:spacing w:line="246" w:lineRule="auto"/>
              <w:rPr>
                <w:rFonts w:ascii="Arial"/>
                <w:sz w:val="21"/>
              </w:rPr>
            </w:pPr>
          </w:p>
          <w:p w14:paraId="6EC9DD49">
            <w:pPr>
              <w:spacing w:line="246" w:lineRule="auto"/>
              <w:rPr>
                <w:rFonts w:ascii="Arial"/>
                <w:sz w:val="21"/>
              </w:rPr>
            </w:pPr>
          </w:p>
          <w:p w14:paraId="06F0C489">
            <w:pPr>
              <w:spacing w:line="247" w:lineRule="auto"/>
              <w:rPr>
                <w:rFonts w:ascii="Arial"/>
                <w:sz w:val="21"/>
              </w:rPr>
            </w:pPr>
          </w:p>
          <w:p w14:paraId="3A1E6F77">
            <w:pPr>
              <w:spacing w:line="247" w:lineRule="auto"/>
              <w:rPr>
                <w:rFonts w:ascii="Arial"/>
                <w:sz w:val="21"/>
              </w:rPr>
            </w:pPr>
          </w:p>
          <w:p w14:paraId="3851C37F">
            <w:pPr>
              <w:pStyle w:val="21"/>
              <w:spacing w:before="91" w:line="183" w:lineRule="auto"/>
              <w:ind w:left="770"/>
            </w:pPr>
            <w:r>
              <w:rPr>
                <w:spacing w:val="-1"/>
              </w:rPr>
              <w:t>物业管理</w:t>
            </w:r>
          </w:p>
        </w:tc>
        <w:tc>
          <w:tcPr>
            <w:tcW w:w="7399" w:type="dxa"/>
            <w:gridSpan w:val="2"/>
            <w:vAlign w:val="top"/>
          </w:tcPr>
          <w:p w14:paraId="46153398">
            <w:pPr>
              <w:pStyle w:val="21"/>
              <w:spacing w:before="159" w:line="225" w:lineRule="auto"/>
              <w:ind w:left="446"/>
            </w:pPr>
            <w:r>
              <w:rPr>
                <w:spacing w:val="-2"/>
              </w:rPr>
              <w:t>从业人员 1000 人以下或营业收入</w:t>
            </w:r>
            <w:r>
              <w:rPr>
                <w:spacing w:val="18"/>
              </w:rPr>
              <w:t xml:space="preserve"> </w:t>
            </w:r>
            <w:r>
              <w:rPr>
                <w:spacing w:val="-2"/>
              </w:rPr>
              <w:t>5000</w:t>
            </w:r>
            <w:r>
              <w:rPr>
                <w:spacing w:val="37"/>
              </w:rPr>
              <w:t xml:space="preserve"> </w:t>
            </w:r>
            <w:r>
              <w:rPr>
                <w:spacing w:val="-2"/>
              </w:rPr>
              <w:t>万元</w:t>
            </w:r>
            <w:r>
              <w:rPr>
                <w:spacing w:val="-3"/>
              </w:rPr>
              <w:t>以下的为中小微型企业。</w:t>
            </w:r>
          </w:p>
        </w:tc>
      </w:tr>
      <w:tr w14:paraId="5DA20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5B024BD5">
            <w:pPr>
              <w:rPr>
                <w:rFonts w:ascii="Arial"/>
                <w:sz w:val="21"/>
              </w:rPr>
            </w:pPr>
          </w:p>
        </w:tc>
        <w:tc>
          <w:tcPr>
            <w:tcW w:w="848" w:type="dxa"/>
            <w:vAlign w:val="top"/>
          </w:tcPr>
          <w:p w14:paraId="7565AE31">
            <w:pPr>
              <w:pStyle w:val="21"/>
              <w:spacing w:before="200" w:line="182" w:lineRule="auto"/>
              <w:ind w:left="223"/>
            </w:pPr>
            <w:r>
              <w:rPr>
                <w:spacing w:val="-5"/>
              </w:rPr>
              <w:t>中型</w:t>
            </w:r>
          </w:p>
        </w:tc>
        <w:tc>
          <w:tcPr>
            <w:tcW w:w="6551" w:type="dxa"/>
            <w:vAlign w:val="top"/>
          </w:tcPr>
          <w:p w14:paraId="470924CA">
            <w:pPr>
              <w:pStyle w:val="21"/>
              <w:spacing w:before="160" w:line="225" w:lineRule="auto"/>
              <w:ind w:left="102"/>
            </w:pPr>
            <w:r>
              <w:rPr>
                <w:spacing w:val="-2"/>
              </w:rPr>
              <w:t>从业人员</w:t>
            </w:r>
            <w:r>
              <w:rPr>
                <w:spacing w:val="15"/>
              </w:rPr>
              <w:t xml:space="preserve"> </w:t>
            </w:r>
            <w:r>
              <w:rPr>
                <w:spacing w:val="-2"/>
              </w:rPr>
              <w:t>300</w:t>
            </w:r>
            <w:r>
              <w:rPr>
                <w:spacing w:val="36"/>
                <w:w w:val="101"/>
              </w:rPr>
              <w:t xml:space="preserve"> </w:t>
            </w:r>
            <w:r>
              <w:rPr>
                <w:spacing w:val="-2"/>
              </w:rPr>
              <w:t>人一 1 000 人，且营业收入</w:t>
            </w:r>
            <w:r>
              <w:rPr>
                <w:spacing w:val="22"/>
              </w:rPr>
              <w:t xml:space="preserve"> </w:t>
            </w:r>
            <w:r>
              <w:rPr>
                <w:spacing w:val="-2"/>
              </w:rPr>
              <w:t>1000</w:t>
            </w:r>
            <w:r>
              <w:rPr>
                <w:spacing w:val="37"/>
              </w:rPr>
              <w:t xml:space="preserve"> </w:t>
            </w:r>
            <w:r>
              <w:rPr>
                <w:spacing w:val="-2"/>
              </w:rPr>
              <w:t>万元一</w:t>
            </w:r>
            <w:r>
              <w:rPr>
                <w:spacing w:val="-3"/>
              </w:rPr>
              <w:t xml:space="preserve"> 5000 万元</w:t>
            </w:r>
          </w:p>
        </w:tc>
      </w:tr>
      <w:tr w14:paraId="056A0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5F2945C4">
            <w:pPr>
              <w:rPr>
                <w:rFonts w:ascii="Arial"/>
                <w:sz w:val="21"/>
              </w:rPr>
            </w:pPr>
          </w:p>
        </w:tc>
        <w:tc>
          <w:tcPr>
            <w:tcW w:w="848" w:type="dxa"/>
            <w:vAlign w:val="top"/>
          </w:tcPr>
          <w:p w14:paraId="473AC1A7">
            <w:pPr>
              <w:pStyle w:val="21"/>
              <w:spacing w:before="202" w:line="181" w:lineRule="auto"/>
              <w:ind w:left="210"/>
            </w:pPr>
            <w:r>
              <w:rPr>
                <w:spacing w:val="-1"/>
              </w:rPr>
              <w:t>小型</w:t>
            </w:r>
          </w:p>
        </w:tc>
        <w:tc>
          <w:tcPr>
            <w:tcW w:w="6551" w:type="dxa"/>
            <w:vAlign w:val="top"/>
          </w:tcPr>
          <w:p w14:paraId="784C897B">
            <w:pPr>
              <w:pStyle w:val="21"/>
              <w:spacing w:before="160" w:line="225" w:lineRule="auto"/>
              <w:ind w:left="102"/>
            </w:pPr>
            <w:r>
              <w:rPr>
                <w:spacing w:val="-2"/>
              </w:rPr>
              <w:t>从业人员 100 人一 300 人，且营业收入</w:t>
            </w:r>
            <w:r>
              <w:rPr>
                <w:spacing w:val="18"/>
              </w:rPr>
              <w:t xml:space="preserve"> </w:t>
            </w:r>
            <w:r>
              <w:rPr>
                <w:spacing w:val="-2"/>
              </w:rPr>
              <w:t>500</w:t>
            </w:r>
            <w:r>
              <w:rPr>
                <w:spacing w:val="37"/>
              </w:rPr>
              <w:t xml:space="preserve"> </w:t>
            </w:r>
            <w:r>
              <w:rPr>
                <w:spacing w:val="-2"/>
              </w:rPr>
              <w:t xml:space="preserve">万元一 </w:t>
            </w:r>
            <w:r>
              <w:rPr>
                <w:spacing w:val="-3"/>
              </w:rPr>
              <w:t>1000 万元</w:t>
            </w:r>
          </w:p>
        </w:tc>
      </w:tr>
      <w:tr w14:paraId="764AF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3E2FD774">
            <w:pPr>
              <w:rPr>
                <w:rFonts w:ascii="Arial"/>
                <w:sz w:val="21"/>
              </w:rPr>
            </w:pPr>
          </w:p>
        </w:tc>
        <w:tc>
          <w:tcPr>
            <w:tcW w:w="848" w:type="dxa"/>
            <w:vAlign w:val="top"/>
          </w:tcPr>
          <w:p w14:paraId="53AA8444">
            <w:pPr>
              <w:pStyle w:val="21"/>
              <w:spacing w:before="200" w:line="182" w:lineRule="auto"/>
              <w:ind w:left="209"/>
            </w:pPr>
            <w:r>
              <w:rPr>
                <w:spacing w:val="-1"/>
              </w:rPr>
              <w:t>微型</w:t>
            </w:r>
          </w:p>
        </w:tc>
        <w:tc>
          <w:tcPr>
            <w:tcW w:w="6551" w:type="dxa"/>
            <w:vAlign w:val="top"/>
          </w:tcPr>
          <w:p w14:paraId="1003FACC">
            <w:pPr>
              <w:pStyle w:val="21"/>
              <w:spacing w:before="160" w:line="225" w:lineRule="auto"/>
              <w:ind w:left="102"/>
            </w:pPr>
            <w:r>
              <w:rPr>
                <w:spacing w:val="-2"/>
              </w:rPr>
              <w:t>从业人员 100 人以下或营业收入</w:t>
            </w:r>
            <w:r>
              <w:rPr>
                <w:spacing w:val="22"/>
                <w:w w:val="101"/>
              </w:rPr>
              <w:t xml:space="preserve"> </w:t>
            </w:r>
            <w:r>
              <w:rPr>
                <w:spacing w:val="-2"/>
              </w:rPr>
              <w:t>500</w:t>
            </w:r>
            <w:r>
              <w:rPr>
                <w:spacing w:val="37"/>
              </w:rPr>
              <w:t xml:space="preserve"> </w:t>
            </w:r>
            <w:r>
              <w:rPr>
                <w:spacing w:val="-2"/>
              </w:rPr>
              <w:t>万元以下</w:t>
            </w:r>
          </w:p>
        </w:tc>
      </w:tr>
      <w:tr w14:paraId="0022D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2394" w:type="dxa"/>
            <w:vMerge w:val="restart"/>
            <w:tcBorders>
              <w:bottom w:val="nil"/>
            </w:tcBorders>
            <w:vAlign w:val="top"/>
          </w:tcPr>
          <w:p w14:paraId="6C609008">
            <w:pPr>
              <w:spacing w:line="255" w:lineRule="auto"/>
              <w:rPr>
                <w:rFonts w:ascii="Arial"/>
                <w:sz w:val="21"/>
              </w:rPr>
            </w:pPr>
          </w:p>
          <w:p w14:paraId="4024F37C">
            <w:pPr>
              <w:spacing w:line="255" w:lineRule="auto"/>
              <w:rPr>
                <w:rFonts w:ascii="Arial"/>
                <w:sz w:val="21"/>
              </w:rPr>
            </w:pPr>
          </w:p>
          <w:p w14:paraId="60E79B10">
            <w:pPr>
              <w:spacing w:line="255" w:lineRule="auto"/>
              <w:rPr>
                <w:rFonts w:ascii="Arial"/>
                <w:sz w:val="21"/>
              </w:rPr>
            </w:pPr>
          </w:p>
          <w:p w14:paraId="390C92FE">
            <w:pPr>
              <w:spacing w:line="256" w:lineRule="auto"/>
              <w:rPr>
                <w:rFonts w:ascii="Arial"/>
                <w:sz w:val="21"/>
              </w:rPr>
            </w:pPr>
          </w:p>
          <w:p w14:paraId="000E082D">
            <w:pPr>
              <w:spacing w:line="256" w:lineRule="auto"/>
              <w:rPr>
                <w:rFonts w:ascii="Arial"/>
                <w:sz w:val="21"/>
              </w:rPr>
            </w:pPr>
          </w:p>
          <w:p w14:paraId="7AA3C9EC">
            <w:pPr>
              <w:spacing w:line="256" w:lineRule="auto"/>
              <w:rPr>
                <w:rFonts w:ascii="Arial"/>
                <w:sz w:val="21"/>
              </w:rPr>
            </w:pPr>
          </w:p>
          <w:p w14:paraId="60C67D57">
            <w:pPr>
              <w:pStyle w:val="21"/>
              <w:spacing w:before="90" w:line="184" w:lineRule="auto"/>
              <w:ind w:left="105"/>
            </w:pPr>
            <w:r>
              <w:rPr>
                <w:spacing w:val="-1"/>
              </w:rPr>
              <w:t>租赁和商务服务业</w:t>
            </w:r>
          </w:p>
        </w:tc>
        <w:tc>
          <w:tcPr>
            <w:tcW w:w="7399" w:type="dxa"/>
            <w:gridSpan w:val="2"/>
            <w:vAlign w:val="top"/>
          </w:tcPr>
          <w:p w14:paraId="0D5B0A6E">
            <w:pPr>
              <w:pStyle w:val="21"/>
              <w:spacing w:before="77" w:line="265" w:lineRule="auto"/>
              <w:ind w:left="101" w:right="17"/>
              <w:jc w:val="both"/>
            </w:pPr>
            <w:r>
              <w:rPr>
                <w:spacing w:val="-2"/>
              </w:rPr>
              <w:t>从业人员 300 人以下或资产总额</w:t>
            </w:r>
            <w:r>
              <w:rPr>
                <w:spacing w:val="22"/>
              </w:rPr>
              <w:t xml:space="preserve"> </w:t>
            </w:r>
            <w:r>
              <w:rPr>
                <w:spacing w:val="-2"/>
              </w:rPr>
              <w:t>120 000</w:t>
            </w:r>
            <w:r>
              <w:rPr>
                <w:spacing w:val="37"/>
              </w:rPr>
              <w:t xml:space="preserve"> </w:t>
            </w:r>
            <w:r>
              <w:rPr>
                <w:spacing w:val="-2"/>
              </w:rPr>
              <w:t>万元以下的为</w:t>
            </w:r>
            <w:r>
              <w:rPr>
                <w:spacing w:val="-3"/>
              </w:rPr>
              <w:t>中小微型企业。其中，</w:t>
            </w:r>
            <w:r>
              <w:t xml:space="preserve"> 从业人员 100 人及以上，且资产总额8 000</w:t>
            </w:r>
            <w:r>
              <w:rPr>
                <w:spacing w:val="44"/>
                <w:w w:val="101"/>
              </w:rPr>
              <w:t xml:space="preserve"> </w:t>
            </w:r>
            <w:r>
              <w:t xml:space="preserve">万元及以上的为中型企业；从业人 </w:t>
            </w:r>
            <w:r>
              <w:rPr>
                <w:spacing w:val="-2"/>
              </w:rPr>
              <w:t>员 10 人及以上，且资产总额</w:t>
            </w:r>
            <w:r>
              <w:rPr>
                <w:spacing w:val="22"/>
                <w:w w:val="101"/>
              </w:rPr>
              <w:t xml:space="preserve"> </w:t>
            </w:r>
            <w:r>
              <w:rPr>
                <w:spacing w:val="-2"/>
              </w:rPr>
              <w:t>100</w:t>
            </w:r>
            <w:r>
              <w:rPr>
                <w:spacing w:val="37"/>
              </w:rPr>
              <w:t xml:space="preserve"> </w:t>
            </w:r>
            <w:r>
              <w:rPr>
                <w:spacing w:val="-2"/>
              </w:rPr>
              <w:t>万元及以上的为小型企业；从业人员</w:t>
            </w:r>
            <w:r>
              <w:rPr>
                <w:spacing w:val="21"/>
                <w:w w:val="101"/>
              </w:rPr>
              <w:t xml:space="preserve"> </w:t>
            </w:r>
            <w:r>
              <w:rPr>
                <w:spacing w:val="-2"/>
              </w:rPr>
              <w:t>10</w:t>
            </w:r>
            <w:r>
              <w:rPr>
                <w:spacing w:val="37"/>
              </w:rPr>
              <w:t xml:space="preserve"> </w:t>
            </w:r>
            <w:r>
              <w:rPr>
                <w:spacing w:val="-2"/>
              </w:rPr>
              <w:t>人</w:t>
            </w:r>
            <w:r>
              <w:t xml:space="preserve">   </w:t>
            </w:r>
            <w:r>
              <w:rPr>
                <w:spacing w:val="-3"/>
              </w:rPr>
              <w:t>以下或资产总额</w:t>
            </w:r>
            <w:r>
              <w:rPr>
                <w:spacing w:val="22"/>
              </w:rPr>
              <w:t xml:space="preserve"> </w:t>
            </w:r>
            <w:r>
              <w:rPr>
                <w:spacing w:val="-3"/>
              </w:rPr>
              <w:t>100</w:t>
            </w:r>
            <w:r>
              <w:rPr>
                <w:spacing w:val="37"/>
              </w:rPr>
              <w:t xml:space="preserve"> </w:t>
            </w:r>
            <w:r>
              <w:rPr>
                <w:spacing w:val="-3"/>
              </w:rPr>
              <w:t>万元以下的为微型企</w:t>
            </w:r>
            <w:r>
              <w:rPr>
                <w:spacing w:val="-4"/>
              </w:rPr>
              <w:t>业。</w:t>
            </w:r>
          </w:p>
        </w:tc>
      </w:tr>
      <w:tr w14:paraId="7296B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3A61A23D">
            <w:pPr>
              <w:rPr>
                <w:rFonts w:ascii="Arial"/>
                <w:sz w:val="21"/>
              </w:rPr>
            </w:pPr>
          </w:p>
        </w:tc>
        <w:tc>
          <w:tcPr>
            <w:tcW w:w="848" w:type="dxa"/>
            <w:vAlign w:val="top"/>
          </w:tcPr>
          <w:p w14:paraId="534D2914">
            <w:pPr>
              <w:pStyle w:val="21"/>
              <w:spacing w:before="201" w:line="182" w:lineRule="auto"/>
              <w:ind w:left="223"/>
            </w:pPr>
            <w:r>
              <w:rPr>
                <w:spacing w:val="-5"/>
              </w:rPr>
              <w:t>中型</w:t>
            </w:r>
          </w:p>
        </w:tc>
        <w:tc>
          <w:tcPr>
            <w:tcW w:w="6551" w:type="dxa"/>
            <w:vAlign w:val="top"/>
          </w:tcPr>
          <w:p w14:paraId="47D40EE4">
            <w:pPr>
              <w:pStyle w:val="21"/>
              <w:spacing w:before="160" w:line="225" w:lineRule="auto"/>
              <w:ind w:left="102"/>
            </w:pPr>
            <w:r>
              <w:rPr>
                <w:spacing w:val="-1"/>
              </w:rPr>
              <w:t>从业人员 100 人一 300 人，且</w:t>
            </w:r>
            <w:r>
              <w:rPr>
                <w:spacing w:val="-2"/>
              </w:rPr>
              <w:t>资产总额 8000</w:t>
            </w:r>
            <w:r>
              <w:rPr>
                <w:spacing w:val="37"/>
              </w:rPr>
              <w:t xml:space="preserve"> </w:t>
            </w:r>
            <w:r>
              <w:rPr>
                <w:spacing w:val="-2"/>
              </w:rPr>
              <w:t>万元一 120000 万元</w:t>
            </w:r>
          </w:p>
        </w:tc>
      </w:tr>
      <w:tr w14:paraId="0D88E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444412A9">
            <w:pPr>
              <w:rPr>
                <w:rFonts w:ascii="Arial"/>
                <w:sz w:val="21"/>
              </w:rPr>
            </w:pPr>
          </w:p>
        </w:tc>
        <w:tc>
          <w:tcPr>
            <w:tcW w:w="848" w:type="dxa"/>
            <w:vAlign w:val="top"/>
          </w:tcPr>
          <w:p w14:paraId="05A8A6DD">
            <w:pPr>
              <w:pStyle w:val="21"/>
              <w:spacing w:before="203" w:line="181" w:lineRule="auto"/>
              <w:ind w:left="210"/>
            </w:pPr>
            <w:r>
              <w:rPr>
                <w:spacing w:val="-1"/>
              </w:rPr>
              <w:t>小型</w:t>
            </w:r>
          </w:p>
        </w:tc>
        <w:tc>
          <w:tcPr>
            <w:tcW w:w="6551" w:type="dxa"/>
            <w:vAlign w:val="top"/>
          </w:tcPr>
          <w:p w14:paraId="31B0702F">
            <w:pPr>
              <w:pStyle w:val="21"/>
              <w:spacing w:before="160" w:line="225" w:lineRule="auto"/>
              <w:ind w:left="102"/>
            </w:pPr>
            <w:r>
              <w:rPr>
                <w:spacing w:val="-2"/>
              </w:rPr>
              <w:t>从业人员 10 人一 100 人，且资产总额</w:t>
            </w:r>
            <w:r>
              <w:rPr>
                <w:spacing w:val="22"/>
              </w:rPr>
              <w:t xml:space="preserve"> </w:t>
            </w:r>
            <w:r>
              <w:rPr>
                <w:spacing w:val="-2"/>
              </w:rPr>
              <w:t>1</w:t>
            </w:r>
            <w:r>
              <w:rPr>
                <w:spacing w:val="-3"/>
              </w:rPr>
              <w:t>00</w:t>
            </w:r>
            <w:r>
              <w:rPr>
                <w:spacing w:val="37"/>
              </w:rPr>
              <w:t xml:space="preserve"> </w:t>
            </w:r>
            <w:r>
              <w:rPr>
                <w:spacing w:val="-3"/>
              </w:rPr>
              <w:t>万元一 8000 万元</w:t>
            </w:r>
          </w:p>
        </w:tc>
      </w:tr>
      <w:tr w14:paraId="22F8A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6277412D">
            <w:pPr>
              <w:rPr>
                <w:rFonts w:ascii="Arial"/>
                <w:sz w:val="21"/>
              </w:rPr>
            </w:pPr>
          </w:p>
        </w:tc>
        <w:tc>
          <w:tcPr>
            <w:tcW w:w="848" w:type="dxa"/>
            <w:vAlign w:val="top"/>
          </w:tcPr>
          <w:p w14:paraId="79552A70">
            <w:pPr>
              <w:pStyle w:val="21"/>
              <w:spacing w:before="201" w:line="182" w:lineRule="auto"/>
              <w:ind w:left="209"/>
            </w:pPr>
            <w:r>
              <w:rPr>
                <w:spacing w:val="-1"/>
              </w:rPr>
              <w:t>微型</w:t>
            </w:r>
          </w:p>
        </w:tc>
        <w:tc>
          <w:tcPr>
            <w:tcW w:w="6551" w:type="dxa"/>
            <w:vAlign w:val="top"/>
          </w:tcPr>
          <w:p w14:paraId="7117AADF">
            <w:pPr>
              <w:pStyle w:val="21"/>
              <w:spacing w:before="160" w:line="225" w:lineRule="auto"/>
              <w:ind w:left="102"/>
            </w:pPr>
            <w:r>
              <w:rPr>
                <w:spacing w:val="-2"/>
              </w:rPr>
              <w:t>从业人员 10 人以下或资产总额</w:t>
            </w:r>
            <w:r>
              <w:rPr>
                <w:spacing w:val="21"/>
                <w:w w:val="101"/>
              </w:rPr>
              <w:t xml:space="preserve"> </w:t>
            </w:r>
            <w:r>
              <w:rPr>
                <w:spacing w:val="-2"/>
              </w:rPr>
              <w:t>100</w:t>
            </w:r>
            <w:r>
              <w:rPr>
                <w:spacing w:val="36"/>
                <w:w w:val="101"/>
              </w:rPr>
              <w:t xml:space="preserve"> </w:t>
            </w:r>
            <w:r>
              <w:rPr>
                <w:spacing w:val="-2"/>
              </w:rPr>
              <w:t>万元以下</w:t>
            </w:r>
          </w:p>
        </w:tc>
      </w:tr>
      <w:tr w14:paraId="05B46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restart"/>
            <w:tcBorders>
              <w:bottom w:val="nil"/>
            </w:tcBorders>
            <w:vAlign w:val="top"/>
          </w:tcPr>
          <w:p w14:paraId="673695D5">
            <w:pPr>
              <w:spacing w:line="252" w:lineRule="auto"/>
              <w:rPr>
                <w:rFonts w:ascii="Arial"/>
                <w:sz w:val="21"/>
              </w:rPr>
            </w:pPr>
          </w:p>
          <w:p w14:paraId="01E1EC56">
            <w:pPr>
              <w:spacing w:line="252" w:lineRule="auto"/>
              <w:rPr>
                <w:rFonts w:ascii="Arial"/>
                <w:sz w:val="21"/>
              </w:rPr>
            </w:pPr>
          </w:p>
          <w:p w14:paraId="3ED19920">
            <w:pPr>
              <w:spacing w:line="252" w:lineRule="auto"/>
              <w:rPr>
                <w:rFonts w:ascii="Arial"/>
                <w:sz w:val="21"/>
              </w:rPr>
            </w:pPr>
          </w:p>
          <w:p w14:paraId="069BD200">
            <w:pPr>
              <w:spacing w:line="252" w:lineRule="auto"/>
              <w:rPr>
                <w:rFonts w:ascii="Arial"/>
                <w:sz w:val="21"/>
              </w:rPr>
            </w:pPr>
          </w:p>
          <w:p w14:paraId="10A0547A">
            <w:pPr>
              <w:pStyle w:val="21"/>
              <w:spacing w:before="90" w:line="183" w:lineRule="auto"/>
              <w:ind w:left="459"/>
            </w:pPr>
            <w:r>
              <w:rPr>
                <w:b/>
                <w:bCs/>
                <w:spacing w:val="-1"/>
              </w:rPr>
              <w:t>其他未列明行业</w:t>
            </w:r>
          </w:p>
        </w:tc>
        <w:tc>
          <w:tcPr>
            <w:tcW w:w="7399" w:type="dxa"/>
            <w:gridSpan w:val="2"/>
            <w:vAlign w:val="top"/>
          </w:tcPr>
          <w:p w14:paraId="4698E88B">
            <w:pPr>
              <w:pStyle w:val="21"/>
              <w:spacing w:before="156" w:line="230" w:lineRule="auto"/>
              <w:ind w:left="102"/>
            </w:pPr>
            <w:r>
              <w:rPr>
                <w:b/>
                <w:bCs/>
                <w:spacing w:val="-3"/>
              </w:rPr>
              <w:t>从业人员 300 人以下的为中小微型企业。</w:t>
            </w:r>
          </w:p>
        </w:tc>
      </w:tr>
      <w:tr w14:paraId="4B290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06323002">
            <w:pPr>
              <w:rPr>
                <w:rFonts w:ascii="Arial"/>
                <w:sz w:val="21"/>
              </w:rPr>
            </w:pPr>
          </w:p>
        </w:tc>
        <w:tc>
          <w:tcPr>
            <w:tcW w:w="848" w:type="dxa"/>
            <w:vAlign w:val="top"/>
          </w:tcPr>
          <w:p w14:paraId="2DB7FEA3">
            <w:pPr>
              <w:pStyle w:val="21"/>
              <w:spacing w:before="200" w:line="183" w:lineRule="auto"/>
              <w:ind w:left="219"/>
            </w:pPr>
            <w:r>
              <w:rPr>
                <w:b/>
                <w:bCs/>
                <w:spacing w:val="-4"/>
              </w:rPr>
              <w:t>中型</w:t>
            </w:r>
          </w:p>
        </w:tc>
        <w:tc>
          <w:tcPr>
            <w:tcW w:w="6551" w:type="dxa"/>
            <w:vAlign w:val="top"/>
          </w:tcPr>
          <w:p w14:paraId="0DF4923D">
            <w:pPr>
              <w:pStyle w:val="21"/>
              <w:spacing w:before="156" w:line="230" w:lineRule="auto"/>
              <w:ind w:left="103"/>
            </w:pPr>
            <w:r>
              <w:rPr>
                <w:b/>
                <w:bCs/>
                <w:spacing w:val="-3"/>
              </w:rPr>
              <w:t>从业人员 100—</w:t>
            </w:r>
            <w:r>
              <w:rPr>
                <w:b/>
                <w:bCs/>
                <w:spacing w:val="21"/>
              </w:rPr>
              <w:t xml:space="preserve"> </w:t>
            </w:r>
            <w:r>
              <w:rPr>
                <w:b/>
                <w:bCs/>
                <w:spacing w:val="-3"/>
              </w:rPr>
              <w:t>300 人</w:t>
            </w:r>
          </w:p>
        </w:tc>
      </w:tr>
      <w:tr w14:paraId="52C7C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29A6F417">
            <w:pPr>
              <w:rPr>
                <w:rFonts w:ascii="Arial"/>
                <w:sz w:val="21"/>
              </w:rPr>
            </w:pPr>
          </w:p>
        </w:tc>
        <w:tc>
          <w:tcPr>
            <w:tcW w:w="848" w:type="dxa"/>
            <w:vAlign w:val="top"/>
          </w:tcPr>
          <w:p w14:paraId="65296D8C">
            <w:pPr>
              <w:pStyle w:val="21"/>
              <w:spacing w:before="203" w:line="181" w:lineRule="auto"/>
              <w:ind w:left="210"/>
            </w:pPr>
            <w:r>
              <w:rPr>
                <w:b/>
                <w:bCs/>
                <w:spacing w:val="-1"/>
              </w:rPr>
              <w:t>小型</w:t>
            </w:r>
          </w:p>
        </w:tc>
        <w:tc>
          <w:tcPr>
            <w:tcW w:w="6551" w:type="dxa"/>
            <w:vAlign w:val="top"/>
          </w:tcPr>
          <w:p w14:paraId="1CCE90C1">
            <w:pPr>
              <w:pStyle w:val="21"/>
              <w:spacing w:before="156" w:line="230" w:lineRule="auto"/>
              <w:ind w:left="103"/>
            </w:pPr>
            <w:r>
              <w:rPr>
                <w:b/>
                <w:bCs/>
                <w:spacing w:val="-3"/>
              </w:rPr>
              <w:t>从业人员 10 人一 100 人</w:t>
            </w:r>
          </w:p>
        </w:tc>
      </w:tr>
      <w:tr w14:paraId="61923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394" w:type="dxa"/>
            <w:vMerge w:val="continue"/>
            <w:tcBorders>
              <w:top w:val="nil"/>
            </w:tcBorders>
            <w:vAlign w:val="top"/>
          </w:tcPr>
          <w:p w14:paraId="2D7404A0">
            <w:pPr>
              <w:rPr>
                <w:rFonts w:ascii="Arial"/>
                <w:sz w:val="21"/>
              </w:rPr>
            </w:pPr>
          </w:p>
        </w:tc>
        <w:tc>
          <w:tcPr>
            <w:tcW w:w="848" w:type="dxa"/>
            <w:vAlign w:val="top"/>
          </w:tcPr>
          <w:p w14:paraId="0340BB05">
            <w:pPr>
              <w:pStyle w:val="21"/>
              <w:spacing w:before="220" w:line="183" w:lineRule="auto"/>
              <w:ind w:left="207"/>
            </w:pPr>
            <w:r>
              <w:rPr>
                <w:b/>
                <w:bCs/>
                <w:spacing w:val="-1"/>
              </w:rPr>
              <w:t>微型</w:t>
            </w:r>
          </w:p>
        </w:tc>
        <w:tc>
          <w:tcPr>
            <w:tcW w:w="6551" w:type="dxa"/>
            <w:vAlign w:val="top"/>
          </w:tcPr>
          <w:p w14:paraId="68E4336D">
            <w:pPr>
              <w:pStyle w:val="21"/>
              <w:spacing w:before="176" w:line="230" w:lineRule="auto"/>
              <w:ind w:left="103"/>
            </w:pPr>
            <w:r>
              <w:rPr>
                <w:b/>
                <w:bCs/>
                <w:spacing w:val="-2"/>
              </w:rPr>
              <w:t>从业人员 10 人以下</w:t>
            </w:r>
          </w:p>
        </w:tc>
      </w:tr>
    </w:tbl>
    <w:p w14:paraId="49AEC616">
      <w:pPr>
        <w:pStyle w:val="7"/>
      </w:pPr>
    </w:p>
    <w:p w14:paraId="014479AE">
      <w:pPr>
        <w:sectPr>
          <w:footerReference r:id="rId26" w:type="default"/>
          <w:pgSz w:w="11905" w:h="16839"/>
          <w:pgMar w:top="1431" w:right="1050" w:bottom="1197" w:left="1050" w:header="0" w:footer="963" w:gutter="0"/>
          <w:pgNumType w:fmt="decimal"/>
          <w:cols w:space="720" w:num="1"/>
        </w:sectPr>
      </w:pPr>
    </w:p>
    <w:p w14:paraId="1F5A3F30">
      <w:pPr>
        <w:spacing w:before="138" w:line="245" w:lineRule="auto"/>
        <w:ind w:right="24" w:firstLine="242"/>
        <w:jc w:val="both"/>
        <w:rPr>
          <w:rFonts w:ascii="微软雅黑" w:hAnsi="微软雅黑" w:eastAsia="微软雅黑" w:cs="微软雅黑"/>
          <w:sz w:val="24"/>
          <w:szCs w:val="24"/>
        </w:rPr>
      </w:pPr>
      <w:r>
        <w:rPr>
          <w:rFonts w:ascii="微软雅黑" w:hAnsi="微软雅黑" w:eastAsia="微软雅黑" w:cs="微软雅黑"/>
          <w:b/>
          <w:bCs/>
          <w:spacing w:val="-2"/>
          <w:sz w:val="24"/>
          <w:szCs w:val="24"/>
        </w:rPr>
        <w:t>行业包括：</w:t>
      </w:r>
      <w:r>
        <w:rPr>
          <w:rFonts w:ascii="微软雅黑" w:hAnsi="微软雅黑" w:eastAsia="微软雅黑" w:cs="微软雅黑"/>
          <w:spacing w:val="-2"/>
          <w:sz w:val="24"/>
          <w:szCs w:val="24"/>
        </w:rPr>
        <w:t>农、林、牧、渔业，工业（包括采</w:t>
      </w:r>
      <w:r>
        <w:rPr>
          <w:rFonts w:ascii="微软雅黑" w:hAnsi="微软雅黑" w:eastAsia="微软雅黑" w:cs="微软雅黑"/>
          <w:spacing w:val="-3"/>
          <w:sz w:val="24"/>
          <w:szCs w:val="24"/>
        </w:rPr>
        <w:t>矿业，制造业，电力、热力、燃气及水生产和</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供应业</w:t>
      </w:r>
      <w:r>
        <w:rPr>
          <w:rFonts w:ascii="微软雅黑" w:hAnsi="微软雅黑" w:eastAsia="微软雅黑" w:cs="微软雅黑"/>
          <w:spacing w:val="-3"/>
          <w:sz w:val="24"/>
          <w:szCs w:val="24"/>
        </w:rPr>
        <w:t>），</w:t>
      </w:r>
      <w:r>
        <w:rPr>
          <w:rFonts w:ascii="微软雅黑" w:hAnsi="微软雅黑" w:eastAsia="微软雅黑" w:cs="微软雅黑"/>
          <w:spacing w:val="-2"/>
          <w:sz w:val="24"/>
          <w:szCs w:val="24"/>
        </w:rPr>
        <w:t>建筑业，批发业，零售业，交通运输业</w:t>
      </w:r>
      <w:r>
        <w:rPr>
          <w:rFonts w:ascii="微软雅黑" w:hAnsi="微软雅黑" w:eastAsia="微软雅黑" w:cs="微软雅黑"/>
          <w:spacing w:val="-3"/>
          <w:sz w:val="24"/>
          <w:szCs w:val="24"/>
        </w:rPr>
        <w:t>（不含铁路运输业），仓储业，邮政业，住</w:t>
      </w:r>
      <w:r>
        <w:rPr>
          <w:rFonts w:ascii="微软雅黑" w:hAnsi="微软雅黑" w:eastAsia="微软雅黑" w:cs="微软雅黑"/>
          <w:sz w:val="24"/>
          <w:szCs w:val="24"/>
        </w:rPr>
        <w:t xml:space="preserve">  </w:t>
      </w:r>
      <w:r>
        <w:rPr>
          <w:rFonts w:ascii="微软雅黑" w:hAnsi="微软雅黑" w:eastAsia="微软雅黑" w:cs="微软雅黑"/>
          <w:spacing w:val="-5"/>
          <w:sz w:val="24"/>
          <w:szCs w:val="24"/>
        </w:rPr>
        <w:t>宿业，餐饮业，信息传输业（包括电信、互联网和相关服务</w:t>
      </w:r>
      <w:r>
        <w:rPr>
          <w:rFonts w:ascii="微软雅黑" w:hAnsi="微软雅黑" w:eastAsia="微软雅黑" w:cs="微软雅黑"/>
          <w:sz w:val="24"/>
          <w:szCs w:val="24"/>
        </w:rPr>
        <w:t>）</w:t>
      </w:r>
      <w:r>
        <w:rPr>
          <w:rFonts w:ascii="微软雅黑" w:hAnsi="微软雅黑" w:eastAsia="微软雅黑" w:cs="微软雅黑"/>
          <w:spacing w:val="26"/>
          <w:w w:val="101"/>
          <w:sz w:val="24"/>
          <w:szCs w:val="24"/>
        </w:rPr>
        <w:t xml:space="preserve"> </w:t>
      </w:r>
      <w:r>
        <w:rPr>
          <w:rFonts w:ascii="微软雅黑" w:hAnsi="微软雅黑" w:eastAsia="微软雅黑" w:cs="微软雅黑"/>
          <w:sz w:val="24"/>
          <w:szCs w:val="24"/>
        </w:rPr>
        <w:t>，</w:t>
      </w:r>
      <w:r>
        <w:rPr>
          <w:rFonts w:ascii="微软雅黑" w:hAnsi="微软雅黑" w:eastAsia="微软雅黑" w:cs="微软雅黑"/>
          <w:spacing w:val="-5"/>
          <w:sz w:val="24"/>
          <w:szCs w:val="24"/>
        </w:rPr>
        <w:t>软件和信息技术服务业，房地</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产开发经营，物业管理，租赁和商务服务业，其他未列明行业（包括科学</w:t>
      </w:r>
      <w:r>
        <w:rPr>
          <w:rFonts w:ascii="微软雅黑" w:hAnsi="微软雅黑" w:eastAsia="微软雅黑" w:cs="微软雅黑"/>
          <w:spacing w:val="-2"/>
          <w:sz w:val="24"/>
          <w:szCs w:val="24"/>
        </w:rPr>
        <w:t>研究和技术服务业，</w:t>
      </w:r>
      <w:r>
        <w:rPr>
          <w:rFonts w:ascii="微软雅黑" w:hAnsi="微软雅黑" w:eastAsia="微软雅黑" w:cs="微软雅黑"/>
          <w:sz w:val="24"/>
          <w:szCs w:val="24"/>
        </w:rPr>
        <w:t xml:space="preserve"> </w:t>
      </w:r>
      <w:r>
        <w:rPr>
          <w:rFonts w:ascii="微软雅黑" w:hAnsi="微软雅黑" w:eastAsia="微软雅黑" w:cs="微软雅黑"/>
          <w:spacing w:val="-8"/>
          <w:sz w:val="24"/>
          <w:szCs w:val="24"/>
        </w:rPr>
        <w:t>水利、环境和公共设施管理业，  居民服务、修理</w:t>
      </w:r>
      <w:r>
        <w:rPr>
          <w:rFonts w:ascii="微软雅黑" w:hAnsi="微软雅黑" w:eastAsia="微软雅黑" w:cs="微软雅黑"/>
          <w:spacing w:val="-9"/>
          <w:sz w:val="24"/>
          <w:szCs w:val="24"/>
        </w:rPr>
        <w:t>和其他服务业，  社会工作，文化、体育和娱乐</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业等）</w:t>
      </w:r>
      <w:r>
        <w:rPr>
          <w:rFonts w:ascii="微软雅黑" w:hAnsi="微软雅黑" w:eastAsia="微软雅黑" w:cs="微软雅黑"/>
          <w:b/>
          <w:bCs/>
          <w:spacing w:val="2"/>
          <w:sz w:val="24"/>
          <w:szCs w:val="24"/>
        </w:rPr>
        <w:t>。</w:t>
      </w:r>
    </w:p>
    <w:p w14:paraId="2146CF16">
      <w:pPr>
        <w:spacing w:before="1" w:line="182" w:lineRule="auto"/>
        <w:ind w:left="2"/>
        <w:rPr>
          <w:rFonts w:ascii="微软雅黑" w:hAnsi="微软雅黑" w:eastAsia="微软雅黑" w:cs="微软雅黑"/>
          <w:sz w:val="24"/>
          <w:szCs w:val="24"/>
        </w:rPr>
      </w:pPr>
      <w:r>
        <w:rPr>
          <w:rFonts w:ascii="微软雅黑" w:hAnsi="微软雅黑" w:eastAsia="微软雅黑" w:cs="微软雅黑"/>
          <w:b/>
          <w:bCs/>
          <w:spacing w:val="-10"/>
          <w:sz w:val="24"/>
          <w:szCs w:val="24"/>
        </w:rPr>
        <w:t>说明：</w:t>
      </w:r>
    </w:p>
    <w:p w14:paraId="2931C2B1">
      <w:pPr>
        <w:spacing w:before="103" w:line="239" w:lineRule="auto"/>
        <w:ind w:left="4" w:right="72"/>
        <w:jc w:val="both"/>
        <w:rPr>
          <w:rFonts w:ascii="微软雅黑" w:hAnsi="微软雅黑" w:eastAsia="微软雅黑" w:cs="微软雅黑"/>
          <w:sz w:val="24"/>
          <w:szCs w:val="24"/>
        </w:rPr>
      </w:pPr>
      <w:r>
        <w:rPr>
          <w:rFonts w:ascii="微软雅黑" w:hAnsi="微软雅黑" w:eastAsia="微软雅黑" w:cs="微软雅黑"/>
          <w:spacing w:val="-2"/>
          <w:sz w:val="24"/>
          <w:szCs w:val="24"/>
        </w:rPr>
        <w:t>上述标准参照《关于印发中小企业划型标准规定的通知》（工信部联企业[2011]3</w:t>
      </w:r>
      <w:r>
        <w:rPr>
          <w:rFonts w:ascii="微软雅黑" w:hAnsi="微软雅黑" w:eastAsia="微软雅黑" w:cs="微软雅黑"/>
          <w:spacing w:val="-3"/>
          <w:sz w:val="24"/>
          <w:szCs w:val="24"/>
        </w:rPr>
        <w:t>00 号</w:t>
      </w:r>
      <w:r>
        <w:rPr>
          <w:rFonts w:ascii="微软雅黑" w:hAnsi="微软雅黑" w:eastAsia="微软雅黑" w:cs="微软雅黑"/>
          <w:spacing w:val="-14"/>
          <w:sz w:val="24"/>
          <w:szCs w:val="24"/>
        </w:rPr>
        <w:t>），</w:t>
      </w:r>
      <w:r>
        <w:rPr>
          <w:rFonts w:ascii="微软雅黑" w:hAnsi="微软雅黑" w:eastAsia="微软雅黑" w:cs="微软雅黑"/>
          <w:spacing w:val="-3"/>
          <w:sz w:val="24"/>
          <w:szCs w:val="24"/>
        </w:rPr>
        <w:t>大</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型、中型和小型企业须同时满足所列指标的下限</w:t>
      </w:r>
      <w:r>
        <w:rPr>
          <w:rFonts w:ascii="微软雅黑" w:hAnsi="微软雅黑" w:eastAsia="微软雅黑" w:cs="微软雅黑"/>
          <w:spacing w:val="-3"/>
          <w:sz w:val="24"/>
          <w:szCs w:val="24"/>
        </w:rPr>
        <w:t>，否则下划一档；微型企业只需满足所列指标</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中的一项即可。</w:t>
      </w:r>
    </w:p>
    <w:p w14:paraId="76A077FF">
      <w:pPr>
        <w:spacing w:before="1" w:line="183" w:lineRule="auto"/>
        <w:ind w:left="482"/>
        <w:rPr>
          <w:rFonts w:ascii="微软雅黑" w:hAnsi="微软雅黑" w:eastAsia="微软雅黑" w:cs="微软雅黑"/>
          <w:sz w:val="24"/>
          <w:szCs w:val="24"/>
        </w:rPr>
      </w:pPr>
      <w:r>
        <w:rPr>
          <w:rFonts w:ascii="微软雅黑" w:hAnsi="微软雅黑" w:eastAsia="微软雅黑" w:cs="微软雅黑"/>
          <w:sz w:val="24"/>
          <w:szCs w:val="24"/>
        </w:rPr>
        <w:t>本磋商文件所称中小企业，是指在中华人民共和国境内依法设立，依据国</w:t>
      </w:r>
      <w:r>
        <w:rPr>
          <w:rFonts w:ascii="微软雅黑" w:hAnsi="微软雅黑" w:eastAsia="微软雅黑" w:cs="微软雅黑"/>
          <w:spacing w:val="-1"/>
          <w:sz w:val="24"/>
          <w:szCs w:val="24"/>
        </w:rPr>
        <w:t>务院批准的</w:t>
      </w:r>
    </w:p>
    <w:p w14:paraId="45766208">
      <w:pPr>
        <w:spacing w:before="107" w:line="249" w:lineRule="auto"/>
        <w:ind w:left="1" w:firstLine="496"/>
        <w:rPr>
          <w:rFonts w:ascii="微软雅黑" w:hAnsi="微软雅黑" w:eastAsia="微软雅黑" w:cs="微软雅黑"/>
          <w:sz w:val="24"/>
          <w:szCs w:val="24"/>
        </w:rPr>
      </w:pPr>
      <w:r>
        <w:rPr>
          <w:rFonts w:ascii="微软雅黑" w:hAnsi="微软雅黑" w:eastAsia="微软雅黑" w:cs="微软雅黑"/>
          <w:spacing w:val="-7"/>
          <w:sz w:val="24"/>
          <w:szCs w:val="24"/>
        </w:rPr>
        <w:t>中小企业划分标准确定的中型企业、小型企业和微型企业，但与大企业的负责人为</w:t>
      </w:r>
      <w:r>
        <w:rPr>
          <w:rFonts w:ascii="微软雅黑" w:hAnsi="微软雅黑" w:eastAsia="微软雅黑" w:cs="微软雅黑"/>
          <w:spacing w:val="-8"/>
          <w:sz w:val="24"/>
          <w:szCs w:val="24"/>
        </w:rPr>
        <w:t>同一人，</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或者与大企业存在直接控股、管理关系的除外。符合中小企业划分标准的个体工商户，  在政府</w:t>
      </w:r>
      <w:r>
        <w:rPr>
          <w:rFonts w:ascii="微软雅黑" w:hAnsi="微软雅黑" w:eastAsia="微软雅黑" w:cs="微软雅黑"/>
          <w:spacing w:val="8"/>
          <w:sz w:val="24"/>
          <w:szCs w:val="24"/>
        </w:rPr>
        <w:t xml:space="preserve">  </w:t>
      </w:r>
      <w:r>
        <w:rPr>
          <w:rFonts w:ascii="微软雅黑" w:hAnsi="微软雅黑" w:eastAsia="微软雅黑" w:cs="微软雅黑"/>
          <w:spacing w:val="-6"/>
          <w:sz w:val="24"/>
          <w:szCs w:val="24"/>
        </w:rPr>
        <w:t>采购活动中视同中小企业。在政府采购活动中，</w:t>
      </w:r>
      <w:r>
        <w:rPr>
          <w:rFonts w:ascii="微软雅黑" w:hAnsi="微软雅黑" w:eastAsia="微软雅黑" w:cs="微软雅黑"/>
          <w:spacing w:val="76"/>
          <w:sz w:val="24"/>
          <w:szCs w:val="24"/>
        </w:rPr>
        <w:t xml:space="preserve"> </w:t>
      </w:r>
      <w:r>
        <w:rPr>
          <w:rFonts w:ascii="微软雅黑" w:hAnsi="微软雅黑" w:eastAsia="微软雅黑" w:cs="微软雅黑"/>
          <w:spacing w:val="-6"/>
          <w:sz w:val="24"/>
          <w:szCs w:val="24"/>
        </w:rPr>
        <w:t>供应商提供的货物、工程或者服务符合下列情</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形的，享受本磋商文件规定的中小企业扶持</w:t>
      </w:r>
      <w:r>
        <w:rPr>
          <w:rFonts w:ascii="微软雅黑" w:hAnsi="微软雅黑" w:eastAsia="微软雅黑" w:cs="微软雅黑"/>
          <w:spacing w:val="-3"/>
          <w:sz w:val="24"/>
          <w:szCs w:val="24"/>
        </w:rPr>
        <w:t>政策：</w:t>
      </w:r>
    </w:p>
    <w:p w14:paraId="6FEF28C6">
      <w:pPr>
        <w:spacing w:line="214" w:lineRule="auto"/>
        <w:ind w:left="3" w:right="79" w:firstLine="511"/>
        <w:rPr>
          <w:rFonts w:ascii="微软雅黑" w:hAnsi="微软雅黑" w:eastAsia="微软雅黑" w:cs="微软雅黑"/>
          <w:sz w:val="24"/>
          <w:szCs w:val="24"/>
        </w:rPr>
      </w:pPr>
      <w:r>
        <w:rPr>
          <w:rFonts w:ascii="微软雅黑" w:hAnsi="微软雅黑" w:eastAsia="微软雅黑" w:cs="微软雅黑"/>
          <w:spacing w:val="-1"/>
          <w:sz w:val="24"/>
          <w:szCs w:val="24"/>
        </w:rPr>
        <w:t>（1）在货物采购项目中，货物由中小企业制造，即货物由中小企业生产且使用该中</w:t>
      </w:r>
      <w:r>
        <w:rPr>
          <w:rFonts w:ascii="微软雅黑" w:hAnsi="微软雅黑" w:eastAsia="微软雅黑" w:cs="微软雅黑"/>
          <w:spacing w:val="-2"/>
          <w:sz w:val="24"/>
          <w:szCs w:val="24"/>
        </w:rPr>
        <w:t>小企</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业商号或者注册商标，不对其中涉及的工程</w:t>
      </w:r>
      <w:r>
        <w:rPr>
          <w:rFonts w:ascii="微软雅黑" w:hAnsi="微软雅黑" w:eastAsia="微软雅黑" w:cs="微软雅黑"/>
          <w:spacing w:val="-2"/>
          <w:sz w:val="24"/>
          <w:szCs w:val="24"/>
        </w:rPr>
        <w:t>承建商和服务的承接商作出要求；</w:t>
      </w:r>
    </w:p>
    <w:p w14:paraId="6176BFE6">
      <w:pPr>
        <w:spacing w:before="106" w:line="214" w:lineRule="auto"/>
        <w:ind w:left="2" w:right="95" w:firstLine="512"/>
        <w:rPr>
          <w:rFonts w:ascii="微软雅黑" w:hAnsi="微软雅黑" w:eastAsia="微软雅黑" w:cs="微软雅黑"/>
          <w:sz w:val="24"/>
          <w:szCs w:val="24"/>
        </w:rPr>
      </w:pPr>
      <w:r>
        <w:rPr>
          <w:rFonts w:ascii="微软雅黑" w:hAnsi="微软雅黑" w:eastAsia="微软雅黑" w:cs="微软雅黑"/>
          <w:spacing w:val="-1"/>
          <w:sz w:val="24"/>
          <w:szCs w:val="24"/>
        </w:rPr>
        <w:t>（2）在工程采购项目中，工程由中小企业承建</w:t>
      </w:r>
      <w:r>
        <w:rPr>
          <w:rFonts w:ascii="微软雅黑" w:hAnsi="微软雅黑" w:eastAsia="微软雅黑" w:cs="微软雅黑"/>
          <w:spacing w:val="-2"/>
          <w:sz w:val="24"/>
          <w:szCs w:val="24"/>
        </w:rPr>
        <w:t>，即工程施工单位为中小企业，不对其中</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涉及的货物的制造商和服务的承接商作出要求；</w:t>
      </w:r>
    </w:p>
    <w:p w14:paraId="18813F71">
      <w:pPr>
        <w:spacing w:before="107" w:line="224" w:lineRule="auto"/>
        <w:ind w:left="2" w:right="72" w:firstLine="512"/>
        <w:rPr>
          <w:rFonts w:ascii="微软雅黑" w:hAnsi="微软雅黑" w:eastAsia="微软雅黑" w:cs="微软雅黑"/>
          <w:sz w:val="24"/>
          <w:szCs w:val="24"/>
        </w:rPr>
      </w:pPr>
      <w:r>
        <w:rPr>
          <w:rFonts w:ascii="微软雅黑" w:hAnsi="微软雅黑" w:eastAsia="微软雅黑" w:cs="微软雅黑"/>
          <w:spacing w:val="-1"/>
          <w:sz w:val="24"/>
          <w:szCs w:val="24"/>
        </w:rPr>
        <w:t>（3）在服务采购项目中，服务由中小企业承接</w:t>
      </w:r>
      <w:r>
        <w:rPr>
          <w:rFonts w:ascii="微软雅黑" w:hAnsi="微软雅黑" w:eastAsia="微软雅黑" w:cs="微软雅黑"/>
          <w:spacing w:val="-2"/>
          <w:sz w:val="24"/>
          <w:szCs w:val="24"/>
        </w:rPr>
        <w:t>，即提供服务的人员为中小企业依照《中</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华人民共和国劳动合同法》订立劳动合同的从业人员</w:t>
      </w:r>
      <w:r>
        <w:rPr>
          <w:rFonts w:ascii="微软雅黑" w:hAnsi="微软雅黑" w:eastAsia="微软雅黑" w:cs="微软雅黑"/>
          <w:spacing w:val="-3"/>
          <w:sz w:val="24"/>
          <w:szCs w:val="24"/>
        </w:rPr>
        <w:t>，不对其中涉及的货物的制造商和工程承</w:t>
      </w:r>
      <w:r>
        <w:rPr>
          <w:rFonts w:ascii="微软雅黑" w:hAnsi="微软雅黑" w:eastAsia="微软雅黑" w:cs="微软雅黑"/>
          <w:sz w:val="24"/>
          <w:szCs w:val="24"/>
        </w:rPr>
        <w:t xml:space="preserve"> </w:t>
      </w:r>
      <w:r>
        <w:rPr>
          <w:rFonts w:ascii="微软雅黑" w:hAnsi="微软雅黑" w:eastAsia="微软雅黑" w:cs="微软雅黑"/>
          <w:spacing w:val="-7"/>
          <w:sz w:val="24"/>
          <w:szCs w:val="24"/>
        </w:rPr>
        <w:t>建商作出要求。</w:t>
      </w:r>
    </w:p>
    <w:p w14:paraId="0208216B">
      <w:pPr>
        <w:spacing w:before="73" w:line="245" w:lineRule="auto"/>
        <w:ind w:firstLine="481"/>
        <w:jc w:val="both"/>
        <w:rPr>
          <w:rFonts w:ascii="微软雅黑" w:hAnsi="微软雅黑" w:eastAsia="微软雅黑" w:cs="微软雅黑"/>
          <w:sz w:val="24"/>
          <w:szCs w:val="24"/>
        </w:rPr>
      </w:pPr>
      <w:r>
        <w:rPr>
          <w:rFonts w:ascii="微软雅黑" w:hAnsi="微软雅黑" w:eastAsia="微软雅黑" w:cs="微软雅黑"/>
          <w:spacing w:val="-7"/>
          <w:sz w:val="24"/>
          <w:szCs w:val="24"/>
        </w:rPr>
        <w:t>在货物采购项目中，供应商提供的货物既有中小企业制造货物，也有大型企业制造货物的，</w:t>
      </w:r>
      <w:r>
        <w:rPr>
          <w:rFonts w:ascii="微软雅黑" w:hAnsi="微软雅黑" w:eastAsia="微软雅黑" w:cs="微软雅黑"/>
          <w:spacing w:val="13"/>
          <w:sz w:val="24"/>
          <w:szCs w:val="24"/>
        </w:rPr>
        <w:t xml:space="preserve"> </w:t>
      </w:r>
      <w:r>
        <w:rPr>
          <w:rFonts w:ascii="微软雅黑" w:hAnsi="微软雅黑" w:eastAsia="微软雅黑" w:cs="微软雅黑"/>
          <w:spacing w:val="-4"/>
          <w:sz w:val="24"/>
          <w:szCs w:val="24"/>
        </w:rPr>
        <w:t>不享受本磋商文件规定的中小企业扶持政策。以联合体形式参加政府采购活动， 联合体各方均</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为中小企业的，联合体视同中小企业。其中，  联合体各方均为小微企业的，联合体视同小微企</w:t>
      </w:r>
      <w:r>
        <w:rPr>
          <w:rFonts w:ascii="微软雅黑" w:hAnsi="微软雅黑" w:eastAsia="微软雅黑" w:cs="微软雅黑"/>
          <w:spacing w:val="9"/>
          <w:sz w:val="24"/>
          <w:szCs w:val="24"/>
        </w:rPr>
        <w:t xml:space="preserve">  </w:t>
      </w:r>
      <w:r>
        <w:rPr>
          <w:rFonts w:ascii="微软雅黑" w:hAnsi="微软雅黑" w:eastAsia="微软雅黑" w:cs="微软雅黑"/>
          <w:spacing w:val="-12"/>
          <w:sz w:val="24"/>
          <w:szCs w:val="24"/>
        </w:rPr>
        <w:t>业。</w:t>
      </w:r>
    </w:p>
    <w:p w14:paraId="355DE679">
      <w:pPr>
        <w:spacing w:before="3" w:line="255" w:lineRule="auto"/>
        <w:ind w:left="4" w:right="72" w:firstLine="477"/>
        <w:rPr>
          <w:rFonts w:ascii="微软雅黑" w:hAnsi="微软雅黑" w:eastAsia="微软雅黑" w:cs="微软雅黑"/>
          <w:sz w:val="24"/>
          <w:szCs w:val="24"/>
        </w:rPr>
      </w:pPr>
      <w:r>
        <w:rPr>
          <w:rFonts w:ascii="微软雅黑" w:hAnsi="微软雅黑" w:eastAsia="微软雅黑" w:cs="微软雅黑"/>
          <w:spacing w:val="-3"/>
          <w:sz w:val="24"/>
          <w:szCs w:val="24"/>
        </w:rPr>
        <w:t>依据本磋商文件规定享受扶持政策获得政府采购合同的，小微企业不得将合同分包给大中</w:t>
      </w:r>
      <w:r>
        <w:rPr>
          <w:rFonts w:ascii="微软雅黑" w:hAnsi="微软雅黑" w:eastAsia="微软雅黑" w:cs="微软雅黑"/>
          <w:spacing w:val="18"/>
          <w:sz w:val="24"/>
          <w:szCs w:val="24"/>
        </w:rPr>
        <w:t xml:space="preserve"> </w:t>
      </w:r>
      <w:r>
        <w:rPr>
          <w:rFonts w:ascii="微软雅黑" w:hAnsi="微软雅黑" w:eastAsia="微软雅黑" w:cs="微软雅黑"/>
          <w:spacing w:val="-3"/>
          <w:sz w:val="24"/>
          <w:szCs w:val="24"/>
        </w:rPr>
        <w:t>型企业，中型企业不得将合同分包给大型企业。</w:t>
      </w:r>
    </w:p>
    <w:p w14:paraId="7AA6F17D">
      <w:pPr>
        <w:spacing w:line="255" w:lineRule="auto"/>
        <w:rPr>
          <w:rFonts w:ascii="微软雅黑" w:hAnsi="微软雅黑" w:eastAsia="微软雅黑" w:cs="微软雅黑"/>
          <w:sz w:val="24"/>
          <w:szCs w:val="24"/>
        </w:rPr>
        <w:sectPr>
          <w:footerReference r:id="rId27" w:type="default"/>
          <w:pgSz w:w="11905" w:h="16839"/>
          <w:pgMar w:top="1431" w:right="1007" w:bottom="1197" w:left="1080" w:header="0" w:footer="963" w:gutter="0"/>
          <w:pgNumType w:fmt="decimal"/>
          <w:cols w:space="720" w:num="1"/>
        </w:sectPr>
      </w:pPr>
    </w:p>
    <w:p w14:paraId="4565AE55">
      <w:pPr>
        <w:spacing w:before="65" w:line="220" w:lineRule="auto"/>
        <w:jc w:val="right"/>
        <w:outlineLvl w:val="1"/>
        <w:rPr>
          <w:rFonts w:ascii="微软雅黑" w:hAnsi="微软雅黑" w:eastAsia="微软雅黑" w:cs="微软雅黑"/>
          <w:sz w:val="24"/>
          <w:szCs w:val="24"/>
        </w:rPr>
      </w:pPr>
      <w:bookmarkStart w:id="67" w:name="bookmark15"/>
      <w:bookmarkEnd w:id="67"/>
      <w:bookmarkStart w:id="68" w:name="bookmark16"/>
      <w:bookmarkEnd w:id="68"/>
      <w:bookmarkStart w:id="69" w:name="bookmark13"/>
      <w:bookmarkEnd w:id="69"/>
      <w:bookmarkStart w:id="70" w:name="bookmark14"/>
      <w:bookmarkEnd w:id="70"/>
      <w:r>
        <w:rPr>
          <w:rFonts w:ascii="微软雅黑" w:hAnsi="微软雅黑" w:eastAsia="微软雅黑" w:cs="微软雅黑"/>
          <w:b/>
          <w:bCs/>
          <w:spacing w:val="1"/>
          <w:sz w:val="24"/>
          <w:szCs w:val="24"/>
        </w:rPr>
        <w:t>4   本项目特定资格要求：①供应商须具</w:t>
      </w:r>
      <w:r>
        <w:rPr>
          <w:rFonts w:ascii="微软雅黑" w:hAnsi="微软雅黑" w:eastAsia="微软雅黑" w:cs="微软雅黑"/>
          <w:b/>
          <w:bCs/>
          <w:sz w:val="24"/>
          <w:szCs w:val="24"/>
        </w:rPr>
        <w:t>备建设主管部门颁发的建设工程质量检测机构资</w:t>
      </w:r>
    </w:p>
    <w:p w14:paraId="37EE01DB">
      <w:pPr>
        <w:spacing w:before="84" w:line="239" w:lineRule="auto"/>
        <w:ind w:right="3" w:firstLine="1"/>
        <w:jc w:val="both"/>
        <w:rPr>
          <w:rFonts w:ascii="微软雅黑" w:hAnsi="微软雅黑" w:eastAsia="微软雅黑" w:cs="微软雅黑"/>
          <w:sz w:val="24"/>
          <w:szCs w:val="24"/>
        </w:rPr>
      </w:pPr>
      <w:r>
        <w:rPr>
          <w:rFonts w:ascii="微软雅黑" w:hAnsi="微软雅黑" w:eastAsia="微软雅黑" w:cs="微软雅黑"/>
          <w:b/>
          <w:bCs/>
          <w:sz w:val="24"/>
          <w:szCs w:val="24"/>
        </w:rPr>
        <w:t>质证书(检测范围须包含：主体结构工程现场检测、见证取样检测、钢结构工程检</w:t>
      </w:r>
      <w:r>
        <w:rPr>
          <w:rFonts w:ascii="微软雅黑" w:hAnsi="微软雅黑" w:eastAsia="微软雅黑" w:cs="微软雅黑"/>
          <w:b/>
          <w:bCs/>
          <w:spacing w:val="-1"/>
          <w:sz w:val="24"/>
          <w:szCs w:val="24"/>
        </w:rPr>
        <w:t>测及地基基</w:t>
      </w:r>
      <w:r>
        <w:rPr>
          <w:rFonts w:ascii="微软雅黑" w:hAnsi="微软雅黑" w:eastAsia="微软雅黑" w:cs="微软雅黑"/>
          <w:b/>
          <w:bCs/>
          <w:sz w:val="24"/>
          <w:szCs w:val="24"/>
        </w:rPr>
        <w:t xml:space="preserve"> 础工程检测)，并同时具备工程设计建筑行业（建筑工程）专业乙级或乙级以上资质及</w:t>
      </w:r>
      <w:r>
        <w:rPr>
          <w:rFonts w:ascii="微软雅黑" w:hAnsi="微软雅黑" w:eastAsia="微软雅黑" w:cs="微软雅黑"/>
          <w:b/>
          <w:bCs/>
          <w:spacing w:val="-1"/>
          <w:sz w:val="24"/>
          <w:szCs w:val="24"/>
        </w:rPr>
        <w:t>工程勘</w:t>
      </w:r>
      <w:r>
        <w:rPr>
          <w:rFonts w:ascii="微软雅黑" w:hAnsi="微软雅黑" w:eastAsia="微软雅黑" w:cs="微软雅黑"/>
          <w:b/>
          <w:bCs/>
          <w:sz w:val="24"/>
          <w:szCs w:val="24"/>
        </w:rPr>
        <w:t xml:space="preserve"> </w:t>
      </w:r>
      <w:r>
        <w:rPr>
          <w:rFonts w:ascii="微软雅黑" w:hAnsi="微软雅黑" w:eastAsia="微软雅黑" w:cs="微软雅黑"/>
          <w:b/>
          <w:bCs/>
          <w:spacing w:val="-8"/>
          <w:sz w:val="24"/>
          <w:szCs w:val="24"/>
        </w:rPr>
        <w:t>察</w:t>
      </w:r>
      <w:r>
        <w:rPr>
          <w:rFonts w:ascii="微软雅黑" w:hAnsi="微软雅黑" w:eastAsia="微软雅黑" w:cs="微软雅黑"/>
          <w:b/>
          <w:bCs/>
          <w:spacing w:val="-7"/>
          <w:sz w:val="24"/>
          <w:szCs w:val="24"/>
        </w:rPr>
        <w:t>专业类（岩土工程（勘察</w:t>
      </w:r>
      <w:r>
        <w:rPr>
          <w:rFonts w:ascii="微软雅黑" w:hAnsi="微软雅黑" w:eastAsia="微软雅黑" w:cs="微软雅黑"/>
          <w:b/>
          <w:bCs/>
          <w:spacing w:val="-27"/>
          <w:sz w:val="24"/>
          <w:szCs w:val="24"/>
        </w:rPr>
        <w:t>））</w:t>
      </w:r>
      <w:r>
        <w:rPr>
          <w:rFonts w:ascii="微软雅黑" w:hAnsi="微软雅黑" w:eastAsia="微软雅黑" w:cs="微软雅黑"/>
          <w:b/>
          <w:bCs/>
          <w:spacing w:val="-7"/>
          <w:sz w:val="24"/>
          <w:szCs w:val="24"/>
        </w:rPr>
        <w:t>乙级或乙级以上资质。②拟派项目负责人具备一级注册</w:t>
      </w:r>
      <w:r>
        <w:rPr>
          <w:rFonts w:ascii="微软雅黑" w:hAnsi="微软雅黑" w:eastAsia="微软雅黑" w:cs="微软雅黑"/>
          <w:b/>
          <w:bCs/>
          <w:spacing w:val="-8"/>
          <w:sz w:val="24"/>
          <w:szCs w:val="24"/>
        </w:rPr>
        <w:t>结构工</w:t>
      </w:r>
      <w:r>
        <w:rPr>
          <w:rFonts w:ascii="微软雅黑" w:hAnsi="微软雅黑" w:eastAsia="微软雅黑" w:cs="微软雅黑"/>
          <w:b/>
          <w:bCs/>
          <w:spacing w:val="-7"/>
          <w:sz w:val="24"/>
          <w:szCs w:val="24"/>
        </w:rPr>
        <w:t>程</w:t>
      </w:r>
      <w:r>
        <w:rPr>
          <w:rFonts w:ascii="微软雅黑" w:hAnsi="微软雅黑" w:eastAsia="微软雅黑" w:cs="微软雅黑"/>
          <w:b/>
          <w:bCs/>
          <w:sz w:val="24"/>
          <w:szCs w:val="24"/>
        </w:rPr>
        <w:t xml:space="preserve"> </w:t>
      </w:r>
      <w:r>
        <w:rPr>
          <w:rFonts w:ascii="微软雅黑" w:hAnsi="微软雅黑" w:eastAsia="微软雅黑" w:cs="微软雅黑"/>
          <w:b/>
          <w:bCs/>
          <w:spacing w:val="-6"/>
          <w:sz w:val="24"/>
          <w:szCs w:val="24"/>
        </w:rPr>
        <w:t>师执业证书；</w:t>
      </w:r>
    </w:p>
    <w:p w14:paraId="680943E8">
      <w:pPr>
        <w:spacing w:before="1" w:line="183" w:lineRule="auto"/>
        <w:ind w:left="481"/>
        <w:rPr>
          <w:rFonts w:ascii="微软雅黑" w:hAnsi="微软雅黑" w:eastAsia="微软雅黑" w:cs="微软雅黑"/>
          <w:sz w:val="24"/>
          <w:szCs w:val="24"/>
        </w:rPr>
      </w:pPr>
      <w:r>
        <w:rPr>
          <w:rFonts w:ascii="微软雅黑" w:hAnsi="微软雅黑" w:eastAsia="微软雅黑" w:cs="微软雅黑"/>
          <w:spacing w:val="-2"/>
          <w:sz w:val="24"/>
          <w:szCs w:val="24"/>
        </w:rPr>
        <w:t>说明：1、按要求上传相关证明文件，联合体可组合满足以上资格条件。</w:t>
      </w:r>
    </w:p>
    <w:p w14:paraId="35477674">
      <w:pPr>
        <w:spacing w:before="104" w:line="184" w:lineRule="auto"/>
        <w:ind w:left="1212"/>
        <w:rPr>
          <w:rFonts w:ascii="微软雅黑" w:hAnsi="微软雅黑" w:eastAsia="微软雅黑" w:cs="微软雅黑"/>
          <w:sz w:val="24"/>
          <w:szCs w:val="24"/>
        </w:rPr>
      </w:pPr>
      <w:r>
        <w:rPr>
          <w:rFonts w:ascii="微软雅黑" w:hAnsi="微软雅黑" w:eastAsia="微软雅黑" w:cs="微软雅黑"/>
          <w:spacing w:val="-4"/>
          <w:sz w:val="24"/>
          <w:szCs w:val="24"/>
        </w:rPr>
        <w:t>2、联合体投标资质组合要求：</w:t>
      </w:r>
    </w:p>
    <w:p w14:paraId="5E98E7CC">
      <w:pPr>
        <w:spacing w:before="107" w:line="224" w:lineRule="auto"/>
        <w:ind w:left="1200" w:right="54" w:firstLine="3"/>
        <w:rPr>
          <w:rFonts w:ascii="微软雅黑" w:hAnsi="微软雅黑" w:eastAsia="微软雅黑" w:cs="微软雅黑"/>
          <w:sz w:val="24"/>
          <w:szCs w:val="24"/>
        </w:rPr>
      </w:pPr>
      <w:r>
        <w:rPr>
          <w:rFonts w:ascii="微软雅黑" w:hAnsi="微软雅黑" w:eastAsia="微软雅黑" w:cs="微软雅黑"/>
          <w:b/>
          <w:bCs/>
          <w:sz w:val="24"/>
          <w:szCs w:val="24"/>
        </w:rPr>
        <w:t>①联合体牵头单位或成员：具备建设主管部门颁发的建设工程质</w:t>
      </w:r>
      <w:r>
        <w:rPr>
          <w:rFonts w:ascii="微软雅黑" w:hAnsi="微软雅黑" w:eastAsia="微软雅黑" w:cs="微软雅黑"/>
          <w:b/>
          <w:bCs/>
          <w:spacing w:val="-1"/>
          <w:sz w:val="24"/>
          <w:szCs w:val="24"/>
        </w:rPr>
        <w:t>量检测机构资质</w:t>
      </w:r>
      <w:r>
        <w:rPr>
          <w:rFonts w:ascii="微软雅黑" w:hAnsi="微软雅黑" w:eastAsia="微软雅黑" w:cs="微软雅黑"/>
          <w:b/>
          <w:bCs/>
          <w:sz w:val="24"/>
          <w:szCs w:val="24"/>
        </w:rPr>
        <w:t xml:space="preserve">  证书(检测范围须包含：主体结构工程现场检测、见证取样检测、钢结构工</w:t>
      </w:r>
      <w:r>
        <w:rPr>
          <w:rFonts w:ascii="微软雅黑" w:hAnsi="微软雅黑" w:eastAsia="微软雅黑" w:cs="微软雅黑"/>
          <w:b/>
          <w:bCs/>
          <w:spacing w:val="-1"/>
          <w:sz w:val="24"/>
          <w:szCs w:val="24"/>
        </w:rPr>
        <w:t>程检测</w:t>
      </w:r>
      <w:r>
        <w:rPr>
          <w:rFonts w:ascii="微软雅黑" w:hAnsi="微软雅黑" w:eastAsia="微软雅黑" w:cs="微软雅黑"/>
          <w:b/>
          <w:bCs/>
          <w:sz w:val="24"/>
          <w:szCs w:val="24"/>
        </w:rPr>
        <w:t xml:space="preserve"> </w:t>
      </w:r>
      <w:r>
        <w:rPr>
          <w:rFonts w:ascii="微软雅黑" w:hAnsi="微软雅黑" w:eastAsia="微软雅黑" w:cs="微软雅黑"/>
          <w:b/>
          <w:bCs/>
          <w:spacing w:val="-4"/>
          <w:sz w:val="24"/>
          <w:szCs w:val="24"/>
        </w:rPr>
        <w:t>及地基基础工程检测)，</w:t>
      </w:r>
    </w:p>
    <w:p w14:paraId="17B165D1">
      <w:pPr>
        <w:spacing w:before="105" w:line="214" w:lineRule="auto"/>
        <w:ind w:left="1205" w:right="3" w:hanging="1"/>
        <w:rPr>
          <w:rFonts w:ascii="微软雅黑" w:hAnsi="微软雅黑" w:eastAsia="微软雅黑" w:cs="微软雅黑"/>
          <w:sz w:val="24"/>
          <w:szCs w:val="24"/>
        </w:rPr>
      </w:pPr>
      <w:r>
        <w:rPr>
          <w:rFonts w:ascii="微软雅黑" w:hAnsi="微软雅黑" w:eastAsia="微软雅黑" w:cs="微软雅黑"/>
          <w:b/>
          <w:bCs/>
          <w:spacing w:val="-3"/>
          <w:sz w:val="24"/>
          <w:szCs w:val="24"/>
        </w:rPr>
        <w:t>②联合体牵头单位或成员：具备工程设计建筑行业（建筑工程）专业乙级或乙级以</w:t>
      </w:r>
      <w:r>
        <w:rPr>
          <w:rFonts w:ascii="微软雅黑" w:hAnsi="微软雅黑" w:eastAsia="微软雅黑" w:cs="微软雅黑"/>
          <w:b/>
          <w:bCs/>
          <w:spacing w:val="6"/>
          <w:sz w:val="24"/>
          <w:szCs w:val="24"/>
        </w:rPr>
        <w:t xml:space="preserve"> </w:t>
      </w:r>
      <w:r>
        <w:rPr>
          <w:rFonts w:ascii="微软雅黑" w:hAnsi="微软雅黑" w:eastAsia="微软雅黑" w:cs="微软雅黑"/>
          <w:b/>
          <w:bCs/>
          <w:spacing w:val="-2"/>
          <w:sz w:val="24"/>
          <w:szCs w:val="24"/>
        </w:rPr>
        <w:t>上资质及工程勘察专业类（岩土工程（勘察</w:t>
      </w:r>
      <w:r>
        <w:rPr>
          <w:rFonts w:ascii="微软雅黑" w:hAnsi="微软雅黑" w:eastAsia="微软雅黑" w:cs="微软雅黑"/>
          <w:b/>
          <w:bCs/>
          <w:spacing w:val="4"/>
          <w:sz w:val="24"/>
          <w:szCs w:val="24"/>
        </w:rPr>
        <w:t>））</w:t>
      </w:r>
      <w:r>
        <w:rPr>
          <w:rFonts w:ascii="微软雅黑" w:hAnsi="微软雅黑" w:eastAsia="微软雅黑" w:cs="微软雅黑"/>
          <w:b/>
          <w:bCs/>
          <w:spacing w:val="-2"/>
          <w:sz w:val="24"/>
          <w:szCs w:val="24"/>
        </w:rPr>
        <w:t>乙级或乙级以上资质。</w:t>
      </w:r>
    </w:p>
    <w:p w14:paraId="7C3146AE">
      <w:pPr>
        <w:pStyle w:val="7"/>
        <w:spacing w:line="246" w:lineRule="auto"/>
      </w:pPr>
    </w:p>
    <w:p w14:paraId="3E6B1210">
      <w:pPr>
        <w:pStyle w:val="7"/>
        <w:spacing w:line="246" w:lineRule="auto"/>
      </w:pPr>
    </w:p>
    <w:p w14:paraId="5520906D">
      <w:pPr>
        <w:pStyle w:val="7"/>
        <w:spacing w:line="246" w:lineRule="auto"/>
      </w:pPr>
    </w:p>
    <w:p w14:paraId="3A92DEED">
      <w:pPr>
        <w:pStyle w:val="7"/>
        <w:spacing w:line="246" w:lineRule="auto"/>
      </w:pPr>
    </w:p>
    <w:p w14:paraId="7AB4C5EA">
      <w:pPr>
        <w:pStyle w:val="7"/>
        <w:spacing w:line="246" w:lineRule="auto"/>
      </w:pPr>
    </w:p>
    <w:p w14:paraId="5928381E">
      <w:pPr>
        <w:pStyle w:val="7"/>
        <w:spacing w:line="246" w:lineRule="auto"/>
      </w:pPr>
    </w:p>
    <w:p w14:paraId="64E01C23">
      <w:pPr>
        <w:pStyle w:val="7"/>
        <w:spacing w:line="246" w:lineRule="auto"/>
      </w:pPr>
    </w:p>
    <w:p w14:paraId="5AF8E603">
      <w:pPr>
        <w:pStyle w:val="7"/>
        <w:spacing w:line="246" w:lineRule="auto"/>
      </w:pPr>
    </w:p>
    <w:p w14:paraId="6EC80BD1">
      <w:pPr>
        <w:pStyle w:val="7"/>
        <w:spacing w:line="247" w:lineRule="auto"/>
      </w:pPr>
    </w:p>
    <w:p w14:paraId="1E18EA57">
      <w:pPr>
        <w:pStyle w:val="7"/>
        <w:spacing w:line="247" w:lineRule="auto"/>
      </w:pPr>
    </w:p>
    <w:p w14:paraId="426DE834">
      <w:pPr>
        <w:spacing w:before="103" w:line="230" w:lineRule="auto"/>
        <w:ind w:left="438"/>
        <w:outlineLvl w:val="1"/>
        <w:rPr>
          <w:rFonts w:ascii="微软雅黑" w:hAnsi="微软雅黑" w:eastAsia="微软雅黑" w:cs="微软雅黑"/>
          <w:sz w:val="24"/>
          <w:szCs w:val="24"/>
        </w:rPr>
      </w:pPr>
      <w:bookmarkStart w:id="71" w:name="bookmark17"/>
      <w:bookmarkEnd w:id="71"/>
      <w:r>
        <w:rPr>
          <w:rFonts w:ascii="微软雅黑" w:hAnsi="微软雅黑" w:eastAsia="微软雅黑" w:cs="微软雅黑"/>
          <w:b/>
          <w:bCs/>
          <w:spacing w:val="-6"/>
          <w:sz w:val="24"/>
          <w:szCs w:val="24"/>
        </w:rPr>
        <w:t>5</w:t>
      </w:r>
      <w:r>
        <w:rPr>
          <w:rFonts w:ascii="微软雅黑" w:hAnsi="微软雅黑" w:eastAsia="微软雅黑" w:cs="微软雅黑"/>
          <w:b/>
          <w:bCs/>
          <w:spacing w:val="12"/>
          <w:sz w:val="24"/>
          <w:szCs w:val="24"/>
        </w:rPr>
        <w:t xml:space="preserve">   </w:t>
      </w:r>
      <w:r>
        <w:rPr>
          <w:rFonts w:ascii="微软雅黑" w:hAnsi="微软雅黑" w:eastAsia="微软雅黑" w:cs="微软雅黑"/>
          <w:b/>
          <w:bCs/>
          <w:spacing w:val="-6"/>
          <w:sz w:val="24"/>
          <w:szCs w:val="24"/>
        </w:rPr>
        <w:t>投标保证金有效凭证；</w:t>
      </w:r>
    </w:p>
    <w:p w14:paraId="397B9D94">
      <w:pPr>
        <w:spacing w:line="230" w:lineRule="auto"/>
        <w:rPr>
          <w:rFonts w:ascii="微软雅黑" w:hAnsi="微软雅黑" w:eastAsia="微软雅黑" w:cs="微软雅黑"/>
          <w:sz w:val="24"/>
          <w:szCs w:val="24"/>
        </w:rPr>
        <w:sectPr>
          <w:footerReference r:id="rId28" w:type="default"/>
          <w:pgSz w:w="11905" w:h="16839"/>
          <w:pgMar w:top="1431" w:right="1076" w:bottom="1197" w:left="1081" w:header="0" w:footer="963" w:gutter="0"/>
          <w:pgNumType w:fmt="decimal"/>
          <w:cols w:space="720" w:num="1"/>
        </w:sectPr>
      </w:pPr>
    </w:p>
    <w:p w14:paraId="6CA68616">
      <w:pPr>
        <w:pStyle w:val="7"/>
        <w:spacing w:line="369" w:lineRule="auto"/>
      </w:pPr>
    </w:p>
    <w:p w14:paraId="4DA9CF61">
      <w:pPr>
        <w:spacing w:before="137" w:line="184" w:lineRule="auto"/>
        <w:ind w:left="2682"/>
        <w:outlineLvl w:val="1"/>
        <w:rPr>
          <w:rFonts w:ascii="微软雅黑" w:hAnsi="微软雅黑" w:eastAsia="微软雅黑" w:cs="微软雅黑"/>
          <w:sz w:val="32"/>
          <w:szCs w:val="32"/>
        </w:rPr>
      </w:pPr>
      <w:bookmarkStart w:id="72" w:name="bookmark18"/>
      <w:bookmarkEnd w:id="72"/>
      <w:r>
        <w:rPr>
          <w:rFonts w:ascii="微软雅黑" w:hAnsi="微软雅黑" w:eastAsia="微软雅黑" w:cs="微软雅黑"/>
          <w:spacing w:val="-1"/>
          <w:sz w:val="32"/>
          <w:szCs w:val="32"/>
        </w:rPr>
        <w:t>第二部分</w:t>
      </w:r>
      <w:r>
        <w:rPr>
          <w:rFonts w:ascii="微软雅黑" w:hAnsi="微软雅黑" w:eastAsia="微软雅黑" w:cs="微软雅黑"/>
          <w:spacing w:val="14"/>
          <w:sz w:val="32"/>
          <w:szCs w:val="32"/>
        </w:rPr>
        <w:t xml:space="preserve">   </w:t>
      </w:r>
      <w:r>
        <w:rPr>
          <w:rFonts w:ascii="微软雅黑" w:hAnsi="微软雅黑" w:eastAsia="微软雅黑" w:cs="微软雅黑"/>
          <w:spacing w:val="-1"/>
          <w:sz w:val="32"/>
          <w:szCs w:val="32"/>
        </w:rPr>
        <w:t>商务及技术文件</w:t>
      </w:r>
    </w:p>
    <w:p w14:paraId="4BDAF307">
      <w:pPr>
        <w:spacing w:before="152" w:line="182" w:lineRule="auto"/>
        <w:ind w:left="26"/>
        <w:rPr>
          <w:rFonts w:ascii="微软雅黑" w:hAnsi="微软雅黑" w:eastAsia="微软雅黑" w:cs="微软雅黑"/>
          <w:sz w:val="28"/>
          <w:szCs w:val="28"/>
        </w:rPr>
      </w:pPr>
      <w:r>
        <w:rPr>
          <w:rFonts w:ascii="微软雅黑" w:hAnsi="微软雅黑" w:eastAsia="微软雅黑" w:cs="微软雅黑"/>
          <w:spacing w:val="-5"/>
          <w:sz w:val="28"/>
          <w:szCs w:val="28"/>
        </w:rPr>
        <w:t>1、投标书</w:t>
      </w:r>
    </w:p>
    <w:p w14:paraId="291072BA">
      <w:pPr>
        <w:spacing w:before="133" w:line="183" w:lineRule="auto"/>
        <w:ind w:left="13"/>
        <w:rPr>
          <w:rFonts w:ascii="微软雅黑" w:hAnsi="微软雅黑" w:eastAsia="微软雅黑" w:cs="微软雅黑"/>
          <w:sz w:val="28"/>
          <w:szCs w:val="28"/>
        </w:rPr>
      </w:pPr>
      <w:r>
        <w:rPr>
          <w:rFonts w:ascii="微软雅黑" w:hAnsi="微软雅黑" w:eastAsia="微软雅黑" w:cs="微软雅黑"/>
          <w:spacing w:val="-2"/>
          <w:sz w:val="28"/>
          <w:szCs w:val="28"/>
        </w:rPr>
        <w:t>2、投标分项报价表</w:t>
      </w:r>
    </w:p>
    <w:p w14:paraId="3944A69E">
      <w:pPr>
        <w:spacing w:before="131" w:line="184" w:lineRule="auto"/>
        <w:ind w:left="17"/>
        <w:rPr>
          <w:rFonts w:ascii="微软雅黑" w:hAnsi="微软雅黑" w:eastAsia="微软雅黑" w:cs="微软雅黑"/>
          <w:sz w:val="28"/>
          <w:szCs w:val="28"/>
        </w:rPr>
      </w:pPr>
      <w:r>
        <w:rPr>
          <w:rFonts w:ascii="微软雅黑" w:hAnsi="微软雅黑" w:eastAsia="微软雅黑" w:cs="微软雅黑"/>
          <w:spacing w:val="-3"/>
          <w:sz w:val="28"/>
          <w:szCs w:val="28"/>
        </w:rPr>
        <w:t>3、服务说明一览表</w:t>
      </w:r>
    </w:p>
    <w:p w14:paraId="0E671E33">
      <w:pPr>
        <w:spacing w:before="131" w:line="184" w:lineRule="auto"/>
        <w:rPr>
          <w:rFonts w:ascii="微软雅黑" w:hAnsi="微软雅黑" w:eastAsia="微软雅黑" w:cs="微软雅黑"/>
          <w:sz w:val="28"/>
          <w:szCs w:val="28"/>
        </w:rPr>
      </w:pPr>
      <w:r>
        <w:rPr>
          <w:rFonts w:ascii="微软雅黑" w:hAnsi="微软雅黑" w:eastAsia="微软雅黑" w:cs="微软雅黑"/>
          <w:spacing w:val="-1"/>
          <w:sz w:val="28"/>
          <w:szCs w:val="28"/>
        </w:rPr>
        <w:t>4、商务条款偏离表</w:t>
      </w:r>
    </w:p>
    <w:p w14:paraId="02C419D7">
      <w:pPr>
        <w:spacing w:before="134" w:line="183" w:lineRule="auto"/>
        <w:ind w:left="20"/>
        <w:rPr>
          <w:rFonts w:ascii="微软雅黑" w:hAnsi="微软雅黑" w:eastAsia="微软雅黑" w:cs="微软雅黑"/>
          <w:sz w:val="28"/>
          <w:szCs w:val="28"/>
        </w:rPr>
      </w:pPr>
      <w:r>
        <w:rPr>
          <w:rFonts w:ascii="微软雅黑" w:hAnsi="微软雅黑" w:eastAsia="微软雅黑" w:cs="微软雅黑"/>
          <w:spacing w:val="-2"/>
          <w:sz w:val="28"/>
          <w:szCs w:val="28"/>
        </w:rPr>
        <w:t>5、残疾人福利性单位声明函</w:t>
      </w:r>
    </w:p>
    <w:p w14:paraId="51C50AAD">
      <w:pPr>
        <w:spacing w:before="134" w:line="183" w:lineRule="auto"/>
        <w:ind w:left="13"/>
        <w:rPr>
          <w:rFonts w:ascii="微软雅黑" w:hAnsi="微软雅黑" w:eastAsia="微软雅黑" w:cs="微软雅黑"/>
          <w:sz w:val="28"/>
          <w:szCs w:val="28"/>
        </w:rPr>
      </w:pPr>
      <w:r>
        <w:rPr>
          <w:rFonts w:ascii="微软雅黑" w:hAnsi="微软雅黑" w:eastAsia="微软雅黑" w:cs="微软雅黑"/>
          <w:spacing w:val="-4"/>
          <w:sz w:val="28"/>
          <w:szCs w:val="28"/>
        </w:rPr>
        <w:t>6、供应商关联单位的说明（格式自拟）</w:t>
      </w:r>
    </w:p>
    <w:p w14:paraId="540F09A1">
      <w:pPr>
        <w:spacing w:before="131" w:line="184" w:lineRule="auto"/>
        <w:ind w:left="12"/>
        <w:rPr>
          <w:rFonts w:ascii="微软雅黑" w:hAnsi="微软雅黑" w:eastAsia="微软雅黑" w:cs="微软雅黑"/>
          <w:sz w:val="28"/>
          <w:szCs w:val="28"/>
        </w:rPr>
      </w:pPr>
      <w:r>
        <w:rPr>
          <w:rFonts w:ascii="微软雅黑" w:hAnsi="微软雅黑" w:eastAsia="微软雅黑" w:cs="微软雅黑"/>
          <w:spacing w:val="-1"/>
          <w:sz w:val="28"/>
          <w:szCs w:val="28"/>
        </w:rPr>
        <w:t>7、供应商可提供有利于投标的其他资格证明材料</w:t>
      </w:r>
    </w:p>
    <w:p w14:paraId="5345C83A">
      <w:pPr>
        <w:spacing w:before="134" w:line="183" w:lineRule="auto"/>
        <w:ind w:left="11"/>
        <w:rPr>
          <w:rFonts w:ascii="微软雅黑" w:hAnsi="微软雅黑" w:eastAsia="微软雅黑" w:cs="微软雅黑"/>
          <w:sz w:val="28"/>
          <w:szCs w:val="28"/>
        </w:rPr>
      </w:pPr>
      <w:r>
        <w:rPr>
          <w:rFonts w:ascii="微软雅黑" w:hAnsi="微软雅黑" w:eastAsia="微软雅黑" w:cs="微软雅黑"/>
          <w:spacing w:val="-2"/>
          <w:sz w:val="28"/>
          <w:szCs w:val="28"/>
        </w:rPr>
        <w:t>8、投标文件格式范本</w:t>
      </w:r>
    </w:p>
    <w:p w14:paraId="19037430">
      <w:pPr>
        <w:spacing w:line="183" w:lineRule="auto"/>
        <w:rPr>
          <w:rFonts w:ascii="微软雅黑" w:hAnsi="微软雅黑" w:eastAsia="微软雅黑" w:cs="微软雅黑"/>
          <w:sz w:val="28"/>
          <w:szCs w:val="28"/>
        </w:rPr>
        <w:sectPr>
          <w:footerReference r:id="rId29" w:type="default"/>
          <w:pgSz w:w="11905" w:h="16839"/>
          <w:pgMar w:top="1431" w:right="1785" w:bottom="1197" w:left="1621" w:header="0" w:footer="963" w:gutter="0"/>
          <w:pgNumType w:fmt="decimal"/>
          <w:cols w:space="720" w:num="1"/>
        </w:sectPr>
      </w:pPr>
    </w:p>
    <w:p w14:paraId="6BD7FCDF">
      <w:pPr>
        <w:spacing w:before="116" w:line="182" w:lineRule="auto"/>
        <w:ind w:left="4336"/>
        <w:outlineLvl w:val="1"/>
        <w:rPr>
          <w:rFonts w:ascii="微软雅黑" w:hAnsi="微软雅黑" w:eastAsia="微软雅黑" w:cs="微软雅黑"/>
          <w:sz w:val="24"/>
          <w:szCs w:val="24"/>
        </w:rPr>
      </w:pPr>
      <w:bookmarkStart w:id="73" w:name="bookmark19"/>
      <w:bookmarkEnd w:id="73"/>
      <w:r>
        <w:rPr>
          <w:rFonts w:ascii="微软雅黑" w:hAnsi="微软雅黑" w:eastAsia="微软雅黑" w:cs="微软雅黑"/>
          <w:b/>
          <w:bCs/>
          <w:spacing w:val="-4"/>
          <w:sz w:val="24"/>
          <w:szCs w:val="24"/>
        </w:rPr>
        <w:t>1、投标书</w:t>
      </w:r>
    </w:p>
    <w:p w14:paraId="4A526FAC">
      <w:pPr>
        <w:spacing w:before="97" w:line="183" w:lineRule="auto"/>
        <w:rPr>
          <w:rFonts w:ascii="微软雅黑" w:hAnsi="微软雅黑" w:eastAsia="微软雅黑" w:cs="微软雅黑"/>
          <w:sz w:val="24"/>
          <w:szCs w:val="24"/>
        </w:rPr>
      </w:pPr>
      <w:r>
        <w:rPr>
          <w:rFonts w:ascii="微软雅黑" w:hAnsi="微软雅黑" w:eastAsia="微软雅黑" w:cs="微软雅黑"/>
          <w:spacing w:val="-3"/>
          <w:sz w:val="24"/>
          <w:szCs w:val="24"/>
        </w:rPr>
        <w:t>致：</w:t>
      </w:r>
      <w:r>
        <w:rPr>
          <w:rFonts w:ascii="微软雅黑" w:hAnsi="微软雅黑" w:eastAsia="微软雅黑" w:cs="微软雅黑"/>
          <w:sz w:val="24"/>
          <w:szCs w:val="24"/>
          <w:u w:val="single" w:color="auto"/>
        </w:rPr>
        <w:t xml:space="preserve">              </w:t>
      </w:r>
    </w:p>
    <w:p w14:paraId="6BD65D8A">
      <w:pPr>
        <w:pStyle w:val="7"/>
        <w:spacing w:line="406" w:lineRule="auto"/>
      </w:pPr>
    </w:p>
    <w:p w14:paraId="446A9875">
      <w:pPr>
        <w:spacing w:before="108" w:line="227" w:lineRule="auto"/>
        <w:ind w:left="1" w:right="9" w:firstLine="480"/>
        <w:jc w:val="both"/>
        <w:rPr>
          <w:rFonts w:ascii="微软雅黑" w:hAnsi="微软雅黑" w:eastAsia="微软雅黑" w:cs="微软雅黑"/>
          <w:sz w:val="24"/>
          <w:szCs w:val="24"/>
        </w:rPr>
      </w:pPr>
      <w:r>
        <w:rPr>
          <w:rFonts w:ascii="微软雅黑" w:hAnsi="微软雅黑" w:eastAsia="微软雅黑" w:cs="微软雅黑"/>
          <w:spacing w:val="-11"/>
          <w:sz w:val="24"/>
          <w:szCs w:val="24"/>
        </w:rPr>
        <w:t>根据贵方（</w:t>
      </w:r>
      <w:r>
        <w:rPr>
          <w:rFonts w:ascii="微软雅黑" w:hAnsi="微软雅黑" w:eastAsia="微软雅黑" w:cs="微软雅黑"/>
          <w:spacing w:val="-49"/>
          <w:sz w:val="24"/>
          <w:szCs w:val="24"/>
        </w:rPr>
        <w:t xml:space="preserve"> </w:t>
      </w:r>
      <w:r>
        <w:rPr>
          <w:rFonts w:ascii="微软雅黑" w:hAnsi="微软雅黑" w:eastAsia="微软雅黑" w:cs="微软雅黑"/>
          <w:spacing w:val="-35"/>
          <w:sz w:val="25"/>
          <w:szCs w:val="25"/>
          <w:u w:val="single" w:color="auto"/>
        </w:rPr>
        <w:t xml:space="preserve"> </w:t>
      </w:r>
      <w:r>
        <w:rPr>
          <w:rFonts w:ascii="微软雅黑" w:hAnsi="微软雅黑" w:eastAsia="微软雅黑" w:cs="微软雅黑"/>
          <w:i/>
          <w:iCs/>
          <w:spacing w:val="-11"/>
          <w:sz w:val="25"/>
          <w:szCs w:val="25"/>
          <w:u w:val="single" w:color="auto"/>
        </w:rPr>
        <w:t>项目名称）</w:t>
      </w:r>
      <w:r>
        <w:rPr>
          <w:rFonts w:ascii="微软雅黑" w:hAnsi="微软雅黑" w:eastAsia="微软雅黑" w:cs="微软雅黑"/>
          <w:spacing w:val="-11"/>
          <w:sz w:val="24"/>
          <w:szCs w:val="24"/>
        </w:rPr>
        <w:t>项目的投标邀请（</w:t>
      </w:r>
      <w:r>
        <w:rPr>
          <w:rFonts w:ascii="微软雅黑" w:hAnsi="微软雅黑" w:eastAsia="微软雅黑" w:cs="微软雅黑"/>
          <w:spacing w:val="-50"/>
          <w:sz w:val="24"/>
          <w:szCs w:val="24"/>
        </w:rPr>
        <w:t xml:space="preserve"> </w:t>
      </w:r>
      <w:r>
        <w:rPr>
          <w:rFonts w:ascii="微软雅黑" w:hAnsi="微软雅黑" w:eastAsia="微软雅黑" w:cs="微软雅黑"/>
          <w:spacing w:val="-34"/>
          <w:sz w:val="25"/>
          <w:szCs w:val="25"/>
          <w:u w:val="single" w:color="auto"/>
        </w:rPr>
        <w:t xml:space="preserve"> </w:t>
      </w:r>
      <w:r>
        <w:rPr>
          <w:rFonts w:ascii="微软雅黑" w:hAnsi="微软雅黑" w:eastAsia="微软雅黑" w:cs="微软雅黑"/>
          <w:i/>
          <w:iCs/>
          <w:spacing w:val="-11"/>
          <w:sz w:val="25"/>
          <w:szCs w:val="25"/>
          <w:u w:val="single" w:color="auto"/>
        </w:rPr>
        <w:t>项目编号，</w:t>
      </w:r>
      <w:r>
        <w:rPr>
          <w:rFonts w:ascii="微软雅黑" w:hAnsi="微软雅黑" w:eastAsia="微软雅黑" w:cs="微软雅黑"/>
          <w:spacing w:val="-11"/>
          <w:sz w:val="24"/>
          <w:szCs w:val="24"/>
          <w:u w:val="single" w:color="auto"/>
        </w:rPr>
        <w:t>包号</w:t>
      </w:r>
      <w:r>
        <w:rPr>
          <w:rFonts w:ascii="微软雅黑" w:hAnsi="微软雅黑" w:eastAsia="微软雅黑" w:cs="微软雅黑"/>
          <w:spacing w:val="-17"/>
          <w:sz w:val="24"/>
          <w:szCs w:val="24"/>
          <w:u w:val="single" w:color="auto"/>
        </w:rPr>
        <w:t>），</w:t>
      </w:r>
      <w:r>
        <w:rPr>
          <w:rFonts w:ascii="微软雅黑" w:hAnsi="微软雅黑" w:eastAsia="微软雅黑" w:cs="微软雅黑"/>
          <w:spacing w:val="-11"/>
          <w:sz w:val="24"/>
          <w:szCs w:val="24"/>
        </w:rPr>
        <w:t>签字代</w:t>
      </w:r>
      <w:r>
        <w:rPr>
          <w:rFonts w:ascii="微软雅黑" w:hAnsi="微软雅黑" w:eastAsia="微软雅黑" w:cs="微软雅黑"/>
          <w:spacing w:val="-12"/>
          <w:sz w:val="24"/>
          <w:szCs w:val="24"/>
        </w:rPr>
        <w:t>表（</w:t>
      </w:r>
      <w:r>
        <w:rPr>
          <w:rFonts w:ascii="微软雅黑" w:hAnsi="微软雅黑" w:eastAsia="微软雅黑" w:cs="微软雅黑"/>
          <w:spacing w:val="-50"/>
          <w:sz w:val="24"/>
          <w:szCs w:val="24"/>
        </w:rPr>
        <w:t xml:space="preserve"> </w:t>
      </w:r>
      <w:r>
        <w:rPr>
          <w:rFonts w:ascii="微软雅黑" w:hAnsi="微软雅黑" w:eastAsia="微软雅黑" w:cs="微软雅黑"/>
          <w:spacing w:val="-29"/>
          <w:sz w:val="25"/>
          <w:szCs w:val="25"/>
          <w:u w:val="single" w:color="auto"/>
        </w:rPr>
        <w:t xml:space="preserve"> </w:t>
      </w:r>
      <w:r>
        <w:rPr>
          <w:rFonts w:ascii="微软雅黑" w:hAnsi="微软雅黑" w:eastAsia="微软雅黑" w:cs="微软雅黑"/>
          <w:i/>
          <w:iCs/>
          <w:spacing w:val="-12"/>
          <w:sz w:val="25"/>
          <w:szCs w:val="25"/>
          <w:u w:val="single" w:color="auto"/>
        </w:rPr>
        <w:t>姓名、职务）</w:t>
      </w:r>
      <w:r>
        <w:rPr>
          <w:rFonts w:ascii="微软雅黑" w:hAnsi="微软雅黑" w:eastAsia="微软雅黑" w:cs="微软雅黑"/>
          <w:spacing w:val="-12"/>
          <w:sz w:val="24"/>
          <w:szCs w:val="24"/>
        </w:rPr>
        <w:t>经</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正式授权并代表供应商（</w:t>
      </w:r>
      <w:r>
        <w:rPr>
          <w:rFonts w:ascii="微软雅黑" w:hAnsi="微软雅黑" w:eastAsia="微软雅黑" w:cs="微软雅黑"/>
          <w:spacing w:val="-46"/>
          <w:sz w:val="24"/>
          <w:szCs w:val="24"/>
        </w:rPr>
        <w:t xml:space="preserve"> </w:t>
      </w:r>
      <w:r>
        <w:rPr>
          <w:rFonts w:ascii="微软雅黑" w:hAnsi="微软雅黑" w:eastAsia="微软雅黑" w:cs="微软雅黑"/>
          <w:spacing w:val="-31"/>
          <w:sz w:val="25"/>
          <w:szCs w:val="25"/>
          <w:u w:val="single" w:color="auto"/>
        </w:rPr>
        <w:t xml:space="preserve"> </w:t>
      </w:r>
      <w:r>
        <w:rPr>
          <w:rFonts w:ascii="微软雅黑" w:hAnsi="微软雅黑" w:eastAsia="微软雅黑" w:cs="微软雅黑"/>
          <w:i/>
          <w:iCs/>
          <w:spacing w:val="-3"/>
          <w:sz w:val="25"/>
          <w:szCs w:val="25"/>
          <w:u w:val="single" w:color="auto"/>
        </w:rPr>
        <w:t>名称、地址</w:t>
      </w:r>
      <w:r>
        <w:rPr>
          <w:rFonts w:ascii="微软雅黑" w:hAnsi="微软雅黑" w:eastAsia="微软雅黑" w:cs="微软雅黑"/>
          <w:spacing w:val="-3"/>
          <w:sz w:val="24"/>
          <w:szCs w:val="24"/>
        </w:rPr>
        <w:t>）上传投标文件，并以</w:t>
      </w:r>
      <w:r>
        <w:rPr>
          <w:rFonts w:ascii="微软雅黑" w:hAnsi="微软雅黑" w:eastAsia="微软雅黑" w:cs="微软雅黑"/>
          <w:spacing w:val="-70"/>
          <w:sz w:val="24"/>
          <w:szCs w:val="24"/>
        </w:rPr>
        <w:t xml:space="preserve"> </w:t>
      </w:r>
      <w:r>
        <w:rPr>
          <w:rFonts w:ascii="微软雅黑" w:hAnsi="微软雅黑" w:eastAsia="微软雅黑" w:cs="微软雅黑"/>
          <w:spacing w:val="1"/>
          <w:sz w:val="24"/>
          <w:szCs w:val="24"/>
          <w:u w:val="single" w:color="auto"/>
        </w:rPr>
        <w:t xml:space="preserve">               </w:t>
      </w:r>
      <w:r>
        <w:rPr>
          <w:rFonts w:ascii="微软雅黑" w:hAnsi="微软雅黑" w:eastAsia="微软雅黑" w:cs="微软雅黑"/>
          <w:spacing w:val="-64"/>
          <w:sz w:val="24"/>
          <w:szCs w:val="24"/>
        </w:rPr>
        <w:t xml:space="preserve"> </w:t>
      </w:r>
      <w:r>
        <w:rPr>
          <w:rFonts w:ascii="微软雅黑" w:hAnsi="微软雅黑" w:eastAsia="微软雅黑" w:cs="微软雅黑"/>
          <w:spacing w:val="-3"/>
          <w:sz w:val="24"/>
          <w:szCs w:val="24"/>
        </w:rPr>
        <w:t>形式出具的金额为人民</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币</w:t>
      </w:r>
      <w:r>
        <w:rPr>
          <w:rFonts w:ascii="微软雅黑" w:hAnsi="微软雅黑" w:eastAsia="微软雅黑" w:cs="微软雅黑"/>
          <w:spacing w:val="3"/>
          <w:sz w:val="24"/>
          <w:szCs w:val="24"/>
          <w:u w:val="single" w:color="auto"/>
        </w:rPr>
        <w:t xml:space="preserve">             </w:t>
      </w:r>
      <w:r>
        <w:rPr>
          <w:rFonts w:ascii="微软雅黑" w:hAnsi="微软雅黑" w:eastAsia="微软雅黑" w:cs="微软雅黑"/>
          <w:spacing w:val="-64"/>
          <w:sz w:val="24"/>
          <w:szCs w:val="24"/>
        </w:rPr>
        <w:t xml:space="preserve"> </w:t>
      </w:r>
      <w:r>
        <w:rPr>
          <w:rFonts w:ascii="微软雅黑" w:hAnsi="微软雅黑" w:eastAsia="微软雅黑" w:cs="微软雅黑"/>
          <w:spacing w:val="-6"/>
          <w:sz w:val="24"/>
          <w:szCs w:val="24"/>
        </w:rPr>
        <w:t>元的投标保证金。</w:t>
      </w:r>
    </w:p>
    <w:p w14:paraId="07FA3BF2">
      <w:pPr>
        <w:spacing w:before="1" w:line="183" w:lineRule="auto"/>
        <w:ind w:left="539"/>
        <w:rPr>
          <w:rFonts w:ascii="微软雅黑" w:hAnsi="微软雅黑" w:eastAsia="微软雅黑" w:cs="微软雅黑"/>
          <w:sz w:val="24"/>
          <w:szCs w:val="24"/>
        </w:rPr>
      </w:pPr>
      <w:r>
        <w:rPr>
          <w:rFonts w:ascii="微软雅黑" w:hAnsi="微软雅黑" w:eastAsia="微软雅黑" w:cs="微软雅黑"/>
          <w:spacing w:val="-4"/>
          <w:sz w:val="24"/>
          <w:szCs w:val="24"/>
        </w:rPr>
        <w:t>据此，签字代表宣布同意如下：</w:t>
      </w:r>
    </w:p>
    <w:p w14:paraId="4D172B9A">
      <w:pPr>
        <w:spacing w:before="41" w:line="227" w:lineRule="auto"/>
        <w:ind w:left="767" w:right="9" w:hanging="195"/>
        <w:rPr>
          <w:rFonts w:ascii="微软雅黑" w:hAnsi="微软雅黑" w:eastAsia="微软雅黑" w:cs="微软雅黑"/>
          <w:sz w:val="24"/>
          <w:szCs w:val="24"/>
        </w:rPr>
      </w:pPr>
      <w:r>
        <w:rPr>
          <w:rFonts w:ascii="微软雅黑" w:hAnsi="微软雅黑" w:eastAsia="微软雅黑" w:cs="微软雅黑"/>
          <w:spacing w:val="-2"/>
          <w:sz w:val="24"/>
          <w:szCs w:val="24"/>
        </w:rPr>
        <w:t>（1）附投标价格表中规定的应提供服务的投标总价</w:t>
      </w:r>
      <w:r>
        <w:rPr>
          <w:rFonts w:ascii="微软雅黑" w:hAnsi="微软雅黑" w:eastAsia="微软雅黑" w:cs="微软雅黑"/>
          <w:spacing w:val="-3"/>
          <w:sz w:val="24"/>
          <w:szCs w:val="24"/>
        </w:rPr>
        <w:t>详见开标一览表，承包企业为</w:t>
      </w:r>
      <w:r>
        <w:rPr>
          <w:rFonts w:ascii="微软雅黑" w:hAnsi="微软雅黑" w:eastAsia="微软雅黑" w:cs="微软雅黑"/>
          <w:spacing w:val="-3"/>
          <w:sz w:val="24"/>
          <w:szCs w:val="24"/>
          <w:u w:val="single" w:color="auto"/>
        </w:rPr>
        <w:t>小型和</w:t>
      </w:r>
      <w:r>
        <w:rPr>
          <w:rFonts w:ascii="微软雅黑" w:hAnsi="微软雅黑" w:eastAsia="微软雅黑" w:cs="微软雅黑"/>
          <w:sz w:val="24"/>
          <w:szCs w:val="24"/>
        </w:rPr>
        <w:t xml:space="preserve"> </w:t>
      </w:r>
      <w:r>
        <w:rPr>
          <w:rFonts w:ascii="微软雅黑" w:hAnsi="微软雅黑" w:eastAsia="微软雅黑" w:cs="微软雅黑"/>
          <w:sz w:val="24"/>
          <w:szCs w:val="24"/>
          <w:u w:val="single" w:color="auto"/>
        </w:rPr>
        <w:t>微型，</w:t>
      </w:r>
      <w:r>
        <w:rPr>
          <w:rFonts w:ascii="微软雅黑" w:hAnsi="微软雅黑" w:eastAsia="微软雅黑" w:cs="微软雅黑"/>
          <w:sz w:val="24"/>
          <w:szCs w:val="24"/>
        </w:rPr>
        <w:t>投标报价价格为</w:t>
      </w:r>
      <w:r>
        <w:rPr>
          <w:rFonts w:ascii="微软雅黑" w:hAnsi="微软雅黑" w:eastAsia="微软雅黑" w:cs="微软雅黑"/>
          <w:sz w:val="24"/>
          <w:szCs w:val="24"/>
          <w:u w:val="single" w:color="auto"/>
        </w:rPr>
        <w:t xml:space="preserve">          （用文字和数字表示</w:t>
      </w:r>
      <w:r>
        <w:rPr>
          <w:rFonts w:ascii="微软雅黑" w:hAnsi="微软雅黑" w:eastAsia="微软雅黑" w:cs="微软雅黑"/>
          <w:spacing w:val="5"/>
          <w:sz w:val="24"/>
          <w:szCs w:val="24"/>
          <w:u w:val="single" w:color="auto"/>
        </w:rPr>
        <w:t>），</w:t>
      </w:r>
      <w:r>
        <w:rPr>
          <w:rFonts w:ascii="微软雅黑" w:hAnsi="微软雅黑" w:eastAsia="微软雅黑" w:cs="微软雅黑"/>
          <w:sz w:val="24"/>
          <w:szCs w:val="24"/>
          <w:u w:val="single" w:color="auto"/>
        </w:rPr>
        <w:t>占投标总价     %</w:t>
      </w:r>
      <w:r>
        <w:rPr>
          <w:rFonts w:ascii="微软雅黑" w:hAnsi="微软雅黑" w:eastAsia="微软雅黑" w:cs="微软雅黑"/>
          <w:sz w:val="24"/>
          <w:szCs w:val="24"/>
        </w:rPr>
        <w:t>。</w:t>
      </w:r>
    </w:p>
    <w:p w14:paraId="3282467E">
      <w:pPr>
        <w:spacing w:before="66" w:line="183" w:lineRule="auto"/>
        <w:ind w:left="572"/>
        <w:rPr>
          <w:rFonts w:ascii="微软雅黑" w:hAnsi="微软雅黑" w:eastAsia="微软雅黑" w:cs="微软雅黑"/>
          <w:sz w:val="24"/>
          <w:szCs w:val="24"/>
        </w:rPr>
      </w:pPr>
      <w:r>
        <w:rPr>
          <w:rFonts w:ascii="微软雅黑" w:hAnsi="微软雅黑" w:eastAsia="微软雅黑" w:cs="微软雅黑"/>
          <w:spacing w:val="-4"/>
          <w:sz w:val="24"/>
          <w:szCs w:val="24"/>
        </w:rPr>
        <w:t>（2）本投标有效期为自投标截止之日起</w:t>
      </w:r>
      <w:r>
        <w:rPr>
          <w:rFonts w:ascii="微软雅黑" w:hAnsi="微软雅黑" w:eastAsia="微软雅黑" w:cs="微软雅黑"/>
          <w:spacing w:val="-56"/>
          <w:sz w:val="24"/>
          <w:szCs w:val="24"/>
        </w:rPr>
        <w:t xml:space="preserve"> </w:t>
      </w:r>
      <w:r>
        <w:rPr>
          <w:rFonts w:ascii="微软雅黑" w:hAnsi="微软雅黑" w:eastAsia="微软雅黑" w:cs="微软雅黑"/>
          <w:spacing w:val="4"/>
          <w:sz w:val="24"/>
          <w:szCs w:val="24"/>
          <w:u w:val="single" w:color="auto"/>
        </w:rPr>
        <w:t xml:space="preserve">                </w:t>
      </w:r>
      <w:r>
        <w:rPr>
          <w:rFonts w:ascii="微软雅黑" w:hAnsi="微软雅黑" w:eastAsia="微软雅黑" w:cs="微软雅黑"/>
          <w:spacing w:val="-68"/>
          <w:sz w:val="24"/>
          <w:szCs w:val="24"/>
        </w:rPr>
        <w:t xml:space="preserve"> </w:t>
      </w:r>
      <w:r>
        <w:rPr>
          <w:rFonts w:ascii="微软雅黑" w:hAnsi="微软雅黑" w:eastAsia="微软雅黑" w:cs="微软雅黑"/>
          <w:spacing w:val="-4"/>
          <w:sz w:val="24"/>
          <w:szCs w:val="24"/>
        </w:rPr>
        <w:t>个日历日。</w:t>
      </w:r>
    </w:p>
    <w:p w14:paraId="4519F967">
      <w:pPr>
        <w:spacing w:before="86" w:line="214" w:lineRule="auto"/>
        <w:ind w:left="1078" w:right="1" w:hanging="506"/>
        <w:rPr>
          <w:rFonts w:ascii="微软雅黑" w:hAnsi="微软雅黑" w:eastAsia="微软雅黑" w:cs="微软雅黑"/>
          <w:sz w:val="24"/>
          <w:szCs w:val="24"/>
        </w:rPr>
      </w:pPr>
      <w:r>
        <w:rPr>
          <w:rFonts w:ascii="微软雅黑" w:hAnsi="微软雅黑" w:eastAsia="微软雅黑" w:cs="微软雅黑"/>
          <w:spacing w:val="-2"/>
          <w:sz w:val="24"/>
          <w:szCs w:val="24"/>
        </w:rPr>
        <w:t>（3）联合体中的大中型企业和其他自然人、法人或者非法人组织，与</w:t>
      </w:r>
      <w:r>
        <w:rPr>
          <w:rFonts w:ascii="微软雅黑" w:hAnsi="微软雅黑" w:eastAsia="微软雅黑" w:cs="微软雅黑"/>
          <w:spacing w:val="-3"/>
          <w:sz w:val="24"/>
          <w:szCs w:val="24"/>
        </w:rPr>
        <w:t>联合体中的小型、</w:t>
      </w:r>
      <w:r>
        <w:rPr>
          <w:rFonts w:ascii="微软雅黑" w:hAnsi="微软雅黑" w:eastAsia="微软雅黑" w:cs="微软雅黑"/>
          <w:sz w:val="24"/>
          <w:szCs w:val="24"/>
        </w:rPr>
        <w:t xml:space="preserve"> 微型企业之间</w:t>
      </w:r>
      <w:r>
        <w:rPr>
          <w:rFonts w:ascii="微软雅黑" w:hAnsi="微软雅黑" w:eastAsia="微软雅黑" w:cs="微软雅黑"/>
          <w:sz w:val="24"/>
          <w:szCs w:val="24"/>
          <w:u w:val="single" w:color="auto"/>
        </w:rPr>
        <w:t xml:space="preserve">        （</w:t>
      </w:r>
      <w:r>
        <w:rPr>
          <w:rFonts w:ascii="微软雅黑" w:hAnsi="微软雅黑" w:eastAsia="微软雅黑" w:cs="微软雅黑"/>
          <w:sz w:val="24"/>
          <w:szCs w:val="24"/>
        </w:rPr>
        <w:t>存在、不存在</w:t>
      </w:r>
      <w:r>
        <w:rPr>
          <w:rFonts w:ascii="微软雅黑" w:hAnsi="微软雅黑" w:eastAsia="微软雅黑" w:cs="微软雅黑"/>
          <w:spacing w:val="-1"/>
          <w:sz w:val="24"/>
          <w:szCs w:val="24"/>
        </w:rPr>
        <w:t>）投资关系（如果是联合体的话）。</w:t>
      </w:r>
    </w:p>
    <w:p w14:paraId="5C1C7AF4">
      <w:pPr>
        <w:spacing w:before="21" w:line="221" w:lineRule="auto"/>
        <w:ind w:left="1080" w:right="11" w:hanging="508"/>
        <w:rPr>
          <w:rFonts w:ascii="微软雅黑" w:hAnsi="微软雅黑" w:eastAsia="微软雅黑" w:cs="微软雅黑"/>
          <w:sz w:val="24"/>
          <w:szCs w:val="24"/>
        </w:rPr>
      </w:pPr>
      <w:r>
        <w:rPr>
          <w:rFonts w:ascii="微软雅黑" w:hAnsi="微软雅黑" w:eastAsia="微软雅黑" w:cs="微软雅黑"/>
          <w:spacing w:val="-2"/>
          <w:sz w:val="24"/>
          <w:szCs w:val="24"/>
        </w:rPr>
        <w:t>（4）已详细审查全部招标文件，包括所有补</w:t>
      </w:r>
      <w:r>
        <w:rPr>
          <w:rFonts w:ascii="微软雅黑" w:hAnsi="微软雅黑" w:eastAsia="微软雅黑" w:cs="微软雅黑"/>
          <w:spacing w:val="-3"/>
          <w:sz w:val="24"/>
          <w:szCs w:val="24"/>
        </w:rPr>
        <w:t>充通知（如果有的话），完全理解并同意放</w:t>
      </w:r>
      <w:r>
        <w:rPr>
          <w:rFonts w:ascii="微软雅黑" w:hAnsi="微软雅黑" w:eastAsia="微软雅黑" w:cs="微软雅黑"/>
          <w:spacing w:val="1"/>
          <w:sz w:val="24"/>
          <w:szCs w:val="24"/>
        </w:rPr>
        <w:t xml:space="preserve"> </w:t>
      </w:r>
      <w:r>
        <w:rPr>
          <w:rFonts w:ascii="微软雅黑" w:hAnsi="微软雅黑" w:eastAsia="微软雅黑" w:cs="微软雅黑"/>
          <w:spacing w:val="-3"/>
          <w:sz w:val="24"/>
          <w:szCs w:val="24"/>
        </w:rPr>
        <w:t>弃对这方面有不明、误解和质疑的权力。</w:t>
      </w:r>
    </w:p>
    <w:p w14:paraId="39EF784E">
      <w:pPr>
        <w:spacing w:before="86" w:line="183" w:lineRule="auto"/>
        <w:ind w:left="572"/>
        <w:rPr>
          <w:rFonts w:ascii="微软雅黑" w:hAnsi="微软雅黑" w:eastAsia="微软雅黑" w:cs="微软雅黑"/>
          <w:sz w:val="24"/>
          <w:szCs w:val="24"/>
        </w:rPr>
      </w:pPr>
      <w:r>
        <w:rPr>
          <w:rFonts w:ascii="微软雅黑" w:hAnsi="微软雅黑" w:eastAsia="微软雅黑" w:cs="微软雅黑"/>
          <w:spacing w:val="-3"/>
          <w:sz w:val="24"/>
          <w:szCs w:val="24"/>
        </w:rPr>
        <w:t>（5）在规定的开标时间后，遵守招标文件中有关保证金的规定。</w:t>
      </w:r>
    </w:p>
    <w:p w14:paraId="6E0FA179">
      <w:pPr>
        <w:spacing w:before="42" w:line="221" w:lineRule="auto"/>
        <w:ind w:left="1076" w:right="13" w:hanging="504"/>
        <w:rPr>
          <w:rFonts w:ascii="微软雅黑" w:hAnsi="微软雅黑" w:eastAsia="微软雅黑" w:cs="微软雅黑"/>
          <w:sz w:val="24"/>
          <w:szCs w:val="24"/>
        </w:rPr>
      </w:pPr>
      <w:r>
        <w:rPr>
          <w:rFonts w:ascii="微软雅黑" w:hAnsi="微软雅黑" w:eastAsia="微软雅黑" w:cs="微软雅黑"/>
          <w:spacing w:val="-2"/>
          <w:sz w:val="24"/>
          <w:szCs w:val="24"/>
        </w:rPr>
        <w:t>（6）我方不是为本项目提供整体设计、规</w:t>
      </w:r>
      <w:r>
        <w:rPr>
          <w:rFonts w:ascii="微软雅黑" w:hAnsi="微软雅黑" w:eastAsia="微软雅黑" w:cs="微软雅黑"/>
          <w:spacing w:val="-3"/>
          <w:sz w:val="24"/>
          <w:szCs w:val="24"/>
        </w:rPr>
        <w:t>范编制或者项目管理、监理、检测等服务的供</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应商，我方不是采购代理机构的附属机构。</w:t>
      </w:r>
    </w:p>
    <w:p w14:paraId="65E34BDA">
      <w:pPr>
        <w:spacing w:before="84" w:line="184" w:lineRule="auto"/>
        <w:jc w:val="right"/>
        <w:rPr>
          <w:rFonts w:ascii="微软雅黑" w:hAnsi="微软雅黑" w:eastAsia="微软雅黑" w:cs="微软雅黑"/>
          <w:sz w:val="24"/>
          <w:szCs w:val="24"/>
        </w:rPr>
      </w:pPr>
      <w:r>
        <w:rPr>
          <w:rFonts w:ascii="微软雅黑" w:hAnsi="微软雅黑" w:eastAsia="微软雅黑" w:cs="微软雅黑"/>
          <w:spacing w:val="-2"/>
          <w:sz w:val="24"/>
          <w:szCs w:val="24"/>
        </w:rPr>
        <w:t>（7）在领取中标通知书的同时按招标文件规定的形式，向贵方一次性支付</w:t>
      </w:r>
      <w:r>
        <w:rPr>
          <w:rFonts w:ascii="微软雅黑" w:hAnsi="微软雅黑" w:eastAsia="微软雅黑" w:cs="微软雅黑"/>
          <w:spacing w:val="-3"/>
          <w:sz w:val="24"/>
          <w:szCs w:val="24"/>
        </w:rPr>
        <w:t>中标服务费。</w:t>
      </w:r>
    </w:p>
    <w:p w14:paraId="59241573">
      <w:pPr>
        <w:spacing w:before="42" w:line="221" w:lineRule="auto"/>
        <w:ind w:left="1079" w:right="9" w:hanging="507"/>
        <w:rPr>
          <w:rFonts w:ascii="微软雅黑" w:hAnsi="微软雅黑" w:eastAsia="微软雅黑" w:cs="微软雅黑"/>
          <w:sz w:val="24"/>
          <w:szCs w:val="24"/>
        </w:rPr>
      </w:pPr>
      <w:r>
        <w:rPr>
          <w:rFonts w:ascii="微软雅黑" w:hAnsi="微软雅黑" w:eastAsia="微软雅黑" w:cs="微软雅黑"/>
          <w:spacing w:val="-2"/>
          <w:sz w:val="24"/>
          <w:szCs w:val="24"/>
        </w:rPr>
        <w:t>（8）按照贵方可能要求，提供与其投标有关的一切</w:t>
      </w:r>
      <w:r>
        <w:rPr>
          <w:rFonts w:ascii="微软雅黑" w:hAnsi="微软雅黑" w:eastAsia="微软雅黑" w:cs="微软雅黑"/>
          <w:spacing w:val="-3"/>
          <w:sz w:val="24"/>
          <w:szCs w:val="24"/>
        </w:rPr>
        <w:t>数据或资料，完全理解贵方不一定接</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受最低价的投标或收到的任何投标。</w:t>
      </w:r>
    </w:p>
    <w:p w14:paraId="0710C4D8">
      <w:pPr>
        <w:spacing w:before="84" w:line="184" w:lineRule="auto"/>
        <w:ind w:left="572"/>
        <w:rPr>
          <w:rFonts w:ascii="微软雅黑" w:hAnsi="微软雅黑" w:eastAsia="微软雅黑" w:cs="微软雅黑"/>
          <w:sz w:val="24"/>
          <w:szCs w:val="24"/>
        </w:rPr>
      </w:pPr>
      <w:r>
        <w:rPr>
          <w:rFonts w:ascii="微软雅黑" w:hAnsi="微软雅黑" w:eastAsia="微软雅黑" w:cs="微软雅黑"/>
          <w:spacing w:val="-4"/>
          <w:sz w:val="24"/>
          <w:szCs w:val="24"/>
        </w:rPr>
        <w:t>（9）按照招标文件的规定履行合同责任和义务。</w:t>
      </w:r>
    </w:p>
    <w:p w14:paraId="254D7D55">
      <w:pPr>
        <w:spacing w:before="86" w:line="183" w:lineRule="auto"/>
        <w:ind w:left="382"/>
        <w:rPr>
          <w:rFonts w:ascii="微软雅黑" w:hAnsi="微软雅黑" w:eastAsia="微软雅黑" w:cs="微软雅黑"/>
          <w:sz w:val="24"/>
          <w:szCs w:val="24"/>
        </w:rPr>
      </w:pPr>
      <w:r>
        <w:rPr>
          <w:rFonts w:ascii="微软雅黑" w:hAnsi="微软雅黑" w:eastAsia="微软雅黑" w:cs="微软雅黑"/>
          <w:spacing w:val="-3"/>
          <w:sz w:val="24"/>
          <w:szCs w:val="24"/>
        </w:rPr>
        <w:t>与本投标有关的一切正式往来信函请寄：</w:t>
      </w:r>
    </w:p>
    <w:p w14:paraId="2E73E740">
      <w:pPr>
        <w:spacing w:before="88" w:line="182" w:lineRule="auto"/>
        <w:ind w:left="537"/>
        <w:rPr>
          <w:rFonts w:ascii="微软雅黑" w:hAnsi="微软雅黑" w:eastAsia="微软雅黑" w:cs="微软雅黑"/>
          <w:sz w:val="24"/>
          <w:szCs w:val="24"/>
        </w:rPr>
      </w:pPr>
      <w:r>
        <w:rPr>
          <w:rFonts w:ascii="微软雅黑" w:hAnsi="微软雅黑" w:eastAsia="微软雅黑" w:cs="微软雅黑"/>
          <w:spacing w:val="-1"/>
          <w:sz w:val="24"/>
          <w:szCs w:val="24"/>
        </w:rPr>
        <w:t>地址</w:t>
      </w:r>
      <w:r>
        <w:rPr>
          <w:rFonts w:ascii="微软雅黑" w:hAnsi="微软雅黑" w:eastAsia="微软雅黑" w:cs="微软雅黑"/>
          <w:spacing w:val="-1"/>
          <w:sz w:val="24"/>
          <w:szCs w:val="24"/>
          <w:u w:val="single" w:color="auto"/>
        </w:rPr>
        <w:t xml:space="preserve">                                          </w:t>
      </w:r>
      <w:r>
        <w:rPr>
          <w:rFonts w:ascii="微软雅黑" w:hAnsi="微软雅黑" w:eastAsia="微软雅黑" w:cs="微软雅黑"/>
          <w:spacing w:val="-1"/>
          <w:sz w:val="24"/>
          <w:szCs w:val="24"/>
        </w:rPr>
        <w:t xml:space="preserve">         传真</w:t>
      </w:r>
      <w:r>
        <w:rPr>
          <w:rFonts w:ascii="微软雅黑" w:hAnsi="微软雅黑" w:eastAsia="微软雅黑" w:cs="微软雅黑"/>
          <w:spacing w:val="-1"/>
          <w:sz w:val="24"/>
          <w:szCs w:val="24"/>
          <w:u w:val="single" w:color="auto"/>
        </w:rPr>
        <w:t xml:space="preserve">                                                  </w:t>
      </w:r>
    </w:p>
    <w:p w14:paraId="14D47909">
      <w:pPr>
        <w:spacing w:before="87" w:line="182" w:lineRule="auto"/>
        <w:ind w:left="550"/>
        <w:rPr>
          <w:rFonts w:ascii="微软雅黑" w:hAnsi="微软雅黑" w:eastAsia="微软雅黑" w:cs="微软雅黑"/>
          <w:sz w:val="24"/>
          <w:szCs w:val="24"/>
        </w:rPr>
      </w:pPr>
      <w:r>
        <w:rPr>
          <w:rFonts w:ascii="微软雅黑" w:hAnsi="微软雅黑" w:eastAsia="微软雅黑" w:cs="微软雅黑"/>
          <w:spacing w:val="-2"/>
          <w:sz w:val="24"/>
          <w:szCs w:val="24"/>
        </w:rPr>
        <w:t>电话</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5"/>
          <w:sz w:val="24"/>
          <w:szCs w:val="24"/>
        </w:rPr>
        <w:t xml:space="preserve">        </w:t>
      </w:r>
      <w:r>
        <w:rPr>
          <w:rFonts w:ascii="微软雅黑" w:hAnsi="微软雅黑" w:eastAsia="微软雅黑" w:cs="微软雅黑"/>
          <w:spacing w:val="-2"/>
          <w:sz w:val="24"/>
          <w:szCs w:val="24"/>
        </w:rPr>
        <w:t>电子函件</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3"/>
          <w:sz w:val="24"/>
          <w:szCs w:val="24"/>
          <w:u w:val="single" w:color="auto"/>
        </w:rPr>
        <w:t xml:space="preserve">                        </w:t>
      </w:r>
    </w:p>
    <w:p w14:paraId="6197497A">
      <w:pPr>
        <w:spacing w:before="85" w:line="184" w:lineRule="auto"/>
        <w:ind w:left="538"/>
        <w:rPr>
          <w:rFonts w:ascii="微软雅黑" w:hAnsi="微软雅黑" w:eastAsia="微软雅黑" w:cs="微软雅黑"/>
          <w:sz w:val="24"/>
          <w:szCs w:val="24"/>
        </w:rPr>
      </w:pPr>
      <w:r>
        <w:rPr>
          <w:rFonts w:ascii="微软雅黑" w:hAnsi="微软雅黑" w:eastAsia="微软雅黑" w:cs="微软雅黑"/>
          <w:spacing w:val="-1"/>
          <w:sz w:val="24"/>
          <w:szCs w:val="24"/>
        </w:rPr>
        <w:t>法定代表人或其委托代理人（签/章）</w:t>
      </w:r>
      <w:r>
        <w:rPr>
          <w:rFonts w:ascii="微软雅黑" w:hAnsi="微软雅黑" w:eastAsia="微软雅黑" w:cs="微软雅黑"/>
          <w:spacing w:val="-1"/>
          <w:sz w:val="24"/>
          <w:szCs w:val="24"/>
          <w:u w:val="single" w:color="auto"/>
        </w:rPr>
        <w:t xml:space="preserve">            </w:t>
      </w:r>
    </w:p>
    <w:p w14:paraId="6C907C92">
      <w:pPr>
        <w:spacing w:before="84" w:line="184" w:lineRule="auto"/>
        <w:ind w:left="536"/>
        <w:rPr>
          <w:rFonts w:ascii="微软雅黑" w:hAnsi="微软雅黑" w:eastAsia="微软雅黑" w:cs="微软雅黑"/>
          <w:sz w:val="24"/>
          <w:szCs w:val="24"/>
        </w:rPr>
      </w:pPr>
      <w:r>
        <w:rPr>
          <w:rFonts w:ascii="微软雅黑" w:hAnsi="微软雅黑" w:eastAsia="微软雅黑" w:cs="微软雅黑"/>
          <w:spacing w:val="-1"/>
          <w:sz w:val="24"/>
          <w:szCs w:val="24"/>
        </w:rPr>
        <w:t>供应商名称（公章）</w:t>
      </w:r>
      <w:r>
        <w:rPr>
          <w:rFonts w:ascii="微软雅黑" w:hAnsi="微软雅黑" w:eastAsia="微软雅黑" w:cs="微软雅黑"/>
          <w:sz w:val="24"/>
          <w:szCs w:val="24"/>
          <w:u w:val="single" w:color="auto"/>
        </w:rPr>
        <w:t xml:space="preserve">                          </w:t>
      </w:r>
    </w:p>
    <w:p w14:paraId="32556B92">
      <w:pPr>
        <w:spacing w:before="84" w:line="184" w:lineRule="auto"/>
        <w:ind w:left="536"/>
        <w:rPr>
          <w:rFonts w:ascii="微软雅黑" w:hAnsi="微软雅黑" w:eastAsia="微软雅黑" w:cs="微软雅黑"/>
          <w:sz w:val="24"/>
          <w:szCs w:val="24"/>
        </w:rPr>
      </w:pPr>
      <w:r>
        <w:rPr>
          <w:rFonts w:ascii="微软雅黑" w:hAnsi="微软雅黑" w:eastAsia="微软雅黑" w:cs="微软雅黑"/>
          <w:spacing w:val="-1"/>
          <w:sz w:val="24"/>
          <w:szCs w:val="24"/>
        </w:rPr>
        <w:t>供应商开户银行（全称）</w:t>
      </w:r>
      <w:r>
        <w:rPr>
          <w:rFonts w:ascii="微软雅黑" w:hAnsi="微软雅黑" w:eastAsia="微软雅黑" w:cs="微软雅黑"/>
          <w:sz w:val="24"/>
          <w:szCs w:val="24"/>
          <w:u w:val="single" w:color="auto"/>
        </w:rPr>
        <w:t xml:space="preserve">                      </w:t>
      </w:r>
    </w:p>
    <w:p w14:paraId="7AA410ED">
      <w:pPr>
        <w:spacing w:before="86" w:line="183" w:lineRule="auto"/>
        <w:ind w:left="536"/>
        <w:rPr>
          <w:rFonts w:ascii="微软雅黑" w:hAnsi="微软雅黑" w:eastAsia="微软雅黑" w:cs="微软雅黑"/>
          <w:sz w:val="24"/>
          <w:szCs w:val="24"/>
        </w:rPr>
      </w:pPr>
      <w:r>
        <w:rPr>
          <w:rFonts w:ascii="微软雅黑" w:hAnsi="微软雅黑" w:eastAsia="微软雅黑" w:cs="微软雅黑"/>
          <w:sz w:val="24"/>
          <w:szCs w:val="24"/>
        </w:rPr>
        <w:t>供应商银行账号</w:t>
      </w:r>
      <w:r>
        <w:rPr>
          <w:rFonts w:ascii="微软雅黑" w:hAnsi="微软雅黑" w:eastAsia="微软雅黑" w:cs="微软雅黑"/>
          <w:sz w:val="24"/>
          <w:szCs w:val="24"/>
          <w:u w:val="single" w:color="auto"/>
        </w:rPr>
        <w:t xml:space="preserve">                  </w:t>
      </w:r>
      <w:r>
        <w:rPr>
          <w:rFonts w:ascii="微软雅黑" w:hAnsi="微软雅黑" w:eastAsia="微软雅黑" w:cs="微软雅黑"/>
          <w:spacing w:val="-1"/>
          <w:sz w:val="24"/>
          <w:szCs w:val="24"/>
          <w:u w:val="single" w:color="auto"/>
        </w:rPr>
        <w:t xml:space="preserve">                 </w:t>
      </w:r>
    </w:p>
    <w:p w14:paraId="39DF8E00">
      <w:pPr>
        <w:spacing w:line="183" w:lineRule="auto"/>
        <w:rPr>
          <w:rFonts w:ascii="微软雅黑" w:hAnsi="微软雅黑" w:eastAsia="微软雅黑" w:cs="微软雅黑"/>
          <w:sz w:val="24"/>
          <w:szCs w:val="24"/>
        </w:rPr>
        <w:sectPr>
          <w:footerReference r:id="rId30" w:type="default"/>
          <w:pgSz w:w="11905" w:h="16839"/>
          <w:pgMar w:top="1431" w:right="1070" w:bottom="1197" w:left="1084" w:header="0" w:footer="963" w:gutter="0"/>
          <w:pgNumType w:fmt="decimal"/>
          <w:cols w:space="720" w:num="1"/>
        </w:sectPr>
      </w:pPr>
    </w:p>
    <w:p w14:paraId="5A7F67A3">
      <w:pPr>
        <w:pStyle w:val="7"/>
        <w:spacing w:line="371" w:lineRule="auto"/>
      </w:pPr>
    </w:p>
    <w:p w14:paraId="5F810B3C">
      <w:pPr>
        <w:spacing w:before="103" w:line="230" w:lineRule="auto"/>
        <w:ind w:left="4183"/>
        <w:outlineLvl w:val="1"/>
        <w:rPr>
          <w:rFonts w:ascii="微软雅黑" w:hAnsi="微软雅黑" w:eastAsia="微软雅黑" w:cs="微软雅黑"/>
          <w:sz w:val="24"/>
          <w:szCs w:val="24"/>
        </w:rPr>
      </w:pPr>
      <w:bookmarkStart w:id="74" w:name="bookmark20"/>
      <w:bookmarkEnd w:id="74"/>
      <w:r>
        <w:rPr>
          <w:rFonts w:ascii="微软雅黑" w:hAnsi="微软雅黑" w:eastAsia="微软雅黑" w:cs="微软雅黑"/>
          <w:b/>
          <w:bCs/>
          <w:spacing w:val="-2"/>
          <w:sz w:val="24"/>
          <w:szCs w:val="24"/>
        </w:rPr>
        <w:t>2、投标分项报价表</w:t>
      </w:r>
    </w:p>
    <w:p w14:paraId="13792C06">
      <w:pPr>
        <w:spacing w:before="67" w:line="183" w:lineRule="auto"/>
        <w:ind w:left="64"/>
        <w:rPr>
          <w:rFonts w:ascii="微软雅黑" w:hAnsi="微软雅黑" w:eastAsia="微软雅黑" w:cs="微软雅黑"/>
          <w:sz w:val="24"/>
          <w:szCs w:val="24"/>
        </w:rPr>
      </w:pPr>
      <w:r>
        <w:rPr>
          <w:rFonts w:ascii="微软雅黑" w:hAnsi="微软雅黑" w:eastAsia="微软雅黑" w:cs="微软雅黑"/>
          <w:sz w:val="24"/>
          <w:szCs w:val="24"/>
        </w:rPr>
        <w:t xml:space="preserve">项目名称：                                  项目编号：                </w:t>
      </w:r>
      <w:r>
        <w:rPr>
          <w:rFonts w:ascii="微软雅黑" w:hAnsi="微软雅黑" w:eastAsia="微软雅黑" w:cs="微软雅黑"/>
          <w:spacing w:val="-1"/>
          <w:sz w:val="24"/>
          <w:szCs w:val="24"/>
        </w:rPr>
        <w:t xml:space="preserve">                          包号：</w:t>
      </w:r>
    </w:p>
    <w:p w14:paraId="7EEBCDCD">
      <w:pPr>
        <w:spacing w:before="97" w:line="183" w:lineRule="auto"/>
        <w:ind w:left="66"/>
        <w:rPr>
          <w:rFonts w:ascii="微软雅黑" w:hAnsi="微软雅黑" w:eastAsia="微软雅黑" w:cs="微软雅黑"/>
          <w:sz w:val="24"/>
          <w:szCs w:val="24"/>
        </w:rPr>
      </w:pPr>
      <w:r>
        <w:rPr>
          <w:rFonts w:ascii="微软雅黑" w:hAnsi="微软雅黑" w:eastAsia="微软雅黑" w:cs="微软雅黑"/>
          <w:spacing w:val="-1"/>
          <w:sz w:val="24"/>
          <w:szCs w:val="24"/>
        </w:rPr>
        <w:t>报价单位：人民币万元</w:t>
      </w:r>
    </w:p>
    <w:p w14:paraId="5FE76B38">
      <w:pPr>
        <w:spacing w:before="161"/>
      </w:pPr>
    </w:p>
    <w:tbl>
      <w:tblPr>
        <w:tblStyle w:val="20"/>
        <w:tblW w:w="98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2051"/>
        <w:gridCol w:w="2281"/>
        <w:gridCol w:w="2415"/>
        <w:gridCol w:w="1550"/>
        <w:gridCol w:w="805"/>
      </w:tblGrid>
      <w:tr w14:paraId="6DC86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758" w:type="dxa"/>
            <w:vAlign w:val="top"/>
          </w:tcPr>
          <w:p w14:paraId="6B7DC6AD">
            <w:pPr>
              <w:spacing w:line="314" w:lineRule="auto"/>
              <w:rPr>
                <w:rFonts w:ascii="Arial"/>
                <w:sz w:val="21"/>
              </w:rPr>
            </w:pPr>
          </w:p>
          <w:p w14:paraId="06EDCC29">
            <w:pPr>
              <w:pStyle w:val="21"/>
              <w:spacing w:before="103" w:line="184" w:lineRule="auto"/>
              <w:ind w:left="104"/>
              <w:rPr>
                <w:sz w:val="24"/>
                <w:szCs w:val="24"/>
              </w:rPr>
            </w:pPr>
            <w:r>
              <w:rPr>
                <w:spacing w:val="-1"/>
                <w:sz w:val="24"/>
                <w:szCs w:val="24"/>
              </w:rPr>
              <w:t>序号</w:t>
            </w:r>
          </w:p>
        </w:tc>
        <w:tc>
          <w:tcPr>
            <w:tcW w:w="2051" w:type="dxa"/>
            <w:vAlign w:val="top"/>
          </w:tcPr>
          <w:p w14:paraId="59D58A1C">
            <w:pPr>
              <w:spacing w:line="316" w:lineRule="auto"/>
              <w:rPr>
                <w:rFonts w:ascii="Arial"/>
                <w:sz w:val="21"/>
              </w:rPr>
            </w:pPr>
          </w:p>
          <w:p w14:paraId="46DCF120">
            <w:pPr>
              <w:pStyle w:val="21"/>
              <w:spacing w:before="103" w:line="183" w:lineRule="auto"/>
              <w:ind w:left="779"/>
              <w:rPr>
                <w:sz w:val="24"/>
                <w:szCs w:val="24"/>
              </w:rPr>
            </w:pPr>
            <w:r>
              <w:rPr>
                <w:spacing w:val="-1"/>
                <w:sz w:val="24"/>
                <w:szCs w:val="24"/>
              </w:rPr>
              <w:t>名称</w:t>
            </w:r>
          </w:p>
        </w:tc>
        <w:tc>
          <w:tcPr>
            <w:tcW w:w="2281" w:type="dxa"/>
            <w:vAlign w:val="top"/>
          </w:tcPr>
          <w:p w14:paraId="17DAA376">
            <w:pPr>
              <w:spacing w:line="316" w:lineRule="auto"/>
              <w:rPr>
                <w:rFonts w:ascii="Arial"/>
                <w:sz w:val="21"/>
              </w:rPr>
            </w:pPr>
          </w:p>
          <w:p w14:paraId="25021000">
            <w:pPr>
              <w:pStyle w:val="21"/>
              <w:spacing w:before="103" w:line="183" w:lineRule="auto"/>
              <w:ind w:left="296"/>
              <w:rPr>
                <w:sz w:val="24"/>
                <w:szCs w:val="24"/>
              </w:rPr>
            </w:pPr>
            <w:r>
              <w:rPr>
                <w:spacing w:val="-5"/>
                <w:sz w:val="24"/>
                <w:szCs w:val="24"/>
              </w:rPr>
              <w:t>数量（平方米）</w:t>
            </w:r>
          </w:p>
        </w:tc>
        <w:tc>
          <w:tcPr>
            <w:tcW w:w="2415" w:type="dxa"/>
            <w:vAlign w:val="top"/>
          </w:tcPr>
          <w:p w14:paraId="545D51FC">
            <w:pPr>
              <w:spacing w:line="316" w:lineRule="auto"/>
              <w:rPr>
                <w:rFonts w:ascii="Arial"/>
                <w:sz w:val="21"/>
              </w:rPr>
            </w:pPr>
          </w:p>
          <w:p w14:paraId="35ECC49C">
            <w:pPr>
              <w:pStyle w:val="21"/>
              <w:spacing w:before="103" w:line="183" w:lineRule="auto"/>
              <w:ind w:left="197"/>
              <w:rPr>
                <w:sz w:val="24"/>
                <w:szCs w:val="24"/>
              </w:rPr>
            </w:pPr>
            <w:r>
              <w:rPr>
                <w:spacing w:val="-5"/>
                <w:sz w:val="24"/>
                <w:szCs w:val="24"/>
              </w:rPr>
              <w:t>单价（元/每平方）</w:t>
            </w:r>
          </w:p>
        </w:tc>
        <w:tc>
          <w:tcPr>
            <w:tcW w:w="1550" w:type="dxa"/>
            <w:vAlign w:val="top"/>
          </w:tcPr>
          <w:p w14:paraId="4520AC8A">
            <w:pPr>
              <w:spacing w:line="316" w:lineRule="auto"/>
              <w:rPr>
                <w:rFonts w:ascii="Arial"/>
                <w:sz w:val="21"/>
              </w:rPr>
            </w:pPr>
          </w:p>
          <w:p w14:paraId="4F6EB08A">
            <w:pPr>
              <w:pStyle w:val="21"/>
              <w:spacing w:before="103" w:line="183" w:lineRule="auto"/>
              <w:ind w:left="536"/>
              <w:rPr>
                <w:sz w:val="24"/>
                <w:szCs w:val="24"/>
              </w:rPr>
            </w:pPr>
            <w:r>
              <w:rPr>
                <w:spacing w:val="-1"/>
                <w:sz w:val="24"/>
                <w:szCs w:val="24"/>
              </w:rPr>
              <w:t>总价</w:t>
            </w:r>
          </w:p>
        </w:tc>
        <w:tc>
          <w:tcPr>
            <w:tcW w:w="805" w:type="dxa"/>
            <w:vAlign w:val="top"/>
          </w:tcPr>
          <w:p w14:paraId="5C1937FA">
            <w:pPr>
              <w:spacing w:line="314" w:lineRule="auto"/>
              <w:rPr>
                <w:rFonts w:ascii="Arial"/>
                <w:sz w:val="21"/>
              </w:rPr>
            </w:pPr>
          </w:p>
          <w:p w14:paraId="6D33ABA0">
            <w:pPr>
              <w:pStyle w:val="21"/>
              <w:spacing w:before="103" w:line="184" w:lineRule="auto"/>
              <w:ind w:left="160"/>
              <w:rPr>
                <w:sz w:val="24"/>
                <w:szCs w:val="24"/>
              </w:rPr>
            </w:pPr>
            <w:r>
              <w:rPr>
                <w:spacing w:val="-1"/>
                <w:sz w:val="24"/>
                <w:szCs w:val="24"/>
              </w:rPr>
              <w:t>备注</w:t>
            </w:r>
          </w:p>
        </w:tc>
      </w:tr>
      <w:tr w14:paraId="4ACA3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758" w:type="dxa"/>
            <w:vAlign w:val="top"/>
          </w:tcPr>
          <w:p w14:paraId="787BCE80">
            <w:pPr>
              <w:pStyle w:val="21"/>
              <w:spacing w:before="163" w:line="242" w:lineRule="auto"/>
              <w:ind w:left="127"/>
              <w:rPr>
                <w:sz w:val="24"/>
                <w:szCs w:val="24"/>
              </w:rPr>
            </w:pPr>
            <w:r>
              <w:rPr>
                <w:spacing w:val="-9"/>
                <w:sz w:val="24"/>
                <w:szCs w:val="24"/>
              </w:rPr>
              <w:t>1.</w:t>
            </w:r>
          </w:p>
        </w:tc>
        <w:tc>
          <w:tcPr>
            <w:tcW w:w="2051" w:type="dxa"/>
            <w:vAlign w:val="top"/>
          </w:tcPr>
          <w:p w14:paraId="0DA4F541">
            <w:pPr>
              <w:rPr>
                <w:rFonts w:ascii="Arial"/>
                <w:sz w:val="21"/>
              </w:rPr>
            </w:pPr>
          </w:p>
        </w:tc>
        <w:tc>
          <w:tcPr>
            <w:tcW w:w="2281" w:type="dxa"/>
            <w:vAlign w:val="top"/>
          </w:tcPr>
          <w:p w14:paraId="2DFF21B9">
            <w:pPr>
              <w:rPr>
                <w:rFonts w:ascii="Arial"/>
                <w:sz w:val="21"/>
              </w:rPr>
            </w:pPr>
          </w:p>
        </w:tc>
        <w:tc>
          <w:tcPr>
            <w:tcW w:w="2415" w:type="dxa"/>
            <w:vAlign w:val="top"/>
          </w:tcPr>
          <w:p w14:paraId="4E1943B5">
            <w:pPr>
              <w:rPr>
                <w:rFonts w:ascii="Arial"/>
                <w:sz w:val="21"/>
              </w:rPr>
            </w:pPr>
          </w:p>
        </w:tc>
        <w:tc>
          <w:tcPr>
            <w:tcW w:w="1550" w:type="dxa"/>
            <w:vAlign w:val="top"/>
          </w:tcPr>
          <w:p w14:paraId="7343BE6B">
            <w:pPr>
              <w:rPr>
                <w:rFonts w:ascii="Arial"/>
                <w:sz w:val="21"/>
              </w:rPr>
            </w:pPr>
          </w:p>
        </w:tc>
        <w:tc>
          <w:tcPr>
            <w:tcW w:w="805" w:type="dxa"/>
            <w:vAlign w:val="top"/>
          </w:tcPr>
          <w:p w14:paraId="0212ACB4">
            <w:pPr>
              <w:rPr>
                <w:rFonts w:ascii="Arial"/>
                <w:sz w:val="21"/>
              </w:rPr>
            </w:pPr>
          </w:p>
        </w:tc>
      </w:tr>
      <w:tr w14:paraId="3F6DE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758" w:type="dxa"/>
            <w:vAlign w:val="top"/>
          </w:tcPr>
          <w:p w14:paraId="3230F8C7">
            <w:pPr>
              <w:pStyle w:val="21"/>
              <w:spacing w:before="207" w:line="418" w:lineRule="exact"/>
              <w:ind w:left="116"/>
              <w:rPr>
                <w:sz w:val="24"/>
                <w:szCs w:val="24"/>
              </w:rPr>
            </w:pPr>
            <w:r>
              <w:rPr>
                <w:spacing w:val="-5"/>
                <w:position w:val="3"/>
                <w:sz w:val="24"/>
                <w:szCs w:val="24"/>
              </w:rPr>
              <w:t>2.</w:t>
            </w:r>
          </w:p>
        </w:tc>
        <w:tc>
          <w:tcPr>
            <w:tcW w:w="2051" w:type="dxa"/>
            <w:vAlign w:val="top"/>
          </w:tcPr>
          <w:p w14:paraId="61FDEA81">
            <w:pPr>
              <w:rPr>
                <w:rFonts w:ascii="Arial"/>
                <w:sz w:val="21"/>
              </w:rPr>
            </w:pPr>
          </w:p>
        </w:tc>
        <w:tc>
          <w:tcPr>
            <w:tcW w:w="2281" w:type="dxa"/>
            <w:vAlign w:val="top"/>
          </w:tcPr>
          <w:p w14:paraId="6D25F602">
            <w:pPr>
              <w:rPr>
                <w:rFonts w:ascii="Arial"/>
                <w:sz w:val="21"/>
              </w:rPr>
            </w:pPr>
          </w:p>
        </w:tc>
        <w:tc>
          <w:tcPr>
            <w:tcW w:w="2415" w:type="dxa"/>
            <w:vAlign w:val="top"/>
          </w:tcPr>
          <w:p w14:paraId="12E9A25B">
            <w:pPr>
              <w:rPr>
                <w:rFonts w:ascii="Arial"/>
                <w:sz w:val="21"/>
              </w:rPr>
            </w:pPr>
          </w:p>
        </w:tc>
        <w:tc>
          <w:tcPr>
            <w:tcW w:w="1550" w:type="dxa"/>
            <w:vAlign w:val="top"/>
          </w:tcPr>
          <w:p w14:paraId="2A140890">
            <w:pPr>
              <w:rPr>
                <w:rFonts w:ascii="Arial"/>
                <w:sz w:val="21"/>
              </w:rPr>
            </w:pPr>
          </w:p>
        </w:tc>
        <w:tc>
          <w:tcPr>
            <w:tcW w:w="805" w:type="dxa"/>
            <w:vAlign w:val="top"/>
          </w:tcPr>
          <w:p w14:paraId="6AD552C2">
            <w:pPr>
              <w:rPr>
                <w:rFonts w:ascii="Arial"/>
                <w:sz w:val="21"/>
              </w:rPr>
            </w:pPr>
          </w:p>
        </w:tc>
      </w:tr>
      <w:tr w14:paraId="6C0B8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58" w:type="dxa"/>
            <w:vAlign w:val="top"/>
          </w:tcPr>
          <w:p w14:paraId="173FB371">
            <w:pPr>
              <w:pStyle w:val="21"/>
              <w:spacing w:before="292" w:line="417" w:lineRule="exact"/>
              <w:ind w:left="119"/>
              <w:rPr>
                <w:sz w:val="24"/>
                <w:szCs w:val="24"/>
              </w:rPr>
            </w:pPr>
            <w:r>
              <w:rPr>
                <w:spacing w:val="-6"/>
                <w:position w:val="3"/>
                <w:sz w:val="24"/>
                <w:szCs w:val="24"/>
              </w:rPr>
              <w:t>3.</w:t>
            </w:r>
          </w:p>
        </w:tc>
        <w:tc>
          <w:tcPr>
            <w:tcW w:w="2051" w:type="dxa"/>
            <w:vAlign w:val="top"/>
          </w:tcPr>
          <w:p w14:paraId="2DFF8E7C">
            <w:pPr>
              <w:rPr>
                <w:rFonts w:ascii="Arial"/>
                <w:sz w:val="21"/>
              </w:rPr>
            </w:pPr>
          </w:p>
        </w:tc>
        <w:tc>
          <w:tcPr>
            <w:tcW w:w="2281" w:type="dxa"/>
            <w:vAlign w:val="top"/>
          </w:tcPr>
          <w:p w14:paraId="19298160">
            <w:pPr>
              <w:rPr>
                <w:rFonts w:ascii="Arial"/>
                <w:sz w:val="21"/>
              </w:rPr>
            </w:pPr>
          </w:p>
        </w:tc>
        <w:tc>
          <w:tcPr>
            <w:tcW w:w="2415" w:type="dxa"/>
            <w:vAlign w:val="top"/>
          </w:tcPr>
          <w:p w14:paraId="52BA0F10">
            <w:pPr>
              <w:rPr>
                <w:rFonts w:ascii="Arial"/>
                <w:sz w:val="21"/>
              </w:rPr>
            </w:pPr>
          </w:p>
        </w:tc>
        <w:tc>
          <w:tcPr>
            <w:tcW w:w="1550" w:type="dxa"/>
            <w:vAlign w:val="top"/>
          </w:tcPr>
          <w:p w14:paraId="564FDAAA">
            <w:pPr>
              <w:rPr>
                <w:rFonts w:ascii="Arial"/>
                <w:sz w:val="21"/>
              </w:rPr>
            </w:pPr>
          </w:p>
        </w:tc>
        <w:tc>
          <w:tcPr>
            <w:tcW w:w="805" w:type="dxa"/>
            <w:vAlign w:val="top"/>
          </w:tcPr>
          <w:p w14:paraId="29052B4B">
            <w:pPr>
              <w:rPr>
                <w:rFonts w:ascii="Arial"/>
                <w:sz w:val="21"/>
              </w:rPr>
            </w:pPr>
          </w:p>
        </w:tc>
      </w:tr>
      <w:tr w14:paraId="41310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58" w:type="dxa"/>
            <w:vAlign w:val="top"/>
          </w:tcPr>
          <w:p w14:paraId="20B7021B">
            <w:pPr>
              <w:pStyle w:val="21"/>
              <w:spacing w:before="211" w:line="418" w:lineRule="exact"/>
              <w:ind w:left="104"/>
              <w:rPr>
                <w:sz w:val="24"/>
                <w:szCs w:val="24"/>
              </w:rPr>
            </w:pPr>
            <w:r>
              <w:rPr>
                <w:spacing w:val="-1"/>
                <w:position w:val="4"/>
                <w:sz w:val="24"/>
                <w:szCs w:val="24"/>
              </w:rPr>
              <w:t>4.</w:t>
            </w:r>
          </w:p>
        </w:tc>
        <w:tc>
          <w:tcPr>
            <w:tcW w:w="2051" w:type="dxa"/>
            <w:vAlign w:val="top"/>
          </w:tcPr>
          <w:p w14:paraId="44C4012E">
            <w:pPr>
              <w:rPr>
                <w:rFonts w:ascii="Arial"/>
                <w:sz w:val="21"/>
              </w:rPr>
            </w:pPr>
          </w:p>
        </w:tc>
        <w:tc>
          <w:tcPr>
            <w:tcW w:w="2281" w:type="dxa"/>
            <w:vAlign w:val="top"/>
          </w:tcPr>
          <w:p w14:paraId="0BF3950E">
            <w:pPr>
              <w:rPr>
                <w:rFonts w:ascii="Arial"/>
                <w:sz w:val="21"/>
              </w:rPr>
            </w:pPr>
          </w:p>
        </w:tc>
        <w:tc>
          <w:tcPr>
            <w:tcW w:w="2415" w:type="dxa"/>
            <w:vAlign w:val="top"/>
          </w:tcPr>
          <w:p w14:paraId="0DCB9459">
            <w:pPr>
              <w:rPr>
                <w:rFonts w:ascii="Arial"/>
                <w:sz w:val="21"/>
              </w:rPr>
            </w:pPr>
          </w:p>
        </w:tc>
        <w:tc>
          <w:tcPr>
            <w:tcW w:w="1550" w:type="dxa"/>
            <w:vAlign w:val="top"/>
          </w:tcPr>
          <w:p w14:paraId="432EABC0">
            <w:pPr>
              <w:rPr>
                <w:rFonts w:ascii="Arial"/>
                <w:sz w:val="21"/>
              </w:rPr>
            </w:pPr>
          </w:p>
        </w:tc>
        <w:tc>
          <w:tcPr>
            <w:tcW w:w="805" w:type="dxa"/>
            <w:vAlign w:val="top"/>
          </w:tcPr>
          <w:p w14:paraId="35E21914">
            <w:pPr>
              <w:rPr>
                <w:rFonts w:ascii="Arial"/>
                <w:sz w:val="21"/>
              </w:rPr>
            </w:pPr>
          </w:p>
        </w:tc>
      </w:tr>
      <w:tr w14:paraId="54FCE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758" w:type="dxa"/>
            <w:vAlign w:val="top"/>
          </w:tcPr>
          <w:p w14:paraId="126815B8">
            <w:pPr>
              <w:pStyle w:val="21"/>
              <w:spacing w:before="220" w:line="417" w:lineRule="exact"/>
              <w:ind w:left="123"/>
              <w:rPr>
                <w:sz w:val="24"/>
                <w:szCs w:val="24"/>
              </w:rPr>
            </w:pPr>
            <w:r>
              <w:rPr>
                <w:spacing w:val="-8"/>
                <w:position w:val="4"/>
                <w:sz w:val="24"/>
                <w:szCs w:val="24"/>
              </w:rPr>
              <w:t>5.</w:t>
            </w:r>
          </w:p>
        </w:tc>
        <w:tc>
          <w:tcPr>
            <w:tcW w:w="2051" w:type="dxa"/>
            <w:vAlign w:val="top"/>
          </w:tcPr>
          <w:p w14:paraId="4E612B52">
            <w:pPr>
              <w:rPr>
                <w:rFonts w:ascii="Arial"/>
                <w:sz w:val="21"/>
              </w:rPr>
            </w:pPr>
          </w:p>
        </w:tc>
        <w:tc>
          <w:tcPr>
            <w:tcW w:w="2281" w:type="dxa"/>
            <w:vAlign w:val="top"/>
          </w:tcPr>
          <w:p w14:paraId="1893FF83">
            <w:pPr>
              <w:rPr>
                <w:rFonts w:ascii="Arial"/>
                <w:sz w:val="21"/>
              </w:rPr>
            </w:pPr>
          </w:p>
        </w:tc>
        <w:tc>
          <w:tcPr>
            <w:tcW w:w="2415" w:type="dxa"/>
            <w:vAlign w:val="top"/>
          </w:tcPr>
          <w:p w14:paraId="1BD3D26F">
            <w:pPr>
              <w:rPr>
                <w:rFonts w:ascii="Arial"/>
                <w:sz w:val="21"/>
              </w:rPr>
            </w:pPr>
          </w:p>
        </w:tc>
        <w:tc>
          <w:tcPr>
            <w:tcW w:w="1550" w:type="dxa"/>
            <w:vAlign w:val="top"/>
          </w:tcPr>
          <w:p w14:paraId="157E8FDE">
            <w:pPr>
              <w:rPr>
                <w:rFonts w:ascii="Arial"/>
                <w:sz w:val="21"/>
              </w:rPr>
            </w:pPr>
          </w:p>
        </w:tc>
        <w:tc>
          <w:tcPr>
            <w:tcW w:w="805" w:type="dxa"/>
            <w:vAlign w:val="top"/>
          </w:tcPr>
          <w:p w14:paraId="245A50C3">
            <w:pPr>
              <w:rPr>
                <w:rFonts w:ascii="Arial"/>
                <w:sz w:val="21"/>
              </w:rPr>
            </w:pPr>
          </w:p>
        </w:tc>
      </w:tr>
      <w:tr w14:paraId="44FF6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7505" w:type="dxa"/>
            <w:gridSpan w:val="4"/>
            <w:vAlign w:val="top"/>
          </w:tcPr>
          <w:p w14:paraId="2A3D4888">
            <w:pPr>
              <w:pStyle w:val="21"/>
              <w:spacing w:before="255" w:line="183" w:lineRule="auto"/>
              <w:ind w:left="106"/>
              <w:rPr>
                <w:sz w:val="24"/>
                <w:szCs w:val="24"/>
              </w:rPr>
            </w:pPr>
            <w:r>
              <w:rPr>
                <w:spacing w:val="-11"/>
                <w:sz w:val="24"/>
                <w:szCs w:val="24"/>
              </w:rPr>
              <w:t>总价：</w:t>
            </w:r>
          </w:p>
        </w:tc>
        <w:tc>
          <w:tcPr>
            <w:tcW w:w="2355" w:type="dxa"/>
            <w:gridSpan w:val="2"/>
            <w:vAlign w:val="top"/>
          </w:tcPr>
          <w:p w14:paraId="5AAF1B09">
            <w:pPr>
              <w:rPr>
                <w:rFonts w:ascii="Arial"/>
                <w:sz w:val="21"/>
              </w:rPr>
            </w:pPr>
          </w:p>
        </w:tc>
      </w:tr>
    </w:tbl>
    <w:p w14:paraId="682BCBB4">
      <w:pPr>
        <w:pStyle w:val="7"/>
        <w:spacing w:line="411" w:lineRule="auto"/>
      </w:pPr>
    </w:p>
    <w:p w14:paraId="1D916DBD">
      <w:pPr>
        <w:spacing w:before="103" w:line="184" w:lineRule="auto"/>
        <w:ind w:left="605"/>
        <w:rPr>
          <w:rFonts w:ascii="微软雅黑" w:hAnsi="微软雅黑" w:eastAsia="微软雅黑" w:cs="微软雅黑"/>
          <w:sz w:val="24"/>
          <w:szCs w:val="24"/>
        </w:rPr>
      </w:pPr>
      <w:r>
        <w:rPr>
          <w:rFonts w:ascii="微软雅黑" w:hAnsi="微软雅黑" w:eastAsia="微软雅黑" w:cs="微软雅黑"/>
          <w:spacing w:val="-3"/>
          <w:sz w:val="24"/>
          <w:szCs w:val="24"/>
        </w:rPr>
        <w:t>法定代表人或其委托代理人（签字或盖章</w:t>
      </w:r>
      <w:r>
        <w:rPr>
          <w:rFonts w:ascii="微软雅黑" w:hAnsi="微软雅黑" w:eastAsia="微软雅黑" w:cs="微软雅黑"/>
          <w:spacing w:val="3"/>
          <w:sz w:val="24"/>
          <w:szCs w:val="24"/>
        </w:rPr>
        <w:t>）：</w:t>
      </w:r>
    </w:p>
    <w:p w14:paraId="2B253F2A">
      <w:pPr>
        <w:spacing w:before="95" w:line="184" w:lineRule="auto"/>
        <w:ind w:left="603"/>
        <w:rPr>
          <w:rFonts w:ascii="微软雅黑" w:hAnsi="微软雅黑" w:eastAsia="微软雅黑" w:cs="微软雅黑"/>
          <w:sz w:val="24"/>
          <w:szCs w:val="24"/>
        </w:rPr>
      </w:pPr>
      <w:r>
        <w:rPr>
          <w:rFonts w:ascii="微软雅黑" w:hAnsi="微软雅黑" w:eastAsia="微软雅黑" w:cs="微软雅黑"/>
          <w:spacing w:val="-1"/>
          <w:sz w:val="24"/>
          <w:szCs w:val="24"/>
        </w:rPr>
        <w:t>供应商（公章）:</w:t>
      </w:r>
    </w:p>
    <w:p w14:paraId="33498942">
      <w:pPr>
        <w:spacing w:before="98" w:line="183" w:lineRule="auto"/>
        <w:ind w:left="964"/>
        <w:rPr>
          <w:rFonts w:ascii="微软雅黑" w:hAnsi="微软雅黑" w:eastAsia="微软雅黑" w:cs="微软雅黑"/>
          <w:sz w:val="24"/>
          <w:szCs w:val="24"/>
        </w:rPr>
      </w:pPr>
      <w:r>
        <w:rPr>
          <w:rFonts w:ascii="微软雅黑" w:hAnsi="微软雅黑" w:eastAsia="微软雅黑" w:cs="微软雅黑"/>
          <w:spacing w:val="-2"/>
          <w:sz w:val="24"/>
          <w:szCs w:val="24"/>
        </w:rPr>
        <w:t>注：1.如果按单价计算的结果与总价不一致，以单价为准修正总价。</w:t>
      </w:r>
    </w:p>
    <w:p w14:paraId="49505883">
      <w:pPr>
        <w:spacing w:before="52" w:line="225" w:lineRule="auto"/>
        <w:ind w:left="976"/>
        <w:rPr>
          <w:rFonts w:ascii="微软雅黑" w:hAnsi="微软雅黑" w:eastAsia="微软雅黑" w:cs="微软雅黑"/>
          <w:sz w:val="24"/>
          <w:szCs w:val="24"/>
        </w:rPr>
      </w:pPr>
      <w:r>
        <w:rPr>
          <w:rFonts w:ascii="微软雅黑" w:hAnsi="微软雅黑" w:eastAsia="微软雅黑" w:cs="微软雅黑"/>
          <w:spacing w:val="-2"/>
          <w:sz w:val="24"/>
          <w:szCs w:val="24"/>
        </w:rPr>
        <w:t>2.如果不提供详细分项报价将视为没有实质性响应招</w:t>
      </w:r>
      <w:r>
        <w:rPr>
          <w:rFonts w:ascii="微软雅黑" w:hAnsi="微软雅黑" w:eastAsia="微软雅黑" w:cs="微软雅黑"/>
          <w:spacing w:val="-3"/>
          <w:sz w:val="24"/>
          <w:szCs w:val="24"/>
        </w:rPr>
        <w:t>标文件。</w:t>
      </w:r>
    </w:p>
    <w:p w14:paraId="112816FA">
      <w:pPr>
        <w:spacing w:before="26" w:line="225" w:lineRule="auto"/>
        <w:ind w:left="978"/>
        <w:rPr>
          <w:rFonts w:ascii="微软雅黑" w:hAnsi="微软雅黑" w:eastAsia="微软雅黑" w:cs="微软雅黑"/>
          <w:sz w:val="24"/>
          <w:szCs w:val="24"/>
        </w:rPr>
      </w:pPr>
      <w:r>
        <w:rPr>
          <w:rFonts w:ascii="微软雅黑" w:hAnsi="微软雅黑" w:eastAsia="微软雅黑" w:cs="微软雅黑"/>
          <w:spacing w:val="-4"/>
          <w:sz w:val="24"/>
          <w:szCs w:val="24"/>
        </w:rPr>
        <w:t>3.上述各项的详细分项报价，应另页描述。</w:t>
      </w:r>
    </w:p>
    <w:p w14:paraId="11BABB08">
      <w:pPr>
        <w:spacing w:before="25" w:line="225" w:lineRule="auto"/>
        <w:ind w:left="1178" w:right="62" w:hanging="214"/>
        <w:rPr>
          <w:rFonts w:ascii="微软雅黑" w:hAnsi="微软雅黑" w:eastAsia="微软雅黑" w:cs="微软雅黑"/>
          <w:sz w:val="24"/>
          <w:szCs w:val="24"/>
        </w:rPr>
      </w:pPr>
      <w:r>
        <w:rPr>
          <w:rFonts w:ascii="微软雅黑" w:hAnsi="微软雅黑" w:eastAsia="微软雅黑" w:cs="微软雅黑"/>
          <w:sz w:val="24"/>
          <w:szCs w:val="24"/>
        </w:rPr>
        <w:t>4.如果开标一览表（报价表）内容与投标文件中明细表内容不一致的，以开标一览表</w:t>
      </w:r>
      <w:r>
        <w:rPr>
          <w:rFonts w:ascii="微软雅黑" w:hAnsi="微软雅黑" w:eastAsia="微软雅黑" w:cs="微软雅黑"/>
          <w:spacing w:val="3"/>
          <w:sz w:val="24"/>
          <w:szCs w:val="24"/>
        </w:rPr>
        <w:t xml:space="preserve"> </w:t>
      </w:r>
      <w:r>
        <w:rPr>
          <w:rFonts w:ascii="微软雅黑" w:hAnsi="微软雅黑" w:eastAsia="微软雅黑" w:cs="微软雅黑"/>
          <w:spacing w:val="-8"/>
          <w:sz w:val="24"/>
          <w:szCs w:val="24"/>
        </w:rPr>
        <w:t>（报价表）内容为准。</w:t>
      </w:r>
    </w:p>
    <w:p w14:paraId="300D95CD">
      <w:pPr>
        <w:spacing w:line="225" w:lineRule="auto"/>
        <w:rPr>
          <w:rFonts w:ascii="微软雅黑" w:hAnsi="微软雅黑" w:eastAsia="微软雅黑" w:cs="微软雅黑"/>
          <w:sz w:val="24"/>
          <w:szCs w:val="24"/>
        </w:rPr>
        <w:sectPr>
          <w:footerReference r:id="rId31" w:type="default"/>
          <w:pgSz w:w="11905" w:h="16839"/>
          <w:pgMar w:top="1431" w:right="1017" w:bottom="1197" w:left="1017" w:header="0" w:footer="963" w:gutter="0"/>
          <w:pgNumType w:fmt="decimal"/>
          <w:cols w:space="720" w:num="1"/>
        </w:sectPr>
      </w:pPr>
    </w:p>
    <w:p w14:paraId="29594E5B">
      <w:pPr>
        <w:pStyle w:val="7"/>
        <w:spacing w:line="369" w:lineRule="auto"/>
      </w:pPr>
    </w:p>
    <w:p w14:paraId="42EA1888">
      <w:pPr>
        <w:spacing w:before="90" w:line="183" w:lineRule="auto"/>
        <w:ind w:left="3982"/>
        <w:outlineLvl w:val="1"/>
        <w:rPr>
          <w:rFonts w:ascii="微软雅黑" w:hAnsi="微软雅黑" w:eastAsia="微软雅黑" w:cs="微软雅黑"/>
          <w:sz w:val="21"/>
          <w:szCs w:val="21"/>
        </w:rPr>
      </w:pPr>
      <w:bookmarkStart w:id="75" w:name="bookmark21"/>
      <w:bookmarkEnd w:id="75"/>
      <w:r>
        <w:rPr>
          <w:rFonts w:ascii="微软雅黑" w:hAnsi="微软雅黑" w:eastAsia="微软雅黑" w:cs="微软雅黑"/>
          <w:b/>
          <w:bCs/>
          <w:spacing w:val="-2"/>
          <w:sz w:val="21"/>
          <w:szCs w:val="21"/>
        </w:rPr>
        <w:t>3、服务说明一览表</w:t>
      </w:r>
    </w:p>
    <w:p w14:paraId="6F89EB25">
      <w:pPr>
        <w:pStyle w:val="7"/>
        <w:spacing w:line="353" w:lineRule="auto"/>
      </w:pPr>
    </w:p>
    <w:p w14:paraId="6F2D0B43">
      <w:pPr>
        <w:spacing w:before="103" w:line="183" w:lineRule="auto"/>
        <w:rPr>
          <w:rFonts w:ascii="微软雅黑" w:hAnsi="微软雅黑" w:eastAsia="微软雅黑" w:cs="微软雅黑"/>
          <w:sz w:val="24"/>
          <w:szCs w:val="24"/>
        </w:rPr>
      </w:pPr>
      <w:r>
        <w:rPr>
          <w:rFonts w:ascii="微软雅黑" w:hAnsi="微软雅黑" w:eastAsia="微软雅黑" w:cs="微软雅黑"/>
          <w:sz w:val="24"/>
          <w:szCs w:val="24"/>
        </w:rPr>
        <w:t xml:space="preserve">项目名称：                                  项目编号：      </w:t>
      </w:r>
      <w:r>
        <w:rPr>
          <w:rFonts w:ascii="微软雅黑" w:hAnsi="微软雅黑" w:eastAsia="微软雅黑" w:cs="微软雅黑"/>
          <w:spacing w:val="-1"/>
          <w:sz w:val="24"/>
          <w:szCs w:val="24"/>
        </w:rPr>
        <w:t xml:space="preserve">                               包号：</w:t>
      </w:r>
    </w:p>
    <w:p w14:paraId="3E5D6D25">
      <w:pPr>
        <w:spacing w:before="161"/>
      </w:pPr>
    </w:p>
    <w:tbl>
      <w:tblPr>
        <w:tblStyle w:val="20"/>
        <w:tblW w:w="8636" w:type="dxa"/>
        <w:tblInd w:w="5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8"/>
        <w:gridCol w:w="1408"/>
        <w:gridCol w:w="1517"/>
        <w:gridCol w:w="1631"/>
        <w:gridCol w:w="1861"/>
        <w:gridCol w:w="1041"/>
      </w:tblGrid>
      <w:tr w14:paraId="54BBA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1178" w:type="dxa"/>
            <w:vAlign w:val="top"/>
          </w:tcPr>
          <w:p w14:paraId="24831129">
            <w:pPr>
              <w:spacing w:line="309" w:lineRule="auto"/>
              <w:rPr>
                <w:rFonts w:ascii="Arial"/>
                <w:sz w:val="21"/>
              </w:rPr>
            </w:pPr>
          </w:p>
          <w:p w14:paraId="714D0120">
            <w:pPr>
              <w:spacing w:line="309" w:lineRule="auto"/>
              <w:rPr>
                <w:rFonts w:ascii="Arial"/>
                <w:sz w:val="21"/>
              </w:rPr>
            </w:pPr>
          </w:p>
          <w:p w14:paraId="5807A8E9">
            <w:pPr>
              <w:pStyle w:val="21"/>
              <w:spacing w:before="103" w:line="184" w:lineRule="auto"/>
              <w:ind w:left="344"/>
              <w:rPr>
                <w:sz w:val="24"/>
                <w:szCs w:val="24"/>
              </w:rPr>
            </w:pPr>
            <w:r>
              <w:rPr>
                <w:spacing w:val="-1"/>
                <w:sz w:val="24"/>
                <w:szCs w:val="24"/>
              </w:rPr>
              <w:t>序号</w:t>
            </w:r>
          </w:p>
        </w:tc>
        <w:tc>
          <w:tcPr>
            <w:tcW w:w="1408" w:type="dxa"/>
            <w:vAlign w:val="top"/>
          </w:tcPr>
          <w:p w14:paraId="5CBC166B">
            <w:pPr>
              <w:spacing w:line="309" w:lineRule="auto"/>
              <w:rPr>
                <w:rFonts w:ascii="Arial"/>
                <w:sz w:val="21"/>
              </w:rPr>
            </w:pPr>
          </w:p>
          <w:p w14:paraId="70EDC4D0">
            <w:pPr>
              <w:spacing w:line="309" w:lineRule="auto"/>
              <w:rPr>
                <w:rFonts w:ascii="Arial"/>
                <w:sz w:val="21"/>
              </w:rPr>
            </w:pPr>
          </w:p>
          <w:p w14:paraId="4B8CDDA6">
            <w:pPr>
              <w:pStyle w:val="21"/>
              <w:spacing w:before="103" w:line="184" w:lineRule="auto"/>
              <w:ind w:left="221"/>
              <w:rPr>
                <w:sz w:val="24"/>
                <w:szCs w:val="24"/>
              </w:rPr>
            </w:pPr>
            <w:r>
              <w:rPr>
                <w:spacing w:val="-1"/>
                <w:sz w:val="24"/>
                <w:szCs w:val="24"/>
              </w:rPr>
              <w:t>服务名称</w:t>
            </w:r>
          </w:p>
        </w:tc>
        <w:tc>
          <w:tcPr>
            <w:tcW w:w="1517" w:type="dxa"/>
            <w:vAlign w:val="top"/>
          </w:tcPr>
          <w:p w14:paraId="57D8A648">
            <w:pPr>
              <w:spacing w:line="309" w:lineRule="auto"/>
              <w:rPr>
                <w:rFonts w:ascii="Arial"/>
                <w:sz w:val="21"/>
              </w:rPr>
            </w:pPr>
          </w:p>
          <w:p w14:paraId="0005F348">
            <w:pPr>
              <w:spacing w:line="309" w:lineRule="auto"/>
              <w:rPr>
                <w:rFonts w:ascii="Arial"/>
                <w:sz w:val="21"/>
              </w:rPr>
            </w:pPr>
          </w:p>
          <w:p w14:paraId="7632ABCC">
            <w:pPr>
              <w:pStyle w:val="21"/>
              <w:spacing w:before="103" w:line="184" w:lineRule="auto"/>
              <w:ind w:left="278"/>
              <w:rPr>
                <w:sz w:val="24"/>
                <w:szCs w:val="24"/>
              </w:rPr>
            </w:pPr>
            <w:r>
              <w:rPr>
                <w:spacing w:val="-1"/>
                <w:sz w:val="24"/>
                <w:szCs w:val="24"/>
              </w:rPr>
              <w:t>服务要求</w:t>
            </w:r>
          </w:p>
        </w:tc>
        <w:tc>
          <w:tcPr>
            <w:tcW w:w="1631" w:type="dxa"/>
            <w:vAlign w:val="top"/>
          </w:tcPr>
          <w:p w14:paraId="6550F7FF">
            <w:pPr>
              <w:spacing w:line="309" w:lineRule="auto"/>
              <w:rPr>
                <w:rFonts w:ascii="Arial"/>
                <w:sz w:val="21"/>
              </w:rPr>
            </w:pPr>
          </w:p>
          <w:p w14:paraId="029C80B3">
            <w:pPr>
              <w:spacing w:line="309" w:lineRule="auto"/>
              <w:rPr>
                <w:rFonts w:ascii="Arial"/>
                <w:sz w:val="21"/>
              </w:rPr>
            </w:pPr>
          </w:p>
          <w:p w14:paraId="79C2AC4F">
            <w:pPr>
              <w:pStyle w:val="21"/>
              <w:spacing w:before="103" w:line="184" w:lineRule="auto"/>
              <w:ind w:left="337"/>
              <w:rPr>
                <w:sz w:val="24"/>
                <w:szCs w:val="24"/>
              </w:rPr>
            </w:pPr>
            <w:r>
              <w:rPr>
                <w:spacing w:val="-1"/>
                <w:sz w:val="24"/>
                <w:szCs w:val="24"/>
              </w:rPr>
              <w:t>服务期限</w:t>
            </w:r>
          </w:p>
        </w:tc>
        <w:tc>
          <w:tcPr>
            <w:tcW w:w="1861" w:type="dxa"/>
            <w:vAlign w:val="top"/>
          </w:tcPr>
          <w:p w14:paraId="70234488">
            <w:pPr>
              <w:spacing w:line="309" w:lineRule="auto"/>
              <w:rPr>
                <w:rFonts w:ascii="Arial"/>
                <w:sz w:val="21"/>
              </w:rPr>
            </w:pPr>
          </w:p>
          <w:p w14:paraId="1A81D03B">
            <w:pPr>
              <w:spacing w:line="309" w:lineRule="auto"/>
              <w:rPr>
                <w:rFonts w:ascii="Arial"/>
                <w:sz w:val="21"/>
              </w:rPr>
            </w:pPr>
          </w:p>
          <w:p w14:paraId="52F2484F">
            <w:pPr>
              <w:pStyle w:val="21"/>
              <w:spacing w:before="103" w:line="184" w:lineRule="auto"/>
              <w:ind w:left="454"/>
              <w:rPr>
                <w:sz w:val="24"/>
                <w:szCs w:val="24"/>
              </w:rPr>
            </w:pPr>
            <w:r>
              <w:rPr>
                <w:spacing w:val="-1"/>
                <w:sz w:val="24"/>
                <w:szCs w:val="24"/>
              </w:rPr>
              <w:t>服务地点</w:t>
            </w:r>
          </w:p>
        </w:tc>
        <w:tc>
          <w:tcPr>
            <w:tcW w:w="1041" w:type="dxa"/>
            <w:vAlign w:val="top"/>
          </w:tcPr>
          <w:p w14:paraId="782A0E37">
            <w:pPr>
              <w:spacing w:line="310" w:lineRule="auto"/>
              <w:rPr>
                <w:rFonts w:ascii="Arial"/>
                <w:sz w:val="21"/>
              </w:rPr>
            </w:pPr>
          </w:p>
          <w:p w14:paraId="065FC742">
            <w:pPr>
              <w:spacing w:line="311" w:lineRule="auto"/>
              <w:rPr>
                <w:rFonts w:ascii="Arial"/>
                <w:sz w:val="21"/>
              </w:rPr>
            </w:pPr>
          </w:p>
          <w:p w14:paraId="02B05371">
            <w:pPr>
              <w:pStyle w:val="21"/>
              <w:spacing w:before="103" w:line="182" w:lineRule="auto"/>
              <w:ind w:left="282"/>
              <w:rPr>
                <w:sz w:val="24"/>
                <w:szCs w:val="24"/>
              </w:rPr>
            </w:pPr>
            <w:r>
              <w:rPr>
                <w:spacing w:val="-1"/>
                <w:sz w:val="24"/>
                <w:szCs w:val="24"/>
              </w:rPr>
              <w:t>其他</w:t>
            </w:r>
          </w:p>
        </w:tc>
      </w:tr>
      <w:tr w14:paraId="29BEF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40326BF0">
            <w:pPr>
              <w:rPr>
                <w:rFonts w:ascii="Arial"/>
                <w:sz w:val="21"/>
              </w:rPr>
            </w:pPr>
          </w:p>
        </w:tc>
        <w:tc>
          <w:tcPr>
            <w:tcW w:w="1408" w:type="dxa"/>
            <w:vAlign w:val="top"/>
          </w:tcPr>
          <w:p w14:paraId="776374B2">
            <w:pPr>
              <w:rPr>
                <w:rFonts w:ascii="Arial"/>
                <w:sz w:val="21"/>
              </w:rPr>
            </w:pPr>
          </w:p>
        </w:tc>
        <w:tc>
          <w:tcPr>
            <w:tcW w:w="1517" w:type="dxa"/>
            <w:vAlign w:val="top"/>
          </w:tcPr>
          <w:p w14:paraId="1C84615D">
            <w:pPr>
              <w:rPr>
                <w:rFonts w:ascii="Arial"/>
                <w:sz w:val="21"/>
              </w:rPr>
            </w:pPr>
          </w:p>
        </w:tc>
        <w:tc>
          <w:tcPr>
            <w:tcW w:w="1631" w:type="dxa"/>
            <w:vAlign w:val="top"/>
          </w:tcPr>
          <w:p w14:paraId="753DD595">
            <w:pPr>
              <w:rPr>
                <w:rFonts w:ascii="Arial"/>
                <w:sz w:val="21"/>
              </w:rPr>
            </w:pPr>
          </w:p>
        </w:tc>
        <w:tc>
          <w:tcPr>
            <w:tcW w:w="1861" w:type="dxa"/>
            <w:vAlign w:val="top"/>
          </w:tcPr>
          <w:p w14:paraId="3B30BAA0">
            <w:pPr>
              <w:rPr>
                <w:rFonts w:ascii="Arial"/>
                <w:sz w:val="21"/>
              </w:rPr>
            </w:pPr>
          </w:p>
        </w:tc>
        <w:tc>
          <w:tcPr>
            <w:tcW w:w="1041" w:type="dxa"/>
            <w:vAlign w:val="top"/>
          </w:tcPr>
          <w:p w14:paraId="2AD88881">
            <w:pPr>
              <w:rPr>
                <w:rFonts w:ascii="Arial"/>
                <w:sz w:val="21"/>
              </w:rPr>
            </w:pPr>
          </w:p>
        </w:tc>
      </w:tr>
      <w:tr w14:paraId="152D7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1C3C21F6">
            <w:pPr>
              <w:rPr>
                <w:rFonts w:ascii="Arial"/>
                <w:sz w:val="21"/>
              </w:rPr>
            </w:pPr>
          </w:p>
        </w:tc>
        <w:tc>
          <w:tcPr>
            <w:tcW w:w="1408" w:type="dxa"/>
            <w:vAlign w:val="top"/>
          </w:tcPr>
          <w:p w14:paraId="326834F6">
            <w:pPr>
              <w:rPr>
                <w:rFonts w:ascii="Arial"/>
                <w:sz w:val="21"/>
              </w:rPr>
            </w:pPr>
          </w:p>
        </w:tc>
        <w:tc>
          <w:tcPr>
            <w:tcW w:w="1517" w:type="dxa"/>
            <w:vAlign w:val="top"/>
          </w:tcPr>
          <w:p w14:paraId="009514B7">
            <w:pPr>
              <w:rPr>
                <w:rFonts w:ascii="Arial"/>
                <w:sz w:val="21"/>
              </w:rPr>
            </w:pPr>
          </w:p>
        </w:tc>
        <w:tc>
          <w:tcPr>
            <w:tcW w:w="1631" w:type="dxa"/>
            <w:vAlign w:val="top"/>
          </w:tcPr>
          <w:p w14:paraId="75C2197F">
            <w:pPr>
              <w:rPr>
                <w:rFonts w:ascii="Arial"/>
                <w:sz w:val="21"/>
              </w:rPr>
            </w:pPr>
          </w:p>
        </w:tc>
        <w:tc>
          <w:tcPr>
            <w:tcW w:w="1861" w:type="dxa"/>
            <w:vAlign w:val="top"/>
          </w:tcPr>
          <w:p w14:paraId="732DC2EC">
            <w:pPr>
              <w:rPr>
                <w:rFonts w:ascii="Arial"/>
                <w:sz w:val="21"/>
              </w:rPr>
            </w:pPr>
          </w:p>
        </w:tc>
        <w:tc>
          <w:tcPr>
            <w:tcW w:w="1041" w:type="dxa"/>
            <w:vAlign w:val="top"/>
          </w:tcPr>
          <w:p w14:paraId="785ED76C">
            <w:pPr>
              <w:rPr>
                <w:rFonts w:ascii="Arial"/>
                <w:sz w:val="21"/>
              </w:rPr>
            </w:pPr>
          </w:p>
        </w:tc>
      </w:tr>
      <w:tr w14:paraId="2C407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43B6842F">
            <w:pPr>
              <w:rPr>
                <w:rFonts w:ascii="Arial"/>
                <w:sz w:val="21"/>
              </w:rPr>
            </w:pPr>
          </w:p>
        </w:tc>
        <w:tc>
          <w:tcPr>
            <w:tcW w:w="1408" w:type="dxa"/>
            <w:vAlign w:val="top"/>
          </w:tcPr>
          <w:p w14:paraId="15110DEB">
            <w:pPr>
              <w:rPr>
                <w:rFonts w:ascii="Arial"/>
                <w:sz w:val="21"/>
              </w:rPr>
            </w:pPr>
          </w:p>
        </w:tc>
        <w:tc>
          <w:tcPr>
            <w:tcW w:w="1517" w:type="dxa"/>
            <w:vAlign w:val="top"/>
          </w:tcPr>
          <w:p w14:paraId="65A5B174">
            <w:pPr>
              <w:rPr>
                <w:rFonts w:ascii="Arial"/>
                <w:sz w:val="21"/>
              </w:rPr>
            </w:pPr>
          </w:p>
        </w:tc>
        <w:tc>
          <w:tcPr>
            <w:tcW w:w="1631" w:type="dxa"/>
            <w:vAlign w:val="top"/>
          </w:tcPr>
          <w:p w14:paraId="2EBFE2D8">
            <w:pPr>
              <w:rPr>
                <w:rFonts w:ascii="Arial"/>
                <w:sz w:val="21"/>
              </w:rPr>
            </w:pPr>
          </w:p>
        </w:tc>
        <w:tc>
          <w:tcPr>
            <w:tcW w:w="1861" w:type="dxa"/>
            <w:vAlign w:val="top"/>
          </w:tcPr>
          <w:p w14:paraId="4A293EE1">
            <w:pPr>
              <w:rPr>
                <w:rFonts w:ascii="Arial"/>
                <w:sz w:val="21"/>
              </w:rPr>
            </w:pPr>
          </w:p>
        </w:tc>
        <w:tc>
          <w:tcPr>
            <w:tcW w:w="1041" w:type="dxa"/>
            <w:vAlign w:val="top"/>
          </w:tcPr>
          <w:p w14:paraId="28342D2D">
            <w:pPr>
              <w:rPr>
                <w:rFonts w:ascii="Arial"/>
                <w:sz w:val="21"/>
              </w:rPr>
            </w:pPr>
          </w:p>
        </w:tc>
      </w:tr>
      <w:tr w14:paraId="7324D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73939BFE">
            <w:pPr>
              <w:rPr>
                <w:rFonts w:ascii="Arial"/>
                <w:sz w:val="21"/>
              </w:rPr>
            </w:pPr>
          </w:p>
        </w:tc>
        <w:tc>
          <w:tcPr>
            <w:tcW w:w="1408" w:type="dxa"/>
            <w:vAlign w:val="top"/>
          </w:tcPr>
          <w:p w14:paraId="7D55C728">
            <w:pPr>
              <w:rPr>
                <w:rFonts w:ascii="Arial"/>
                <w:sz w:val="21"/>
              </w:rPr>
            </w:pPr>
          </w:p>
        </w:tc>
        <w:tc>
          <w:tcPr>
            <w:tcW w:w="1517" w:type="dxa"/>
            <w:vAlign w:val="top"/>
          </w:tcPr>
          <w:p w14:paraId="6F3C22D5">
            <w:pPr>
              <w:rPr>
                <w:rFonts w:ascii="Arial"/>
                <w:sz w:val="21"/>
              </w:rPr>
            </w:pPr>
          </w:p>
        </w:tc>
        <w:tc>
          <w:tcPr>
            <w:tcW w:w="1631" w:type="dxa"/>
            <w:vAlign w:val="top"/>
          </w:tcPr>
          <w:p w14:paraId="43FF91A5">
            <w:pPr>
              <w:rPr>
                <w:rFonts w:ascii="Arial"/>
                <w:sz w:val="21"/>
              </w:rPr>
            </w:pPr>
          </w:p>
        </w:tc>
        <w:tc>
          <w:tcPr>
            <w:tcW w:w="1861" w:type="dxa"/>
            <w:vAlign w:val="top"/>
          </w:tcPr>
          <w:p w14:paraId="7D0DAA2E">
            <w:pPr>
              <w:rPr>
                <w:rFonts w:ascii="Arial"/>
                <w:sz w:val="21"/>
              </w:rPr>
            </w:pPr>
          </w:p>
        </w:tc>
        <w:tc>
          <w:tcPr>
            <w:tcW w:w="1041" w:type="dxa"/>
            <w:vAlign w:val="top"/>
          </w:tcPr>
          <w:p w14:paraId="1AB43C51">
            <w:pPr>
              <w:rPr>
                <w:rFonts w:ascii="Arial"/>
                <w:sz w:val="21"/>
              </w:rPr>
            </w:pPr>
          </w:p>
        </w:tc>
      </w:tr>
      <w:tr w14:paraId="77FA9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2C86D77C">
            <w:pPr>
              <w:rPr>
                <w:rFonts w:ascii="Arial"/>
                <w:sz w:val="21"/>
              </w:rPr>
            </w:pPr>
          </w:p>
        </w:tc>
        <w:tc>
          <w:tcPr>
            <w:tcW w:w="1408" w:type="dxa"/>
            <w:vAlign w:val="top"/>
          </w:tcPr>
          <w:p w14:paraId="0CB68EA4">
            <w:pPr>
              <w:rPr>
                <w:rFonts w:ascii="Arial"/>
                <w:sz w:val="21"/>
              </w:rPr>
            </w:pPr>
          </w:p>
        </w:tc>
        <w:tc>
          <w:tcPr>
            <w:tcW w:w="1517" w:type="dxa"/>
            <w:vAlign w:val="top"/>
          </w:tcPr>
          <w:p w14:paraId="75DA4E91">
            <w:pPr>
              <w:rPr>
                <w:rFonts w:ascii="Arial"/>
                <w:sz w:val="21"/>
              </w:rPr>
            </w:pPr>
          </w:p>
        </w:tc>
        <w:tc>
          <w:tcPr>
            <w:tcW w:w="1631" w:type="dxa"/>
            <w:vAlign w:val="top"/>
          </w:tcPr>
          <w:p w14:paraId="718B4A7D">
            <w:pPr>
              <w:rPr>
                <w:rFonts w:ascii="Arial"/>
                <w:sz w:val="21"/>
              </w:rPr>
            </w:pPr>
          </w:p>
        </w:tc>
        <w:tc>
          <w:tcPr>
            <w:tcW w:w="1861" w:type="dxa"/>
            <w:vAlign w:val="top"/>
          </w:tcPr>
          <w:p w14:paraId="09B3D1DD">
            <w:pPr>
              <w:rPr>
                <w:rFonts w:ascii="Arial"/>
                <w:sz w:val="21"/>
              </w:rPr>
            </w:pPr>
          </w:p>
        </w:tc>
        <w:tc>
          <w:tcPr>
            <w:tcW w:w="1041" w:type="dxa"/>
            <w:vAlign w:val="top"/>
          </w:tcPr>
          <w:p w14:paraId="3044F461">
            <w:pPr>
              <w:rPr>
                <w:rFonts w:ascii="Arial"/>
                <w:sz w:val="21"/>
              </w:rPr>
            </w:pPr>
          </w:p>
        </w:tc>
      </w:tr>
      <w:tr w14:paraId="58D24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6E39A824">
            <w:pPr>
              <w:rPr>
                <w:rFonts w:ascii="Arial"/>
                <w:sz w:val="21"/>
              </w:rPr>
            </w:pPr>
          </w:p>
        </w:tc>
        <w:tc>
          <w:tcPr>
            <w:tcW w:w="1408" w:type="dxa"/>
            <w:vAlign w:val="top"/>
          </w:tcPr>
          <w:p w14:paraId="13F131AF">
            <w:pPr>
              <w:rPr>
                <w:rFonts w:ascii="Arial"/>
                <w:sz w:val="21"/>
              </w:rPr>
            </w:pPr>
          </w:p>
        </w:tc>
        <w:tc>
          <w:tcPr>
            <w:tcW w:w="1517" w:type="dxa"/>
            <w:vAlign w:val="top"/>
          </w:tcPr>
          <w:p w14:paraId="2B785FFC">
            <w:pPr>
              <w:rPr>
                <w:rFonts w:ascii="Arial"/>
                <w:sz w:val="21"/>
              </w:rPr>
            </w:pPr>
          </w:p>
        </w:tc>
        <w:tc>
          <w:tcPr>
            <w:tcW w:w="1631" w:type="dxa"/>
            <w:vAlign w:val="top"/>
          </w:tcPr>
          <w:p w14:paraId="30EA23BB">
            <w:pPr>
              <w:rPr>
                <w:rFonts w:ascii="Arial"/>
                <w:sz w:val="21"/>
              </w:rPr>
            </w:pPr>
          </w:p>
        </w:tc>
        <w:tc>
          <w:tcPr>
            <w:tcW w:w="1861" w:type="dxa"/>
            <w:vAlign w:val="top"/>
          </w:tcPr>
          <w:p w14:paraId="7F68A6A8">
            <w:pPr>
              <w:rPr>
                <w:rFonts w:ascii="Arial"/>
                <w:sz w:val="21"/>
              </w:rPr>
            </w:pPr>
          </w:p>
        </w:tc>
        <w:tc>
          <w:tcPr>
            <w:tcW w:w="1041" w:type="dxa"/>
            <w:vAlign w:val="top"/>
          </w:tcPr>
          <w:p w14:paraId="376A3766">
            <w:pPr>
              <w:rPr>
                <w:rFonts w:ascii="Arial"/>
                <w:sz w:val="21"/>
              </w:rPr>
            </w:pPr>
          </w:p>
        </w:tc>
      </w:tr>
      <w:tr w14:paraId="7DDB2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178" w:type="dxa"/>
            <w:vAlign w:val="top"/>
          </w:tcPr>
          <w:p w14:paraId="2D94DCDC">
            <w:pPr>
              <w:rPr>
                <w:rFonts w:ascii="Arial"/>
                <w:sz w:val="21"/>
              </w:rPr>
            </w:pPr>
          </w:p>
        </w:tc>
        <w:tc>
          <w:tcPr>
            <w:tcW w:w="1408" w:type="dxa"/>
            <w:vAlign w:val="top"/>
          </w:tcPr>
          <w:p w14:paraId="3F2F6C76">
            <w:pPr>
              <w:rPr>
                <w:rFonts w:ascii="Arial"/>
                <w:sz w:val="21"/>
              </w:rPr>
            </w:pPr>
          </w:p>
        </w:tc>
        <w:tc>
          <w:tcPr>
            <w:tcW w:w="1517" w:type="dxa"/>
            <w:vAlign w:val="top"/>
          </w:tcPr>
          <w:p w14:paraId="54F71A1E">
            <w:pPr>
              <w:rPr>
                <w:rFonts w:ascii="Arial"/>
                <w:sz w:val="21"/>
              </w:rPr>
            </w:pPr>
          </w:p>
        </w:tc>
        <w:tc>
          <w:tcPr>
            <w:tcW w:w="1631" w:type="dxa"/>
            <w:vAlign w:val="top"/>
          </w:tcPr>
          <w:p w14:paraId="2C3C4B8B">
            <w:pPr>
              <w:rPr>
                <w:rFonts w:ascii="Arial"/>
                <w:sz w:val="21"/>
              </w:rPr>
            </w:pPr>
          </w:p>
        </w:tc>
        <w:tc>
          <w:tcPr>
            <w:tcW w:w="1861" w:type="dxa"/>
            <w:vAlign w:val="top"/>
          </w:tcPr>
          <w:p w14:paraId="4A4CCD13">
            <w:pPr>
              <w:rPr>
                <w:rFonts w:ascii="Arial"/>
                <w:sz w:val="21"/>
              </w:rPr>
            </w:pPr>
          </w:p>
        </w:tc>
        <w:tc>
          <w:tcPr>
            <w:tcW w:w="1041" w:type="dxa"/>
            <w:vAlign w:val="top"/>
          </w:tcPr>
          <w:p w14:paraId="590DDA3B">
            <w:pPr>
              <w:rPr>
                <w:rFonts w:ascii="Arial"/>
                <w:sz w:val="21"/>
              </w:rPr>
            </w:pPr>
          </w:p>
        </w:tc>
      </w:tr>
    </w:tbl>
    <w:p w14:paraId="36501A97">
      <w:pPr>
        <w:pStyle w:val="7"/>
        <w:spacing w:line="411" w:lineRule="auto"/>
      </w:pPr>
    </w:p>
    <w:p w14:paraId="63A866C8">
      <w:pPr>
        <w:spacing w:before="103" w:line="184" w:lineRule="auto"/>
        <w:ind w:left="541"/>
        <w:rPr>
          <w:rFonts w:ascii="微软雅黑" w:hAnsi="微软雅黑" w:eastAsia="微软雅黑" w:cs="微软雅黑"/>
          <w:sz w:val="24"/>
          <w:szCs w:val="24"/>
        </w:rPr>
      </w:pPr>
      <w:r>
        <w:rPr>
          <w:rFonts w:ascii="微软雅黑" w:hAnsi="微软雅黑" w:eastAsia="微软雅黑" w:cs="微软雅黑"/>
          <w:spacing w:val="-3"/>
          <w:sz w:val="24"/>
          <w:szCs w:val="24"/>
        </w:rPr>
        <w:t>法定代表人或其委托代理人（签字或盖章</w:t>
      </w:r>
      <w:r>
        <w:rPr>
          <w:rFonts w:ascii="微软雅黑" w:hAnsi="微软雅黑" w:eastAsia="微软雅黑" w:cs="微软雅黑"/>
          <w:spacing w:val="3"/>
          <w:sz w:val="24"/>
          <w:szCs w:val="24"/>
        </w:rPr>
        <w:t>）：</w:t>
      </w:r>
    </w:p>
    <w:p w14:paraId="2E3802EB">
      <w:pPr>
        <w:spacing w:before="96" w:line="184" w:lineRule="auto"/>
        <w:ind w:left="538"/>
        <w:rPr>
          <w:rFonts w:ascii="微软雅黑" w:hAnsi="微软雅黑" w:eastAsia="微软雅黑" w:cs="微软雅黑"/>
          <w:sz w:val="24"/>
          <w:szCs w:val="24"/>
        </w:rPr>
      </w:pPr>
      <w:r>
        <w:rPr>
          <w:rFonts w:ascii="微软雅黑" w:hAnsi="微软雅黑" w:eastAsia="微软雅黑" w:cs="微软雅黑"/>
          <w:spacing w:val="-1"/>
          <w:sz w:val="24"/>
          <w:szCs w:val="24"/>
        </w:rPr>
        <w:t>供应商（公章）:</w:t>
      </w:r>
    </w:p>
    <w:p w14:paraId="72D7E671">
      <w:pPr>
        <w:spacing w:before="96" w:line="184" w:lineRule="auto"/>
        <w:ind w:left="541"/>
        <w:rPr>
          <w:rFonts w:ascii="微软雅黑" w:hAnsi="微软雅黑" w:eastAsia="微软雅黑" w:cs="微软雅黑"/>
          <w:sz w:val="24"/>
          <w:szCs w:val="24"/>
        </w:rPr>
      </w:pPr>
      <w:r>
        <w:rPr>
          <w:rFonts w:ascii="微软雅黑" w:hAnsi="微软雅黑" w:eastAsia="微软雅黑" w:cs="微软雅黑"/>
          <w:spacing w:val="-3"/>
          <w:sz w:val="24"/>
          <w:szCs w:val="24"/>
        </w:rPr>
        <w:t>注： 各项服务详细技术性能应另页描述。</w:t>
      </w:r>
    </w:p>
    <w:p w14:paraId="4F199C7F">
      <w:pPr>
        <w:spacing w:line="184" w:lineRule="auto"/>
        <w:rPr>
          <w:rFonts w:ascii="微软雅黑" w:hAnsi="微软雅黑" w:eastAsia="微软雅黑" w:cs="微软雅黑"/>
          <w:sz w:val="24"/>
          <w:szCs w:val="24"/>
        </w:rPr>
        <w:sectPr>
          <w:footerReference r:id="rId32" w:type="default"/>
          <w:pgSz w:w="11905" w:h="16839"/>
          <w:pgMar w:top="1431" w:right="1629" w:bottom="1197" w:left="1081" w:header="0" w:footer="963" w:gutter="0"/>
          <w:pgNumType w:fmt="decimal"/>
          <w:cols w:space="720" w:num="1"/>
        </w:sectPr>
      </w:pPr>
    </w:p>
    <w:p w14:paraId="655C3869">
      <w:pPr>
        <w:pStyle w:val="7"/>
        <w:spacing w:line="276" w:lineRule="auto"/>
      </w:pPr>
    </w:p>
    <w:p w14:paraId="53A797C3">
      <w:pPr>
        <w:pStyle w:val="7"/>
        <w:spacing w:line="277" w:lineRule="auto"/>
      </w:pPr>
    </w:p>
    <w:p w14:paraId="2F2DAA87">
      <w:pPr>
        <w:pStyle w:val="7"/>
        <w:spacing w:line="277" w:lineRule="auto"/>
      </w:pPr>
    </w:p>
    <w:p w14:paraId="309CDC1D">
      <w:pPr>
        <w:spacing w:before="103" w:line="183" w:lineRule="auto"/>
        <w:ind w:left="3722"/>
        <w:outlineLvl w:val="1"/>
        <w:rPr>
          <w:rFonts w:ascii="微软雅黑" w:hAnsi="微软雅黑" w:eastAsia="微软雅黑" w:cs="微软雅黑"/>
          <w:sz w:val="24"/>
          <w:szCs w:val="24"/>
        </w:rPr>
      </w:pPr>
      <w:bookmarkStart w:id="76" w:name="bookmark22"/>
      <w:bookmarkEnd w:id="76"/>
      <w:r>
        <w:rPr>
          <w:rFonts w:ascii="微软雅黑" w:hAnsi="微软雅黑" w:eastAsia="微软雅黑" w:cs="微软雅黑"/>
          <w:b/>
          <w:bCs/>
          <w:spacing w:val="-1"/>
          <w:sz w:val="24"/>
          <w:szCs w:val="24"/>
        </w:rPr>
        <w:t>4、商务条款偏离表</w:t>
      </w:r>
    </w:p>
    <w:p w14:paraId="74A79E98">
      <w:pPr>
        <w:pStyle w:val="7"/>
        <w:spacing w:line="403" w:lineRule="auto"/>
      </w:pPr>
    </w:p>
    <w:p w14:paraId="5C514BB5">
      <w:pPr>
        <w:spacing w:before="103" w:line="183" w:lineRule="auto"/>
        <w:ind w:left="421"/>
        <w:rPr>
          <w:rFonts w:ascii="微软雅黑" w:hAnsi="微软雅黑" w:eastAsia="微软雅黑" w:cs="微软雅黑"/>
          <w:sz w:val="24"/>
          <w:szCs w:val="24"/>
        </w:rPr>
      </w:pPr>
      <w:r>
        <w:rPr>
          <w:rFonts w:ascii="微软雅黑" w:hAnsi="微软雅黑" w:eastAsia="微软雅黑" w:cs="微软雅黑"/>
          <w:sz w:val="24"/>
          <w:szCs w:val="24"/>
        </w:rPr>
        <w:t xml:space="preserve">项目名称：                                     项目编号：   </w:t>
      </w:r>
      <w:r>
        <w:rPr>
          <w:rFonts w:ascii="微软雅黑" w:hAnsi="微软雅黑" w:eastAsia="微软雅黑" w:cs="微软雅黑"/>
          <w:spacing w:val="-1"/>
          <w:sz w:val="24"/>
          <w:szCs w:val="24"/>
        </w:rPr>
        <w:t xml:space="preserve">                   包号：</w:t>
      </w:r>
    </w:p>
    <w:p w14:paraId="0D7B2BA1">
      <w:pPr>
        <w:spacing w:before="161"/>
      </w:pPr>
    </w:p>
    <w:tbl>
      <w:tblPr>
        <w:tblStyle w:val="20"/>
        <w:tblW w:w="94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924"/>
        <w:gridCol w:w="2377"/>
        <w:gridCol w:w="2377"/>
        <w:gridCol w:w="956"/>
        <w:gridCol w:w="961"/>
      </w:tblGrid>
      <w:tr w14:paraId="502C9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899" w:type="dxa"/>
            <w:vAlign w:val="top"/>
          </w:tcPr>
          <w:p w14:paraId="3E735CA7">
            <w:pPr>
              <w:pStyle w:val="21"/>
              <w:spacing w:before="104" w:line="184" w:lineRule="auto"/>
              <w:ind w:left="204"/>
              <w:rPr>
                <w:sz w:val="24"/>
                <w:szCs w:val="24"/>
              </w:rPr>
            </w:pPr>
            <w:r>
              <w:rPr>
                <w:spacing w:val="-1"/>
                <w:sz w:val="24"/>
                <w:szCs w:val="24"/>
              </w:rPr>
              <w:t>序号</w:t>
            </w:r>
          </w:p>
        </w:tc>
        <w:tc>
          <w:tcPr>
            <w:tcW w:w="1924" w:type="dxa"/>
            <w:vAlign w:val="top"/>
          </w:tcPr>
          <w:p w14:paraId="3713462C">
            <w:pPr>
              <w:pStyle w:val="21"/>
              <w:spacing w:before="106" w:line="183" w:lineRule="auto"/>
              <w:ind w:left="117"/>
              <w:rPr>
                <w:sz w:val="24"/>
                <w:szCs w:val="24"/>
              </w:rPr>
            </w:pPr>
            <w:r>
              <w:rPr>
                <w:spacing w:val="-1"/>
                <w:sz w:val="24"/>
                <w:szCs w:val="24"/>
              </w:rPr>
              <w:t>招标文件条款号</w:t>
            </w:r>
          </w:p>
        </w:tc>
        <w:tc>
          <w:tcPr>
            <w:tcW w:w="2377" w:type="dxa"/>
            <w:vAlign w:val="top"/>
          </w:tcPr>
          <w:p w14:paraId="17E87FD4">
            <w:pPr>
              <w:pStyle w:val="21"/>
              <w:spacing w:before="104" w:line="184" w:lineRule="auto"/>
              <w:ind w:left="106"/>
              <w:rPr>
                <w:sz w:val="24"/>
                <w:szCs w:val="24"/>
              </w:rPr>
            </w:pPr>
            <w:r>
              <w:rPr>
                <w:spacing w:val="-1"/>
                <w:sz w:val="24"/>
                <w:szCs w:val="24"/>
              </w:rPr>
              <w:t>招标文件的商务条款</w:t>
            </w:r>
          </w:p>
        </w:tc>
        <w:tc>
          <w:tcPr>
            <w:tcW w:w="2377" w:type="dxa"/>
            <w:vAlign w:val="top"/>
          </w:tcPr>
          <w:p w14:paraId="097E15DE">
            <w:pPr>
              <w:pStyle w:val="21"/>
              <w:spacing w:before="104" w:line="184" w:lineRule="auto"/>
              <w:ind w:left="109"/>
              <w:rPr>
                <w:sz w:val="24"/>
                <w:szCs w:val="24"/>
              </w:rPr>
            </w:pPr>
            <w:r>
              <w:rPr>
                <w:spacing w:val="-1"/>
                <w:sz w:val="24"/>
                <w:szCs w:val="24"/>
              </w:rPr>
              <w:t>投标文件的商务条款</w:t>
            </w:r>
          </w:p>
        </w:tc>
        <w:tc>
          <w:tcPr>
            <w:tcW w:w="956" w:type="dxa"/>
            <w:vAlign w:val="top"/>
          </w:tcPr>
          <w:p w14:paraId="7D1851B7">
            <w:pPr>
              <w:pStyle w:val="21"/>
              <w:spacing w:before="106" w:line="183" w:lineRule="auto"/>
              <w:ind w:left="240"/>
              <w:rPr>
                <w:sz w:val="24"/>
                <w:szCs w:val="24"/>
              </w:rPr>
            </w:pPr>
            <w:r>
              <w:rPr>
                <w:spacing w:val="-1"/>
                <w:sz w:val="24"/>
                <w:szCs w:val="24"/>
              </w:rPr>
              <w:t>偏离</w:t>
            </w:r>
          </w:p>
        </w:tc>
        <w:tc>
          <w:tcPr>
            <w:tcW w:w="961" w:type="dxa"/>
            <w:vAlign w:val="top"/>
          </w:tcPr>
          <w:p w14:paraId="6C437824">
            <w:pPr>
              <w:pStyle w:val="21"/>
              <w:spacing w:before="108" w:line="182" w:lineRule="auto"/>
              <w:ind w:left="241"/>
              <w:rPr>
                <w:sz w:val="24"/>
                <w:szCs w:val="24"/>
              </w:rPr>
            </w:pPr>
            <w:r>
              <w:rPr>
                <w:spacing w:val="-1"/>
                <w:sz w:val="24"/>
                <w:szCs w:val="24"/>
              </w:rPr>
              <w:t>说明</w:t>
            </w:r>
          </w:p>
        </w:tc>
      </w:tr>
      <w:tr w14:paraId="52E23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4422B427">
            <w:pPr>
              <w:rPr>
                <w:rFonts w:ascii="Arial"/>
                <w:sz w:val="21"/>
              </w:rPr>
            </w:pPr>
          </w:p>
        </w:tc>
        <w:tc>
          <w:tcPr>
            <w:tcW w:w="1924" w:type="dxa"/>
            <w:vAlign w:val="top"/>
          </w:tcPr>
          <w:p w14:paraId="31519109">
            <w:pPr>
              <w:rPr>
                <w:rFonts w:ascii="Arial"/>
                <w:sz w:val="21"/>
              </w:rPr>
            </w:pPr>
          </w:p>
        </w:tc>
        <w:tc>
          <w:tcPr>
            <w:tcW w:w="2377" w:type="dxa"/>
            <w:vAlign w:val="top"/>
          </w:tcPr>
          <w:p w14:paraId="32143EB1">
            <w:pPr>
              <w:rPr>
                <w:rFonts w:ascii="Arial"/>
                <w:sz w:val="21"/>
              </w:rPr>
            </w:pPr>
          </w:p>
        </w:tc>
        <w:tc>
          <w:tcPr>
            <w:tcW w:w="2377" w:type="dxa"/>
            <w:vAlign w:val="top"/>
          </w:tcPr>
          <w:p w14:paraId="649DD36E">
            <w:pPr>
              <w:rPr>
                <w:rFonts w:ascii="Arial"/>
                <w:sz w:val="21"/>
              </w:rPr>
            </w:pPr>
          </w:p>
        </w:tc>
        <w:tc>
          <w:tcPr>
            <w:tcW w:w="956" w:type="dxa"/>
            <w:vAlign w:val="top"/>
          </w:tcPr>
          <w:p w14:paraId="1B2143CD">
            <w:pPr>
              <w:rPr>
                <w:rFonts w:ascii="Arial"/>
                <w:sz w:val="21"/>
              </w:rPr>
            </w:pPr>
          </w:p>
        </w:tc>
        <w:tc>
          <w:tcPr>
            <w:tcW w:w="961" w:type="dxa"/>
            <w:vAlign w:val="top"/>
          </w:tcPr>
          <w:p w14:paraId="43A3216B">
            <w:pPr>
              <w:rPr>
                <w:rFonts w:ascii="Arial"/>
                <w:sz w:val="21"/>
              </w:rPr>
            </w:pPr>
          </w:p>
        </w:tc>
      </w:tr>
      <w:tr w14:paraId="65AD5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118160FA">
            <w:pPr>
              <w:rPr>
                <w:rFonts w:ascii="Arial"/>
                <w:sz w:val="21"/>
              </w:rPr>
            </w:pPr>
          </w:p>
        </w:tc>
        <w:tc>
          <w:tcPr>
            <w:tcW w:w="1924" w:type="dxa"/>
            <w:vAlign w:val="top"/>
          </w:tcPr>
          <w:p w14:paraId="147EB44B">
            <w:pPr>
              <w:rPr>
                <w:rFonts w:ascii="Arial"/>
                <w:sz w:val="21"/>
              </w:rPr>
            </w:pPr>
          </w:p>
        </w:tc>
        <w:tc>
          <w:tcPr>
            <w:tcW w:w="2377" w:type="dxa"/>
            <w:vAlign w:val="top"/>
          </w:tcPr>
          <w:p w14:paraId="5EE44932">
            <w:pPr>
              <w:rPr>
                <w:rFonts w:ascii="Arial"/>
                <w:sz w:val="21"/>
              </w:rPr>
            </w:pPr>
          </w:p>
        </w:tc>
        <w:tc>
          <w:tcPr>
            <w:tcW w:w="2377" w:type="dxa"/>
            <w:vAlign w:val="top"/>
          </w:tcPr>
          <w:p w14:paraId="247358ED">
            <w:pPr>
              <w:rPr>
                <w:rFonts w:ascii="Arial"/>
                <w:sz w:val="21"/>
              </w:rPr>
            </w:pPr>
          </w:p>
        </w:tc>
        <w:tc>
          <w:tcPr>
            <w:tcW w:w="956" w:type="dxa"/>
            <w:vAlign w:val="top"/>
          </w:tcPr>
          <w:p w14:paraId="2175067A">
            <w:pPr>
              <w:rPr>
                <w:rFonts w:ascii="Arial"/>
                <w:sz w:val="21"/>
              </w:rPr>
            </w:pPr>
          </w:p>
        </w:tc>
        <w:tc>
          <w:tcPr>
            <w:tcW w:w="961" w:type="dxa"/>
            <w:vAlign w:val="top"/>
          </w:tcPr>
          <w:p w14:paraId="1EFAA3C2">
            <w:pPr>
              <w:rPr>
                <w:rFonts w:ascii="Arial"/>
                <w:sz w:val="21"/>
              </w:rPr>
            </w:pPr>
          </w:p>
        </w:tc>
      </w:tr>
      <w:tr w14:paraId="70B25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4FE311E2">
            <w:pPr>
              <w:rPr>
                <w:rFonts w:ascii="Arial"/>
                <w:sz w:val="21"/>
              </w:rPr>
            </w:pPr>
          </w:p>
        </w:tc>
        <w:tc>
          <w:tcPr>
            <w:tcW w:w="1924" w:type="dxa"/>
            <w:vAlign w:val="top"/>
          </w:tcPr>
          <w:p w14:paraId="05384F2D">
            <w:pPr>
              <w:rPr>
                <w:rFonts w:ascii="Arial"/>
                <w:sz w:val="21"/>
              </w:rPr>
            </w:pPr>
          </w:p>
        </w:tc>
        <w:tc>
          <w:tcPr>
            <w:tcW w:w="2377" w:type="dxa"/>
            <w:vAlign w:val="top"/>
          </w:tcPr>
          <w:p w14:paraId="1ACB6D08">
            <w:pPr>
              <w:rPr>
                <w:rFonts w:ascii="Arial"/>
                <w:sz w:val="21"/>
              </w:rPr>
            </w:pPr>
          </w:p>
        </w:tc>
        <w:tc>
          <w:tcPr>
            <w:tcW w:w="2377" w:type="dxa"/>
            <w:vAlign w:val="top"/>
          </w:tcPr>
          <w:p w14:paraId="6FA924B8">
            <w:pPr>
              <w:rPr>
                <w:rFonts w:ascii="Arial"/>
                <w:sz w:val="21"/>
              </w:rPr>
            </w:pPr>
          </w:p>
        </w:tc>
        <w:tc>
          <w:tcPr>
            <w:tcW w:w="956" w:type="dxa"/>
            <w:vAlign w:val="top"/>
          </w:tcPr>
          <w:p w14:paraId="386A6C46">
            <w:pPr>
              <w:rPr>
                <w:rFonts w:ascii="Arial"/>
                <w:sz w:val="21"/>
              </w:rPr>
            </w:pPr>
          </w:p>
        </w:tc>
        <w:tc>
          <w:tcPr>
            <w:tcW w:w="961" w:type="dxa"/>
            <w:vAlign w:val="top"/>
          </w:tcPr>
          <w:p w14:paraId="53C20115">
            <w:pPr>
              <w:rPr>
                <w:rFonts w:ascii="Arial"/>
                <w:sz w:val="21"/>
              </w:rPr>
            </w:pPr>
          </w:p>
        </w:tc>
      </w:tr>
      <w:tr w14:paraId="4A69C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5719A3F1">
            <w:pPr>
              <w:rPr>
                <w:rFonts w:ascii="Arial"/>
                <w:sz w:val="21"/>
              </w:rPr>
            </w:pPr>
          </w:p>
        </w:tc>
        <w:tc>
          <w:tcPr>
            <w:tcW w:w="1924" w:type="dxa"/>
            <w:vAlign w:val="top"/>
          </w:tcPr>
          <w:p w14:paraId="47695B02">
            <w:pPr>
              <w:rPr>
                <w:rFonts w:ascii="Arial"/>
                <w:sz w:val="21"/>
              </w:rPr>
            </w:pPr>
          </w:p>
        </w:tc>
        <w:tc>
          <w:tcPr>
            <w:tcW w:w="2377" w:type="dxa"/>
            <w:vAlign w:val="top"/>
          </w:tcPr>
          <w:p w14:paraId="39D5BD2D">
            <w:pPr>
              <w:rPr>
                <w:rFonts w:ascii="Arial"/>
                <w:sz w:val="21"/>
              </w:rPr>
            </w:pPr>
          </w:p>
        </w:tc>
        <w:tc>
          <w:tcPr>
            <w:tcW w:w="2377" w:type="dxa"/>
            <w:vAlign w:val="top"/>
          </w:tcPr>
          <w:p w14:paraId="29963453">
            <w:pPr>
              <w:rPr>
                <w:rFonts w:ascii="Arial"/>
                <w:sz w:val="21"/>
              </w:rPr>
            </w:pPr>
          </w:p>
        </w:tc>
        <w:tc>
          <w:tcPr>
            <w:tcW w:w="956" w:type="dxa"/>
            <w:vAlign w:val="top"/>
          </w:tcPr>
          <w:p w14:paraId="44B1BF14">
            <w:pPr>
              <w:rPr>
                <w:rFonts w:ascii="Arial"/>
                <w:sz w:val="21"/>
              </w:rPr>
            </w:pPr>
          </w:p>
        </w:tc>
        <w:tc>
          <w:tcPr>
            <w:tcW w:w="961" w:type="dxa"/>
            <w:vAlign w:val="top"/>
          </w:tcPr>
          <w:p w14:paraId="29DF7E93">
            <w:pPr>
              <w:rPr>
                <w:rFonts w:ascii="Arial"/>
                <w:sz w:val="21"/>
              </w:rPr>
            </w:pPr>
          </w:p>
        </w:tc>
      </w:tr>
      <w:tr w14:paraId="6248B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08562079">
            <w:pPr>
              <w:rPr>
                <w:rFonts w:ascii="Arial"/>
                <w:sz w:val="21"/>
              </w:rPr>
            </w:pPr>
          </w:p>
        </w:tc>
        <w:tc>
          <w:tcPr>
            <w:tcW w:w="1924" w:type="dxa"/>
            <w:vAlign w:val="top"/>
          </w:tcPr>
          <w:p w14:paraId="50AF7766">
            <w:pPr>
              <w:rPr>
                <w:rFonts w:ascii="Arial"/>
                <w:sz w:val="21"/>
              </w:rPr>
            </w:pPr>
          </w:p>
        </w:tc>
        <w:tc>
          <w:tcPr>
            <w:tcW w:w="2377" w:type="dxa"/>
            <w:vAlign w:val="top"/>
          </w:tcPr>
          <w:p w14:paraId="5558D530">
            <w:pPr>
              <w:rPr>
                <w:rFonts w:ascii="Arial"/>
                <w:sz w:val="21"/>
              </w:rPr>
            </w:pPr>
          </w:p>
        </w:tc>
        <w:tc>
          <w:tcPr>
            <w:tcW w:w="2377" w:type="dxa"/>
            <w:vAlign w:val="top"/>
          </w:tcPr>
          <w:p w14:paraId="03DAF08C">
            <w:pPr>
              <w:rPr>
                <w:rFonts w:ascii="Arial"/>
                <w:sz w:val="21"/>
              </w:rPr>
            </w:pPr>
          </w:p>
        </w:tc>
        <w:tc>
          <w:tcPr>
            <w:tcW w:w="956" w:type="dxa"/>
            <w:vAlign w:val="top"/>
          </w:tcPr>
          <w:p w14:paraId="2F1B6424">
            <w:pPr>
              <w:rPr>
                <w:rFonts w:ascii="Arial"/>
                <w:sz w:val="21"/>
              </w:rPr>
            </w:pPr>
          </w:p>
        </w:tc>
        <w:tc>
          <w:tcPr>
            <w:tcW w:w="961" w:type="dxa"/>
            <w:vAlign w:val="top"/>
          </w:tcPr>
          <w:p w14:paraId="74192DB8">
            <w:pPr>
              <w:rPr>
                <w:rFonts w:ascii="Arial"/>
                <w:sz w:val="21"/>
              </w:rPr>
            </w:pPr>
          </w:p>
        </w:tc>
      </w:tr>
      <w:tr w14:paraId="2CFBE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762E649B">
            <w:pPr>
              <w:rPr>
                <w:rFonts w:ascii="Arial"/>
                <w:sz w:val="21"/>
              </w:rPr>
            </w:pPr>
          </w:p>
        </w:tc>
        <w:tc>
          <w:tcPr>
            <w:tcW w:w="1924" w:type="dxa"/>
            <w:vAlign w:val="top"/>
          </w:tcPr>
          <w:p w14:paraId="57827F93">
            <w:pPr>
              <w:rPr>
                <w:rFonts w:ascii="Arial"/>
                <w:sz w:val="21"/>
              </w:rPr>
            </w:pPr>
          </w:p>
        </w:tc>
        <w:tc>
          <w:tcPr>
            <w:tcW w:w="2377" w:type="dxa"/>
            <w:vAlign w:val="top"/>
          </w:tcPr>
          <w:p w14:paraId="58139988">
            <w:pPr>
              <w:rPr>
                <w:rFonts w:ascii="Arial"/>
                <w:sz w:val="21"/>
              </w:rPr>
            </w:pPr>
          </w:p>
        </w:tc>
        <w:tc>
          <w:tcPr>
            <w:tcW w:w="2377" w:type="dxa"/>
            <w:vAlign w:val="top"/>
          </w:tcPr>
          <w:p w14:paraId="1D102F54">
            <w:pPr>
              <w:rPr>
                <w:rFonts w:ascii="Arial"/>
                <w:sz w:val="21"/>
              </w:rPr>
            </w:pPr>
          </w:p>
        </w:tc>
        <w:tc>
          <w:tcPr>
            <w:tcW w:w="956" w:type="dxa"/>
            <w:vAlign w:val="top"/>
          </w:tcPr>
          <w:p w14:paraId="1A6C5F0D">
            <w:pPr>
              <w:rPr>
                <w:rFonts w:ascii="Arial"/>
                <w:sz w:val="21"/>
              </w:rPr>
            </w:pPr>
          </w:p>
        </w:tc>
        <w:tc>
          <w:tcPr>
            <w:tcW w:w="961" w:type="dxa"/>
            <w:vAlign w:val="top"/>
          </w:tcPr>
          <w:p w14:paraId="2D109400">
            <w:pPr>
              <w:rPr>
                <w:rFonts w:ascii="Arial"/>
                <w:sz w:val="21"/>
              </w:rPr>
            </w:pPr>
          </w:p>
        </w:tc>
      </w:tr>
      <w:tr w14:paraId="3FD71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49766BA2">
            <w:pPr>
              <w:rPr>
                <w:rFonts w:ascii="Arial"/>
                <w:sz w:val="21"/>
              </w:rPr>
            </w:pPr>
          </w:p>
        </w:tc>
        <w:tc>
          <w:tcPr>
            <w:tcW w:w="1924" w:type="dxa"/>
            <w:vAlign w:val="top"/>
          </w:tcPr>
          <w:p w14:paraId="119F3F2E">
            <w:pPr>
              <w:rPr>
                <w:rFonts w:ascii="Arial"/>
                <w:sz w:val="21"/>
              </w:rPr>
            </w:pPr>
          </w:p>
        </w:tc>
        <w:tc>
          <w:tcPr>
            <w:tcW w:w="2377" w:type="dxa"/>
            <w:vAlign w:val="top"/>
          </w:tcPr>
          <w:p w14:paraId="35F7AA3F">
            <w:pPr>
              <w:rPr>
                <w:rFonts w:ascii="Arial"/>
                <w:sz w:val="21"/>
              </w:rPr>
            </w:pPr>
          </w:p>
        </w:tc>
        <w:tc>
          <w:tcPr>
            <w:tcW w:w="2377" w:type="dxa"/>
            <w:vAlign w:val="top"/>
          </w:tcPr>
          <w:p w14:paraId="69A3B534">
            <w:pPr>
              <w:rPr>
                <w:rFonts w:ascii="Arial"/>
                <w:sz w:val="21"/>
              </w:rPr>
            </w:pPr>
          </w:p>
        </w:tc>
        <w:tc>
          <w:tcPr>
            <w:tcW w:w="956" w:type="dxa"/>
            <w:vAlign w:val="top"/>
          </w:tcPr>
          <w:p w14:paraId="7494F7B2">
            <w:pPr>
              <w:rPr>
                <w:rFonts w:ascii="Arial"/>
                <w:sz w:val="21"/>
              </w:rPr>
            </w:pPr>
          </w:p>
        </w:tc>
        <w:tc>
          <w:tcPr>
            <w:tcW w:w="961" w:type="dxa"/>
            <w:vAlign w:val="top"/>
          </w:tcPr>
          <w:p w14:paraId="498A0C7F">
            <w:pPr>
              <w:rPr>
                <w:rFonts w:ascii="Arial"/>
                <w:sz w:val="21"/>
              </w:rPr>
            </w:pPr>
          </w:p>
        </w:tc>
      </w:tr>
      <w:tr w14:paraId="08862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6F7B803A">
            <w:pPr>
              <w:rPr>
                <w:rFonts w:ascii="Arial"/>
                <w:sz w:val="21"/>
              </w:rPr>
            </w:pPr>
          </w:p>
        </w:tc>
        <w:tc>
          <w:tcPr>
            <w:tcW w:w="1924" w:type="dxa"/>
            <w:vAlign w:val="top"/>
          </w:tcPr>
          <w:p w14:paraId="4A5E46FD">
            <w:pPr>
              <w:rPr>
                <w:rFonts w:ascii="Arial"/>
                <w:sz w:val="21"/>
              </w:rPr>
            </w:pPr>
          </w:p>
        </w:tc>
        <w:tc>
          <w:tcPr>
            <w:tcW w:w="2377" w:type="dxa"/>
            <w:vAlign w:val="top"/>
          </w:tcPr>
          <w:p w14:paraId="453CFA71">
            <w:pPr>
              <w:rPr>
                <w:rFonts w:ascii="Arial"/>
                <w:sz w:val="21"/>
              </w:rPr>
            </w:pPr>
          </w:p>
        </w:tc>
        <w:tc>
          <w:tcPr>
            <w:tcW w:w="2377" w:type="dxa"/>
            <w:vAlign w:val="top"/>
          </w:tcPr>
          <w:p w14:paraId="66330C00">
            <w:pPr>
              <w:rPr>
                <w:rFonts w:ascii="Arial"/>
                <w:sz w:val="21"/>
              </w:rPr>
            </w:pPr>
          </w:p>
        </w:tc>
        <w:tc>
          <w:tcPr>
            <w:tcW w:w="956" w:type="dxa"/>
            <w:vAlign w:val="top"/>
          </w:tcPr>
          <w:p w14:paraId="138C07FA">
            <w:pPr>
              <w:rPr>
                <w:rFonts w:ascii="Arial"/>
                <w:sz w:val="21"/>
              </w:rPr>
            </w:pPr>
          </w:p>
        </w:tc>
        <w:tc>
          <w:tcPr>
            <w:tcW w:w="961" w:type="dxa"/>
            <w:vAlign w:val="top"/>
          </w:tcPr>
          <w:p w14:paraId="147D51DF">
            <w:pPr>
              <w:rPr>
                <w:rFonts w:ascii="Arial"/>
                <w:sz w:val="21"/>
              </w:rPr>
            </w:pPr>
          </w:p>
        </w:tc>
      </w:tr>
      <w:tr w14:paraId="5BD12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5BF41BDF">
            <w:pPr>
              <w:rPr>
                <w:rFonts w:ascii="Arial"/>
                <w:sz w:val="21"/>
              </w:rPr>
            </w:pPr>
          </w:p>
        </w:tc>
        <w:tc>
          <w:tcPr>
            <w:tcW w:w="1924" w:type="dxa"/>
            <w:vAlign w:val="top"/>
          </w:tcPr>
          <w:p w14:paraId="56B66714">
            <w:pPr>
              <w:rPr>
                <w:rFonts w:ascii="Arial"/>
                <w:sz w:val="21"/>
              </w:rPr>
            </w:pPr>
          </w:p>
        </w:tc>
        <w:tc>
          <w:tcPr>
            <w:tcW w:w="2377" w:type="dxa"/>
            <w:vAlign w:val="top"/>
          </w:tcPr>
          <w:p w14:paraId="19811A82">
            <w:pPr>
              <w:rPr>
                <w:rFonts w:ascii="Arial"/>
                <w:sz w:val="21"/>
              </w:rPr>
            </w:pPr>
          </w:p>
        </w:tc>
        <w:tc>
          <w:tcPr>
            <w:tcW w:w="2377" w:type="dxa"/>
            <w:vAlign w:val="top"/>
          </w:tcPr>
          <w:p w14:paraId="29122BBC">
            <w:pPr>
              <w:rPr>
                <w:rFonts w:ascii="Arial"/>
                <w:sz w:val="21"/>
              </w:rPr>
            </w:pPr>
          </w:p>
        </w:tc>
        <w:tc>
          <w:tcPr>
            <w:tcW w:w="956" w:type="dxa"/>
            <w:vAlign w:val="top"/>
          </w:tcPr>
          <w:p w14:paraId="60E6F022">
            <w:pPr>
              <w:rPr>
                <w:rFonts w:ascii="Arial"/>
                <w:sz w:val="21"/>
              </w:rPr>
            </w:pPr>
          </w:p>
        </w:tc>
        <w:tc>
          <w:tcPr>
            <w:tcW w:w="961" w:type="dxa"/>
            <w:vAlign w:val="top"/>
          </w:tcPr>
          <w:p w14:paraId="04F87A7F">
            <w:pPr>
              <w:rPr>
                <w:rFonts w:ascii="Arial"/>
                <w:sz w:val="21"/>
              </w:rPr>
            </w:pPr>
          </w:p>
        </w:tc>
      </w:tr>
      <w:tr w14:paraId="69695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1C11B21B">
            <w:pPr>
              <w:rPr>
                <w:rFonts w:ascii="Arial"/>
                <w:sz w:val="21"/>
              </w:rPr>
            </w:pPr>
          </w:p>
        </w:tc>
        <w:tc>
          <w:tcPr>
            <w:tcW w:w="1924" w:type="dxa"/>
            <w:vAlign w:val="top"/>
          </w:tcPr>
          <w:p w14:paraId="483A011F">
            <w:pPr>
              <w:rPr>
                <w:rFonts w:ascii="Arial"/>
                <w:sz w:val="21"/>
              </w:rPr>
            </w:pPr>
          </w:p>
        </w:tc>
        <w:tc>
          <w:tcPr>
            <w:tcW w:w="2377" w:type="dxa"/>
            <w:vAlign w:val="top"/>
          </w:tcPr>
          <w:p w14:paraId="7EB8A774">
            <w:pPr>
              <w:rPr>
                <w:rFonts w:ascii="Arial"/>
                <w:sz w:val="21"/>
              </w:rPr>
            </w:pPr>
          </w:p>
        </w:tc>
        <w:tc>
          <w:tcPr>
            <w:tcW w:w="2377" w:type="dxa"/>
            <w:vAlign w:val="top"/>
          </w:tcPr>
          <w:p w14:paraId="268F2152">
            <w:pPr>
              <w:rPr>
                <w:rFonts w:ascii="Arial"/>
                <w:sz w:val="21"/>
              </w:rPr>
            </w:pPr>
          </w:p>
        </w:tc>
        <w:tc>
          <w:tcPr>
            <w:tcW w:w="956" w:type="dxa"/>
            <w:vAlign w:val="top"/>
          </w:tcPr>
          <w:p w14:paraId="4C4E83A8">
            <w:pPr>
              <w:rPr>
                <w:rFonts w:ascii="Arial"/>
                <w:sz w:val="21"/>
              </w:rPr>
            </w:pPr>
          </w:p>
        </w:tc>
        <w:tc>
          <w:tcPr>
            <w:tcW w:w="961" w:type="dxa"/>
            <w:vAlign w:val="top"/>
          </w:tcPr>
          <w:p w14:paraId="72C04720">
            <w:pPr>
              <w:rPr>
                <w:rFonts w:ascii="Arial"/>
                <w:sz w:val="21"/>
              </w:rPr>
            </w:pPr>
          </w:p>
        </w:tc>
      </w:tr>
      <w:tr w14:paraId="1456C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624BFFCE">
            <w:pPr>
              <w:rPr>
                <w:rFonts w:ascii="Arial"/>
                <w:sz w:val="21"/>
              </w:rPr>
            </w:pPr>
          </w:p>
        </w:tc>
        <w:tc>
          <w:tcPr>
            <w:tcW w:w="1924" w:type="dxa"/>
            <w:vAlign w:val="top"/>
          </w:tcPr>
          <w:p w14:paraId="13DFA1B0">
            <w:pPr>
              <w:rPr>
                <w:rFonts w:ascii="Arial"/>
                <w:sz w:val="21"/>
              </w:rPr>
            </w:pPr>
          </w:p>
        </w:tc>
        <w:tc>
          <w:tcPr>
            <w:tcW w:w="2377" w:type="dxa"/>
            <w:vAlign w:val="top"/>
          </w:tcPr>
          <w:p w14:paraId="13C61C47">
            <w:pPr>
              <w:rPr>
                <w:rFonts w:ascii="Arial"/>
                <w:sz w:val="21"/>
              </w:rPr>
            </w:pPr>
          </w:p>
        </w:tc>
        <w:tc>
          <w:tcPr>
            <w:tcW w:w="2377" w:type="dxa"/>
            <w:vAlign w:val="top"/>
          </w:tcPr>
          <w:p w14:paraId="48A653F5">
            <w:pPr>
              <w:rPr>
                <w:rFonts w:ascii="Arial"/>
                <w:sz w:val="21"/>
              </w:rPr>
            </w:pPr>
          </w:p>
        </w:tc>
        <w:tc>
          <w:tcPr>
            <w:tcW w:w="956" w:type="dxa"/>
            <w:vAlign w:val="top"/>
          </w:tcPr>
          <w:p w14:paraId="01CBE153">
            <w:pPr>
              <w:rPr>
                <w:rFonts w:ascii="Arial"/>
                <w:sz w:val="21"/>
              </w:rPr>
            </w:pPr>
          </w:p>
        </w:tc>
        <w:tc>
          <w:tcPr>
            <w:tcW w:w="961" w:type="dxa"/>
            <w:vAlign w:val="top"/>
          </w:tcPr>
          <w:p w14:paraId="6533ABE8">
            <w:pPr>
              <w:rPr>
                <w:rFonts w:ascii="Arial"/>
                <w:sz w:val="21"/>
              </w:rPr>
            </w:pPr>
          </w:p>
        </w:tc>
      </w:tr>
      <w:tr w14:paraId="1E885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6A1E1F0E">
            <w:pPr>
              <w:rPr>
                <w:rFonts w:ascii="Arial"/>
                <w:sz w:val="21"/>
              </w:rPr>
            </w:pPr>
          </w:p>
        </w:tc>
        <w:tc>
          <w:tcPr>
            <w:tcW w:w="1924" w:type="dxa"/>
            <w:vAlign w:val="top"/>
          </w:tcPr>
          <w:p w14:paraId="7B961E8F">
            <w:pPr>
              <w:rPr>
                <w:rFonts w:ascii="Arial"/>
                <w:sz w:val="21"/>
              </w:rPr>
            </w:pPr>
          </w:p>
        </w:tc>
        <w:tc>
          <w:tcPr>
            <w:tcW w:w="2377" w:type="dxa"/>
            <w:vAlign w:val="top"/>
          </w:tcPr>
          <w:p w14:paraId="3E2CF42F">
            <w:pPr>
              <w:rPr>
                <w:rFonts w:ascii="Arial"/>
                <w:sz w:val="21"/>
              </w:rPr>
            </w:pPr>
          </w:p>
        </w:tc>
        <w:tc>
          <w:tcPr>
            <w:tcW w:w="2377" w:type="dxa"/>
            <w:vAlign w:val="top"/>
          </w:tcPr>
          <w:p w14:paraId="511119F6">
            <w:pPr>
              <w:rPr>
                <w:rFonts w:ascii="Arial"/>
                <w:sz w:val="21"/>
              </w:rPr>
            </w:pPr>
          </w:p>
        </w:tc>
        <w:tc>
          <w:tcPr>
            <w:tcW w:w="956" w:type="dxa"/>
            <w:vAlign w:val="top"/>
          </w:tcPr>
          <w:p w14:paraId="1DD2D952">
            <w:pPr>
              <w:rPr>
                <w:rFonts w:ascii="Arial"/>
                <w:sz w:val="21"/>
              </w:rPr>
            </w:pPr>
          </w:p>
        </w:tc>
        <w:tc>
          <w:tcPr>
            <w:tcW w:w="961" w:type="dxa"/>
            <w:vAlign w:val="top"/>
          </w:tcPr>
          <w:p w14:paraId="7F3E3840">
            <w:pPr>
              <w:rPr>
                <w:rFonts w:ascii="Arial"/>
                <w:sz w:val="21"/>
              </w:rPr>
            </w:pPr>
          </w:p>
        </w:tc>
      </w:tr>
      <w:tr w14:paraId="3355D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0F96BD0E">
            <w:pPr>
              <w:rPr>
                <w:rFonts w:ascii="Arial"/>
                <w:sz w:val="21"/>
              </w:rPr>
            </w:pPr>
          </w:p>
        </w:tc>
        <w:tc>
          <w:tcPr>
            <w:tcW w:w="1924" w:type="dxa"/>
            <w:vAlign w:val="top"/>
          </w:tcPr>
          <w:p w14:paraId="07FA677F">
            <w:pPr>
              <w:rPr>
                <w:rFonts w:ascii="Arial"/>
                <w:sz w:val="21"/>
              </w:rPr>
            </w:pPr>
          </w:p>
        </w:tc>
        <w:tc>
          <w:tcPr>
            <w:tcW w:w="2377" w:type="dxa"/>
            <w:vAlign w:val="top"/>
          </w:tcPr>
          <w:p w14:paraId="129E3DE9">
            <w:pPr>
              <w:rPr>
                <w:rFonts w:ascii="Arial"/>
                <w:sz w:val="21"/>
              </w:rPr>
            </w:pPr>
          </w:p>
        </w:tc>
        <w:tc>
          <w:tcPr>
            <w:tcW w:w="2377" w:type="dxa"/>
            <w:vAlign w:val="top"/>
          </w:tcPr>
          <w:p w14:paraId="26DC0D23">
            <w:pPr>
              <w:rPr>
                <w:rFonts w:ascii="Arial"/>
                <w:sz w:val="21"/>
              </w:rPr>
            </w:pPr>
          </w:p>
        </w:tc>
        <w:tc>
          <w:tcPr>
            <w:tcW w:w="956" w:type="dxa"/>
            <w:vAlign w:val="top"/>
          </w:tcPr>
          <w:p w14:paraId="262C9797">
            <w:pPr>
              <w:rPr>
                <w:rFonts w:ascii="Arial"/>
                <w:sz w:val="21"/>
              </w:rPr>
            </w:pPr>
          </w:p>
        </w:tc>
        <w:tc>
          <w:tcPr>
            <w:tcW w:w="961" w:type="dxa"/>
            <w:vAlign w:val="top"/>
          </w:tcPr>
          <w:p w14:paraId="52A62631">
            <w:pPr>
              <w:rPr>
                <w:rFonts w:ascii="Arial"/>
                <w:sz w:val="21"/>
              </w:rPr>
            </w:pPr>
          </w:p>
        </w:tc>
      </w:tr>
      <w:tr w14:paraId="4242A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62128BAF">
            <w:pPr>
              <w:rPr>
                <w:rFonts w:ascii="Arial"/>
                <w:sz w:val="21"/>
              </w:rPr>
            </w:pPr>
          </w:p>
        </w:tc>
        <w:tc>
          <w:tcPr>
            <w:tcW w:w="1924" w:type="dxa"/>
            <w:vAlign w:val="top"/>
          </w:tcPr>
          <w:p w14:paraId="344D116C">
            <w:pPr>
              <w:rPr>
                <w:rFonts w:ascii="Arial"/>
                <w:sz w:val="21"/>
              </w:rPr>
            </w:pPr>
          </w:p>
        </w:tc>
        <w:tc>
          <w:tcPr>
            <w:tcW w:w="2377" w:type="dxa"/>
            <w:vAlign w:val="top"/>
          </w:tcPr>
          <w:p w14:paraId="644DE26B">
            <w:pPr>
              <w:rPr>
                <w:rFonts w:ascii="Arial"/>
                <w:sz w:val="21"/>
              </w:rPr>
            </w:pPr>
          </w:p>
        </w:tc>
        <w:tc>
          <w:tcPr>
            <w:tcW w:w="2377" w:type="dxa"/>
            <w:vAlign w:val="top"/>
          </w:tcPr>
          <w:p w14:paraId="7A9EE74E">
            <w:pPr>
              <w:rPr>
                <w:rFonts w:ascii="Arial"/>
                <w:sz w:val="21"/>
              </w:rPr>
            </w:pPr>
          </w:p>
        </w:tc>
        <w:tc>
          <w:tcPr>
            <w:tcW w:w="956" w:type="dxa"/>
            <w:vAlign w:val="top"/>
          </w:tcPr>
          <w:p w14:paraId="2C4BBC87">
            <w:pPr>
              <w:rPr>
                <w:rFonts w:ascii="Arial"/>
                <w:sz w:val="21"/>
              </w:rPr>
            </w:pPr>
          </w:p>
        </w:tc>
        <w:tc>
          <w:tcPr>
            <w:tcW w:w="961" w:type="dxa"/>
            <w:vAlign w:val="top"/>
          </w:tcPr>
          <w:p w14:paraId="5ED97A01">
            <w:pPr>
              <w:rPr>
                <w:rFonts w:ascii="Arial"/>
                <w:sz w:val="21"/>
              </w:rPr>
            </w:pPr>
          </w:p>
        </w:tc>
      </w:tr>
      <w:tr w14:paraId="4AA1C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7F8DAAE7">
            <w:pPr>
              <w:rPr>
                <w:rFonts w:ascii="Arial"/>
                <w:sz w:val="21"/>
              </w:rPr>
            </w:pPr>
          </w:p>
        </w:tc>
        <w:tc>
          <w:tcPr>
            <w:tcW w:w="1924" w:type="dxa"/>
            <w:vAlign w:val="top"/>
          </w:tcPr>
          <w:p w14:paraId="712F03CD">
            <w:pPr>
              <w:rPr>
                <w:rFonts w:ascii="Arial"/>
                <w:sz w:val="21"/>
              </w:rPr>
            </w:pPr>
          </w:p>
        </w:tc>
        <w:tc>
          <w:tcPr>
            <w:tcW w:w="2377" w:type="dxa"/>
            <w:vAlign w:val="top"/>
          </w:tcPr>
          <w:p w14:paraId="783EE6CB">
            <w:pPr>
              <w:rPr>
                <w:rFonts w:ascii="Arial"/>
                <w:sz w:val="21"/>
              </w:rPr>
            </w:pPr>
          </w:p>
        </w:tc>
        <w:tc>
          <w:tcPr>
            <w:tcW w:w="2377" w:type="dxa"/>
            <w:vAlign w:val="top"/>
          </w:tcPr>
          <w:p w14:paraId="19EE73DE">
            <w:pPr>
              <w:rPr>
                <w:rFonts w:ascii="Arial"/>
                <w:sz w:val="21"/>
              </w:rPr>
            </w:pPr>
          </w:p>
        </w:tc>
        <w:tc>
          <w:tcPr>
            <w:tcW w:w="956" w:type="dxa"/>
            <w:vAlign w:val="top"/>
          </w:tcPr>
          <w:p w14:paraId="06FDDF6E">
            <w:pPr>
              <w:rPr>
                <w:rFonts w:ascii="Arial"/>
                <w:sz w:val="21"/>
              </w:rPr>
            </w:pPr>
          </w:p>
        </w:tc>
        <w:tc>
          <w:tcPr>
            <w:tcW w:w="961" w:type="dxa"/>
            <w:vAlign w:val="top"/>
          </w:tcPr>
          <w:p w14:paraId="083DE97E">
            <w:pPr>
              <w:rPr>
                <w:rFonts w:ascii="Arial"/>
                <w:sz w:val="21"/>
              </w:rPr>
            </w:pPr>
          </w:p>
        </w:tc>
      </w:tr>
      <w:tr w14:paraId="327EF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62C51634">
            <w:pPr>
              <w:rPr>
                <w:rFonts w:ascii="Arial"/>
                <w:sz w:val="21"/>
              </w:rPr>
            </w:pPr>
          </w:p>
        </w:tc>
        <w:tc>
          <w:tcPr>
            <w:tcW w:w="1924" w:type="dxa"/>
            <w:vAlign w:val="top"/>
          </w:tcPr>
          <w:p w14:paraId="0202EC52">
            <w:pPr>
              <w:rPr>
                <w:rFonts w:ascii="Arial"/>
                <w:sz w:val="21"/>
              </w:rPr>
            </w:pPr>
          </w:p>
        </w:tc>
        <w:tc>
          <w:tcPr>
            <w:tcW w:w="2377" w:type="dxa"/>
            <w:vAlign w:val="top"/>
          </w:tcPr>
          <w:p w14:paraId="35AFCE2D">
            <w:pPr>
              <w:rPr>
                <w:rFonts w:ascii="Arial"/>
                <w:sz w:val="21"/>
              </w:rPr>
            </w:pPr>
          </w:p>
        </w:tc>
        <w:tc>
          <w:tcPr>
            <w:tcW w:w="2377" w:type="dxa"/>
            <w:vAlign w:val="top"/>
          </w:tcPr>
          <w:p w14:paraId="7499734B">
            <w:pPr>
              <w:rPr>
                <w:rFonts w:ascii="Arial"/>
                <w:sz w:val="21"/>
              </w:rPr>
            </w:pPr>
          </w:p>
        </w:tc>
        <w:tc>
          <w:tcPr>
            <w:tcW w:w="956" w:type="dxa"/>
            <w:vAlign w:val="top"/>
          </w:tcPr>
          <w:p w14:paraId="6AF65A5E">
            <w:pPr>
              <w:rPr>
                <w:rFonts w:ascii="Arial"/>
                <w:sz w:val="21"/>
              </w:rPr>
            </w:pPr>
          </w:p>
        </w:tc>
        <w:tc>
          <w:tcPr>
            <w:tcW w:w="961" w:type="dxa"/>
            <w:vAlign w:val="top"/>
          </w:tcPr>
          <w:p w14:paraId="23A6C688">
            <w:pPr>
              <w:rPr>
                <w:rFonts w:ascii="Arial"/>
                <w:sz w:val="21"/>
              </w:rPr>
            </w:pPr>
          </w:p>
        </w:tc>
      </w:tr>
      <w:tr w14:paraId="316EA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899" w:type="dxa"/>
            <w:vAlign w:val="top"/>
          </w:tcPr>
          <w:p w14:paraId="2BF0FA8E">
            <w:pPr>
              <w:rPr>
                <w:rFonts w:ascii="Arial"/>
                <w:sz w:val="21"/>
              </w:rPr>
            </w:pPr>
          </w:p>
        </w:tc>
        <w:tc>
          <w:tcPr>
            <w:tcW w:w="1924" w:type="dxa"/>
            <w:vAlign w:val="top"/>
          </w:tcPr>
          <w:p w14:paraId="27B766AA">
            <w:pPr>
              <w:rPr>
                <w:rFonts w:ascii="Arial"/>
                <w:sz w:val="21"/>
              </w:rPr>
            </w:pPr>
          </w:p>
        </w:tc>
        <w:tc>
          <w:tcPr>
            <w:tcW w:w="2377" w:type="dxa"/>
            <w:vAlign w:val="top"/>
          </w:tcPr>
          <w:p w14:paraId="2327DA26">
            <w:pPr>
              <w:rPr>
                <w:rFonts w:ascii="Arial"/>
                <w:sz w:val="21"/>
              </w:rPr>
            </w:pPr>
          </w:p>
        </w:tc>
        <w:tc>
          <w:tcPr>
            <w:tcW w:w="2377" w:type="dxa"/>
            <w:vAlign w:val="top"/>
          </w:tcPr>
          <w:p w14:paraId="72F256D4">
            <w:pPr>
              <w:rPr>
                <w:rFonts w:ascii="Arial"/>
                <w:sz w:val="21"/>
              </w:rPr>
            </w:pPr>
          </w:p>
        </w:tc>
        <w:tc>
          <w:tcPr>
            <w:tcW w:w="956" w:type="dxa"/>
            <w:vAlign w:val="top"/>
          </w:tcPr>
          <w:p w14:paraId="45A9FF6B">
            <w:pPr>
              <w:rPr>
                <w:rFonts w:ascii="Arial"/>
                <w:sz w:val="21"/>
              </w:rPr>
            </w:pPr>
          </w:p>
        </w:tc>
        <w:tc>
          <w:tcPr>
            <w:tcW w:w="961" w:type="dxa"/>
            <w:vAlign w:val="top"/>
          </w:tcPr>
          <w:p w14:paraId="3745E23A">
            <w:pPr>
              <w:rPr>
                <w:rFonts w:ascii="Arial"/>
                <w:sz w:val="21"/>
              </w:rPr>
            </w:pPr>
          </w:p>
        </w:tc>
      </w:tr>
    </w:tbl>
    <w:p w14:paraId="4B374D82">
      <w:pPr>
        <w:pStyle w:val="7"/>
        <w:spacing w:line="273" w:lineRule="auto"/>
      </w:pPr>
    </w:p>
    <w:p w14:paraId="46BF0726">
      <w:pPr>
        <w:pStyle w:val="7"/>
        <w:spacing w:line="273" w:lineRule="auto"/>
      </w:pPr>
    </w:p>
    <w:p w14:paraId="1A624195">
      <w:pPr>
        <w:pStyle w:val="7"/>
        <w:spacing w:line="274" w:lineRule="auto"/>
      </w:pPr>
    </w:p>
    <w:p w14:paraId="1BDB4B40">
      <w:pPr>
        <w:spacing w:before="103" w:line="184" w:lineRule="auto"/>
        <w:ind w:left="423"/>
        <w:rPr>
          <w:rFonts w:ascii="微软雅黑" w:hAnsi="微软雅黑" w:eastAsia="微软雅黑" w:cs="微软雅黑"/>
          <w:sz w:val="24"/>
          <w:szCs w:val="24"/>
        </w:rPr>
      </w:pPr>
      <w:r>
        <w:rPr>
          <w:rFonts w:ascii="微软雅黑" w:hAnsi="微软雅黑" w:eastAsia="微软雅黑" w:cs="微软雅黑"/>
          <w:spacing w:val="-3"/>
          <w:sz w:val="24"/>
          <w:szCs w:val="24"/>
        </w:rPr>
        <w:t>法定代表人或其委托代理人（签字或盖章</w:t>
      </w:r>
      <w:r>
        <w:rPr>
          <w:rFonts w:ascii="微软雅黑" w:hAnsi="微软雅黑" w:eastAsia="微软雅黑" w:cs="微软雅黑"/>
          <w:spacing w:val="3"/>
          <w:sz w:val="24"/>
          <w:szCs w:val="24"/>
        </w:rPr>
        <w:t>）：</w:t>
      </w:r>
    </w:p>
    <w:p w14:paraId="4B990456">
      <w:pPr>
        <w:spacing w:before="95" w:line="184" w:lineRule="auto"/>
        <w:ind w:left="420"/>
        <w:rPr>
          <w:rFonts w:ascii="微软雅黑" w:hAnsi="微软雅黑" w:eastAsia="微软雅黑" w:cs="微软雅黑"/>
          <w:sz w:val="24"/>
          <w:szCs w:val="24"/>
        </w:rPr>
      </w:pPr>
      <w:r>
        <w:rPr>
          <w:rFonts w:ascii="微软雅黑" w:hAnsi="微软雅黑" w:eastAsia="微软雅黑" w:cs="微软雅黑"/>
          <w:spacing w:val="-1"/>
          <w:sz w:val="24"/>
          <w:szCs w:val="24"/>
        </w:rPr>
        <w:t>供应商（公章）:</w:t>
      </w:r>
    </w:p>
    <w:p w14:paraId="570373D0">
      <w:pPr>
        <w:spacing w:line="184" w:lineRule="auto"/>
        <w:rPr>
          <w:rFonts w:ascii="微软雅黑" w:hAnsi="微软雅黑" w:eastAsia="微软雅黑" w:cs="微软雅黑"/>
          <w:sz w:val="24"/>
          <w:szCs w:val="24"/>
        </w:rPr>
        <w:sectPr>
          <w:footerReference r:id="rId33" w:type="default"/>
          <w:pgSz w:w="11905" w:h="16839"/>
          <w:pgMar w:top="1431" w:right="1200" w:bottom="1197" w:left="1200" w:header="0" w:footer="963" w:gutter="0"/>
          <w:pgNumType w:fmt="decimal"/>
          <w:cols w:space="720" w:num="1"/>
        </w:sectPr>
      </w:pPr>
    </w:p>
    <w:p w14:paraId="0236B96F">
      <w:pPr>
        <w:pStyle w:val="7"/>
      </w:pPr>
    </w:p>
    <w:p w14:paraId="61C3BE0D"/>
    <w:p w14:paraId="79DB0B4B">
      <w:pPr>
        <w:bidi w:val="0"/>
        <w:rPr>
          <w:rFonts w:ascii="Arial" w:hAnsi="Arial" w:eastAsia="Arial" w:cs="Arial"/>
          <w:snapToGrid w:val="0"/>
          <w:color w:val="000000"/>
          <w:kern w:val="0"/>
          <w:sz w:val="21"/>
          <w:szCs w:val="21"/>
          <w:lang w:val="en-US" w:eastAsia="en-US" w:bidi="ar-SA"/>
        </w:rPr>
      </w:pPr>
    </w:p>
    <w:p w14:paraId="463461B9">
      <w:pPr>
        <w:spacing w:before="103" w:line="229" w:lineRule="auto"/>
        <w:rPr>
          <w:rFonts w:ascii="微软雅黑" w:hAnsi="微软雅黑" w:eastAsia="微软雅黑" w:cs="微软雅黑"/>
          <w:sz w:val="24"/>
          <w:szCs w:val="24"/>
        </w:rPr>
      </w:pPr>
      <w:bookmarkStart w:id="77" w:name="bookmark23"/>
      <w:bookmarkEnd w:id="77"/>
      <w:r>
        <w:rPr>
          <w:rFonts w:ascii="微软雅黑" w:hAnsi="微软雅黑" w:eastAsia="微软雅黑" w:cs="微软雅黑"/>
          <w:b/>
          <w:bCs/>
          <w:spacing w:val="-2"/>
          <w:sz w:val="24"/>
          <w:szCs w:val="24"/>
        </w:rPr>
        <w:t>5、</w:t>
      </w:r>
      <w:r>
        <w:rPr>
          <w:rFonts w:ascii="微软雅黑" w:hAnsi="微软雅黑" w:eastAsia="微软雅黑" w:cs="微软雅黑"/>
          <w:b/>
          <w:bCs/>
          <w:spacing w:val="53"/>
          <w:sz w:val="24"/>
          <w:szCs w:val="24"/>
        </w:rPr>
        <w:t xml:space="preserve"> </w:t>
      </w:r>
      <w:r>
        <w:rPr>
          <w:rFonts w:ascii="微软雅黑" w:hAnsi="微软雅黑" w:eastAsia="微软雅黑" w:cs="微软雅黑"/>
          <w:b/>
          <w:bCs/>
          <w:spacing w:val="-2"/>
          <w:sz w:val="24"/>
          <w:szCs w:val="24"/>
        </w:rPr>
        <w:t>残疾人福利性单位声明函</w:t>
      </w:r>
    </w:p>
    <w:p w14:paraId="12F495A2">
      <w:pPr>
        <w:pStyle w:val="7"/>
        <w:spacing w:line="387" w:lineRule="auto"/>
      </w:pPr>
    </w:p>
    <w:p w14:paraId="2FC61379">
      <w:pPr>
        <w:spacing w:before="103" w:line="231" w:lineRule="auto"/>
        <w:ind w:firstLine="568"/>
        <w:jc w:val="both"/>
        <w:rPr>
          <w:rFonts w:ascii="微软雅黑" w:hAnsi="微软雅黑" w:eastAsia="微软雅黑" w:cs="微软雅黑"/>
          <w:sz w:val="24"/>
          <w:szCs w:val="24"/>
        </w:rPr>
      </w:pPr>
      <w:r>
        <w:rPr>
          <w:rFonts w:ascii="微软雅黑" w:hAnsi="微软雅黑" w:eastAsia="微软雅黑" w:cs="微软雅黑"/>
          <w:sz w:val="24"/>
          <w:szCs w:val="24"/>
        </w:rPr>
        <w:t>本单位郑重声明，根据《财政部  民政部  中国残疾人联合会关于促进残疾人就业政府采</w:t>
      </w:r>
      <w:r>
        <w:rPr>
          <w:rFonts w:ascii="微软雅黑" w:hAnsi="微软雅黑" w:eastAsia="微软雅黑" w:cs="微软雅黑"/>
          <w:spacing w:val="8"/>
          <w:sz w:val="24"/>
          <w:szCs w:val="24"/>
        </w:rPr>
        <w:t xml:space="preserve"> </w:t>
      </w:r>
      <w:r>
        <w:rPr>
          <w:rFonts w:ascii="微软雅黑" w:hAnsi="微软雅黑" w:eastAsia="微软雅黑" w:cs="微软雅黑"/>
          <w:sz w:val="24"/>
          <w:szCs w:val="24"/>
        </w:rPr>
        <w:t>购政策的通知》（财库〔2017〕</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 xml:space="preserve">141 号）的规定，本单位为符合条件的残疾人福利性单位， </w:t>
      </w:r>
      <w:r>
        <w:rPr>
          <w:rFonts w:ascii="微软雅黑" w:hAnsi="微软雅黑" w:eastAsia="微软雅黑" w:cs="微软雅黑"/>
          <w:spacing w:val="1"/>
          <w:sz w:val="24"/>
          <w:szCs w:val="24"/>
        </w:rPr>
        <w:t>且本单位参加______单位的______项目采购活动提供本单位的服务，或者提供其他残疾人福利</w:t>
      </w:r>
      <w:r>
        <w:rPr>
          <w:rFonts w:ascii="微软雅黑" w:hAnsi="微软雅黑" w:eastAsia="微软雅黑" w:cs="微软雅黑"/>
          <w:spacing w:val="3"/>
          <w:sz w:val="24"/>
          <w:szCs w:val="24"/>
        </w:rPr>
        <w:t xml:space="preserve"> </w:t>
      </w:r>
      <w:r>
        <w:rPr>
          <w:rFonts w:ascii="微软雅黑" w:hAnsi="微软雅黑" w:eastAsia="微软雅黑" w:cs="微软雅黑"/>
          <w:spacing w:val="-2"/>
          <w:sz w:val="24"/>
          <w:szCs w:val="24"/>
        </w:rPr>
        <w:t>性单位的服务（不包括使用非残疾人福利性单位注册商标的服务）。</w:t>
      </w:r>
    </w:p>
    <w:p w14:paraId="6461CE27">
      <w:pPr>
        <w:spacing w:before="12" w:line="183" w:lineRule="auto"/>
        <w:ind w:left="540"/>
        <w:rPr>
          <w:rFonts w:ascii="微软雅黑" w:hAnsi="微软雅黑" w:eastAsia="微软雅黑" w:cs="微软雅黑"/>
          <w:sz w:val="24"/>
          <w:szCs w:val="24"/>
        </w:rPr>
      </w:pPr>
      <w:r>
        <w:rPr>
          <w:rFonts w:ascii="微软雅黑" w:hAnsi="微软雅黑" w:eastAsia="微软雅黑" w:cs="微软雅黑"/>
          <w:spacing w:val="-2"/>
          <w:sz w:val="24"/>
          <w:szCs w:val="24"/>
        </w:rPr>
        <w:t>本单位对上述声明的真实性负责。如有虚假，将依法承担相应责任。</w:t>
      </w:r>
    </w:p>
    <w:p w14:paraId="3A323877">
      <w:pPr>
        <w:pStyle w:val="7"/>
        <w:spacing w:line="258" w:lineRule="auto"/>
      </w:pPr>
    </w:p>
    <w:p w14:paraId="11F36735">
      <w:pPr>
        <w:pStyle w:val="7"/>
        <w:spacing w:line="259" w:lineRule="auto"/>
      </w:pPr>
    </w:p>
    <w:p w14:paraId="4805CE49">
      <w:pPr>
        <w:pStyle w:val="7"/>
        <w:spacing w:line="259" w:lineRule="auto"/>
      </w:pPr>
    </w:p>
    <w:p w14:paraId="536204ED">
      <w:pPr>
        <w:spacing w:before="103" w:line="184" w:lineRule="auto"/>
        <w:ind w:left="3354"/>
        <w:rPr>
          <w:rFonts w:ascii="微软雅黑" w:hAnsi="微软雅黑" w:eastAsia="微软雅黑" w:cs="微软雅黑"/>
          <w:sz w:val="24"/>
          <w:szCs w:val="24"/>
        </w:rPr>
      </w:pPr>
      <w:r>
        <w:rPr>
          <w:rFonts w:ascii="微软雅黑" w:hAnsi="微软雅黑" w:eastAsia="微软雅黑" w:cs="微软雅黑"/>
          <w:spacing w:val="-4"/>
          <w:sz w:val="24"/>
          <w:szCs w:val="24"/>
        </w:rPr>
        <w:t>残疾人福利性单位名称（公章</w:t>
      </w:r>
      <w:r>
        <w:rPr>
          <w:rFonts w:ascii="微软雅黑" w:hAnsi="微软雅黑" w:eastAsia="微软雅黑" w:cs="微软雅黑"/>
          <w:spacing w:val="2"/>
          <w:sz w:val="24"/>
          <w:szCs w:val="24"/>
        </w:rPr>
        <w:t>）：</w:t>
      </w:r>
    </w:p>
    <w:p w14:paraId="658597F2">
      <w:pPr>
        <w:tabs>
          <w:tab w:val="left" w:pos="5715"/>
        </w:tabs>
        <w:spacing w:before="91" w:line="180" w:lineRule="auto"/>
        <w:ind w:left="3879"/>
        <w:rPr>
          <w:rFonts w:ascii="微软雅黑" w:hAnsi="微软雅黑" w:eastAsia="微软雅黑" w:cs="微软雅黑"/>
          <w:sz w:val="24"/>
          <w:szCs w:val="24"/>
        </w:rPr>
      </w:pPr>
      <w:r>
        <w:rPr>
          <w:rFonts w:ascii="微软雅黑" w:hAnsi="微软雅黑" w:eastAsia="微软雅黑" w:cs="微软雅黑"/>
          <w:sz w:val="24"/>
          <w:szCs w:val="24"/>
        </w:rPr>
        <w:tab/>
      </w:r>
      <w:r>
        <w:rPr>
          <w:rFonts w:ascii="微软雅黑" w:hAnsi="微软雅黑" w:eastAsia="微软雅黑" w:cs="微软雅黑"/>
          <w:spacing w:val="-21"/>
          <w:sz w:val="24"/>
          <w:szCs w:val="24"/>
        </w:rPr>
        <w:t>日</w:t>
      </w:r>
      <w:r>
        <w:rPr>
          <w:rFonts w:ascii="微软雅黑" w:hAnsi="微软雅黑" w:eastAsia="微软雅黑" w:cs="微软雅黑"/>
          <w:spacing w:val="10"/>
          <w:sz w:val="24"/>
          <w:szCs w:val="24"/>
        </w:rPr>
        <w:t xml:space="preserve">   </w:t>
      </w:r>
      <w:r>
        <w:rPr>
          <w:rFonts w:ascii="微软雅黑" w:hAnsi="微软雅黑" w:eastAsia="微软雅黑" w:cs="微软雅黑"/>
          <w:spacing w:val="-21"/>
          <w:sz w:val="24"/>
          <w:szCs w:val="24"/>
        </w:rPr>
        <w:t>期：</w:t>
      </w:r>
    </w:p>
    <w:p w14:paraId="17DC4BDE">
      <w:pPr>
        <w:pStyle w:val="7"/>
        <w:spacing w:line="268" w:lineRule="auto"/>
      </w:pPr>
    </w:p>
    <w:p w14:paraId="6433A765">
      <w:pPr>
        <w:pStyle w:val="7"/>
        <w:spacing w:line="268" w:lineRule="auto"/>
      </w:pPr>
    </w:p>
    <w:p w14:paraId="4C16D65D">
      <w:pPr>
        <w:pStyle w:val="7"/>
        <w:spacing w:line="268" w:lineRule="auto"/>
      </w:pPr>
    </w:p>
    <w:p w14:paraId="19447BC4">
      <w:pPr>
        <w:pStyle w:val="7"/>
        <w:spacing w:line="268" w:lineRule="auto"/>
      </w:pPr>
    </w:p>
    <w:p w14:paraId="08321CCC">
      <w:pPr>
        <w:pStyle w:val="7"/>
        <w:spacing w:line="269" w:lineRule="auto"/>
      </w:pPr>
    </w:p>
    <w:p w14:paraId="58C86390">
      <w:pPr>
        <w:pStyle w:val="7"/>
        <w:spacing w:line="269" w:lineRule="auto"/>
      </w:pPr>
    </w:p>
    <w:p w14:paraId="2971E7DC">
      <w:pPr>
        <w:spacing w:before="103" w:line="183" w:lineRule="auto"/>
        <w:ind w:left="550"/>
        <w:rPr>
          <w:rFonts w:ascii="微软雅黑" w:hAnsi="微软雅黑" w:eastAsia="微软雅黑" w:cs="微软雅黑"/>
          <w:sz w:val="24"/>
          <w:szCs w:val="24"/>
        </w:rPr>
      </w:pPr>
      <w:bookmarkStart w:id="78" w:name="bookmark24"/>
      <w:bookmarkEnd w:id="78"/>
      <w:r>
        <w:rPr>
          <w:rFonts w:ascii="微软雅黑" w:hAnsi="微软雅黑" w:eastAsia="微软雅黑" w:cs="微软雅黑"/>
          <w:b/>
          <w:bCs/>
          <w:spacing w:val="-1"/>
          <w:sz w:val="24"/>
          <w:szCs w:val="24"/>
        </w:rPr>
        <w:t>6、供应商关联单位的说明</w:t>
      </w:r>
    </w:p>
    <w:p w14:paraId="00402645">
      <w:pPr>
        <w:pStyle w:val="7"/>
        <w:spacing w:line="403" w:lineRule="auto"/>
      </w:pPr>
    </w:p>
    <w:p w14:paraId="304D46E7">
      <w:pPr>
        <w:spacing w:before="104" w:line="183" w:lineRule="auto"/>
        <w:ind w:left="480"/>
        <w:rPr>
          <w:rFonts w:ascii="微软雅黑" w:hAnsi="微软雅黑" w:eastAsia="微软雅黑" w:cs="微软雅黑"/>
          <w:sz w:val="24"/>
          <w:szCs w:val="24"/>
        </w:rPr>
      </w:pPr>
      <w:r>
        <w:rPr>
          <w:rFonts w:ascii="微软雅黑" w:hAnsi="微软雅黑" w:eastAsia="微软雅黑" w:cs="微软雅黑"/>
          <w:spacing w:val="-2"/>
          <w:sz w:val="24"/>
          <w:szCs w:val="24"/>
        </w:rPr>
        <w:t>说明：供应商应当如实披露与本单位存在下列关联关系的单位名称：</w:t>
      </w:r>
    </w:p>
    <w:p w14:paraId="783F69A0">
      <w:pPr>
        <w:spacing w:before="98" w:line="183" w:lineRule="auto"/>
        <w:ind w:left="513"/>
        <w:rPr>
          <w:rFonts w:ascii="微软雅黑" w:hAnsi="微软雅黑" w:eastAsia="微软雅黑" w:cs="微软雅黑"/>
          <w:sz w:val="24"/>
          <w:szCs w:val="24"/>
        </w:rPr>
      </w:pPr>
      <w:r>
        <w:rPr>
          <w:rFonts w:ascii="微软雅黑" w:hAnsi="微软雅黑" w:eastAsia="微软雅黑" w:cs="微软雅黑"/>
          <w:spacing w:val="-4"/>
          <w:sz w:val="24"/>
          <w:szCs w:val="24"/>
        </w:rPr>
        <w:t>（1）与供应商单位负责人为同一人的其他单位；</w:t>
      </w:r>
    </w:p>
    <w:p w14:paraId="7D10BB96">
      <w:pPr>
        <w:spacing w:before="97" w:line="183" w:lineRule="auto"/>
        <w:ind w:left="993"/>
        <w:rPr>
          <w:rFonts w:ascii="微软雅黑" w:hAnsi="微软雅黑" w:eastAsia="微软雅黑" w:cs="微软雅黑"/>
          <w:sz w:val="24"/>
          <w:szCs w:val="24"/>
        </w:rPr>
      </w:pPr>
      <w:r>
        <w:rPr>
          <w:rFonts w:ascii="微软雅黑" w:hAnsi="微软雅黑" w:eastAsia="微软雅黑" w:cs="微软雅黑"/>
          <w:spacing w:val="-4"/>
          <w:sz w:val="24"/>
          <w:szCs w:val="24"/>
        </w:rPr>
        <w:t>（2）与供应商存在直接控股、管理关系的其他单位。</w:t>
      </w:r>
    </w:p>
    <w:p w14:paraId="6724D132">
      <w:pPr>
        <w:pStyle w:val="7"/>
        <w:spacing w:line="253" w:lineRule="auto"/>
      </w:pPr>
    </w:p>
    <w:p w14:paraId="4381FB58">
      <w:pPr>
        <w:pStyle w:val="7"/>
        <w:spacing w:line="253" w:lineRule="auto"/>
      </w:pPr>
    </w:p>
    <w:p w14:paraId="7F477B77">
      <w:pPr>
        <w:pStyle w:val="7"/>
        <w:spacing w:line="254" w:lineRule="auto"/>
      </w:pPr>
    </w:p>
    <w:p w14:paraId="67AEDE24">
      <w:pPr>
        <w:pStyle w:val="7"/>
        <w:spacing w:line="254" w:lineRule="auto"/>
      </w:pPr>
    </w:p>
    <w:p w14:paraId="2D9CCA4F">
      <w:pPr>
        <w:pStyle w:val="7"/>
        <w:spacing w:line="254" w:lineRule="auto"/>
      </w:pPr>
    </w:p>
    <w:p w14:paraId="0EC90D37">
      <w:pPr>
        <w:pStyle w:val="7"/>
        <w:spacing w:line="254" w:lineRule="auto"/>
      </w:pPr>
    </w:p>
    <w:p w14:paraId="23AC05ED">
      <w:pPr>
        <w:pStyle w:val="7"/>
        <w:spacing w:line="254" w:lineRule="auto"/>
      </w:pPr>
    </w:p>
    <w:p w14:paraId="7DD7CF2C">
      <w:pPr>
        <w:pStyle w:val="7"/>
        <w:spacing w:line="254" w:lineRule="auto"/>
      </w:pPr>
    </w:p>
    <w:p w14:paraId="773191DE">
      <w:pPr>
        <w:spacing w:before="104" w:line="183" w:lineRule="auto"/>
        <w:ind w:left="548"/>
        <w:rPr>
          <w:rFonts w:ascii="微软雅黑" w:hAnsi="微软雅黑" w:eastAsia="微软雅黑" w:cs="微软雅黑"/>
          <w:sz w:val="24"/>
          <w:szCs w:val="24"/>
        </w:rPr>
        <w:sectPr>
          <w:headerReference r:id="rId34" w:type="default"/>
          <w:footerReference r:id="rId35" w:type="default"/>
          <w:pgSz w:w="11905" w:h="16839"/>
          <w:pgMar w:top="400" w:right="1080" w:bottom="1197" w:left="1082" w:header="0" w:footer="963" w:gutter="0"/>
          <w:pgNumType w:fmt="decimal"/>
          <w:cols w:space="720" w:num="1"/>
        </w:sectPr>
      </w:pPr>
      <w:bookmarkStart w:id="79" w:name="bookmark25"/>
      <w:bookmarkEnd w:id="79"/>
      <w:r>
        <w:rPr>
          <w:rFonts w:ascii="微软雅黑" w:hAnsi="微软雅黑" w:eastAsia="微软雅黑" w:cs="微软雅黑"/>
          <w:b/>
          <w:bCs/>
          <w:spacing w:val="-1"/>
          <w:sz w:val="24"/>
          <w:szCs w:val="24"/>
        </w:rPr>
        <w:t>7、供应商可提供有利于投标的其他资格证明材料</w:t>
      </w:r>
    </w:p>
    <w:p w14:paraId="76E64429">
      <w:pPr>
        <w:pStyle w:val="7"/>
      </w:pPr>
    </w:p>
    <w:sectPr>
      <w:headerReference r:id="rId36" w:type="default"/>
      <w:footerReference r:id="rId37" w:type="default"/>
      <w:pgSz w:w="11905" w:h="16839"/>
      <w:pgMar w:top="400" w:right="1080" w:bottom="1197" w:left="1046" w:header="0" w:footer="963"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B942377-1BA6-4B77-9743-D32F8D92558C}"/>
  </w:font>
  <w:font w:name="黑体">
    <w:panose1 w:val="02010609060101010101"/>
    <w:charset w:val="86"/>
    <w:family w:val="auto"/>
    <w:pitch w:val="default"/>
    <w:sig w:usb0="800002BF" w:usb1="38CF7CFA" w:usb2="00000016" w:usb3="00000000" w:csb0="00040001" w:csb1="00000000"/>
    <w:embedRegular r:id="rId2" w:fontKey="{DF41601F-C79C-4FD7-A765-9EC9D254D1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CC31D1DA-3953-4017-BA0C-11232CCC8CE1}"/>
  </w:font>
  <w:font w:name="微软雅黑">
    <w:panose1 w:val="020B0503020204020204"/>
    <w:charset w:val="86"/>
    <w:family w:val="auto"/>
    <w:pitch w:val="default"/>
    <w:sig w:usb0="80000287" w:usb1="2ACF3C50" w:usb2="00000016" w:usb3="00000000" w:csb0="0004001F" w:csb1="00000000"/>
    <w:embedRegular r:id="rId4" w:fontKey="{E69D5DF3-2FB1-4BEE-AF7E-B947E609FB67}"/>
  </w:font>
  <w:font w:name="方正公文小标宋">
    <w:panose1 w:val="02000500000000000000"/>
    <w:charset w:val="86"/>
    <w:family w:val="auto"/>
    <w:pitch w:val="default"/>
    <w:sig w:usb0="A00002BF" w:usb1="38CF7CFA" w:usb2="00000016" w:usb3="00000000" w:csb0="00040001" w:csb1="00000000"/>
    <w:embedRegular r:id="rId5" w:fontKey="{A448DF97-59E7-4E10-B29E-3D995B85CACA}"/>
  </w:font>
  <w:font w:name="方正小标宋_GBK">
    <w:panose1 w:val="03000509000000000000"/>
    <w:charset w:val="86"/>
    <w:family w:val="script"/>
    <w:pitch w:val="default"/>
    <w:sig w:usb0="00000001" w:usb1="080E0000" w:usb2="00000000" w:usb3="00000000" w:csb0="00040000" w:csb1="00000000"/>
    <w:embedRegular r:id="rId6" w:fontKey="{5A0B58DC-64F5-48A2-9F0B-978CF231C4E1}"/>
  </w:font>
  <w:font w:name="楷体">
    <w:panose1 w:val="02010609060101010101"/>
    <w:charset w:val="86"/>
    <w:family w:val="auto"/>
    <w:pitch w:val="default"/>
    <w:sig w:usb0="800002BF" w:usb1="38CF7CFA" w:usb2="00000016" w:usb3="00000000" w:csb0="00040001" w:csb1="00000000"/>
    <w:embedRegular r:id="rId7" w:fontKey="{E87EED2D-ADD8-4C9B-BAEC-FAF7FE6129AD}"/>
  </w:font>
  <w:font w:name="仿宋_GB2312">
    <w:panose1 w:val="02010609030101010101"/>
    <w:charset w:val="86"/>
    <w:family w:val="auto"/>
    <w:pitch w:val="default"/>
    <w:sig w:usb0="00000001" w:usb1="080E0000" w:usb2="00000000" w:usb3="00000000" w:csb0="00040000" w:csb1="00000000"/>
    <w:embedRegular r:id="rId8" w:fontKey="{F685E350-E879-48FE-B4FF-4B9D871B9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1B8F4">
    <w:pPr>
      <w:pStyle w:val="9"/>
      <w:ind w:right="360" w:firstLine="360"/>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29940">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08A29940">
                    <w:pPr>
                      <w:pStyle w:val="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DFED38C">
                          <w:pPr>
                            <w:pStyle w:val="9"/>
                            <w:ind w:firstLine="0" w:firstLineChars="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14:paraId="0DFED38C">
                    <w:pPr>
                      <w:pStyle w:val="9"/>
                      <w:ind w:firstLine="0" w:firstLineChars="0"/>
                      <w:rPr>
                        <w:rFonts w:hint="eastAsia"/>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1294D">
    <w:pPr>
      <w:tabs>
        <w:tab w:val="left" w:pos="5245"/>
      </w:tabs>
      <w:spacing w:line="229" w:lineRule="auto"/>
      <w:ind w:left="4801"/>
      <w:rPr>
        <w:rFonts w:hint="eastAsia" w:ascii="宋体" w:hAnsi="宋体" w:eastAsia="宋体" w:cs="宋体"/>
        <w:sz w:val="18"/>
        <w:szCs w:val="18"/>
        <w:lang w:eastAsia="zh-CN"/>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3BD2A">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7BF3BD2A">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0D011">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8BAA3">
                          <w:pPr>
                            <w:pStyle w:val="9"/>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4688BAA3">
                    <w:pPr>
                      <w:pStyle w:val="9"/>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CAFD">
    <w:pPr>
      <w:spacing w:line="230" w:lineRule="auto"/>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40F9A">
                          <w:pPr>
                            <w:pStyle w:val="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5CB40F9A">
                    <w:pPr>
                      <w:pStyle w:val="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02AA7">
    <w:pPr>
      <w:spacing w:line="230" w:lineRule="auto"/>
      <w:ind w:left="4788"/>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F2D92">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28DF2D92">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3F3C1">
    <w:pPr>
      <w:spacing w:line="229" w:lineRule="auto"/>
      <w:ind w:left="4788"/>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F903C">
                          <w:pPr>
                            <w:pStyle w:val="9"/>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637F903C">
                    <w:pPr>
                      <w:pStyle w:val="9"/>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27D51">
    <w:pPr>
      <w:spacing w:line="230" w:lineRule="auto"/>
      <w:ind w:left="4790"/>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6046E">
                          <w:pPr>
                            <w:pStyle w:val="9"/>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1546046E">
                    <w:pPr>
                      <w:pStyle w:val="9"/>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E87BA">
    <w:pPr>
      <w:spacing w:line="229" w:lineRule="auto"/>
      <w:ind w:left="4820"/>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4DA6C">
                          <w:pPr>
                            <w:pStyle w:val="9"/>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3B44DA6C">
                    <w:pPr>
                      <w:pStyle w:val="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AFA25">
    <w:pPr>
      <w:spacing w:line="229" w:lineRule="auto"/>
      <w:ind w:left="4820"/>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FAA34">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69FFAA34">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529A1">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8F436">
                          <w:pPr>
                            <w:pStyle w:val="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19A8F436">
                    <w:pPr>
                      <w:pStyle w:val="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B2CC1">
    <w:pPr>
      <w:spacing w:line="229" w:lineRule="auto"/>
      <w:ind w:left="4790"/>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CA101">
                          <w:pPr>
                            <w:pStyle w:val="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5A8CA101">
                    <w:pPr>
                      <w:pStyle w:val="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8666">
    <w:pPr>
      <w:pStyle w:val="9"/>
      <w:ind w:right="360" w:firstLine="360"/>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40836">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44240836">
                    <w:pPr>
                      <w:pStyle w:val="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411299C">
                          <w:pPr>
                            <w:pStyle w:val="9"/>
                            <w:ind w:firstLine="0" w:firstLineChars="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14:paraId="2411299C">
                    <w:pPr>
                      <w:pStyle w:val="9"/>
                      <w:ind w:firstLine="0" w:firstLineChars="0"/>
                      <w:rPr>
                        <w:rFonts w:hint="eastAsia"/>
                      </w:rPr>
                    </w:pP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AB494">
    <w:pPr>
      <w:spacing w:line="229" w:lineRule="auto"/>
      <w:ind w:left="4790"/>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1832A">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1801832A">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F45A7">
    <w:pPr>
      <w:spacing w:line="229" w:lineRule="auto"/>
      <w:ind w:left="4251"/>
      <w:rPr>
        <w:rFonts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0AA6C">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2590AA6C">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A66E1">
    <w:pPr>
      <w:spacing w:line="229" w:lineRule="auto"/>
      <w:ind w:left="4789"/>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DB699">
                          <w:pPr>
                            <w:pStyle w:val="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248DB699">
                    <w:pPr>
                      <w:pStyle w:val="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4F9B9">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B1654">
                          <w:pPr>
                            <w:pStyle w:val="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21BB1654">
                    <w:pPr>
                      <w:pStyle w:val="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790B6">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459B6">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151459B6">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8DD85">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5AADD">
                          <w:pPr>
                            <w:pStyle w:val="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3DF5AADD">
                    <w:pPr>
                      <w:pStyle w:val="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B2478">
    <w:pPr>
      <w:spacing w:line="229" w:lineRule="auto"/>
      <w:ind w:left="4790"/>
      <w:rPr>
        <w:rFonts w:ascii="宋体" w:hAnsi="宋体" w:eastAsia="宋体" w:cs="宋体"/>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65643">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14765643">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63C22">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DCCE">
                          <w:pPr>
                            <w:pStyle w:val="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58FADCCE">
                    <w:pPr>
                      <w:pStyle w:val="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CEE7">
    <w:pPr>
      <w:spacing w:line="176"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A224C">
                          <w:pPr>
                            <w:pStyle w:val="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204A224C">
                    <w:pPr>
                      <w:pStyle w:val="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CDB21">
    <w:pPr>
      <w:spacing w:line="176" w:lineRule="auto"/>
      <w:ind w:left="4084" w:firstLine="4396" w:firstLineChars="0"/>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FC623">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244FC623">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60254">
    <w:pPr>
      <w:tabs>
        <w:tab w:val="left" w:pos="4542"/>
      </w:tabs>
      <w:spacing w:line="176" w:lineRule="auto"/>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2E4EE">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0C52E4EE">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05F28">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DD214">
                          <w:pPr>
                            <w:pStyle w:val="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3F0DD214">
                    <w:pPr>
                      <w:pStyle w:val="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88EE5">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6BCEF">
                          <w:pPr>
                            <w:pStyle w:val="9"/>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39C6BCEF">
                    <w:pPr>
                      <w:pStyle w:val="9"/>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36D07">
    <w:pPr>
      <w:spacing w:line="229" w:lineRule="auto"/>
      <w:ind w:left="4801"/>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FE4CF">
                          <w:pPr>
                            <w:pStyle w:val="9"/>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41DFE4CF">
                    <w:pPr>
                      <w:pStyle w:val="9"/>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A4D0C">
    <w:pPr>
      <w:spacing w:line="229" w:lineRule="auto"/>
      <w:ind w:left="4811"/>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E9CCA">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44CE9CCA">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5EF84">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3C937">
    <w:pPr>
      <w:spacing w:line="96"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690E7">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4297F">
    <w:pPr>
      <w:spacing w:line="96" w:lineRule="auto"/>
      <w:ind w:left="0" w:leftChars="0" w:firstLine="0" w:firstLineChars="0"/>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52B8D">
    <w:pPr>
      <w:pStyle w:val="7"/>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467C2">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26D03E"/>
    <w:multiLevelType w:val="multilevel"/>
    <w:tmpl w:val="9026D03E"/>
    <w:lvl w:ilvl="0" w:tentative="0">
      <w:start w:val="1"/>
      <w:numFmt w:val="decimal"/>
      <w:pStyle w:val="2"/>
      <w:lvlText w:val="第%1章"/>
      <w:lvlJc w:val="left"/>
      <w:pPr>
        <w:ind w:left="432" w:hanging="432"/>
      </w:pPr>
      <w:rPr>
        <w:rFonts w:hint="eastAsia" w:ascii="宋体" w:hAnsi="宋体" w:eastAsia="宋体" w:cs="宋体"/>
      </w:rPr>
    </w:lvl>
    <w:lvl w:ilvl="1" w:tentative="0">
      <w:start w:val="1"/>
      <w:numFmt w:val="decimalFullWidth"/>
      <w:pStyle w:val="3"/>
      <w:lvlText w:val="%1.%2"/>
      <w:lvlJc w:val="left"/>
      <w:pPr>
        <w:ind w:left="575" w:hanging="575"/>
      </w:pPr>
      <w:rPr>
        <w:rFonts w:hint="eastAsia" w:ascii="宋体" w:hAnsi="宋体" w:eastAsia="宋体" w:cs="宋体"/>
      </w:rPr>
    </w:lvl>
    <w:lvl w:ilvl="2" w:tentative="0">
      <w:start w:val="1"/>
      <w:numFmt w:val="decimal"/>
      <w:pStyle w:val="4"/>
      <w:lvlText w:val="%1.%2.%3 "/>
      <w:lvlJc w:val="left"/>
      <w:pPr>
        <w:ind w:left="1916" w:hanging="720"/>
      </w:pPr>
      <w:rPr>
        <w:rFonts w:hint="eastAsia" w:ascii="宋体" w:hAnsi="宋体" w:eastAsia="宋体" w:cs="宋体"/>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1">
    <w:nsid w:val="CFEFF65B"/>
    <w:multiLevelType w:val="singleLevel"/>
    <w:tmpl w:val="CFEFF65B"/>
    <w:lvl w:ilvl="0" w:tentative="0">
      <w:start w:val="1"/>
      <w:numFmt w:val="chineseCounting"/>
      <w:suff w:val="nothing"/>
      <w:lvlText w:val="%1、"/>
      <w:lvlJc w:val="left"/>
      <w:rPr>
        <w:rFonts w:hint="eastAsia"/>
      </w:rPr>
    </w:lvl>
  </w:abstractNum>
  <w:abstractNum w:abstractNumId="2">
    <w:nsid w:val="12B9E5B5"/>
    <w:multiLevelType w:val="singleLevel"/>
    <w:tmpl w:val="12B9E5B5"/>
    <w:lvl w:ilvl="0" w:tentative="0">
      <w:start w:val="2"/>
      <w:numFmt w:val="chineseCounting"/>
      <w:suff w:val="nothing"/>
      <w:lvlText w:val="%1、"/>
      <w:lvlJc w:val="left"/>
      <w:rPr>
        <w:rFonts w:hint="eastAsia"/>
      </w:rPr>
    </w:lvl>
  </w:abstractNum>
  <w:abstractNum w:abstractNumId="3">
    <w:nsid w:val="26787C92"/>
    <w:multiLevelType w:val="singleLevel"/>
    <w:tmpl w:val="26787C92"/>
    <w:lvl w:ilvl="0" w:tentative="0">
      <w:start w:val="6"/>
      <w:numFmt w:val="chineseCounting"/>
      <w:suff w:val="space"/>
      <w:lvlText w:val="第%1章"/>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34E49AB"/>
    <w:rsid w:val="25537B62"/>
    <w:rsid w:val="2588759E"/>
    <w:rsid w:val="2F695633"/>
    <w:rsid w:val="321F0941"/>
    <w:rsid w:val="329D3AD3"/>
    <w:rsid w:val="33E33418"/>
    <w:rsid w:val="37A46956"/>
    <w:rsid w:val="452847AC"/>
    <w:rsid w:val="5D1A7C0C"/>
    <w:rsid w:val="6CA113DF"/>
    <w:rsid w:val="78D410F9"/>
    <w:rsid w:val="7CD11F48"/>
    <w:rsid w:val="7E9473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numPr>
        <w:ilvl w:val="0"/>
        <w:numId w:val="1"/>
      </w:numPr>
      <w:spacing w:before="340" w:after="330" w:line="578" w:lineRule="atLeast"/>
      <w:ind w:left="432" w:hanging="432" w:firstLineChars="0"/>
      <w:jc w:val="center"/>
      <w:outlineLvl w:val="0"/>
    </w:pPr>
    <w:rPr>
      <w:b/>
      <w:bCs/>
      <w:kern w:val="44"/>
      <w:sz w:val="32"/>
      <w:szCs w:val="44"/>
    </w:rPr>
  </w:style>
  <w:style w:type="paragraph" w:styleId="3">
    <w:name w:val="heading 2"/>
    <w:basedOn w:val="1"/>
    <w:next w:val="1"/>
    <w:qFormat/>
    <w:uiPriority w:val="0"/>
    <w:pPr>
      <w:keepNext/>
      <w:keepLines/>
      <w:numPr>
        <w:ilvl w:val="1"/>
        <w:numId w:val="1"/>
      </w:numPr>
      <w:tabs>
        <w:tab w:val="left" w:pos="720"/>
      </w:tabs>
      <w:spacing w:line="360" w:lineRule="auto"/>
      <w:ind w:left="0" w:firstLine="482" w:firstLineChars="200"/>
      <w:outlineLvl w:val="1"/>
    </w:pPr>
    <w:rPr>
      <w:rFonts w:ascii="Arial" w:hAnsi="Arial"/>
      <w:b/>
      <w:bCs/>
      <w:szCs w:val="32"/>
    </w:rPr>
  </w:style>
  <w:style w:type="paragraph" w:styleId="4">
    <w:name w:val="heading 3"/>
    <w:basedOn w:val="1"/>
    <w:next w:val="1"/>
    <w:qFormat/>
    <w:uiPriority w:val="0"/>
    <w:pPr>
      <w:keepNext/>
      <w:keepLines/>
      <w:numPr>
        <w:ilvl w:val="2"/>
        <w:numId w:val="1"/>
      </w:numPr>
      <w:tabs>
        <w:tab w:val="left" w:pos="720"/>
      </w:tabs>
      <w:spacing w:line="360" w:lineRule="auto"/>
      <w:ind w:left="0" w:firstLine="482" w:firstLineChars="200"/>
      <w:outlineLvl w:val="2"/>
    </w:pPr>
    <w:rPr>
      <w:b/>
      <w:bCs/>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rPr>
      <w:rFonts w:hAnsi="Times New Roman" w:eastAsia="仿宋"/>
      <w:sz w:val="24"/>
    </w:rPr>
  </w:style>
  <w:style w:type="paragraph" w:styleId="6">
    <w:name w:val="toa heading"/>
    <w:basedOn w:val="1"/>
    <w:next w:val="1"/>
    <w:semiHidden/>
    <w:qFormat/>
    <w:uiPriority w:val="0"/>
    <w:pPr>
      <w:spacing w:before="120"/>
    </w:pPr>
    <w:rPr>
      <w:rFonts w:ascii="Arial" w:hAnsi="Arial" w:cs="Arial"/>
      <w:sz w:val="24"/>
    </w:r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ody Text Indent"/>
    <w:basedOn w:val="1"/>
    <w:qFormat/>
    <w:uiPriority w:val="0"/>
    <w:pPr>
      <w:spacing w:after="120"/>
      <w:ind w:left="420" w:leftChars="200"/>
    </w:pPr>
    <w:rPr>
      <w:rFonts w:hAnsi="Times New Roman" w:eastAsia="仿宋"/>
      <w:sz w:val="24"/>
    </w:rPr>
  </w:style>
  <w:style w:type="paragraph" w:styleId="9">
    <w:name w:val="footer"/>
    <w:basedOn w:val="1"/>
    <w:qFormat/>
    <w:uiPriority w:val="0"/>
    <w:pPr>
      <w:tabs>
        <w:tab w:val="center" w:pos="4153"/>
        <w:tab w:val="right" w:pos="8306"/>
      </w:tabs>
      <w:snapToGrid w:val="0"/>
      <w:spacing w:line="240" w:lineRule="atLeast"/>
      <w:jc w:val="left"/>
    </w:pPr>
    <w:rPr>
      <w:rFonts w:hAnsi="Times New Roman" w:eastAsia="仿宋"/>
      <w:sz w:val="18"/>
      <w:szCs w:val="18"/>
    </w:rPr>
  </w:style>
  <w:style w:type="paragraph" w:styleId="10">
    <w:name w:val="header"/>
    <w:basedOn w:val="1"/>
    <w:qFormat/>
    <w:uiPriority w:val="0"/>
    <w:pPr>
      <w:pBdr>
        <w:bottom w:val="single" w:color="auto" w:sz="6" w:space="1"/>
      </w:pBdr>
      <w:tabs>
        <w:tab w:val="center" w:pos="4153"/>
        <w:tab w:val="right" w:pos="8306"/>
      </w:tabs>
      <w:snapToGrid w:val="0"/>
      <w:spacing w:line="240" w:lineRule="atLeast"/>
      <w:jc w:val="center"/>
    </w:pPr>
    <w:rPr>
      <w:rFonts w:hAnsi="Times New Roman" w:eastAsia="仿宋"/>
      <w:sz w:val="18"/>
      <w:szCs w:val="18"/>
    </w:rPr>
  </w:style>
  <w:style w:type="paragraph" w:styleId="11">
    <w:name w:val="toc 1"/>
    <w:basedOn w:val="1"/>
    <w:next w:val="1"/>
    <w:qFormat/>
    <w:uiPriority w:val="0"/>
    <w:pPr>
      <w:spacing w:before="120" w:after="120" w:line="480" w:lineRule="auto"/>
      <w:ind w:firstLine="0" w:firstLineChars="0"/>
      <w:jc w:val="left"/>
    </w:pPr>
    <w:rPr>
      <w:rFonts w:ascii="Calibri" w:hAnsi="Calibri"/>
      <w:b/>
      <w:bCs/>
      <w:caps/>
      <w:szCs w:val="20"/>
    </w:rPr>
  </w:style>
  <w:style w:type="paragraph" w:styleId="12">
    <w:name w:val="footnote text"/>
    <w:basedOn w:val="1"/>
    <w:qFormat/>
    <w:uiPriority w:val="0"/>
    <w:pPr>
      <w:snapToGrid w:val="0"/>
      <w:jc w:val="left"/>
    </w:pPr>
    <w:rPr>
      <w:rFonts w:hAnsi="Times New Roman" w:eastAsia="仿宋"/>
      <w:sz w:val="18"/>
      <w:szCs w:val="18"/>
    </w:rPr>
  </w:style>
  <w:style w:type="paragraph" w:styleId="13">
    <w:name w:val="Body Text Indent 3"/>
    <w:basedOn w:val="1"/>
    <w:next w:val="1"/>
    <w:qFormat/>
    <w:uiPriority w:val="0"/>
    <w:pPr>
      <w:spacing w:after="120"/>
      <w:ind w:left="420" w:leftChars="200"/>
    </w:pPr>
    <w:rPr>
      <w:rFonts w:hAnsi="Times New Roman" w:eastAsia="仿宋"/>
      <w:sz w:val="16"/>
      <w:szCs w:val="16"/>
    </w:rPr>
  </w:style>
  <w:style w:type="paragraph" w:styleId="14">
    <w:name w:val="toc 9"/>
    <w:basedOn w:val="1"/>
    <w:next w:val="1"/>
    <w:qFormat/>
    <w:uiPriority w:val="0"/>
    <w:pPr>
      <w:ind w:left="1920"/>
      <w:jc w:val="left"/>
    </w:pPr>
    <w:rPr>
      <w:rFonts w:ascii="Calibri" w:hAnsi="Calibri"/>
      <w:sz w:val="18"/>
      <w:szCs w:val="18"/>
    </w:rPr>
  </w:style>
  <w:style w:type="paragraph" w:styleId="15">
    <w:name w:val="Normal (Web)"/>
    <w:basedOn w:val="1"/>
    <w:next w:val="13"/>
    <w:qFormat/>
    <w:uiPriority w:val="0"/>
    <w:rPr>
      <w:rFonts w:ascii="Times New Roman"/>
      <w:szCs w:val="24"/>
    </w:rPr>
  </w:style>
  <w:style w:type="table" w:styleId="17">
    <w:name w:val="Table Grid"/>
    <w:basedOn w:val="16"/>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Table Text"/>
    <w:basedOn w:val="1"/>
    <w:semiHidden/>
    <w:qFormat/>
    <w:uiPriority w:val="0"/>
    <w:rPr>
      <w:rFonts w:ascii="微软雅黑" w:hAnsi="微软雅黑" w:eastAsia="微软雅黑" w:cs="微软雅黑"/>
      <w:sz w:val="21"/>
      <w:szCs w:val="21"/>
      <w:lang w:val="en-US" w:eastAsia="en-US" w:bidi="ar-SA"/>
    </w:rPr>
  </w:style>
  <w:style w:type="paragraph" w:customStyle="1" w:styleId="22">
    <w:name w:val="4正文"/>
    <w:basedOn w:val="1"/>
    <w:qFormat/>
    <w:uiPriority w:val="0"/>
    <w:pPr>
      <w:snapToGrid/>
      <w:spacing w:line="360" w:lineRule="auto"/>
      <w:ind w:firstLine="200" w:firstLineChars="200"/>
    </w:pPr>
    <w:rPr>
      <w:rFonts w:ascii="Times New Roman" w:hAnsi="Times New Roman"/>
    </w:rPr>
  </w:style>
  <w:style w:type="paragraph" w:customStyle="1" w:styleId="23">
    <w:name w:val="Default Text"/>
    <w:basedOn w:val="1"/>
    <w:qFormat/>
    <w:uiPriority w:val="0"/>
    <w:pPr>
      <w:widowControl/>
      <w:overflowPunct w:val="0"/>
      <w:autoSpaceDE w:val="0"/>
      <w:autoSpaceDN w:val="0"/>
      <w:spacing w:line="240" w:lineRule="auto"/>
      <w:jc w:val="left"/>
      <w:textAlignment w:val="auto"/>
    </w:pPr>
    <w:rPr>
      <w:sz w:val="24"/>
      <w:szCs w:val="20"/>
    </w:rPr>
  </w:style>
  <w:style w:type="paragraph" w:customStyle="1" w:styleId="24">
    <w:name w:val="Table Paragraph"/>
    <w:basedOn w:val="1"/>
    <w:qFormat/>
    <w:uiPriority w:val="1"/>
  </w:style>
  <w:style w:type="paragraph" w:customStyle="1" w:styleId="25">
    <w:name w:val="正文空2格  1."/>
    <w:basedOn w:val="1"/>
    <w:qFormat/>
    <w:uiPriority w:val="0"/>
    <w:pPr>
      <w:ind w:firstLine="480" w:firstLineChars="200"/>
    </w:pPr>
    <w:rPr>
      <w:rFonts w:cs="宋体"/>
      <w:szCs w:val="20"/>
    </w:rPr>
  </w:style>
  <w:style w:type="paragraph" w:customStyle="1" w:styleId="26">
    <w:name w:val="正文 1.1.1"/>
    <w:basedOn w:val="1"/>
    <w:next w:val="1"/>
    <w:qFormat/>
    <w:uiPriority w:val="0"/>
    <w:pPr>
      <w:tabs>
        <w:tab w:val="left" w:pos="851"/>
      </w:tabs>
      <w:ind w:left="142"/>
      <w:outlineLvl w:val="2"/>
    </w:pPr>
    <w:rPr>
      <w:rFonts w:hAnsi="宋体" w:eastAsia="宋体"/>
      <w:color w:val="FF000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theme" Target="theme/theme1.xml"/><Relationship Id="rId37" Type="http://schemas.openxmlformats.org/officeDocument/2006/relationships/footer" Target="footer27.xml"/><Relationship Id="rId36" Type="http://schemas.openxmlformats.org/officeDocument/2006/relationships/header" Target="header6.xml"/><Relationship Id="rId35" Type="http://schemas.openxmlformats.org/officeDocument/2006/relationships/footer" Target="footer26.xml"/><Relationship Id="rId34" Type="http://schemas.openxmlformats.org/officeDocument/2006/relationships/header" Target="header5.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Info spid="_x0000_s1030"/>
    <customShpInfo spid="_x0000_s1028"/>
    <customShpInfo spid="_x0000_s1032"/>
    <customShpInfo spid="_x0000_s1033"/>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66</Pages>
  <Words>5190</Words>
  <Characters>5954</Characters>
  <TotalTime>23</TotalTime>
  <ScaleCrop>false</ScaleCrop>
  <LinksUpToDate>false</LinksUpToDate>
  <CharactersWithSpaces>6147</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2024-09-12T11:33:00Z</dcterms:created>
  <dc:creator>Administrator</dc:creator>
  <cp:lastModifiedBy>李</cp:lastModifiedBy>
  <dcterms:modified xsi:type="dcterms:W3CDTF">2025-07-17T12:23:33Z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2025-07-17T13:31:20Z</vt:filetime>
  </property>
  <property fmtid="{D5CDD505-2E9C-101B-9397-08002B2CF9AE}" pid="4" name="KSOProductBuildVer">
    <vt:lpwstr>2052-12.1.0.21915</vt:lpwstr>
  </property>
  <property fmtid="{D5CDD505-2E9C-101B-9397-08002B2CF9AE}" pid="5" name="ICV">
    <vt:lpwstr>FB1C34EAD5A3475FAA8B42AB47F331AF_13</vt:lpwstr>
  </property>
  <property fmtid="{D5CDD505-2E9C-101B-9397-08002B2CF9AE}" pid="6" name="KSOTemplateDocerSaveRecord">
    <vt:lpwstr>eyJoZGlkIjoiNmI4MWRiN2VmZjc3MjIyNGZlMjhlZjAxMjU5OTQ0MGUiLCJ1c2VySWQiOiIyMTc3MTg1NDYifQ==</vt:lpwstr>
  </property>
</Properties>
</file>