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5309E">
      <w:pPr>
        <w:pStyle w:val="35"/>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宋体" w:hAnsi="宋体" w:eastAsia="宋体" w:cs="宋体"/>
          <w:b/>
          <w:bCs/>
          <w:color w:val="auto"/>
          <w:sz w:val="40"/>
          <w:szCs w:val="40"/>
          <w:lang w:val="en-US" w:eastAsia="zh-CN"/>
        </w:rPr>
      </w:pPr>
      <w:r>
        <w:rPr>
          <w:rFonts w:hint="eastAsia" w:ascii="宋体" w:hAnsi="宋体" w:eastAsia="宋体" w:cs="宋体"/>
          <w:b/>
          <w:bCs/>
          <w:i w:val="0"/>
          <w:iCs w:val="0"/>
          <w:color w:val="auto"/>
          <w:kern w:val="0"/>
          <w:sz w:val="44"/>
          <w:szCs w:val="44"/>
          <w:u w:val="none"/>
          <w:lang w:val="en-US" w:eastAsia="zh-CN" w:bidi="ar"/>
        </w:rPr>
        <w:t>阿克陶县巴仁乡古勒巴格村、且克村、墩巴格村新建黄麻鸡养殖基地项目-设备采购</w:t>
      </w:r>
    </w:p>
    <w:p w14:paraId="4F59FB05">
      <w:pPr>
        <w:pStyle w:val="35"/>
        <w:rPr>
          <w:rFonts w:hint="eastAsia"/>
          <w:color w:val="auto"/>
          <w:lang w:eastAsia="zh-CN"/>
        </w:rPr>
      </w:pPr>
    </w:p>
    <w:p w14:paraId="72ECCC09">
      <w:pPr>
        <w:spacing w:line="760" w:lineRule="exact"/>
        <w:jc w:val="center"/>
        <w:rPr>
          <w:rFonts w:hint="eastAsia" w:ascii="仿宋" w:hAnsi="仿宋" w:eastAsia="仿宋" w:cs="仿宋"/>
          <w:b/>
          <w:bCs/>
          <w:color w:val="auto"/>
          <w:sz w:val="40"/>
          <w:szCs w:val="40"/>
          <w:lang w:eastAsia="zh-CN"/>
        </w:rPr>
      </w:pPr>
    </w:p>
    <w:p w14:paraId="0895E93F">
      <w:pPr>
        <w:spacing w:line="760" w:lineRule="exact"/>
        <w:jc w:val="center"/>
        <w:rPr>
          <w:rFonts w:hint="eastAsia" w:ascii="仿宋" w:hAnsi="仿宋" w:eastAsia="仿宋" w:cs="仿宋"/>
          <w:b/>
          <w:bCs/>
          <w:color w:val="auto"/>
          <w:sz w:val="40"/>
          <w:szCs w:val="40"/>
          <w:lang w:eastAsia="zh-CN"/>
        </w:rPr>
      </w:pPr>
    </w:p>
    <w:p w14:paraId="48D890D3">
      <w:pPr>
        <w:spacing w:line="760" w:lineRule="exact"/>
        <w:jc w:val="center"/>
        <w:rPr>
          <w:rFonts w:hint="default" w:ascii="仿宋" w:hAnsi="仿宋" w:eastAsia="仿宋" w:cs="仿宋"/>
          <w:b/>
          <w:bCs/>
          <w:color w:val="auto"/>
          <w:sz w:val="40"/>
          <w:szCs w:val="40"/>
          <w:lang w:val="en-US" w:eastAsia="zh-CN"/>
        </w:rPr>
      </w:pPr>
      <w:r>
        <w:rPr>
          <w:rFonts w:hint="eastAsia" w:ascii="仿宋" w:hAnsi="仿宋" w:eastAsia="仿宋" w:cs="仿宋"/>
          <w:b/>
          <w:bCs/>
          <w:color w:val="auto"/>
          <w:sz w:val="40"/>
          <w:szCs w:val="40"/>
          <w:lang w:eastAsia="zh-CN"/>
        </w:rPr>
        <w:t>项目编号：</w:t>
      </w:r>
      <w:r>
        <w:rPr>
          <w:rFonts w:hint="eastAsia" w:ascii="宋体" w:hAnsi="宋体"/>
          <w:b/>
          <w:bCs/>
          <w:color w:val="auto"/>
          <w:kern w:val="0"/>
          <w:sz w:val="48"/>
          <w:szCs w:val="48"/>
          <w:highlight w:val="none"/>
          <w:shd w:val="clear" w:color="auto" w:fill="FFFFFF"/>
          <w:lang w:eastAsia="zh-CN"/>
        </w:rPr>
        <w:t>AKTZBCG-2025</w:t>
      </w:r>
      <w:r>
        <w:rPr>
          <w:rFonts w:hint="eastAsia" w:ascii="宋体" w:hAnsi="宋体"/>
          <w:b/>
          <w:bCs/>
          <w:color w:val="auto"/>
          <w:kern w:val="0"/>
          <w:sz w:val="48"/>
          <w:szCs w:val="48"/>
          <w:highlight w:val="none"/>
          <w:shd w:val="clear" w:color="auto" w:fill="FFFFFF"/>
          <w:lang w:val="en-US" w:eastAsia="zh-CN"/>
        </w:rPr>
        <w:t>028</w:t>
      </w:r>
    </w:p>
    <w:p w14:paraId="1E2B5317">
      <w:pPr>
        <w:pStyle w:val="34"/>
        <w:rPr>
          <w:rFonts w:ascii="仿宋" w:hAnsi="仿宋" w:eastAsia="仿宋" w:cs="仿宋"/>
          <w:color w:val="auto"/>
        </w:rPr>
      </w:pPr>
    </w:p>
    <w:p w14:paraId="6C380D45">
      <w:pPr>
        <w:pStyle w:val="34"/>
        <w:rPr>
          <w:rFonts w:ascii="仿宋" w:hAnsi="仿宋" w:eastAsia="仿宋" w:cs="仿宋"/>
          <w:color w:val="auto"/>
        </w:rPr>
      </w:pPr>
    </w:p>
    <w:p w14:paraId="1BC4C0B3">
      <w:pPr>
        <w:pStyle w:val="34"/>
        <w:jc w:val="center"/>
        <w:rPr>
          <w:rFonts w:ascii="仿宋" w:hAnsi="仿宋" w:eastAsia="仿宋" w:cs="仿宋"/>
          <w:b/>
          <w:color w:val="auto"/>
          <w:sz w:val="96"/>
          <w:szCs w:val="96"/>
        </w:rPr>
      </w:pPr>
      <w:r>
        <w:rPr>
          <w:rFonts w:hint="eastAsia" w:ascii="仿宋" w:hAnsi="仿宋" w:eastAsia="仿宋" w:cs="仿宋"/>
          <w:b/>
          <w:color w:val="auto"/>
          <w:sz w:val="96"/>
          <w:szCs w:val="96"/>
        </w:rPr>
        <w:t>招</w:t>
      </w:r>
    </w:p>
    <w:p w14:paraId="7AE6C5B2">
      <w:pPr>
        <w:pStyle w:val="34"/>
        <w:jc w:val="center"/>
        <w:rPr>
          <w:rFonts w:ascii="仿宋" w:hAnsi="仿宋" w:eastAsia="仿宋" w:cs="仿宋"/>
          <w:b/>
          <w:bCs/>
          <w:color w:val="auto"/>
          <w:sz w:val="96"/>
          <w:szCs w:val="96"/>
        </w:rPr>
      </w:pPr>
      <w:r>
        <w:rPr>
          <w:rFonts w:hint="eastAsia" w:ascii="仿宋" w:hAnsi="仿宋" w:eastAsia="仿宋" w:cs="仿宋"/>
          <w:b/>
          <w:color w:val="auto"/>
          <w:sz w:val="96"/>
          <w:szCs w:val="96"/>
        </w:rPr>
        <w:t>标</w:t>
      </w:r>
    </w:p>
    <w:p w14:paraId="11C65B03">
      <w:pPr>
        <w:pStyle w:val="34"/>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01EFDC52">
      <w:pPr>
        <w:pStyle w:val="34"/>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rPr>
        <w:t>件</w:t>
      </w:r>
    </w:p>
    <w:p w14:paraId="18EBA524">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采购单位：</w:t>
      </w:r>
      <w:r>
        <w:rPr>
          <w:rFonts w:hint="eastAsia" w:ascii="仿宋" w:hAnsi="仿宋" w:eastAsia="仿宋" w:cs="仿宋"/>
          <w:color w:val="auto"/>
          <w:sz w:val="32"/>
          <w:szCs w:val="32"/>
          <w:lang w:val="en-US" w:eastAsia="zh-CN"/>
        </w:rPr>
        <w:t>阿克陶县巴仁乡人民政府</w:t>
      </w:r>
      <w:r>
        <w:rPr>
          <w:rFonts w:hint="eastAsia" w:ascii="仿宋" w:hAnsi="仿宋" w:eastAsia="仿宋" w:cs="仿宋"/>
          <w:color w:val="auto"/>
          <w:sz w:val="32"/>
          <w:szCs w:val="32"/>
          <w:lang w:eastAsia="zh-CN"/>
        </w:rPr>
        <w:t xml:space="preserve">      </w:t>
      </w:r>
    </w:p>
    <w:p w14:paraId="5ADB2D52">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 xml:space="preserve">联 系 人: </w:t>
      </w:r>
      <w:r>
        <w:rPr>
          <w:rFonts w:hint="eastAsia" w:ascii="仿宋" w:hAnsi="仿宋" w:eastAsia="仿宋" w:cs="仿宋"/>
          <w:color w:val="auto"/>
          <w:sz w:val="32"/>
          <w:szCs w:val="32"/>
          <w:lang w:val="en-US" w:eastAsia="zh-CN"/>
        </w:rPr>
        <w:t>张先生</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13649935764</w:t>
      </w:r>
    </w:p>
    <w:p w14:paraId="4B0F77BC">
      <w:pPr>
        <w:spacing w:line="7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代理机构：</w:t>
      </w:r>
      <w:r>
        <w:rPr>
          <w:rFonts w:hint="eastAsia" w:ascii="仿宋" w:hAnsi="仿宋" w:eastAsia="仿宋" w:cs="仿宋"/>
          <w:color w:val="auto"/>
          <w:sz w:val="32"/>
          <w:szCs w:val="32"/>
          <w:lang w:val="en-US" w:eastAsia="zh-CN"/>
        </w:rPr>
        <w:t>新疆尊凯工程管理服务有限公司</w:t>
      </w:r>
    </w:p>
    <w:p w14:paraId="444A6EFF">
      <w:pPr>
        <w:spacing w:line="700" w:lineRule="exact"/>
        <w:rPr>
          <w:rFonts w:hint="default" w:ascii="仿宋" w:hAnsi="仿宋" w:eastAsia="仿宋" w:cs="仿宋"/>
          <w:b/>
          <w:color w:val="auto"/>
          <w:sz w:val="36"/>
          <w:szCs w:val="36"/>
          <w:lang w:val="en-US" w:eastAsia="zh-CN"/>
        </w:rPr>
      </w:pPr>
      <w:r>
        <w:rPr>
          <w:rFonts w:hint="eastAsia" w:ascii="仿宋" w:hAnsi="仿宋" w:eastAsia="仿宋" w:cs="仿宋"/>
          <w:color w:val="auto"/>
          <w:sz w:val="32"/>
          <w:szCs w:val="32"/>
          <w:lang w:eastAsia="zh-CN"/>
        </w:rPr>
        <w:t>联 系 人：</w:t>
      </w:r>
      <w:r>
        <w:rPr>
          <w:rFonts w:hint="eastAsia" w:ascii="仿宋" w:hAnsi="仿宋" w:eastAsia="仿宋" w:cs="仿宋"/>
          <w:color w:val="auto"/>
          <w:sz w:val="32"/>
          <w:szCs w:val="32"/>
          <w:lang w:val="en-US" w:eastAsia="zh-CN"/>
        </w:rPr>
        <w:t xml:space="preserve">王女士     </w:t>
      </w:r>
      <w:r>
        <w:rPr>
          <w:rFonts w:hint="eastAsia" w:ascii="仿宋" w:hAnsi="仿宋" w:eastAsia="仿宋" w:cs="仿宋"/>
          <w:color w:val="auto"/>
          <w:sz w:val="32"/>
          <w:szCs w:val="32"/>
          <w:lang w:eastAsia="zh-CN"/>
        </w:rPr>
        <w:t xml:space="preserve">联系电话: </w:t>
      </w:r>
      <w:r>
        <w:rPr>
          <w:rFonts w:hint="eastAsia" w:ascii="仿宋" w:hAnsi="仿宋" w:eastAsia="仿宋" w:cs="仿宋"/>
          <w:color w:val="auto"/>
          <w:sz w:val="32"/>
          <w:szCs w:val="32"/>
          <w:lang w:val="en-US" w:eastAsia="zh-CN"/>
        </w:rPr>
        <w:t>15809081063</w:t>
      </w:r>
    </w:p>
    <w:p w14:paraId="267E0F5E">
      <w:pPr>
        <w:jc w:val="center"/>
        <w:rPr>
          <w:rFonts w:hint="eastAsia" w:ascii="仿宋" w:hAnsi="仿宋" w:eastAsia="仿宋" w:cs="仿宋"/>
          <w:b w:val="0"/>
          <w:bCs/>
          <w:color w:val="auto"/>
          <w:sz w:val="36"/>
          <w:szCs w:val="36"/>
          <w:lang w:val="en-US" w:eastAsia="zh-CN"/>
        </w:rPr>
      </w:pPr>
    </w:p>
    <w:p w14:paraId="2D05E2AF">
      <w:pPr>
        <w:jc w:val="center"/>
        <w:rPr>
          <w:rFonts w:hint="eastAsia" w:ascii="仿宋" w:hAnsi="仿宋" w:eastAsia="仿宋" w:cs="仿宋"/>
          <w:b/>
          <w:color w:val="auto"/>
          <w:sz w:val="36"/>
          <w:szCs w:val="36"/>
          <w:lang w:eastAsia="zh-CN"/>
        </w:rPr>
        <w:sectPr>
          <w:headerReference r:id="rId3" w:type="default"/>
          <w:footerReference r:id="rId4" w:type="default"/>
          <w:pgSz w:w="11906" w:h="16838"/>
          <w:pgMar w:top="1440" w:right="1519" w:bottom="1440" w:left="1519"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val="0"/>
          <w:bCs/>
          <w:color w:val="auto"/>
          <w:sz w:val="36"/>
          <w:szCs w:val="36"/>
          <w:lang w:val="en-US" w:eastAsia="zh-CN"/>
        </w:rPr>
        <w:t>2025年7月</w:t>
      </w:r>
    </w:p>
    <w:p w14:paraId="1793947C">
      <w:pPr>
        <w:pStyle w:val="39"/>
        <w:spacing w:before="0" w:line="360" w:lineRule="auto"/>
        <w:jc w:val="both"/>
        <w:rPr>
          <w:rFonts w:ascii="仿宋" w:hAnsi="仿宋" w:eastAsia="仿宋" w:cs="仿宋"/>
          <w:color w:val="auto"/>
          <w:sz w:val="44"/>
          <w:szCs w:val="44"/>
          <w:lang w:val="zh-CN"/>
        </w:rPr>
      </w:pPr>
    </w:p>
    <w:p w14:paraId="6785154D">
      <w:pPr>
        <w:pStyle w:val="39"/>
        <w:spacing w:before="0" w:line="360" w:lineRule="auto"/>
        <w:jc w:val="center"/>
        <w:rPr>
          <w:rFonts w:ascii="仿宋" w:hAnsi="仿宋" w:eastAsia="仿宋" w:cs="仿宋"/>
          <w:color w:val="auto"/>
          <w:sz w:val="30"/>
          <w:szCs w:val="30"/>
        </w:rPr>
      </w:pPr>
      <w:r>
        <w:rPr>
          <w:rFonts w:hint="eastAsia" w:ascii="仿宋" w:hAnsi="仿宋" w:eastAsia="仿宋" w:cs="仿宋"/>
          <w:color w:val="auto"/>
          <w:sz w:val="44"/>
          <w:szCs w:val="44"/>
          <w:lang w:val="zh-CN"/>
        </w:rPr>
        <w:t>目    录</w:t>
      </w:r>
    </w:p>
    <w:p w14:paraId="7091892E">
      <w:pPr>
        <w:widowControl/>
        <w:rPr>
          <w:rFonts w:ascii="仿宋" w:hAnsi="仿宋" w:eastAsia="仿宋" w:cs="仿宋"/>
          <w:color w:val="auto"/>
          <w:sz w:val="30"/>
          <w:szCs w:val="30"/>
        </w:rPr>
      </w:pPr>
    </w:p>
    <w:p w14:paraId="3929D804">
      <w:pPr>
        <w:spacing w:line="600" w:lineRule="auto"/>
        <w:ind w:firstLine="1050" w:firstLineChars="350"/>
        <w:jc w:val="both"/>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eastAsia="zh-CN"/>
        </w:rPr>
        <w:t>第一部分  招标公告…………………………………………</w:t>
      </w:r>
    </w:p>
    <w:p w14:paraId="7CAB2C70">
      <w:pPr>
        <w:spacing w:line="600" w:lineRule="auto"/>
        <w:ind w:firstLine="1050" w:firstLineChars="350"/>
        <w:jc w:val="both"/>
        <w:rPr>
          <w:rFonts w:ascii="仿宋" w:hAnsi="仿宋" w:eastAsia="仿宋" w:cs="仿宋"/>
          <w:b/>
          <w:color w:val="auto"/>
          <w:sz w:val="30"/>
          <w:szCs w:val="30"/>
          <w:lang w:eastAsia="zh-CN"/>
        </w:rPr>
      </w:pPr>
      <w:r>
        <w:rPr>
          <w:rFonts w:hint="eastAsia" w:ascii="仿宋" w:hAnsi="仿宋" w:eastAsia="仿宋" w:cs="仿宋"/>
          <w:b/>
          <w:color w:val="auto"/>
          <w:sz w:val="30"/>
          <w:szCs w:val="30"/>
          <w:lang w:eastAsia="zh-CN"/>
        </w:rPr>
        <w:t>第二部分  供应商须知………………………………………</w:t>
      </w:r>
    </w:p>
    <w:p w14:paraId="1E31DCFF">
      <w:pPr>
        <w:spacing w:line="600" w:lineRule="auto"/>
        <w:ind w:firstLine="1050" w:firstLineChars="350"/>
        <w:jc w:val="both"/>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eastAsia="zh-CN"/>
        </w:rPr>
        <w:t>第三部分  评标办法…………………………………………</w:t>
      </w:r>
    </w:p>
    <w:p w14:paraId="17FAE405">
      <w:pPr>
        <w:spacing w:line="600" w:lineRule="auto"/>
        <w:ind w:firstLine="1050" w:firstLineChars="350"/>
        <w:jc w:val="both"/>
        <w:rPr>
          <w:rFonts w:ascii="仿宋" w:hAnsi="仿宋" w:eastAsia="仿宋" w:cs="仿宋"/>
          <w:b/>
          <w:color w:val="auto"/>
          <w:sz w:val="30"/>
          <w:szCs w:val="30"/>
          <w:lang w:eastAsia="zh-CN"/>
        </w:rPr>
      </w:pPr>
      <w:r>
        <w:rPr>
          <w:rFonts w:hint="eastAsia" w:ascii="仿宋" w:hAnsi="仿宋" w:eastAsia="仿宋" w:cs="仿宋"/>
          <w:b/>
          <w:color w:val="auto"/>
          <w:sz w:val="30"/>
          <w:szCs w:val="30"/>
          <w:lang w:eastAsia="zh-CN"/>
        </w:rPr>
        <w:t>第四部分  服务需求…………………………………………</w:t>
      </w:r>
    </w:p>
    <w:p w14:paraId="454C59DE">
      <w:pPr>
        <w:spacing w:line="600" w:lineRule="auto"/>
        <w:ind w:firstLine="1050" w:firstLineChars="350"/>
        <w:jc w:val="both"/>
        <w:rPr>
          <w:rFonts w:hint="default" w:ascii="仿宋" w:hAnsi="仿宋" w:eastAsia="仿宋" w:cs="仿宋"/>
          <w:color w:val="auto"/>
          <w:lang w:val="en-US" w:eastAsia="zh-CN"/>
        </w:rPr>
      </w:pPr>
      <w:r>
        <w:rPr>
          <w:rFonts w:hint="eastAsia" w:ascii="仿宋" w:hAnsi="仿宋" w:eastAsia="仿宋" w:cs="仿宋"/>
          <w:b/>
          <w:color w:val="auto"/>
          <w:sz w:val="30"/>
          <w:szCs w:val="30"/>
          <w:lang w:eastAsia="zh-CN"/>
        </w:rPr>
        <w:t>第五部分  合同（参考）……………………………………</w:t>
      </w:r>
    </w:p>
    <w:p w14:paraId="46A68D40">
      <w:pPr>
        <w:spacing w:line="600" w:lineRule="auto"/>
        <w:ind w:firstLine="1050" w:firstLineChars="350"/>
        <w:jc w:val="both"/>
        <w:rPr>
          <w:rFonts w:hint="default" w:ascii="仿宋" w:hAnsi="仿宋" w:eastAsia="仿宋" w:cs="仿宋"/>
          <w:color w:val="auto"/>
          <w:lang w:val="en-US" w:eastAsia="zh-CN"/>
        </w:rPr>
      </w:pPr>
      <w:r>
        <w:rPr>
          <w:rFonts w:hint="eastAsia" w:ascii="仿宋" w:hAnsi="仿宋" w:eastAsia="仿宋" w:cs="仿宋"/>
          <w:b/>
          <w:color w:val="auto"/>
          <w:sz w:val="30"/>
          <w:szCs w:val="30"/>
          <w:lang w:eastAsia="zh-CN"/>
        </w:rPr>
        <w:t>第六部分  投标文件格式……………………………………</w:t>
      </w:r>
    </w:p>
    <w:p w14:paraId="7C50F7E4">
      <w:pPr>
        <w:pStyle w:val="8"/>
        <w:numPr>
          <w:ilvl w:val="0"/>
          <w:numId w:val="0"/>
        </w:numPr>
        <w:tabs>
          <w:tab w:val="clear" w:pos="780"/>
        </w:tabs>
        <w:spacing w:line="480" w:lineRule="auto"/>
        <w:rPr>
          <w:rFonts w:ascii="仿宋" w:hAnsi="仿宋" w:eastAsia="仿宋" w:cs="仿宋"/>
          <w:color w:val="auto"/>
          <w:lang w:eastAsia="zh-CN"/>
        </w:rPr>
      </w:pPr>
    </w:p>
    <w:p w14:paraId="5CE5A2FD">
      <w:pPr>
        <w:spacing w:line="480" w:lineRule="auto"/>
        <w:rPr>
          <w:rFonts w:ascii="仿宋" w:hAnsi="仿宋" w:eastAsia="仿宋" w:cs="仿宋"/>
          <w:color w:val="auto"/>
          <w:lang w:eastAsia="zh-CN"/>
        </w:rPr>
      </w:pPr>
    </w:p>
    <w:p w14:paraId="475E3BE6">
      <w:pPr>
        <w:pStyle w:val="4"/>
        <w:rPr>
          <w:rFonts w:ascii="仿宋" w:hAnsi="仿宋" w:eastAsia="仿宋" w:cs="仿宋"/>
          <w:color w:val="auto"/>
          <w:lang w:eastAsia="zh-CN"/>
        </w:rPr>
      </w:pPr>
    </w:p>
    <w:p w14:paraId="1BA96359">
      <w:pPr>
        <w:rPr>
          <w:rFonts w:ascii="仿宋" w:hAnsi="仿宋" w:eastAsia="仿宋" w:cs="仿宋"/>
          <w:color w:val="auto"/>
          <w:lang w:eastAsia="zh-CN"/>
        </w:rPr>
      </w:pPr>
    </w:p>
    <w:p w14:paraId="4BDEB1D4">
      <w:pPr>
        <w:pStyle w:val="4"/>
        <w:rPr>
          <w:rFonts w:ascii="仿宋" w:hAnsi="仿宋" w:eastAsia="仿宋" w:cs="仿宋"/>
          <w:color w:val="auto"/>
          <w:lang w:eastAsia="zh-CN"/>
        </w:rPr>
      </w:pPr>
    </w:p>
    <w:p w14:paraId="497E0F67">
      <w:pPr>
        <w:rPr>
          <w:rFonts w:ascii="仿宋" w:hAnsi="仿宋" w:eastAsia="仿宋" w:cs="仿宋"/>
          <w:color w:val="auto"/>
          <w:lang w:eastAsia="zh-CN"/>
        </w:rPr>
      </w:pPr>
    </w:p>
    <w:p w14:paraId="1D9D0B69">
      <w:pPr>
        <w:pStyle w:val="4"/>
        <w:rPr>
          <w:rFonts w:ascii="仿宋" w:hAnsi="仿宋" w:eastAsia="仿宋" w:cs="仿宋"/>
          <w:color w:val="auto"/>
          <w:lang w:eastAsia="zh-CN"/>
        </w:rPr>
      </w:pPr>
    </w:p>
    <w:p w14:paraId="50F401F6">
      <w:pPr>
        <w:rPr>
          <w:rFonts w:hint="eastAsia" w:ascii="仿宋" w:hAnsi="仿宋" w:eastAsia="仿宋" w:cs="仿宋"/>
          <w:color w:val="auto"/>
          <w:lang w:eastAsia="zh-CN"/>
        </w:rPr>
      </w:pPr>
    </w:p>
    <w:p w14:paraId="5254D38C">
      <w:pPr>
        <w:pStyle w:val="40"/>
        <w:keepNext/>
        <w:keepLines/>
        <w:spacing w:before="120" w:after="300"/>
        <w:jc w:val="both"/>
        <w:rPr>
          <w:rFonts w:hint="eastAsia" w:ascii="仿宋" w:hAnsi="仿宋" w:eastAsia="仿宋" w:cs="仿宋"/>
          <w:b/>
          <w:bCs/>
          <w:color w:val="auto"/>
        </w:rPr>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04DF408D">
      <w:pPr>
        <w:pStyle w:val="40"/>
        <w:keepNext/>
        <w:keepLines/>
        <w:numPr>
          <w:ilvl w:val="0"/>
          <w:numId w:val="0"/>
        </w:numPr>
        <w:spacing w:before="120" w:after="300"/>
        <w:ind w:firstLine="3240" w:firstLineChars="900"/>
        <w:jc w:val="both"/>
        <w:rPr>
          <w:rFonts w:hint="eastAsia" w:ascii="仿宋" w:hAnsi="仿宋" w:eastAsia="仿宋" w:cs="仿宋"/>
          <w:b/>
          <w:color w:val="auto"/>
          <w:sz w:val="28"/>
          <w:szCs w:val="28"/>
          <w:highlight w:val="none"/>
          <w:shd w:val="clear" w:color="auto" w:fill="FFFFFF"/>
        </w:rPr>
      </w:pPr>
      <w:r>
        <w:rPr>
          <w:rFonts w:hint="eastAsia" w:ascii="仿宋" w:hAnsi="仿宋" w:eastAsia="仿宋" w:cs="仿宋"/>
          <w:b/>
          <w:bCs/>
          <w:color w:val="auto"/>
          <w:lang w:val="en-US" w:eastAsia="zh-CN"/>
        </w:rPr>
        <w:t xml:space="preserve">第一部分  </w:t>
      </w:r>
      <w:r>
        <w:rPr>
          <w:rFonts w:hint="eastAsia" w:ascii="仿宋" w:hAnsi="仿宋" w:eastAsia="仿宋" w:cs="仿宋"/>
          <w:b/>
          <w:bCs/>
          <w:color w:val="auto"/>
          <w:lang w:eastAsia="zh-CN"/>
        </w:rPr>
        <w:t>招标公告</w:t>
      </w:r>
      <w:bookmarkStart w:id="0" w:name="_Toc28359001"/>
      <w:bookmarkStart w:id="1" w:name="_Toc35393789"/>
    </w:p>
    <w:bookmarkEnd w:id="0"/>
    <w:bookmarkEnd w:id="1"/>
    <w:p w14:paraId="01EFF66F">
      <w:pPr>
        <w:jc w:val="center"/>
        <w:rPr>
          <w:rFonts w:hint="eastAsia" w:ascii="仿宋" w:hAnsi="仿宋" w:eastAsia="仿宋" w:cs="仿宋"/>
          <w:color w:val="auto"/>
          <w:sz w:val="28"/>
          <w:szCs w:val="28"/>
          <w:lang w:eastAsia="zh-CN"/>
        </w:rPr>
      </w:pPr>
      <w:r>
        <w:rPr>
          <w:rFonts w:hint="eastAsia" w:ascii="宋体" w:hAnsi="宋体" w:eastAsia="宋体" w:cs="宋体"/>
          <w:b/>
          <w:bCs/>
          <w:color w:val="auto"/>
          <w:spacing w:val="-12"/>
          <w:sz w:val="32"/>
          <w:szCs w:val="32"/>
          <w:lang w:val="en-US" w:eastAsia="zh-CN"/>
        </w:rPr>
        <w:t xml:space="preserve">阿克陶县巴仁乡古勒巴格村、且克村、墩巴格村新建黄麻鸡养殖基地项目-设备采购公开招标公告 </w:t>
      </w:r>
      <w:r>
        <w:rPr>
          <w:rFonts w:hint="eastAsia" w:ascii="仿宋" w:hAnsi="仿宋" w:eastAsia="仿宋" w:cs="仿宋"/>
          <w:b/>
          <w:bCs/>
          <w:color w:val="auto"/>
          <w:sz w:val="21"/>
          <w:szCs w:val="21"/>
          <w:lang w:eastAsia="zh-CN"/>
        </w:rPr>
        <w:t xml:space="preserve"> </w:t>
      </w:r>
      <w:r>
        <w:rPr>
          <w:rFonts w:hint="eastAsia" w:ascii="仿宋" w:hAnsi="仿宋" w:eastAsia="仿宋" w:cs="仿宋"/>
          <w:color w:val="auto"/>
          <w:sz w:val="28"/>
          <w:szCs w:val="28"/>
          <w:lang w:eastAsia="zh-CN"/>
        </w:rPr>
        <w:t xml:space="preserve">   </w:t>
      </w:r>
    </w:p>
    <w:tbl>
      <w:tblPr>
        <w:tblStyle w:val="26"/>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14:paraId="03D4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961" w:type="dxa"/>
            <w:noWrap w:val="0"/>
            <w:vAlign w:val="top"/>
          </w:tcPr>
          <w:p w14:paraId="25844D73">
            <w:pPr>
              <w:jc w:val="left"/>
              <w:rPr>
                <w:rFonts w:hint="eastAsia" w:ascii="仿宋" w:hAnsi="仿宋" w:eastAsia="仿宋" w:cs="仿宋"/>
                <w:color w:val="auto"/>
                <w:lang w:eastAsia="zh-CN"/>
              </w:rPr>
            </w:pPr>
            <w:r>
              <w:rPr>
                <w:rFonts w:hint="eastAsia" w:ascii="仿宋" w:hAnsi="仿宋" w:eastAsia="仿宋" w:cs="仿宋"/>
                <w:color w:val="auto"/>
                <w:lang w:eastAsia="zh-CN"/>
              </w:rPr>
              <w:t>项目概况</w:t>
            </w:r>
          </w:p>
          <w:p w14:paraId="11355F1B">
            <w:pPr>
              <w:ind w:firstLine="480" w:firstLineChars="200"/>
              <w:jc w:val="left"/>
              <w:rPr>
                <w:rFonts w:hint="eastAsia" w:ascii="仿宋" w:hAnsi="仿宋" w:eastAsia="仿宋" w:cs="仿宋"/>
                <w:color w:val="auto"/>
                <w:vertAlign w:val="baseline"/>
                <w:lang w:eastAsia="zh-CN"/>
              </w:rPr>
            </w:pPr>
            <w:r>
              <w:rPr>
                <w:rFonts w:hint="eastAsia" w:ascii="仿宋" w:hAnsi="仿宋" w:eastAsia="仿宋" w:cs="仿宋"/>
                <w:color w:val="auto"/>
                <w:lang w:val="en-US" w:eastAsia="zh-CN"/>
              </w:rPr>
              <w:t>阿克陶县巴仁乡古勒巴格村、且克村、墩巴格村新建黄麻鸡养殖基地项目-设备采购</w:t>
            </w:r>
            <w:r>
              <w:rPr>
                <w:rFonts w:hint="eastAsia" w:ascii="仿宋" w:hAnsi="仿宋" w:eastAsia="仿宋" w:cs="仿宋"/>
                <w:color w:val="auto"/>
                <w:lang w:eastAsia="zh-CN"/>
              </w:rPr>
              <w:t>的潜在投标人应在</w:t>
            </w:r>
            <w:r>
              <w:rPr>
                <w:rFonts w:hint="eastAsia" w:ascii="仿宋" w:hAnsi="仿宋" w:eastAsia="仿宋" w:cs="仿宋"/>
                <w:color w:val="auto"/>
                <w:u w:val="single"/>
                <w:lang w:eastAsia="zh-CN"/>
              </w:rPr>
              <w:t>供应商登陆政采云平台http://www.zcygov.cn/</w:t>
            </w:r>
            <w:r>
              <w:rPr>
                <w:rFonts w:hint="eastAsia" w:ascii="仿宋" w:hAnsi="仿宋" w:eastAsia="仿宋" w:cs="仿宋"/>
                <w:color w:val="auto"/>
                <w:lang w:eastAsia="zh-CN"/>
              </w:rPr>
              <w:t xml:space="preserve">，在线申请获取采购文件（登录政府采购云平台 → 项目采购 → 获取采购文件 → 申请，审核通过后可下载招标文件，如有操作性问题，可与政采云在线客服进行咨询，咨询电话：95763）获取招标文件，并于 </w:t>
            </w:r>
            <w:r>
              <w:rPr>
                <w:rFonts w:hint="eastAsia" w:ascii="仿宋" w:hAnsi="仿宋" w:eastAsia="仿宋" w:cs="仿宋"/>
                <w:color w:val="auto"/>
                <w:highlight w:val="none"/>
                <w:u w:val="single"/>
                <w:lang w:eastAsia="zh-CN"/>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lang w:eastAsia="zh-CN"/>
              </w:rPr>
              <w:t>年</w:t>
            </w:r>
            <w:r>
              <w:rPr>
                <w:rFonts w:hint="eastAsia" w:ascii="仿宋" w:hAnsi="仿宋" w:eastAsia="仿宋" w:cs="仿宋"/>
                <w:color w:val="auto"/>
                <w:highlight w:val="none"/>
                <w:u w:val="single"/>
                <w:lang w:val="en-US" w:eastAsia="zh-CN"/>
              </w:rPr>
              <w:t>8</w:t>
            </w:r>
            <w:r>
              <w:rPr>
                <w:rFonts w:hint="eastAsia" w:ascii="仿宋" w:hAnsi="仿宋" w:eastAsia="仿宋" w:cs="仿宋"/>
                <w:color w:val="auto"/>
                <w:highlight w:val="none"/>
                <w:u w:val="single"/>
                <w:lang w:eastAsia="zh-CN"/>
              </w:rPr>
              <w:t>月</w:t>
            </w:r>
            <w:r>
              <w:rPr>
                <w:rFonts w:hint="eastAsia" w:ascii="仿宋" w:hAnsi="仿宋" w:eastAsia="仿宋" w:cs="仿宋"/>
                <w:color w:val="auto"/>
                <w:highlight w:val="none"/>
                <w:u w:val="single"/>
                <w:lang w:val="en-US" w:eastAsia="zh-CN"/>
              </w:rPr>
              <w:t xml:space="preserve"> 12</w:t>
            </w:r>
            <w:r>
              <w:rPr>
                <w:rFonts w:hint="eastAsia" w:ascii="仿宋" w:hAnsi="仿宋" w:eastAsia="仿宋" w:cs="仿宋"/>
                <w:color w:val="auto"/>
                <w:highlight w:val="none"/>
                <w:u w:val="single"/>
                <w:lang w:eastAsia="zh-CN"/>
              </w:rPr>
              <w:t>日 1</w:t>
            </w:r>
            <w:r>
              <w:rPr>
                <w:rFonts w:hint="eastAsia" w:ascii="仿宋" w:hAnsi="仿宋" w:eastAsia="仿宋" w:cs="仿宋"/>
                <w:color w:val="auto"/>
                <w:highlight w:val="none"/>
                <w:u w:val="single"/>
                <w:lang w:val="en-US" w:eastAsia="zh-CN"/>
              </w:rPr>
              <w:t>0</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lang w:eastAsia="zh-CN"/>
              </w:rPr>
              <w:t>0</w:t>
            </w:r>
            <w:r>
              <w:rPr>
                <w:rFonts w:hint="eastAsia" w:ascii="仿宋" w:hAnsi="仿宋" w:eastAsia="仿宋" w:cs="仿宋"/>
                <w:color w:val="auto"/>
                <w:u w:val="single"/>
                <w:lang w:eastAsia="zh-CN"/>
              </w:rPr>
              <w:t>（北京时间）</w:t>
            </w:r>
            <w:r>
              <w:rPr>
                <w:rFonts w:hint="eastAsia" w:ascii="仿宋" w:hAnsi="仿宋" w:eastAsia="仿宋" w:cs="仿宋"/>
                <w:color w:val="auto"/>
                <w:lang w:eastAsia="zh-CN"/>
              </w:rPr>
              <w:t>前（上传）电子投标文件。</w:t>
            </w:r>
          </w:p>
        </w:tc>
      </w:tr>
    </w:tbl>
    <w:p w14:paraId="0B037509">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b/>
          <w:bCs/>
          <w:color w:val="auto"/>
        </w:rPr>
        <w:t>项目基本情况</w:t>
      </w:r>
    </w:p>
    <w:p w14:paraId="2563DBD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项目编号：</w:t>
      </w:r>
      <w:r>
        <w:rPr>
          <w:rFonts w:hint="eastAsia" w:ascii="仿宋" w:hAnsi="仿宋" w:eastAsia="仿宋" w:cs="仿宋"/>
          <w:color w:val="auto"/>
          <w:lang w:eastAsia="zh-CN"/>
        </w:rPr>
        <w:t>AKTZBCG-2025</w:t>
      </w:r>
      <w:r>
        <w:rPr>
          <w:rFonts w:hint="eastAsia" w:ascii="仿宋" w:hAnsi="仿宋" w:eastAsia="仿宋" w:cs="仿宋"/>
          <w:color w:val="auto"/>
          <w:lang w:val="en-US" w:eastAsia="zh-CN"/>
        </w:rPr>
        <w:t>028</w:t>
      </w:r>
    </w:p>
    <w:p w14:paraId="757B6E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680" w:leftChars="200" w:hanging="1200" w:hangingChars="5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项目名称：</w:t>
      </w:r>
      <w:r>
        <w:rPr>
          <w:rFonts w:hint="eastAsia" w:ascii="仿宋" w:hAnsi="仿宋" w:eastAsia="仿宋" w:cs="仿宋"/>
          <w:color w:val="auto"/>
          <w:lang w:val="en-US" w:eastAsia="zh-CN"/>
        </w:rPr>
        <w:t>阿克陶县巴仁乡古勒巴格村、且克村、墩巴格村新建黄麻鸡养殖基地项目-设备采购</w:t>
      </w:r>
    </w:p>
    <w:p w14:paraId="248CF48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采购方式：</w:t>
      </w:r>
      <w:r>
        <w:rPr>
          <w:rFonts w:hint="eastAsia" w:ascii="仿宋" w:hAnsi="仿宋" w:eastAsia="仿宋" w:cs="仿宋"/>
          <w:color w:val="auto"/>
          <w:lang w:eastAsia="zh-CN"/>
        </w:rPr>
        <w:t>公开招标</w:t>
      </w:r>
    </w:p>
    <w:p w14:paraId="611A8A5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预算金额（元）：</w:t>
      </w:r>
      <w:r>
        <w:rPr>
          <w:rFonts w:hint="eastAsia" w:ascii="仿宋" w:hAnsi="仿宋" w:eastAsia="仿宋" w:cs="仿宋"/>
          <w:color w:val="auto"/>
          <w:lang w:val="en-US" w:eastAsia="zh-CN"/>
        </w:rPr>
        <w:t>15000000</w:t>
      </w:r>
    </w:p>
    <w:p w14:paraId="24A1702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最高限价（元）：</w:t>
      </w:r>
      <w:r>
        <w:rPr>
          <w:rFonts w:hint="eastAsia" w:ascii="仿宋" w:hAnsi="仿宋" w:eastAsia="仿宋" w:cs="仿宋"/>
          <w:color w:val="auto"/>
          <w:lang w:val="en-US" w:eastAsia="zh-CN"/>
        </w:rPr>
        <w:t>15000000</w:t>
      </w:r>
    </w:p>
    <w:p w14:paraId="12A8E18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采购需求：</w:t>
      </w:r>
    </w:p>
    <w:p w14:paraId="49A282D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bCs w:val="0"/>
          <w:color w:val="auto"/>
          <w:spacing w:val="0"/>
          <w:w w:val="100"/>
          <w:position w:val="0"/>
          <w:sz w:val="24"/>
          <w:szCs w:val="24"/>
          <w:shd w:val="clear" w:color="auto" w:fill="auto"/>
          <w:lang w:val="en-US" w:eastAsia="en-US" w:bidi="en-US"/>
        </w:rPr>
      </w:pPr>
      <w:r>
        <w:rPr>
          <w:rFonts w:hint="eastAsia" w:ascii="仿宋" w:hAnsi="仿宋" w:eastAsia="仿宋" w:cs="仿宋"/>
          <w:color w:val="auto"/>
        </w:rPr>
        <w:t>标项1：</w:t>
      </w:r>
      <w:r>
        <w:rPr>
          <w:rFonts w:hint="eastAsia" w:ascii="仿宋" w:hAnsi="仿宋" w:eastAsia="仿宋" w:cs="仿宋"/>
          <w:color w:val="auto"/>
          <w:lang w:val="en-US" w:eastAsia="zh-CN"/>
        </w:rPr>
        <w:t>采购一批</w:t>
      </w:r>
      <w:r>
        <w:rPr>
          <w:rFonts w:hint="eastAsia" w:ascii="仿宋" w:hAnsi="仿宋" w:eastAsia="仿宋" w:cs="仿宋"/>
          <w:b w:val="0"/>
          <w:bCs w:val="0"/>
          <w:color w:val="auto"/>
          <w:spacing w:val="0"/>
          <w:w w:val="100"/>
          <w:position w:val="0"/>
          <w:sz w:val="24"/>
          <w:szCs w:val="24"/>
          <w:shd w:val="clear" w:color="auto" w:fill="auto"/>
          <w:lang w:val="en-US" w:eastAsia="zh-CN" w:bidi="en-US"/>
        </w:rPr>
        <w:t>黄麻鸡养殖设备。</w:t>
      </w:r>
      <w:r>
        <w:rPr>
          <w:rFonts w:hint="eastAsia" w:ascii="仿宋" w:hAnsi="仿宋" w:eastAsia="仿宋" w:cs="仿宋"/>
          <w:b w:val="0"/>
          <w:bCs w:val="0"/>
          <w:color w:val="auto"/>
          <w:spacing w:val="0"/>
          <w:w w:val="100"/>
          <w:position w:val="0"/>
          <w:sz w:val="24"/>
          <w:szCs w:val="24"/>
          <w:shd w:val="clear" w:color="auto" w:fill="auto"/>
          <w:lang w:val="en-US" w:eastAsia="en-US" w:bidi="en-US"/>
        </w:rPr>
        <w:t>（具体详见招标文件技术规格及要求）</w:t>
      </w:r>
    </w:p>
    <w:p w14:paraId="17174F5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合同履约期限：</w:t>
      </w:r>
      <w:r>
        <w:rPr>
          <w:rFonts w:hint="eastAsia" w:ascii="仿宋" w:hAnsi="仿宋" w:eastAsia="仿宋" w:cs="仿宋"/>
          <w:color w:val="auto"/>
          <w:lang w:val="en-US" w:eastAsia="zh-CN"/>
        </w:rPr>
        <w:t>详见招标文件</w:t>
      </w:r>
    </w:p>
    <w:p w14:paraId="0D2AA35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不</w:t>
      </w:r>
      <w:r>
        <w:rPr>
          <w:rFonts w:hint="eastAsia" w:ascii="仿宋" w:hAnsi="仿宋" w:eastAsia="仿宋" w:cs="仿宋"/>
          <w:color w:val="auto"/>
          <w:sz w:val="24"/>
          <w:szCs w:val="24"/>
        </w:rPr>
        <w:t>接受联合体投标。</w:t>
      </w:r>
    </w:p>
    <w:p w14:paraId="236D41F5">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申请人的资格要求：</w:t>
      </w:r>
    </w:p>
    <w:p w14:paraId="005511E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77D3F2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2.落实政府采购政策需满足的资格要求：</w:t>
      </w:r>
      <w:r>
        <w:rPr>
          <w:rFonts w:hint="eastAsia" w:ascii="仿宋" w:hAnsi="仿宋" w:eastAsia="仿宋" w:cs="仿宋"/>
          <w:color w:val="auto"/>
          <w:lang w:eastAsia="zh-CN"/>
        </w:rPr>
        <w:t>标项</w:t>
      </w:r>
      <w:r>
        <w:rPr>
          <w:rFonts w:hint="eastAsia" w:ascii="仿宋" w:hAnsi="仿宋" w:eastAsia="仿宋" w:cs="仿宋"/>
          <w:color w:val="auto"/>
          <w:lang w:val="en-US" w:eastAsia="zh-CN"/>
        </w:rPr>
        <w:t>1本项目专门面向中小企业。</w:t>
      </w:r>
    </w:p>
    <w:p w14:paraId="334C54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sz w:val="24"/>
          <w:szCs w:val="24"/>
        </w:rPr>
        <w:t>3.本项目的特定资格要求：</w:t>
      </w:r>
    </w:p>
    <w:p w14:paraId="7E5F68E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（1）具有有效的三证合一营业执照；</w:t>
      </w:r>
    </w:p>
    <w:p w14:paraId="5102940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（2）具有法人授权委托书及被委托人身份证（法人提供法人证明书及法人身份证）；</w:t>
      </w:r>
    </w:p>
    <w:p w14:paraId="28BF982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（3）投标企业须提供投标人（被授权人）近6个月内任意一个月的社保证明；</w:t>
      </w:r>
    </w:p>
    <w:p w14:paraId="19C63DE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4）投标企业需提供参加本次采购活动前三年内未被“信用中国”（www.creditchina.gov.cn）、中国政府采购网（www.ccgp.gov.cn）列入失信被执行人、重大税收违法案件当事人名单、政府采购严重违法失信行为记录名单；</w:t>
      </w:r>
    </w:p>
    <w:p w14:paraId="3EAD3D2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（5）投标单位（供应商）提供针对本次采购项目《反商业贿赂承诺书》，《采购活动前三年内无重大违规记录承诺书》的书面声明。</w:t>
      </w:r>
    </w:p>
    <w:p w14:paraId="7B4C69A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（6）具有良好的商业信誉和健全的财务会计制度（提供2024年经审计的财务报告；或提供2024年的财务报表，新成立公司不足一年的提供成立至今的财务报表；或提供开户银行出具的资信证明）</w:t>
      </w:r>
    </w:p>
    <w:p w14:paraId="3EE3676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7）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07B149E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三、获取采购文件</w:t>
      </w:r>
    </w:p>
    <w:p w14:paraId="5E7A0BE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 xml:space="preserve"> 7</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 xml:space="preserve"> 21</w:t>
      </w:r>
      <w:r>
        <w:rPr>
          <w:rFonts w:hint="eastAsia" w:ascii="仿宋" w:hAnsi="仿宋" w:eastAsia="仿宋" w:cs="仿宋"/>
          <w:color w:val="auto"/>
          <w:sz w:val="24"/>
          <w:szCs w:val="24"/>
          <w:u w:val="single"/>
        </w:rPr>
        <w:t>日至</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 xml:space="preserve"> 7</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 xml:space="preserve"> 28</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每</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rPr>
        <w:t>上午10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00分</w:t>
      </w:r>
      <w:r>
        <w:rPr>
          <w:rFonts w:hint="eastAsia" w:ascii="仿宋" w:hAnsi="仿宋" w:eastAsia="仿宋" w:cs="仿宋"/>
          <w:color w:val="auto"/>
          <w:sz w:val="24"/>
          <w:szCs w:val="24"/>
        </w:rPr>
        <w:t>至</w:t>
      </w:r>
      <w:r>
        <w:rPr>
          <w:rFonts w:hint="eastAsia" w:ascii="仿宋" w:hAnsi="仿宋" w:eastAsia="仿宋" w:cs="仿宋"/>
          <w:color w:val="auto"/>
          <w:sz w:val="24"/>
          <w:szCs w:val="24"/>
          <w:lang w:val="en-US" w:eastAsia="zh-CN"/>
        </w:rPr>
        <w:t>14时00分；下午16时00分至20时00分</w:t>
      </w:r>
      <w:r>
        <w:rPr>
          <w:rFonts w:hint="eastAsia" w:ascii="仿宋" w:hAnsi="仿宋" w:eastAsia="仿宋" w:cs="仿宋"/>
          <w:color w:val="auto"/>
          <w:sz w:val="24"/>
          <w:szCs w:val="24"/>
        </w:rPr>
        <w:t>（北京时间）</w:t>
      </w:r>
    </w:p>
    <w:p w14:paraId="4FD9D42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地点：政采云平台线上</w:t>
      </w:r>
    </w:p>
    <w:p w14:paraId="32B00B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E929D8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售价（元）：0</w:t>
      </w:r>
    </w:p>
    <w:p w14:paraId="0735B0A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四、提交投标文件截止时间、开标时间和地点</w:t>
      </w:r>
    </w:p>
    <w:p w14:paraId="1D57FF7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截止时间：</w:t>
      </w:r>
      <w:r>
        <w:rPr>
          <w:rFonts w:hint="eastAsia" w:ascii="仿宋" w:hAnsi="仿宋" w:eastAsia="仿宋" w:cs="仿宋"/>
          <w:b w:val="0"/>
          <w:color w:val="auto"/>
          <w:kern w:val="2"/>
          <w:sz w:val="24"/>
          <w:szCs w:val="24"/>
          <w:u w:val="single"/>
          <w:lang w:val="en-US" w:eastAsia="zh-CN" w:bidi="ar-SA"/>
        </w:rPr>
        <w:t>2025</w:t>
      </w:r>
      <w:r>
        <w:rPr>
          <w:rFonts w:hint="eastAsia" w:ascii="仿宋" w:hAnsi="仿宋" w:eastAsia="仿宋" w:cs="仿宋"/>
          <w:b w:val="0"/>
          <w:color w:val="auto"/>
          <w:kern w:val="2"/>
          <w:sz w:val="24"/>
          <w:szCs w:val="24"/>
          <w:lang w:val="en-US" w:eastAsia="zh-CN" w:bidi="ar-SA"/>
        </w:rPr>
        <w:t>年</w:t>
      </w:r>
      <w:r>
        <w:rPr>
          <w:rFonts w:hint="eastAsia" w:ascii="仿宋" w:hAnsi="仿宋" w:eastAsia="仿宋" w:cs="仿宋"/>
          <w:b w:val="0"/>
          <w:color w:val="auto"/>
          <w:kern w:val="2"/>
          <w:sz w:val="24"/>
          <w:szCs w:val="24"/>
          <w:u w:val="single"/>
          <w:lang w:val="en-US" w:eastAsia="zh-CN" w:bidi="ar-SA"/>
        </w:rPr>
        <w:t xml:space="preserve"> 8</w:t>
      </w:r>
      <w:r>
        <w:rPr>
          <w:rFonts w:hint="eastAsia" w:ascii="仿宋" w:hAnsi="仿宋" w:eastAsia="仿宋" w:cs="仿宋"/>
          <w:b w:val="0"/>
          <w:color w:val="auto"/>
          <w:kern w:val="2"/>
          <w:sz w:val="24"/>
          <w:szCs w:val="24"/>
          <w:lang w:val="en-US" w:eastAsia="zh-CN" w:bidi="ar-SA"/>
        </w:rPr>
        <w:t>月 12日 10：30 （北京时间）</w:t>
      </w:r>
    </w:p>
    <w:p w14:paraId="10AC9C8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投标地点：政府采购云平台（www.zcygov.cn）供应商应于递交投标文件截止时间之前将电子投标文件上传到“政采云”平台。</w:t>
      </w:r>
    </w:p>
    <w:p w14:paraId="370BD02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开标时间：</w:t>
      </w:r>
      <w:r>
        <w:rPr>
          <w:rFonts w:hint="eastAsia" w:ascii="仿宋" w:hAnsi="仿宋" w:eastAsia="仿宋" w:cs="仿宋"/>
          <w:b w:val="0"/>
          <w:color w:val="auto"/>
          <w:kern w:val="2"/>
          <w:sz w:val="24"/>
          <w:szCs w:val="24"/>
          <w:u w:val="single"/>
          <w:lang w:val="en-US" w:eastAsia="zh-CN" w:bidi="ar-SA"/>
        </w:rPr>
        <w:t>2025年 8月12 日</w:t>
      </w:r>
      <w:r>
        <w:rPr>
          <w:rFonts w:hint="eastAsia" w:ascii="仿宋" w:hAnsi="仿宋" w:eastAsia="仿宋" w:cs="仿宋"/>
          <w:b w:val="0"/>
          <w:color w:val="auto"/>
          <w:kern w:val="2"/>
          <w:sz w:val="24"/>
          <w:szCs w:val="24"/>
          <w:lang w:val="en-US" w:eastAsia="zh-CN" w:bidi="ar-SA"/>
        </w:rPr>
        <w:t xml:space="preserve"> 10：30 （北京时间）</w:t>
      </w:r>
    </w:p>
    <w:p w14:paraId="45A62E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开标地点：投标人登录政采云平台https://www.zcygov.cn/，进入“项目采购-开标评标-右边选择对应项目点击“进入项目”进入开标大厅。</w:t>
      </w:r>
    </w:p>
    <w:p w14:paraId="58415A9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五、公告期限</w:t>
      </w:r>
    </w:p>
    <w:p w14:paraId="181850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自本公告发布之日起5个工作日</w:t>
      </w:r>
    </w:p>
    <w:p w14:paraId="139DB28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六、其他补充事宜</w:t>
      </w:r>
    </w:p>
    <w:p w14:paraId="2B6A28C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1、本项目实行网上投标，采用电子投标文件。</w:t>
      </w:r>
    </w:p>
    <w:p w14:paraId="0ADD63D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15440F5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3、供应商将政采云电子交易客户端下载、安装完成后，可通过账号密码或CA登录客户端进行投标文件的制作。在使用政采云投标客户端时，建议使用WIN7及以上操作系统。 </w:t>
      </w:r>
    </w:p>
    <w:p w14:paraId="0B1A71F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4、其他事项：无</w:t>
      </w:r>
    </w:p>
    <w:p w14:paraId="65E64F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ascii="微软雅黑" w:hAnsi="微软雅黑" w:eastAsia="微软雅黑" w:cs="微软雅黑"/>
          <w:i w:val="0"/>
          <w:caps w:val="0"/>
          <w:color w:val="auto"/>
          <w:spacing w:val="0"/>
          <w:sz w:val="19"/>
          <w:szCs w:val="19"/>
        </w:rPr>
      </w:pPr>
      <w:r>
        <w:rPr>
          <w:rFonts w:ascii="仿宋" w:hAnsi="仿宋" w:eastAsia="仿宋" w:cs="仿宋"/>
          <w:b/>
          <w:i w:val="0"/>
          <w:caps w:val="0"/>
          <w:color w:val="auto"/>
          <w:spacing w:val="0"/>
          <w:w w:val="100"/>
          <w:kern w:val="0"/>
          <w:position w:val="0"/>
          <w:sz w:val="24"/>
          <w:szCs w:val="24"/>
          <w:shd w:val="clear" w:color="auto" w:fill="auto"/>
          <w:lang w:val="en-US" w:eastAsia="zh-CN" w:bidi="ar"/>
        </w:rPr>
        <w:t>特别提示：</w:t>
      </w:r>
    </w:p>
    <w:p w14:paraId="152FD2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微软雅黑" w:hAnsi="微软雅黑" w:eastAsia="微软雅黑" w:cs="微软雅黑"/>
          <w:i w:val="0"/>
          <w:caps w:val="0"/>
          <w:color w:val="auto"/>
          <w:spacing w:val="0"/>
          <w:sz w:val="19"/>
          <w:szCs w:val="19"/>
        </w:rPr>
      </w:pPr>
      <w:r>
        <w:rPr>
          <w:rFonts w:hint="eastAsia" w:ascii="仿宋" w:hAnsi="仿宋" w:eastAsia="仿宋" w:cs="仿宋"/>
          <w:i w:val="0"/>
          <w:caps w:val="0"/>
          <w:color w:val="auto"/>
          <w:spacing w:val="0"/>
          <w:w w:val="100"/>
          <w:kern w:val="0"/>
          <w:position w:val="0"/>
          <w:sz w:val="24"/>
          <w:szCs w:val="24"/>
          <w:shd w:val="clear" w:color="auto" w:fill="auto"/>
          <w:lang w:val="en-US" w:eastAsia="zh-CN" w:bidi="ar"/>
        </w:rPr>
        <w:t>1、采购限额标准以上，200万元以下的货物和服务采购项目、400万元以下的工程采购项目，适宜由中小企业提供的，采购人应当专门面向中小企业采购。</w:t>
      </w:r>
    </w:p>
    <w:p w14:paraId="1931D8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微软雅黑" w:hAnsi="微软雅黑" w:eastAsia="微软雅黑" w:cs="微软雅黑"/>
          <w:i w:val="0"/>
          <w:caps w:val="0"/>
          <w:color w:val="auto"/>
          <w:spacing w:val="0"/>
          <w:sz w:val="19"/>
          <w:szCs w:val="19"/>
        </w:rPr>
      </w:pPr>
      <w:r>
        <w:rPr>
          <w:rFonts w:hint="eastAsia" w:ascii="仿宋" w:hAnsi="仿宋" w:eastAsia="仿宋" w:cs="仿宋"/>
          <w:i w:val="0"/>
          <w:caps w:val="0"/>
          <w:color w:val="auto"/>
          <w:spacing w:val="0"/>
          <w:w w:val="100"/>
          <w:kern w:val="0"/>
          <w:position w:val="0"/>
          <w:sz w:val="24"/>
          <w:szCs w:val="24"/>
          <w:shd w:val="clear" w:color="auto" w:fill="auto"/>
          <w:lang w:val="en-US" w:eastAsia="zh-CN" w:bidi="ar"/>
        </w:rPr>
        <w:t>2、超过200万元的货物和服务采购项目，预留该部分采购项目预算总额的30%以上专门面向中小企业采购，其中预留给小微企业的比例不低于60%。</w:t>
      </w:r>
    </w:p>
    <w:p w14:paraId="7009D7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微软雅黑" w:hAnsi="微软雅黑" w:eastAsia="微软雅黑" w:cs="微软雅黑"/>
          <w:i w:val="0"/>
          <w:caps w:val="0"/>
          <w:color w:val="auto"/>
          <w:spacing w:val="0"/>
          <w:sz w:val="19"/>
          <w:szCs w:val="19"/>
        </w:rPr>
      </w:pPr>
      <w:r>
        <w:rPr>
          <w:rFonts w:hint="eastAsia" w:ascii="仿宋" w:hAnsi="仿宋" w:eastAsia="仿宋" w:cs="仿宋"/>
          <w:i w:val="0"/>
          <w:caps w:val="0"/>
          <w:color w:val="auto"/>
          <w:spacing w:val="0"/>
          <w:w w:val="100"/>
          <w:kern w:val="0"/>
          <w:position w:val="0"/>
          <w:sz w:val="24"/>
          <w:szCs w:val="24"/>
          <w:shd w:val="clear" w:color="auto" w:fill="auto"/>
          <w:lang w:val="en-US" w:eastAsia="zh-CN" w:bidi="ar"/>
        </w:rPr>
        <w:t>3、超过400万元的工程采购项目中适宜由中小企业提供的，预留该部分采购项目预算总额的40%以上专门面向中小企业采购，其中预留给小微企业的比例不低于60%。</w:t>
      </w:r>
    </w:p>
    <w:p w14:paraId="3FFEFD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微软雅黑" w:hAnsi="微软雅黑" w:eastAsia="微软雅黑" w:cs="微软雅黑"/>
          <w:i w:val="0"/>
          <w:caps w:val="0"/>
          <w:color w:val="auto"/>
          <w:spacing w:val="0"/>
          <w:sz w:val="19"/>
          <w:szCs w:val="19"/>
        </w:rPr>
      </w:pPr>
      <w:r>
        <w:rPr>
          <w:rFonts w:hint="eastAsia" w:ascii="仿宋" w:hAnsi="仿宋" w:eastAsia="仿宋" w:cs="仿宋"/>
          <w:i w:val="0"/>
          <w:caps w:val="0"/>
          <w:color w:val="auto"/>
          <w:spacing w:val="0"/>
          <w:w w:val="100"/>
          <w:kern w:val="0"/>
          <w:position w:val="0"/>
          <w:sz w:val="24"/>
          <w:szCs w:val="24"/>
          <w:shd w:val="clear" w:color="auto" w:fill="auto"/>
          <w:lang w:val="en-US" w:eastAsia="zh-CN" w:bidi="ar"/>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E9AA0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color w:val="auto"/>
          <w:lang w:val="en-US" w:eastAsia="zh-CN"/>
        </w:rPr>
      </w:pPr>
      <w:r>
        <w:rPr>
          <w:rFonts w:hint="eastAsia" w:ascii="仿宋" w:hAnsi="仿宋" w:eastAsia="仿宋" w:cs="仿宋"/>
          <w:i w:val="0"/>
          <w:caps w:val="0"/>
          <w:color w:val="auto"/>
          <w:spacing w:val="0"/>
          <w:w w:val="100"/>
          <w:kern w:val="0"/>
          <w:position w:val="0"/>
          <w:sz w:val="24"/>
          <w:szCs w:val="24"/>
          <w:shd w:val="clear" w:color="auto" w:fill="auto"/>
          <w:lang w:val="en-US" w:eastAsia="zh-CN"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F3A806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七、对本次招标提出询问，请按以下方式联系。</w:t>
      </w:r>
    </w:p>
    <w:p w14:paraId="45F4B02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1.采购人信息：阿克陶县巴仁乡人民政府</w:t>
      </w:r>
    </w:p>
    <w:p w14:paraId="25EBA4F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xml:space="preserve">地址:阿克陶县巴仁乡  </w:t>
      </w:r>
    </w:p>
    <w:p w14:paraId="17D035A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联系人: 张先生</w:t>
      </w:r>
    </w:p>
    <w:p w14:paraId="443012C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联系电话: 13649935764</w:t>
      </w:r>
    </w:p>
    <w:p w14:paraId="5266F60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招标代理机构：新疆尊凯工程管理服务有限公司</w:t>
      </w:r>
    </w:p>
    <w:p w14:paraId="6007BB0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招标代理地址:新疆阿图什市环城北路</w:t>
      </w:r>
    </w:p>
    <w:p w14:paraId="6A24E69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招标代理联系人:王女士</w:t>
      </w:r>
    </w:p>
    <w:p w14:paraId="607B27C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招标代理联系电话:15809081063</w:t>
      </w:r>
    </w:p>
    <w:p w14:paraId="445A3E4A">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420"/>
        <w:jc w:val="left"/>
        <w:rPr>
          <w:rFonts w:hint="eastAsia" w:ascii="仿宋" w:hAnsi="仿宋" w:eastAsia="仿宋" w:cs="仿宋"/>
          <w:color w:val="auto"/>
          <w:szCs w:val="21"/>
          <w:lang w:val="en-US" w:eastAsia="zh-CN"/>
        </w:rPr>
      </w:pPr>
      <w:r>
        <w:rPr>
          <w:rFonts w:hint="eastAsia" w:ascii="仿宋" w:hAnsi="仿宋" w:eastAsia="仿宋" w:cs="仿宋"/>
          <w:color w:val="auto"/>
          <w:sz w:val="21"/>
          <w:szCs w:val="21"/>
        </w:rPr>
        <w:t xml:space="preserve">   </w:t>
      </w: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 xml:space="preserve">            </w:t>
      </w:r>
    </w:p>
    <w:p w14:paraId="2ED00BD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420"/>
        <w:jc w:val="left"/>
        <w:rPr>
          <w:rFonts w:hint="eastAsia" w:ascii="仿宋" w:hAnsi="仿宋" w:eastAsia="仿宋" w:cs="仿宋"/>
          <w:color w:val="auto"/>
          <w:szCs w:val="21"/>
          <w:lang w:val="en-US" w:eastAsia="zh-CN"/>
        </w:rPr>
      </w:pPr>
    </w:p>
    <w:p w14:paraId="10F13B95">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524A8A8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707034EA">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7F195A1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202F283E">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7E5A6E2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0539C578">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74160D3F">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3A774CD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22C0EEE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2A8624AB">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566437C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2D79EBD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72343A9A">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2BEE36EB">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6CC8EB5C">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69809738">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09E0F6CB">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161DF10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55F70450">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1F8FF6A5">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38B71C57">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3BE92E4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5CD1C49B">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18422B3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2A5B38E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54A213C2">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597E2921">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64AFC39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1860" w:firstLineChars="775"/>
        <w:jc w:val="left"/>
        <w:rPr>
          <w:rFonts w:hint="eastAsia" w:ascii="仿宋" w:hAnsi="仿宋" w:eastAsia="仿宋" w:cs="仿宋"/>
          <w:color w:val="auto"/>
          <w:szCs w:val="21"/>
          <w:lang w:val="en-US" w:eastAsia="zh-CN"/>
        </w:rPr>
      </w:pPr>
    </w:p>
    <w:p w14:paraId="1B50C3BE">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2580" w:firstLineChars="1075"/>
        <w:jc w:val="left"/>
        <w:rPr>
          <w:rFonts w:ascii="仿宋" w:hAnsi="仿宋" w:eastAsia="仿宋" w:cs="仿宋"/>
          <w:b/>
          <w:bCs/>
          <w:color w:val="auto"/>
          <w:sz w:val="36"/>
          <w:szCs w:val="36"/>
        </w:rPr>
      </w:pPr>
      <w:r>
        <w:rPr>
          <w:rFonts w:hint="eastAsia" w:ascii="仿宋" w:hAnsi="仿宋" w:eastAsia="仿宋" w:cs="仿宋"/>
          <w:color w:val="auto"/>
          <w:szCs w:val="21"/>
          <w:lang w:val="en-US" w:eastAsia="zh-CN"/>
        </w:rPr>
        <w:t xml:space="preserve"> </w:t>
      </w:r>
      <w:r>
        <w:rPr>
          <w:rFonts w:hint="eastAsia" w:ascii="仿宋" w:hAnsi="仿宋" w:eastAsia="仿宋" w:cs="仿宋"/>
          <w:b/>
          <w:bCs/>
          <w:color w:val="auto"/>
          <w:sz w:val="36"/>
          <w:szCs w:val="36"/>
        </w:rPr>
        <w:t>第二部分</w:t>
      </w:r>
      <w:r>
        <w:rPr>
          <w:rFonts w:hint="eastAsia" w:ascii="仿宋" w:hAnsi="仿宋" w:eastAsia="仿宋" w:cs="仿宋"/>
          <w:b/>
          <w:bCs/>
          <w:color w:val="auto"/>
          <w:sz w:val="36"/>
          <w:szCs w:val="36"/>
          <w:lang w:eastAsia="zh-CN"/>
        </w:rPr>
        <w:t xml:space="preserve"> </w:t>
      </w:r>
      <w:r>
        <w:rPr>
          <w:rFonts w:hint="eastAsia" w:ascii="仿宋" w:hAnsi="仿宋" w:eastAsia="仿宋" w:cs="仿宋"/>
          <w:b/>
          <w:bCs/>
          <w:color w:val="auto"/>
          <w:sz w:val="36"/>
          <w:szCs w:val="36"/>
        </w:rPr>
        <w:t>供应商须知</w:t>
      </w:r>
    </w:p>
    <w:p w14:paraId="562B91E5">
      <w:pPr>
        <w:spacing w:line="400" w:lineRule="exact"/>
        <w:ind w:firstLine="560" w:firstLineChars="200"/>
        <w:jc w:val="center"/>
        <w:rPr>
          <w:rFonts w:ascii="仿宋" w:hAnsi="仿宋" w:eastAsia="仿宋" w:cs="仿宋"/>
          <w:color w:val="auto"/>
          <w:sz w:val="28"/>
          <w:szCs w:val="28"/>
        </w:rPr>
      </w:pP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须知前附表</w:t>
      </w:r>
    </w:p>
    <w:tbl>
      <w:tblPr>
        <w:tblStyle w:val="25"/>
        <w:tblW w:w="9945" w:type="dxa"/>
        <w:jc w:val="center"/>
        <w:tblLayout w:type="fixed"/>
        <w:tblCellMar>
          <w:top w:w="0" w:type="dxa"/>
          <w:left w:w="108" w:type="dxa"/>
          <w:bottom w:w="0" w:type="dxa"/>
          <w:right w:w="108" w:type="dxa"/>
        </w:tblCellMar>
      </w:tblPr>
      <w:tblGrid>
        <w:gridCol w:w="638"/>
        <w:gridCol w:w="1485"/>
        <w:gridCol w:w="7822"/>
      </w:tblGrid>
      <w:tr w14:paraId="09A1A53D">
        <w:tblPrEx>
          <w:tblCellMar>
            <w:top w:w="0" w:type="dxa"/>
            <w:left w:w="108" w:type="dxa"/>
            <w:bottom w:w="0" w:type="dxa"/>
            <w:right w:w="108" w:type="dxa"/>
          </w:tblCellMar>
        </w:tblPrEx>
        <w:trPr>
          <w:trHeight w:val="56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9545545">
            <w:pPr>
              <w:widowControl/>
              <w:spacing w:line="334" w:lineRule="exact"/>
              <w:jc w:val="center"/>
              <w:rPr>
                <w:rFonts w:ascii="仿宋" w:hAnsi="仿宋" w:eastAsia="仿宋" w:cs="仿宋"/>
                <w:b/>
                <w:color w:val="auto"/>
              </w:rPr>
            </w:pPr>
            <w:r>
              <w:rPr>
                <w:rFonts w:hint="eastAsia" w:ascii="仿宋" w:hAnsi="仿宋" w:eastAsia="仿宋" w:cs="仿宋"/>
                <w:b/>
                <w:color w:val="auto"/>
              </w:rPr>
              <w:t>序 号</w:t>
            </w:r>
          </w:p>
        </w:tc>
        <w:tc>
          <w:tcPr>
            <w:tcW w:w="1485" w:type="dxa"/>
            <w:tcBorders>
              <w:top w:val="single" w:color="auto" w:sz="4" w:space="0"/>
              <w:left w:val="single" w:color="auto" w:sz="4" w:space="0"/>
              <w:bottom w:val="single" w:color="auto" w:sz="4" w:space="0"/>
              <w:right w:val="single" w:color="auto" w:sz="4" w:space="0"/>
            </w:tcBorders>
            <w:vAlign w:val="center"/>
          </w:tcPr>
          <w:p w14:paraId="34D37036">
            <w:pPr>
              <w:widowControl/>
              <w:spacing w:line="334" w:lineRule="exact"/>
              <w:jc w:val="center"/>
              <w:rPr>
                <w:rFonts w:ascii="仿宋" w:hAnsi="仿宋" w:eastAsia="仿宋" w:cs="仿宋"/>
                <w:b/>
                <w:color w:val="auto"/>
              </w:rPr>
            </w:pPr>
            <w:r>
              <w:rPr>
                <w:rFonts w:hint="eastAsia" w:ascii="仿宋" w:hAnsi="仿宋" w:eastAsia="仿宋" w:cs="仿宋"/>
                <w:b/>
                <w:color w:val="auto"/>
              </w:rPr>
              <w:t>名  称</w:t>
            </w:r>
          </w:p>
        </w:tc>
        <w:tc>
          <w:tcPr>
            <w:tcW w:w="7822" w:type="dxa"/>
            <w:tcBorders>
              <w:top w:val="single" w:color="auto" w:sz="4" w:space="0"/>
              <w:left w:val="single" w:color="auto" w:sz="4" w:space="0"/>
              <w:bottom w:val="single" w:color="auto" w:sz="4" w:space="0"/>
              <w:right w:val="single" w:color="auto" w:sz="4" w:space="0"/>
            </w:tcBorders>
            <w:vAlign w:val="center"/>
          </w:tcPr>
          <w:p w14:paraId="594B10BC">
            <w:pPr>
              <w:widowControl/>
              <w:spacing w:line="334" w:lineRule="exact"/>
              <w:jc w:val="center"/>
              <w:rPr>
                <w:rFonts w:ascii="仿宋" w:hAnsi="仿宋" w:eastAsia="仿宋" w:cs="仿宋"/>
                <w:b/>
                <w:color w:val="auto"/>
              </w:rPr>
            </w:pPr>
            <w:r>
              <w:rPr>
                <w:rFonts w:hint="eastAsia" w:ascii="仿宋" w:hAnsi="仿宋" w:eastAsia="仿宋" w:cs="仿宋"/>
                <w:b/>
                <w:color w:val="auto"/>
              </w:rPr>
              <w:t>编  列  内  容</w:t>
            </w:r>
          </w:p>
        </w:tc>
      </w:tr>
      <w:tr w14:paraId="28F3D507">
        <w:tblPrEx>
          <w:tblCellMar>
            <w:top w:w="0" w:type="dxa"/>
            <w:left w:w="108" w:type="dxa"/>
            <w:bottom w:w="0" w:type="dxa"/>
            <w:right w:w="108" w:type="dxa"/>
          </w:tblCellMar>
        </w:tblPrEx>
        <w:trPr>
          <w:trHeight w:val="16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36C617F">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w:t>
            </w:r>
          </w:p>
        </w:tc>
        <w:tc>
          <w:tcPr>
            <w:tcW w:w="1485" w:type="dxa"/>
            <w:tcBorders>
              <w:top w:val="single" w:color="auto" w:sz="4" w:space="0"/>
              <w:left w:val="single" w:color="auto" w:sz="4" w:space="0"/>
              <w:bottom w:val="single" w:color="auto" w:sz="4" w:space="0"/>
              <w:right w:val="single" w:color="auto" w:sz="4" w:space="0"/>
            </w:tcBorders>
            <w:vAlign w:val="center"/>
          </w:tcPr>
          <w:p w14:paraId="39C7BB5D">
            <w:pPr>
              <w:pStyle w:val="36"/>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auto"/>
                <w:lang w:eastAsia="zh-CN"/>
              </w:rPr>
            </w:pPr>
            <w:r>
              <w:rPr>
                <w:rFonts w:hint="eastAsia" w:ascii="仿宋" w:hAnsi="仿宋" w:eastAsia="仿宋" w:cs="仿宋"/>
                <w:color w:val="auto"/>
                <w:lang w:eastAsia="zh-CN"/>
              </w:rPr>
              <w:t>项目名称：</w:t>
            </w:r>
          </w:p>
          <w:p w14:paraId="6513E0DE">
            <w:pPr>
              <w:pStyle w:val="36"/>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auto"/>
                <w:lang w:eastAsia="zh-CN"/>
              </w:rPr>
            </w:pPr>
            <w:r>
              <w:rPr>
                <w:rFonts w:hint="eastAsia" w:ascii="仿宋" w:hAnsi="仿宋" w:eastAsia="仿宋" w:cs="仿宋"/>
                <w:color w:val="auto"/>
                <w:lang w:eastAsia="zh-CN"/>
              </w:rPr>
              <w:t>项目编号：</w:t>
            </w:r>
          </w:p>
          <w:p w14:paraId="62792611">
            <w:pPr>
              <w:pStyle w:val="36"/>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auto"/>
                <w:lang w:eastAsia="zh-CN"/>
              </w:rPr>
            </w:pPr>
            <w:r>
              <w:rPr>
                <w:rFonts w:hint="eastAsia" w:ascii="仿宋" w:hAnsi="仿宋" w:eastAsia="仿宋" w:cs="仿宋"/>
                <w:color w:val="auto"/>
                <w:lang w:eastAsia="zh-CN"/>
              </w:rPr>
              <w:t>采购内容：</w:t>
            </w:r>
          </w:p>
          <w:p w14:paraId="39840FAE">
            <w:pPr>
              <w:pStyle w:val="36"/>
              <w:keepNext w:val="0"/>
              <w:keepLines w:val="0"/>
              <w:pageBreakBefore w:val="0"/>
              <w:kinsoku/>
              <w:wordWrap/>
              <w:overflowPunct/>
              <w:topLinePunct w:val="0"/>
              <w:autoSpaceDE/>
              <w:autoSpaceDN/>
              <w:bidi w:val="0"/>
              <w:spacing w:line="312" w:lineRule="auto"/>
              <w:ind w:firstLine="0"/>
              <w:jc w:val="center"/>
              <w:rPr>
                <w:rFonts w:hint="eastAsia" w:ascii="仿宋" w:hAnsi="仿宋" w:eastAsia="仿宋" w:cs="仿宋"/>
                <w:color w:val="auto"/>
                <w:lang w:eastAsia="zh-CN"/>
              </w:rPr>
            </w:pPr>
            <w:r>
              <w:rPr>
                <w:rFonts w:hint="eastAsia" w:ascii="仿宋" w:hAnsi="仿宋" w:eastAsia="仿宋" w:cs="仿宋"/>
                <w:color w:val="auto"/>
                <w:lang w:val="en-US" w:eastAsia="zh-CN"/>
              </w:rPr>
              <w:t>质保</w:t>
            </w:r>
            <w:r>
              <w:rPr>
                <w:rFonts w:hint="eastAsia" w:ascii="仿宋" w:hAnsi="仿宋" w:eastAsia="仿宋" w:cs="仿宋"/>
                <w:color w:val="auto"/>
                <w:lang w:eastAsia="zh-CN"/>
              </w:rPr>
              <w:t>期：</w:t>
            </w:r>
          </w:p>
          <w:p w14:paraId="04ED30D8">
            <w:pPr>
              <w:pStyle w:val="36"/>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交货期：</w:t>
            </w:r>
          </w:p>
          <w:p w14:paraId="47D66131">
            <w:pPr>
              <w:pStyle w:val="36"/>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auto"/>
                <w:lang w:val="en-US"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55F35801">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项目名称：</w:t>
            </w:r>
            <w:r>
              <w:rPr>
                <w:rFonts w:hint="eastAsia" w:ascii="仿宋" w:hAnsi="仿宋" w:eastAsia="仿宋" w:cs="仿宋"/>
                <w:color w:val="auto"/>
                <w:lang w:val="en-US" w:eastAsia="zh-CN"/>
              </w:rPr>
              <w:t>阿克陶县巴仁乡古勒巴格村、且克村、墩巴格村新建黄麻鸡养殖基地项目-设备采购</w:t>
            </w:r>
          </w:p>
          <w:p w14:paraId="595FD424">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auto"/>
                <w:lang w:val="en-US" w:eastAsia="zh-CN"/>
              </w:rPr>
            </w:pPr>
            <w:r>
              <w:rPr>
                <w:rFonts w:hint="eastAsia" w:ascii="仿宋" w:hAnsi="仿宋" w:eastAsia="仿宋" w:cs="仿宋"/>
                <w:color w:val="auto"/>
                <w:lang w:eastAsia="zh-CN"/>
              </w:rPr>
              <w:t>项目编号：AKTZBCG-2025</w:t>
            </w:r>
            <w:r>
              <w:rPr>
                <w:rFonts w:hint="eastAsia" w:ascii="仿宋" w:hAnsi="仿宋" w:eastAsia="仿宋" w:cs="仿宋"/>
                <w:color w:val="auto"/>
                <w:lang w:val="en-US" w:eastAsia="zh-CN"/>
              </w:rPr>
              <w:t>028</w:t>
            </w:r>
          </w:p>
          <w:p w14:paraId="58042BAC">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采购内容：</w:t>
            </w:r>
            <w:r>
              <w:rPr>
                <w:rFonts w:hint="eastAsia" w:ascii="仿宋" w:hAnsi="仿宋" w:eastAsia="仿宋" w:cs="仿宋"/>
                <w:color w:val="auto"/>
                <w:lang w:val="en-US" w:eastAsia="zh-CN"/>
              </w:rPr>
              <w:t>采购一批黄麻鸡养殖设备。（具体详见招标文件技术规格及要求）</w:t>
            </w:r>
          </w:p>
          <w:p w14:paraId="0FE1FA9F">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auto"/>
                <w:lang w:eastAsia="zh-CN"/>
              </w:rPr>
            </w:pPr>
            <w:r>
              <w:rPr>
                <w:rFonts w:hint="eastAsia" w:ascii="仿宋" w:hAnsi="仿宋" w:eastAsia="仿宋" w:cs="仿宋"/>
                <w:b/>
                <w:bCs/>
                <w:color w:val="auto"/>
                <w:lang w:val="en-US" w:eastAsia="zh-CN"/>
              </w:rPr>
              <w:t>质保</w:t>
            </w:r>
            <w:r>
              <w:rPr>
                <w:rFonts w:hint="eastAsia" w:ascii="仿宋" w:hAnsi="仿宋" w:eastAsia="仿宋" w:cs="仿宋"/>
                <w:b/>
                <w:bCs/>
                <w:color w:val="auto"/>
                <w:lang w:eastAsia="zh-CN"/>
              </w:rPr>
              <w:t>期：</w:t>
            </w:r>
            <w:r>
              <w:rPr>
                <w:rFonts w:hint="eastAsia" w:ascii="仿宋" w:hAnsi="仿宋" w:eastAsia="仿宋" w:cs="仿宋"/>
                <w:b/>
                <w:bCs/>
                <w:color w:val="auto"/>
                <w:lang w:val="en-US" w:eastAsia="zh-CN"/>
              </w:rPr>
              <w:t>2</w:t>
            </w:r>
            <w:r>
              <w:rPr>
                <w:rFonts w:hint="eastAsia" w:ascii="仿宋" w:hAnsi="仿宋" w:eastAsia="仿宋" w:cs="仿宋"/>
                <w:b/>
                <w:bCs/>
                <w:color w:val="auto"/>
                <w:lang w:eastAsia="zh-CN"/>
              </w:rPr>
              <w:t>年(起止时间</w:t>
            </w:r>
            <w:r>
              <w:rPr>
                <w:rFonts w:hint="eastAsia" w:ascii="仿宋" w:hAnsi="仿宋" w:eastAsia="仿宋" w:cs="仿宋"/>
                <w:b/>
                <w:bCs/>
                <w:color w:val="auto"/>
                <w:lang w:val="en-US" w:eastAsia="zh-CN"/>
              </w:rPr>
              <w:t>以</w:t>
            </w:r>
            <w:r>
              <w:rPr>
                <w:rFonts w:hint="eastAsia" w:ascii="仿宋" w:hAnsi="仿宋" w:eastAsia="仿宋" w:cs="仿宋"/>
                <w:b/>
                <w:bCs/>
                <w:color w:val="auto"/>
                <w:lang w:eastAsia="zh-CN"/>
              </w:rPr>
              <w:t>甲乙双方</w:t>
            </w:r>
            <w:r>
              <w:rPr>
                <w:rFonts w:hint="eastAsia" w:ascii="仿宋" w:hAnsi="仿宋" w:eastAsia="仿宋" w:cs="仿宋"/>
                <w:b/>
                <w:bCs/>
                <w:color w:val="auto"/>
                <w:lang w:val="en-US" w:eastAsia="zh-CN"/>
              </w:rPr>
              <w:t>签订的合同</w:t>
            </w:r>
            <w:r>
              <w:rPr>
                <w:rFonts w:hint="eastAsia" w:ascii="仿宋" w:hAnsi="仿宋" w:eastAsia="仿宋" w:cs="仿宋"/>
                <w:b/>
                <w:bCs/>
                <w:color w:val="auto"/>
                <w:lang w:eastAsia="zh-CN"/>
              </w:rPr>
              <w:t>约定</w:t>
            </w:r>
            <w:r>
              <w:rPr>
                <w:rFonts w:hint="eastAsia" w:ascii="仿宋" w:hAnsi="仿宋" w:eastAsia="仿宋" w:cs="仿宋"/>
                <w:b/>
                <w:bCs/>
                <w:color w:val="auto"/>
                <w:lang w:val="en-US" w:eastAsia="zh-CN"/>
              </w:rPr>
              <w:t>为准</w:t>
            </w:r>
            <w:r>
              <w:rPr>
                <w:rFonts w:hint="eastAsia" w:ascii="仿宋" w:hAnsi="仿宋" w:eastAsia="仿宋" w:cs="仿宋"/>
                <w:b/>
                <w:bCs/>
                <w:color w:val="auto"/>
                <w:lang w:eastAsia="zh-CN"/>
              </w:rPr>
              <w:t>)</w:t>
            </w:r>
          </w:p>
          <w:p w14:paraId="7939DB85">
            <w:pPr>
              <w:pStyle w:val="8"/>
              <w:numPr>
                <w:ilvl w:val="0"/>
                <w:numId w:val="0"/>
              </w:numPr>
              <w:ind w:leftChars="0"/>
              <w:rPr>
                <w:rFonts w:hint="default"/>
                <w:color w:val="auto"/>
                <w:lang w:val="en-US" w:eastAsia="zh-CN"/>
              </w:rPr>
            </w:pPr>
            <w:r>
              <w:rPr>
                <w:rFonts w:hint="eastAsia" w:ascii="仿宋" w:hAnsi="仿宋" w:eastAsia="仿宋" w:cs="仿宋"/>
                <w:b/>
                <w:bCs/>
                <w:color w:val="auto"/>
                <w:lang w:val="en-US" w:eastAsia="zh-CN"/>
              </w:rPr>
              <w:t>交货期：合同签订后于</w:t>
            </w:r>
            <w:r>
              <w:rPr>
                <w:rFonts w:hint="eastAsia" w:ascii="仿宋" w:hAnsi="仿宋" w:eastAsia="仿宋" w:cs="仿宋"/>
                <w:b/>
                <w:bCs/>
                <w:color w:val="auto"/>
                <w:highlight w:val="none"/>
                <w:lang w:val="en-US" w:eastAsia="zh-CN"/>
              </w:rPr>
              <w:t>60日内全</w:t>
            </w:r>
            <w:r>
              <w:rPr>
                <w:rFonts w:hint="eastAsia" w:ascii="仿宋" w:hAnsi="仿宋" w:eastAsia="仿宋" w:cs="仿宋"/>
                <w:b/>
                <w:bCs/>
                <w:color w:val="auto"/>
                <w:lang w:val="en-US" w:eastAsia="zh-CN"/>
              </w:rPr>
              <w:t>部安装、调试、试运行完毕。具体甲乙双方签订合同约定为准（严格按照采购单位的时间要求按时供货及服务）</w:t>
            </w:r>
          </w:p>
        </w:tc>
      </w:tr>
      <w:tr w14:paraId="42630313">
        <w:tblPrEx>
          <w:tblCellMar>
            <w:top w:w="0" w:type="dxa"/>
            <w:left w:w="108" w:type="dxa"/>
            <w:bottom w:w="0" w:type="dxa"/>
            <w:right w:w="108" w:type="dxa"/>
          </w:tblCellMar>
        </w:tblPrEx>
        <w:trPr>
          <w:trHeight w:val="85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26A68C2">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2</w:t>
            </w:r>
          </w:p>
        </w:tc>
        <w:tc>
          <w:tcPr>
            <w:tcW w:w="1485" w:type="dxa"/>
            <w:tcBorders>
              <w:top w:val="single" w:color="auto" w:sz="4" w:space="0"/>
              <w:left w:val="single" w:color="auto" w:sz="4" w:space="0"/>
              <w:bottom w:val="single" w:color="auto" w:sz="4" w:space="0"/>
              <w:right w:val="single" w:color="auto" w:sz="4" w:space="0"/>
            </w:tcBorders>
            <w:vAlign w:val="center"/>
          </w:tcPr>
          <w:p w14:paraId="1BCD2FDD">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22" w:type="dxa"/>
            <w:tcBorders>
              <w:top w:val="single" w:color="auto" w:sz="4" w:space="0"/>
              <w:left w:val="single" w:color="auto" w:sz="4" w:space="0"/>
              <w:bottom w:val="single" w:color="auto" w:sz="4" w:space="0"/>
              <w:right w:val="single" w:color="auto" w:sz="4" w:space="0"/>
            </w:tcBorders>
            <w:vAlign w:val="center"/>
          </w:tcPr>
          <w:p w14:paraId="067862AE">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val="en-US" w:eastAsia="zh-CN"/>
              </w:rPr>
            </w:pPr>
            <w:r>
              <w:rPr>
                <w:rFonts w:hint="eastAsia" w:ascii="仿宋" w:hAnsi="仿宋" w:eastAsia="仿宋" w:cs="仿宋"/>
                <w:color w:val="auto"/>
                <w:lang w:eastAsia="zh-CN"/>
              </w:rPr>
              <w:t>名  称：</w:t>
            </w:r>
            <w:r>
              <w:rPr>
                <w:rFonts w:hint="eastAsia" w:ascii="仿宋" w:hAnsi="仿宋" w:eastAsia="仿宋" w:cs="仿宋"/>
                <w:color w:val="auto"/>
                <w:lang w:val="en-US" w:eastAsia="zh-CN"/>
              </w:rPr>
              <w:t>阿克陶县巴仁乡人民政府</w:t>
            </w:r>
          </w:p>
          <w:p w14:paraId="37103632">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联系人：</w:t>
            </w:r>
            <w:r>
              <w:rPr>
                <w:rFonts w:hint="eastAsia" w:ascii="仿宋" w:hAnsi="仿宋" w:eastAsia="仿宋" w:cs="仿宋"/>
                <w:b w:val="0"/>
                <w:color w:val="auto"/>
                <w:kern w:val="2"/>
                <w:sz w:val="24"/>
                <w:szCs w:val="24"/>
                <w:lang w:val="en-US" w:eastAsia="zh-CN" w:bidi="ar-SA"/>
              </w:rPr>
              <w:t>张先生</w:t>
            </w:r>
            <w:r>
              <w:rPr>
                <w:rFonts w:hint="eastAsia" w:ascii="仿宋" w:hAnsi="仿宋" w:eastAsia="仿宋" w:cs="仿宋"/>
                <w:color w:val="auto"/>
                <w:lang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 xml:space="preserve"> 电  话：</w:t>
            </w:r>
            <w:r>
              <w:rPr>
                <w:rFonts w:hint="eastAsia" w:ascii="仿宋" w:hAnsi="仿宋" w:eastAsia="仿宋" w:cs="仿宋"/>
                <w:color w:val="auto"/>
                <w:lang w:val="en-US" w:eastAsia="zh-CN"/>
              </w:rPr>
              <w:t>13649935764</w:t>
            </w:r>
          </w:p>
        </w:tc>
      </w:tr>
      <w:tr w14:paraId="462DA6BB">
        <w:tblPrEx>
          <w:tblCellMar>
            <w:top w:w="0" w:type="dxa"/>
            <w:left w:w="108" w:type="dxa"/>
            <w:bottom w:w="0" w:type="dxa"/>
            <w:right w:w="108" w:type="dxa"/>
          </w:tblCellMar>
        </w:tblPrEx>
        <w:trPr>
          <w:trHeight w:val="112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B93A5B3">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14:paraId="768A5E4E">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采购代理机构</w:t>
            </w:r>
          </w:p>
        </w:tc>
        <w:tc>
          <w:tcPr>
            <w:tcW w:w="7822" w:type="dxa"/>
            <w:tcBorders>
              <w:top w:val="single" w:color="auto" w:sz="4" w:space="0"/>
              <w:left w:val="single" w:color="auto" w:sz="4" w:space="0"/>
              <w:bottom w:val="single" w:color="auto" w:sz="4" w:space="0"/>
              <w:right w:val="single" w:color="auto" w:sz="4" w:space="0"/>
            </w:tcBorders>
            <w:vAlign w:val="center"/>
          </w:tcPr>
          <w:p w14:paraId="68A47DD0">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default" w:ascii="仿宋" w:hAnsi="仿宋" w:eastAsia="仿宋" w:cs="仿宋"/>
                <w:color w:val="auto"/>
                <w:lang w:val="en-US" w:eastAsia="zh-CN"/>
              </w:rPr>
              <w:t>名  称：新疆尊凯工程管理服务有限公司</w:t>
            </w:r>
          </w:p>
          <w:p w14:paraId="75DA68A3">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default" w:ascii="仿宋" w:hAnsi="仿宋" w:eastAsia="仿宋" w:cs="仿宋"/>
                <w:color w:val="auto"/>
                <w:lang w:val="en-US" w:eastAsia="zh-CN"/>
              </w:rPr>
              <w:t>地  址：新疆阿图什市迎宾路75号院</w:t>
            </w:r>
          </w:p>
          <w:p w14:paraId="50609E44">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default" w:ascii="仿宋" w:hAnsi="仿宋" w:eastAsia="仿宋" w:cs="仿宋"/>
                <w:color w:val="auto"/>
                <w:lang w:val="en-US" w:eastAsia="zh-CN"/>
              </w:rPr>
              <w:t>联系人：王女士       电  话：</w:t>
            </w:r>
            <w:r>
              <w:rPr>
                <w:rFonts w:hint="eastAsia" w:ascii="仿宋" w:hAnsi="仿宋" w:eastAsia="仿宋" w:cs="仿宋"/>
                <w:color w:val="auto"/>
                <w:lang w:val="en-US" w:eastAsia="zh-CN"/>
              </w:rPr>
              <w:t>15809081063</w:t>
            </w:r>
          </w:p>
        </w:tc>
      </w:tr>
      <w:tr w14:paraId="28BA6AA5">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DBCD958">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14:paraId="431C7F3F">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val="en-US" w:eastAsia="zh-CN"/>
              </w:rPr>
              <w:t>交货</w:t>
            </w:r>
            <w:r>
              <w:rPr>
                <w:rFonts w:hint="eastAsia" w:ascii="仿宋" w:hAnsi="仿宋" w:eastAsia="仿宋" w:cs="仿宋"/>
                <w:color w:val="auto"/>
                <w:lang w:eastAsia="zh-CN"/>
              </w:rPr>
              <w:t>地点</w:t>
            </w:r>
          </w:p>
        </w:tc>
        <w:tc>
          <w:tcPr>
            <w:tcW w:w="7822" w:type="dxa"/>
            <w:tcBorders>
              <w:top w:val="single" w:color="auto" w:sz="4" w:space="0"/>
              <w:left w:val="single" w:color="auto" w:sz="4" w:space="0"/>
              <w:bottom w:val="single" w:color="auto" w:sz="4" w:space="0"/>
              <w:right w:val="single" w:color="auto" w:sz="4" w:space="0"/>
            </w:tcBorders>
            <w:vAlign w:val="center"/>
          </w:tcPr>
          <w:p w14:paraId="6476CB9E">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b/>
                <w:bCs/>
                <w:color w:val="auto"/>
                <w:lang w:val="en-US" w:eastAsia="zh-CN"/>
              </w:rPr>
              <w:t>甲方指定地点</w:t>
            </w:r>
          </w:p>
        </w:tc>
      </w:tr>
      <w:tr w14:paraId="11112057">
        <w:tblPrEx>
          <w:tblCellMar>
            <w:top w:w="0" w:type="dxa"/>
            <w:left w:w="108" w:type="dxa"/>
            <w:bottom w:w="0" w:type="dxa"/>
            <w:right w:w="108" w:type="dxa"/>
          </w:tblCellMar>
        </w:tblPrEx>
        <w:trPr>
          <w:trHeight w:val="148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4758401F">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14:paraId="675D43F3">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资格要求</w:t>
            </w:r>
          </w:p>
        </w:tc>
        <w:tc>
          <w:tcPr>
            <w:tcW w:w="7822" w:type="dxa"/>
            <w:tcBorders>
              <w:top w:val="single" w:color="auto" w:sz="4" w:space="0"/>
              <w:left w:val="single" w:color="auto" w:sz="4" w:space="0"/>
              <w:bottom w:val="single" w:color="auto" w:sz="4" w:space="0"/>
              <w:right w:val="single" w:color="auto" w:sz="4" w:space="0"/>
            </w:tcBorders>
            <w:vAlign w:val="center"/>
          </w:tcPr>
          <w:p w14:paraId="1C8E458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14:paraId="5861F27B">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auto"/>
                <w:lang w:eastAsia="zh-CN"/>
              </w:rPr>
            </w:pPr>
            <w:r>
              <w:rPr>
                <w:rFonts w:hint="eastAsia" w:ascii="仿宋" w:hAnsi="仿宋" w:eastAsia="仿宋" w:cs="仿宋"/>
                <w:color w:val="auto"/>
                <w:lang w:eastAsia="zh-CN"/>
              </w:rPr>
              <w:t>2.落实政府采购政策需满足的资格要求：</w:t>
            </w:r>
            <w:r>
              <w:rPr>
                <w:rFonts w:hint="eastAsia" w:ascii="仿宋" w:hAnsi="仿宋" w:eastAsia="仿宋" w:cs="仿宋"/>
                <w:b/>
                <w:bCs/>
                <w:color w:val="auto"/>
                <w:lang w:eastAsia="zh-CN"/>
              </w:rPr>
              <w:t>本项目专门面向中小企业。</w:t>
            </w:r>
          </w:p>
          <w:p w14:paraId="22DFF5A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3.本项目的资格要求：</w:t>
            </w:r>
          </w:p>
          <w:p w14:paraId="59F3CC9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（1）具有有效的三证合一营业执照；</w:t>
            </w:r>
          </w:p>
          <w:p w14:paraId="60579DA2">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（2）具有法人授权委托书及被委托人身份证（法人提供法人证明书及法人身份证）；</w:t>
            </w:r>
          </w:p>
          <w:p w14:paraId="069E1B7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（3）投标企业须提供投标人（被授权人）近6个月内任意一个月的社保证明；</w:t>
            </w:r>
          </w:p>
          <w:p w14:paraId="23D2DC35">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4）投标企业需提供参加本次采购活动前三年内未被“信用中国”（www.creditchina.gov.cn）、中国政府采购网（www.ccgp.gov.cn）列入失信被执行人、重大税收违法案件当事人名单、政府采购严重违法失信行为记录名单；</w:t>
            </w:r>
          </w:p>
          <w:p w14:paraId="08716DE8">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（5）投标单位（供应商）提供针对本次采购项目《反商业贿赂承诺书》，《采购活动前三年内无重大违规记录承诺书》的书面声明。</w:t>
            </w:r>
          </w:p>
          <w:p w14:paraId="5804A979">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（6）具有良好的商业信誉和健全的财务会计制度（提供2024年经审计的财务报告；或提供2024年的财务报表，新成立公司不足一年的提供成立至今的财务报表；或提供开户银行出具的资信证明）</w:t>
            </w:r>
          </w:p>
          <w:p w14:paraId="65F5625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7）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535920A3">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（8）</w:t>
            </w:r>
            <w:r>
              <w:rPr>
                <w:rFonts w:hint="eastAsia" w:ascii="仿宋" w:hAnsi="仿宋" w:eastAsia="仿宋" w:cs="仿宋"/>
                <w:color w:val="auto"/>
                <w:lang w:eastAsia="zh-CN"/>
              </w:rPr>
              <w:t>投标保证金缴纳依据（汇款凭证）或保函等票据</w:t>
            </w:r>
          </w:p>
          <w:p w14:paraId="6CC99B35">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val="en-US" w:eastAsia="zh-CN"/>
              </w:rPr>
              <w:t>（9）</w:t>
            </w:r>
            <w:r>
              <w:rPr>
                <w:rFonts w:hint="eastAsia" w:ascii="仿宋" w:hAnsi="仿宋" w:eastAsia="仿宋" w:cs="仿宋"/>
                <w:color w:val="auto"/>
                <w:lang w:eastAsia="zh-CN"/>
              </w:rPr>
              <w:t>本项目不接受联合体投标；</w:t>
            </w:r>
          </w:p>
        </w:tc>
      </w:tr>
      <w:tr w14:paraId="47882E4D">
        <w:tblPrEx>
          <w:tblCellMar>
            <w:top w:w="0" w:type="dxa"/>
            <w:left w:w="108" w:type="dxa"/>
            <w:bottom w:w="0" w:type="dxa"/>
            <w:right w:w="108" w:type="dxa"/>
          </w:tblCellMar>
        </w:tblPrEx>
        <w:trPr>
          <w:trHeight w:val="4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473A701A">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14:paraId="5415EFE5">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资金来源</w:t>
            </w:r>
          </w:p>
        </w:tc>
        <w:tc>
          <w:tcPr>
            <w:tcW w:w="7822" w:type="dxa"/>
            <w:tcBorders>
              <w:top w:val="single" w:color="auto" w:sz="4" w:space="0"/>
              <w:left w:val="single" w:color="auto" w:sz="4" w:space="0"/>
              <w:bottom w:val="single" w:color="auto" w:sz="4" w:space="0"/>
              <w:right w:val="single" w:color="auto" w:sz="4" w:space="0"/>
            </w:tcBorders>
            <w:vAlign w:val="center"/>
          </w:tcPr>
          <w:p w14:paraId="04EF2A87">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2025年衔接资金</w:t>
            </w:r>
          </w:p>
        </w:tc>
      </w:tr>
      <w:tr w14:paraId="01D02269">
        <w:tblPrEx>
          <w:tblCellMar>
            <w:top w:w="0" w:type="dxa"/>
            <w:left w:w="108" w:type="dxa"/>
            <w:bottom w:w="0" w:type="dxa"/>
            <w:right w:w="108" w:type="dxa"/>
          </w:tblCellMar>
        </w:tblPrEx>
        <w:trPr>
          <w:trHeight w:val="46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A4AC70D">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14:paraId="19D100A5">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招标方式</w:t>
            </w:r>
          </w:p>
        </w:tc>
        <w:tc>
          <w:tcPr>
            <w:tcW w:w="7822" w:type="dxa"/>
            <w:tcBorders>
              <w:top w:val="single" w:color="auto" w:sz="4" w:space="0"/>
              <w:left w:val="single" w:color="auto" w:sz="4" w:space="0"/>
              <w:bottom w:val="single" w:color="auto" w:sz="4" w:space="0"/>
              <w:right w:val="single" w:color="auto" w:sz="4" w:space="0"/>
            </w:tcBorders>
            <w:vAlign w:val="center"/>
          </w:tcPr>
          <w:p w14:paraId="16ED6941">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公开招标(本项目采用网上电子招投标)  </w:t>
            </w:r>
          </w:p>
        </w:tc>
      </w:tr>
      <w:tr w14:paraId="31BBBC49">
        <w:tblPrEx>
          <w:tblCellMar>
            <w:top w:w="0" w:type="dxa"/>
            <w:left w:w="108" w:type="dxa"/>
            <w:bottom w:w="0" w:type="dxa"/>
            <w:right w:w="108" w:type="dxa"/>
          </w:tblCellMar>
        </w:tblPrEx>
        <w:trPr>
          <w:trHeight w:val="401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8A27B50">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8</w:t>
            </w:r>
          </w:p>
        </w:tc>
        <w:tc>
          <w:tcPr>
            <w:tcW w:w="1485" w:type="dxa"/>
            <w:tcBorders>
              <w:top w:val="single" w:color="auto" w:sz="4" w:space="0"/>
              <w:left w:val="single" w:color="auto" w:sz="4" w:space="0"/>
              <w:bottom w:val="single" w:color="auto" w:sz="4" w:space="0"/>
              <w:right w:val="single" w:color="auto" w:sz="4" w:space="0"/>
            </w:tcBorders>
            <w:vAlign w:val="center"/>
          </w:tcPr>
          <w:p w14:paraId="1E0072E7">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供应商信用查询</w:t>
            </w:r>
          </w:p>
        </w:tc>
        <w:tc>
          <w:tcPr>
            <w:tcW w:w="7822" w:type="dxa"/>
            <w:tcBorders>
              <w:top w:val="single" w:color="auto" w:sz="4" w:space="0"/>
              <w:left w:val="single" w:color="auto" w:sz="4" w:space="0"/>
              <w:bottom w:val="single" w:color="auto" w:sz="4" w:space="0"/>
              <w:right w:val="single" w:color="auto" w:sz="4" w:space="0"/>
            </w:tcBorders>
            <w:vAlign w:val="center"/>
          </w:tcPr>
          <w:p w14:paraId="1483501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1、查询渠道：信用中国（网址：http://www.creditchina.gov.cn）、中国政府采购网(网址：http://www.ccgp.gov.cn）。</w:t>
            </w:r>
          </w:p>
          <w:p w14:paraId="6B04CF4F">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2、截止时点：开标后评标前。</w:t>
            </w:r>
          </w:p>
          <w:p w14:paraId="7CC4A1E9">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3、信用信息查询记录和证据留存的具体方式：由采购组织机构在规定查询时间内打印信用信息查询记录并归入项目档案。</w:t>
            </w:r>
          </w:p>
          <w:p w14:paraId="5D35148C">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33EBAD99">
        <w:tblPrEx>
          <w:tblCellMar>
            <w:top w:w="0" w:type="dxa"/>
            <w:left w:w="108" w:type="dxa"/>
            <w:bottom w:w="0" w:type="dxa"/>
            <w:right w:w="108" w:type="dxa"/>
          </w:tblCellMar>
        </w:tblPrEx>
        <w:trPr>
          <w:trHeight w:val="7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9F07F11">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9</w:t>
            </w:r>
          </w:p>
        </w:tc>
        <w:tc>
          <w:tcPr>
            <w:tcW w:w="1485" w:type="dxa"/>
            <w:tcBorders>
              <w:top w:val="single" w:color="auto" w:sz="4" w:space="0"/>
              <w:left w:val="single" w:color="auto" w:sz="4" w:space="0"/>
              <w:bottom w:val="single" w:color="auto" w:sz="4" w:space="0"/>
              <w:right w:val="single" w:color="auto" w:sz="4" w:space="0"/>
            </w:tcBorders>
            <w:vAlign w:val="center"/>
          </w:tcPr>
          <w:p w14:paraId="7A06E2CE">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是否接受联合体投标</w:t>
            </w:r>
          </w:p>
        </w:tc>
        <w:tc>
          <w:tcPr>
            <w:tcW w:w="7822" w:type="dxa"/>
            <w:tcBorders>
              <w:top w:val="single" w:color="auto" w:sz="4" w:space="0"/>
              <w:left w:val="single" w:color="auto" w:sz="4" w:space="0"/>
              <w:bottom w:val="single" w:color="auto" w:sz="4" w:space="0"/>
              <w:right w:val="single" w:color="auto" w:sz="4" w:space="0"/>
            </w:tcBorders>
            <w:vAlign w:val="center"/>
          </w:tcPr>
          <w:p w14:paraId="4316CA67">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sym w:font="Wingdings" w:char="00FE"/>
            </w:r>
            <w:r>
              <w:rPr>
                <w:rFonts w:hint="eastAsia" w:ascii="仿宋" w:hAnsi="仿宋" w:eastAsia="仿宋" w:cs="仿宋"/>
                <w:color w:val="auto"/>
                <w:lang w:eastAsia="zh-CN"/>
              </w:rPr>
              <w:t>不接受</w:t>
            </w:r>
          </w:p>
          <w:p w14:paraId="7798B94C">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□接  受</w:t>
            </w:r>
          </w:p>
        </w:tc>
      </w:tr>
      <w:tr w14:paraId="66A9D3FE">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029667A">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75D0BB4B">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822" w:type="dxa"/>
            <w:tcBorders>
              <w:top w:val="single" w:color="auto" w:sz="4" w:space="0"/>
              <w:left w:val="single" w:color="auto" w:sz="4" w:space="0"/>
              <w:bottom w:val="single" w:color="auto" w:sz="4" w:space="0"/>
              <w:right w:val="single" w:color="auto" w:sz="4" w:space="0"/>
            </w:tcBorders>
            <w:vAlign w:val="center"/>
          </w:tcPr>
          <w:p w14:paraId="7CBF745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截止时间：</w:t>
            </w:r>
            <w:r>
              <w:rPr>
                <w:rFonts w:hint="eastAsia" w:ascii="仿宋" w:hAnsi="仿宋" w:eastAsia="仿宋" w:cs="仿宋"/>
                <w:b/>
                <w:bCs/>
                <w:color w:val="auto"/>
                <w:kern w:val="2"/>
                <w:lang w:eastAsia="zh-CN" w:bidi="ar-SA"/>
              </w:rPr>
              <w:t>20</w:t>
            </w:r>
            <w:r>
              <w:rPr>
                <w:rFonts w:hint="eastAsia" w:ascii="仿宋" w:hAnsi="仿宋" w:eastAsia="仿宋" w:cs="仿宋"/>
                <w:b/>
                <w:bCs/>
                <w:color w:val="auto"/>
                <w:kern w:val="2"/>
                <w:lang w:val="en-US" w:eastAsia="zh-CN" w:bidi="ar-SA"/>
              </w:rPr>
              <w:t>25</w:t>
            </w:r>
            <w:r>
              <w:rPr>
                <w:rFonts w:hint="eastAsia" w:ascii="仿宋" w:hAnsi="仿宋" w:eastAsia="仿宋" w:cs="仿宋"/>
                <w:b/>
                <w:bCs/>
                <w:color w:val="auto"/>
                <w:kern w:val="2"/>
                <w:lang w:eastAsia="zh-CN" w:bidi="ar-SA"/>
              </w:rPr>
              <w:t>年</w:t>
            </w:r>
            <w:r>
              <w:rPr>
                <w:rFonts w:hint="eastAsia" w:ascii="仿宋" w:hAnsi="仿宋" w:eastAsia="仿宋" w:cs="仿宋"/>
                <w:b/>
                <w:bCs/>
                <w:color w:val="auto"/>
                <w:kern w:val="2"/>
                <w:lang w:val="en-US" w:eastAsia="zh-CN" w:bidi="ar-SA"/>
              </w:rPr>
              <w:t xml:space="preserve"> 8</w:t>
            </w:r>
            <w:r>
              <w:rPr>
                <w:rFonts w:hint="eastAsia" w:ascii="仿宋" w:hAnsi="仿宋" w:eastAsia="仿宋" w:cs="仿宋"/>
                <w:b/>
                <w:bCs/>
                <w:color w:val="auto"/>
                <w:kern w:val="2"/>
                <w:lang w:eastAsia="zh-CN" w:bidi="ar-SA"/>
              </w:rPr>
              <w:t>月</w:t>
            </w:r>
            <w:r>
              <w:rPr>
                <w:rFonts w:hint="eastAsia" w:ascii="仿宋" w:hAnsi="仿宋" w:eastAsia="仿宋" w:cs="仿宋"/>
                <w:b/>
                <w:bCs/>
                <w:color w:val="auto"/>
                <w:kern w:val="2"/>
                <w:lang w:val="en-US" w:eastAsia="zh-CN" w:bidi="ar-SA"/>
              </w:rPr>
              <w:t xml:space="preserve"> 12</w:t>
            </w:r>
            <w:r>
              <w:rPr>
                <w:rFonts w:hint="eastAsia" w:ascii="仿宋" w:hAnsi="仿宋" w:eastAsia="仿宋" w:cs="仿宋"/>
                <w:b/>
                <w:bCs/>
                <w:color w:val="auto"/>
                <w:kern w:val="2"/>
                <w:lang w:eastAsia="zh-CN" w:bidi="ar-SA"/>
              </w:rPr>
              <w:t>日</w:t>
            </w:r>
            <w:r>
              <w:rPr>
                <w:rFonts w:hint="eastAsia" w:ascii="仿宋" w:hAnsi="仿宋" w:eastAsia="仿宋" w:cs="仿宋"/>
                <w:b/>
                <w:bCs/>
                <w:color w:val="auto"/>
                <w:lang w:eastAsia="zh-CN"/>
              </w:rPr>
              <w:t>上午</w:t>
            </w:r>
            <w:r>
              <w:rPr>
                <w:rFonts w:hint="eastAsia" w:ascii="仿宋" w:hAnsi="仿宋" w:eastAsia="仿宋" w:cs="仿宋"/>
                <w:b/>
                <w:bCs/>
                <w:color w:val="auto"/>
                <w:highlight w:val="none"/>
                <w:lang w:eastAsia="zh-CN"/>
              </w:rPr>
              <w:t>10时</w:t>
            </w:r>
            <w:r>
              <w:rPr>
                <w:rFonts w:hint="eastAsia" w:ascii="仿宋" w:hAnsi="仿宋" w:eastAsia="仿宋" w:cs="仿宋"/>
                <w:b/>
                <w:bCs/>
                <w:color w:val="auto"/>
                <w:highlight w:val="none"/>
                <w:lang w:val="en-US" w:eastAsia="zh-CN"/>
              </w:rPr>
              <w:t>10</w:t>
            </w:r>
            <w:r>
              <w:rPr>
                <w:rFonts w:hint="eastAsia" w:ascii="仿宋" w:hAnsi="仿宋" w:eastAsia="仿宋" w:cs="仿宋"/>
                <w:b/>
                <w:bCs/>
                <w:color w:val="auto"/>
                <w:highlight w:val="none"/>
                <w:lang w:eastAsia="zh-CN"/>
              </w:rPr>
              <w:t>分</w:t>
            </w:r>
            <w:r>
              <w:rPr>
                <w:rFonts w:hint="eastAsia" w:ascii="仿宋" w:hAnsi="仿宋" w:eastAsia="仿宋" w:cs="仿宋"/>
                <w:color w:val="auto"/>
                <w:lang w:eastAsia="zh-CN"/>
              </w:rPr>
              <w:t>（北京时间）</w:t>
            </w:r>
          </w:p>
        </w:tc>
      </w:tr>
      <w:tr w14:paraId="7D9EA3CE">
        <w:tblPrEx>
          <w:tblCellMar>
            <w:top w:w="0" w:type="dxa"/>
            <w:left w:w="108" w:type="dxa"/>
            <w:bottom w:w="0" w:type="dxa"/>
            <w:right w:w="108" w:type="dxa"/>
          </w:tblCellMar>
        </w:tblPrEx>
        <w:trPr>
          <w:trHeight w:val="4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B451511">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11</w:t>
            </w:r>
          </w:p>
        </w:tc>
        <w:tc>
          <w:tcPr>
            <w:tcW w:w="1485" w:type="dxa"/>
            <w:tcBorders>
              <w:top w:val="single" w:color="auto" w:sz="4" w:space="0"/>
              <w:left w:val="single" w:color="auto" w:sz="4" w:space="0"/>
              <w:bottom w:val="single" w:color="auto" w:sz="4" w:space="0"/>
              <w:right w:val="single" w:color="auto" w:sz="4" w:space="0"/>
            </w:tcBorders>
            <w:vAlign w:val="center"/>
          </w:tcPr>
          <w:p w14:paraId="22990210">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投标有效期</w:t>
            </w:r>
          </w:p>
        </w:tc>
        <w:tc>
          <w:tcPr>
            <w:tcW w:w="7822" w:type="dxa"/>
            <w:tcBorders>
              <w:top w:val="single" w:color="auto" w:sz="4" w:space="0"/>
              <w:left w:val="single" w:color="auto" w:sz="4" w:space="0"/>
              <w:bottom w:val="single" w:color="auto" w:sz="4" w:space="0"/>
              <w:right w:val="single" w:color="auto" w:sz="4" w:space="0"/>
            </w:tcBorders>
            <w:vAlign w:val="center"/>
          </w:tcPr>
          <w:p w14:paraId="57F5E16C">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 60 天</w:t>
            </w:r>
          </w:p>
        </w:tc>
      </w:tr>
      <w:tr w14:paraId="52DF1418">
        <w:tblPrEx>
          <w:tblCellMar>
            <w:top w:w="0" w:type="dxa"/>
            <w:left w:w="108" w:type="dxa"/>
            <w:bottom w:w="0" w:type="dxa"/>
            <w:right w:w="108" w:type="dxa"/>
          </w:tblCellMar>
        </w:tblPrEx>
        <w:trPr>
          <w:trHeight w:val="63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E0C60A6">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12</w:t>
            </w:r>
          </w:p>
        </w:tc>
        <w:tc>
          <w:tcPr>
            <w:tcW w:w="1485" w:type="dxa"/>
            <w:tcBorders>
              <w:top w:val="single" w:color="auto" w:sz="4" w:space="0"/>
              <w:left w:val="single" w:color="auto" w:sz="4" w:space="0"/>
              <w:bottom w:val="single" w:color="auto" w:sz="4" w:space="0"/>
              <w:right w:val="single" w:color="auto" w:sz="4" w:space="0"/>
            </w:tcBorders>
            <w:vAlign w:val="center"/>
          </w:tcPr>
          <w:p w14:paraId="1ADBADBC">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投标保证金</w:t>
            </w:r>
          </w:p>
        </w:tc>
        <w:tc>
          <w:tcPr>
            <w:tcW w:w="7822" w:type="dxa"/>
            <w:tcBorders>
              <w:top w:val="single" w:color="auto" w:sz="4" w:space="0"/>
              <w:left w:val="single" w:color="auto" w:sz="4" w:space="0"/>
              <w:bottom w:val="single" w:color="auto" w:sz="4" w:space="0"/>
              <w:right w:val="single" w:color="auto" w:sz="4" w:space="0"/>
            </w:tcBorders>
            <w:vAlign w:val="center"/>
          </w:tcPr>
          <w:p w14:paraId="45F7FA85">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b/>
                <w:bCs/>
                <w:color w:val="auto"/>
                <w:lang w:eastAsia="zh-CN"/>
              </w:rPr>
              <w:t>投标保证金缴纳方式：</w:t>
            </w:r>
            <w:r>
              <w:rPr>
                <w:rFonts w:hint="eastAsia" w:ascii="仿宋" w:hAnsi="仿宋" w:eastAsia="仿宋" w:cs="仿宋"/>
                <w:color w:val="auto"/>
                <w:lang w:eastAsia="zh-CN"/>
              </w:rPr>
              <w:t>投标保证金应当以支票、汇票、本票、网上银行支付或者金融机构、担保机构出具的保函等非现金形式缴纳。</w:t>
            </w:r>
          </w:p>
          <w:p w14:paraId="64CFAA34">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b/>
                <w:bCs/>
                <w:color w:val="auto"/>
                <w:lang w:eastAsia="zh-CN"/>
              </w:rPr>
              <w:t>投标保证金的金额：</w:t>
            </w:r>
            <w:r>
              <w:rPr>
                <w:rFonts w:hint="eastAsia" w:ascii="仿宋" w:hAnsi="仿宋" w:eastAsia="仿宋" w:cs="仿宋"/>
                <w:b/>
                <w:bCs/>
                <w:color w:val="auto"/>
                <w:lang w:val="en-US" w:eastAsia="zh-CN"/>
              </w:rPr>
              <w:t>250000</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贰拾伍万元整）</w:t>
            </w:r>
          </w:p>
          <w:p w14:paraId="5786171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投标保证金交纳要求：</w:t>
            </w:r>
          </w:p>
          <w:p w14:paraId="00BEAFDB">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1、投标保证金以电汇、网银等转账形式提交的，应在投标截止时间202</w:t>
            </w:r>
            <w:r>
              <w:rPr>
                <w:rFonts w:hint="eastAsia" w:ascii="仿宋" w:hAnsi="仿宋" w:eastAsia="仿宋" w:cs="仿宋"/>
                <w:color w:val="auto"/>
                <w:lang w:val="en-US" w:eastAsia="zh-CN"/>
              </w:rPr>
              <w:t>5</w:t>
            </w:r>
            <w:r>
              <w:rPr>
                <w:rFonts w:hint="eastAsia" w:ascii="仿宋" w:hAnsi="仿宋" w:eastAsia="仿宋" w:cs="仿宋"/>
                <w:color w:val="auto"/>
                <w:lang w:eastAsia="zh-CN"/>
              </w:rPr>
              <w:t>年</w:t>
            </w:r>
            <w:r>
              <w:rPr>
                <w:rFonts w:hint="eastAsia" w:ascii="仿宋" w:hAnsi="仿宋" w:eastAsia="仿宋" w:cs="仿宋"/>
                <w:color w:val="auto"/>
                <w:lang w:val="en-US" w:eastAsia="zh-CN"/>
              </w:rPr>
              <w:t>8</w:t>
            </w:r>
            <w:r>
              <w:rPr>
                <w:rFonts w:hint="eastAsia" w:ascii="仿宋" w:hAnsi="仿宋" w:eastAsia="仿宋" w:cs="仿宋"/>
                <w:color w:val="auto"/>
                <w:lang w:eastAsia="zh-CN"/>
              </w:rPr>
              <w:t>月</w:t>
            </w:r>
            <w:r>
              <w:rPr>
                <w:rFonts w:hint="eastAsia" w:ascii="仿宋" w:hAnsi="仿宋" w:eastAsia="仿宋" w:cs="仿宋"/>
                <w:color w:val="auto"/>
                <w:lang w:val="en-US" w:eastAsia="zh-CN"/>
              </w:rPr>
              <w:t xml:space="preserve"> 12</w:t>
            </w:r>
            <w:r>
              <w:rPr>
                <w:rFonts w:hint="eastAsia" w:ascii="仿宋" w:hAnsi="仿宋" w:eastAsia="仿宋" w:cs="仿宋"/>
                <w:color w:val="auto"/>
                <w:lang w:eastAsia="zh-CN"/>
              </w:rPr>
              <w:t>日10时</w:t>
            </w:r>
            <w:r>
              <w:rPr>
                <w:rFonts w:hint="eastAsia" w:ascii="仿宋" w:hAnsi="仿宋" w:eastAsia="仿宋" w:cs="仿宋"/>
                <w:color w:val="auto"/>
                <w:lang w:val="en-US" w:eastAsia="zh-CN"/>
              </w:rPr>
              <w:t>30</w:t>
            </w:r>
            <w:r>
              <w:rPr>
                <w:rFonts w:hint="eastAsia" w:ascii="仿宋" w:hAnsi="仿宋" w:eastAsia="仿宋" w:cs="仿宋"/>
                <w:color w:val="auto"/>
                <w:lang w:eastAsia="zh-CN"/>
              </w:rPr>
              <w:t>分（北京时间）前一次性汇入指定账户（以到账时间为准），不接受现金及任何个人汇款。确认到账后持以下材料：1.银行回执单2.营业执照3.投标人联系电话（手机号码）到阿克陶县政务服务和公共资源交易中心二楼换取票据收据，标书内附此票据收据复印件。</w:t>
            </w:r>
          </w:p>
          <w:p w14:paraId="4EEC2726">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2、投标保证金以保函等票据形式提交的，标书内附此票据复印件。</w:t>
            </w:r>
          </w:p>
          <w:p w14:paraId="67AD67E9">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3、有效投标保证金成功交纳后，截止开标时间，供应商无正当理由不参加该项目投标且不递交弃标函，投标保证金不予退还。</w:t>
            </w:r>
          </w:p>
          <w:p w14:paraId="2DEC9970">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户  名：阿克陶县政务服务和公共资源交易中心</w:t>
            </w:r>
          </w:p>
          <w:p w14:paraId="0DE55B3E">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账  号：30465101040026944</w:t>
            </w:r>
          </w:p>
          <w:p w14:paraId="2584C47B">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行  名：中国农业银行阿克陶县支行营业部</w:t>
            </w:r>
          </w:p>
          <w:p w14:paraId="2E3AC3C6">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行  号：103893246513</w:t>
            </w:r>
          </w:p>
          <w:p w14:paraId="444FF92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联系人：邓先生</w:t>
            </w:r>
          </w:p>
          <w:p w14:paraId="35C405C2">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电  话：18719937118  0908-5724161</w:t>
            </w:r>
          </w:p>
          <w:p w14:paraId="13B2526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（备注：须写清楚某某公司某某项目保证金）</w:t>
            </w:r>
          </w:p>
          <w:p w14:paraId="5C00AD55">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投标企业退投标保证金，需要的资料有：</w:t>
            </w:r>
          </w:p>
          <w:p w14:paraId="4EA3E263">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投标企业提供公司收款收据原件（盖公章）</w:t>
            </w:r>
          </w:p>
          <w:p w14:paraId="2B599199">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投标公司开户信息（复印件）</w:t>
            </w:r>
          </w:p>
          <w:p w14:paraId="4A08C4D8">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系统给公司开具的收款收据（复印件）</w:t>
            </w:r>
          </w:p>
          <w:p w14:paraId="034B448E">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中标企业退投标保证金需持合同（复印件）</w:t>
            </w:r>
          </w:p>
          <w:p w14:paraId="4E627BE0">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注：如投标企业无法到场办理请联系交易中心工作人员。</w:t>
            </w:r>
          </w:p>
          <w:p w14:paraId="547B589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联系人：邓先生</w:t>
            </w:r>
          </w:p>
          <w:p w14:paraId="4495255C">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电  话：18719937118  0908-5724161                              </w:t>
            </w:r>
          </w:p>
        </w:tc>
      </w:tr>
      <w:tr w14:paraId="14F567D4">
        <w:tblPrEx>
          <w:tblCellMar>
            <w:top w:w="0" w:type="dxa"/>
            <w:left w:w="108" w:type="dxa"/>
            <w:bottom w:w="0" w:type="dxa"/>
            <w:right w:w="108" w:type="dxa"/>
          </w:tblCellMar>
        </w:tblPrEx>
        <w:trPr>
          <w:trHeight w:val="86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409A7E21">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13</w:t>
            </w:r>
          </w:p>
        </w:tc>
        <w:tc>
          <w:tcPr>
            <w:tcW w:w="1485" w:type="dxa"/>
            <w:tcBorders>
              <w:top w:val="single" w:color="auto" w:sz="4" w:space="0"/>
              <w:left w:val="single" w:color="auto" w:sz="4" w:space="0"/>
              <w:bottom w:val="single" w:color="auto" w:sz="4" w:space="0"/>
              <w:right w:val="single" w:color="auto" w:sz="4" w:space="0"/>
            </w:tcBorders>
            <w:vAlign w:val="center"/>
          </w:tcPr>
          <w:p w14:paraId="4932ACA1">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是否允许递交备选投标方案</w:t>
            </w:r>
          </w:p>
        </w:tc>
        <w:tc>
          <w:tcPr>
            <w:tcW w:w="7822" w:type="dxa"/>
            <w:tcBorders>
              <w:top w:val="single" w:color="auto" w:sz="4" w:space="0"/>
              <w:left w:val="single" w:color="auto" w:sz="4" w:space="0"/>
              <w:bottom w:val="single" w:color="auto" w:sz="4" w:space="0"/>
              <w:right w:val="single" w:color="auto" w:sz="4" w:space="0"/>
            </w:tcBorders>
            <w:vAlign w:val="center"/>
          </w:tcPr>
          <w:p w14:paraId="61DC759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sym w:font="Wingdings" w:char="00FE"/>
            </w:r>
            <w:r>
              <w:rPr>
                <w:rFonts w:hint="eastAsia" w:ascii="仿宋" w:hAnsi="仿宋" w:eastAsia="仿宋" w:cs="仿宋"/>
                <w:color w:val="auto"/>
                <w:lang w:eastAsia="zh-CN"/>
              </w:rPr>
              <w:t>不允许</w:t>
            </w:r>
          </w:p>
          <w:p w14:paraId="586D8CEB">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sym w:font="Wingdings" w:char="00A8"/>
            </w:r>
            <w:r>
              <w:rPr>
                <w:rFonts w:hint="eastAsia" w:ascii="仿宋" w:hAnsi="仿宋" w:eastAsia="仿宋" w:cs="仿宋"/>
                <w:color w:val="auto"/>
                <w:lang w:eastAsia="zh-CN"/>
              </w:rPr>
              <w:t>允  许</w:t>
            </w:r>
          </w:p>
        </w:tc>
      </w:tr>
      <w:tr w14:paraId="0BE9CE23">
        <w:tblPrEx>
          <w:tblCellMar>
            <w:top w:w="0" w:type="dxa"/>
            <w:left w:w="108" w:type="dxa"/>
            <w:bottom w:w="0" w:type="dxa"/>
            <w:right w:w="108" w:type="dxa"/>
          </w:tblCellMar>
        </w:tblPrEx>
        <w:trPr>
          <w:trHeight w:val="67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A00CFA1">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14</w:t>
            </w:r>
          </w:p>
        </w:tc>
        <w:tc>
          <w:tcPr>
            <w:tcW w:w="1485" w:type="dxa"/>
            <w:tcBorders>
              <w:top w:val="single" w:color="auto" w:sz="4" w:space="0"/>
              <w:left w:val="single" w:color="auto" w:sz="4" w:space="0"/>
              <w:bottom w:val="single" w:color="auto" w:sz="4" w:space="0"/>
              <w:right w:val="single" w:color="auto" w:sz="4" w:space="0"/>
            </w:tcBorders>
            <w:vAlign w:val="center"/>
          </w:tcPr>
          <w:p w14:paraId="2E82B31A">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招标文件领取</w:t>
            </w:r>
          </w:p>
        </w:tc>
        <w:tc>
          <w:tcPr>
            <w:tcW w:w="7822" w:type="dxa"/>
            <w:tcBorders>
              <w:top w:val="single" w:color="auto" w:sz="4" w:space="0"/>
              <w:left w:val="single" w:color="auto" w:sz="4" w:space="0"/>
              <w:bottom w:val="single" w:color="auto" w:sz="4" w:space="0"/>
              <w:right w:val="single" w:color="auto" w:sz="4" w:space="0"/>
            </w:tcBorders>
            <w:vAlign w:val="center"/>
          </w:tcPr>
          <w:p w14:paraId="49EDAAD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u w:val="single"/>
                <w:lang w:eastAsia="zh-CN"/>
              </w:rPr>
              <w:t>时间：</w:t>
            </w:r>
            <w:r>
              <w:rPr>
                <w:rFonts w:hint="eastAsia" w:ascii="仿宋" w:hAnsi="仿宋" w:eastAsia="仿宋" w:cs="仿宋"/>
                <w:b/>
                <w:bCs/>
                <w:color w:val="auto"/>
                <w:u w:val="single"/>
                <w:lang w:eastAsia="zh-CN"/>
              </w:rPr>
              <w:t>202</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lang w:eastAsia="zh-CN"/>
              </w:rPr>
              <w:t>年</w:t>
            </w:r>
            <w:r>
              <w:rPr>
                <w:rFonts w:hint="eastAsia" w:ascii="仿宋" w:hAnsi="仿宋" w:eastAsia="仿宋" w:cs="仿宋"/>
                <w:b/>
                <w:bCs/>
                <w:color w:val="auto"/>
                <w:u w:val="single"/>
                <w:lang w:val="en-US" w:eastAsia="zh-CN"/>
              </w:rPr>
              <w:t xml:space="preserve"> 7</w:t>
            </w:r>
            <w:r>
              <w:rPr>
                <w:rFonts w:hint="eastAsia" w:ascii="仿宋" w:hAnsi="仿宋" w:eastAsia="仿宋" w:cs="仿宋"/>
                <w:b/>
                <w:bCs/>
                <w:color w:val="auto"/>
                <w:u w:val="single"/>
                <w:lang w:eastAsia="zh-CN"/>
              </w:rPr>
              <w:t>月</w:t>
            </w:r>
            <w:r>
              <w:rPr>
                <w:rFonts w:hint="eastAsia" w:ascii="仿宋" w:hAnsi="仿宋" w:eastAsia="仿宋" w:cs="仿宋"/>
                <w:b/>
                <w:bCs/>
                <w:color w:val="auto"/>
                <w:u w:val="single"/>
                <w:lang w:val="en-US" w:eastAsia="zh-CN"/>
              </w:rPr>
              <w:t xml:space="preserve"> 21</w:t>
            </w:r>
            <w:r>
              <w:rPr>
                <w:rFonts w:hint="eastAsia" w:ascii="仿宋" w:hAnsi="仿宋" w:eastAsia="仿宋" w:cs="仿宋"/>
                <w:b/>
                <w:bCs/>
                <w:color w:val="auto"/>
                <w:u w:val="single"/>
                <w:lang w:eastAsia="zh-CN"/>
              </w:rPr>
              <w:t>日至202</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lang w:eastAsia="zh-CN"/>
              </w:rPr>
              <w:t>年</w:t>
            </w:r>
            <w:r>
              <w:rPr>
                <w:rFonts w:hint="eastAsia" w:ascii="仿宋" w:hAnsi="仿宋" w:eastAsia="仿宋" w:cs="仿宋"/>
                <w:b/>
                <w:bCs/>
                <w:color w:val="auto"/>
                <w:u w:val="single"/>
                <w:lang w:val="en-US" w:eastAsia="zh-CN"/>
              </w:rPr>
              <w:t xml:space="preserve"> 7</w:t>
            </w:r>
            <w:r>
              <w:rPr>
                <w:rFonts w:hint="eastAsia" w:ascii="仿宋" w:hAnsi="仿宋" w:eastAsia="仿宋" w:cs="仿宋"/>
                <w:b/>
                <w:bCs/>
                <w:color w:val="auto"/>
                <w:u w:val="single"/>
                <w:lang w:eastAsia="zh-CN"/>
              </w:rPr>
              <w:t>月</w:t>
            </w:r>
            <w:r>
              <w:rPr>
                <w:rFonts w:hint="eastAsia" w:ascii="仿宋" w:hAnsi="仿宋" w:eastAsia="仿宋" w:cs="仿宋"/>
                <w:b/>
                <w:bCs/>
                <w:color w:val="auto"/>
                <w:u w:val="single"/>
                <w:lang w:val="en-US" w:eastAsia="zh-CN"/>
              </w:rPr>
              <w:t>28</w:t>
            </w:r>
            <w:r>
              <w:rPr>
                <w:rFonts w:hint="eastAsia" w:ascii="仿宋" w:hAnsi="仿宋" w:eastAsia="仿宋" w:cs="仿宋"/>
                <w:color w:val="auto"/>
                <w:u w:val="single"/>
                <w:lang w:eastAsia="zh-CN"/>
              </w:rPr>
              <w:t>日</w:t>
            </w:r>
            <w:r>
              <w:rPr>
                <w:rFonts w:hint="eastAsia" w:ascii="仿宋" w:hAnsi="仿宋" w:eastAsia="仿宋" w:cs="仿宋"/>
                <w:color w:val="auto"/>
                <w:lang w:eastAsia="zh-CN"/>
              </w:rPr>
              <w:t>，每天上午10:00至1</w:t>
            </w:r>
            <w:r>
              <w:rPr>
                <w:rFonts w:hint="eastAsia" w:ascii="仿宋" w:hAnsi="仿宋" w:eastAsia="仿宋" w:cs="仿宋"/>
                <w:color w:val="auto"/>
                <w:lang w:val="en-US" w:eastAsia="zh-CN"/>
              </w:rPr>
              <w:t>4</w:t>
            </w:r>
            <w:r>
              <w:rPr>
                <w:rFonts w:hint="eastAsia" w:ascii="仿宋" w:hAnsi="仿宋" w:eastAsia="仿宋" w:cs="仿宋"/>
                <w:color w:val="auto"/>
                <w:lang w:eastAsia="zh-CN"/>
              </w:rPr>
              <w:t>:</w:t>
            </w:r>
            <w:r>
              <w:rPr>
                <w:rFonts w:hint="eastAsia" w:ascii="仿宋" w:hAnsi="仿宋" w:eastAsia="仿宋" w:cs="仿宋"/>
                <w:color w:val="auto"/>
                <w:lang w:val="en-US" w:eastAsia="zh-CN"/>
              </w:rPr>
              <w:t>0</w:t>
            </w:r>
            <w:r>
              <w:rPr>
                <w:rFonts w:hint="eastAsia" w:ascii="仿宋" w:hAnsi="仿宋" w:eastAsia="仿宋" w:cs="仿宋"/>
                <w:color w:val="auto"/>
                <w:lang w:eastAsia="zh-CN"/>
              </w:rPr>
              <w:t>0，下午16:</w:t>
            </w:r>
            <w:r>
              <w:rPr>
                <w:rFonts w:hint="eastAsia" w:ascii="仿宋" w:hAnsi="仿宋" w:eastAsia="仿宋" w:cs="仿宋"/>
                <w:color w:val="auto"/>
                <w:lang w:val="en-US" w:eastAsia="zh-CN"/>
              </w:rPr>
              <w:t>0</w:t>
            </w:r>
            <w:r>
              <w:rPr>
                <w:rFonts w:hint="eastAsia" w:ascii="仿宋" w:hAnsi="仿宋" w:eastAsia="仿宋" w:cs="仿宋"/>
                <w:color w:val="auto"/>
                <w:lang w:eastAsia="zh-CN"/>
              </w:rPr>
              <w:t>0至</w:t>
            </w:r>
            <w:r>
              <w:rPr>
                <w:rFonts w:hint="eastAsia" w:ascii="仿宋" w:hAnsi="仿宋" w:eastAsia="仿宋" w:cs="仿宋"/>
                <w:color w:val="auto"/>
                <w:lang w:val="en-US" w:eastAsia="zh-CN"/>
              </w:rPr>
              <w:t>20</w:t>
            </w:r>
            <w:r>
              <w:rPr>
                <w:rFonts w:hint="eastAsia" w:ascii="仿宋" w:hAnsi="仿宋" w:eastAsia="仿宋" w:cs="仿宋"/>
                <w:color w:val="auto"/>
                <w:lang w:eastAsia="zh-CN"/>
              </w:rPr>
              <w:t>：</w:t>
            </w:r>
            <w:r>
              <w:rPr>
                <w:rFonts w:hint="eastAsia" w:ascii="仿宋" w:hAnsi="仿宋" w:eastAsia="仿宋" w:cs="仿宋"/>
                <w:color w:val="auto"/>
                <w:lang w:val="en-US" w:eastAsia="zh-CN"/>
              </w:rPr>
              <w:t>0</w:t>
            </w:r>
            <w:r>
              <w:rPr>
                <w:rFonts w:hint="eastAsia" w:ascii="仿宋" w:hAnsi="仿宋" w:eastAsia="仿宋" w:cs="仿宋"/>
                <w:color w:val="auto"/>
                <w:lang w:eastAsia="zh-CN"/>
              </w:rPr>
              <w:t>0（北京时间，节假日除外）</w:t>
            </w:r>
          </w:p>
          <w:p w14:paraId="0851D4C1">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地点：供应商登陆政采云平台http://www.zcygov.cn/，在线申请获取招标文件 （登录政府采购云平台 → 项目采购 → 获取招标文件 ，如有操作性问题，可与政采云在线客服进行咨询，咨询电话：95763）。</w:t>
            </w:r>
          </w:p>
          <w:p w14:paraId="6ED6D6B7">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方式：（1）供应商登录政采云平台https://www.zcygov.cn/在线申请获取采购文件（进入“项目采购”应用，在获取采购文件菜单中选择项目，申请获取采购文件） 。</w:t>
            </w:r>
          </w:p>
          <w:p w14:paraId="3C5FE3DF">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（2）供应商获取招标文件前应注册成为政府采购云平台正式供应商。</w:t>
            </w:r>
          </w:p>
        </w:tc>
      </w:tr>
      <w:tr w14:paraId="41C37C38">
        <w:tblPrEx>
          <w:tblCellMar>
            <w:top w:w="0" w:type="dxa"/>
            <w:left w:w="108" w:type="dxa"/>
            <w:bottom w:w="0" w:type="dxa"/>
            <w:right w:w="108" w:type="dxa"/>
          </w:tblCellMar>
        </w:tblPrEx>
        <w:trPr>
          <w:trHeight w:val="84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ED366B1">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15</w:t>
            </w:r>
          </w:p>
        </w:tc>
        <w:tc>
          <w:tcPr>
            <w:tcW w:w="1485" w:type="dxa"/>
            <w:tcBorders>
              <w:top w:val="single" w:color="auto" w:sz="4" w:space="0"/>
              <w:left w:val="single" w:color="auto" w:sz="4" w:space="0"/>
              <w:bottom w:val="single" w:color="auto" w:sz="4" w:space="0"/>
              <w:right w:val="single" w:color="auto" w:sz="4" w:space="0"/>
            </w:tcBorders>
            <w:vAlign w:val="center"/>
          </w:tcPr>
          <w:p w14:paraId="4E7C9676">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投标文件形式</w:t>
            </w:r>
          </w:p>
        </w:tc>
        <w:tc>
          <w:tcPr>
            <w:tcW w:w="7822" w:type="dxa"/>
            <w:tcBorders>
              <w:top w:val="single" w:color="auto" w:sz="4" w:space="0"/>
              <w:left w:val="single" w:color="auto" w:sz="4" w:space="0"/>
              <w:bottom w:val="single" w:color="auto" w:sz="4" w:space="0"/>
              <w:right w:val="single" w:color="auto" w:sz="4" w:space="0"/>
            </w:tcBorders>
            <w:vAlign w:val="center"/>
          </w:tcPr>
          <w:p w14:paraId="35F1034F">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电子投标文件包括“电子加密投标文件”和“备份投标文件”，在投标文件编制完成后同时生成。</w:t>
            </w:r>
          </w:p>
          <w:p w14:paraId="154F867F">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1、“电子加密投标文件”是指通过“政采云电子交易客户端”完成投标文件编制后生成并加密的数据电文形式的投标文件。</w:t>
            </w:r>
          </w:p>
          <w:p w14:paraId="77D53A17">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760DC7D0">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9F616E7">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16</w:t>
            </w:r>
          </w:p>
        </w:tc>
        <w:tc>
          <w:tcPr>
            <w:tcW w:w="1485" w:type="dxa"/>
            <w:tcBorders>
              <w:top w:val="single" w:color="auto" w:sz="4" w:space="0"/>
              <w:left w:val="single" w:color="auto" w:sz="4" w:space="0"/>
              <w:bottom w:val="single" w:color="auto" w:sz="4" w:space="0"/>
              <w:right w:val="single" w:color="auto" w:sz="4" w:space="0"/>
            </w:tcBorders>
            <w:vAlign w:val="center"/>
          </w:tcPr>
          <w:p w14:paraId="18F6149D">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投标文件份数及要求</w:t>
            </w:r>
          </w:p>
        </w:tc>
        <w:tc>
          <w:tcPr>
            <w:tcW w:w="7822" w:type="dxa"/>
            <w:tcBorders>
              <w:top w:val="single" w:color="auto" w:sz="4" w:space="0"/>
              <w:left w:val="single" w:color="auto" w:sz="4" w:space="0"/>
              <w:bottom w:val="single" w:color="auto" w:sz="4" w:space="0"/>
              <w:right w:val="single" w:color="auto" w:sz="4" w:space="0"/>
            </w:tcBorders>
            <w:vAlign w:val="center"/>
          </w:tcPr>
          <w:p w14:paraId="677DF96E">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1、一份电子加密标书（“.jmbs”格式），一份备份标书文件（“.bfbs”格式）。</w:t>
            </w:r>
          </w:p>
          <w:p w14:paraId="70E8B205">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2、每份电子投标文件应包括资格证明文件和商务及技术文件两部分。</w:t>
            </w:r>
          </w:p>
        </w:tc>
      </w:tr>
      <w:tr w14:paraId="5D07AA26">
        <w:tblPrEx>
          <w:tblCellMar>
            <w:top w:w="0" w:type="dxa"/>
            <w:left w:w="108" w:type="dxa"/>
            <w:bottom w:w="0" w:type="dxa"/>
            <w:right w:w="108" w:type="dxa"/>
          </w:tblCellMar>
        </w:tblPrEx>
        <w:trPr>
          <w:trHeight w:val="2217" w:hRule="atLeast"/>
          <w:jc w:val="center"/>
        </w:trPr>
        <w:tc>
          <w:tcPr>
            <w:tcW w:w="638" w:type="dxa"/>
            <w:vMerge w:val="restart"/>
            <w:tcBorders>
              <w:top w:val="single" w:color="auto" w:sz="4" w:space="0"/>
              <w:left w:val="single" w:color="auto" w:sz="4" w:space="0"/>
              <w:right w:val="single" w:color="auto" w:sz="4" w:space="0"/>
            </w:tcBorders>
            <w:vAlign w:val="center"/>
          </w:tcPr>
          <w:p w14:paraId="4E876598">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17</w:t>
            </w:r>
          </w:p>
        </w:tc>
        <w:tc>
          <w:tcPr>
            <w:tcW w:w="1485" w:type="dxa"/>
            <w:vMerge w:val="restart"/>
            <w:tcBorders>
              <w:top w:val="single" w:color="auto" w:sz="4" w:space="0"/>
              <w:left w:val="single" w:color="auto" w:sz="4" w:space="0"/>
              <w:right w:val="single" w:color="auto" w:sz="4" w:space="0"/>
            </w:tcBorders>
            <w:vAlign w:val="center"/>
          </w:tcPr>
          <w:p w14:paraId="233F3B63">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投标文件的上传和递交</w:t>
            </w:r>
          </w:p>
        </w:tc>
        <w:tc>
          <w:tcPr>
            <w:tcW w:w="7822" w:type="dxa"/>
            <w:tcBorders>
              <w:top w:val="single" w:color="auto" w:sz="4" w:space="0"/>
              <w:left w:val="single" w:color="auto" w:sz="4" w:space="0"/>
              <w:bottom w:val="single" w:color="auto" w:sz="4" w:space="0"/>
              <w:right w:val="single" w:color="auto" w:sz="4" w:space="0"/>
            </w:tcBorders>
            <w:vAlign w:val="center"/>
          </w:tcPr>
          <w:p w14:paraId="4EE6F82D">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03275615">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a.供应商未能在投标截止时间前成功上传电子加密投标文件的投标无效。</w:t>
            </w:r>
          </w:p>
          <w:p w14:paraId="2E42D90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b.供应商成功上传电子加密投标文件后，可自行打印投标文件接收回执。</w:t>
            </w:r>
          </w:p>
        </w:tc>
      </w:tr>
      <w:tr w14:paraId="5158229F">
        <w:tblPrEx>
          <w:tblCellMar>
            <w:top w:w="0" w:type="dxa"/>
            <w:left w:w="108" w:type="dxa"/>
            <w:bottom w:w="0" w:type="dxa"/>
            <w:right w:w="108" w:type="dxa"/>
          </w:tblCellMar>
        </w:tblPrEx>
        <w:trPr>
          <w:trHeight w:val="731" w:hRule="atLeast"/>
          <w:jc w:val="center"/>
        </w:trPr>
        <w:tc>
          <w:tcPr>
            <w:tcW w:w="638" w:type="dxa"/>
            <w:vMerge w:val="continue"/>
            <w:tcBorders>
              <w:left w:val="single" w:color="auto" w:sz="4" w:space="0"/>
              <w:bottom w:val="single" w:color="auto" w:sz="4" w:space="0"/>
              <w:right w:val="single" w:color="auto" w:sz="4" w:space="0"/>
            </w:tcBorders>
            <w:vAlign w:val="center"/>
          </w:tcPr>
          <w:p w14:paraId="17070E54">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p>
        </w:tc>
        <w:tc>
          <w:tcPr>
            <w:tcW w:w="1485" w:type="dxa"/>
            <w:vMerge w:val="continue"/>
            <w:tcBorders>
              <w:left w:val="single" w:color="auto" w:sz="4" w:space="0"/>
              <w:bottom w:val="single" w:color="auto" w:sz="4" w:space="0"/>
              <w:right w:val="single" w:color="auto" w:sz="4" w:space="0"/>
            </w:tcBorders>
            <w:vAlign w:val="center"/>
          </w:tcPr>
          <w:p w14:paraId="205DA5F4">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3900C9DA">
            <w:pPr>
              <w:keepNext w:val="0"/>
              <w:keepLines w:val="0"/>
              <w:pageBreakBefore w:val="0"/>
              <w:kinsoku/>
              <w:wordWrap/>
              <w:overflowPunct/>
              <w:topLinePunct w:val="0"/>
              <w:autoSpaceDE/>
              <w:autoSpaceDN/>
              <w:bidi w:val="0"/>
              <w:spacing w:line="312" w:lineRule="auto"/>
              <w:rPr>
                <w:rFonts w:ascii="仿宋" w:hAnsi="仿宋" w:eastAsia="仿宋" w:cs="仿宋"/>
                <w:b/>
                <w:bCs/>
                <w:color w:val="auto"/>
                <w:lang w:eastAsia="zh-CN"/>
              </w:rPr>
            </w:pPr>
            <w:r>
              <w:rPr>
                <w:rFonts w:hint="eastAsia" w:ascii="仿宋" w:hAnsi="仿宋" w:eastAsia="仿宋" w:cs="仿宋"/>
                <w:color w:val="auto"/>
                <w:lang w:eastAsia="zh-CN"/>
              </w:rPr>
              <w:t>2.备份投标文件：供应商在投标截止时间前将加密的投标文件上传至政府采购云平台，还可以在投标截止时间前以电子邮件方式提供备份投标文件1份</w:t>
            </w:r>
            <w:r>
              <w:rPr>
                <w:rFonts w:hint="eastAsia" w:ascii="仿宋" w:hAnsi="仿宋" w:eastAsia="仿宋" w:cs="仿宋"/>
                <w:color w:val="auto"/>
                <w:lang w:val="en-US" w:eastAsia="zh-CN"/>
              </w:rPr>
              <w:t>（接收人邮箱：1965876366@qq.com，接收人：王女士，电话：15809081063）</w:t>
            </w:r>
            <w:r>
              <w:rPr>
                <w:rFonts w:hint="eastAsia" w:ascii="仿宋" w:hAnsi="仿宋" w:eastAsia="仿宋" w:cs="仿宋"/>
                <w:color w:val="auto"/>
                <w:lang w:eastAsia="zh-CN"/>
              </w:rPr>
              <w:t>，</w:t>
            </w:r>
            <w:r>
              <w:rPr>
                <w:rFonts w:hint="eastAsia" w:ascii="仿宋" w:hAnsi="仿宋" w:eastAsia="仿宋" w:cs="仿宋"/>
                <w:b/>
                <w:bCs/>
                <w:color w:val="auto"/>
                <w:lang w:eastAsia="zh-CN"/>
              </w:rPr>
              <w:t>“备份投标文件”由供应商自愿提供，招标文件 不作强制性要求；如不提供或未按要求提供的，当电子投标文件无法解密时，将导致无备份投标文件而失去投标资格。</w:t>
            </w:r>
          </w:p>
          <w:p w14:paraId="6EDFD9C7">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6A974BCD">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554D1B4F">
        <w:tblPrEx>
          <w:tblCellMar>
            <w:top w:w="0" w:type="dxa"/>
            <w:left w:w="108" w:type="dxa"/>
            <w:bottom w:w="0" w:type="dxa"/>
            <w:right w:w="108" w:type="dxa"/>
          </w:tblCellMar>
        </w:tblPrEx>
        <w:trPr>
          <w:trHeight w:val="82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34F0A42">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18</w:t>
            </w:r>
          </w:p>
        </w:tc>
        <w:tc>
          <w:tcPr>
            <w:tcW w:w="1485" w:type="dxa"/>
            <w:tcBorders>
              <w:top w:val="single" w:color="auto" w:sz="4" w:space="0"/>
              <w:left w:val="single" w:color="auto" w:sz="4" w:space="0"/>
              <w:bottom w:val="single" w:color="auto" w:sz="4" w:space="0"/>
              <w:right w:val="single" w:color="auto" w:sz="4" w:space="0"/>
            </w:tcBorders>
            <w:vAlign w:val="center"/>
          </w:tcPr>
          <w:p w14:paraId="35BBBEB2">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评标委员会的组建</w:t>
            </w:r>
          </w:p>
        </w:tc>
        <w:tc>
          <w:tcPr>
            <w:tcW w:w="7822" w:type="dxa"/>
            <w:tcBorders>
              <w:top w:val="single" w:color="auto" w:sz="4" w:space="0"/>
              <w:left w:val="single" w:color="auto" w:sz="4" w:space="0"/>
              <w:bottom w:val="single" w:color="auto" w:sz="4" w:space="0"/>
              <w:right w:val="single" w:color="auto" w:sz="4" w:space="0"/>
            </w:tcBorders>
            <w:vAlign w:val="center"/>
          </w:tcPr>
          <w:p w14:paraId="6A3FAE74">
            <w:pPr>
              <w:keepNext w:val="0"/>
              <w:keepLines w:val="0"/>
              <w:pageBreakBefore w:val="0"/>
              <w:kinsoku/>
              <w:wordWrap/>
              <w:overflowPunct/>
              <w:topLinePunct w:val="0"/>
              <w:autoSpaceDE/>
              <w:autoSpaceDN/>
              <w:bidi w:val="0"/>
              <w:spacing w:line="312" w:lineRule="auto"/>
              <w:rPr>
                <w:rFonts w:ascii="仿宋" w:hAnsi="仿宋" w:eastAsia="仿宋" w:cs="仿宋"/>
                <w:color w:val="auto"/>
                <w:lang w:val="zh-CN" w:eastAsia="zh-CN"/>
              </w:rPr>
            </w:pPr>
            <w:r>
              <w:rPr>
                <w:rFonts w:hint="eastAsia" w:ascii="仿宋" w:hAnsi="仿宋" w:eastAsia="仿宋" w:cs="仿宋"/>
                <w:color w:val="auto"/>
                <w:lang w:val="zh-CN" w:eastAsia="zh-CN"/>
              </w:rPr>
              <w:t>评标委员会由招标人依法组建；</w:t>
            </w:r>
            <w:r>
              <w:rPr>
                <w:rFonts w:hint="eastAsia" w:ascii="仿宋" w:hAnsi="仿宋" w:eastAsia="仿宋" w:cs="仿宋"/>
                <w:b/>
                <w:bCs/>
                <w:color w:val="auto"/>
                <w:lang w:val="zh-CN" w:eastAsia="zh-CN"/>
              </w:rPr>
              <w:t>评审专家</w:t>
            </w:r>
            <w:r>
              <w:rPr>
                <w:rFonts w:hint="eastAsia" w:ascii="仿宋" w:hAnsi="仿宋" w:eastAsia="仿宋" w:cs="仿宋"/>
                <w:b/>
                <w:bCs/>
                <w:color w:val="auto"/>
                <w:lang w:val="en-US" w:eastAsia="zh-CN"/>
              </w:rPr>
              <w:t>组成员7人（业主代表1人）</w:t>
            </w:r>
            <w:r>
              <w:rPr>
                <w:rFonts w:hint="eastAsia" w:ascii="仿宋" w:hAnsi="仿宋" w:eastAsia="仿宋" w:cs="仿宋"/>
                <w:b/>
                <w:bCs/>
                <w:color w:val="auto"/>
                <w:lang w:val="zh-CN" w:eastAsia="zh-CN"/>
              </w:rPr>
              <w:t>。</w:t>
            </w:r>
          </w:p>
          <w:p w14:paraId="4114BD7B">
            <w:pPr>
              <w:keepNext w:val="0"/>
              <w:keepLines w:val="0"/>
              <w:pageBreakBefore w:val="0"/>
              <w:kinsoku/>
              <w:wordWrap/>
              <w:overflowPunct/>
              <w:topLinePunct w:val="0"/>
              <w:autoSpaceDE/>
              <w:autoSpaceDN/>
              <w:bidi w:val="0"/>
              <w:spacing w:line="312" w:lineRule="auto"/>
              <w:rPr>
                <w:rFonts w:ascii="仿宋" w:hAnsi="仿宋" w:eastAsia="仿宋" w:cs="仿宋"/>
                <w:color w:val="auto"/>
                <w:lang w:val="zh-CN" w:eastAsia="zh-CN"/>
              </w:rPr>
            </w:pPr>
            <w:r>
              <w:rPr>
                <w:rFonts w:hint="eastAsia" w:ascii="仿宋" w:hAnsi="仿宋" w:eastAsia="仿宋" w:cs="仿宋"/>
                <w:color w:val="auto"/>
                <w:lang w:val="zh-CN" w:eastAsia="zh-CN"/>
              </w:rPr>
              <w:t>评标专家确定方式：评标委员会由招标人在开标前从政采云专家库中随机抽取</w:t>
            </w:r>
          </w:p>
        </w:tc>
      </w:tr>
      <w:tr w14:paraId="7C14B2FB">
        <w:tblPrEx>
          <w:tblCellMar>
            <w:top w:w="0" w:type="dxa"/>
            <w:left w:w="108" w:type="dxa"/>
            <w:bottom w:w="0" w:type="dxa"/>
            <w:right w:w="108" w:type="dxa"/>
          </w:tblCellMar>
        </w:tblPrEx>
        <w:trPr>
          <w:trHeight w:val="130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7549AFE">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19</w:t>
            </w:r>
          </w:p>
        </w:tc>
        <w:tc>
          <w:tcPr>
            <w:tcW w:w="1485" w:type="dxa"/>
            <w:tcBorders>
              <w:top w:val="single" w:color="auto" w:sz="4" w:space="0"/>
              <w:left w:val="single" w:color="auto" w:sz="4" w:space="0"/>
              <w:bottom w:val="single" w:color="auto" w:sz="4" w:space="0"/>
              <w:right w:val="single" w:color="auto" w:sz="4" w:space="0"/>
            </w:tcBorders>
            <w:vAlign w:val="center"/>
          </w:tcPr>
          <w:p w14:paraId="0FC83500">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是否授权评标委员会确定中标候选人</w:t>
            </w:r>
          </w:p>
        </w:tc>
        <w:tc>
          <w:tcPr>
            <w:tcW w:w="7822" w:type="dxa"/>
            <w:tcBorders>
              <w:top w:val="single" w:color="auto" w:sz="4" w:space="0"/>
              <w:left w:val="single" w:color="auto" w:sz="4" w:space="0"/>
              <w:bottom w:val="single" w:color="auto" w:sz="4" w:space="0"/>
              <w:right w:val="single" w:color="auto" w:sz="4" w:space="0"/>
            </w:tcBorders>
            <w:vAlign w:val="center"/>
          </w:tcPr>
          <w:p w14:paraId="6D003CB9">
            <w:pPr>
              <w:keepNext w:val="0"/>
              <w:keepLines w:val="0"/>
              <w:pageBreakBefore w:val="0"/>
              <w:kinsoku/>
              <w:wordWrap/>
              <w:overflowPunct/>
              <w:topLinePunct w:val="0"/>
              <w:autoSpaceDE/>
              <w:autoSpaceDN/>
              <w:bidi w:val="0"/>
              <w:spacing w:line="312" w:lineRule="auto"/>
              <w:rPr>
                <w:rFonts w:ascii="仿宋" w:hAnsi="仿宋" w:eastAsia="仿宋" w:cs="仿宋"/>
                <w:color w:val="auto"/>
                <w:lang w:val="zh-CN" w:eastAsia="zh-CN"/>
              </w:rPr>
            </w:pPr>
            <w:r>
              <w:rPr>
                <w:rFonts w:hint="eastAsia" w:ascii="仿宋" w:hAnsi="仿宋" w:eastAsia="仿宋" w:cs="仿宋"/>
                <w:color w:val="auto"/>
                <w:lang w:val="zh-CN" w:eastAsia="zh-CN"/>
              </w:rPr>
              <w:t>是，评标委员会推荐1名中标候选人。</w:t>
            </w:r>
            <w:r>
              <w:rPr>
                <w:rFonts w:hint="eastAsia" w:ascii="仿宋" w:hAnsi="仿宋" w:eastAsia="仿宋" w:cs="仿宋"/>
                <w:color w:val="auto"/>
                <w:lang w:val="zh-CN" w:eastAsia="zh-CN"/>
              </w:rPr>
              <w:tab/>
            </w:r>
          </w:p>
        </w:tc>
      </w:tr>
      <w:tr w14:paraId="214238C7">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48C64303">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20</w:t>
            </w:r>
          </w:p>
        </w:tc>
        <w:tc>
          <w:tcPr>
            <w:tcW w:w="1485" w:type="dxa"/>
            <w:tcBorders>
              <w:top w:val="single" w:color="auto" w:sz="4" w:space="0"/>
              <w:left w:val="single" w:color="auto" w:sz="4" w:space="0"/>
              <w:bottom w:val="single" w:color="auto" w:sz="4" w:space="0"/>
              <w:right w:val="single" w:color="auto" w:sz="4" w:space="0"/>
            </w:tcBorders>
            <w:vAlign w:val="center"/>
          </w:tcPr>
          <w:p w14:paraId="750051A4">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递交投标文件地点</w:t>
            </w:r>
          </w:p>
        </w:tc>
        <w:tc>
          <w:tcPr>
            <w:tcW w:w="7822" w:type="dxa"/>
            <w:tcBorders>
              <w:top w:val="single" w:color="auto" w:sz="4" w:space="0"/>
              <w:left w:val="single" w:color="auto" w:sz="4" w:space="0"/>
              <w:bottom w:val="single" w:color="auto" w:sz="4" w:space="0"/>
              <w:right w:val="single" w:color="auto" w:sz="4" w:space="0"/>
            </w:tcBorders>
            <w:vAlign w:val="center"/>
          </w:tcPr>
          <w:p w14:paraId="4835E8B1">
            <w:pPr>
              <w:keepNext w:val="0"/>
              <w:keepLines w:val="0"/>
              <w:pageBreakBefore w:val="0"/>
              <w:kinsoku/>
              <w:wordWrap/>
              <w:overflowPunct/>
              <w:topLinePunct w:val="0"/>
              <w:autoSpaceDE/>
              <w:autoSpaceDN/>
              <w:bidi w:val="0"/>
              <w:spacing w:line="312" w:lineRule="auto"/>
              <w:rPr>
                <w:rFonts w:ascii="仿宋" w:hAnsi="仿宋" w:eastAsia="仿宋" w:cs="仿宋"/>
                <w:b/>
                <w:bCs/>
                <w:color w:val="auto"/>
                <w:lang w:eastAsia="zh-CN"/>
              </w:rPr>
            </w:pPr>
            <w:r>
              <w:rPr>
                <w:rFonts w:hint="eastAsia" w:ascii="仿宋" w:hAnsi="仿宋" w:eastAsia="仿宋" w:cs="仿宋"/>
                <w:color w:val="auto"/>
                <w:lang w:eastAsia="zh-CN"/>
              </w:rPr>
              <w:t>投标截止时间：</w:t>
            </w:r>
            <w:r>
              <w:rPr>
                <w:rFonts w:hint="eastAsia" w:ascii="仿宋" w:hAnsi="仿宋" w:eastAsia="仿宋" w:cs="仿宋"/>
                <w:b/>
                <w:bCs/>
                <w:color w:val="auto"/>
                <w:kern w:val="2"/>
                <w:lang w:eastAsia="zh-CN" w:bidi="ar-SA"/>
              </w:rPr>
              <w:t>202</w:t>
            </w:r>
            <w:r>
              <w:rPr>
                <w:rFonts w:hint="eastAsia" w:ascii="仿宋" w:hAnsi="仿宋" w:eastAsia="仿宋" w:cs="仿宋"/>
                <w:b/>
                <w:bCs/>
                <w:color w:val="auto"/>
                <w:kern w:val="2"/>
                <w:lang w:val="en-US" w:eastAsia="zh-CN" w:bidi="ar-SA"/>
              </w:rPr>
              <w:t>5</w:t>
            </w:r>
            <w:r>
              <w:rPr>
                <w:rFonts w:hint="eastAsia" w:ascii="仿宋" w:hAnsi="仿宋" w:eastAsia="仿宋" w:cs="仿宋"/>
                <w:b/>
                <w:bCs/>
                <w:color w:val="auto"/>
                <w:kern w:val="2"/>
                <w:lang w:eastAsia="zh-CN" w:bidi="ar-SA"/>
              </w:rPr>
              <w:t>年</w:t>
            </w:r>
            <w:r>
              <w:rPr>
                <w:rFonts w:hint="eastAsia" w:ascii="仿宋" w:hAnsi="仿宋" w:eastAsia="仿宋" w:cs="仿宋"/>
                <w:b/>
                <w:bCs/>
                <w:color w:val="auto"/>
                <w:kern w:val="2"/>
                <w:u w:val="single"/>
                <w:lang w:val="en-US" w:eastAsia="zh-CN" w:bidi="ar-SA"/>
              </w:rPr>
              <w:t xml:space="preserve"> 8</w:t>
            </w:r>
            <w:r>
              <w:rPr>
                <w:rFonts w:hint="eastAsia" w:ascii="仿宋" w:hAnsi="仿宋" w:eastAsia="仿宋" w:cs="仿宋"/>
                <w:b/>
                <w:bCs/>
                <w:color w:val="auto"/>
                <w:kern w:val="2"/>
                <w:lang w:eastAsia="zh-CN" w:bidi="ar-SA"/>
              </w:rPr>
              <w:t>月</w:t>
            </w:r>
            <w:r>
              <w:rPr>
                <w:rFonts w:hint="eastAsia" w:ascii="仿宋" w:hAnsi="仿宋" w:eastAsia="仿宋" w:cs="仿宋"/>
                <w:b/>
                <w:bCs/>
                <w:color w:val="auto"/>
                <w:kern w:val="2"/>
                <w:u w:val="single"/>
                <w:lang w:val="en-US" w:eastAsia="zh-CN" w:bidi="ar-SA"/>
              </w:rPr>
              <w:t xml:space="preserve"> 12 </w:t>
            </w:r>
            <w:r>
              <w:rPr>
                <w:rFonts w:hint="eastAsia" w:ascii="仿宋" w:hAnsi="仿宋" w:eastAsia="仿宋" w:cs="仿宋"/>
                <w:b/>
                <w:bCs/>
                <w:color w:val="auto"/>
                <w:kern w:val="2"/>
                <w:lang w:eastAsia="zh-CN" w:bidi="ar-SA"/>
              </w:rPr>
              <w:t>日</w:t>
            </w:r>
            <w:r>
              <w:rPr>
                <w:rFonts w:hint="eastAsia" w:ascii="仿宋" w:hAnsi="仿宋" w:eastAsia="仿宋" w:cs="仿宋"/>
                <w:b/>
                <w:bCs/>
                <w:color w:val="auto"/>
                <w:lang w:eastAsia="zh-CN"/>
              </w:rPr>
              <w:t>上午</w:t>
            </w:r>
            <w:r>
              <w:rPr>
                <w:rFonts w:hint="eastAsia" w:ascii="仿宋" w:hAnsi="仿宋" w:eastAsia="仿宋" w:cs="仿宋"/>
                <w:b/>
                <w:bCs/>
                <w:color w:val="auto"/>
                <w:highlight w:val="none"/>
                <w:lang w:eastAsia="zh-CN"/>
              </w:rPr>
              <w:t>10时</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lang w:eastAsia="zh-CN"/>
              </w:rPr>
              <w:t>0分</w:t>
            </w:r>
            <w:r>
              <w:rPr>
                <w:rFonts w:hint="eastAsia" w:ascii="仿宋" w:hAnsi="仿宋" w:eastAsia="仿宋" w:cs="仿宋"/>
                <w:b/>
                <w:bCs/>
                <w:color w:val="auto"/>
                <w:lang w:eastAsia="zh-CN"/>
              </w:rPr>
              <w:t>（北京时间）</w:t>
            </w:r>
          </w:p>
          <w:p w14:paraId="2938EE5B">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投标地点：新疆政府采购云平台（www.zcygov.cn）</w:t>
            </w:r>
          </w:p>
        </w:tc>
      </w:tr>
      <w:tr w14:paraId="3F5130C0">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right w:val="single" w:color="auto" w:sz="4" w:space="0"/>
            </w:tcBorders>
            <w:vAlign w:val="center"/>
          </w:tcPr>
          <w:p w14:paraId="53B3BEFA">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21</w:t>
            </w:r>
          </w:p>
        </w:tc>
        <w:tc>
          <w:tcPr>
            <w:tcW w:w="1485" w:type="dxa"/>
            <w:tcBorders>
              <w:top w:val="single" w:color="auto" w:sz="4" w:space="0"/>
              <w:left w:val="single" w:color="auto" w:sz="4" w:space="0"/>
              <w:right w:val="single" w:color="auto" w:sz="4" w:space="0"/>
            </w:tcBorders>
            <w:vAlign w:val="center"/>
          </w:tcPr>
          <w:p w14:paraId="675FBF0B">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开标时间和地点</w:t>
            </w:r>
          </w:p>
        </w:tc>
        <w:tc>
          <w:tcPr>
            <w:tcW w:w="7822" w:type="dxa"/>
            <w:tcBorders>
              <w:top w:val="single" w:color="auto" w:sz="4" w:space="0"/>
              <w:left w:val="single" w:color="auto" w:sz="4" w:space="0"/>
              <w:right w:val="single" w:color="auto" w:sz="4" w:space="0"/>
            </w:tcBorders>
            <w:vAlign w:val="center"/>
          </w:tcPr>
          <w:p w14:paraId="178E54AC">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开标时间：</w:t>
            </w:r>
            <w:r>
              <w:rPr>
                <w:rFonts w:hint="eastAsia" w:ascii="仿宋" w:hAnsi="仿宋" w:eastAsia="仿宋" w:cs="仿宋"/>
                <w:b/>
                <w:bCs/>
                <w:color w:val="auto"/>
                <w:kern w:val="2"/>
                <w:lang w:eastAsia="zh-CN" w:bidi="ar-SA"/>
              </w:rPr>
              <w:t>202</w:t>
            </w:r>
            <w:r>
              <w:rPr>
                <w:rFonts w:hint="eastAsia" w:ascii="仿宋" w:hAnsi="仿宋" w:eastAsia="仿宋" w:cs="仿宋"/>
                <w:b/>
                <w:bCs/>
                <w:color w:val="auto"/>
                <w:kern w:val="2"/>
                <w:lang w:val="en-US" w:eastAsia="zh-CN" w:bidi="ar-SA"/>
              </w:rPr>
              <w:t>5</w:t>
            </w:r>
            <w:r>
              <w:rPr>
                <w:rFonts w:hint="eastAsia" w:ascii="仿宋" w:hAnsi="仿宋" w:eastAsia="仿宋" w:cs="仿宋"/>
                <w:b/>
                <w:bCs/>
                <w:color w:val="auto"/>
                <w:kern w:val="2"/>
                <w:lang w:eastAsia="zh-CN" w:bidi="ar-SA"/>
              </w:rPr>
              <w:t>年</w:t>
            </w:r>
            <w:r>
              <w:rPr>
                <w:rFonts w:hint="eastAsia" w:ascii="仿宋" w:hAnsi="仿宋" w:eastAsia="仿宋" w:cs="仿宋"/>
                <w:b/>
                <w:bCs/>
                <w:color w:val="auto"/>
                <w:kern w:val="2"/>
                <w:u w:val="single"/>
                <w:shd w:val="clear" w:color="auto" w:fill="auto"/>
                <w:lang w:val="en-US" w:eastAsia="zh-CN" w:bidi="ar-SA"/>
              </w:rPr>
              <w:t xml:space="preserve"> 8</w:t>
            </w:r>
            <w:r>
              <w:rPr>
                <w:rFonts w:hint="eastAsia" w:ascii="仿宋" w:hAnsi="仿宋" w:eastAsia="仿宋" w:cs="仿宋"/>
                <w:b/>
                <w:bCs/>
                <w:color w:val="auto"/>
                <w:kern w:val="2"/>
                <w:lang w:eastAsia="zh-CN" w:bidi="ar-SA"/>
              </w:rPr>
              <w:t>月</w:t>
            </w:r>
            <w:r>
              <w:rPr>
                <w:rFonts w:hint="eastAsia" w:ascii="仿宋" w:hAnsi="仿宋" w:eastAsia="仿宋" w:cs="仿宋"/>
                <w:b/>
                <w:bCs/>
                <w:color w:val="auto"/>
                <w:kern w:val="2"/>
                <w:u w:val="single"/>
                <w:lang w:val="en-US" w:eastAsia="zh-CN" w:bidi="ar-SA"/>
              </w:rPr>
              <w:t xml:space="preserve"> 12 </w:t>
            </w:r>
            <w:r>
              <w:rPr>
                <w:rFonts w:hint="eastAsia" w:ascii="仿宋" w:hAnsi="仿宋" w:eastAsia="仿宋" w:cs="仿宋"/>
                <w:b/>
                <w:bCs/>
                <w:color w:val="auto"/>
                <w:kern w:val="2"/>
                <w:lang w:eastAsia="zh-CN" w:bidi="ar-SA"/>
              </w:rPr>
              <w:t>日</w:t>
            </w:r>
            <w:r>
              <w:rPr>
                <w:rFonts w:hint="eastAsia" w:ascii="仿宋" w:hAnsi="仿宋" w:eastAsia="仿宋" w:cs="仿宋"/>
                <w:b/>
                <w:bCs/>
                <w:color w:val="auto"/>
                <w:lang w:eastAsia="zh-CN"/>
              </w:rPr>
              <w:t>上午</w:t>
            </w:r>
            <w:r>
              <w:rPr>
                <w:rFonts w:hint="eastAsia" w:ascii="仿宋" w:hAnsi="仿宋" w:eastAsia="仿宋" w:cs="仿宋"/>
                <w:b/>
                <w:bCs/>
                <w:color w:val="auto"/>
                <w:highlight w:val="none"/>
                <w:lang w:eastAsia="zh-CN"/>
              </w:rPr>
              <w:t>10时</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lang w:eastAsia="zh-CN"/>
              </w:rPr>
              <w:t>0分</w:t>
            </w:r>
            <w:r>
              <w:rPr>
                <w:rFonts w:hint="eastAsia" w:ascii="仿宋" w:hAnsi="仿宋" w:eastAsia="仿宋" w:cs="仿宋"/>
                <w:b/>
                <w:bCs/>
                <w:color w:val="auto"/>
                <w:lang w:eastAsia="zh-CN"/>
              </w:rPr>
              <w:t>（北京时间）</w:t>
            </w:r>
          </w:p>
          <w:p w14:paraId="47AD6DBE">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开标地点：新疆政府采购云平台（www.zcygov.cn）         </w:t>
            </w:r>
          </w:p>
        </w:tc>
      </w:tr>
      <w:tr w14:paraId="01CEE882">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C2BA140">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sz w:val="21"/>
                <w:szCs w:val="21"/>
                <w:lang w:eastAsia="zh-CN"/>
              </w:rPr>
            </w:pPr>
            <w:r>
              <w:rPr>
                <w:rFonts w:hint="eastAsia" w:ascii="仿宋" w:hAnsi="仿宋" w:eastAsia="仿宋" w:cs="仿宋"/>
                <w:color w:val="auto"/>
                <w:lang w:val="en-US" w:eastAsia="zh-CN"/>
              </w:rPr>
              <w:t>22</w:t>
            </w:r>
          </w:p>
        </w:tc>
        <w:tc>
          <w:tcPr>
            <w:tcW w:w="1485" w:type="dxa"/>
            <w:tcBorders>
              <w:top w:val="single" w:color="auto" w:sz="4" w:space="0"/>
              <w:left w:val="single" w:color="auto" w:sz="4" w:space="0"/>
              <w:bottom w:val="single" w:color="auto" w:sz="4" w:space="0"/>
              <w:right w:val="single" w:color="auto" w:sz="4" w:space="0"/>
            </w:tcBorders>
            <w:vAlign w:val="center"/>
          </w:tcPr>
          <w:p w14:paraId="61C6D549">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中标候选人公示媒介</w:t>
            </w:r>
          </w:p>
        </w:tc>
        <w:tc>
          <w:tcPr>
            <w:tcW w:w="7822" w:type="dxa"/>
            <w:tcBorders>
              <w:top w:val="single" w:color="auto" w:sz="4" w:space="0"/>
              <w:left w:val="single" w:color="auto" w:sz="4" w:space="0"/>
              <w:bottom w:val="single" w:color="auto" w:sz="4" w:space="0"/>
              <w:right w:val="single" w:color="auto" w:sz="4" w:space="0"/>
            </w:tcBorders>
            <w:vAlign w:val="center"/>
          </w:tcPr>
          <w:p w14:paraId="4C4D2922">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新疆政府采购网、克州公共资源交易网，公示期为一个工作日。</w:t>
            </w:r>
          </w:p>
        </w:tc>
      </w:tr>
      <w:tr w14:paraId="4619820B">
        <w:tblPrEx>
          <w:tblCellMar>
            <w:top w:w="0" w:type="dxa"/>
            <w:left w:w="108" w:type="dxa"/>
            <w:bottom w:w="0" w:type="dxa"/>
            <w:right w:w="108" w:type="dxa"/>
          </w:tblCellMar>
        </w:tblPrEx>
        <w:trPr>
          <w:trHeight w:val="41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F1102A2">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val="en-US" w:eastAsia="zh-CN"/>
              </w:rPr>
              <w:t>23</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409F65C2">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招标代理服务费</w:t>
            </w:r>
          </w:p>
        </w:tc>
      </w:tr>
      <w:tr w14:paraId="20DB0C74">
        <w:tblPrEx>
          <w:tblCellMar>
            <w:top w:w="0" w:type="dxa"/>
            <w:left w:w="108" w:type="dxa"/>
            <w:bottom w:w="0" w:type="dxa"/>
            <w:right w:w="108" w:type="dxa"/>
          </w:tblCellMar>
        </w:tblPrEx>
        <w:trPr>
          <w:trHeight w:val="52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6BC8CD2">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sz w:val="21"/>
                <w:szCs w:val="21"/>
                <w:lang w:eastAsia="zh-CN"/>
              </w:rPr>
            </w:pP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0DF055C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仿宋" w:hAnsi="仿宋" w:eastAsia="仿宋" w:cs="仿宋"/>
                <w:color w:val="auto"/>
                <w:lang w:val="en-US" w:eastAsia="zh-CN"/>
              </w:rPr>
              <w:t>收费标准：按照国家发展改革委关于进一步放开建设项目专业服务价格的通知新建招协[2024]4号文件规定计算本项目的费用 。 本项目招标代理费为 139000 元 。 在中标通知书发放之日前由中标单位一次性缴纳。</w:t>
            </w:r>
            <w:r>
              <w:rPr>
                <w:rFonts w:hint="eastAsia" w:ascii="宋体" w:hAnsi="宋体" w:eastAsia="宋体" w:cs="宋体"/>
                <w:snapToGrid w:val="0"/>
                <w:color w:val="auto"/>
                <w:sz w:val="21"/>
                <w:szCs w:val="21"/>
                <w:highlight w:val="none"/>
              </w:rPr>
              <w:t>招标代理服务收费标准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401"/>
              <w:gridCol w:w="1728"/>
              <w:gridCol w:w="1171"/>
              <w:gridCol w:w="1171"/>
            </w:tblGrid>
            <w:tr w14:paraId="63C0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770" w:type="dxa"/>
                  <w:noWrap w:val="0"/>
                  <w:vAlign w:val="top"/>
                </w:tcPr>
                <w:p w14:paraId="5C06CE3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中标</w:t>
                  </w:r>
                  <w:r>
                    <w:rPr>
                      <w:rFonts w:hint="eastAsia" w:ascii="宋体" w:hAnsi="宋体" w:eastAsia="宋体" w:cs="宋体"/>
                      <w:snapToGrid w:val="0"/>
                      <w:color w:val="auto"/>
                      <w:sz w:val="21"/>
                      <w:szCs w:val="21"/>
                      <w:highlight w:val="none"/>
                    </w:rPr>
                    <w:t>金额（万元）</w:t>
                  </w:r>
                </w:p>
              </w:tc>
              <w:tc>
                <w:tcPr>
                  <w:tcW w:w="1401" w:type="dxa"/>
                  <w:noWrap w:val="0"/>
                  <w:vAlign w:val="top"/>
                </w:tcPr>
                <w:p w14:paraId="05872787">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货物招标</w:t>
                  </w:r>
                </w:p>
              </w:tc>
              <w:tc>
                <w:tcPr>
                  <w:tcW w:w="1728" w:type="dxa"/>
                  <w:noWrap w:val="0"/>
                  <w:vAlign w:val="top"/>
                </w:tcPr>
                <w:p w14:paraId="5BCFA29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服务招标</w:t>
                  </w:r>
                </w:p>
              </w:tc>
              <w:tc>
                <w:tcPr>
                  <w:tcW w:w="1171" w:type="dxa"/>
                  <w:noWrap w:val="0"/>
                  <w:vAlign w:val="top"/>
                </w:tcPr>
                <w:p w14:paraId="7466586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工程招标</w:t>
                  </w:r>
                </w:p>
              </w:tc>
              <w:tc>
                <w:tcPr>
                  <w:tcW w:w="1171" w:type="dxa"/>
                  <w:noWrap w:val="0"/>
                  <w:vAlign w:val="top"/>
                </w:tcPr>
                <w:p w14:paraId="09254D7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备注</w:t>
                  </w:r>
                </w:p>
              </w:tc>
            </w:tr>
            <w:tr w14:paraId="4CE3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770" w:type="dxa"/>
                  <w:noWrap w:val="0"/>
                  <w:vAlign w:val="center"/>
                </w:tcPr>
                <w:p w14:paraId="25236E80">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100以下</w:t>
                  </w:r>
                </w:p>
              </w:tc>
              <w:tc>
                <w:tcPr>
                  <w:tcW w:w="1401" w:type="dxa"/>
                  <w:noWrap w:val="0"/>
                  <w:vAlign w:val="center"/>
                </w:tcPr>
                <w:p w14:paraId="56E4BB7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w:t>
                  </w:r>
                  <w:r>
                    <w:rPr>
                      <w:rFonts w:hint="eastAsia" w:ascii="宋体" w:hAnsi="宋体" w:eastAsia="宋体" w:cs="宋体"/>
                      <w:snapToGrid w:val="0"/>
                      <w:color w:val="auto"/>
                      <w:sz w:val="21"/>
                      <w:szCs w:val="21"/>
                      <w:highlight w:val="none"/>
                      <w:lang w:val="en-US" w:eastAsia="zh-CN"/>
                    </w:rPr>
                    <w:t>8</w:t>
                  </w:r>
                  <w:r>
                    <w:rPr>
                      <w:rFonts w:hint="eastAsia" w:ascii="宋体" w:hAnsi="宋体" w:eastAsia="宋体" w:cs="宋体"/>
                      <w:snapToGrid w:val="0"/>
                      <w:color w:val="auto"/>
                      <w:sz w:val="21"/>
                      <w:szCs w:val="21"/>
                      <w:highlight w:val="none"/>
                    </w:rPr>
                    <w:t>%</w:t>
                  </w:r>
                </w:p>
              </w:tc>
              <w:tc>
                <w:tcPr>
                  <w:tcW w:w="1728" w:type="dxa"/>
                  <w:noWrap w:val="0"/>
                  <w:vAlign w:val="center"/>
                </w:tcPr>
                <w:p w14:paraId="4D4C3BF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w:t>
                  </w:r>
                  <w:r>
                    <w:rPr>
                      <w:rFonts w:hint="eastAsia" w:ascii="宋体" w:hAnsi="宋体" w:eastAsia="宋体" w:cs="宋体"/>
                      <w:snapToGrid w:val="0"/>
                      <w:color w:val="auto"/>
                      <w:sz w:val="21"/>
                      <w:szCs w:val="21"/>
                      <w:highlight w:val="none"/>
                      <w:lang w:val="en-US" w:eastAsia="zh-CN"/>
                    </w:rPr>
                    <w:t>8</w:t>
                  </w:r>
                  <w:r>
                    <w:rPr>
                      <w:rFonts w:hint="eastAsia" w:ascii="宋体" w:hAnsi="宋体" w:eastAsia="宋体" w:cs="宋体"/>
                      <w:snapToGrid w:val="0"/>
                      <w:color w:val="auto"/>
                      <w:sz w:val="21"/>
                      <w:szCs w:val="21"/>
                      <w:highlight w:val="none"/>
                    </w:rPr>
                    <w:t>%</w:t>
                  </w:r>
                </w:p>
              </w:tc>
              <w:tc>
                <w:tcPr>
                  <w:tcW w:w="1171" w:type="dxa"/>
                  <w:noWrap w:val="0"/>
                  <w:vAlign w:val="top"/>
                </w:tcPr>
                <w:p w14:paraId="132D083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1.05%</w:t>
                  </w:r>
                </w:p>
              </w:tc>
              <w:tc>
                <w:tcPr>
                  <w:tcW w:w="1171" w:type="dxa"/>
                  <w:noWrap w:val="0"/>
                  <w:vAlign w:val="top"/>
                </w:tcPr>
                <w:p w14:paraId="5D85891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r w14:paraId="6689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770" w:type="dxa"/>
                  <w:noWrap w:val="0"/>
                  <w:vAlign w:val="center"/>
                </w:tcPr>
                <w:p w14:paraId="199BC4C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100-500</w:t>
                  </w:r>
                </w:p>
              </w:tc>
              <w:tc>
                <w:tcPr>
                  <w:tcW w:w="1401" w:type="dxa"/>
                  <w:noWrap w:val="0"/>
                  <w:vAlign w:val="center"/>
                </w:tcPr>
                <w:p w14:paraId="0A27902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w:t>
                  </w:r>
                  <w:r>
                    <w:rPr>
                      <w:rFonts w:hint="eastAsia" w:ascii="宋体" w:hAnsi="宋体" w:eastAsia="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rPr>
                    <w:t>%</w:t>
                  </w:r>
                </w:p>
              </w:tc>
              <w:tc>
                <w:tcPr>
                  <w:tcW w:w="1728" w:type="dxa"/>
                  <w:noWrap w:val="0"/>
                  <w:vAlign w:val="center"/>
                </w:tcPr>
                <w:p w14:paraId="28F71D4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0.84</w:t>
                  </w:r>
                  <w:r>
                    <w:rPr>
                      <w:rFonts w:hint="eastAsia" w:ascii="宋体" w:hAnsi="宋体" w:eastAsia="宋体" w:cs="宋体"/>
                      <w:snapToGrid w:val="0"/>
                      <w:color w:val="auto"/>
                      <w:sz w:val="21"/>
                      <w:szCs w:val="21"/>
                      <w:highlight w:val="none"/>
                    </w:rPr>
                    <w:t>%</w:t>
                  </w:r>
                </w:p>
              </w:tc>
              <w:tc>
                <w:tcPr>
                  <w:tcW w:w="1171" w:type="dxa"/>
                  <w:noWrap w:val="0"/>
                  <w:vAlign w:val="top"/>
                </w:tcPr>
                <w:p w14:paraId="7391FC97">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0.80%</w:t>
                  </w:r>
                </w:p>
              </w:tc>
              <w:tc>
                <w:tcPr>
                  <w:tcW w:w="1171" w:type="dxa"/>
                  <w:noWrap w:val="0"/>
                  <w:vAlign w:val="top"/>
                </w:tcPr>
                <w:p w14:paraId="764B55F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r w14:paraId="6A95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770" w:type="dxa"/>
                  <w:noWrap w:val="0"/>
                  <w:vAlign w:val="center"/>
                </w:tcPr>
                <w:p w14:paraId="61AB0FDB">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500-1000</w:t>
                  </w:r>
                </w:p>
              </w:tc>
              <w:tc>
                <w:tcPr>
                  <w:tcW w:w="1401" w:type="dxa"/>
                  <w:noWrap w:val="0"/>
                  <w:vAlign w:val="center"/>
                </w:tcPr>
                <w:p w14:paraId="37878CF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w:t>
                  </w:r>
                  <w:r>
                    <w:rPr>
                      <w:rFonts w:hint="eastAsia" w:ascii="宋体" w:hAnsi="宋体" w:eastAsia="宋体" w:cs="宋体"/>
                      <w:snapToGrid w:val="0"/>
                      <w:color w:val="auto"/>
                      <w:sz w:val="21"/>
                      <w:szCs w:val="21"/>
                      <w:highlight w:val="none"/>
                      <w:lang w:val="en-US" w:eastAsia="zh-CN"/>
                    </w:rPr>
                    <w:t>93</w:t>
                  </w:r>
                  <w:r>
                    <w:rPr>
                      <w:rFonts w:hint="eastAsia" w:ascii="宋体" w:hAnsi="宋体" w:eastAsia="宋体" w:cs="宋体"/>
                      <w:snapToGrid w:val="0"/>
                      <w:color w:val="auto"/>
                      <w:sz w:val="21"/>
                      <w:szCs w:val="21"/>
                      <w:highlight w:val="none"/>
                    </w:rPr>
                    <w:t>%</w:t>
                  </w:r>
                </w:p>
              </w:tc>
              <w:tc>
                <w:tcPr>
                  <w:tcW w:w="1728" w:type="dxa"/>
                  <w:noWrap w:val="0"/>
                  <w:vAlign w:val="center"/>
                </w:tcPr>
                <w:p w14:paraId="7F832F0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w:t>
                  </w:r>
                  <w:r>
                    <w:rPr>
                      <w:rFonts w:hint="eastAsia" w:ascii="宋体" w:hAnsi="宋体" w:eastAsia="宋体" w:cs="宋体"/>
                      <w:snapToGrid w:val="0"/>
                      <w:color w:val="auto"/>
                      <w:sz w:val="21"/>
                      <w:szCs w:val="21"/>
                      <w:highlight w:val="none"/>
                      <w:lang w:val="en-US" w:eastAsia="zh-CN"/>
                    </w:rPr>
                    <w:t>62</w:t>
                  </w:r>
                  <w:r>
                    <w:rPr>
                      <w:rFonts w:hint="eastAsia" w:ascii="宋体" w:hAnsi="宋体" w:eastAsia="宋体" w:cs="宋体"/>
                      <w:snapToGrid w:val="0"/>
                      <w:color w:val="auto"/>
                      <w:sz w:val="21"/>
                      <w:szCs w:val="21"/>
                      <w:highlight w:val="none"/>
                    </w:rPr>
                    <w:t>%</w:t>
                  </w:r>
                </w:p>
              </w:tc>
              <w:tc>
                <w:tcPr>
                  <w:tcW w:w="1171" w:type="dxa"/>
                  <w:noWrap w:val="0"/>
                  <w:vAlign w:val="top"/>
                </w:tcPr>
                <w:p w14:paraId="5BE491F7">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0.63%</w:t>
                  </w:r>
                </w:p>
              </w:tc>
              <w:tc>
                <w:tcPr>
                  <w:tcW w:w="1171" w:type="dxa"/>
                  <w:noWrap w:val="0"/>
                  <w:vAlign w:val="top"/>
                </w:tcPr>
                <w:p w14:paraId="439B12A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r w14:paraId="0A75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70" w:type="dxa"/>
                  <w:noWrap w:val="0"/>
                  <w:vAlign w:val="center"/>
                </w:tcPr>
                <w:p w14:paraId="2456A1BF">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1000-5000</w:t>
                  </w:r>
                </w:p>
              </w:tc>
              <w:tc>
                <w:tcPr>
                  <w:tcW w:w="1401" w:type="dxa"/>
                  <w:noWrap w:val="0"/>
                  <w:vAlign w:val="center"/>
                </w:tcPr>
                <w:p w14:paraId="7E60DCF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w:t>
                  </w:r>
                  <w:r>
                    <w:rPr>
                      <w:rFonts w:hint="eastAsia" w:ascii="宋体" w:hAnsi="宋体" w:eastAsia="宋体" w:cs="宋体"/>
                      <w:snapToGrid w:val="0"/>
                      <w:color w:val="auto"/>
                      <w:sz w:val="21"/>
                      <w:szCs w:val="21"/>
                      <w:highlight w:val="none"/>
                      <w:lang w:val="en-US" w:eastAsia="zh-CN"/>
                    </w:rPr>
                    <w:t>61</w:t>
                  </w:r>
                  <w:r>
                    <w:rPr>
                      <w:rFonts w:hint="eastAsia" w:ascii="宋体" w:hAnsi="宋体" w:eastAsia="宋体" w:cs="宋体"/>
                      <w:snapToGrid w:val="0"/>
                      <w:color w:val="auto"/>
                      <w:sz w:val="21"/>
                      <w:szCs w:val="21"/>
                      <w:highlight w:val="none"/>
                    </w:rPr>
                    <w:t>%</w:t>
                  </w:r>
                </w:p>
              </w:tc>
              <w:tc>
                <w:tcPr>
                  <w:tcW w:w="1728" w:type="dxa"/>
                  <w:noWrap w:val="0"/>
                  <w:vAlign w:val="center"/>
                </w:tcPr>
                <w:p w14:paraId="2856C54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w:t>
                  </w:r>
                  <w:r>
                    <w:rPr>
                      <w:rFonts w:hint="eastAsia" w:ascii="宋体" w:hAnsi="宋体" w:eastAsia="宋体" w:cs="宋体"/>
                      <w:snapToGrid w:val="0"/>
                      <w:color w:val="auto"/>
                      <w:sz w:val="21"/>
                      <w:szCs w:val="21"/>
                      <w:highlight w:val="none"/>
                      <w:lang w:val="en-US" w:eastAsia="zh-CN"/>
                    </w:rPr>
                    <w:t>35</w:t>
                  </w:r>
                  <w:r>
                    <w:rPr>
                      <w:rFonts w:hint="eastAsia" w:ascii="宋体" w:hAnsi="宋体" w:eastAsia="宋体" w:cs="宋体"/>
                      <w:snapToGrid w:val="0"/>
                      <w:color w:val="auto"/>
                      <w:sz w:val="21"/>
                      <w:szCs w:val="21"/>
                      <w:highlight w:val="none"/>
                    </w:rPr>
                    <w:t>%</w:t>
                  </w:r>
                </w:p>
              </w:tc>
              <w:tc>
                <w:tcPr>
                  <w:tcW w:w="1171" w:type="dxa"/>
                  <w:noWrap w:val="0"/>
                  <w:vAlign w:val="top"/>
                </w:tcPr>
                <w:p w14:paraId="5C2C7E97">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0.41%</w:t>
                  </w:r>
                </w:p>
              </w:tc>
              <w:tc>
                <w:tcPr>
                  <w:tcW w:w="1171" w:type="dxa"/>
                  <w:noWrap w:val="0"/>
                  <w:vAlign w:val="top"/>
                </w:tcPr>
                <w:p w14:paraId="6EBE489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bl>
          <w:p w14:paraId="456BD9FB">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sz w:val="21"/>
                <w:szCs w:val="21"/>
                <w:lang w:val="en-US" w:eastAsia="zh-CN"/>
              </w:rPr>
            </w:pPr>
          </w:p>
        </w:tc>
      </w:tr>
      <w:tr w14:paraId="0123C4E4">
        <w:tblPrEx>
          <w:tblCellMar>
            <w:top w:w="0" w:type="dxa"/>
            <w:left w:w="108" w:type="dxa"/>
            <w:bottom w:w="0" w:type="dxa"/>
            <w:right w:w="108" w:type="dxa"/>
          </w:tblCellMar>
        </w:tblPrEx>
        <w:trPr>
          <w:trHeight w:val="37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1D89EF6">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val="en-US" w:eastAsia="zh-CN"/>
              </w:rPr>
              <w:t>24</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5D1AC8A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评标办法：本项目采用综合评分法</w:t>
            </w:r>
          </w:p>
        </w:tc>
      </w:tr>
      <w:tr w14:paraId="6C72C7FA">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E2B6351">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val="en-US" w:eastAsia="zh-CN"/>
              </w:rPr>
              <w:t>25</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388BE7F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不管投标结果如何，供应商均应承担自己投标所需一切费用。</w:t>
            </w:r>
          </w:p>
        </w:tc>
      </w:tr>
      <w:tr w14:paraId="445C5440">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5709A51">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sz w:val="21"/>
                <w:szCs w:val="21"/>
                <w:lang w:eastAsia="zh-CN"/>
              </w:rPr>
            </w:pPr>
            <w:r>
              <w:rPr>
                <w:rFonts w:hint="eastAsia" w:ascii="仿宋" w:hAnsi="仿宋" w:eastAsia="仿宋" w:cs="仿宋"/>
                <w:color w:val="auto"/>
                <w:lang w:val="en-US" w:eastAsia="zh-CN"/>
              </w:rPr>
              <w:t>26</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490E7AF8">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本次招标预算价：</w:t>
            </w:r>
            <w:r>
              <w:rPr>
                <w:rFonts w:hint="eastAsia" w:ascii="仿宋" w:hAnsi="仿宋" w:eastAsia="仿宋" w:cs="仿宋"/>
                <w:b/>
                <w:bCs/>
                <w:color w:val="auto"/>
                <w:lang w:val="en-US" w:eastAsia="zh-CN"/>
              </w:rPr>
              <w:t>15000000</w:t>
            </w:r>
            <w:r>
              <w:rPr>
                <w:rFonts w:hint="eastAsia" w:ascii="仿宋" w:hAnsi="仿宋" w:eastAsia="仿宋" w:cs="仿宋"/>
                <w:b/>
                <w:bCs/>
                <w:color w:val="auto"/>
                <w:sz w:val="22"/>
                <w:szCs w:val="22"/>
                <w:highlight w:val="none"/>
                <w:lang w:val="en-US" w:eastAsia="zh-CN"/>
              </w:rPr>
              <w:t>元、</w:t>
            </w:r>
            <w:r>
              <w:rPr>
                <w:rFonts w:hint="eastAsia" w:ascii="仿宋" w:hAnsi="仿宋" w:eastAsia="仿宋" w:cs="仿宋"/>
                <w:b/>
                <w:bCs/>
                <w:color w:val="auto"/>
                <w:lang w:eastAsia="zh-CN"/>
              </w:rPr>
              <w:t>投标总报价超过采购预算价的按废标处理。</w:t>
            </w:r>
          </w:p>
        </w:tc>
      </w:tr>
      <w:tr w14:paraId="16066A92">
        <w:tblPrEx>
          <w:tblCellMar>
            <w:top w:w="0" w:type="dxa"/>
            <w:left w:w="108" w:type="dxa"/>
            <w:bottom w:w="0" w:type="dxa"/>
            <w:right w:w="108" w:type="dxa"/>
          </w:tblCellMar>
        </w:tblPrEx>
        <w:trPr>
          <w:trHeight w:val="84" w:hRule="atLeast"/>
          <w:jc w:val="center"/>
        </w:trPr>
        <w:tc>
          <w:tcPr>
            <w:tcW w:w="638" w:type="dxa"/>
            <w:vMerge w:val="restart"/>
            <w:tcBorders>
              <w:top w:val="single" w:color="auto" w:sz="4" w:space="0"/>
              <w:left w:val="single" w:color="auto" w:sz="4" w:space="0"/>
              <w:bottom w:val="single" w:color="auto" w:sz="4" w:space="0"/>
              <w:right w:val="single" w:color="auto" w:sz="4" w:space="0"/>
            </w:tcBorders>
            <w:vAlign w:val="center"/>
          </w:tcPr>
          <w:p w14:paraId="12B78658">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7</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14:paraId="2E333A17">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w:t>
            </w:r>
          </w:p>
        </w:tc>
        <w:tc>
          <w:tcPr>
            <w:tcW w:w="7822" w:type="dxa"/>
            <w:tcBorders>
              <w:top w:val="single" w:color="auto" w:sz="4" w:space="0"/>
              <w:left w:val="single" w:color="auto" w:sz="4" w:space="0"/>
              <w:bottom w:val="single" w:color="auto" w:sz="4" w:space="0"/>
              <w:right w:val="single" w:color="auto" w:sz="4" w:space="0"/>
            </w:tcBorders>
            <w:vAlign w:val="center"/>
          </w:tcPr>
          <w:p w14:paraId="4A81B8D7">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（1）根据财政部、工业和信息化部关于印发《政府采购促进中小企业发展管理办法》的通知（财库[2020]46号）和</w:t>
            </w:r>
            <w:r>
              <w:rPr>
                <w:rFonts w:hint="eastAsia" w:ascii="仿宋" w:hAnsi="仿宋" w:eastAsia="仿宋" w:cs="仿宋"/>
                <w:color w:val="auto"/>
                <w:lang w:val="en-US" w:eastAsia="zh-CN"/>
              </w:rPr>
              <w:t>关于进一步加大政府采购支持中小企业力度的通知-</w:t>
            </w:r>
            <w:r>
              <w:rPr>
                <w:rFonts w:hint="eastAsia" w:ascii="仿宋" w:hAnsi="仿宋" w:eastAsia="仿宋" w:cs="仿宋"/>
                <w:color w:val="auto"/>
                <w:lang w:eastAsia="zh-CN"/>
              </w:rPr>
              <w:t>财库[2022]19号，供应商提供的服务属于《工业和信息化部、国家统计局、国家发展和改革委员会、财政部关于印发中小企业划型标准规定的通知》（工信部联企业[2011]300号）中规定的小型、微型企业标准的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val="0"/>
                <w:bCs w:val="0"/>
                <w:color w:val="auto"/>
                <w:lang w:eastAsia="zh-CN"/>
              </w:rPr>
              <w:t>，按招标文件格式提供《中小企业声明函（</w:t>
            </w:r>
            <w:r>
              <w:rPr>
                <w:rFonts w:hint="eastAsia" w:ascii="仿宋" w:hAnsi="仿宋" w:eastAsia="仿宋" w:cs="仿宋"/>
                <w:b w:val="0"/>
                <w:bCs w:val="0"/>
                <w:color w:val="auto"/>
                <w:lang w:val="en-US" w:eastAsia="zh-CN"/>
              </w:rPr>
              <w:t>工程、货物</w:t>
            </w:r>
            <w:r>
              <w:rPr>
                <w:rFonts w:hint="eastAsia" w:ascii="仿宋" w:hAnsi="仿宋" w:eastAsia="仿宋" w:cs="仿宋"/>
                <w:b w:val="0"/>
                <w:bCs w:val="0"/>
                <w:color w:val="auto"/>
                <w:lang w:eastAsia="zh-CN"/>
              </w:rPr>
              <w:t>）》。</w:t>
            </w:r>
          </w:p>
        </w:tc>
      </w:tr>
      <w:tr w14:paraId="3A5C7D6B">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1BE430BD">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3A358E02">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15B51DC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0FCC70BE">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573F6A94">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2EBC1B2C">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7A89BE93">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4A98B062">
        <w:tblPrEx>
          <w:tblCellMar>
            <w:top w:w="0" w:type="dxa"/>
            <w:left w:w="108" w:type="dxa"/>
            <w:bottom w:w="0" w:type="dxa"/>
            <w:right w:w="108" w:type="dxa"/>
          </w:tblCellMar>
        </w:tblPrEx>
        <w:trPr>
          <w:trHeight w:val="1538" w:hRule="atLeast"/>
          <w:jc w:val="center"/>
        </w:trPr>
        <w:tc>
          <w:tcPr>
            <w:tcW w:w="638" w:type="dxa"/>
            <w:tcBorders>
              <w:top w:val="single" w:color="auto" w:sz="4" w:space="0"/>
              <w:left w:val="single" w:color="auto" w:sz="4" w:space="0"/>
              <w:right w:val="single" w:color="auto" w:sz="4" w:space="0"/>
            </w:tcBorders>
            <w:vAlign w:val="center"/>
          </w:tcPr>
          <w:p w14:paraId="7E951A0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val="en-US" w:eastAsia="zh-CN"/>
              </w:rPr>
              <w:t>28</w:t>
            </w:r>
          </w:p>
        </w:tc>
        <w:tc>
          <w:tcPr>
            <w:tcW w:w="1485" w:type="dxa"/>
            <w:tcBorders>
              <w:top w:val="single" w:color="auto" w:sz="4" w:space="0"/>
              <w:left w:val="single" w:color="auto" w:sz="4" w:space="0"/>
              <w:right w:val="single" w:color="auto" w:sz="4" w:space="0"/>
            </w:tcBorders>
            <w:vAlign w:val="center"/>
          </w:tcPr>
          <w:p w14:paraId="62327F8F">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中小微企业政策文件说明</w:t>
            </w:r>
          </w:p>
        </w:tc>
        <w:tc>
          <w:tcPr>
            <w:tcW w:w="7822" w:type="dxa"/>
            <w:tcBorders>
              <w:top w:val="single" w:color="auto" w:sz="4" w:space="0"/>
              <w:left w:val="single" w:color="auto" w:sz="4" w:space="0"/>
              <w:bottom w:val="single" w:color="auto" w:sz="4" w:space="0"/>
              <w:right w:val="single" w:color="auto" w:sz="4" w:space="0"/>
            </w:tcBorders>
            <w:vAlign w:val="center"/>
          </w:tcPr>
          <w:p w14:paraId="3A0FE2CD">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b w:val="0"/>
                <w:bCs w:val="0"/>
                <w:color w:val="auto"/>
                <w:lang w:eastAsia="zh-CN"/>
              </w:rPr>
              <w:t>（</w:t>
            </w:r>
            <w:r>
              <w:rPr>
                <w:rFonts w:hint="eastAsia" w:ascii="仿宋" w:hAnsi="仿宋" w:eastAsia="仿宋" w:cs="仿宋"/>
                <w:b w:val="0"/>
                <w:bCs w:val="0"/>
                <w:color w:val="auto"/>
                <w:lang w:val="en-US" w:eastAsia="zh-CN"/>
              </w:rPr>
              <w:t>1</w:t>
            </w:r>
            <w:r>
              <w:rPr>
                <w:rFonts w:hint="eastAsia" w:ascii="仿宋" w:hAnsi="仿宋" w:eastAsia="仿宋" w:cs="仿宋"/>
                <w:b w:val="0"/>
                <w:bCs w:val="0"/>
                <w:color w:val="auto"/>
                <w:lang w:eastAsia="zh-CN"/>
              </w:rPr>
              <w:t>）本项目</w:t>
            </w:r>
            <w:r>
              <w:rPr>
                <w:rFonts w:hint="eastAsia" w:ascii="仿宋" w:hAnsi="仿宋" w:eastAsia="仿宋" w:cs="仿宋"/>
                <w:b w:val="0"/>
                <w:bCs w:val="0"/>
                <w:color w:val="auto"/>
                <w:lang w:val="en-US" w:eastAsia="zh-CN"/>
              </w:rPr>
              <w:t>货物</w:t>
            </w:r>
            <w:r>
              <w:rPr>
                <w:rFonts w:hint="eastAsia" w:ascii="仿宋" w:hAnsi="仿宋" w:eastAsia="仿宋" w:cs="仿宋"/>
                <w:b w:val="0"/>
                <w:bCs w:val="0"/>
                <w:color w:val="auto"/>
                <w:lang w:eastAsia="zh-CN"/>
              </w:rPr>
              <w:t>所属行业：</w:t>
            </w:r>
            <w:r>
              <w:rPr>
                <w:rFonts w:hint="eastAsia"/>
                <w:b/>
                <w:bCs/>
                <w:color w:val="auto"/>
                <w:highlight w:val="none"/>
                <w:u w:val="single"/>
                <w:lang w:val="en-US" w:eastAsia="zh-CN"/>
              </w:rPr>
              <w:t>农、林、牧、渔业</w:t>
            </w:r>
          </w:p>
          <w:p w14:paraId="622D8547">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auto"/>
                <w:lang w:val="en-US" w:eastAsia="zh-CN"/>
              </w:rPr>
            </w:pPr>
            <w:r>
              <w:rPr>
                <w:rFonts w:hint="eastAsia" w:ascii="黑体" w:hAnsi="黑体" w:eastAsia="黑体" w:cs="黑体"/>
                <w:b/>
                <w:bCs/>
                <w:color w:val="auto"/>
                <w:sz w:val="24"/>
                <w:szCs w:val="24"/>
                <w:lang w:val="en-US" w:eastAsia="zh-CN"/>
              </w:rPr>
              <w:t>（2）供应商提供《中小企业声明函》时，必须将招标文件中采购内容技术要求所列的采购标的物逐条全部列入《中小企业声明函》，否则专门面向中小企业的项目做废标处理，落实10%价格评审优惠的不享受优惠政策。</w:t>
            </w:r>
          </w:p>
        </w:tc>
      </w:tr>
      <w:tr w14:paraId="362631EF">
        <w:tblPrEx>
          <w:tblCellMar>
            <w:top w:w="0" w:type="dxa"/>
            <w:left w:w="108" w:type="dxa"/>
            <w:bottom w:w="0" w:type="dxa"/>
            <w:right w:w="108" w:type="dxa"/>
          </w:tblCellMar>
        </w:tblPrEx>
        <w:trPr>
          <w:trHeight w:val="84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99540D2">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val="en-US" w:eastAsia="zh-CN"/>
              </w:rPr>
              <w:t>29</w:t>
            </w:r>
          </w:p>
        </w:tc>
        <w:tc>
          <w:tcPr>
            <w:tcW w:w="1485" w:type="dxa"/>
            <w:tcBorders>
              <w:top w:val="single" w:color="auto" w:sz="4" w:space="0"/>
              <w:left w:val="single" w:color="auto" w:sz="4" w:space="0"/>
              <w:bottom w:val="single" w:color="auto" w:sz="4" w:space="0"/>
              <w:right w:val="single" w:color="auto" w:sz="4" w:space="0"/>
            </w:tcBorders>
            <w:vAlign w:val="center"/>
          </w:tcPr>
          <w:p w14:paraId="3A5C9DBB">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val="zh-CN" w:eastAsia="zh-CN"/>
              </w:rPr>
            </w:pPr>
          </w:p>
          <w:p w14:paraId="073ADF71">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val="zh-CN" w:eastAsia="zh-CN"/>
              </w:rPr>
              <w:t>履约保证金</w:t>
            </w:r>
          </w:p>
        </w:tc>
        <w:tc>
          <w:tcPr>
            <w:tcW w:w="7822" w:type="dxa"/>
            <w:tcBorders>
              <w:top w:val="single" w:color="auto" w:sz="4" w:space="0"/>
              <w:left w:val="single" w:color="auto" w:sz="4" w:space="0"/>
              <w:bottom w:val="single" w:color="auto" w:sz="4" w:space="0"/>
              <w:right w:val="single" w:color="auto" w:sz="4" w:space="0"/>
            </w:tcBorders>
            <w:vAlign w:val="center"/>
          </w:tcPr>
          <w:p w14:paraId="30DC4D6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中标供应商在合同签订后</w:t>
            </w:r>
            <w:r>
              <w:rPr>
                <w:rFonts w:hint="eastAsia" w:ascii="仿宋" w:hAnsi="仿宋" w:eastAsia="仿宋" w:cs="仿宋"/>
                <w:color w:val="auto"/>
                <w:lang w:val="en-US" w:eastAsia="zh-CN"/>
              </w:rPr>
              <w:t>10</w:t>
            </w:r>
            <w:r>
              <w:rPr>
                <w:rFonts w:hint="eastAsia" w:ascii="仿宋" w:hAnsi="仿宋" w:eastAsia="仿宋" w:cs="仿宋"/>
                <w:color w:val="auto"/>
                <w:lang w:eastAsia="zh-CN"/>
              </w:rPr>
              <w:t>个工作日内向采购人交纳不超过中标价</w:t>
            </w:r>
            <w:r>
              <w:rPr>
                <w:rFonts w:hint="eastAsia" w:ascii="仿宋" w:hAnsi="仿宋" w:eastAsia="仿宋" w:cs="仿宋"/>
                <w:color w:val="auto"/>
                <w:lang w:val="en-US" w:eastAsia="zh-CN"/>
              </w:rPr>
              <w:t>5</w:t>
            </w:r>
            <w:r>
              <w:rPr>
                <w:rFonts w:hint="eastAsia" w:ascii="仿宋" w:hAnsi="仿宋" w:eastAsia="仿宋" w:cs="仿宋"/>
                <w:color w:val="auto"/>
                <w:lang w:eastAsia="zh-CN"/>
              </w:rPr>
              <w:t>%的履约保证金（基本户开户行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14:paraId="28563C41">
        <w:tblPrEx>
          <w:tblCellMar>
            <w:top w:w="0" w:type="dxa"/>
            <w:left w:w="108" w:type="dxa"/>
            <w:bottom w:w="0" w:type="dxa"/>
            <w:right w:w="108" w:type="dxa"/>
          </w:tblCellMar>
        </w:tblPrEx>
        <w:trPr>
          <w:trHeight w:val="84" w:hRule="atLeast"/>
          <w:jc w:val="center"/>
        </w:trPr>
        <w:tc>
          <w:tcPr>
            <w:tcW w:w="2123" w:type="dxa"/>
            <w:gridSpan w:val="2"/>
            <w:tcBorders>
              <w:top w:val="single" w:color="auto" w:sz="4" w:space="0"/>
              <w:left w:val="single" w:color="auto" w:sz="4" w:space="0"/>
              <w:bottom w:val="single" w:color="auto" w:sz="4" w:space="0"/>
              <w:right w:val="single" w:color="auto" w:sz="4" w:space="0"/>
            </w:tcBorders>
            <w:vAlign w:val="center"/>
          </w:tcPr>
          <w:p w14:paraId="74B1C0D6">
            <w:pPr>
              <w:keepNext w:val="0"/>
              <w:keepLines w:val="0"/>
              <w:pageBreakBefore w:val="0"/>
              <w:kinsoku/>
              <w:wordWrap/>
              <w:overflowPunct/>
              <w:topLinePunct w:val="0"/>
              <w:autoSpaceDE/>
              <w:autoSpaceDN/>
              <w:bidi w:val="0"/>
              <w:spacing w:line="312" w:lineRule="auto"/>
              <w:ind w:firstLine="720" w:firstLineChars="300"/>
              <w:rPr>
                <w:rFonts w:ascii="仿宋" w:hAnsi="仿宋" w:eastAsia="仿宋" w:cs="仿宋"/>
                <w:color w:val="auto"/>
                <w:lang w:eastAsia="zh-CN"/>
              </w:rPr>
            </w:pPr>
            <w:r>
              <w:rPr>
                <w:rFonts w:hint="eastAsia" w:ascii="仿宋" w:hAnsi="仿宋" w:eastAsia="仿宋" w:cs="仿宋"/>
                <w:color w:val="auto"/>
                <w:lang w:eastAsia="zh-CN"/>
              </w:rPr>
              <w:t>备注</w:t>
            </w:r>
          </w:p>
        </w:tc>
        <w:tc>
          <w:tcPr>
            <w:tcW w:w="7822" w:type="dxa"/>
            <w:tcBorders>
              <w:top w:val="single" w:color="auto" w:sz="4" w:space="0"/>
              <w:left w:val="single" w:color="auto" w:sz="4" w:space="0"/>
              <w:bottom w:val="single" w:color="auto" w:sz="4" w:space="0"/>
              <w:right w:val="single" w:color="auto" w:sz="4" w:space="0"/>
            </w:tcBorders>
            <w:vAlign w:val="center"/>
          </w:tcPr>
          <w:p w14:paraId="0718654B">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auto"/>
                <w:lang w:eastAsia="zh-CN"/>
              </w:rPr>
            </w:pPr>
            <w:r>
              <w:rPr>
                <w:rFonts w:hint="eastAsia" w:ascii="仿宋" w:hAnsi="仿宋" w:eastAsia="仿宋" w:cs="仿宋"/>
                <w:color w:val="auto"/>
                <w:lang w:eastAsia="zh-CN"/>
              </w:rPr>
              <w:t>1、着重提醒各供应商注意，并认真查看招标文件中的每一个条款及要求，因误读招标文件而造成的后果，招标人概不负责。</w:t>
            </w:r>
          </w:p>
          <w:p w14:paraId="2754B854">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auto"/>
                <w:lang w:eastAsia="zh-CN"/>
              </w:rPr>
            </w:pPr>
            <w:r>
              <w:rPr>
                <w:rFonts w:hint="eastAsia" w:ascii="仿宋" w:hAnsi="仿宋" w:eastAsia="仿宋" w:cs="仿宋"/>
                <w:color w:val="auto"/>
                <w:lang w:eastAsia="zh-CN"/>
              </w:rPr>
              <w:t>2、供应商使用相同IP地址的，一经发现，相关部门将进一步核实，查实后按串通投标处理。</w:t>
            </w:r>
          </w:p>
          <w:p w14:paraId="17FE4493">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auto"/>
                <w:lang w:eastAsia="zh-CN"/>
              </w:rPr>
            </w:pPr>
            <w:r>
              <w:rPr>
                <w:rFonts w:hint="eastAsia" w:ascii="仿宋" w:hAnsi="仿宋" w:eastAsia="仿宋" w:cs="仿宋"/>
                <w:color w:val="auto"/>
                <w:lang w:eastAsia="zh-CN"/>
              </w:rPr>
              <w:t>3、为保证本项目质量，良好的售后服务，最低报价不作为中标的唯一依据。</w:t>
            </w:r>
          </w:p>
          <w:p w14:paraId="43CD6246">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auto"/>
                <w:lang w:eastAsia="zh-CN"/>
              </w:rPr>
            </w:pPr>
            <w:r>
              <w:rPr>
                <w:rFonts w:hint="eastAsia" w:ascii="仿宋" w:hAnsi="仿宋" w:eastAsia="仿宋" w:cs="仿宋"/>
                <w:color w:val="auto"/>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4954390F">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auto"/>
                <w:lang w:eastAsia="zh-CN"/>
              </w:rPr>
            </w:pPr>
            <w:r>
              <w:rPr>
                <w:rFonts w:hint="eastAsia" w:ascii="仿宋" w:hAnsi="仿宋" w:eastAsia="仿宋" w:cs="仿宋"/>
                <w:color w:val="auto"/>
                <w:lang w:eastAsia="zh-CN"/>
              </w:rPr>
              <w:t>5、其它：</w:t>
            </w:r>
          </w:p>
          <w:p w14:paraId="69A97E40">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auto"/>
                <w:lang w:eastAsia="zh-CN"/>
              </w:rPr>
            </w:pPr>
            <w:r>
              <w:rPr>
                <w:rFonts w:hint="eastAsia" w:ascii="仿宋" w:hAnsi="仿宋" w:eastAsia="仿宋" w:cs="仿宋"/>
                <w:color w:val="auto"/>
                <w:lang w:eastAsia="zh-CN"/>
              </w:rPr>
              <w:t>（1）投标企业严格遵守国家的法律法规及招标纪律，无违法违纪及商业贿赂行为。</w:t>
            </w:r>
          </w:p>
          <w:p w14:paraId="4DEAA48E">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auto"/>
                <w:lang w:eastAsia="zh-CN"/>
              </w:rPr>
            </w:pPr>
            <w:r>
              <w:rPr>
                <w:rFonts w:hint="eastAsia" w:ascii="仿宋" w:hAnsi="仿宋" w:eastAsia="仿宋" w:cs="仿宋"/>
                <w:color w:val="auto"/>
                <w:lang w:eastAsia="zh-CN"/>
              </w:rPr>
              <w:t>（2）不管投标结果如何，供应商均应自行承担投标所需一切费用。</w:t>
            </w:r>
          </w:p>
          <w:p w14:paraId="7C53C6F7">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auto"/>
                <w:lang w:eastAsia="zh-CN"/>
              </w:rPr>
            </w:pPr>
            <w:r>
              <w:rPr>
                <w:rFonts w:hint="eastAsia" w:ascii="仿宋" w:hAnsi="仿宋" w:eastAsia="仿宋" w:cs="仿宋"/>
                <w:color w:val="auto"/>
                <w:lang w:eastAsia="zh-CN"/>
              </w:rPr>
              <w:t>（3）供应商应以书面形式保证中标后由本公司组织实施，不得以任何理由将项目转包给其他机构。</w:t>
            </w:r>
          </w:p>
          <w:p w14:paraId="0986262A">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auto"/>
                <w:lang w:eastAsia="zh-CN"/>
              </w:rPr>
            </w:pPr>
            <w:r>
              <w:rPr>
                <w:rFonts w:hint="eastAsia" w:ascii="仿宋" w:hAnsi="仿宋" w:eastAsia="仿宋" w:cs="仿宋"/>
                <w:color w:val="auto"/>
                <w:lang w:eastAsia="zh-CN"/>
              </w:rPr>
              <w:t>（4）中标人务必按照招标文件规定的服务时间提供服务，如出现不能按时提供服务的，采购人有要权取消中标资格。</w:t>
            </w:r>
          </w:p>
          <w:p w14:paraId="0191E14C">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auto"/>
                <w:lang w:eastAsia="zh-CN"/>
              </w:rPr>
            </w:pPr>
            <w:r>
              <w:rPr>
                <w:rFonts w:hint="eastAsia" w:ascii="仿宋" w:hAnsi="仿宋" w:eastAsia="仿宋" w:cs="仿宋"/>
                <w:color w:val="auto"/>
                <w:lang w:eastAsia="zh-CN"/>
              </w:rPr>
              <w:t>（5）招标文件中如出现前后不一致情况，均以前附表内容为准。</w:t>
            </w:r>
          </w:p>
        </w:tc>
      </w:tr>
    </w:tbl>
    <w:p w14:paraId="13A37D80">
      <w:pPr>
        <w:pageBreakBefore/>
        <w:spacing w:beforeLines="100" w:afterLines="100" w:line="340" w:lineRule="exact"/>
        <w:ind w:firstLine="3640" w:firstLineChars="1300"/>
        <w:jc w:val="both"/>
        <w:outlineLvl w:val="1"/>
        <w:rPr>
          <w:rFonts w:ascii="仿宋" w:hAnsi="仿宋" w:eastAsia="仿宋" w:cs="仿宋"/>
          <w:b/>
          <w:color w:val="auto"/>
          <w:sz w:val="28"/>
          <w:szCs w:val="32"/>
          <w:lang w:eastAsia="zh-CN"/>
        </w:rPr>
      </w:pPr>
      <w:r>
        <w:rPr>
          <w:rFonts w:hint="eastAsia" w:ascii="仿宋" w:hAnsi="仿宋" w:eastAsia="仿宋" w:cs="仿宋"/>
          <w:b/>
          <w:color w:val="auto"/>
          <w:sz w:val="28"/>
          <w:szCs w:val="28"/>
          <w:lang w:eastAsia="zh-CN"/>
        </w:rPr>
        <w:t>二、供应商须知</w:t>
      </w:r>
    </w:p>
    <w:p w14:paraId="79198FD8">
      <w:pPr>
        <w:spacing w:line="340" w:lineRule="exact"/>
        <w:jc w:val="center"/>
        <w:outlineLvl w:val="2"/>
        <w:rPr>
          <w:rFonts w:ascii="仿宋" w:hAnsi="仿宋" w:eastAsia="仿宋" w:cs="仿宋"/>
          <w:color w:val="auto"/>
          <w:sz w:val="28"/>
          <w:szCs w:val="28"/>
          <w:lang w:eastAsia="zh-CN"/>
        </w:rPr>
      </w:pPr>
      <w:bookmarkStart w:id="2" w:name="_Toc469495724"/>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32"/>
          <w:lang w:eastAsia="zh-CN"/>
        </w:rPr>
        <w:t>总  则</w:t>
      </w:r>
      <w:bookmarkEnd w:id="2"/>
    </w:p>
    <w:p w14:paraId="6B658EB4">
      <w:pPr>
        <w:snapToGrid w:val="0"/>
        <w:spacing w:line="3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1.项目概况</w:t>
      </w:r>
    </w:p>
    <w:p w14:paraId="29DF1EAD">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1.1本次招标采购项目名称：见供应商须知前附表。</w:t>
      </w:r>
    </w:p>
    <w:p w14:paraId="19462C35">
      <w:pPr>
        <w:snapToGrid w:val="0"/>
        <w:spacing w:line="440" w:lineRule="exact"/>
        <w:ind w:firstLine="960" w:firstLineChars="400"/>
        <w:rPr>
          <w:rFonts w:ascii="仿宋" w:hAnsi="仿宋" w:eastAsia="仿宋" w:cs="仿宋"/>
          <w:color w:val="auto"/>
          <w:szCs w:val="21"/>
          <w:u w:val="single"/>
          <w:lang w:eastAsia="zh-CN"/>
        </w:rPr>
      </w:pPr>
      <w:r>
        <w:rPr>
          <w:rFonts w:hint="eastAsia" w:ascii="仿宋" w:hAnsi="仿宋" w:eastAsia="仿宋" w:cs="仿宋"/>
          <w:color w:val="auto"/>
          <w:szCs w:val="21"/>
          <w:lang w:eastAsia="zh-CN"/>
        </w:rPr>
        <w:t>项目编号：见供应商须知前附表。</w:t>
      </w:r>
    </w:p>
    <w:p w14:paraId="54CB3D47">
      <w:pPr>
        <w:snapToGrid w:val="0"/>
        <w:spacing w:line="44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招标人：见供应商须知前附表。</w:t>
      </w:r>
    </w:p>
    <w:p w14:paraId="67469EFB">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供货期：见供应商须知前附表。</w:t>
      </w:r>
    </w:p>
    <w:p w14:paraId="25394C9E">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供货地点：见供应商须知前附表。</w:t>
      </w:r>
    </w:p>
    <w:p w14:paraId="7CAAF357">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1.2招标人及联系人: 见供应商须知前附表。</w:t>
      </w:r>
    </w:p>
    <w:p w14:paraId="741B6207">
      <w:pPr>
        <w:snapToGrid w:val="0"/>
        <w:spacing w:line="440" w:lineRule="exact"/>
        <w:ind w:firstLine="600" w:firstLineChars="25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代理机构及联系人: 见供应商须知前附表。</w:t>
      </w:r>
    </w:p>
    <w:p w14:paraId="68B89FBE">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1.3资金来源：见供应商须知前附表。</w:t>
      </w:r>
    </w:p>
    <w:p w14:paraId="1AECC1B9">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1.4本项目预算：见供应商须知前附表。</w:t>
      </w:r>
    </w:p>
    <w:p w14:paraId="6ADB38F7">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1.5本项目控制价：见供应商须知前附表。</w:t>
      </w:r>
    </w:p>
    <w:p w14:paraId="5E8D21B7">
      <w:pPr>
        <w:snapToGrid w:val="0"/>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2.招标范围：</w:t>
      </w:r>
    </w:p>
    <w:p w14:paraId="5B4329B9">
      <w:pPr>
        <w:snapToGrid w:val="0"/>
        <w:spacing w:line="440" w:lineRule="exact"/>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2.1 采购内容：见供应商须知前附表。</w:t>
      </w:r>
    </w:p>
    <w:p w14:paraId="16B4B731">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 技术要求：详见采购文件第四章采购内容及技术要求。</w:t>
      </w:r>
    </w:p>
    <w:p w14:paraId="2B6ED869">
      <w:pPr>
        <w:snapToGrid w:val="0"/>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3.标包划分：</w:t>
      </w:r>
    </w:p>
    <w:p w14:paraId="7D72945F">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3.1本项目划分：</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u w:val="single"/>
          <w:lang w:val="en-US" w:eastAsia="zh-CN"/>
        </w:rPr>
        <w:t>1</w:t>
      </w:r>
      <w:r>
        <w:rPr>
          <w:rFonts w:hint="eastAsia" w:ascii="仿宋" w:hAnsi="仿宋" w:eastAsia="仿宋" w:cs="仿宋"/>
          <w:color w:val="auto"/>
          <w:szCs w:val="21"/>
          <w:lang w:eastAsia="zh-CN"/>
        </w:rPr>
        <w:t>个</w:t>
      </w:r>
      <w:r>
        <w:rPr>
          <w:rFonts w:hint="eastAsia" w:ascii="仿宋" w:hAnsi="仿宋" w:eastAsia="仿宋" w:cs="仿宋"/>
          <w:color w:val="auto"/>
          <w:szCs w:val="21"/>
          <w:lang w:val="en-US" w:eastAsia="zh-CN"/>
        </w:rPr>
        <w:t>标段</w:t>
      </w:r>
      <w:r>
        <w:rPr>
          <w:rFonts w:hint="eastAsia" w:ascii="仿宋" w:hAnsi="仿宋" w:eastAsia="仿宋" w:cs="仿宋"/>
          <w:color w:val="auto"/>
          <w:szCs w:val="21"/>
          <w:lang w:eastAsia="zh-CN"/>
        </w:rPr>
        <w:t>。</w:t>
      </w:r>
    </w:p>
    <w:p w14:paraId="19396AF5">
      <w:pPr>
        <w:snapToGrid w:val="0"/>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4.招标方式：</w:t>
      </w:r>
    </w:p>
    <w:p w14:paraId="42BF42B0">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4.1本项目招标方式：公开招标。</w:t>
      </w:r>
    </w:p>
    <w:p w14:paraId="1CDB0859">
      <w:pPr>
        <w:snapToGrid w:val="0"/>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5.计价方式：</w:t>
      </w:r>
    </w:p>
    <w:p w14:paraId="34EE6CD9">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5.1本次招标项目合同采用</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u w:val="single"/>
          <w:lang w:val="en-US" w:eastAsia="zh-CN"/>
        </w:rPr>
        <w:t>总价</w:t>
      </w:r>
      <w:r>
        <w:rPr>
          <w:rFonts w:hint="eastAsia" w:ascii="仿宋" w:hAnsi="仿宋" w:eastAsia="仿宋" w:cs="仿宋"/>
          <w:color w:val="auto"/>
          <w:szCs w:val="21"/>
          <w:u w:val="single"/>
          <w:lang w:eastAsia="zh-CN"/>
        </w:rPr>
        <w:t xml:space="preserve"> 。</w:t>
      </w:r>
    </w:p>
    <w:p w14:paraId="12FC5813">
      <w:pPr>
        <w:snapToGrid w:val="0"/>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6.评标办法：</w:t>
      </w:r>
    </w:p>
    <w:p w14:paraId="4FC552BC">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6.1本次招标评标采用</w:t>
      </w:r>
      <w:r>
        <w:rPr>
          <w:rFonts w:hint="eastAsia" w:ascii="仿宋" w:hAnsi="仿宋" w:eastAsia="仿宋" w:cs="仿宋"/>
          <w:color w:val="auto"/>
          <w:szCs w:val="21"/>
          <w:u w:val="single"/>
          <w:lang w:eastAsia="zh-CN"/>
        </w:rPr>
        <w:t xml:space="preserve">  综合评分法 </w:t>
      </w:r>
      <w:r>
        <w:rPr>
          <w:rFonts w:hint="eastAsia" w:ascii="仿宋" w:hAnsi="仿宋" w:eastAsia="仿宋" w:cs="仿宋"/>
          <w:color w:val="auto"/>
          <w:szCs w:val="21"/>
          <w:lang w:eastAsia="zh-CN"/>
        </w:rPr>
        <w:t>（详见第三章评标办法）</w:t>
      </w:r>
    </w:p>
    <w:p w14:paraId="6E781716">
      <w:pPr>
        <w:snapToGrid w:val="0"/>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7.供应商资格：</w:t>
      </w:r>
    </w:p>
    <w:p w14:paraId="3CCF7CDD">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7.1参与采购活动的供应商必须是满足《中华人民共和国政府采购法》规定条件的法人、其他组织或者自然人：</w:t>
      </w:r>
    </w:p>
    <w:p w14:paraId="3DF8129B">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7.2由于政府采购项目的差异性，供应商在参与具体政府采购项目活动时，应仔细阅读该项目的资质要求,具体见供应商须知前附表。</w:t>
      </w:r>
    </w:p>
    <w:p w14:paraId="3BAFA6CA">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lang w:eastAsia="zh-CN" w:bidi="ar-SA"/>
        </w:rPr>
        <w:t>(已在政采云平台其他省份入驻的供应商无须重复注册），</w:t>
      </w:r>
      <w:r>
        <w:rPr>
          <w:rFonts w:hint="eastAsia" w:ascii="仿宋" w:hAnsi="仿宋" w:eastAsia="仿宋" w:cs="仿宋"/>
          <w:color w:val="auto"/>
          <w:szCs w:val="21"/>
          <w:lang w:eastAsia="zh-CN"/>
        </w:rPr>
        <w:t>并完成CA数字证书申领。因未注册入库、未办理CA数字证书等原因造成无法投标或投标失败等后果由供应商自行承担。</w:t>
      </w:r>
    </w:p>
    <w:p w14:paraId="1E56942B">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7.4供应商必须确保自己在信息库中注册的信息真实、准确，并保证投标文件中的有关信息与库中的信息相一致。否则，供应商因此蒙受损失，招标人概不负责。</w:t>
      </w:r>
    </w:p>
    <w:p w14:paraId="3FDFD8C2">
      <w:pPr>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8. 投标费用</w:t>
      </w:r>
    </w:p>
    <w:p w14:paraId="1C166785">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8.1供应商准备和参加投标活动发生的费用自理。</w:t>
      </w:r>
    </w:p>
    <w:p w14:paraId="6A082A36">
      <w:pPr>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9.</w:t>
      </w:r>
      <w:bookmarkStart w:id="3" w:name="_Toc296602429"/>
      <w:bookmarkStart w:id="4" w:name="_Toc152045539"/>
      <w:bookmarkStart w:id="5" w:name="_Toc152042315"/>
      <w:bookmarkStart w:id="6" w:name="_Toc247592876"/>
      <w:bookmarkStart w:id="7" w:name="_Toc247527563"/>
      <w:bookmarkStart w:id="8" w:name="_Toc247513962"/>
      <w:bookmarkStart w:id="9" w:name="_Toc144974507"/>
      <w:r>
        <w:rPr>
          <w:rFonts w:hint="eastAsia" w:ascii="仿宋" w:hAnsi="仿宋" w:eastAsia="仿宋" w:cs="仿宋"/>
          <w:b/>
          <w:color w:val="auto"/>
          <w:szCs w:val="21"/>
          <w:lang w:eastAsia="zh-CN"/>
        </w:rPr>
        <w:t xml:space="preserve"> 踏勘现场</w:t>
      </w:r>
      <w:bookmarkEnd w:id="3"/>
      <w:bookmarkEnd w:id="4"/>
      <w:bookmarkEnd w:id="5"/>
      <w:bookmarkEnd w:id="6"/>
      <w:bookmarkEnd w:id="7"/>
      <w:bookmarkEnd w:id="8"/>
      <w:bookmarkEnd w:id="9"/>
    </w:p>
    <w:p w14:paraId="68E31847">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lang w:eastAsia="zh-CN"/>
        </w:rPr>
        <w:t>供应商自行踏勘现场的，可咨询本项目采购人或采购代理机构联系人。</w:t>
      </w:r>
      <w:r>
        <w:rPr>
          <w:rFonts w:hint="eastAsia" w:ascii="仿宋" w:hAnsi="仿宋" w:eastAsia="仿宋" w:cs="仿宋"/>
          <w:b/>
          <w:bCs/>
          <w:color w:val="auto"/>
          <w:lang w:eastAsia="zh-CN"/>
        </w:rPr>
        <w:t>供应商自行踏勘现场的，可咨询本项目采购人或采购代理机构联系人。</w:t>
      </w:r>
      <w:r>
        <w:rPr>
          <w:rFonts w:hint="eastAsia" w:ascii="仿宋" w:hAnsi="仿宋" w:eastAsia="仿宋" w:cs="仿宋"/>
          <w:b/>
          <w:bCs/>
          <w:color w:val="auto"/>
          <w:szCs w:val="21"/>
          <w:lang w:eastAsia="zh-CN"/>
        </w:rPr>
        <w:t xml:space="preserve"> </w:t>
      </w:r>
    </w:p>
    <w:p w14:paraId="5F8497C8">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9.2 供应商踏勘现场发生的费用自理。</w:t>
      </w:r>
    </w:p>
    <w:p w14:paraId="6E7F28D6">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9.3 除招标人的原因外，供应商自行负责在踏勘现场中所发生的人员伤亡和财产损失。</w:t>
      </w:r>
    </w:p>
    <w:p w14:paraId="0D101279">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9.4 招标人在踏勘现场中介绍的场地和相关的周边环境情况，供供应商在编制投标文件时参考，招标人不对供应商据此作出的判断和决策负责。</w:t>
      </w:r>
      <w:bookmarkStart w:id="10" w:name="_Toc247592877"/>
      <w:bookmarkStart w:id="11" w:name="_Toc152045540"/>
      <w:bookmarkStart w:id="12" w:name="_Toc247513963"/>
      <w:bookmarkStart w:id="13" w:name="_Toc144974508"/>
      <w:bookmarkStart w:id="14" w:name="_Toc247527564"/>
      <w:bookmarkStart w:id="15" w:name="_Toc152042316"/>
      <w:bookmarkStart w:id="16" w:name="_Toc296602430"/>
    </w:p>
    <w:p w14:paraId="6FEB25BF">
      <w:pPr>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10. 投标预备会</w:t>
      </w:r>
      <w:bookmarkEnd w:id="10"/>
      <w:bookmarkEnd w:id="11"/>
      <w:bookmarkEnd w:id="12"/>
      <w:bookmarkEnd w:id="13"/>
      <w:bookmarkEnd w:id="14"/>
      <w:bookmarkEnd w:id="15"/>
      <w:bookmarkEnd w:id="16"/>
    </w:p>
    <w:p w14:paraId="1FD32C22">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10.1供应商须知前附表规定召开投标预备会的，招标人按供应商须知前附表规定的时间和地点召开投标预备会，澄清供应商提出的问题。</w:t>
      </w:r>
    </w:p>
    <w:p w14:paraId="4959438C">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10.2供应商应在供应商须知前附表规定的时间前，将提出的问题送达招标人，以便招标人澄清。</w:t>
      </w:r>
    </w:p>
    <w:p w14:paraId="6EEE5555">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10.3招标人在供应商须知前附表规定的时间，将对供应商所提的问题进行澄清。该澄清内容为采购文件的组成部分。</w:t>
      </w:r>
    </w:p>
    <w:p w14:paraId="0FB75B7A">
      <w:pPr>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11. 联合投标</w:t>
      </w:r>
    </w:p>
    <w:p w14:paraId="0F2BC9D0">
      <w:pPr>
        <w:spacing w:line="44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2AC32EE9">
      <w:pPr>
        <w:spacing w:line="400" w:lineRule="exact"/>
        <w:ind w:firstLine="468"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6103B30E">
      <w:pPr>
        <w:spacing w:line="400" w:lineRule="exact"/>
        <w:ind w:firstLine="470"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11.3 联合体应当确定其中一个单位为投标的全权代表，负责参加投标的一切事务，并承担投标及履约中应承担的全部责任与义务。</w:t>
      </w:r>
    </w:p>
    <w:p w14:paraId="6F6BFF12">
      <w:pPr>
        <w:pStyle w:val="10"/>
        <w:spacing w:after="0" w:line="400" w:lineRule="exact"/>
        <w:ind w:left="0" w:leftChars="0" w:firstLine="484" w:firstLineChars="202"/>
        <w:rPr>
          <w:rFonts w:ascii="仿宋" w:hAnsi="仿宋" w:eastAsia="仿宋" w:cs="仿宋"/>
          <w:color w:val="auto"/>
          <w:szCs w:val="21"/>
          <w:lang w:eastAsia="zh-CN"/>
        </w:rPr>
      </w:pPr>
      <w:r>
        <w:rPr>
          <w:rFonts w:hint="eastAsia" w:ascii="仿宋" w:hAnsi="仿宋" w:eastAsia="仿宋" w:cs="仿宋"/>
          <w:color w:val="auto"/>
          <w:szCs w:val="21"/>
          <w:lang w:eastAsia="zh-CN"/>
        </w:rPr>
        <w:t>11.4 联合体各方应当共同与招标人签订采购合同，就采购合同约定的事项对招标人承担连带责任。</w:t>
      </w:r>
    </w:p>
    <w:p w14:paraId="484DD07B">
      <w:pPr>
        <w:spacing w:line="440" w:lineRule="exact"/>
        <w:ind w:firstLine="470" w:firstLineChars="196"/>
        <w:rPr>
          <w:rFonts w:ascii="仿宋" w:hAnsi="仿宋" w:eastAsia="仿宋" w:cs="仿宋"/>
          <w:b/>
          <w:color w:val="auto"/>
          <w:szCs w:val="21"/>
          <w:lang w:eastAsia="zh-CN"/>
        </w:rPr>
      </w:pPr>
      <w:r>
        <w:rPr>
          <w:rFonts w:hint="eastAsia" w:ascii="仿宋" w:hAnsi="仿宋" w:eastAsia="仿宋" w:cs="仿宋"/>
          <w:b/>
          <w:color w:val="auto"/>
          <w:szCs w:val="21"/>
          <w:lang w:eastAsia="zh-CN"/>
        </w:rPr>
        <w:t>12.招标代理费:</w:t>
      </w:r>
      <w:r>
        <w:rPr>
          <w:rFonts w:hint="eastAsia" w:ascii="仿宋" w:hAnsi="仿宋" w:eastAsia="仿宋" w:cs="仿宋"/>
          <w:color w:val="auto"/>
          <w:szCs w:val="21"/>
          <w:lang w:eastAsia="zh-CN"/>
        </w:rPr>
        <w:t xml:space="preserve"> 见供应商须知前附表。</w:t>
      </w:r>
    </w:p>
    <w:p w14:paraId="5038B977">
      <w:pPr>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13.供应商应注意的事项</w:t>
      </w:r>
    </w:p>
    <w:p w14:paraId="12138146">
      <w:pPr>
        <w:spacing w:line="440" w:lineRule="exact"/>
        <w:ind w:firstLine="480" w:firstLineChars="200"/>
        <w:rPr>
          <w:rFonts w:ascii="仿宋" w:hAnsi="仿宋" w:eastAsia="仿宋" w:cs="仿宋"/>
          <w:bCs/>
          <w:color w:val="auto"/>
          <w:szCs w:val="21"/>
          <w:lang w:eastAsia="zh-CN"/>
        </w:rPr>
      </w:pPr>
      <w:r>
        <w:rPr>
          <w:rFonts w:hint="eastAsia" w:ascii="仿宋" w:hAnsi="仿宋" w:eastAsia="仿宋" w:cs="仿宋"/>
          <w:color w:val="auto"/>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247FC951">
      <w:pPr>
        <w:spacing w:line="440" w:lineRule="exact"/>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13.2 供应商对采购内容中规定的技术参数、规格等要求必须完全响应或优于采购文件中的要求。</w:t>
      </w:r>
    </w:p>
    <w:p w14:paraId="4C895F9A">
      <w:pPr>
        <w:spacing w:line="440" w:lineRule="exact"/>
        <w:ind w:firstLine="470"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13.3所有供应商的投标保证金都应在采购文件规定的投标保证金缴纳截止日期前缴纳。</w:t>
      </w:r>
    </w:p>
    <w:p w14:paraId="083B2957">
      <w:pPr>
        <w:spacing w:line="440" w:lineRule="exact"/>
        <w:ind w:firstLine="470"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lang w:eastAsia="zh-CN"/>
        </w:rPr>
        <w:t>为采购项目提供整体设计、规范编制或者项目管理、监理、检测等服务的供应商，不得再参加该采购项目的其他采购活动。</w:t>
      </w:r>
    </w:p>
    <w:p w14:paraId="375C82F2">
      <w:pPr>
        <w:snapToGrid w:val="0"/>
        <w:spacing w:line="440" w:lineRule="exact"/>
        <w:ind w:firstLine="480" w:firstLineChars="200"/>
        <w:rPr>
          <w:rFonts w:ascii="仿宋" w:hAnsi="仿宋" w:eastAsia="仿宋" w:cs="仿宋"/>
          <w:color w:val="auto"/>
          <w:szCs w:val="21"/>
          <w:lang w:eastAsia="zh-CN"/>
        </w:rPr>
      </w:pPr>
      <w:r>
        <w:rPr>
          <w:rFonts w:hint="eastAsia" w:ascii="仿宋" w:hAnsi="仿宋" w:eastAsia="仿宋" w:cs="仿宋"/>
          <w:bCs/>
          <w:color w:val="auto"/>
          <w:szCs w:val="21"/>
          <w:lang w:eastAsia="zh-CN"/>
        </w:rPr>
        <w:t>13.5本项目只接受</w:t>
      </w:r>
      <w:r>
        <w:rPr>
          <w:rFonts w:hint="eastAsia" w:ascii="仿宋" w:hAnsi="仿宋" w:eastAsia="仿宋" w:cs="仿宋"/>
          <w:color w:val="auto"/>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14:paraId="2B9D18BF">
      <w:pPr>
        <w:wordWrap w:val="0"/>
        <w:spacing w:line="440" w:lineRule="exact"/>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13.6  供应商被视为充分熟悉本招标项目所在地的与履行合同有关的各种情况，包括但不限于：</w:t>
      </w:r>
    </w:p>
    <w:p w14:paraId="1B198791">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（1）国家对本次投标货物和服务的生产、安装调试、验收、维修等有关法律、法规及行业管理标准；</w:t>
      </w:r>
    </w:p>
    <w:p w14:paraId="245052F8">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（2）本地区有关管理部门的相关规定；</w:t>
      </w:r>
    </w:p>
    <w:p w14:paraId="3B15D24E">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（3）招标人的相关场地情况、基础建设、电力供应情况及相关设计标准。</w:t>
      </w:r>
    </w:p>
    <w:p w14:paraId="1E180438">
      <w:pPr>
        <w:spacing w:line="400" w:lineRule="exact"/>
        <w:ind w:firstLine="360" w:firstLineChars="150"/>
        <w:rPr>
          <w:rFonts w:ascii="仿宋" w:hAnsi="仿宋" w:eastAsia="仿宋" w:cs="仿宋"/>
          <w:bCs/>
          <w:color w:val="auto"/>
          <w:szCs w:val="21"/>
          <w:lang w:eastAsia="zh-CN"/>
        </w:rPr>
      </w:pPr>
      <w:r>
        <w:rPr>
          <w:rFonts w:hint="eastAsia" w:ascii="仿宋" w:hAnsi="仿宋" w:eastAsia="仿宋" w:cs="仿宋"/>
          <w:bCs/>
          <w:color w:val="auto"/>
          <w:szCs w:val="21"/>
          <w:lang w:val="en-US" w:eastAsia="zh-CN"/>
        </w:rPr>
        <w:t>14.</w:t>
      </w:r>
      <w:r>
        <w:rPr>
          <w:rFonts w:hint="eastAsia" w:ascii="仿宋" w:hAnsi="仿宋" w:eastAsia="仿宋" w:cs="仿宋"/>
          <w:bCs/>
          <w:color w:val="auto"/>
          <w:szCs w:val="21"/>
          <w:lang w:eastAsia="zh-CN"/>
        </w:rPr>
        <w:t>本采购文件不再对上述情况进行描述。</w:t>
      </w:r>
      <w:bookmarkStart w:id="17" w:name="_Toc469495725"/>
    </w:p>
    <w:p w14:paraId="7C0E4A7E">
      <w:pPr>
        <w:spacing w:line="400" w:lineRule="exact"/>
        <w:jc w:val="both"/>
        <w:rPr>
          <w:rFonts w:hint="eastAsia" w:ascii="仿宋" w:hAnsi="仿宋" w:eastAsia="仿宋" w:cs="仿宋"/>
          <w:b/>
          <w:color w:val="auto"/>
          <w:sz w:val="28"/>
          <w:szCs w:val="28"/>
          <w:lang w:eastAsia="zh-CN"/>
        </w:rPr>
      </w:pPr>
    </w:p>
    <w:p w14:paraId="407385BE">
      <w:pPr>
        <w:spacing w:line="400" w:lineRule="exact"/>
        <w:ind w:firstLine="420" w:firstLineChars="150"/>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w:t>
      </w:r>
      <w:bookmarkEnd w:id="17"/>
      <w:r>
        <w:rPr>
          <w:rFonts w:hint="eastAsia" w:ascii="仿宋" w:hAnsi="仿宋" w:eastAsia="仿宋" w:cs="仿宋"/>
          <w:b/>
          <w:color w:val="auto"/>
          <w:sz w:val="28"/>
          <w:szCs w:val="28"/>
          <w:lang w:eastAsia="zh-CN"/>
        </w:rPr>
        <w:t>招标文件</w:t>
      </w:r>
    </w:p>
    <w:p w14:paraId="5EDE8616">
      <w:pPr>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15. 采购文件的编制依据</w:t>
      </w:r>
    </w:p>
    <w:p w14:paraId="733A17F4">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lang w:eastAsia="zh-CN"/>
        </w:rPr>
        <w:t>等相关法律法规和规章及部、省、市级规范性文件的规定，编制本采购文件。</w:t>
      </w:r>
    </w:p>
    <w:p w14:paraId="34A52587">
      <w:pPr>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16. 采购文件的组成</w:t>
      </w:r>
    </w:p>
    <w:p w14:paraId="6D8B63FF">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16.1 采购文件包括内容：</w:t>
      </w:r>
    </w:p>
    <w:p w14:paraId="77C07167">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第一章  招标公告</w:t>
      </w:r>
    </w:p>
    <w:p w14:paraId="78E38CD5">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第二章  投标须知</w:t>
      </w:r>
    </w:p>
    <w:p w14:paraId="22DEBEF9">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第三章  评标办法</w:t>
      </w:r>
    </w:p>
    <w:p w14:paraId="39CA65BA">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第四章  采购内容及技术要求</w:t>
      </w:r>
    </w:p>
    <w:p w14:paraId="6EE97AF8">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第五章  合同条款及格式</w:t>
      </w:r>
    </w:p>
    <w:p w14:paraId="146EC8B6">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第六章  投标文件格式文本</w:t>
      </w:r>
    </w:p>
    <w:p w14:paraId="6BC377C8">
      <w:pPr>
        <w:spacing w:line="440" w:lineRule="exact"/>
        <w:ind w:firstLine="1680"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第七章  招标单位、招标代理机构对本文件的确认</w:t>
      </w:r>
    </w:p>
    <w:p w14:paraId="4D657A12">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16.2 除16.1内容外，招标答疑亦为采购文件的组成部分，对招标人和供应商起约束作用。</w:t>
      </w:r>
    </w:p>
    <w:p w14:paraId="7EFF4628">
      <w:pPr>
        <w:pStyle w:val="11"/>
        <w:wordWrap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6535A3D9">
      <w:pPr>
        <w:wordWrap w:val="0"/>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Cs w:val="21"/>
          <w:lang w:val="en-US" w:eastAsia="zh-CN"/>
        </w:rPr>
        <w:t>新疆</w:t>
      </w:r>
      <w:r>
        <w:rPr>
          <w:rFonts w:hint="eastAsia" w:ascii="仿宋" w:hAnsi="仿宋" w:eastAsia="仿宋" w:cs="仿宋"/>
          <w:color w:val="auto"/>
          <w:szCs w:val="21"/>
          <w:lang w:eastAsia="zh-CN"/>
        </w:rPr>
        <w:t>政府采购网下载专区下载。采购文件的澄清将在政采云平台“更正公告”栏目予以公告，但不指明澄清问题的来源。如果澄清内容影响投标文件编制的，将相应延长投标截止时间。</w:t>
      </w:r>
    </w:p>
    <w:p w14:paraId="7ED22927">
      <w:pPr>
        <w:spacing w:line="440" w:lineRule="exact"/>
        <w:rPr>
          <w:rFonts w:ascii="仿宋" w:hAnsi="仿宋" w:eastAsia="仿宋" w:cs="仿宋"/>
          <w:b/>
          <w:bCs/>
          <w:color w:val="auto"/>
          <w:szCs w:val="21"/>
          <w:lang w:eastAsia="zh-CN"/>
        </w:rPr>
      </w:pPr>
      <w:r>
        <w:rPr>
          <w:rFonts w:hint="eastAsia" w:ascii="仿宋" w:hAnsi="仿宋" w:eastAsia="仿宋" w:cs="仿宋"/>
          <w:b/>
          <w:bCs/>
          <w:color w:val="auto"/>
          <w:szCs w:val="21"/>
          <w:lang w:eastAsia="zh-CN"/>
        </w:rPr>
        <w:t>17. 采购文件的修改、补充、解释</w:t>
      </w:r>
    </w:p>
    <w:p w14:paraId="4D35E547">
      <w:pPr>
        <w:wordWrap w:val="0"/>
        <w:spacing w:line="400" w:lineRule="exact"/>
        <w:ind w:firstLine="360"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26D65B2D">
      <w:pPr>
        <w:wordWrap w:val="0"/>
        <w:spacing w:line="400" w:lineRule="exact"/>
        <w:ind w:firstLine="360"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p>
    <w:p w14:paraId="64D206C7">
      <w:pPr>
        <w:wordWrap w:val="0"/>
        <w:spacing w:line="400" w:lineRule="exact"/>
        <w:ind w:firstLine="360" w:firstLineChars="150"/>
        <w:rPr>
          <w:rFonts w:ascii="仿宋" w:hAnsi="仿宋" w:eastAsia="仿宋" w:cs="仿宋"/>
          <w:color w:val="auto"/>
          <w:szCs w:val="21"/>
          <w:lang w:eastAsia="zh-CN"/>
        </w:rPr>
      </w:pPr>
      <w:r>
        <w:rPr>
          <w:rFonts w:hint="eastAsia" w:ascii="仿宋" w:hAnsi="仿宋" w:eastAsia="仿宋" w:cs="仿宋"/>
          <w:bCs/>
          <w:color w:val="auto"/>
          <w:szCs w:val="21"/>
          <w:lang w:eastAsia="zh-CN"/>
        </w:rPr>
        <w:t xml:space="preserve">17.3 </w:t>
      </w:r>
      <w:r>
        <w:rPr>
          <w:rFonts w:hint="eastAsia" w:ascii="仿宋" w:hAnsi="仿宋" w:eastAsia="仿宋" w:cs="仿宋"/>
          <w:color w:val="auto"/>
          <w:szCs w:val="21"/>
          <w:lang w:eastAsia="zh-CN"/>
        </w:rPr>
        <w:t>供应商在规定的时间内未对采购文件提出疑问、质疑或要求澄清的，将视其为无异议。</w:t>
      </w:r>
    </w:p>
    <w:p w14:paraId="015D8E69">
      <w:pPr>
        <w:spacing w:line="400" w:lineRule="exact"/>
        <w:ind w:firstLine="240" w:firstLineChars="100"/>
        <w:rPr>
          <w:rFonts w:ascii="仿宋" w:hAnsi="仿宋" w:eastAsia="仿宋" w:cs="仿宋"/>
          <w:bCs/>
          <w:color w:val="auto"/>
          <w:szCs w:val="21"/>
          <w:lang w:eastAsia="zh-CN"/>
        </w:rPr>
      </w:pPr>
      <w:r>
        <w:rPr>
          <w:rFonts w:hint="eastAsia" w:ascii="仿宋" w:hAnsi="仿宋" w:eastAsia="仿宋" w:cs="仿宋"/>
          <w:bCs/>
          <w:color w:val="auto"/>
          <w:szCs w:val="21"/>
          <w:lang w:eastAsia="zh-CN"/>
        </w:rPr>
        <w:t>17.4 采购文件的解释</w:t>
      </w:r>
    </w:p>
    <w:p w14:paraId="787275CF">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本采购文件由招标人（或其委托的招标代理机构）负责解释。</w:t>
      </w:r>
    </w:p>
    <w:p w14:paraId="2A4D408B">
      <w:pPr>
        <w:spacing w:line="400" w:lineRule="exact"/>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 18. 采购文件的发出</w:t>
      </w:r>
    </w:p>
    <w:p w14:paraId="1B0EE26B">
      <w:pPr>
        <w:spacing w:line="400" w:lineRule="exact"/>
        <w:ind w:firstLine="360"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18.1  采购文件、采购文件的澄清、修改、补充及招标答疑等均应报相关部门备案后，方可发出。</w:t>
      </w:r>
    </w:p>
    <w:p w14:paraId="7D068E62">
      <w:pPr>
        <w:spacing w:line="440" w:lineRule="exact"/>
        <w:ind w:firstLine="240" w:firstLineChars="100"/>
        <w:rPr>
          <w:rFonts w:ascii="仿宋" w:hAnsi="仿宋" w:eastAsia="仿宋" w:cs="仿宋"/>
          <w:color w:val="auto"/>
          <w:szCs w:val="21"/>
          <w:lang w:eastAsia="zh-CN"/>
        </w:rPr>
      </w:pPr>
      <w:bookmarkStart w:id="18" w:name="_Toc469495726"/>
      <w:r>
        <w:rPr>
          <w:rFonts w:hint="eastAsia" w:ascii="仿宋" w:hAnsi="仿宋" w:eastAsia="仿宋" w:cs="仿宋"/>
          <w:b/>
          <w:color w:val="auto"/>
          <w:szCs w:val="21"/>
          <w:lang w:eastAsia="zh-CN"/>
        </w:rPr>
        <w:t xml:space="preserve">19. </w:t>
      </w:r>
      <w:r>
        <w:rPr>
          <w:rFonts w:hint="eastAsia" w:ascii="仿宋" w:hAnsi="仿宋" w:eastAsia="仿宋" w:cs="仿宋"/>
          <w:color w:val="auto"/>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01FEC9D1">
      <w:pPr>
        <w:spacing w:line="440" w:lineRule="exact"/>
        <w:ind w:firstLine="420"/>
        <w:rPr>
          <w:rFonts w:ascii="仿宋" w:hAnsi="仿宋" w:eastAsia="仿宋" w:cs="仿宋"/>
          <w:color w:val="auto"/>
          <w:szCs w:val="21"/>
          <w:lang w:eastAsia="zh-CN"/>
        </w:rPr>
      </w:pPr>
      <w:r>
        <w:rPr>
          <w:rFonts w:hint="eastAsia" w:ascii="仿宋" w:hAnsi="仿宋" w:eastAsia="仿宋" w:cs="仿宋"/>
          <w:color w:val="auto"/>
          <w:szCs w:val="21"/>
          <w:lang w:eastAsia="zh-CN"/>
        </w:rPr>
        <w:t>采购文件中应明确样品送检方式、检测费用支付方法、供应商在规定时间内无法提供第三方权威检测机构检测报告的处理方式。（采购人根据项目需求按上述要求自行描述）</w:t>
      </w:r>
    </w:p>
    <w:p w14:paraId="496605FD">
      <w:pPr>
        <w:spacing w:beforeLines="100" w:afterLines="100" w:line="440" w:lineRule="exact"/>
        <w:jc w:val="center"/>
        <w:outlineLvl w:val="2"/>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（三）投标文件的编制</w:t>
      </w:r>
      <w:bookmarkEnd w:id="18"/>
    </w:p>
    <w:p w14:paraId="265CAECA">
      <w:pPr>
        <w:shd w:val="clear" w:color="auto" w:fill="auto"/>
        <w:spacing w:line="440" w:lineRule="exact"/>
        <w:ind w:firstLine="348" w:firstLineChars="145"/>
        <w:rPr>
          <w:rFonts w:hint="eastAsia" w:ascii="仿宋" w:hAnsi="仿宋" w:eastAsia="仿宋" w:cs="仿宋"/>
          <w:b/>
          <w:color w:val="auto"/>
          <w:szCs w:val="21"/>
          <w:highlight w:val="none"/>
        </w:rPr>
      </w:pPr>
      <w:bookmarkStart w:id="19" w:name="_Toc469495727"/>
      <w:r>
        <w:rPr>
          <w:rFonts w:hint="eastAsia" w:ascii="仿宋" w:hAnsi="仿宋" w:eastAsia="仿宋" w:cs="仿宋"/>
          <w:b/>
          <w:color w:val="auto"/>
          <w:szCs w:val="21"/>
          <w:highlight w:val="none"/>
        </w:rPr>
        <w:t>20. 投标的语言及度量衡单位</w:t>
      </w:r>
    </w:p>
    <w:p w14:paraId="22121EE4">
      <w:pPr>
        <w:shd w:val="clear" w:color="auto" w:fill="auto"/>
        <w:spacing w:line="440" w:lineRule="exact"/>
        <w:ind w:firstLine="324"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5C738BEE">
      <w:pPr>
        <w:shd w:val="clear" w:color="auto" w:fill="auto"/>
        <w:spacing w:line="440" w:lineRule="exact"/>
        <w:ind w:firstLine="324"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20.2除</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中另有规定外，投标书所使用的度量衡均须采用法定计量单位。</w:t>
      </w:r>
    </w:p>
    <w:p w14:paraId="4C6A6BAA">
      <w:pPr>
        <w:shd w:val="clear" w:color="auto" w:fill="auto"/>
        <w:spacing w:line="400" w:lineRule="exact"/>
        <w:ind w:firstLine="235" w:firstLineChars="98"/>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 投标文件的组成</w:t>
      </w:r>
    </w:p>
    <w:p w14:paraId="57C3A9C4">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资格证明文件和商务及技术文件两部分。</w:t>
      </w:r>
    </w:p>
    <w:p w14:paraId="4AFD68EC">
      <w:pPr>
        <w:shd w:val="clear" w:color="auto" w:fill="auto"/>
        <w:spacing w:line="440" w:lineRule="exact"/>
        <w:ind w:firstLine="352"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14:paraId="5CF8933A">
      <w:pPr>
        <w:shd w:val="clear" w:color="auto" w:fill="auto"/>
        <w:spacing w:line="440" w:lineRule="exact"/>
        <w:ind w:firstLine="352"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w:t>
      </w:r>
      <w:r>
        <w:rPr>
          <w:rFonts w:hint="eastAsia" w:ascii="仿宋" w:hAnsi="仿宋" w:eastAsia="仿宋" w:cs="仿宋"/>
          <w:color w:val="auto"/>
          <w:szCs w:val="21"/>
          <w:highlight w:val="none"/>
          <w:lang w:eastAsia="zh-CN"/>
        </w:rPr>
        <w:t>文件</w:t>
      </w:r>
      <w:r>
        <w:rPr>
          <w:rFonts w:hint="eastAsia" w:ascii="仿宋" w:hAnsi="仿宋" w:eastAsia="仿宋" w:cs="仿宋"/>
          <w:color w:val="auto"/>
          <w:szCs w:val="21"/>
          <w:highlight w:val="none"/>
        </w:rPr>
        <w:t>是证明投标人有资格参加投标和中标后有能力履行合同的文件，这些文件应能满足招标的要求，否则作无效投标处理。</w:t>
      </w:r>
    </w:p>
    <w:p w14:paraId="4F47F2FE">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（1）法人或者非法人组织的营业执照等证明文件复印件（须加盖本单位章）或自然人的身份证明复印件;</w:t>
      </w:r>
    </w:p>
    <w:p w14:paraId="256C6941">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（2）具有法人授权委托书及被委托人身份证（法人提供法人证明书及法人身份证）；</w:t>
      </w:r>
    </w:p>
    <w:p w14:paraId="5F1DDB4F">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（3）投标企业须提供投标人（被授权人）近6个月内任意一个月的社保证明；</w:t>
      </w:r>
    </w:p>
    <w:p w14:paraId="0BCAD86D">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投标企业需提供参加本次采购活动前三年内未被“信用中国”（www.creditchina.gov.cn）、中国政府采购网（www.ccgp.gov.cn）列入失信被执行人、重大税收违法案件当事人名单、政府采购严重违法失信行为记录名单；</w:t>
      </w:r>
    </w:p>
    <w:p w14:paraId="6BDACE61">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（5）投标单位（供应商）提供针对本次采购项目《反商业贿赂承诺书》，《采购活动前三年内无重大违规记录承诺书》的书面声明。</w:t>
      </w:r>
    </w:p>
    <w:p w14:paraId="12A9CD32">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（6）具有良好的商业信誉和健全的财务会计制度（提供2024年经审计的财务报告；或提供2024年的财务报表，新成立公司不足一年的提供成立至今的财务报表；或提供开户银行出具的资信证明）</w:t>
      </w:r>
    </w:p>
    <w:p w14:paraId="63224E63">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78E5F842">
      <w:pPr>
        <w:shd w:val="clear" w:color="auto" w:fill="auto"/>
        <w:spacing w:line="440" w:lineRule="exact"/>
        <w:ind w:firstLine="352" w:firstLineChars="147"/>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8、投标人须知资料表要求的其他资格证明文件。</w:t>
      </w:r>
    </w:p>
    <w:p w14:paraId="2AD2490D">
      <w:pPr>
        <w:shd w:val="clear" w:color="auto" w:fill="auto"/>
        <w:spacing w:line="440" w:lineRule="exact"/>
        <w:ind w:firstLine="352" w:firstLineChars="147"/>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21.2 商务及技术文件（包括但不限于）</w:t>
      </w:r>
    </w:p>
    <w:p w14:paraId="74EDBA0A">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（1）投标函</w:t>
      </w:r>
    </w:p>
    <w:p w14:paraId="089237FB">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（2）开标一览表</w:t>
      </w:r>
    </w:p>
    <w:p w14:paraId="1913272E">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（3）货物说明一览表</w:t>
      </w:r>
    </w:p>
    <w:p w14:paraId="2FDD41D0">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（4）投标报价明细表</w:t>
      </w:r>
    </w:p>
    <w:p w14:paraId="797BC77B">
      <w:pPr>
        <w:shd w:val="clear" w:color="auto" w:fill="auto"/>
        <w:spacing w:line="400" w:lineRule="exact"/>
        <w:ind w:firstLine="477" w:firstLineChars="199"/>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（5）技术规格偏离表</w:t>
      </w:r>
    </w:p>
    <w:p w14:paraId="13546F9E">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（6）商务条款偏离表</w:t>
      </w:r>
    </w:p>
    <w:p w14:paraId="5DD89A2D">
      <w:pPr>
        <w:shd w:val="clear" w:color="auto" w:fill="auto"/>
        <w:spacing w:line="400" w:lineRule="exact"/>
        <w:ind w:firstLine="477" w:firstLineChars="199"/>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（7）供应商基本情况表</w:t>
      </w:r>
    </w:p>
    <w:p w14:paraId="7823DF62">
      <w:pPr>
        <w:shd w:val="clear" w:color="auto" w:fill="auto"/>
        <w:spacing w:line="400" w:lineRule="exact"/>
        <w:ind w:firstLine="477" w:firstLineChars="199"/>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（8）近三年类似项目业绩</w:t>
      </w:r>
    </w:p>
    <w:p w14:paraId="392D9148">
      <w:pPr>
        <w:shd w:val="clear" w:color="auto" w:fill="auto"/>
        <w:spacing w:line="40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（9）中小企业声明函(不符合无需提供)</w:t>
      </w:r>
    </w:p>
    <w:p w14:paraId="22508BC6">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（10）投标人关联单位的说明（格式自拟）</w:t>
      </w:r>
    </w:p>
    <w:p w14:paraId="2C87F799">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（11）评分标准和细则中技术部分证明材料（格式自拟）</w:t>
      </w:r>
    </w:p>
    <w:p w14:paraId="0E6F5414">
      <w:pPr>
        <w:shd w:val="clear" w:color="auto" w:fill="auto"/>
        <w:spacing w:line="400" w:lineRule="exact"/>
        <w:ind w:firstLine="484" w:firstLineChars="202"/>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（12）评分标准和细则中商务部分证明材料（格式自拟）</w:t>
      </w:r>
    </w:p>
    <w:p w14:paraId="088F1E27">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（13）投标人认为有必要提供的其他证明材料（格式自拟）注：以上材料须逐页加盖单位公章。</w:t>
      </w:r>
    </w:p>
    <w:p w14:paraId="2C3F3FBF">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21.3投标文件的要求</w:t>
      </w:r>
    </w:p>
    <w:p w14:paraId="066EA769">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0EF3EE4">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（2）投标文件格式应按本采购文件第六章格式要求编制，不得对采购文件格式进行增删更改，否则按无效标处理。</w:t>
      </w:r>
    </w:p>
    <w:p w14:paraId="1E530E3A">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（3）对采购文件格式可更改的例外情况：采购文件第六章附件格式要求中明确规定表格中行数不够用时可按相同格式增加行数，其他一切内容和格式不得更改。 </w:t>
      </w:r>
    </w:p>
    <w:p w14:paraId="2CE2150A">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（4）投标文件为电子投标文件，电子投标文件按“政采云供应商项目采购-电子招投标操作指南”及本采购文件要求制作、加密传输。</w:t>
      </w:r>
    </w:p>
    <w:p w14:paraId="109B6267">
      <w:pPr>
        <w:shd w:val="clear" w:color="auto" w:fill="auto"/>
        <w:spacing w:line="400" w:lineRule="exact"/>
        <w:ind w:firstLine="477"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（5）投标文件未在投标截止时间前完成传输的，视为投标文件撤回；投标文件未按时解密也未提供备份投标文件的，亦视为投标文件撤回。</w:t>
      </w:r>
    </w:p>
    <w:p w14:paraId="414F01A7">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22.投标报价</w:t>
      </w:r>
    </w:p>
    <w:p w14:paraId="7A4026D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22.1投标报价文件中的单价和总价全部采用人民币表示。</w:t>
      </w:r>
    </w:p>
    <w:p w14:paraId="099F896A">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22.2投标报价表上应清楚地标明投标人拟提供货物的名称、型号、生产厂家、数量、单价和总价。</w:t>
      </w:r>
    </w:p>
    <w:p w14:paraId="038BAC07">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22.3投标人只允许有一个方案、一个报价。</w:t>
      </w:r>
    </w:p>
    <w:p w14:paraId="6766F90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22.4本次报价为人民币报价，投标报价应包括：货物本身价格、包装费、运输费、二次搬运费、安装费、损耗、技术指导、培训费、税金费用、伴随产品备品备件费、专用工具费、伴随产品资料费、技术服务费、技术考察费、人工及辅材费、代理费、自检费及验收合格前和质保期内发生的一切费用、应当提供的伴随服务/售后服务费用。因中标供应商自身原因造成漏报、少报皆由其自行承担责任，采购人不再补偿。</w:t>
      </w:r>
    </w:p>
    <w:p w14:paraId="1761E7A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22.5投标报价的价格是货物交货地验收价格，其总价即为履行合同的固定总价。</w:t>
      </w:r>
    </w:p>
    <w:p w14:paraId="5A3F002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22.6技术要求中规定的安装、调试和培训费用应包括在投标价格中。投标文件报价为含税价，招标人不再为此次招标支付任何费用。</w:t>
      </w:r>
    </w:p>
    <w:p w14:paraId="1431F8F9">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22.7投标报价应由法定代表人或被授权人签署。</w:t>
      </w:r>
    </w:p>
    <w:p w14:paraId="36D6978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22.8投标人投标总报价，不得高于本次招标设置的最高限价，否则将作为无效投标处理。</w:t>
      </w:r>
    </w:p>
    <w:p w14:paraId="1A98AAE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22.9如投标文件中未列明全面实现投标货物功能而必须配置的配套或辅助设施及相应技术措施的费用，这些费用将被视为已包含在总投标价中。</w:t>
      </w:r>
    </w:p>
    <w:p w14:paraId="442EB38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22.10总投标价中不得包含采购文件要求以外的内容，否则，在评标时不予核减，但在授予合同时，招标人有权将这部分价格从其中标价格中扣除。</w:t>
      </w:r>
    </w:p>
    <w:p w14:paraId="39AE8D67">
      <w:pPr>
        <w:shd w:val="clear" w:color="auto" w:fill="auto"/>
        <w:spacing w:line="440" w:lineRule="exact"/>
        <w:ind w:firstLine="460" w:firstLineChars="192"/>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45685C6A">
      <w:pPr>
        <w:shd w:val="clear" w:color="auto" w:fill="auto"/>
        <w:spacing w:line="440" w:lineRule="exact"/>
        <w:ind w:firstLine="460" w:firstLineChars="192"/>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22.12投标人不得对从第三方采购货物的随机备品、备件另行收费，否则在计算评标价时这部分费用将不予扣除，在授予合同时将从中标价格中扣除该部分费用。</w:t>
      </w:r>
    </w:p>
    <w:p w14:paraId="263784E4">
      <w:pPr>
        <w:shd w:val="clear" w:color="auto" w:fill="auto"/>
        <w:spacing w:line="440" w:lineRule="exact"/>
        <w:ind w:firstLine="460" w:firstLineChars="192"/>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1C4A406E">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23. 投标有效期</w:t>
      </w:r>
    </w:p>
    <w:p w14:paraId="61080055">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23.1 除投标人须知前附表另有规定外，投标有效期为60天。</w:t>
      </w:r>
    </w:p>
    <w:p w14:paraId="5BDCB0E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23.2在投标有效期内，投标人撤销或修改其投标文件的，应承担采购文件和法律规定的责任。</w:t>
      </w:r>
    </w:p>
    <w:p w14:paraId="7D54D3EE">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FEA0CF5">
      <w:pPr>
        <w:shd w:val="clear" w:color="auto" w:fill="auto"/>
        <w:spacing w:line="440" w:lineRule="exact"/>
        <w:ind w:firstLine="460" w:firstLineChars="192"/>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24. 投标保证金</w:t>
      </w:r>
    </w:p>
    <w:p w14:paraId="326970B0">
      <w:pPr>
        <w:shd w:val="clear" w:color="auto" w:fill="auto"/>
        <w:spacing w:line="40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1D1658C2">
      <w:pPr>
        <w:shd w:val="clear" w:color="auto" w:fill="auto"/>
        <w:spacing w:line="40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24.2自中标通知书发出之日起5个工作日内退还未中标投标人的投标保证金，自政府采购合同签订之日起5个工作日内退还中标人的投标保证金。</w:t>
      </w:r>
    </w:p>
    <w:p w14:paraId="60F2FF55">
      <w:pPr>
        <w:shd w:val="clear" w:color="auto" w:fill="auto"/>
        <w:spacing w:line="40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24.3有下列情形之一的，投标保证金将不予退还： </w:t>
      </w:r>
    </w:p>
    <w:p w14:paraId="4B4874A5">
      <w:pPr>
        <w:shd w:val="clear" w:color="auto" w:fill="auto"/>
        <w:spacing w:line="40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（1）投标人在规定的投标有效期内撤回或修改其投标文件；</w:t>
      </w:r>
    </w:p>
    <w:p w14:paraId="746BEE2F">
      <w:pPr>
        <w:shd w:val="clear" w:color="auto" w:fill="auto"/>
        <w:spacing w:line="40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（2）中标通知书发出后三十天内，中标人无正当理由拒签合同协议书或未按采购文件规定提交履约担保。</w:t>
      </w:r>
    </w:p>
    <w:p w14:paraId="61AD8870">
      <w:pPr>
        <w:shd w:val="clear" w:color="auto" w:fill="auto"/>
        <w:spacing w:line="40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（3）提供虚假材料谋取中标的；</w:t>
      </w:r>
    </w:p>
    <w:p w14:paraId="215DD937">
      <w:pPr>
        <w:shd w:val="clear" w:color="auto" w:fill="auto"/>
        <w:spacing w:line="40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（4）经查实属于陪标、串通投标的等。</w:t>
      </w:r>
    </w:p>
    <w:p w14:paraId="24E4B58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24.4投标保证金按投标人须知前附表第24条规定执行。</w:t>
      </w:r>
    </w:p>
    <w:p w14:paraId="7E0AD7AC">
      <w:pPr>
        <w:pStyle w:val="2"/>
        <w:rPr>
          <w:rFonts w:hint="eastAsia" w:ascii="仿宋" w:hAnsi="仿宋" w:eastAsia="仿宋" w:cs="仿宋"/>
          <w:bCs/>
          <w:color w:val="auto"/>
          <w:sz w:val="24"/>
          <w:szCs w:val="24"/>
          <w:lang w:val="en-US" w:eastAsia="zh-CN" w:bidi="en-US"/>
        </w:rPr>
      </w:pPr>
      <w:r>
        <w:rPr>
          <w:rFonts w:hint="eastAsia" w:ascii="仿宋" w:hAnsi="仿宋" w:eastAsia="仿宋" w:cs="仿宋"/>
          <w:color w:val="auto"/>
          <w:sz w:val="28"/>
          <w:szCs w:val="28"/>
          <w:lang w:eastAsia="zh-CN"/>
        </w:rPr>
        <w:t>（四）</w:t>
      </w:r>
      <w:bookmarkEnd w:id="19"/>
      <w:r>
        <w:rPr>
          <w:rFonts w:hint="eastAsia" w:ascii="仿宋" w:hAnsi="仿宋" w:eastAsia="仿宋" w:cs="仿宋"/>
          <w:color w:val="auto"/>
          <w:sz w:val="28"/>
          <w:szCs w:val="28"/>
          <w:lang w:eastAsia="zh-CN"/>
        </w:rPr>
        <w:t>投标文件的制作、上传及递交要求</w:t>
      </w:r>
      <w:bookmarkStart w:id="20" w:name="_Toc469495729"/>
    </w:p>
    <w:p w14:paraId="248CF89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25.投标文件的制作要求</w:t>
      </w:r>
    </w:p>
    <w:p w14:paraId="36F03D5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28110A2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48B80D49">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备份电子投标文件：通过“政采云”平台电子投标工具制作投标文件所产生的备份文件。</w:t>
      </w:r>
    </w:p>
    <w:p w14:paraId="2618076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（2）供应商应对所提供的全部资料的真实性、有效性承担法律责任，电子投标文件中所须加盖公章部分均采用CA签章。</w:t>
      </w:r>
    </w:p>
    <w:p w14:paraId="78DAB0B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（3）投标文件以及供应商与采购组织机构就有关投标事宜的所有来往函电，均应以中文汉语书写。除签字、盖章、专用名称等特殊情形外，以中文汉语以外的文字表述的投标文件视同未提供。</w:t>
      </w:r>
    </w:p>
    <w:p w14:paraId="7BC904C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（4）投标计量单位，采购文件已有明确规定的，使用采购文件规定的计量单位；采购文件没有规定的，应采用中华人民共和国法定计量单位（货币单位：人民币元）。</w:t>
      </w:r>
    </w:p>
    <w:p w14:paraId="20BCE75E">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（5）若供应商不按采购文件的要求提供资格审查材料，其风险由供应商自行承担。</w:t>
      </w:r>
    </w:p>
    <w:p w14:paraId="16D93E82">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（6）与本次投标无关的内容请不要制作在内，确保投标文件有针对性、简洁明了。</w:t>
      </w:r>
    </w:p>
    <w:p w14:paraId="187AD2E0">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26.投标文件的上传</w:t>
      </w:r>
    </w:p>
    <w:p w14:paraId="185936C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（1）电子加密投标文件（“.jmbs”格式）：</w:t>
      </w:r>
    </w:p>
    <w:p w14:paraId="7321C897">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a. 供应商应在投标截止时间前将电子加密投标文件成功上传递交至新疆政府采购云平台，否则投标无效；</w:t>
      </w:r>
    </w:p>
    <w:p w14:paraId="0AB172C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b.供应商成功上传电子加密投标文件后，可自行打印投标文件接收回执。</w:t>
      </w:r>
    </w:p>
    <w:p w14:paraId="1E2200D7">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（2）备份投标文件（“.bfbs”格式）：</w:t>
      </w:r>
    </w:p>
    <w:p w14:paraId="6F0117AD">
      <w:pPr>
        <w:shd w:val="clear" w:color="auto" w:fill="auto"/>
        <w:spacing w:line="440" w:lineRule="exact"/>
        <w:ind w:firstLine="480" w:firstLineChars="200"/>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w:t>
      </w:r>
      <w:r>
        <w:rPr>
          <w:rFonts w:hint="eastAsia" w:ascii="仿宋" w:hAnsi="仿宋" w:eastAsia="仿宋" w:cs="仿宋"/>
          <w:color w:val="auto"/>
          <w:lang w:val="en-US" w:eastAsia="zh-CN"/>
        </w:rPr>
        <w:t>（接收人邮箱：1965876366@qq.com，接收人：王女士，电话：15809081063）</w:t>
      </w:r>
      <w:r>
        <w:rPr>
          <w:rFonts w:hint="eastAsia" w:ascii="仿宋" w:hAnsi="仿宋" w:eastAsia="仿宋" w:cs="仿宋"/>
          <w:bCs/>
          <w:color w:val="auto"/>
          <w:sz w:val="24"/>
          <w:szCs w:val="24"/>
          <w:lang w:val="en-US" w:eastAsia="zh-CN" w:bidi="en-US"/>
        </w:rPr>
        <w:t>。</w:t>
      </w:r>
    </w:p>
    <w:p w14:paraId="0425B0B7">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EA3C32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27.投标文件的递交要求</w:t>
      </w:r>
    </w:p>
    <w:p w14:paraId="114CAB5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（1）供应商须按照采购文件和政采云平台的要求编制并加密投标文件。在投标文件递交截止时间以前完成投标文件的传输递交，截止时间后递交的投标文件，将被拒收。</w:t>
      </w:r>
    </w:p>
    <w:p w14:paraId="5D393317">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（2）备份电子投标文件必须在投标截止时间前送达指定的投标地点。备份电子投标文件在截止时间后提交，采购组织机构将拒绝接收。</w:t>
      </w:r>
    </w:p>
    <w:p w14:paraId="255FC902">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（3）如有特殊情况，采购组织机构延长截止时间和开标时间，采购组织机构和供应商的权利和义务将受到新的截止时间和开标时间的约束。</w:t>
      </w:r>
    </w:p>
    <w:p w14:paraId="73F186BE">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28．投标文件的补充、修改与撤回</w:t>
      </w:r>
    </w:p>
    <w:p w14:paraId="31F9FA1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028AB312">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bookmarkStart w:id="21" w:name="_Toc469495728"/>
      <w:r>
        <w:rPr>
          <w:rFonts w:hint="eastAsia" w:ascii="仿宋" w:hAnsi="仿宋" w:eastAsia="仿宋" w:cs="仿宋"/>
          <w:bCs/>
          <w:color w:val="auto"/>
          <w:sz w:val="24"/>
          <w:szCs w:val="24"/>
          <w:lang w:val="en-US" w:eastAsia="zh-CN" w:bidi="en-US"/>
        </w:rPr>
        <w:t>（五）开标、评标和定标</w:t>
      </w:r>
      <w:bookmarkEnd w:id="21"/>
    </w:p>
    <w:p w14:paraId="1DB5E42A">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29. 开标</w:t>
      </w:r>
    </w:p>
    <w:p w14:paraId="1419D49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bookmarkStart w:id="22" w:name="_Toc73975822"/>
      <w:r>
        <w:rPr>
          <w:rFonts w:hint="eastAsia" w:ascii="仿宋" w:hAnsi="仿宋" w:eastAsia="仿宋" w:cs="仿宋"/>
          <w:bCs/>
          <w:color w:val="auto"/>
          <w:sz w:val="24"/>
          <w:szCs w:val="24"/>
          <w:lang w:val="en-US" w:eastAsia="zh-CN" w:bidi="en-US"/>
        </w:rPr>
        <w:t>29.1开标邀请</w:t>
      </w:r>
      <w:bookmarkEnd w:id="22"/>
    </w:p>
    <w:p w14:paraId="760D9DC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（1）开标准备：本项目开标的准备工作由采购组织机构负责落实，开标过程由采购组织机构负责记录；</w:t>
      </w:r>
    </w:p>
    <w:p w14:paraId="15A8399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（2）开标主持：本项目开标由采购人或者采购代理机构主持；</w:t>
      </w:r>
    </w:p>
    <w:p w14:paraId="41320F9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（3）开标邀请：本项目采用电子交易，采购组织机构将按照采购文件规定的时间通过“新疆政府采购云平台，网址：</w:t>
      </w:r>
      <w:r>
        <w:rPr>
          <w:rFonts w:hint="eastAsia" w:ascii="仿宋" w:hAnsi="仿宋" w:eastAsia="仿宋" w:cs="仿宋"/>
          <w:bCs/>
          <w:color w:val="auto"/>
          <w:sz w:val="24"/>
          <w:szCs w:val="24"/>
          <w:lang w:val="en-US" w:eastAsia="zh-CN" w:bidi="en-US"/>
        </w:rPr>
        <w:fldChar w:fldCharType="begin"/>
      </w:r>
      <w:r>
        <w:rPr>
          <w:rFonts w:hint="eastAsia" w:ascii="仿宋" w:hAnsi="仿宋" w:eastAsia="仿宋" w:cs="仿宋"/>
          <w:bCs/>
          <w:color w:val="auto"/>
          <w:sz w:val="24"/>
          <w:szCs w:val="24"/>
          <w:lang w:val="en-US" w:eastAsia="zh-CN" w:bidi="en-US"/>
        </w:rPr>
        <w:instrText xml:space="preserve">HYPERLINK "http://www.zcygov.cn"</w:instrText>
      </w:r>
      <w:r>
        <w:rPr>
          <w:rFonts w:hint="eastAsia" w:ascii="仿宋" w:hAnsi="仿宋" w:eastAsia="仿宋" w:cs="仿宋"/>
          <w:bCs/>
          <w:color w:val="auto"/>
          <w:sz w:val="24"/>
          <w:szCs w:val="24"/>
          <w:lang w:val="en-US" w:eastAsia="zh-CN" w:bidi="en-US"/>
        </w:rPr>
        <w:fldChar w:fldCharType="separate"/>
      </w:r>
      <w:r>
        <w:rPr>
          <w:rFonts w:hint="eastAsia" w:ascii="仿宋" w:hAnsi="仿宋" w:eastAsia="仿宋" w:cs="仿宋"/>
          <w:bCs/>
          <w:color w:val="auto"/>
          <w:sz w:val="24"/>
          <w:szCs w:val="24"/>
          <w:lang w:val="en-US" w:eastAsia="zh-CN" w:bidi="en-US"/>
        </w:rPr>
        <w:t>www.zcygov.cn</w:t>
      </w:r>
      <w:r>
        <w:rPr>
          <w:rFonts w:hint="eastAsia" w:ascii="仿宋" w:hAnsi="仿宋" w:eastAsia="仿宋" w:cs="仿宋"/>
          <w:bCs/>
          <w:color w:val="auto"/>
          <w:sz w:val="24"/>
          <w:szCs w:val="24"/>
          <w:lang w:val="en-US" w:eastAsia="zh-CN" w:bidi="en-US"/>
        </w:rPr>
        <w:fldChar w:fldCharType="end"/>
      </w:r>
      <w:r>
        <w:rPr>
          <w:rFonts w:hint="eastAsia" w:ascii="仿宋" w:hAnsi="仿宋" w:eastAsia="仿宋" w:cs="仿宋"/>
          <w:bCs/>
          <w:color w:val="auto"/>
          <w:sz w:val="24"/>
          <w:szCs w:val="24"/>
          <w:lang w:val="en-US" w:eastAsia="zh-CN" w:bidi="en-US"/>
        </w:rPr>
        <w:t>”组织开标、开启投标响应文件，所有供应商均应当准时在线参加。</w:t>
      </w:r>
    </w:p>
    <w:p w14:paraId="520E12F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3708BC3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bookmarkStart w:id="23" w:name="_Toc73975823"/>
      <w:r>
        <w:rPr>
          <w:rFonts w:hint="eastAsia" w:ascii="仿宋" w:hAnsi="仿宋" w:eastAsia="仿宋" w:cs="仿宋"/>
          <w:bCs/>
          <w:color w:val="auto"/>
          <w:sz w:val="24"/>
          <w:szCs w:val="24"/>
          <w:lang w:val="en-US" w:eastAsia="zh-CN" w:bidi="en-US"/>
        </w:rPr>
        <w:t>29.2开标程序（先资格、商务技术后报价）</w:t>
      </w:r>
      <w:bookmarkEnd w:id="23"/>
    </w:p>
    <w:p w14:paraId="491D5EC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（1）开标时间到后，主持人宣布开标会议开始。</w:t>
      </w:r>
    </w:p>
    <w:p w14:paraId="6681EE29">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（2）投标文件解密（解密规定见《供应商须知前附表》）。</w:t>
      </w:r>
    </w:p>
    <w:p w14:paraId="01FBF6C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（3）投标文件解密异常情况处理（处理办法见《供应商须知前附表》）。</w:t>
      </w:r>
    </w:p>
    <w:p w14:paraId="55700A52">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公布投标文件解密情况（投标文件成功解密的供应商名单等信息），组织签署《政府采购活动现场确认声明书》，供应商应在20分钟内通过邮件形式将经签署的《政府采购活动现场确认声明书》发送至采购代理机构指定邮箱</w:t>
      </w:r>
      <w:r>
        <w:rPr>
          <w:rFonts w:hint="eastAsia" w:ascii="仿宋" w:hAnsi="仿宋" w:eastAsia="仿宋" w:cs="仿宋"/>
          <w:color w:val="auto"/>
          <w:lang w:val="en-US" w:eastAsia="zh-CN"/>
        </w:rPr>
        <w:t>1965876366</w:t>
      </w:r>
      <w:r>
        <w:rPr>
          <w:rFonts w:hint="eastAsia" w:ascii="仿宋" w:hAnsi="仿宋" w:eastAsia="仿宋" w:cs="仿宋"/>
          <w:bCs/>
          <w:color w:val="auto"/>
          <w:sz w:val="24"/>
          <w:szCs w:val="24"/>
          <w:lang w:val="en-US" w:eastAsia="zh-CN" w:bidi="en-US"/>
        </w:rPr>
        <w:t>@qq.com ，逾期发送或未发送的视为无异议。</w:t>
      </w:r>
    </w:p>
    <w:p w14:paraId="68BC523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7FDE9672">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（6）商务技术评审结束后，主持人公布商务技术评审无效投标供应商名单和商务技术评审有效投标供应商名单及其商务技术得分情况。商务技术评审无效的供应商，其报价不再进入评审。</w:t>
      </w:r>
    </w:p>
    <w:p w14:paraId="45D4965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7）开启有效投标供应商的报价，公布开标一览表有关内容，并【开启签字时段】，供应商对开标纪录进行在线签字确认（不予确认的应说明理由，否则视为无异议）。开标结束后，由评标委员会对报价的合理性、准确性等进行审查核实。</w:t>
      </w:r>
    </w:p>
    <w:p w14:paraId="67DAA59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（8）评审结束后，采购代理机构在系统上公布评审结果。</w:t>
      </w:r>
    </w:p>
    <w:p w14:paraId="278537E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特别情况说明：</w:t>
      </w:r>
    </w:p>
    <w:p w14:paraId="167CE629">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（1）本项目采用电子交易，如遇“新疆政府采购云平台”电子化开标或评审程序调整的，按调整后程序执行。</w:t>
      </w:r>
    </w:p>
    <w:p w14:paraId="60BEBF8C">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265B3CF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29.3 投标供应商资格审查：</w:t>
      </w:r>
    </w:p>
    <w:p w14:paraId="46155D5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67D1636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78A61AE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（3）供应商信用记录查询与使用：见《供应商须知前附表》。</w:t>
      </w:r>
    </w:p>
    <w:p w14:paraId="79574F3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30.评审工作的组织</w:t>
      </w:r>
    </w:p>
    <w:p w14:paraId="18D0174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采购人或采购代理机构负责组织本项目的评审工作，并依据《政府采购货物和服务招标投标管理办法（财政部第87号令）》第四十五条的相关规定履行职责。</w:t>
      </w:r>
    </w:p>
    <w:p w14:paraId="069B88E9">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31. 评标委员会的组建</w:t>
      </w:r>
    </w:p>
    <w:p w14:paraId="078D9B50">
      <w:pPr>
        <w:shd w:val="clear" w:color="auto" w:fill="auto"/>
        <w:spacing w:line="440" w:lineRule="exact"/>
        <w:ind w:firstLine="480" w:firstLineChars="200"/>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31.1评标委员会成员由随机抽取有关方面的专家组成，成员为5人，评标委员会的成员在评标过程中必须严格遵守政府采购的有关规定。</w:t>
      </w:r>
    </w:p>
    <w:p w14:paraId="34BE62A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31.2评审专家从新疆政府采购云平台专家库中通过随机方式抽取产生。评标委员会成员名单在采购结果公告前保密。</w:t>
      </w:r>
    </w:p>
    <w:p w14:paraId="004687F0">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32.评标委员会的职责</w:t>
      </w:r>
    </w:p>
    <w:p w14:paraId="2DB7C98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32.1审查、评价投标文件是否符合采购文件的商务、技术等实质性要求。</w:t>
      </w:r>
    </w:p>
    <w:p w14:paraId="79A59E6C">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32.2要求供应商对投标文件有关事项作出澄清或者说明。</w:t>
      </w:r>
    </w:p>
    <w:p w14:paraId="21B6FB82">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32.3对投标文件进行比较和评价。</w:t>
      </w:r>
    </w:p>
    <w:p w14:paraId="34A66D2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32.4确定中标候选人名单，以及根据采购人委托直接确定中标人。</w:t>
      </w:r>
    </w:p>
    <w:p w14:paraId="2E8061D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32.5向采购人、采购代理机构或者有关部门报告评审中发现的违法行为。</w:t>
      </w:r>
    </w:p>
    <w:p w14:paraId="17A49692">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33. 评标原则</w:t>
      </w:r>
    </w:p>
    <w:p w14:paraId="2FB7040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33.1评标委员会将遵循公平、公正、科学的原则，对供应商提交的投标文件进行综合评审，评标委员会按照采购文件规定的评标细则进行评分。</w:t>
      </w:r>
    </w:p>
    <w:p w14:paraId="4BEDE8A5">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33.2客观公正对待所有供应商，对所有投标评价均采用相同的程序和标准。 </w:t>
      </w:r>
    </w:p>
    <w:p w14:paraId="33452EA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33.3评标委员会成员对需要共同认定的事项存在争议的，按照少数服从多数的原则作出结论。持不同意见的评标委员会成员应当在评审报告上签署不同意见及理由，否则视为同意评审报告。</w:t>
      </w:r>
    </w:p>
    <w:p w14:paraId="40A0F56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5E950E7">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非单一产品采购项目，采购人应当根据采购项目技术构成、产品价格比重等合理确定核心产品，并在采购文件中载明。多家供应商提供的核心产品品牌相同的，按前款规定处理。      </w:t>
      </w:r>
    </w:p>
    <w:p w14:paraId="0012A4D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评委纪律</w:t>
      </w:r>
    </w:p>
    <w:p w14:paraId="4BA45455">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评标委员会成员必须严格遵守保密规定，不得泄露评审的有关情况，任何单位和个人不得干扰、影响评标的正常进行，评标委员会成员不得私下与投标供应商接触，不得出现新疆省政府采购活动现场组织管理办法中规定的其他禁止行为。</w:t>
      </w:r>
    </w:p>
    <w:p w14:paraId="0F5FF1A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35.评标程序</w:t>
      </w:r>
    </w:p>
    <w:p w14:paraId="4740CB6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35.1 在评审专家中推选评标委员会组长，采购人代表不得担任评标委员会组长。</w:t>
      </w:r>
    </w:p>
    <w:p w14:paraId="3FC1097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1226976A">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35.3 评审人员对符合资格的供应商的投标文件的有效性、符合性、完整性和响应程度进行审查，确定是否对采购文件作出实质性响应。</w:t>
      </w:r>
    </w:p>
    <w:p w14:paraId="20376E9C">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35.4 评审人员按采购文件规定的评审方法和评审标准，依法独立对供应商投标文件进行评估、比较，并给予评价或打分，不受任何单位和个人的干预。</w:t>
      </w:r>
    </w:p>
    <w:p w14:paraId="0C1166FA">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综合评分法货物项目的价格分值占总分值的比重(即权值)为30％，采购项目中含不同采购对象的，以占项目资金比例最高的采购对象确定其项目属性。其价格不列为评分因素，有特殊情况需要在上述规定范围外设定价格分权重的。</w:t>
      </w:r>
    </w:p>
    <w:p w14:paraId="170E30C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综合评分法中的价格分统一采用低价优先法计算，即满足招标文件要求且最后报价最低的供应商的价格为招标基准价，其价格分为满分。其他供应商的价格分统一按照下列公式计算：</w:t>
      </w:r>
    </w:p>
    <w:p w14:paraId="0CA28860">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投标报价得分=（基准价/投标报价）×价格权值×100</w:t>
      </w:r>
    </w:p>
    <w:p w14:paraId="64C49B2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项目评审过程中，不得去掉最后报价中的最高报价和最低报价。</w:t>
      </w:r>
    </w:p>
    <w:p w14:paraId="0499F6C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  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5FDD323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7965AAB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35.7 评标委员会根据评审汇总情况和采购文件规定确定中标候选供应商排序名单。</w:t>
      </w:r>
    </w:p>
    <w:p w14:paraId="14328E6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35.8 起草评审报告，所有评审人员须在评审报告上签字确认，对自己的评审意见承担法律责任。 </w:t>
      </w:r>
    </w:p>
    <w:p w14:paraId="750246B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35.9 采购组织机构对评标委员会评审专家进行评价。</w:t>
      </w:r>
    </w:p>
    <w:p w14:paraId="31E1DC25">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35.10 修改评审结果</w:t>
      </w:r>
    </w:p>
    <w:p w14:paraId="2B5FC68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评标结果汇总完成后，除下列情形外，任何人不得修改评标结果：</w:t>
      </w:r>
    </w:p>
    <w:p w14:paraId="0474C3D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（1）分值汇总计算错误的；</w:t>
      </w:r>
    </w:p>
    <w:p w14:paraId="3CF18AF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（2）分项评分超出评分标准范围的；</w:t>
      </w:r>
    </w:p>
    <w:p w14:paraId="0FDFC9D5">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（3）评标委员会成员对客观评审因素评分不一致的；</w:t>
      </w:r>
    </w:p>
    <w:p w14:paraId="3FC8F252">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（4）经评标委员会认定评分畸高、畸低的。</w:t>
      </w:r>
    </w:p>
    <w:p w14:paraId="6800625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C4CBD2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36．澄清、说明或补正的形式</w:t>
      </w:r>
    </w:p>
    <w:p w14:paraId="565CEDE2">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36.1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3FB257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49EAF2A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1B5CDBE">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37．错误修正的原则</w:t>
      </w:r>
    </w:p>
    <w:p w14:paraId="1E0AF20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电子交易平台客户端里开标一览表录入的投标报价或优惠率与扫描上传的报价文件信息不一致的，以扫描上传的报价文件信息为准进行修正。</w:t>
      </w:r>
    </w:p>
    <w:p w14:paraId="022DCD8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投标文件报价出现前后不一致的，除采购文件另有规定外，按照下列规定修正：</w:t>
      </w:r>
    </w:p>
    <w:p w14:paraId="2706F7A7">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37.1 投标函中表述的内容与报价表中不一致的，以报价表为准；报价表中的内容与报价明细表不一致的，以报价表为准；</w:t>
      </w:r>
    </w:p>
    <w:p w14:paraId="4EE5FFF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37.2 投标文件中的大写金额和小写金额不一致的，以大写金额为准；</w:t>
      </w:r>
    </w:p>
    <w:p w14:paraId="57BFAFD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37.3 单价金额小数点或者百分比有明显错位的，以开标一览表的总价为准，并修改单价；</w:t>
      </w:r>
    </w:p>
    <w:p w14:paraId="7A819CD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37.4 总价金额与按单价汇总金额不一致的，以单价金额计算结果为准；</w:t>
      </w:r>
    </w:p>
    <w:p w14:paraId="2DA3606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37.5 若用文字表示的数值与用数字表示的数值不一致，以文字表示的数值为准；</w:t>
      </w:r>
    </w:p>
    <w:p w14:paraId="48E55C5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37.6 如有多报（指数量超出采购文件需求）、重报（指同一货物重复报价），其投标总价在评标过程中不予调整，如其中标，其合同价按其投标单价予以调整；</w:t>
      </w:r>
    </w:p>
    <w:p w14:paraId="06AB304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37.7 对不同文字文本投标文件的解释发生异议的，以中文文本为准；</w:t>
      </w:r>
    </w:p>
    <w:p w14:paraId="06E264D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427115E">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38．无效投标文件</w:t>
      </w:r>
    </w:p>
    <w:p w14:paraId="0B47965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有下列情形之一的，投标文件按无效标处理：</w:t>
      </w:r>
    </w:p>
    <w:p w14:paraId="11B67340">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 报名的投标人与参加投标的投标人发生实质性变更的且未提供有效证明的；</w:t>
      </w:r>
    </w:p>
    <w:p w14:paraId="5242DACE">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38.2投标人提交两份或两份以上内容不同的投标文件，未声明哪一份有效的；</w:t>
      </w:r>
    </w:p>
    <w:p w14:paraId="7ADA9950">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38.3 投标文件非投标人法定代表人签署的，未提供或提供无效的法定代表人授权书；</w:t>
      </w:r>
    </w:p>
    <w:p w14:paraId="4534F64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38.4 未按招标文件规定装订；</w:t>
      </w:r>
    </w:p>
    <w:p w14:paraId="3F9B0AA7">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38.5 投标文件内容未按招标文件规定签字或盖章的；</w:t>
      </w:r>
    </w:p>
    <w:p w14:paraId="0A331445">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38.6 投标文件组成漏项或未按规定的格式编制或投标文件正、副本份数不足或内容不全或内容字迹模糊辨认不清的等而导致评标活动无法正常进行；</w:t>
      </w:r>
    </w:p>
    <w:p w14:paraId="01C6F73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38.7 投标人未按招标文件变更通知更改投标文件的；</w:t>
      </w:r>
    </w:p>
    <w:p w14:paraId="015609D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38.8 《开标一览表》和《投标分项报价表》内容不完整且不接受修正意见或字迹不能辨认的或未提供；</w:t>
      </w:r>
    </w:p>
    <w:p w14:paraId="54EB49C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38.9 标项投标报价超过招标文件规定的预算金额或最高限价</w:t>
      </w:r>
    </w:p>
    <w:p w14:paraId="3485B97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38.10 因投标人原因编制错误造成经评标委员会修正后的报价达到或超过投标报价的0.5%；</w:t>
      </w:r>
    </w:p>
    <w:p w14:paraId="3470A26C">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38.11 投标人的报价明显低于其他通过符合性审查投标人的报价，有可能影响产品质量或者不能诚信履约的，且在规定时间内不能合理说明原因并提供证明材料的；</w:t>
      </w:r>
    </w:p>
    <w:p w14:paraId="29747E9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38.12 未实质性响应招标文件中条款要求的投标文件；</w:t>
      </w:r>
    </w:p>
    <w:p w14:paraId="4F0CADBA">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38.13 不符合招标范围、技术规格、技术标准的要求无法满足采购人使用要求；</w:t>
      </w:r>
    </w:p>
    <w:p w14:paraId="4700252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38.14 投标文件附有采购人不能接受的条款；</w:t>
      </w:r>
    </w:p>
    <w:p w14:paraId="60743015">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38.15 投标文件中提供了赠品或者与本项目采购无关的其他商品、服务；</w:t>
      </w:r>
    </w:p>
    <w:p w14:paraId="651DB86A">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38.16 投标文件中承诺的投标有效期少于招标文件中载明的投标有效期；</w:t>
      </w:r>
    </w:p>
    <w:p w14:paraId="74BB73A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38.17投标人串通投标，妨碍其他投标人的竞争行为，损害采购人或者其他投标人的合法权益；</w:t>
      </w:r>
    </w:p>
    <w:p w14:paraId="2611F872">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38.18违反国家及政府部门相关法律、法规、文件规定或经评标委员会认定的其他属于重大偏离；</w:t>
      </w:r>
    </w:p>
    <w:p w14:paraId="22C40E3D">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39．废标</w:t>
      </w:r>
    </w:p>
    <w:p w14:paraId="61FDDBD7">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39.1 符合招标文件规定废标情形的；</w:t>
      </w:r>
    </w:p>
    <w:p w14:paraId="69BBE7C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39.2 出现影响采购公正的违法、违规行为的；</w:t>
      </w:r>
    </w:p>
    <w:p w14:paraId="438D803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39.3 供应商的报价均超过了采购预算（或最高限价），采购人不能支付的;</w:t>
      </w:r>
    </w:p>
    <w:p w14:paraId="4A2F19E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39.4 因重大变故，采购任务取消的。</w:t>
      </w:r>
    </w:p>
    <w:p w14:paraId="1BCAC9AE">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40．突发情况处理</w:t>
      </w:r>
    </w:p>
    <w:p w14:paraId="0CB8EC4E">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40.1 采购过程中出现以下情形，导致电子交易平台无法正常运行，或者无法保证电子交易的公平、公正和安全时，采购组织机构可中止电子交易活动：</w:t>
      </w:r>
    </w:p>
    <w:p w14:paraId="4B329B2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（1）电子交易平台发生故障而无法登录访问的； </w:t>
      </w:r>
    </w:p>
    <w:p w14:paraId="3900033D">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（2）电子交易平台应用或数据库出现错误，不能进行正常操作的；</w:t>
      </w:r>
    </w:p>
    <w:p w14:paraId="1B77E0F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（3）电子交易平台发现严重安全漏洞，有潜在泄密危险的；</w:t>
      </w:r>
    </w:p>
    <w:p w14:paraId="5C6CF297">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（4）病毒发作导致不能进行正常操作的； </w:t>
      </w:r>
    </w:p>
    <w:p w14:paraId="13FE5F36">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（5）其他无法保证电子交易的公平、公正和安全的情况。</w:t>
      </w:r>
    </w:p>
    <w:p w14:paraId="7173E7B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出现前款规定情形，不影响采购公平、公正性的，采购组织机构可以待上述情形消除后继续组织电子交易活动，也可以决定某些环节以纸质形式进行；影响或可能影响采购公平、公正性的，应当重新采购。</w:t>
      </w:r>
    </w:p>
    <w:p w14:paraId="6A5F7C3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40.2 采购代理机构或评审小组因不可抗力（不可抗力包括但不限于自然灾害、断电、传播疫病等）原因造成电子交易活动无法正常运行的，将采取以下措施：</w:t>
      </w:r>
    </w:p>
    <w:p w14:paraId="13561354">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（1）短时间内能消除不可抗力因素的，采购代理机构或评审小组在消除不可抗力因素后继续组织电子交易活动； </w:t>
      </w:r>
    </w:p>
    <w:p w14:paraId="5EC23D9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（2）长时间内无法消除不可抗力因素的，采购代理机构或评审小组将中止电子交易活动。中止电子交易活动的，采购人应当重新组织政府采购活动。</w:t>
      </w:r>
    </w:p>
    <w:p w14:paraId="1ADC7D2A">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41. 定标</w:t>
      </w:r>
    </w:p>
    <w:p w14:paraId="51029DB7">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    41.1采购结果确认（确定中标供应商）</w:t>
      </w:r>
    </w:p>
    <w:p w14:paraId="1267EC9F">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采购结果确认（确定中标供应商）：本项目由采购人根据评标委员会提交的《评审报告》，通过“政府采购云平台”依法确认采购结果、确定中标供应商。具体流程如下：</w:t>
      </w:r>
    </w:p>
    <w:p w14:paraId="2635BFD8">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（1）采购代理机构将在评审结束后2个工作日内将评审报告送采购人。</w:t>
      </w:r>
    </w:p>
    <w:p w14:paraId="29974653">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 xml:space="preserve">（2）采购人将在收到评审报告之日起5个工作日内，在评审报告推荐的中标候选供应商名单中按顺序确定中标供应商，并将确认意见以书面形式回复采购代理机构。 </w:t>
      </w:r>
    </w:p>
    <w:p w14:paraId="023EA511">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41.2</w:t>
      </w:r>
      <w:r>
        <w:rPr>
          <w:rFonts w:hint="eastAsia" w:ascii="仿宋" w:hAnsi="仿宋" w:eastAsia="仿宋" w:cs="仿宋"/>
          <w:b w:val="0"/>
          <w:bCs/>
          <w:color w:val="auto"/>
          <w:sz w:val="24"/>
          <w:szCs w:val="24"/>
          <w:lang w:val="en-US" w:eastAsia="zh-CN" w:bidi="en-US"/>
        </w:rPr>
        <w:t>采购结果经采购人确认后2个工作日内，采购代理机构将在</w:t>
      </w:r>
      <w:r>
        <w:rPr>
          <w:rFonts w:hint="eastAsia" w:ascii="仿宋" w:hAnsi="仿宋" w:eastAsia="仿宋" w:cs="仿宋"/>
          <w:b/>
          <w:bCs w:val="0"/>
          <w:color w:val="auto"/>
          <w:sz w:val="24"/>
          <w:szCs w:val="24"/>
          <w:lang w:val="en-US" w:eastAsia="zh-CN" w:bidi="en-US"/>
        </w:rPr>
        <w:t>新疆政府采购网（www.zjzfcg.gov.cn）、克州公共资源交易网上公告采购结果，中标公告期限为1个工作日</w:t>
      </w:r>
      <w:r>
        <w:rPr>
          <w:rFonts w:hint="eastAsia" w:ascii="仿宋" w:hAnsi="仿宋" w:eastAsia="仿宋" w:cs="仿宋"/>
          <w:bCs/>
          <w:color w:val="auto"/>
          <w:sz w:val="24"/>
          <w:szCs w:val="24"/>
          <w:lang w:val="en-US" w:eastAsia="zh-CN" w:bidi="en-US"/>
        </w:rPr>
        <w:t>。</w:t>
      </w:r>
    </w:p>
    <w:p w14:paraId="265D1F1E">
      <w:pPr>
        <w:shd w:val="clear" w:color="auto" w:fill="auto"/>
        <w:spacing w:line="440" w:lineRule="exact"/>
        <w:ind w:firstLine="480" w:firstLineChars="200"/>
        <w:rPr>
          <w:rFonts w:hint="eastAsia" w:ascii="仿宋" w:hAnsi="仿宋" w:eastAsia="仿宋" w:cs="仿宋"/>
          <w:b/>
          <w:bCs w:val="0"/>
          <w:color w:val="auto"/>
          <w:sz w:val="24"/>
          <w:szCs w:val="24"/>
          <w:lang w:val="en-US" w:eastAsia="zh-CN" w:bidi="en-US"/>
        </w:rPr>
      </w:pPr>
      <w:r>
        <w:rPr>
          <w:rFonts w:hint="eastAsia" w:ascii="仿宋" w:hAnsi="仿宋" w:eastAsia="仿宋" w:cs="仿宋"/>
          <w:b/>
          <w:bCs w:val="0"/>
          <w:color w:val="auto"/>
          <w:sz w:val="24"/>
          <w:szCs w:val="24"/>
          <w:lang w:val="en-US" w:eastAsia="zh-CN" w:bidi="en-US"/>
        </w:rPr>
        <w:t>42. 中标通知书</w:t>
      </w:r>
    </w:p>
    <w:p w14:paraId="38C7C45B">
      <w:pPr>
        <w:shd w:val="clear" w:color="auto" w:fill="auto"/>
        <w:spacing w:line="440" w:lineRule="exact"/>
        <w:ind w:firstLine="480"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42.1</w:t>
      </w:r>
      <w:r>
        <w:rPr>
          <w:rFonts w:hint="eastAsia" w:ascii="仿宋" w:hAnsi="仿宋" w:eastAsia="仿宋" w:cs="仿宋"/>
          <w:b w:val="0"/>
          <w:bCs/>
          <w:color w:val="auto"/>
          <w:sz w:val="24"/>
          <w:szCs w:val="24"/>
          <w:lang w:val="en-US" w:eastAsia="zh-CN" w:bidi="en-US"/>
        </w:rPr>
        <w:t>在中标通知书发出前，招标人将中标侯选人的情况在</w:t>
      </w:r>
      <w:r>
        <w:rPr>
          <w:rFonts w:hint="eastAsia" w:ascii="仿宋" w:hAnsi="仿宋" w:eastAsia="仿宋" w:cs="仿宋"/>
          <w:b/>
          <w:bCs w:val="0"/>
          <w:color w:val="auto"/>
          <w:sz w:val="24"/>
          <w:szCs w:val="24"/>
          <w:lang w:val="en-US" w:eastAsia="zh-CN" w:bidi="en-US"/>
        </w:rPr>
        <w:t>新疆政府采购网、克州公共资源交易网上予以公示，公示期为一个工作日。</w:t>
      </w:r>
      <w:r>
        <w:rPr>
          <w:rFonts w:hint="eastAsia" w:ascii="仿宋" w:hAnsi="仿宋" w:eastAsia="仿宋" w:cs="仿宋"/>
          <w:b w:val="0"/>
          <w:bCs/>
          <w:color w:val="auto"/>
          <w:sz w:val="24"/>
          <w:szCs w:val="24"/>
          <w:lang w:val="en-US" w:eastAsia="zh-CN" w:bidi="en-US"/>
        </w:rPr>
        <w:t>待公示期结束后，采购组织机构向中标人发出中标通知书。</w:t>
      </w:r>
    </w:p>
    <w:p w14:paraId="4A87AF01">
      <w:pPr>
        <w:shd w:val="clear" w:color="auto" w:fill="auto"/>
        <w:spacing w:line="440" w:lineRule="exact"/>
        <w:ind w:firstLine="480" w:firstLineChars="200"/>
        <w:rPr>
          <w:rFonts w:ascii="仿宋" w:hAnsi="仿宋" w:eastAsia="仿宋" w:cs="仿宋"/>
          <w:color w:val="auto"/>
          <w:szCs w:val="21"/>
          <w:lang w:eastAsia="zh-CN"/>
        </w:rPr>
      </w:pPr>
      <w:r>
        <w:rPr>
          <w:rFonts w:hint="eastAsia" w:ascii="仿宋" w:hAnsi="仿宋" w:eastAsia="仿宋" w:cs="仿宋"/>
          <w:bCs/>
          <w:color w:val="auto"/>
          <w:sz w:val="24"/>
          <w:szCs w:val="24"/>
          <w:lang w:val="en-US" w:eastAsia="zh-CN" w:bidi="en-US"/>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004366CD">
      <w:pPr>
        <w:spacing w:beforeLines="50" w:line="440" w:lineRule="exact"/>
        <w:jc w:val="center"/>
        <w:outlineLvl w:val="2"/>
        <w:rPr>
          <w:rFonts w:ascii="仿宋" w:hAnsi="仿宋" w:eastAsia="仿宋" w:cs="仿宋"/>
          <w:b/>
          <w:bCs/>
          <w:color w:val="auto"/>
          <w:lang w:eastAsia="zh-CN"/>
        </w:rPr>
      </w:pPr>
      <w:r>
        <w:rPr>
          <w:rFonts w:hint="eastAsia" w:ascii="仿宋" w:hAnsi="仿宋" w:eastAsia="仿宋" w:cs="仿宋"/>
          <w:b/>
          <w:bCs/>
          <w:color w:val="auto"/>
          <w:sz w:val="28"/>
          <w:szCs w:val="28"/>
          <w:lang w:eastAsia="zh-CN"/>
        </w:rPr>
        <w:t>（六）合同的授予</w:t>
      </w:r>
      <w:bookmarkEnd w:id="20"/>
    </w:p>
    <w:p w14:paraId="549F6417">
      <w:pPr>
        <w:spacing w:line="440" w:lineRule="exact"/>
        <w:ind w:firstLine="240" w:firstLineChars="100"/>
        <w:rPr>
          <w:rFonts w:ascii="仿宋" w:hAnsi="仿宋" w:eastAsia="仿宋" w:cs="仿宋"/>
          <w:color w:val="auto"/>
          <w:szCs w:val="21"/>
          <w:lang w:eastAsia="zh-CN"/>
        </w:rPr>
      </w:pPr>
      <w:bookmarkStart w:id="24" w:name="_Toc73975842"/>
      <w:bookmarkStart w:id="25" w:name="_Toc469495730"/>
      <w:r>
        <w:rPr>
          <w:rFonts w:hint="eastAsia" w:ascii="仿宋" w:hAnsi="仿宋" w:eastAsia="仿宋" w:cs="仿宋"/>
          <w:color w:val="auto"/>
          <w:szCs w:val="21"/>
          <w:lang w:eastAsia="zh-CN"/>
        </w:rPr>
        <w:t>43．履约保证金</w:t>
      </w:r>
      <w:bookmarkEnd w:id="24"/>
    </w:p>
    <w:p w14:paraId="6629A993">
      <w:pPr>
        <w:spacing w:line="440" w:lineRule="exact"/>
        <w:ind w:firstLine="240" w:firstLineChars="100"/>
        <w:rPr>
          <w:rFonts w:ascii="仿宋" w:hAnsi="仿宋" w:eastAsia="仿宋" w:cs="仿宋"/>
          <w:b/>
          <w:bCs/>
          <w:color w:val="auto"/>
          <w:szCs w:val="21"/>
          <w:lang w:eastAsia="zh-CN"/>
        </w:rPr>
      </w:pPr>
      <w:r>
        <w:rPr>
          <w:rFonts w:hint="eastAsia" w:ascii="仿宋" w:hAnsi="仿宋" w:eastAsia="仿宋" w:cs="仿宋"/>
          <w:color w:val="auto"/>
          <w:szCs w:val="21"/>
          <w:lang w:eastAsia="zh-CN"/>
        </w:rPr>
        <w:t xml:space="preserve">43.1 </w:t>
      </w:r>
      <w:r>
        <w:rPr>
          <w:rFonts w:hint="eastAsia" w:ascii="仿宋" w:hAnsi="仿宋" w:eastAsia="仿宋" w:cs="仿宋"/>
          <w:b/>
          <w:bCs/>
          <w:color w:val="auto"/>
          <w:szCs w:val="21"/>
          <w:lang w:eastAsia="zh-CN"/>
        </w:rPr>
        <w:t>中标供应商在签订合同后10个工作日内向采购人缴纳中标价</w:t>
      </w: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lang w:eastAsia="zh-CN"/>
        </w:rPr>
        <w:t>%的履约保证金</w:t>
      </w:r>
      <w:r>
        <w:rPr>
          <w:rFonts w:hint="eastAsia" w:ascii="仿宋" w:hAnsi="仿宋" w:eastAsia="仿宋" w:cs="仿宋"/>
          <w:b/>
          <w:bCs/>
          <w:color w:val="auto"/>
          <w:szCs w:val="21"/>
          <w:lang w:eastAsia="zh-CN"/>
        </w:rPr>
        <w:t>（以电汇、银行转账方式提交的，必须转到采购人的指定账户）。</w:t>
      </w:r>
    </w:p>
    <w:p w14:paraId="3269F2F1">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43.2 签订合同后，如中标供应商不按合同约定履约的，履约保证金不予退还，履约保证金不足以赔偿损失的，按实际损失赔偿。</w:t>
      </w:r>
    </w:p>
    <w:p w14:paraId="4297227C">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43.3 如果中标供应商在</w:t>
      </w:r>
      <w:r>
        <w:rPr>
          <w:rFonts w:hint="eastAsia" w:ascii="仿宋" w:hAnsi="仿宋" w:eastAsia="仿宋" w:cs="仿宋"/>
          <w:color w:val="auto"/>
          <w:szCs w:val="21"/>
          <w:lang w:val="en-US" w:eastAsia="zh-CN"/>
        </w:rPr>
        <w:t>服务</w:t>
      </w:r>
      <w:r>
        <w:rPr>
          <w:rFonts w:hint="eastAsia" w:ascii="仿宋" w:hAnsi="仿宋" w:eastAsia="仿宋" w:cs="仿宋"/>
          <w:color w:val="auto"/>
          <w:szCs w:val="21"/>
          <w:lang w:eastAsia="zh-CN"/>
        </w:rPr>
        <w:t>期内没有涉及采购人的应付而未付金额或违约行为，采购人在项目验收合格后或提前终止合同后全额无息退还履约保证金。</w:t>
      </w:r>
    </w:p>
    <w:p w14:paraId="27CF134C">
      <w:pPr>
        <w:spacing w:line="440" w:lineRule="exact"/>
        <w:ind w:firstLine="240" w:firstLineChars="100"/>
        <w:rPr>
          <w:rFonts w:ascii="仿宋" w:hAnsi="仿宋" w:eastAsia="仿宋" w:cs="仿宋"/>
          <w:color w:val="auto"/>
          <w:szCs w:val="21"/>
          <w:lang w:eastAsia="zh-CN"/>
        </w:rPr>
      </w:pPr>
      <w:bookmarkStart w:id="26" w:name="_Toc73975843"/>
      <w:r>
        <w:rPr>
          <w:rFonts w:hint="eastAsia" w:ascii="仿宋" w:hAnsi="仿宋" w:eastAsia="仿宋" w:cs="仿宋"/>
          <w:color w:val="auto"/>
          <w:szCs w:val="21"/>
          <w:lang w:eastAsia="zh-CN"/>
        </w:rPr>
        <w:t>44．签订合同及公告</w:t>
      </w:r>
      <w:bookmarkEnd w:id="26"/>
    </w:p>
    <w:p w14:paraId="2DE9D137">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44.1采购人在中标通知书发出之日起30日内与中标供应商签订合同。</w:t>
      </w:r>
    </w:p>
    <w:p w14:paraId="0351A0F1">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44.2中标供应商拖延、拒签合同的,取消中标资格。</w:t>
      </w:r>
    </w:p>
    <w:p w14:paraId="51841C3A">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44.3 采购文件、中标供应商的投标文件及评标过程中有关澄清文件等均作为签订合同的依据。所签订的合同不得对采购文件和中标供应商的投标文件的内容作实质性修改。</w:t>
      </w:r>
    </w:p>
    <w:p w14:paraId="175847B2">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44.4采购人应当自政府采购合同签订之日起2个工作日内，在省级以上财政部门指定的政府采购信息发布媒体及相关网站上公告。</w:t>
      </w:r>
    </w:p>
    <w:p w14:paraId="6CC468F0">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44.5采购人应当自政府采购合同签订之日起7个工作日内，将政府采购合同副本报同级人民政府财政部门备案以及采购代理机构存档。</w:t>
      </w:r>
    </w:p>
    <w:p w14:paraId="435AAF99">
      <w:pPr>
        <w:adjustRightInd w:val="0"/>
        <w:snapToGrid w:val="0"/>
        <w:spacing w:line="440" w:lineRule="exact"/>
        <w:jc w:val="center"/>
        <w:outlineLvl w:val="2"/>
        <w:rPr>
          <w:rFonts w:hint="eastAsia" w:ascii="仿宋" w:hAnsi="仿宋" w:eastAsia="仿宋" w:cs="仿宋"/>
          <w:b/>
          <w:bCs/>
          <w:color w:val="auto"/>
          <w:sz w:val="28"/>
          <w:szCs w:val="28"/>
          <w:lang w:eastAsia="zh-CN"/>
        </w:rPr>
      </w:pPr>
    </w:p>
    <w:p w14:paraId="3B69BF06">
      <w:pPr>
        <w:adjustRightInd w:val="0"/>
        <w:snapToGrid w:val="0"/>
        <w:spacing w:line="440" w:lineRule="exact"/>
        <w:jc w:val="center"/>
        <w:outlineLvl w:val="2"/>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（七）纪律和监督</w:t>
      </w:r>
      <w:bookmarkEnd w:id="25"/>
    </w:p>
    <w:p w14:paraId="4B13FE32">
      <w:pPr>
        <w:spacing w:line="440" w:lineRule="exact"/>
        <w:ind w:firstLine="352"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45. 对招标人的纪律要求 </w:t>
      </w:r>
    </w:p>
    <w:p w14:paraId="74EE6549">
      <w:pPr>
        <w:adjustRightInd w:val="0"/>
        <w:snapToGrid w:val="0"/>
        <w:spacing w:line="440" w:lineRule="exact"/>
        <w:ind w:firstLine="360"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45.1招标人不得泄漏招标投标活动中应当保密的情况和资料，不得与供应商串通损害国家利益，社会公共利益或者他人合法权益。 </w:t>
      </w:r>
    </w:p>
    <w:p w14:paraId="20C53D26">
      <w:pPr>
        <w:spacing w:line="440" w:lineRule="exact"/>
        <w:ind w:firstLine="352"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46. 对供应商的纪律要求 </w:t>
      </w:r>
    </w:p>
    <w:p w14:paraId="41A1CA25">
      <w:pPr>
        <w:adjustRightInd w:val="0"/>
        <w:snapToGrid w:val="0"/>
        <w:spacing w:line="440" w:lineRule="exact"/>
        <w:ind w:firstLine="360"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15337053">
      <w:pPr>
        <w:spacing w:line="440" w:lineRule="exact"/>
        <w:ind w:firstLine="352"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47. 对评标委员会成员的纪律要求 </w:t>
      </w:r>
    </w:p>
    <w:p w14:paraId="7A01AB56">
      <w:pPr>
        <w:adjustRightInd w:val="0"/>
        <w:snapToGrid w:val="0"/>
        <w:spacing w:line="440" w:lineRule="exact"/>
        <w:ind w:firstLine="360"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47.1评标委员会成员不得收受他人的财物或者其他好处，不得向他人透漏对投标文件的评审和比较、中标候选人的推荐情况以及评标有关的其他情况。</w:t>
      </w:r>
    </w:p>
    <w:p w14:paraId="77F95632">
      <w:pPr>
        <w:adjustRightInd w:val="0"/>
        <w:snapToGrid w:val="0"/>
        <w:spacing w:line="440" w:lineRule="exact"/>
        <w:ind w:firstLine="360"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47.2在评标活动中，评标委员会成员不得擅离职守，影响评标程序正常进行，不得使用第三章“评标办法”没有规定的评审因素和标准进行评标。 </w:t>
      </w:r>
    </w:p>
    <w:p w14:paraId="7466811D">
      <w:pPr>
        <w:spacing w:line="440" w:lineRule="exact"/>
        <w:ind w:firstLine="352"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48. 对与评标活动有关的工作人员的纪律要求 </w:t>
      </w:r>
    </w:p>
    <w:p w14:paraId="6AF97EBF">
      <w:pPr>
        <w:adjustRightInd w:val="0"/>
        <w:snapToGrid w:val="0"/>
        <w:spacing w:line="440" w:lineRule="exact"/>
        <w:ind w:firstLine="360"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FCA321E">
      <w:pPr>
        <w:spacing w:beforeLines="50" w:afterLines="50" w:line="320" w:lineRule="exact"/>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（八）质疑与投诉</w:t>
      </w:r>
    </w:p>
    <w:p w14:paraId="79767A58">
      <w:pPr>
        <w:spacing w:line="36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49．质疑和投诉</w:t>
      </w:r>
    </w:p>
    <w:p w14:paraId="50C52393">
      <w:pPr>
        <w:spacing w:line="36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D00F252">
      <w:pPr>
        <w:spacing w:line="36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（一）对可以质疑的采购文件提出质疑的，为收到采购文件之日或者采购文件公告期限届满之日；</w:t>
      </w:r>
    </w:p>
    <w:p w14:paraId="539287EC">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（二）对采购过程提出质疑的，为各采购程序环节结束之日；</w:t>
      </w:r>
    </w:p>
    <w:p w14:paraId="5A000CBF">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（三）对中标或者成交结果提出质疑的，为中标或者成交结果公告期限届满之日。</w:t>
      </w:r>
    </w:p>
    <w:p w14:paraId="7455C887">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DBEECC9">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供应商为自然人的，应当由本人签章；供应商为法人或者其他组织的，应当由法定代表人、主要负责人，或者其授权代表签章或者盖章，并加盖公章。</w:t>
      </w:r>
    </w:p>
    <w:p w14:paraId="697E762C">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0DDC9971">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49.4质疑供应商对采购人、采购代理机构的质疑答复不满意，或者采购人、采购代理机构未在规定期限内作出答复的，供应商可以在答复期满后15个工作日内向同级财政部门提起投诉。</w:t>
      </w:r>
    </w:p>
    <w:p w14:paraId="23B61823">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49.5供应商有下列情形之一的，采购代理机构将报告阿图什市财政局，将其列入不良行为记录名单：</w:t>
      </w:r>
    </w:p>
    <w:p w14:paraId="524B1810">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（一）一年内三次以上质疑均查无实据的；</w:t>
      </w:r>
    </w:p>
    <w:p w14:paraId="3381803F">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（二）捏造事实或者提供虚假质疑材料的。</w:t>
      </w:r>
    </w:p>
    <w:p w14:paraId="175A6E12">
      <w:pPr>
        <w:spacing w:line="440" w:lineRule="exact"/>
        <w:ind w:firstLine="240" w:firstLineChars="100"/>
        <w:rPr>
          <w:rFonts w:hint="eastAsia" w:ascii="仿宋" w:hAnsi="仿宋" w:eastAsia="仿宋" w:cs="仿宋"/>
          <w:b/>
          <w:bCs/>
          <w:color w:val="auto"/>
          <w:lang w:eastAsia="zh-CN"/>
        </w:rPr>
      </w:pPr>
      <w:r>
        <w:rPr>
          <w:rFonts w:hint="eastAsia" w:ascii="仿宋" w:hAnsi="仿宋" w:eastAsia="仿宋" w:cs="仿宋"/>
          <w:color w:val="auto"/>
          <w:szCs w:val="21"/>
          <w:lang w:eastAsia="zh-CN"/>
        </w:rPr>
        <w:t>（三）以非法手段取得证明材料。证据来源的合法性存在明显疑问，质疑人无法证明其取得方式合法的，视为以非法手段取得证明材料。</w:t>
      </w:r>
    </w:p>
    <w:p w14:paraId="4089604D">
      <w:pPr>
        <w:rPr>
          <w:rFonts w:hint="eastAsia" w:ascii="仿宋" w:hAnsi="仿宋" w:eastAsia="仿宋" w:cs="仿宋"/>
          <w:b/>
          <w:bCs/>
          <w:color w:val="auto"/>
          <w:lang w:eastAsia="zh-CN"/>
        </w:rPr>
      </w:pPr>
    </w:p>
    <w:p w14:paraId="3B0439D8">
      <w:pPr>
        <w:rPr>
          <w:rFonts w:hint="eastAsia" w:ascii="仿宋" w:hAnsi="仿宋" w:eastAsia="仿宋" w:cs="仿宋"/>
          <w:b/>
          <w:bCs/>
          <w:color w:val="auto"/>
          <w:lang w:eastAsia="zh-CN"/>
        </w:rPr>
      </w:pPr>
    </w:p>
    <w:p w14:paraId="5749A0C6">
      <w:pPr>
        <w:rPr>
          <w:rFonts w:hint="eastAsia" w:ascii="仿宋" w:hAnsi="仿宋" w:eastAsia="仿宋" w:cs="仿宋"/>
          <w:b/>
          <w:bCs/>
          <w:color w:val="auto"/>
          <w:lang w:eastAsia="zh-CN"/>
        </w:rPr>
      </w:pPr>
    </w:p>
    <w:p w14:paraId="5235499C">
      <w:pPr>
        <w:rPr>
          <w:rFonts w:hint="eastAsia" w:ascii="仿宋" w:hAnsi="仿宋" w:eastAsia="仿宋" w:cs="仿宋"/>
          <w:b/>
          <w:bCs/>
          <w:color w:val="auto"/>
          <w:lang w:eastAsia="zh-CN"/>
        </w:rPr>
      </w:pPr>
    </w:p>
    <w:p w14:paraId="453DED06">
      <w:pPr>
        <w:rPr>
          <w:rFonts w:hint="eastAsia" w:ascii="仿宋" w:hAnsi="仿宋" w:eastAsia="仿宋" w:cs="仿宋"/>
          <w:b/>
          <w:bCs/>
          <w:color w:val="auto"/>
          <w:lang w:eastAsia="zh-CN"/>
        </w:rPr>
      </w:pPr>
    </w:p>
    <w:p w14:paraId="563DC886">
      <w:pPr>
        <w:rPr>
          <w:rFonts w:hint="eastAsia" w:ascii="仿宋" w:hAnsi="仿宋" w:eastAsia="仿宋" w:cs="仿宋"/>
          <w:b/>
          <w:bCs/>
          <w:color w:val="auto"/>
          <w:lang w:eastAsia="zh-CN"/>
        </w:rPr>
      </w:pPr>
    </w:p>
    <w:p w14:paraId="47433D3C">
      <w:pPr>
        <w:rPr>
          <w:rFonts w:hint="eastAsia" w:ascii="仿宋" w:hAnsi="仿宋" w:eastAsia="仿宋" w:cs="仿宋"/>
          <w:b/>
          <w:bCs/>
          <w:color w:val="auto"/>
          <w:lang w:eastAsia="zh-CN"/>
        </w:rPr>
      </w:pPr>
    </w:p>
    <w:p w14:paraId="341887CD">
      <w:pPr>
        <w:rPr>
          <w:rFonts w:hint="eastAsia" w:ascii="仿宋" w:hAnsi="仿宋" w:eastAsia="仿宋" w:cs="仿宋"/>
          <w:b/>
          <w:bCs/>
          <w:color w:val="auto"/>
          <w:lang w:eastAsia="zh-CN"/>
        </w:rPr>
      </w:pPr>
    </w:p>
    <w:p w14:paraId="4978EBB5">
      <w:pPr>
        <w:rPr>
          <w:rFonts w:hint="eastAsia" w:ascii="仿宋" w:hAnsi="仿宋" w:eastAsia="仿宋" w:cs="仿宋"/>
          <w:b/>
          <w:bCs/>
          <w:color w:val="auto"/>
          <w:lang w:eastAsia="zh-CN"/>
        </w:rPr>
      </w:pPr>
    </w:p>
    <w:p w14:paraId="35F2E92C">
      <w:pPr>
        <w:rPr>
          <w:rFonts w:hint="eastAsia" w:ascii="仿宋" w:hAnsi="仿宋" w:eastAsia="仿宋" w:cs="仿宋"/>
          <w:b/>
          <w:bCs/>
          <w:color w:val="auto"/>
          <w:lang w:eastAsia="zh-CN"/>
        </w:rPr>
      </w:pPr>
    </w:p>
    <w:p w14:paraId="4C3E830D">
      <w:pPr>
        <w:rPr>
          <w:rFonts w:hint="eastAsia" w:ascii="仿宋" w:hAnsi="仿宋" w:eastAsia="仿宋" w:cs="仿宋"/>
          <w:b/>
          <w:bCs/>
          <w:color w:val="auto"/>
          <w:lang w:eastAsia="zh-CN"/>
        </w:rPr>
      </w:pPr>
    </w:p>
    <w:p w14:paraId="1F630FE1">
      <w:pPr>
        <w:rPr>
          <w:rFonts w:hint="eastAsia" w:ascii="仿宋" w:hAnsi="仿宋" w:eastAsia="仿宋" w:cs="仿宋"/>
          <w:b/>
          <w:bCs/>
          <w:color w:val="auto"/>
          <w:lang w:eastAsia="zh-CN"/>
        </w:rPr>
      </w:pPr>
    </w:p>
    <w:p w14:paraId="06B08A88">
      <w:pPr>
        <w:rPr>
          <w:rFonts w:hint="eastAsia" w:ascii="仿宋" w:hAnsi="仿宋" w:eastAsia="仿宋" w:cs="仿宋"/>
          <w:b/>
          <w:bCs/>
          <w:color w:val="auto"/>
          <w:lang w:eastAsia="zh-CN"/>
        </w:rPr>
      </w:pPr>
    </w:p>
    <w:p w14:paraId="17489174">
      <w:pPr>
        <w:rPr>
          <w:rFonts w:hint="eastAsia" w:ascii="仿宋" w:hAnsi="仿宋" w:eastAsia="仿宋" w:cs="仿宋"/>
          <w:b/>
          <w:bCs/>
          <w:color w:val="auto"/>
          <w:lang w:eastAsia="zh-CN"/>
        </w:rPr>
      </w:pPr>
    </w:p>
    <w:p w14:paraId="0D1DBC26">
      <w:pPr>
        <w:rPr>
          <w:rFonts w:hint="eastAsia" w:ascii="仿宋" w:hAnsi="仿宋" w:eastAsia="仿宋" w:cs="仿宋"/>
          <w:b/>
          <w:bCs/>
          <w:color w:val="auto"/>
          <w:lang w:eastAsia="zh-CN"/>
        </w:rPr>
      </w:pPr>
    </w:p>
    <w:p w14:paraId="4FCA9765">
      <w:pPr>
        <w:rPr>
          <w:rFonts w:hint="eastAsia" w:ascii="仿宋" w:hAnsi="仿宋" w:eastAsia="仿宋" w:cs="仿宋"/>
          <w:b/>
          <w:bCs/>
          <w:color w:val="auto"/>
          <w:lang w:eastAsia="zh-CN"/>
        </w:rPr>
      </w:pPr>
    </w:p>
    <w:p w14:paraId="31BB4E58">
      <w:pPr>
        <w:rPr>
          <w:rFonts w:hint="eastAsia" w:ascii="仿宋" w:hAnsi="仿宋" w:eastAsia="仿宋" w:cs="仿宋"/>
          <w:b/>
          <w:bCs/>
          <w:color w:val="auto"/>
          <w:lang w:eastAsia="zh-CN"/>
        </w:rPr>
      </w:pPr>
    </w:p>
    <w:p w14:paraId="06830DA9">
      <w:pPr>
        <w:rPr>
          <w:rFonts w:hint="eastAsia" w:ascii="仿宋" w:hAnsi="仿宋" w:eastAsia="仿宋" w:cs="仿宋"/>
          <w:b/>
          <w:bCs/>
          <w:color w:val="auto"/>
          <w:lang w:eastAsia="zh-CN"/>
        </w:rPr>
      </w:pPr>
    </w:p>
    <w:p w14:paraId="7ED9EE4B">
      <w:pPr>
        <w:rPr>
          <w:rFonts w:hint="eastAsia" w:ascii="仿宋" w:hAnsi="仿宋" w:eastAsia="仿宋" w:cs="仿宋"/>
          <w:b/>
          <w:bCs/>
          <w:color w:val="auto"/>
          <w:lang w:eastAsia="zh-CN"/>
        </w:rPr>
      </w:pPr>
    </w:p>
    <w:p w14:paraId="49D72526">
      <w:pPr>
        <w:rPr>
          <w:rFonts w:hint="eastAsia" w:ascii="仿宋" w:hAnsi="仿宋" w:eastAsia="仿宋" w:cs="仿宋"/>
          <w:b/>
          <w:bCs/>
          <w:color w:val="auto"/>
          <w:lang w:eastAsia="zh-CN"/>
        </w:rPr>
      </w:pPr>
    </w:p>
    <w:p w14:paraId="4DDDA987">
      <w:pPr>
        <w:rPr>
          <w:rFonts w:hint="eastAsia" w:ascii="仿宋" w:hAnsi="仿宋" w:eastAsia="仿宋" w:cs="仿宋"/>
          <w:b/>
          <w:bCs/>
          <w:color w:val="auto"/>
          <w:lang w:eastAsia="zh-CN"/>
        </w:rPr>
      </w:pPr>
    </w:p>
    <w:p w14:paraId="00435502">
      <w:pPr>
        <w:rPr>
          <w:rFonts w:hint="eastAsia" w:ascii="仿宋" w:hAnsi="仿宋" w:eastAsia="仿宋" w:cs="仿宋"/>
          <w:b/>
          <w:bCs/>
          <w:color w:val="auto"/>
          <w:lang w:eastAsia="zh-CN"/>
        </w:rPr>
      </w:pPr>
    </w:p>
    <w:p w14:paraId="2CEE89F7">
      <w:pPr>
        <w:rPr>
          <w:rFonts w:hint="eastAsia" w:ascii="仿宋" w:hAnsi="仿宋" w:eastAsia="仿宋" w:cs="仿宋"/>
          <w:b/>
          <w:bCs/>
          <w:color w:val="auto"/>
          <w:lang w:eastAsia="zh-CN"/>
        </w:rPr>
      </w:pPr>
    </w:p>
    <w:p w14:paraId="7EBCB1E9">
      <w:pPr>
        <w:rPr>
          <w:rFonts w:hint="eastAsia" w:ascii="仿宋" w:hAnsi="仿宋" w:eastAsia="仿宋" w:cs="仿宋"/>
          <w:b/>
          <w:bCs/>
          <w:color w:val="auto"/>
          <w:lang w:eastAsia="zh-CN"/>
        </w:rPr>
      </w:pPr>
    </w:p>
    <w:p w14:paraId="5B5D2BD9">
      <w:pPr>
        <w:rPr>
          <w:rFonts w:ascii="仿宋" w:hAnsi="仿宋" w:eastAsia="仿宋" w:cs="仿宋"/>
          <w:b/>
          <w:bCs/>
          <w:color w:val="auto"/>
          <w:lang w:eastAsia="zh-CN"/>
        </w:rPr>
      </w:pPr>
      <w:r>
        <w:rPr>
          <w:rFonts w:hint="eastAsia" w:ascii="仿宋" w:hAnsi="仿宋" w:eastAsia="仿宋" w:cs="仿宋"/>
          <w:b/>
          <w:bCs/>
          <w:color w:val="auto"/>
          <w:lang w:eastAsia="zh-CN"/>
        </w:rPr>
        <w:t>附件：</w:t>
      </w:r>
    </w:p>
    <w:p w14:paraId="1FE43863">
      <w:pPr>
        <w:jc w:val="center"/>
        <w:rPr>
          <w:rFonts w:ascii="仿宋" w:hAnsi="仿宋" w:eastAsia="仿宋" w:cs="仿宋"/>
          <w:b/>
          <w:bCs/>
          <w:color w:val="auto"/>
          <w:sz w:val="28"/>
          <w:szCs w:val="28"/>
          <w:lang w:eastAsia="zh-CN"/>
        </w:rPr>
      </w:pPr>
      <w:r>
        <w:rPr>
          <w:rFonts w:hint="eastAsia" w:ascii="仿宋" w:hAnsi="仿宋" w:eastAsia="仿宋" w:cs="仿宋"/>
          <w:b/>
          <w:bCs/>
          <w:color w:val="auto"/>
          <w:sz w:val="32"/>
          <w:szCs w:val="32"/>
          <w:lang w:eastAsia="zh-CN"/>
        </w:rPr>
        <w:t>政府采购投诉书（范本）、质疑函范本</w:t>
      </w:r>
    </w:p>
    <w:p w14:paraId="79E29279">
      <w:pPr>
        <w:pStyle w:val="3"/>
        <w:bidi w:val="0"/>
        <w:jc w:val="center"/>
        <w:rPr>
          <w:rFonts w:hint="eastAsia" w:eastAsia="方正小标宋_GBK"/>
          <w:color w:val="auto"/>
          <w:highlight w:val="none"/>
          <w:lang w:eastAsia="zh-CN"/>
        </w:rPr>
      </w:pPr>
      <w:bookmarkStart w:id="27" w:name="_Toc13447"/>
      <w:bookmarkStart w:id="28" w:name="_Toc29624"/>
      <w:r>
        <w:rPr>
          <w:rFonts w:hint="eastAsia"/>
          <w:color w:val="auto"/>
          <w:highlight w:val="none"/>
        </w:rPr>
        <w:t>投 诉 书</w:t>
      </w:r>
      <w:bookmarkEnd w:id="27"/>
      <w:bookmarkEnd w:id="28"/>
    </w:p>
    <w:p w14:paraId="68857720">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bookmarkStart w:id="29" w:name="_Toc21897"/>
      <w:bookmarkStart w:id="30" w:name="_Toc22042"/>
      <w:bookmarkStart w:id="31" w:name="_Toc30403"/>
      <w:bookmarkStart w:id="32" w:name="_Toc4730"/>
      <w:bookmarkStart w:id="33" w:name="_Toc18623"/>
      <w:r>
        <w:rPr>
          <w:rFonts w:hint="eastAsia" w:ascii="仿宋" w:hAnsi="仿宋" w:eastAsia="仿宋" w:cs="仿宋"/>
          <w:color w:val="auto"/>
          <w:szCs w:val="21"/>
          <w:lang w:eastAsia="zh-CN"/>
        </w:rPr>
        <w:t>一、投诉相关主体基本情况</w:t>
      </w:r>
      <w:bookmarkEnd w:id="29"/>
      <w:bookmarkEnd w:id="30"/>
      <w:bookmarkEnd w:id="31"/>
      <w:bookmarkEnd w:id="32"/>
      <w:bookmarkEnd w:id="33"/>
    </w:p>
    <w:p w14:paraId="07E53330">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投诉人：</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p>
    <w:p w14:paraId="621A20E1">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地</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址：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邮</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编：             </w:t>
      </w:r>
    </w:p>
    <w:p w14:paraId="00F362BD">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法定代表人/主要负责人：                             </w:t>
      </w:r>
    </w:p>
    <w:p w14:paraId="656D291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联系电话：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p>
    <w:p w14:paraId="302F5C7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地</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址：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邮</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编：             </w:t>
      </w:r>
    </w:p>
    <w:p w14:paraId="542E139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授权代表（如有）：</w:t>
      </w:r>
      <w:r>
        <w:rPr>
          <w:rFonts w:hint="eastAsia" w:ascii="仿宋" w:hAnsi="仿宋" w:eastAsia="仿宋" w:cs="仿宋"/>
          <w:color w:val="auto"/>
          <w:szCs w:val="21"/>
          <w:lang w:val="en-US" w:eastAsia="zh-CN"/>
        </w:rPr>
        <w:t xml:space="preserve">                         </w:t>
      </w:r>
    </w:p>
    <w:p w14:paraId="2ED7D20D">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联系电话：</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p>
    <w:p w14:paraId="47137D6C">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地</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址：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邮</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编：                  </w:t>
      </w:r>
    </w:p>
    <w:p w14:paraId="35E6E72C">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被投诉人</w:t>
      </w:r>
      <w:r>
        <w:rPr>
          <w:rFonts w:hint="eastAsia" w:ascii="仿宋" w:hAnsi="仿宋" w:eastAsia="仿宋" w:cs="仿宋"/>
          <w:color w:val="auto"/>
          <w:szCs w:val="21"/>
          <w:lang w:val="en-US" w:eastAsia="zh-CN"/>
        </w:rPr>
        <w:t>1：</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地</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址：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邮</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编：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联系人：</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联系电话：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p>
    <w:p w14:paraId="50DAFA7F">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被投诉人</w:t>
      </w: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p>
    <w:p w14:paraId="2F0DA43E">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相关供应商</w:t>
      </w:r>
      <w:r>
        <w:rPr>
          <w:rFonts w:hint="eastAsia" w:ascii="仿宋" w:hAnsi="仿宋" w:eastAsia="仿宋" w:cs="仿宋"/>
          <w:color w:val="auto"/>
          <w:szCs w:val="21"/>
          <w:lang w:eastAsia="zh-CN"/>
        </w:rPr>
        <w:t>（如有）</w:t>
      </w:r>
      <w:r>
        <w:rPr>
          <w:rFonts w:hint="eastAsia" w:ascii="仿宋" w:hAnsi="仿宋" w:eastAsia="仿宋" w:cs="仿宋"/>
          <w:color w:val="auto"/>
          <w:szCs w:val="21"/>
          <w:lang w:val="en-US" w:eastAsia="zh-CN"/>
        </w:rPr>
        <w:t>：</w:t>
      </w:r>
      <w:r>
        <w:rPr>
          <w:rFonts w:hint="eastAsia" w:ascii="仿宋" w:hAnsi="仿宋" w:eastAsia="仿宋" w:cs="仿宋"/>
          <w:color w:val="auto"/>
          <w:szCs w:val="21"/>
          <w:lang w:eastAsia="zh-CN"/>
        </w:rPr>
        <w:t xml:space="preserve">                                        地</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址：                     邮编：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p>
    <w:p w14:paraId="7ECF2AD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联系人：                   联系电话：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p>
    <w:p w14:paraId="7CE03CAA">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bookmarkStart w:id="34" w:name="_Toc18283"/>
      <w:bookmarkStart w:id="35" w:name="_Toc17048"/>
      <w:bookmarkStart w:id="36" w:name="_Toc7437"/>
      <w:bookmarkStart w:id="37" w:name="_Toc10853"/>
      <w:bookmarkStart w:id="38" w:name="_Toc25214"/>
      <w:r>
        <w:rPr>
          <w:rFonts w:hint="eastAsia" w:ascii="仿宋" w:hAnsi="仿宋" w:eastAsia="仿宋" w:cs="仿宋"/>
          <w:color w:val="auto"/>
          <w:szCs w:val="21"/>
          <w:lang w:eastAsia="zh-CN"/>
        </w:rPr>
        <w:t>二、投诉项目基本情况</w:t>
      </w:r>
      <w:bookmarkEnd w:id="34"/>
      <w:bookmarkEnd w:id="35"/>
      <w:bookmarkEnd w:id="36"/>
      <w:bookmarkEnd w:id="37"/>
      <w:bookmarkEnd w:id="38"/>
    </w:p>
    <w:p w14:paraId="7A162C5D">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采购项目名称：</w:t>
      </w:r>
    </w:p>
    <w:p w14:paraId="58272EF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采购项目编号：</w:t>
      </w:r>
      <w:r>
        <w:rPr>
          <w:rFonts w:hint="eastAsia" w:ascii="仿宋" w:hAnsi="仿宋" w:eastAsia="仿宋" w:cs="仿宋"/>
          <w:color w:val="auto"/>
          <w:szCs w:val="21"/>
          <w:lang w:val="en-US" w:eastAsia="zh-CN"/>
        </w:rPr>
        <w:t xml:space="preserve">        包号：</w:t>
      </w:r>
    </w:p>
    <w:p w14:paraId="47FB53D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采购人名称：</w:t>
      </w:r>
    </w:p>
    <w:p w14:paraId="5D27465C">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代理机构名称：</w:t>
      </w:r>
    </w:p>
    <w:p w14:paraId="3EA67B30">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采购文件公告：是/否 公告期限：</w:t>
      </w:r>
    </w:p>
    <w:p w14:paraId="18650A6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采购结果公告：是/否 公告期限：</w:t>
      </w:r>
    </w:p>
    <w:p w14:paraId="5F9FA291">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bookmarkStart w:id="39" w:name="_Toc13582"/>
      <w:bookmarkStart w:id="40" w:name="_Toc14152"/>
      <w:bookmarkStart w:id="41" w:name="_Toc2182"/>
      <w:bookmarkStart w:id="42" w:name="_Toc13183"/>
      <w:bookmarkStart w:id="43" w:name="_Toc25877"/>
      <w:r>
        <w:rPr>
          <w:rFonts w:hint="eastAsia" w:ascii="仿宋" w:hAnsi="仿宋" w:eastAsia="仿宋" w:cs="仿宋"/>
          <w:color w:val="auto"/>
          <w:szCs w:val="21"/>
          <w:lang w:val="en-US" w:eastAsia="zh-CN"/>
        </w:rPr>
        <w:t>三、质疑基本情况</w:t>
      </w:r>
      <w:bookmarkEnd w:id="39"/>
      <w:bookmarkEnd w:id="40"/>
      <w:bookmarkEnd w:id="41"/>
      <w:bookmarkEnd w:id="42"/>
      <w:bookmarkEnd w:id="43"/>
    </w:p>
    <w:p w14:paraId="0363C905">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投诉人于    年  月  日，向       提出质疑，</w:t>
      </w:r>
    </w:p>
    <w:p w14:paraId="25D9251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质疑事项为：</w:t>
      </w:r>
    </w:p>
    <w:p w14:paraId="30EA81E0">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采购人/代理机构于    年  月  日，就质疑事项做出了答复/没有在法定期限内做出答复。</w:t>
      </w:r>
    </w:p>
    <w:p w14:paraId="774E7F5D">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color w:val="auto"/>
          <w:szCs w:val="21"/>
          <w:lang w:val="en-US" w:eastAsia="zh-CN"/>
        </w:rPr>
      </w:pPr>
      <w:bookmarkStart w:id="44" w:name="_Toc3347"/>
      <w:bookmarkStart w:id="45" w:name="_Toc23110"/>
      <w:bookmarkStart w:id="46" w:name="_Toc15203"/>
      <w:bookmarkStart w:id="47" w:name="_Toc17256"/>
      <w:bookmarkStart w:id="48" w:name="_Toc26083"/>
      <w:r>
        <w:rPr>
          <w:rFonts w:hint="eastAsia" w:ascii="仿宋" w:hAnsi="仿宋" w:eastAsia="仿宋" w:cs="仿宋"/>
          <w:color w:val="auto"/>
          <w:szCs w:val="21"/>
          <w:lang w:val="en-US" w:eastAsia="zh-CN"/>
        </w:rPr>
        <w:t>四、投诉事项具体内容</w:t>
      </w:r>
      <w:bookmarkEnd w:id="44"/>
      <w:bookmarkEnd w:id="45"/>
      <w:bookmarkEnd w:id="46"/>
      <w:bookmarkEnd w:id="47"/>
      <w:bookmarkEnd w:id="48"/>
    </w:p>
    <w:p w14:paraId="22404B8E">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投诉事项1：</w:t>
      </w:r>
    </w:p>
    <w:p w14:paraId="530B2B5C">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事实依据：</w:t>
      </w:r>
    </w:p>
    <w:p w14:paraId="5F771D60">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法律依据1：</w:t>
      </w:r>
    </w:p>
    <w:p w14:paraId="2DBE9C0B">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法律依据2：</w:t>
      </w:r>
    </w:p>
    <w:p w14:paraId="381E7B8F">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p>
    <w:p w14:paraId="021CA81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投诉事项2：</w:t>
      </w:r>
    </w:p>
    <w:p w14:paraId="13241F9C">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w:t>
      </w:r>
    </w:p>
    <w:p w14:paraId="15EE0FFE">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bookmarkStart w:id="49" w:name="_Toc16036"/>
      <w:bookmarkStart w:id="50" w:name="_Toc32324"/>
      <w:bookmarkStart w:id="51" w:name="_Toc13424"/>
      <w:bookmarkStart w:id="52" w:name="_Toc31495"/>
      <w:bookmarkStart w:id="53" w:name="_Toc16741"/>
      <w:r>
        <w:rPr>
          <w:rFonts w:hint="eastAsia" w:ascii="仿宋" w:hAnsi="仿宋" w:eastAsia="仿宋" w:cs="仿宋"/>
          <w:color w:val="auto"/>
          <w:szCs w:val="21"/>
          <w:lang w:eastAsia="zh-CN"/>
        </w:rPr>
        <w:t>五、与投诉事项相关的投诉请求</w:t>
      </w:r>
      <w:bookmarkEnd w:id="49"/>
      <w:bookmarkEnd w:id="50"/>
      <w:bookmarkEnd w:id="51"/>
      <w:bookmarkEnd w:id="52"/>
      <w:bookmarkEnd w:id="53"/>
    </w:p>
    <w:p w14:paraId="05BC5B2E">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请求：</w:t>
      </w:r>
    </w:p>
    <w:p w14:paraId="0661B4FA">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签字（签章）（法人代表或负责人、代理人）：</w:t>
      </w:r>
      <w:r>
        <w:rPr>
          <w:rFonts w:hint="eastAsia" w:ascii="仿宋" w:hAnsi="仿宋" w:eastAsia="仿宋" w:cs="仿宋"/>
          <w:color w:val="auto"/>
          <w:szCs w:val="21"/>
          <w:lang w:val="en-US" w:eastAsia="zh-CN"/>
        </w:rPr>
        <w:t xml:space="preserve">       </w:t>
      </w:r>
    </w:p>
    <w:p w14:paraId="13105CCE">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公章（单位）：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 xml:space="preserve">  </w:t>
      </w:r>
    </w:p>
    <w:p w14:paraId="5C507090">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日期：</w:t>
      </w:r>
    </w:p>
    <w:p w14:paraId="65C3C895">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p>
    <w:p w14:paraId="461DE77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Cs w:val="21"/>
          <w:lang w:eastAsia="zh-CN"/>
        </w:rPr>
      </w:pPr>
      <w:bookmarkStart w:id="54" w:name="_Toc7988"/>
      <w:r>
        <w:rPr>
          <w:rFonts w:hint="eastAsia" w:ascii="仿宋" w:hAnsi="仿宋" w:eastAsia="仿宋" w:cs="仿宋"/>
          <w:color w:val="auto"/>
          <w:szCs w:val="21"/>
          <w:lang w:eastAsia="zh-CN"/>
        </w:rPr>
        <w:t>附件：质疑及答复材料</w:t>
      </w:r>
    </w:p>
    <w:p w14:paraId="1CA307F9">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bookmarkStart w:id="55" w:name="_Toc20349"/>
      <w:r>
        <w:rPr>
          <w:rFonts w:hint="eastAsia" w:ascii="仿宋" w:hAnsi="仿宋" w:eastAsia="仿宋" w:cs="仿宋"/>
          <w:color w:val="auto"/>
          <w:szCs w:val="21"/>
          <w:lang w:eastAsia="zh-CN"/>
        </w:rPr>
        <w:br w:type="page"/>
      </w:r>
    </w:p>
    <w:p w14:paraId="094BC50B">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eastAsia="zh-CN"/>
        </w:rPr>
      </w:pPr>
      <w:bookmarkStart w:id="56" w:name="_Toc31452"/>
      <w:bookmarkStart w:id="57" w:name="_Toc29658"/>
      <w:bookmarkStart w:id="58" w:name="_Toc5781"/>
      <w:r>
        <w:rPr>
          <w:rFonts w:hint="eastAsia" w:ascii="仿宋" w:hAnsi="仿宋" w:eastAsia="仿宋" w:cs="仿宋"/>
          <w:color w:val="auto"/>
          <w:szCs w:val="21"/>
          <w:lang w:eastAsia="zh-CN"/>
        </w:rPr>
        <w:t>投诉书制作说明：</w:t>
      </w:r>
      <w:bookmarkEnd w:id="54"/>
      <w:bookmarkEnd w:id="55"/>
      <w:bookmarkEnd w:id="56"/>
      <w:bookmarkEnd w:id="57"/>
      <w:bookmarkEnd w:id="58"/>
    </w:p>
    <w:p w14:paraId="24C7304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1.投诉人应当按照</w:t>
      </w:r>
      <w:r>
        <w:rPr>
          <w:rFonts w:hint="default" w:ascii="仿宋" w:hAnsi="仿宋" w:eastAsia="仿宋" w:cs="仿宋"/>
          <w:color w:val="auto"/>
          <w:szCs w:val="21"/>
          <w:lang w:val="en-US" w:eastAsia="zh-CN"/>
        </w:rPr>
        <w:t>《政府采购质疑和投诉办法》</w:t>
      </w:r>
      <w:r>
        <w:rPr>
          <w:rFonts w:hint="eastAsia" w:ascii="仿宋" w:hAnsi="仿宋" w:eastAsia="仿宋" w:cs="仿宋"/>
          <w:color w:val="auto"/>
          <w:szCs w:val="21"/>
          <w:lang w:val="en-US" w:eastAsia="zh-CN"/>
        </w:rPr>
        <w:t>（财政部令第94号）规定提起投诉。</w:t>
      </w:r>
    </w:p>
    <w:p w14:paraId="5524097B">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2.投诉人提起投诉时，应当提交投诉书和必要的证明材料，并按照被投诉人和与投诉事项有关的供应商数量提供投诉书副本。</w:t>
      </w:r>
    </w:p>
    <w:p w14:paraId="352E8CC1">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8E132BD">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4.投诉人若对项目的某一分包进行投诉，投诉书应列明具体分包号。</w:t>
      </w:r>
    </w:p>
    <w:p w14:paraId="17EECFD1">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5.投诉书应简要列明质疑事项，质疑函、质疑答复等作为附件材料提供。</w:t>
      </w:r>
    </w:p>
    <w:p w14:paraId="4872238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6.投诉书的投诉事项应具体、明确，并由必要的事实依据和法律依据。</w:t>
      </w:r>
    </w:p>
    <w:p w14:paraId="3F07FF7D">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7.投诉书的投诉请求应与投诉事项相关。</w:t>
      </w:r>
    </w:p>
    <w:p w14:paraId="2D0D3F6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8.投诉人为自然人的，投诉书应当由本人签字；投诉书应当由法定代表人、主要负责人，或者其授权代表签字或者盖章，并加盖公章。</w:t>
      </w:r>
    </w:p>
    <w:p w14:paraId="6087E426">
      <w:pPr>
        <w:spacing w:line="400" w:lineRule="exact"/>
        <w:jc w:val="right"/>
        <w:rPr>
          <w:rFonts w:hint="eastAsia" w:ascii="仿宋" w:hAnsi="仿宋" w:eastAsia="仿宋" w:cs="仿宋"/>
          <w:b/>
          <w:bCs/>
          <w:color w:val="auto"/>
          <w:sz w:val="32"/>
          <w:szCs w:val="32"/>
          <w:lang w:eastAsia="zh-CN"/>
        </w:rPr>
      </w:pPr>
      <w:r>
        <w:rPr>
          <w:rFonts w:hint="eastAsia" w:ascii="仿宋" w:hAnsi="仿宋" w:eastAsia="仿宋" w:cs="仿宋"/>
          <w:color w:val="auto"/>
          <w:lang w:eastAsia="zh-CN"/>
        </w:rPr>
        <w:t>。</w:t>
      </w:r>
      <w:bookmarkStart w:id="59" w:name="_Toc17515"/>
    </w:p>
    <w:p w14:paraId="4D486467">
      <w:pPr>
        <w:ind w:left="5838" w:hanging="5760" w:hangingChars="1800"/>
        <w:jc w:val="center"/>
        <w:outlineLvl w:val="0"/>
        <w:rPr>
          <w:rFonts w:hint="eastAsia" w:ascii="仿宋" w:hAnsi="仿宋" w:eastAsia="仿宋" w:cs="仿宋"/>
          <w:b/>
          <w:bCs/>
          <w:color w:val="auto"/>
          <w:sz w:val="32"/>
          <w:szCs w:val="32"/>
          <w:lang w:eastAsia="zh-CN"/>
        </w:rPr>
      </w:pPr>
    </w:p>
    <w:p w14:paraId="4F1EB0C7">
      <w:pPr>
        <w:ind w:left="5838" w:hanging="5760" w:hangingChars="1800"/>
        <w:jc w:val="center"/>
        <w:outlineLvl w:val="0"/>
        <w:rPr>
          <w:rFonts w:hint="eastAsia" w:ascii="仿宋" w:hAnsi="仿宋" w:eastAsia="仿宋" w:cs="仿宋"/>
          <w:b/>
          <w:bCs/>
          <w:color w:val="auto"/>
          <w:sz w:val="32"/>
          <w:szCs w:val="32"/>
          <w:lang w:eastAsia="zh-CN"/>
        </w:rPr>
      </w:pPr>
    </w:p>
    <w:p w14:paraId="71DD206D">
      <w:pPr>
        <w:pStyle w:val="18"/>
        <w:rPr>
          <w:rFonts w:hint="eastAsia" w:ascii="仿宋" w:hAnsi="仿宋" w:eastAsia="仿宋" w:cs="仿宋"/>
          <w:b/>
          <w:bCs/>
          <w:color w:val="auto"/>
          <w:sz w:val="32"/>
          <w:szCs w:val="32"/>
          <w:lang w:eastAsia="zh-CN"/>
        </w:rPr>
      </w:pPr>
    </w:p>
    <w:p w14:paraId="623088A4">
      <w:pPr>
        <w:pStyle w:val="18"/>
        <w:rPr>
          <w:rFonts w:hint="eastAsia" w:ascii="仿宋" w:hAnsi="仿宋" w:eastAsia="仿宋" w:cs="仿宋"/>
          <w:b/>
          <w:bCs/>
          <w:color w:val="auto"/>
          <w:sz w:val="32"/>
          <w:szCs w:val="32"/>
          <w:lang w:eastAsia="zh-CN"/>
        </w:rPr>
      </w:pPr>
    </w:p>
    <w:p w14:paraId="2C7AE481">
      <w:pPr>
        <w:pStyle w:val="18"/>
        <w:rPr>
          <w:rFonts w:hint="eastAsia" w:ascii="仿宋" w:hAnsi="仿宋" w:eastAsia="仿宋" w:cs="仿宋"/>
          <w:b/>
          <w:bCs/>
          <w:color w:val="auto"/>
          <w:sz w:val="32"/>
          <w:szCs w:val="32"/>
          <w:lang w:eastAsia="zh-CN"/>
        </w:rPr>
      </w:pPr>
    </w:p>
    <w:p w14:paraId="43B28CBE">
      <w:pPr>
        <w:pStyle w:val="18"/>
        <w:rPr>
          <w:rFonts w:hint="eastAsia" w:ascii="仿宋" w:hAnsi="仿宋" w:eastAsia="仿宋" w:cs="仿宋"/>
          <w:b/>
          <w:bCs/>
          <w:color w:val="auto"/>
          <w:sz w:val="32"/>
          <w:szCs w:val="32"/>
          <w:lang w:eastAsia="zh-CN"/>
        </w:rPr>
      </w:pPr>
    </w:p>
    <w:p w14:paraId="11A279A0">
      <w:pPr>
        <w:pStyle w:val="18"/>
        <w:rPr>
          <w:rFonts w:hint="eastAsia" w:ascii="仿宋" w:hAnsi="仿宋" w:eastAsia="仿宋" w:cs="仿宋"/>
          <w:b/>
          <w:bCs/>
          <w:color w:val="auto"/>
          <w:sz w:val="32"/>
          <w:szCs w:val="32"/>
          <w:lang w:eastAsia="zh-CN"/>
        </w:rPr>
      </w:pPr>
    </w:p>
    <w:p w14:paraId="0D58D946">
      <w:pPr>
        <w:pStyle w:val="18"/>
        <w:rPr>
          <w:rFonts w:hint="eastAsia" w:ascii="仿宋" w:hAnsi="仿宋" w:eastAsia="仿宋" w:cs="仿宋"/>
          <w:b/>
          <w:bCs/>
          <w:color w:val="auto"/>
          <w:sz w:val="32"/>
          <w:szCs w:val="32"/>
          <w:lang w:eastAsia="zh-CN"/>
        </w:rPr>
      </w:pPr>
    </w:p>
    <w:p w14:paraId="01C7BD67">
      <w:pPr>
        <w:pStyle w:val="18"/>
        <w:rPr>
          <w:rFonts w:hint="eastAsia" w:ascii="仿宋" w:hAnsi="仿宋" w:eastAsia="仿宋" w:cs="仿宋"/>
          <w:b/>
          <w:bCs/>
          <w:color w:val="auto"/>
          <w:sz w:val="32"/>
          <w:szCs w:val="32"/>
          <w:lang w:eastAsia="zh-CN"/>
        </w:rPr>
      </w:pPr>
    </w:p>
    <w:p w14:paraId="6BCB188E">
      <w:pPr>
        <w:pStyle w:val="18"/>
        <w:rPr>
          <w:rFonts w:hint="eastAsia" w:ascii="仿宋" w:hAnsi="仿宋" w:eastAsia="仿宋" w:cs="仿宋"/>
          <w:b/>
          <w:bCs/>
          <w:color w:val="auto"/>
          <w:sz w:val="32"/>
          <w:szCs w:val="32"/>
          <w:lang w:eastAsia="zh-CN"/>
        </w:rPr>
      </w:pPr>
    </w:p>
    <w:p w14:paraId="4173626F">
      <w:pPr>
        <w:pStyle w:val="18"/>
        <w:rPr>
          <w:rFonts w:hint="eastAsia" w:ascii="仿宋" w:hAnsi="仿宋" w:eastAsia="仿宋" w:cs="仿宋"/>
          <w:b/>
          <w:bCs/>
          <w:color w:val="auto"/>
          <w:sz w:val="32"/>
          <w:szCs w:val="32"/>
          <w:lang w:eastAsia="zh-CN"/>
        </w:rPr>
      </w:pPr>
    </w:p>
    <w:p w14:paraId="0CC7B564">
      <w:pPr>
        <w:pStyle w:val="18"/>
        <w:rPr>
          <w:rFonts w:hint="eastAsia" w:ascii="仿宋" w:hAnsi="仿宋" w:eastAsia="仿宋" w:cs="仿宋"/>
          <w:b/>
          <w:bCs/>
          <w:color w:val="auto"/>
          <w:sz w:val="32"/>
          <w:szCs w:val="32"/>
          <w:lang w:eastAsia="zh-CN"/>
        </w:rPr>
      </w:pPr>
    </w:p>
    <w:p w14:paraId="7EB5F22C">
      <w:pPr>
        <w:pStyle w:val="18"/>
        <w:rPr>
          <w:rFonts w:hint="eastAsia" w:ascii="仿宋" w:hAnsi="仿宋" w:eastAsia="仿宋" w:cs="仿宋"/>
          <w:b/>
          <w:bCs/>
          <w:color w:val="auto"/>
          <w:sz w:val="32"/>
          <w:szCs w:val="32"/>
          <w:lang w:eastAsia="zh-CN"/>
        </w:rPr>
      </w:pPr>
    </w:p>
    <w:p w14:paraId="7208FCCE">
      <w:pPr>
        <w:pStyle w:val="18"/>
        <w:rPr>
          <w:rFonts w:hint="eastAsia" w:ascii="仿宋" w:hAnsi="仿宋" w:eastAsia="仿宋" w:cs="仿宋"/>
          <w:b/>
          <w:bCs/>
          <w:color w:val="auto"/>
          <w:sz w:val="32"/>
          <w:szCs w:val="32"/>
          <w:lang w:eastAsia="zh-CN"/>
        </w:rPr>
      </w:pPr>
    </w:p>
    <w:p w14:paraId="56AB4080">
      <w:pPr>
        <w:pStyle w:val="18"/>
        <w:rPr>
          <w:rFonts w:hint="eastAsia" w:ascii="仿宋" w:hAnsi="仿宋" w:eastAsia="仿宋" w:cs="仿宋"/>
          <w:b/>
          <w:bCs/>
          <w:color w:val="auto"/>
          <w:sz w:val="32"/>
          <w:szCs w:val="32"/>
          <w:lang w:eastAsia="zh-CN"/>
        </w:rPr>
      </w:pPr>
    </w:p>
    <w:p w14:paraId="1CD722CB">
      <w:pPr>
        <w:pStyle w:val="18"/>
        <w:rPr>
          <w:rFonts w:hint="eastAsia" w:ascii="仿宋" w:hAnsi="仿宋" w:eastAsia="仿宋" w:cs="仿宋"/>
          <w:b/>
          <w:bCs/>
          <w:color w:val="auto"/>
          <w:sz w:val="32"/>
          <w:szCs w:val="32"/>
          <w:lang w:eastAsia="zh-CN"/>
        </w:rPr>
      </w:pPr>
    </w:p>
    <w:p w14:paraId="3E228CFE">
      <w:pPr>
        <w:pStyle w:val="18"/>
        <w:rPr>
          <w:rFonts w:hint="eastAsia" w:ascii="仿宋" w:hAnsi="仿宋" w:eastAsia="仿宋" w:cs="仿宋"/>
          <w:b/>
          <w:bCs/>
          <w:color w:val="auto"/>
          <w:sz w:val="32"/>
          <w:szCs w:val="32"/>
          <w:lang w:eastAsia="zh-CN"/>
        </w:rPr>
      </w:pPr>
    </w:p>
    <w:p w14:paraId="3D7A9ADC">
      <w:pPr>
        <w:pStyle w:val="18"/>
        <w:rPr>
          <w:rFonts w:hint="eastAsia" w:ascii="仿宋" w:hAnsi="仿宋" w:eastAsia="仿宋" w:cs="仿宋"/>
          <w:b/>
          <w:bCs/>
          <w:color w:val="auto"/>
          <w:sz w:val="32"/>
          <w:szCs w:val="32"/>
          <w:lang w:eastAsia="zh-CN"/>
        </w:rPr>
      </w:pPr>
    </w:p>
    <w:p w14:paraId="6A622F43">
      <w:pPr>
        <w:pStyle w:val="18"/>
        <w:rPr>
          <w:rFonts w:hint="eastAsia" w:ascii="仿宋" w:hAnsi="仿宋" w:eastAsia="仿宋" w:cs="仿宋"/>
          <w:b/>
          <w:bCs/>
          <w:color w:val="auto"/>
          <w:sz w:val="32"/>
          <w:szCs w:val="32"/>
          <w:lang w:eastAsia="zh-CN"/>
        </w:rPr>
      </w:pPr>
    </w:p>
    <w:p w14:paraId="6946ECA3">
      <w:pPr>
        <w:pStyle w:val="18"/>
        <w:rPr>
          <w:rFonts w:hint="eastAsia" w:ascii="仿宋" w:hAnsi="仿宋" w:eastAsia="仿宋" w:cs="仿宋"/>
          <w:b/>
          <w:bCs/>
          <w:color w:val="auto"/>
          <w:sz w:val="32"/>
          <w:szCs w:val="32"/>
          <w:lang w:eastAsia="zh-CN"/>
        </w:rPr>
      </w:pPr>
    </w:p>
    <w:p w14:paraId="5AB4492B">
      <w:pPr>
        <w:pStyle w:val="18"/>
        <w:rPr>
          <w:rFonts w:hint="eastAsia" w:ascii="仿宋" w:hAnsi="仿宋" w:eastAsia="仿宋" w:cs="仿宋"/>
          <w:b/>
          <w:bCs/>
          <w:color w:val="auto"/>
          <w:sz w:val="32"/>
          <w:szCs w:val="32"/>
          <w:lang w:eastAsia="zh-CN"/>
        </w:rPr>
      </w:pPr>
    </w:p>
    <w:p w14:paraId="08582FE7">
      <w:pPr>
        <w:pStyle w:val="18"/>
        <w:rPr>
          <w:rFonts w:hint="eastAsia" w:ascii="仿宋" w:hAnsi="仿宋" w:eastAsia="仿宋" w:cs="仿宋"/>
          <w:b/>
          <w:bCs/>
          <w:color w:val="auto"/>
          <w:sz w:val="32"/>
          <w:szCs w:val="32"/>
          <w:lang w:eastAsia="zh-CN"/>
        </w:rPr>
      </w:pPr>
    </w:p>
    <w:p w14:paraId="136B4738">
      <w:pPr>
        <w:ind w:left="5838" w:hanging="5760" w:hangingChars="1800"/>
        <w:jc w:val="center"/>
        <w:outlineLvl w:val="0"/>
        <w:rPr>
          <w:rFonts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投诉相关说明</w:t>
      </w:r>
      <w:bookmarkEnd w:id="59"/>
    </w:p>
    <w:p w14:paraId="4C92F4D2">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lang w:eastAsia="zh-CN"/>
        </w:rPr>
        <w:t>投诉人应当满足《政府采购法》、《政府采购法实施条例》和《政府采购供应商投诉处理办法》的相关规定。</w:t>
      </w:r>
    </w:p>
    <w:p w14:paraId="490CD086">
      <w:pPr>
        <w:numPr>
          <w:ilvl w:val="0"/>
          <w:numId w:val="3"/>
        </w:numPr>
        <w:spacing w:line="400" w:lineRule="exact"/>
        <w:ind w:left="4569" w:leftChars="304" w:hanging="3840" w:hangingChars="1600"/>
        <w:outlineLvl w:val="0"/>
        <w:rPr>
          <w:rFonts w:ascii="仿宋" w:hAnsi="仿宋" w:eastAsia="仿宋" w:cs="仿宋"/>
          <w:b/>
          <w:bCs/>
          <w:color w:val="auto"/>
        </w:rPr>
      </w:pPr>
      <w:bookmarkStart w:id="60" w:name="_Toc11499"/>
      <w:r>
        <w:rPr>
          <w:rFonts w:hint="eastAsia" w:ascii="仿宋" w:hAnsi="仿宋" w:eastAsia="仿宋" w:cs="仿宋"/>
          <w:b/>
          <w:bCs/>
          <w:color w:val="auto"/>
        </w:rPr>
        <w:t>质疑前置及时间要求</w:t>
      </w:r>
      <w:bookmarkEnd w:id="60"/>
    </w:p>
    <w:p w14:paraId="73C41893">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lang w:eastAsia="zh-CN"/>
        </w:rPr>
        <w:t>《中华人民共和国政府采购法》</w:t>
      </w:r>
      <w:r>
        <w:rPr>
          <w:rFonts w:hint="eastAsia" w:ascii="仿宋" w:hAnsi="仿宋" w:eastAsia="仿宋" w:cs="仿宋"/>
          <w:color w:val="auto"/>
          <w:shd w:val="clear" w:color="auto" w:fill="FFFFFF"/>
          <w:lang w:eastAsia="zh-CN"/>
        </w:rPr>
        <w:t>第五十一条：供应商对政府采购活动事项有疑问的，可以向采购人提出询问，采购人应当及时作出答复，但答复的内容不得涉及商业秘密。</w:t>
      </w:r>
    </w:p>
    <w:p w14:paraId="4CECF896">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7898452F">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51A26B6F">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EB33079">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shd w:val="clear" w:color="auto" w:fill="FFFFFF"/>
          <w:lang w:eastAsia="zh-CN"/>
        </w:rPr>
        <w:t xml:space="preserve">  《政府采购实施条例》第五十五条：供应商质疑、投诉应当有明确的请求和必要的证明材料。供应商投诉的事项不得超出质疑事项的范围。</w:t>
      </w:r>
    </w:p>
    <w:p w14:paraId="269ACC1E">
      <w:pPr>
        <w:spacing w:line="400" w:lineRule="exact"/>
        <w:ind w:left="3836" w:hanging="3780" w:hangingChars="1800"/>
        <w:outlineLvl w:val="0"/>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 </w:t>
      </w:r>
      <w:r>
        <w:rPr>
          <w:rFonts w:hint="eastAsia" w:ascii="仿宋" w:hAnsi="仿宋" w:eastAsia="仿宋" w:cs="仿宋"/>
          <w:b/>
          <w:bCs/>
          <w:color w:val="auto"/>
          <w:sz w:val="21"/>
          <w:szCs w:val="21"/>
          <w:lang w:eastAsia="zh-CN"/>
        </w:rPr>
        <w:t xml:space="preserve">   </w:t>
      </w:r>
      <w:bookmarkStart w:id="61" w:name="_Toc13508"/>
      <w:r>
        <w:rPr>
          <w:rFonts w:hint="eastAsia" w:ascii="仿宋" w:hAnsi="仿宋" w:eastAsia="仿宋" w:cs="仿宋"/>
          <w:b/>
          <w:bCs/>
          <w:color w:val="auto"/>
          <w:sz w:val="21"/>
          <w:szCs w:val="21"/>
          <w:lang w:eastAsia="zh-CN"/>
        </w:rPr>
        <w:t>二、书面方式</w:t>
      </w:r>
      <w:bookmarkEnd w:id="61"/>
    </w:p>
    <w:p w14:paraId="32AB0E03">
      <w:pPr>
        <w:spacing w:line="400" w:lineRule="exact"/>
        <w:ind w:left="3836" w:hanging="3780" w:hangingChars="1800"/>
        <w:rPr>
          <w:rFonts w:ascii="仿宋" w:hAnsi="仿宋" w:eastAsia="仿宋" w:cs="仿宋"/>
          <w:color w:val="auto"/>
          <w:lang w:eastAsia="zh-CN"/>
        </w:rPr>
      </w:pPr>
      <w:r>
        <w:rPr>
          <w:rFonts w:hint="eastAsia" w:ascii="仿宋" w:hAnsi="仿宋" w:eastAsia="仿宋" w:cs="仿宋"/>
          <w:color w:val="auto"/>
          <w:sz w:val="21"/>
          <w:szCs w:val="21"/>
          <w:lang w:eastAsia="zh-CN"/>
        </w:rPr>
        <w:t xml:space="preserve">    《</w:t>
      </w:r>
      <w:r>
        <w:rPr>
          <w:rFonts w:hint="eastAsia" w:ascii="仿宋" w:hAnsi="仿宋" w:eastAsia="仿宋" w:cs="仿宋"/>
          <w:color w:val="auto"/>
          <w:lang w:eastAsia="zh-CN"/>
        </w:rPr>
        <w:t>政府采购供应商投诉处理办法》第八条：投诉人投诉</w:t>
      </w:r>
    </w:p>
    <w:p w14:paraId="22A6555F">
      <w:pPr>
        <w:spacing w:line="400" w:lineRule="exact"/>
        <w:rPr>
          <w:rFonts w:ascii="仿宋" w:hAnsi="仿宋" w:eastAsia="仿宋" w:cs="仿宋"/>
          <w:color w:val="auto"/>
          <w:lang w:eastAsia="zh-CN"/>
        </w:rPr>
      </w:pPr>
      <w:r>
        <w:rPr>
          <w:rFonts w:hint="eastAsia" w:ascii="仿宋" w:hAnsi="仿宋" w:eastAsia="仿宋" w:cs="仿宋"/>
          <w:color w:val="auto"/>
          <w:lang w:eastAsia="zh-CN"/>
        </w:rPr>
        <w:t>时，应当提交投诉书，并按照被投诉人以及与投诉事项有关的供应商数量提供投诉书的副本。</w:t>
      </w:r>
    </w:p>
    <w:p w14:paraId="7F05E78B">
      <w:pPr>
        <w:spacing w:line="400" w:lineRule="exact"/>
        <w:ind w:left="4376" w:hanging="4320" w:hangingChars="1800"/>
        <w:rPr>
          <w:rFonts w:ascii="仿宋" w:hAnsi="仿宋" w:eastAsia="仿宋" w:cs="仿宋"/>
          <w:color w:val="auto"/>
          <w:lang w:eastAsia="zh-CN"/>
        </w:rPr>
      </w:pPr>
      <w:r>
        <w:rPr>
          <w:rFonts w:hint="eastAsia" w:ascii="仿宋" w:hAnsi="仿宋" w:eastAsia="仿宋" w:cs="仿宋"/>
          <w:color w:val="auto"/>
          <w:lang w:eastAsia="zh-CN"/>
        </w:rPr>
        <w:t xml:space="preserve">   投诉书应当包括下列主要内容：</w:t>
      </w:r>
    </w:p>
    <w:p w14:paraId="51B3EB30">
      <w:pPr>
        <w:numPr>
          <w:ilvl w:val="0"/>
          <w:numId w:val="4"/>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投诉人和被投诉人的名称、地址、电话等；</w:t>
      </w:r>
    </w:p>
    <w:p w14:paraId="2345818D">
      <w:pPr>
        <w:numPr>
          <w:ilvl w:val="0"/>
          <w:numId w:val="4"/>
        </w:numPr>
        <w:spacing w:line="400" w:lineRule="exact"/>
        <w:rPr>
          <w:rFonts w:ascii="仿宋" w:hAnsi="仿宋" w:eastAsia="仿宋" w:cs="仿宋"/>
          <w:color w:val="auto"/>
          <w:lang w:eastAsia="zh-CN"/>
        </w:rPr>
      </w:pPr>
      <w:r>
        <w:rPr>
          <w:rFonts w:hint="eastAsia" w:ascii="仿宋" w:hAnsi="仿宋" w:eastAsia="仿宋" w:cs="仿宋"/>
          <w:color w:val="auto"/>
          <w:lang w:eastAsia="zh-CN"/>
        </w:rPr>
        <w:t>具体的投诉事项及事实依据；</w:t>
      </w:r>
    </w:p>
    <w:p w14:paraId="530D6015">
      <w:pPr>
        <w:numPr>
          <w:ilvl w:val="0"/>
          <w:numId w:val="4"/>
        </w:numPr>
        <w:spacing w:line="400" w:lineRule="exact"/>
        <w:rPr>
          <w:rFonts w:ascii="仿宋" w:hAnsi="仿宋" w:eastAsia="仿宋" w:cs="仿宋"/>
          <w:color w:val="auto"/>
          <w:lang w:eastAsia="zh-CN"/>
        </w:rPr>
      </w:pPr>
      <w:r>
        <w:rPr>
          <w:rFonts w:hint="eastAsia" w:ascii="仿宋" w:hAnsi="仿宋" w:eastAsia="仿宋" w:cs="仿宋"/>
          <w:color w:val="auto"/>
          <w:lang w:eastAsia="zh-CN"/>
        </w:rPr>
        <w:t>质疑和质疑答复情况及相关证明材料；</w:t>
      </w:r>
    </w:p>
    <w:p w14:paraId="3F1453CA">
      <w:pPr>
        <w:numPr>
          <w:ilvl w:val="0"/>
          <w:numId w:val="4"/>
        </w:numPr>
        <w:spacing w:line="400" w:lineRule="exact"/>
        <w:rPr>
          <w:rFonts w:ascii="仿宋" w:hAnsi="仿宋" w:eastAsia="仿宋" w:cs="仿宋"/>
          <w:color w:val="auto"/>
        </w:rPr>
      </w:pPr>
      <w:r>
        <w:rPr>
          <w:rFonts w:hint="eastAsia" w:ascii="仿宋" w:hAnsi="仿宋" w:eastAsia="仿宋" w:cs="仿宋"/>
          <w:color w:val="auto"/>
        </w:rPr>
        <w:t>提起投诉的日期。</w:t>
      </w:r>
    </w:p>
    <w:p w14:paraId="0FBD4292">
      <w:pPr>
        <w:spacing w:line="400" w:lineRule="exact"/>
        <w:ind w:firstLine="645"/>
        <w:rPr>
          <w:rFonts w:ascii="仿宋" w:hAnsi="仿宋" w:eastAsia="仿宋" w:cs="仿宋"/>
          <w:color w:val="auto"/>
          <w:lang w:eastAsia="zh-CN"/>
        </w:rPr>
      </w:pPr>
      <w:r>
        <w:rPr>
          <w:rFonts w:hint="eastAsia" w:ascii="仿宋" w:hAnsi="仿宋" w:eastAsia="仿宋" w:cs="仿宋"/>
          <w:color w:val="auto"/>
          <w:lang w:eastAsia="zh-CN"/>
        </w:rPr>
        <w:t>投诉书应当署名。投诉人为自然人，应当由本人签章；投诉人为法人或者其他组织的，应当由法定代表人或者主要负责人签章并加盖公章。</w:t>
      </w:r>
    </w:p>
    <w:p w14:paraId="14AE4883">
      <w:pPr>
        <w:spacing w:line="400" w:lineRule="exact"/>
        <w:ind w:firstLine="645"/>
        <w:rPr>
          <w:rFonts w:ascii="仿宋" w:hAnsi="仿宋" w:eastAsia="仿宋" w:cs="仿宋"/>
          <w:color w:val="auto"/>
          <w:lang w:eastAsia="zh-CN"/>
        </w:rPr>
      </w:pPr>
      <w:r>
        <w:rPr>
          <w:rFonts w:hint="eastAsia" w:ascii="仿宋" w:hAnsi="仿宋" w:eastAsia="仿宋" w:cs="仿宋"/>
          <w:color w:val="auto"/>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76DB4C48">
      <w:pPr>
        <w:spacing w:line="400" w:lineRule="exact"/>
        <w:ind w:firstLine="645"/>
        <w:rPr>
          <w:rFonts w:ascii="仿宋" w:hAnsi="仿宋" w:eastAsia="仿宋" w:cs="仿宋"/>
          <w:color w:val="auto"/>
          <w:lang w:eastAsia="zh-CN"/>
        </w:rPr>
      </w:pPr>
      <w:r>
        <w:rPr>
          <w:rFonts w:hint="eastAsia" w:ascii="仿宋" w:hAnsi="仿宋" w:eastAsia="仿宋" w:cs="仿宋"/>
          <w:color w:val="auto"/>
          <w:lang w:eastAsia="zh-CN"/>
        </w:rPr>
        <w:t>《政府采购供应商投诉处理办法》第十条：投诉人提起投诉应当符合下列条件：</w:t>
      </w:r>
    </w:p>
    <w:p w14:paraId="5F5E5EBC">
      <w:pPr>
        <w:numPr>
          <w:ilvl w:val="0"/>
          <w:numId w:val="5"/>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投诉人是参与所投诉政府采购活动的供应商；</w:t>
      </w:r>
    </w:p>
    <w:p w14:paraId="5FC54974">
      <w:pPr>
        <w:numPr>
          <w:ilvl w:val="0"/>
          <w:numId w:val="5"/>
        </w:numPr>
        <w:spacing w:line="400" w:lineRule="exact"/>
        <w:rPr>
          <w:rFonts w:ascii="仿宋" w:hAnsi="仿宋" w:eastAsia="仿宋" w:cs="仿宋"/>
          <w:color w:val="auto"/>
          <w:lang w:eastAsia="zh-CN"/>
        </w:rPr>
      </w:pPr>
      <w:r>
        <w:rPr>
          <w:rFonts w:hint="eastAsia" w:ascii="仿宋" w:hAnsi="仿宋" w:eastAsia="仿宋" w:cs="仿宋"/>
          <w:color w:val="auto"/>
          <w:lang w:eastAsia="zh-CN"/>
        </w:rPr>
        <w:t>提起投诉诉前已依法进行质疑；</w:t>
      </w:r>
    </w:p>
    <w:p w14:paraId="0D2EF7EA">
      <w:pPr>
        <w:numPr>
          <w:ilvl w:val="0"/>
          <w:numId w:val="5"/>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投诉书内容符合本办法的规定；</w:t>
      </w:r>
    </w:p>
    <w:p w14:paraId="7A48D462">
      <w:pPr>
        <w:numPr>
          <w:ilvl w:val="0"/>
          <w:numId w:val="5"/>
        </w:numPr>
        <w:spacing w:line="400" w:lineRule="exact"/>
        <w:rPr>
          <w:rFonts w:ascii="仿宋" w:hAnsi="仿宋" w:eastAsia="仿宋" w:cs="仿宋"/>
          <w:color w:val="auto"/>
          <w:lang w:eastAsia="zh-CN"/>
        </w:rPr>
      </w:pPr>
      <w:r>
        <w:rPr>
          <w:rFonts w:hint="eastAsia" w:ascii="仿宋" w:hAnsi="仿宋" w:eastAsia="仿宋" w:cs="仿宋"/>
          <w:color w:val="auto"/>
          <w:lang w:eastAsia="zh-CN"/>
        </w:rPr>
        <w:t>在投诉有效期内提起投诉；</w:t>
      </w:r>
    </w:p>
    <w:p w14:paraId="3B078A85">
      <w:pPr>
        <w:numPr>
          <w:ilvl w:val="0"/>
          <w:numId w:val="5"/>
        </w:numPr>
        <w:spacing w:line="400" w:lineRule="exact"/>
        <w:rPr>
          <w:rFonts w:ascii="仿宋" w:hAnsi="仿宋" w:eastAsia="仿宋" w:cs="仿宋"/>
          <w:color w:val="auto"/>
          <w:lang w:eastAsia="zh-CN"/>
        </w:rPr>
      </w:pPr>
      <w:r>
        <w:rPr>
          <w:rFonts w:hint="eastAsia" w:ascii="仿宋" w:hAnsi="仿宋" w:eastAsia="仿宋" w:cs="仿宋"/>
          <w:color w:val="auto"/>
          <w:lang w:eastAsia="zh-CN"/>
        </w:rPr>
        <w:t>属于本级财政部门管辖；</w:t>
      </w:r>
    </w:p>
    <w:p w14:paraId="68FF8A23">
      <w:pPr>
        <w:numPr>
          <w:ilvl w:val="0"/>
          <w:numId w:val="5"/>
        </w:numPr>
        <w:spacing w:line="400" w:lineRule="exact"/>
        <w:rPr>
          <w:rFonts w:ascii="仿宋" w:hAnsi="仿宋" w:eastAsia="仿宋" w:cs="仿宋"/>
          <w:color w:val="auto"/>
          <w:lang w:eastAsia="zh-CN"/>
        </w:rPr>
      </w:pPr>
      <w:r>
        <w:rPr>
          <w:rFonts w:hint="eastAsia" w:ascii="仿宋" w:hAnsi="仿宋" w:eastAsia="仿宋" w:cs="仿宋"/>
          <w:color w:val="auto"/>
          <w:lang w:eastAsia="zh-CN"/>
        </w:rPr>
        <w:t>同一投诉事项未经财政部门投诉处理；</w:t>
      </w:r>
    </w:p>
    <w:p w14:paraId="5D685BBE">
      <w:pPr>
        <w:numPr>
          <w:ilvl w:val="0"/>
          <w:numId w:val="5"/>
        </w:numPr>
        <w:spacing w:line="400" w:lineRule="exact"/>
        <w:rPr>
          <w:rFonts w:ascii="仿宋" w:hAnsi="仿宋" w:eastAsia="仿宋" w:cs="仿宋"/>
          <w:color w:val="auto"/>
          <w:lang w:eastAsia="zh-CN"/>
        </w:rPr>
      </w:pPr>
      <w:r>
        <w:rPr>
          <w:rFonts w:hint="eastAsia" w:ascii="仿宋" w:hAnsi="仿宋" w:eastAsia="仿宋" w:cs="仿宋"/>
          <w:color w:val="auto"/>
          <w:lang w:eastAsia="zh-CN"/>
        </w:rPr>
        <w:t>国务院财政部门规定的其他条件。</w:t>
      </w:r>
    </w:p>
    <w:p w14:paraId="079344F9">
      <w:pPr>
        <w:spacing w:line="400" w:lineRule="exact"/>
        <w:ind w:left="4376" w:hanging="4320" w:hangingChars="1800"/>
        <w:rPr>
          <w:rFonts w:ascii="仿宋" w:hAnsi="仿宋" w:eastAsia="仿宋" w:cs="仿宋"/>
          <w:color w:val="auto"/>
          <w:lang w:eastAsia="zh-CN"/>
        </w:rPr>
      </w:pPr>
      <w:r>
        <w:rPr>
          <w:rFonts w:hint="eastAsia" w:ascii="仿宋" w:hAnsi="仿宋" w:eastAsia="仿宋" w:cs="仿宋"/>
          <w:color w:val="auto"/>
          <w:lang w:eastAsia="zh-CN"/>
        </w:rPr>
        <w:t xml:space="preserve">   </w:t>
      </w:r>
    </w:p>
    <w:p w14:paraId="50230A38">
      <w:pPr>
        <w:outlineLvl w:val="0"/>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b/>
          <w:bCs/>
          <w:color w:val="auto"/>
          <w:lang w:eastAsia="zh-CN"/>
        </w:rPr>
        <w:t xml:space="preserve">   </w:t>
      </w:r>
      <w:bookmarkStart w:id="62" w:name="_Toc5978"/>
      <w:r>
        <w:rPr>
          <w:rFonts w:hint="eastAsia" w:ascii="仿宋" w:hAnsi="仿宋" w:eastAsia="仿宋" w:cs="仿宋"/>
          <w:b/>
          <w:bCs/>
          <w:color w:val="auto"/>
          <w:lang w:eastAsia="zh-CN"/>
        </w:rPr>
        <w:t>三、虚假、恶意投诉法律责任</w:t>
      </w:r>
      <w:bookmarkEnd w:id="62"/>
    </w:p>
    <w:p w14:paraId="6EEF7919">
      <w:pPr>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第七十三条：供应商捏造实施、提供虚假材料或者以非法手段取得证明材料进行投诉的，由财政部门列入不良行为记录名单，禁止其1至3年内参加政府采购活动。</w:t>
      </w:r>
    </w:p>
    <w:p w14:paraId="34A6B1AC">
      <w:pPr>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《政府采购供应商投诉处理办法》第二十六条：投诉人有下列情形之一的，属于虚假、恶意投诉，财政部门应当驳回投诉，将其列入不良行为记录名单，并依法予以处罚：</w:t>
      </w:r>
    </w:p>
    <w:p w14:paraId="1B5CD7C0">
      <w:pPr>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（一）1年内3次以上投诉均查无实据的；</w:t>
      </w:r>
    </w:p>
    <w:p w14:paraId="07490C46">
      <w:pPr>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（二）捏造事实或者提供虚假投诉材料的。</w:t>
      </w:r>
    </w:p>
    <w:p w14:paraId="7D121E77">
      <w:pPr>
        <w:spacing w:line="400" w:lineRule="exact"/>
        <w:rPr>
          <w:rFonts w:ascii="仿宋" w:hAnsi="仿宋" w:eastAsia="仿宋" w:cs="仿宋"/>
          <w:color w:val="auto"/>
          <w:sz w:val="21"/>
          <w:szCs w:val="21"/>
          <w:lang w:eastAsia="zh-CN"/>
        </w:rPr>
      </w:pPr>
    </w:p>
    <w:p w14:paraId="6908832E">
      <w:pPr>
        <w:spacing w:line="400" w:lineRule="exact"/>
        <w:rPr>
          <w:rFonts w:ascii="仿宋" w:hAnsi="仿宋" w:eastAsia="仿宋" w:cs="仿宋"/>
          <w:color w:val="auto"/>
          <w:sz w:val="21"/>
          <w:szCs w:val="21"/>
          <w:lang w:eastAsia="zh-CN"/>
        </w:rPr>
      </w:pPr>
    </w:p>
    <w:p w14:paraId="00FB4F84">
      <w:pPr>
        <w:jc w:val="both"/>
        <w:rPr>
          <w:rFonts w:ascii="仿宋" w:hAnsi="仿宋" w:eastAsia="仿宋" w:cs="仿宋"/>
          <w:color w:val="auto"/>
          <w:lang w:eastAsia="zh-CN"/>
        </w:rPr>
      </w:pPr>
      <w:r>
        <w:rPr>
          <w:rFonts w:hint="eastAsia" w:ascii="仿宋" w:hAnsi="仿宋" w:eastAsia="仿宋" w:cs="仿宋"/>
          <w:color w:val="auto"/>
          <w:lang w:eastAsia="zh-CN"/>
        </w:rPr>
        <w:t>递交投诉书地址：阿</w:t>
      </w:r>
      <w:r>
        <w:rPr>
          <w:rFonts w:hint="eastAsia" w:ascii="仿宋" w:hAnsi="仿宋" w:eastAsia="仿宋" w:cs="仿宋"/>
          <w:color w:val="auto"/>
          <w:lang w:val="en-US" w:eastAsia="zh-CN"/>
        </w:rPr>
        <w:t>克陶</w:t>
      </w:r>
      <w:r>
        <w:rPr>
          <w:rFonts w:hint="eastAsia" w:ascii="仿宋" w:hAnsi="仿宋" w:eastAsia="仿宋" w:cs="仿宋"/>
          <w:color w:val="auto"/>
          <w:lang w:eastAsia="zh-CN"/>
        </w:rPr>
        <w:t>政府采购办监管办公室</w:t>
      </w:r>
    </w:p>
    <w:p w14:paraId="783EA9BA">
      <w:pPr>
        <w:jc w:val="right"/>
        <w:rPr>
          <w:rFonts w:ascii="仿宋" w:hAnsi="仿宋" w:eastAsia="仿宋" w:cs="仿宋"/>
          <w:color w:val="auto"/>
          <w:sz w:val="32"/>
          <w:szCs w:val="32"/>
          <w:lang w:eastAsia="zh-CN"/>
        </w:rPr>
      </w:pPr>
    </w:p>
    <w:p w14:paraId="135743C1">
      <w:pPr>
        <w:spacing w:line="540" w:lineRule="exact"/>
        <w:jc w:val="center"/>
        <w:rPr>
          <w:rFonts w:ascii="仿宋" w:hAnsi="仿宋" w:eastAsia="仿宋" w:cs="仿宋"/>
          <w:b/>
          <w:bCs/>
          <w:color w:val="auto"/>
          <w:sz w:val="44"/>
          <w:szCs w:val="44"/>
          <w:lang w:eastAsia="zh-CN"/>
        </w:rPr>
      </w:pPr>
    </w:p>
    <w:p w14:paraId="3CED378B">
      <w:pPr>
        <w:spacing w:line="540" w:lineRule="exact"/>
        <w:jc w:val="both"/>
        <w:rPr>
          <w:rFonts w:ascii="仿宋" w:hAnsi="仿宋" w:eastAsia="仿宋" w:cs="仿宋"/>
          <w:b/>
          <w:bCs/>
          <w:color w:val="auto"/>
          <w:sz w:val="44"/>
          <w:szCs w:val="44"/>
          <w:lang w:eastAsia="zh-CN"/>
        </w:rPr>
      </w:pPr>
    </w:p>
    <w:p w14:paraId="0EED0738">
      <w:pPr>
        <w:spacing w:line="540" w:lineRule="exact"/>
        <w:jc w:val="both"/>
        <w:outlineLvl w:val="0"/>
        <w:rPr>
          <w:rFonts w:hint="eastAsia" w:ascii="仿宋" w:hAnsi="仿宋" w:eastAsia="仿宋" w:cs="仿宋"/>
          <w:b/>
          <w:bCs/>
          <w:color w:val="auto"/>
          <w:sz w:val="32"/>
          <w:szCs w:val="32"/>
          <w:lang w:eastAsia="zh-CN"/>
        </w:rPr>
      </w:pPr>
      <w:bookmarkStart w:id="63" w:name="_Toc1697"/>
    </w:p>
    <w:p w14:paraId="4732FB1D">
      <w:pPr>
        <w:spacing w:line="540" w:lineRule="exact"/>
        <w:jc w:val="center"/>
        <w:outlineLvl w:val="0"/>
        <w:rPr>
          <w:rFonts w:hint="eastAsia" w:ascii="仿宋" w:hAnsi="仿宋" w:eastAsia="仿宋" w:cs="仿宋"/>
          <w:b/>
          <w:bCs/>
          <w:color w:val="auto"/>
          <w:sz w:val="32"/>
          <w:szCs w:val="32"/>
          <w:lang w:eastAsia="zh-CN"/>
        </w:rPr>
      </w:pPr>
    </w:p>
    <w:p w14:paraId="2C5D1254">
      <w:pPr>
        <w:spacing w:line="540" w:lineRule="exact"/>
        <w:jc w:val="center"/>
        <w:outlineLvl w:val="0"/>
        <w:rPr>
          <w:rFonts w:hint="eastAsia" w:ascii="仿宋" w:hAnsi="仿宋" w:eastAsia="仿宋" w:cs="仿宋"/>
          <w:b/>
          <w:bCs/>
          <w:color w:val="auto"/>
          <w:sz w:val="32"/>
          <w:szCs w:val="32"/>
          <w:lang w:eastAsia="zh-CN"/>
        </w:rPr>
      </w:pPr>
    </w:p>
    <w:p w14:paraId="50ED31E4">
      <w:pPr>
        <w:spacing w:line="540" w:lineRule="exact"/>
        <w:jc w:val="center"/>
        <w:outlineLvl w:val="0"/>
        <w:rPr>
          <w:rFonts w:hint="eastAsia" w:ascii="仿宋" w:hAnsi="仿宋" w:eastAsia="仿宋" w:cs="仿宋"/>
          <w:b/>
          <w:bCs/>
          <w:color w:val="auto"/>
          <w:sz w:val="32"/>
          <w:szCs w:val="32"/>
          <w:lang w:eastAsia="zh-CN"/>
        </w:rPr>
      </w:pPr>
    </w:p>
    <w:p w14:paraId="6C0EBCCD">
      <w:pPr>
        <w:spacing w:line="540" w:lineRule="exact"/>
        <w:jc w:val="center"/>
        <w:outlineLvl w:val="0"/>
        <w:rPr>
          <w:rFonts w:hint="eastAsia" w:ascii="仿宋" w:hAnsi="仿宋" w:eastAsia="仿宋" w:cs="仿宋"/>
          <w:b/>
          <w:bCs/>
          <w:color w:val="auto"/>
          <w:sz w:val="32"/>
          <w:szCs w:val="32"/>
          <w:lang w:eastAsia="zh-CN"/>
        </w:rPr>
      </w:pPr>
    </w:p>
    <w:p w14:paraId="1AFE3B7E">
      <w:pPr>
        <w:spacing w:line="540" w:lineRule="exact"/>
        <w:jc w:val="center"/>
        <w:outlineLvl w:val="0"/>
        <w:rPr>
          <w:rFonts w:hint="eastAsia" w:ascii="仿宋" w:hAnsi="仿宋" w:eastAsia="仿宋" w:cs="仿宋"/>
          <w:b/>
          <w:bCs/>
          <w:color w:val="auto"/>
          <w:sz w:val="32"/>
          <w:szCs w:val="32"/>
          <w:lang w:eastAsia="zh-CN"/>
        </w:rPr>
      </w:pPr>
    </w:p>
    <w:p w14:paraId="30ACED22">
      <w:pPr>
        <w:spacing w:line="540" w:lineRule="exact"/>
        <w:jc w:val="center"/>
        <w:outlineLvl w:val="0"/>
        <w:rPr>
          <w:rFonts w:hint="eastAsia" w:ascii="仿宋" w:hAnsi="仿宋" w:eastAsia="仿宋" w:cs="仿宋"/>
          <w:b/>
          <w:bCs/>
          <w:color w:val="auto"/>
          <w:sz w:val="32"/>
          <w:szCs w:val="32"/>
          <w:lang w:eastAsia="zh-CN"/>
        </w:rPr>
      </w:pPr>
    </w:p>
    <w:p w14:paraId="7FB00418">
      <w:pPr>
        <w:spacing w:line="540" w:lineRule="exact"/>
        <w:jc w:val="center"/>
        <w:outlineLvl w:val="0"/>
        <w:rPr>
          <w:rFonts w:hint="eastAsia" w:ascii="仿宋" w:hAnsi="仿宋" w:eastAsia="仿宋" w:cs="仿宋"/>
          <w:b/>
          <w:bCs/>
          <w:color w:val="auto"/>
          <w:sz w:val="32"/>
          <w:szCs w:val="32"/>
          <w:lang w:eastAsia="zh-CN"/>
        </w:rPr>
      </w:pPr>
    </w:p>
    <w:p w14:paraId="570FC448">
      <w:pPr>
        <w:spacing w:line="540" w:lineRule="exact"/>
        <w:jc w:val="center"/>
        <w:outlineLvl w:val="0"/>
        <w:rPr>
          <w:rFonts w:hint="eastAsia" w:ascii="仿宋" w:hAnsi="仿宋" w:eastAsia="仿宋" w:cs="仿宋"/>
          <w:b/>
          <w:bCs/>
          <w:color w:val="auto"/>
          <w:sz w:val="32"/>
          <w:szCs w:val="32"/>
          <w:lang w:eastAsia="zh-CN"/>
        </w:rPr>
      </w:pPr>
    </w:p>
    <w:p w14:paraId="7AE291C7">
      <w:pPr>
        <w:spacing w:line="540" w:lineRule="exact"/>
        <w:jc w:val="center"/>
        <w:outlineLvl w:val="0"/>
        <w:rPr>
          <w:rFonts w:hint="eastAsia" w:ascii="仿宋" w:hAnsi="仿宋" w:eastAsia="仿宋" w:cs="仿宋"/>
          <w:b/>
          <w:bCs/>
          <w:color w:val="auto"/>
          <w:sz w:val="32"/>
          <w:szCs w:val="32"/>
          <w:lang w:eastAsia="zh-CN"/>
        </w:rPr>
      </w:pPr>
    </w:p>
    <w:p w14:paraId="13360C4A">
      <w:pPr>
        <w:spacing w:line="540" w:lineRule="exact"/>
        <w:jc w:val="center"/>
        <w:outlineLvl w:val="0"/>
        <w:rPr>
          <w:rFonts w:hint="eastAsia" w:ascii="仿宋" w:hAnsi="仿宋" w:eastAsia="仿宋" w:cs="仿宋"/>
          <w:b/>
          <w:bCs/>
          <w:color w:val="auto"/>
          <w:sz w:val="32"/>
          <w:szCs w:val="32"/>
          <w:lang w:eastAsia="zh-CN"/>
        </w:rPr>
      </w:pPr>
    </w:p>
    <w:p w14:paraId="638A9E40">
      <w:pPr>
        <w:spacing w:line="540" w:lineRule="exact"/>
        <w:jc w:val="center"/>
        <w:outlineLvl w:val="0"/>
        <w:rPr>
          <w:rFonts w:hint="eastAsia" w:ascii="仿宋" w:hAnsi="仿宋" w:eastAsia="仿宋" w:cs="仿宋"/>
          <w:b/>
          <w:bCs/>
          <w:color w:val="auto"/>
          <w:sz w:val="32"/>
          <w:szCs w:val="32"/>
          <w:lang w:eastAsia="zh-CN"/>
        </w:rPr>
      </w:pPr>
    </w:p>
    <w:p w14:paraId="1E71F379">
      <w:pPr>
        <w:spacing w:line="540" w:lineRule="exact"/>
        <w:jc w:val="center"/>
        <w:outlineLvl w:val="0"/>
        <w:rPr>
          <w:rFonts w:hint="eastAsia" w:ascii="仿宋" w:hAnsi="仿宋" w:eastAsia="仿宋" w:cs="仿宋"/>
          <w:b/>
          <w:bCs/>
          <w:color w:val="auto"/>
          <w:sz w:val="32"/>
          <w:szCs w:val="32"/>
          <w:lang w:eastAsia="zh-CN"/>
        </w:rPr>
      </w:pPr>
    </w:p>
    <w:p w14:paraId="34AABB4C">
      <w:pPr>
        <w:spacing w:line="540" w:lineRule="exact"/>
        <w:jc w:val="center"/>
        <w:outlineLvl w:val="0"/>
        <w:rPr>
          <w:rFonts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质疑函范本</w:t>
      </w:r>
      <w:bookmarkEnd w:id="63"/>
    </w:p>
    <w:p w14:paraId="0343539C">
      <w:pPr>
        <w:adjustRightInd w:val="0"/>
        <w:snapToGrid w:val="0"/>
        <w:spacing w:beforeLines="100" w:line="540" w:lineRule="exact"/>
        <w:ind w:firstLine="480" w:firstLineChars="200"/>
        <w:outlineLvl w:val="0"/>
        <w:rPr>
          <w:rFonts w:ascii="仿宋" w:hAnsi="仿宋" w:eastAsia="仿宋" w:cs="仿宋"/>
          <w:bCs/>
          <w:color w:val="auto"/>
          <w:lang w:eastAsia="zh-CN"/>
        </w:rPr>
      </w:pPr>
      <w:bookmarkStart w:id="64" w:name="_Toc9061"/>
      <w:r>
        <w:rPr>
          <w:rFonts w:hint="eastAsia" w:ascii="仿宋" w:hAnsi="仿宋" w:eastAsia="仿宋" w:cs="仿宋"/>
          <w:bCs/>
          <w:color w:val="auto"/>
          <w:lang w:eastAsia="zh-CN"/>
        </w:rPr>
        <w:t>一、质疑供应商基本信息</w:t>
      </w:r>
      <w:bookmarkEnd w:id="64"/>
    </w:p>
    <w:p w14:paraId="7D00D870">
      <w:pPr>
        <w:adjustRightInd w:val="0"/>
        <w:snapToGrid w:val="0"/>
        <w:spacing w:line="540" w:lineRule="exact"/>
        <w:ind w:firstLine="480" w:firstLineChars="200"/>
        <w:rPr>
          <w:rFonts w:ascii="仿宋" w:hAnsi="仿宋" w:eastAsia="仿宋" w:cs="仿宋"/>
          <w:color w:val="auto"/>
          <w:u w:val="dotted"/>
          <w:lang w:eastAsia="zh-CN"/>
        </w:rPr>
      </w:pPr>
      <w:r>
        <w:rPr>
          <w:rFonts w:hint="eastAsia" w:ascii="仿宋" w:hAnsi="仿宋" w:eastAsia="仿宋" w:cs="仿宋"/>
          <w:color w:val="auto"/>
          <w:lang w:eastAsia="zh-CN"/>
        </w:rPr>
        <w:t>质疑供应商：</w:t>
      </w:r>
      <w:r>
        <w:rPr>
          <w:rFonts w:hint="eastAsia" w:ascii="仿宋" w:hAnsi="仿宋" w:eastAsia="仿宋" w:cs="仿宋"/>
          <w:color w:val="auto"/>
          <w:u w:val="dotted"/>
          <w:lang w:eastAsia="zh-CN"/>
        </w:rPr>
        <w:t xml:space="preserve">                         </w:t>
      </w:r>
    </w:p>
    <w:p w14:paraId="06F9F147">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地址：</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邮编：</w:t>
      </w:r>
      <w:r>
        <w:rPr>
          <w:rFonts w:hint="eastAsia" w:ascii="仿宋" w:hAnsi="仿宋" w:eastAsia="仿宋" w:cs="仿宋"/>
          <w:color w:val="auto"/>
          <w:u w:val="dotted"/>
          <w:lang w:eastAsia="zh-CN"/>
        </w:rPr>
        <w:t xml:space="preserve">            </w:t>
      </w:r>
    </w:p>
    <w:p w14:paraId="50C35348">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联系人：</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联系电话：</w:t>
      </w:r>
      <w:r>
        <w:rPr>
          <w:rFonts w:hint="eastAsia" w:ascii="仿宋" w:hAnsi="仿宋" w:eastAsia="仿宋" w:cs="仿宋"/>
          <w:color w:val="auto"/>
          <w:u w:val="dotted"/>
          <w:lang w:eastAsia="zh-CN"/>
        </w:rPr>
        <w:t xml:space="preserve">            </w:t>
      </w:r>
    </w:p>
    <w:p w14:paraId="13C55D99">
      <w:pPr>
        <w:adjustRightInd w:val="0"/>
        <w:snapToGrid w:val="0"/>
        <w:spacing w:line="540" w:lineRule="exact"/>
        <w:ind w:firstLine="480" w:firstLineChars="200"/>
        <w:rPr>
          <w:rFonts w:ascii="仿宋" w:hAnsi="仿宋" w:eastAsia="仿宋" w:cs="仿宋"/>
          <w:color w:val="auto"/>
          <w:u w:val="dotted"/>
          <w:lang w:eastAsia="zh-CN"/>
        </w:rPr>
      </w:pPr>
      <w:r>
        <w:rPr>
          <w:rFonts w:hint="eastAsia" w:ascii="仿宋" w:hAnsi="仿宋" w:eastAsia="仿宋" w:cs="仿宋"/>
          <w:color w:val="auto"/>
          <w:lang w:eastAsia="zh-CN"/>
        </w:rPr>
        <w:t>授权代表：</w:t>
      </w:r>
      <w:r>
        <w:rPr>
          <w:rFonts w:hint="eastAsia" w:ascii="仿宋" w:hAnsi="仿宋" w:eastAsia="仿宋" w:cs="仿宋"/>
          <w:color w:val="auto"/>
          <w:u w:val="dotted"/>
          <w:lang w:eastAsia="zh-CN"/>
        </w:rPr>
        <w:t xml:space="preserve">                                          </w:t>
      </w:r>
    </w:p>
    <w:p w14:paraId="23938995">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联系电话：</w:t>
      </w:r>
      <w:r>
        <w:rPr>
          <w:rFonts w:hint="eastAsia" w:ascii="仿宋" w:hAnsi="仿宋" w:eastAsia="仿宋" w:cs="仿宋"/>
          <w:color w:val="auto"/>
          <w:u w:val="dotted"/>
          <w:lang w:eastAsia="zh-CN"/>
        </w:rPr>
        <w:t xml:space="preserve">                                          </w:t>
      </w:r>
    </w:p>
    <w:p w14:paraId="76E58E9F">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地址： </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邮编：</w:t>
      </w:r>
      <w:r>
        <w:rPr>
          <w:rFonts w:hint="eastAsia" w:ascii="仿宋" w:hAnsi="仿宋" w:eastAsia="仿宋" w:cs="仿宋"/>
          <w:color w:val="auto"/>
          <w:u w:val="dotted"/>
          <w:lang w:eastAsia="zh-CN"/>
        </w:rPr>
        <w:t xml:space="preserve">               </w:t>
      </w:r>
    </w:p>
    <w:p w14:paraId="126B2FA5">
      <w:pPr>
        <w:adjustRightInd w:val="0"/>
        <w:snapToGrid w:val="0"/>
        <w:spacing w:line="540" w:lineRule="exact"/>
        <w:ind w:firstLine="480" w:firstLineChars="200"/>
        <w:outlineLvl w:val="0"/>
        <w:rPr>
          <w:rFonts w:ascii="仿宋" w:hAnsi="仿宋" w:eastAsia="仿宋" w:cs="仿宋"/>
          <w:bCs/>
          <w:color w:val="auto"/>
          <w:lang w:eastAsia="zh-CN"/>
        </w:rPr>
      </w:pPr>
      <w:bookmarkStart w:id="65" w:name="_Toc15938"/>
      <w:r>
        <w:rPr>
          <w:rFonts w:hint="eastAsia" w:ascii="仿宋" w:hAnsi="仿宋" w:eastAsia="仿宋" w:cs="仿宋"/>
          <w:bCs/>
          <w:color w:val="auto"/>
          <w:lang w:eastAsia="zh-CN"/>
        </w:rPr>
        <w:t>二、质疑项目基本情况</w:t>
      </w:r>
      <w:bookmarkEnd w:id="65"/>
    </w:p>
    <w:p w14:paraId="05D454BE">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质疑项目的名称：</w:t>
      </w:r>
      <w:r>
        <w:rPr>
          <w:rFonts w:hint="eastAsia" w:ascii="仿宋" w:hAnsi="仿宋" w:eastAsia="仿宋" w:cs="仿宋"/>
          <w:color w:val="auto"/>
          <w:u w:val="dotted"/>
          <w:lang w:eastAsia="zh-CN"/>
        </w:rPr>
        <w:t xml:space="preserve">                                     </w:t>
      </w:r>
    </w:p>
    <w:p w14:paraId="6E9E2BC8">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质疑项目的编号：</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包号：</w:t>
      </w:r>
      <w:r>
        <w:rPr>
          <w:rFonts w:hint="eastAsia" w:ascii="仿宋" w:hAnsi="仿宋" w:eastAsia="仿宋" w:cs="仿宋"/>
          <w:color w:val="auto"/>
          <w:u w:val="dotted"/>
          <w:lang w:eastAsia="zh-CN"/>
        </w:rPr>
        <w:t xml:space="preserve">                </w:t>
      </w:r>
    </w:p>
    <w:p w14:paraId="1072BE0D">
      <w:pPr>
        <w:adjustRightInd w:val="0"/>
        <w:snapToGrid w:val="0"/>
        <w:spacing w:line="540" w:lineRule="exact"/>
        <w:ind w:firstLine="480" w:firstLineChars="200"/>
        <w:rPr>
          <w:rFonts w:ascii="仿宋" w:hAnsi="仿宋" w:eastAsia="仿宋" w:cs="仿宋"/>
          <w:color w:val="auto"/>
          <w:u w:val="dotted"/>
          <w:lang w:eastAsia="zh-CN"/>
        </w:rPr>
      </w:pPr>
      <w:r>
        <w:rPr>
          <w:rFonts w:hint="eastAsia" w:ascii="仿宋" w:hAnsi="仿宋" w:eastAsia="仿宋" w:cs="仿宋"/>
          <w:color w:val="auto"/>
          <w:lang w:eastAsia="zh-CN"/>
        </w:rPr>
        <w:t>采购人名称：</w:t>
      </w:r>
      <w:r>
        <w:rPr>
          <w:rFonts w:hint="eastAsia" w:ascii="仿宋" w:hAnsi="仿宋" w:eastAsia="仿宋" w:cs="仿宋"/>
          <w:color w:val="auto"/>
          <w:u w:val="dotted"/>
          <w:lang w:eastAsia="zh-CN"/>
        </w:rPr>
        <w:t xml:space="preserve">                                         </w:t>
      </w:r>
    </w:p>
    <w:p w14:paraId="43FF2EFE">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采购文件获取日期：</w:t>
      </w:r>
      <w:r>
        <w:rPr>
          <w:rFonts w:hint="eastAsia" w:ascii="仿宋" w:hAnsi="仿宋" w:eastAsia="仿宋" w:cs="仿宋"/>
          <w:color w:val="auto"/>
          <w:u w:val="dotted"/>
          <w:lang w:eastAsia="zh-CN"/>
        </w:rPr>
        <w:t xml:space="preserve">                                   </w:t>
      </w:r>
    </w:p>
    <w:p w14:paraId="13EFB9A4">
      <w:pPr>
        <w:adjustRightInd w:val="0"/>
        <w:snapToGrid w:val="0"/>
        <w:spacing w:line="540" w:lineRule="exact"/>
        <w:ind w:firstLine="480" w:firstLineChars="200"/>
        <w:outlineLvl w:val="0"/>
        <w:rPr>
          <w:rFonts w:ascii="仿宋" w:hAnsi="仿宋" w:eastAsia="仿宋" w:cs="仿宋"/>
          <w:bCs/>
          <w:color w:val="auto"/>
          <w:lang w:eastAsia="zh-CN"/>
        </w:rPr>
      </w:pPr>
      <w:bookmarkStart w:id="66" w:name="_Toc18271"/>
      <w:r>
        <w:rPr>
          <w:rFonts w:hint="eastAsia" w:ascii="仿宋" w:hAnsi="仿宋" w:eastAsia="仿宋" w:cs="仿宋"/>
          <w:bCs/>
          <w:color w:val="auto"/>
          <w:lang w:eastAsia="zh-CN"/>
        </w:rPr>
        <w:t>三、质疑事项具体内容</w:t>
      </w:r>
      <w:bookmarkEnd w:id="66"/>
    </w:p>
    <w:p w14:paraId="432B42E9">
      <w:pPr>
        <w:adjustRightInd w:val="0"/>
        <w:snapToGrid w:val="0"/>
        <w:spacing w:line="540" w:lineRule="exact"/>
        <w:ind w:firstLine="480" w:firstLineChars="200"/>
        <w:rPr>
          <w:rFonts w:ascii="仿宋" w:hAnsi="仿宋" w:eastAsia="仿宋" w:cs="仿宋"/>
          <w:color w:val="auto"/>
          <w:u w:val="dotted"/>
          <w:lang w:eastAsia="zh-CN"/>
        </w:rPr>
      </w:pPr>
      <w:r>
        <w:rPr>
          <w:rFonts w:hint="eastAsia" w:ascii="仿宋" w:hAnsi="仿宋" w:eastAsia="仿宋" w:cs="仿宋"/>
          <w:color w:val="auto"/>
          <w:lang w:eastAsia="zh-CN"/>
        </w:rPr>
        <w:t>质疑事项1：</w:t>
      </w:r>
      <w:r>
        <w:rPr>
          <w:rFonts w:hint="eastAsia" w:ascii="仿宋" w:hAnsi="仿宋" w:eastAsia="仿宋" w:cs="仿宋"/>
          <w:color w:val="auto"/>
          <w:u w:val="dotted"/>
          <w:lang w:eastAsia="zh-CN"/>
        </w:rPr>
        <w:t xml:space="preserve">                                         </w:t>
      </w:r>
    </w:p>
    <w:p w14:paraId="6960968C">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事实依据：</w:t>
      </w:r>
      <w:r>
        <w:rPr>
          <w:rFonts w:hint="eastAsia" w:ascii="仿宋" w:hAnsi="仿宋" w:eastAsia="仿宋" w:cs="仿宋"/>
          <w:color w:val="auto"/>
          <w:u w:val="dotted"/>
          <w:lang w:eastAsia="zh-CN"/>
        </w:rPr>
        <w:t xml:space="preserve">                                           </w:t>
      </w:r>
    </w:p>
    <w:p w14:paraId="612888CC">
      <w:pPr>
        <w:adjustRightInd w:val="0"/>
        <w:snapToGrid w:val="0"/>
        <w:spacing w:line="540" w:lineRule="exact"/>
        <w:ind w:firstLine="480" w:firstLineChars="200"/>
        <w:rPr>
          <w:rFonts w:ascii="仿宋" w:hAnsi="仿宋" w:eastAsia="仿宋" w:cs="仿宋"/>
          <w:color w:val="auto"/>
          <w:u w:val="dotted"/>
          <w:lang w:eastAsia="zh-CN"/>
        </w:rPr>
      </w:pPr>
      <w:r>
        <w:rPr>
          <w:rFonts w:hint="eastAsia" w:ascii="仿宋" w:hAnsi="仿宋" w:eastAsia="仿宋" w:cs="仿宋"/>
          <w:color w:val="auto"/>
          <w:lang w:eastAsia="zh-CN"/>
        </w:rPr>
        <w:t>法律依据：</w:t>
      </w:r>
      <w:r>
        <w:rPr>
          <w:rFonts w:hint="eastAsia" w:ascii="仿宋" w:hAnsi="仿宋" w:eastAsia="仿宋" w:cs="仿宋"/>
          <w:color w:val="auto"/>
          <w:u w:val="dotted"/>
          <w:lang w:eastAsia="zh-CN"/>
        </w:rPr>
        <w:t xml:space="preserve">                                           </w:t>
      </w:r>
    </w:p>
    <w:p w14:paraId="16D82A11">
      <w:pPr>
        <w:adjustRightInd w:val="0"/>
        <w:snapToGrid w:val="0"/>
        <w:spacing w:line="540" w:lineRule="exact"/>
        <w:ind w:firstLine="480" w:firstLineChars="200"/>
        <w:rPr>
          <w:rFonts w:ascii="仿宋" w:hAnsi="仿宋" w:eastAsia="仿宋" w:cs="仿宋"/>
          <w:color w:val="auto"/>
          <w:u w:val="dotted"/>
          <w:lang w:eastAsia="zh-CN"/>
        </w:rPr>
      </w:pPr>
      <w:r>
        <w:rPr>
          <w:rFonts w:hint="eastAsia" w:ascii="仿宋" w:hAnsi="仿宋" w:eastAsia="仿宋" w:cs="仿宋"/>
          <w:color w:val="auto"/>
          <w:lang w:eastAsia="zh-CN"/>
        </w:rPr>
        <w:t>质疑事项2</w:t>
      </w:r>
    </w:p>
    <w:p w14:paraId="69280EEA">
      <w:pPr>
        <w:adjustRightInd w:val="0"/>
        <w:snapToGrid w:val="0"/>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w:t>
      </w:r>
    </w:p>
    <w:p w14:paraId="130B99DF">
      <w:pPr>
        <w:adjustRightInd w:val="0"/>
        <w:snapToGrid w:val="0"/>
        <w:spacing w:line="540" w:lineRule="exact"/>
        <w:ind w:firstLine="480" w:firstLineChars="200"/>
        <w:outlineLvl w:val="0"/>
        <w:rPr>
          <w:rFonts w:ascii="仿宋" w:hAnsi="仿宋" w:eastAsia="仿宋" w:cs="仿宋"/>
          <w:bCs/>
          <w:color w:val="auto"/>
          <w:lang w:eastAsia="zh-CN"/>
        </w:rPr>
      </w:pPr>
      <w:bookmarkStart w:id="67" w:name="_Toc22365"/>
      <w:r>
        <w:rPr>
          <w:rFonts w:hint="eastAsia" w:ascii="仿宋" w:hAnsi="仿宋" w:eastAsia="仿宋" w:cs="仿宋"/>
          <w:bCs/>
          <w:color w:val="auto"/>
          <w:lang w:eastAsia="zh-CN"/>
        </w:rPr>
        <w:t>四、与质疑事项相关的质疑请求</w:t>
      </w:r>
      <w:bookmarkEnd w:id="67"/>
    </w:p>
    <w:p w14:paraId="4B0047A5">
      <w:pPr>
        <w:adjustRightInd w:val="0"/>
        <w:snapToGrid w:val="0"/>
        <w:spacing w:line="540" w:lineRule="exact"/>
        <w:ind w:firstLine="480" w:firstLineChars="200"/>
        <w:rPr>
          <w:rFonts w:ascii="仿宋" w:hAnsi="仿宋" w:eastAsia="仿宋" w:cs="仿宋"/>
          <w:color w:val="auto"/>
          <w:u w:val="dotted"/>
          <w:lang w:eastAsia="zh-CN"/>
        </w:rPr>
      </w:pPr>
      <w:r>
        <w:rPr>
          <w:rFonts w:hint="eastAsia" w:ascii="仿宋" w:hAnsi="仿宋" w:eastAsia="仿宋" w:cs="仿宋"/>
          <w:color w:val="auto"/>
          <w:lang w:eastAsia="zh-CN"/>
        </w:rPr>
        <w:t>请求：</w:t>
      </w:r>
      <w:r>
        <w:rPr>
          <w:rFonts w:hint="eastAsia" w:ascii="仿宋" w:hAnsi="仿宋" w:eastAsia="仿宋" w:cs="仿宋"/>
          <w:color w:val="auto"/>
          <w:u w:val="dotted"/>
          <w:lang w:eastAsia="zh-CN"/>
        </w:rPr>
        <w:t xml:space="preserve">                                               </w:t>
      </w:r>
    </w:p>
    <w:p w14:paraId="0FE668C0">
      <w:pPr>
        <w:spacing w:line="54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签章(签章)：                   公章：                      </w:t>
      </w:r>
    </w:p>
    <w:p w14:paraId="5D31D3FE">
      <w:pPr>
        <w:spacing w:line="540" w:lineRule="exact"/>
        <w:ind w:firstLine="480" w:firstLineChars="200"/>
        <w:rPr>
          <w:rFonts w:ascii="仿宋" w:hAnsi="仿宋" w:eastAsia="仿宋" w:cs="仿宋"/>
          <w:b/>
          <w:bCs/>
          <w:color w:val="auto"/>
          <w:lang w:eastAsia="zh-CN"/>
        </w:rPr>
      </w:pPr>
      <w:r>
        <w:rPr>
          <w:rFonts w:hint="eastAsia" w:ascii="仿宋" w:hAnsi="仿宋" w:eastAsia="仿宋" w:cs="仿宋"/>
          <w:color w:val="auto"/>
          <w:lang w:eastAsia="zh-CN"/>
        </w:rPr>
        <w:t xml:space="preserve">日期：    </w:t>
      </w:r>
    </w:p>
    <w:p w14:paraId="0214BC4B">
      <w:pPr>
        <w:spacing w:line="540" w:lineRule="exact"/>
        <w:ind w:firstLine="420" w:firstLineChars="200"/>
        <w:rPr>
          <w:rFonts w:ascii="仿宋" w:hAnsi="仿宋" w:eastAsia="仿宋" w:cs="仿宋"/>
          <w:b/>
          <w:bCs/>
          <w:color w:val="auto"/>
          <w:sz w:val="21"/>
          <w:szCs w:val="21"/>
          <w:lang w:eastAsia="zh-CN"/>
        </w:rPr>
      </w:pPr>
    </w:p>
    <w:p w14:paraId="53B49610">
      <w:pPr>
        <w:pageBreakBefore/>
        <w:spacing w:line="440" w:lineRule="exact"/>
        <w:jc w:val="center"/>
        <w:outlineLvl w:val="0"/>
        <w:rPr>
          <w:rFonts w:ascii="仿宋" w:hAnsi="仿宋" w:eastAsia="仿宋" w:cs="仿宋"/>
          <w:b/>
          <w:bCs/>
          <w:color w:val="auto"/>
          <w:sz w:val="30"/>
          <w:szCs w:val="30"/>
          <w:lang w:eastAsia="zh-CN"/>
        </w:rPr>
      </w:pPr>
      <w:bookmarkStart w:id="68" w:name="_Toc469495731"/>
      <w:r>
        <w:rPr>
          <w:rFonts w:hint="eastAsia" w:ascii="仿宋" w:hAnsi="仿宋" w:eastAsia="仿宋" w:cs="仿宋"/>
          <w:b/>
          <w:bCs/>
          <w:color w:val="auto"/>
          <w:sz w:val="30"/>
          <w:szCs w:val="30"/>
          <w:lang w:eastAsia="zh-CN"/>
        </w:rPr>
        <w:t>第三部分  评标办法</w:t>
      </w:r>
      <w:bookmarkEnd w:id="68"/>
    </w:p>
    <w:p w14:paraId="35F0F216">
      <w:pPr>
        <w:jc w:val="center"/>
        <w:outlineLvl w:val="1"/>
        <w:rPr>
          <w:rFonts w:ascii="仿宋" w:hAnsi="仿宋" w:eastAsia="仿宋" w:cs="仿宋"/>
          <w:b/>
          <w:color w:val="auto"/>
          <w:sz w:val="28"/>
          <w:szCs w:val="28"/>
          <w:lang w:eastAsia="zh-CN"/>
        </w:rPr>
      </w:pPr>
      <w:bookmarkStart w:id="69" w:name="_Toc469495733"/>
      <w:bookmarkStart w:id="70" w:name="_Toc362983802"/>
      <w:bookmarkStart w:id="71" w:name="_Toc267320058"/>
      <w:bookmarkStart w:id="72" w:name="_Toc363135205"/>
      <w:r>
        <w:rPr>
          <w:rFonts w:hint="eastAsia" w:ascii="仿宋" w:hAnsi="仿宋" w:eastAsia="仿宋" w:cs="仿宋"/>
          <w:b/>
          <w:color w:val="auto"/>
          <w:sz w:val="28"/>
          <w:szCs w:val="28"/>
          <w:lang w:eastAsia="zh-CN"/>
        </w:rPr>
        <w:t>一  总  则</w:t>
      </w:r>
    </w:p>
    <w:p w14:paraId="2C81584E">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1、一般规定</w:t>
      </w:r>
    </w:p>
    <w:p w14:paraId="2BC0C837">
      <w:pPr>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1.1本项目的招标按照《中华人民共和国政府采购法》、《政府采购货物和服务招标投标管理办法》及政府采购的有关规定进行。</w:t>
      </w:r>
    </w:p>
    <w:p w14:paraId="22FEA02A">
      <w:pPr>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1.2评标必须遵循邀请、公平、公正、诚实信用的原则。</w:t>
      </w:r>
    </w:p>
    <w:p w14:paraId="61D8EBD1">
      <w:pPr>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1.3招标代理机构组织招标、开标、评标工作，全过程接受政府采购有关部门的监督、管理和指导。</w:t>
      </w:r>
    </w:p>
    <w:p w14:paraId="578BB30D">
      <w:pPr>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1.4评标按照招标文件规定的内容进行，采取符合招标文件要求的最低评标价法；</w:t>
      </w:r>
    </w:p>
    <w:p w14:paraId="047DBA13">
      <w:pPr>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1.5本办法的评标对象是指供应商按照招标文件要求提供的有效投标文件，包括供应商应评标委员会要求对原投标文件作出的正式书面澄清文件。</w:t>
      </w:r>
    </w:p>
    <w:p w14:paraId="5EF6765C">
      <w:pPr>
        <w:tabs>
          <w:tab w:val="left" w:pos="567"/>
          <w:tab w:val="left" w:pos="1145"/>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2、评标组织机构的组成</w:t>
      </w:r>
    </w:p>
    <w:p w14:paraId="14CB7288">
      <w:pPr>
        <w:widowControl/>
        <w:spacing w:line="440" w:lineRule="exact"/>
        <w:ind w:firstLine="480"/>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2.1</w:t>
      </w:r>
      <w:r>
        <w:rPr>
          <w:rFonts w:hint="eastAsia" w:ascii="仿宋" w:hAnsi="仿宋" w:eastAsia="仿宋" w:cs="仿宋"/>
          <w:color w:val="auto"/>
          <w:spacing w:val="-2"/>
          <w:lang w:eastAsia="zh-CN"/>
        </w:rPr>
        <w:t xml:space="preserve"> </w:t>
      </w:r>
      <w:r>
        <w:rPr>
          <w:rFonts w:hint="eastAsia" w:ascii="仿宋" w:hAnsi="仿宋" w:eastAsia="仿宋" w:cs="仿宋"/>
          <w:b/>
          <w:bCs/>
          <w:color w:val="auto"/>
          <w:spacing w:val="-2"/>
          <w:lang w:eastAsia="zh-CN"/>
        </w:rPr>
        <w:t>评标委员会由有关技术、经济等方面的专家组成，成员人数为</w:t>
      </w:r>
      <w:r>
        <w:rPr>
          <w:rFonts w:hint="eastAsia" w:ascii="仿宋" w:hAnsi="仿宋" w:eastAsia="仿宋" w:cs="仿宋"/>
          <w:b/>
          <w:bCs/>
          <w:color w:val="auto"/>
          <w:spacing w:val="-2"/>
          <w:lang w:val="en-US" w:eastAsia="zh-CN"/>
        </w:rPr>
        <w:t>7</w:t>
      </w:r>
      <w:r>
        <w:rPr>
          <w:rFonts w:hint="eastAsia" w:ascii="仿宋" w:hAnsi="仿宋" w:eastAsia="仿宋" w:cs="仿宋"/>
          <w:b/>
          <w:bCs/>
          <w:color w:val="auto"/>
          <w:spacing w:val="-2"/>
          <w:lang w:eastAsia="zh-CN"/>
        </w:rPr>
        <w:t>人。</w:t>
      </w:r>
      <w:r>
        <w:rPr>
          <w:rFonts w:hint="eastAsia" w:ascii="仿宋" w:hAnsi="仿宋" w:eastAsia="仿宋" w:cs="仿宋"/>
          <w:color w:val="auto"/>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288B3D28">
      <w:pPr>
        <w:tabs>
          <w:tab w:val="left" w:pos="567"/>
          <w:tab w:val="left" w:pos="1145"/>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2.2评标工作组由有关专家组成，由评标委员会确认，并接受其领导。</w:t>
      </w:r>
    </w:p>
    <w:p w14:paraId="5488C916">
      <w:pPr>
        <w:tabs>
          <w:tab w:val="left" w:pos="567"/>
          <w:tab w:val="left" w:pos="1145"/>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2.3评标委员会应相对独立工作，负责评标、撰写技术、商务评标报告。采购代理机构负责评标过程中资料的保管、发放、回收，整理、汇总评标资料。</w:t>
      </w:r>
    </w:p>
    <w:p w14:paraId="2AD2DC0D">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3、评标委员会职责</w:t>
      </w:r>
    </w:p>
    <w:p w14:paraId="459DF35A">
      <w:pPr>
        <w:pStyle w:val="46"/>
        <w:spacing w:before="0" w:beforeAutospacing="0" w:after="0" w:afterAutospacing="0" w:line="440" w:lineRule="exact"/>
        <w:ind w:firstLine="612" w:firstLineChars="255"/>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3.1审查投标文件是否符合招标文件要求，并作出评价；</w:t>
      </w:r>
    </w:p>
    <w:p w14:paraId="76044B49">
      <w:pPr>
        <w:pStyle w:val="46"/>
        <w:spacing w:before="0" w:beforeAutospacing="0" w:after="0" w:afterAutospacing="0" w:line="440" w:lineRule="exact"/>
        <w:ind w:firstLine="612" w:firstLineChars="255"/>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3.2要求供应商对投标文件有关事项作出解释或者澄清；</w:t>
      </w:r>
    </w:p>
    <w:p w14:paraId="08B78AF6">
      <w:pPr>
        <w:pStyle w:val="46"/>
        <w:spacing w:before="0" w:beforeAutospacing="0" w:after="0" w:afterAutospacing="0" w:line="440" w:lineRule="exact"/>
        <w:ind w:firstLine="612" w:firstLineChars="255"/>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3.3推荐中标候选人名单；</w:t>
      </w:r>
    </w:p>
    <w:p w14:paraId="5C62E4A1">
      <w:pPr>
        <w:pStyle w:val="46"/>
        <w:spacing w:before="0" w:beforeAutospacing="0" w:after="0" w:afterAutospacing="0" w:line="440" w:lineRule="exact"/>
        <w:ind w:firstLine="612" w:firstLineChars="255"/>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3.4向招标人、招标代理机构或者有关部门报告非法干预评标工作的行为。</w:t>
      </w:r>
    </w:p>
    <w:p w14:paraId="6F2C37C8">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4、评标委员会义务</w:t>
      </w:r>
    </w:p>
    <w:p w14:paraId="40B95427">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4.1遵纪守法，客观、公正、廉洁地履行职责；</w:t>
      </w:r>
    </w:p>
    <w:p w14:paraId="34CD66EE">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4.2按照招标文件规定的评标方法和评标标准进行评标，对评审意见承担个人责任；</w:t>
      </w:r>
    </w:p>
    <w:p w14:paraId="01C0F767">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4.3对评标过程和结果，以及供应商的商业秘密保密；</w:t>
      </w:r>
    </w:p>
    <w:p w14:paraId="72F7B528">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4.4参与评标报告的起草；</w:t>
      </w:r>
    </w:p>
    <w:p w14:paraId="6DF2A36A">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4.5配合有关部门的投诉处理工作；</w:t>
      </w:r>
    </w:p>
    <w:p w14:paraId="51BD1856">
      <w:pPr>
        <w:tabs>
          <w:tab w:val="left" w:pos="567"/>
          <w:tab w:val="left" w:pos="600"/>
        </w:tabs>
        <w:spacing w:line="440" w:lineRule="exact"/>
        <w:ind w:firstLine="612" w:firstLineChars="255"/>
        <w:rPr>
          <w:rFonts w:hint="eastAsia" w:ascii="仿宋" w:hAnsi="仿宋" w:eastAsia="仿宋" w:cs="仿宋"/>
          <w:color w:val="auto"/>
          <w:szCs w:val="21"/>
          <w:lang w:eastAsia="zh-CN"/>
        </w:rPr>
        <w:sectPr>
          <w:headerReference r:id="rId6" w:type="default"/>
          <w:footerReference r:id="rId7"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7722CED7">
      <w:pPr>
        <w:tabs>
          <w:tab w:val="left" w:pos="567"/>
          <w:tab w:val="left" w:pos="600"/>
        </w:tabs>
        <w:spacing w:line="440" w:lineRule="exact"/>
        <w:ind w:firstLine="612" w:firstLineChars="255"/>
        <w:rPr>
          <w:rFonts w:ascii="仿宋" w:hAnsi="仿宋" w:eastAsia="仿宋" w:cs="仿宋"/>
          <w:color w:val="auto"/>
          <w:szCs w:val="21"/>
          <w:lang w:eastAsia="zh-CN"/>
        </w:rPr>
      </w:pPr>
      <w:r>
        <w:rPr>
          <w:rFonts w:hint="eastAsia" w:ascii="仿宋" w:hAnsi="仿宋" w:eastAsia="仿宋" w:cs="仿宋"/>
          <w:color w:val="auto"/>
          <w:szCs w:val="21"/>
          <w:lang w:eastAsia="zh-CN"/>
        </w:rPr>
        <w:t>4.6配合招标人、招标代理机构答复投标供应商提出的质疑。</w:t>
      </w:r>
    </w:p>
    <w:p w14:paraId="7E4BB6A2">
      <w:pPr>
        <w:tabs>
          <w:tab w:val="left" w:pos="1547"/>
        </w:tabs>
        <w:spacing w:line="440" w:lineRule="exact"/>
        <w:ind w:firstLine="612" w:firstLineChars="255"/>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 评标程序</w:t>
      </w:r>
    </w:p>
    <w:p w14:paraId="4AADB65D">
      <w:pPr>
        <w:pStyle w:val="19"/>
        <w:tabs>
          <w:tab w:val="left" w:pos="720"/>
          <w:tab w:val="clear" w:pos="0"/>
        </w:tabs>
        <w:spacing w:line="440" w:lineRule="exact"/>
        <w:ind w:firstLine="612" w:firstLineChars="255"/>
        <w:rPr>
          <w:rFonts w:ascii="仿宋" w:hAnsi="仿宋" w:eastAsia="仿宋" w:cs="仿宋"/>
          <w:bCs/>
          <w:color w:val="auto"/>
          <w:szCs w:val="21"/>
          <w:lang w:eastAsia="zh-CN" w:bidi="ar-SA"/>
        </w:rPr>
      </w:pPr>
      <w:r>
        <w:rPr>
          <w:rFonts w:hint="eastAsia" w:ascii="仿宋" w:hAnsi="仿宋" w:eastAsia="仿宋" w:cs="仿宋"/>
          <w:bCs/>
          <w:color w:val="auto"/>
          <w:szCs w:val="21"/>
          <w:lang w:eastAsia="zh-CN" w:bidi="ar-SA"/>
        </w:rPr>
        <w:t>5.1本次评标首先由评标委员会对供应商的投标文件进行初审，对未能通过初审的投标文件作无效标处理；</w:t>
      </w:r>
    </w:p>
    <w:p w14:paraId="3A0D9A61">
      <w:pPr>
        <w:tabs>
          <w:tab w:val="left" w:pos="720"/>
        </w:tabs>
        <w:spacing w:line="440" w:lineRule="exact"/>
        <w:ind w:firstLine="612" w:firstLineChars="255"/>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5.2对通过初审的供应商的投标文件进行详细的比较和评价。如需要，进行必要的澄清工作；</w:t>
      </w:r>
    </w:p>
    <w:p w14:paraId="67F51F12">
      <w:pPr>
        <w:widowControl/>
        <w:spacing w:line="360" w:lineRule="exact"/>
        <w:ind w:firstLine="482"/>
        <w:rPr>
          <w:rFonts w:ascii="仿宋" w:hAnsi="仿宋" w:eastAsia="仿宋" w:cs="仿宋"/>
          <w:b/>
          <w:bCs/>
          <w:color w:val="auto"/>
          <w:sz w:val="36"/>
          <w:szCs w:val="36"/>
          <w:lang w:eastAsia="zh-CN" w:bidi="ar-SA"/>
        </w:rPr>
      </w:pPr>
      <w:r>
        <w:rPr>
          <w:rFonts w:hint="eastAsia" w:ascii="仿宋" w:hAnsi="仿宋" w:eastAsia="仿宋" w:cs="仿宋"/>
          <w:color w:val="auto"/>
          <w:szCs w:val="21"/>
          <w:lang w:eastAsia="zh-CN" w:bidi="ar-SA"/>
        </w:rPr>
        <w:t>5.3</w:t>
      </w:r>
      <w:r>
        <w:rPr>
          <w:rFonts w:hint="eastAsia" w:ascii="仿宋" w:hAnsi="仿宋" w:eastAsia="仿宋" w:cs="仿宋"/>
          <w:color w:val="auto"/>
          <w:szCs w:val="21"/>
          <w:highlight w:val="none"/>
          <w:lang w:bidi="ar-SA"/>
        </w:rPr>
        <w:t>依据评分标准以及各项权值，各位评委单独就每个投标人的</w:t>
      </w:r>
      <w:r>
        <w:rPr>
          <w:rFonts w:hint="eastAsia" w:ascii="仿宋" w:hAnsi="仿宋" w:eastAsia="仿宋" w:cs="仿宋"/>
          <w:color w:val="auto"/>
          <w:kern w:val="0"/>
          <w:szCs w:val="21"/>
          <w:highlight w:val="none"/>
          <w:lang w:bidi="ar-SA"/>
        </w:rPr>
        <w:t>投标文件进行价格、技术、</w:t>
      </w:r>
      <w:r>
        <w:rPr>
          <w:rFonts w:hint="eastAsia" w:ascii="仿宋" w:hAnsi="仿宋" w:eastAsia="仿宋" w:cs="仿宋"/>
          <w:color w:val="auto"/>
          <w:kern w:val="0"/>
          <w:szCs w:val="21"/>
          <w:highlight w:val="none"/>
          <w:lang w:bidi="ar-SA"/>
        </w:rPr>
        <w:fldChar w:fldCharType="begin"/>
      </w:r>
      <w:r>
        <w:rPr>
          <w:rFonts w:hint="eastAsia" w:ascii="仿宋" w:hAnsi="仿宋" w:eastAsia="仿宋" w:cs="仿宋"/>
          <w:color w:val="auto"/>
          <w:kern w:val="0"/>
          <w:szCs w:val="21"/>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auto"/>
          <w:kern w:val="0"/>
          <w:szCs w:val="21"/>
          <w:highlight w:val="none"/>
          <w:lang w:bidi="ar-SA"/>
        </w:rPr>
        <w:fldChar w:fldCharType="separate"/>
      </w:r>
      <w:r>
        <w:rPr>
          <w:rFonts w:hint="eastAsia" w:ascii="仿宋" w:hAnsi="仿宋" w:eastAsia="仿宋" w:cs="仿宋"/>
          <w:color w:val="auto"/>
          <w:kern w:val="0"/>
          <w:szCs w:val="21"/>
          <w:highlight w:val="none"/>
          <w:lang w:bidi="ar-SA"/>
        </w:rPr>
        <w:t>财务状况</w:t>
      </w:r>
      <w:r>
        <w:rPr>
          <w:rFonts w:hint="eastAsia" w:ascii="仿宋" w:hAnsi="仿宋" w:eastAsia="仿宋" w:cs="仿宋"/>
          <w:color w:val="auto"/>
          <w:kern w:val="0"/>
          <w:szCs w:val="21"/>
          <w:highlight w:val="none"/>
          <w:lang w:bidi="ar-SA"/>
        </w:rPr>
        <w:fldChar w:fldCharType="end"/>
      </w:r>
      <w:r>
        <w:rPr>
          <w:rFonts w:hint="eastAsia" w:ascii="仿宋" w:hAnsi="仿宋" w:eastAsia="仿宋" w:cs="仿宋"/>
          <w:color w:val="auto"/>
          <w:kern w:val="0"/>
          <w:szCs w:val="21"/>
          <w:highlight w:val="none"/>
          <w:lang w:bidi="ar-SA"/>
        </w:rPr>
        <w:t>、信誉、业绩、服务、对招标文件的响应程度，以及相应的比重或者权值等各项因素进行综合评审后，按最终综合得分由高向低排序，由评标委员会推荐综合得分最高的投标人为第一中标候选人</w:t>
      </w:r>
      <w:r>
        <w:rPr>
          <w:rFonts w:hint="eastAsia" w:ascii="仿宋" w:hAnsi="仿宋" w:eastAsia="仿宋" w:cs="仿宋"/>
          <w:color w:val="auto"/>
          <w:kern w:val="0"/>
          <w:szCs w:val="21"/>
          <w:highlight w:val="none"/>
          <w:lang w:eastAsia="zh-CN" w:bidi="ar-SA"/>
        </w:rPr>
        <w:t>。</w:t>
      </w:r>
    </w:p>
    <w:p w14:paraId="18822D8B">
      <w:pPr>
        <w:jc w:val="center"/>
        <w:outlineLvl w:val="1"/>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  投标文件初审</w:t>
      </w:r>
      <w:bookmarkEnd w:id="69"/>
      <w:bookmarkEnd w:id="70"/>
    </w:p>
    <w:p w14:paraId="1F90523D">
      <w:pPr>
        <w:spacing w:line="400" w:lineRule="exact"/>
        <w:ind w:firstLine="352" w:firstLineChars="147"/>
        <w:rPr>
          <w:rFonts w:hint="default" w:ascii="仿宋" w:hAnsi="仿宋" w:eastAsia="仿宋" w:cs="仿宋"/>
          <w:b/>
          <w:color w:val="auto"/>
          <w:szCs w:val="21"/>
          <w:lang w:val="en-US" w:eastAsia="zh-CN"/>
        </w:rPr>
      </w:pPr>
      <w:r>
        <w:rPr>
          <w:rFonts w:hint="eastAsia" w:ascii="仿宋" w:hAnsi="仿宋" w:eastAsia="仿宋" w:cs="仿宋"/>
          <w:b/>
          <w:color w:val="auto"/>
          <w:szCs w:val="21"/>
          <w:lang w:eastAsia="zh-CN"/>
        </w:rPr>
        <w:t>6.资格性审查:</w:t>
      </w:r>
    </w:p>
    <w:p w14:paraId="535B3B4E">
      <w:pPr>
        <w:spacing w:line="400" w:lineRule="exact"/>
        <w:ind w:firstLine="352" w:firstLineChars="147"/>
        <w:rPr>
          <w:rFonts w:ascii="仿宋" w:hAnsi="仿宋" w:eastAsia="仿宋" w:cs="仿宋"/>
          <w:color w:val="auto"/>
          <w:szCs w:val="21"/>
        </w:rPr>
      </w:pPr>
      <w:r>
        <w:rPr>
          <w:rFonts w:hint="eastAsia" w:ascii="仿宋" w:hAnsi="仿宋" w:eastAsia="仿宋" w:cs="仿宋"/>
          <w:color w:val="auto"/>
          <w:szCs w:val="21"/>
          <w:lang w:eastAsia="zh-CN"/>
        </w:rPr>
        <w:t>6</w:t>
      </w:r>
      <w:r>
        <w:rPr>
          <w:rFonts w:hint="eastAsia" w:ascii="仿宋" w:hAnsi="仿宋" w:eastAsia="仿宋" w:cs="仿宋"/>
          <w:color w:val="auto"/>
          <w:szCs w:val="21"/>
        </w:rPr>
        <w:t>.1评审细则</w:t>
      </w:r>
    </w:p>
    <w:tbl>
      <w:tblPr>
        <w:tblStyle w:val="25"/>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64"/>
        <w:gridCol w:w="7314"/>
        <w:gridCol w:w="580"/>
        <w:gridCol w:w="634"/>
      </w:tblGrid>
      <w:tr w14:paraId="76BB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8" w:type="dxa"/>
            <w:vMerge w:val="restart"/>
            <w:noWrap w:val="0"/>
            <w:vAlign w:val="center"/>
          </w:tcPr>
          <w:p w14:paraId="30C3C28B">
            <w:pPr>
              <w:shd w:val="clear" w:color="auto" w:fill="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7878" w:type="dxa"/>
            <w:gridSpan w:val="2"/>
            <w:vMerge w:val="restart"/>
            <w:noWrap w:val="0"/>
            <w:vAlign w:val="center"/>
          </w:tcPr>
          <w:p w14:paraId="0F658DEC">
            <w:pPr>
              <w:shd w:val="clear" w:color="auto" w:fill="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214" w:type="dxa"/>
            <w:gridSpan w:val="2"/>
            <w:noWrap w:val="0"/>
            <w:vAlign w:val="center"/>
          </w:tcPr>
          <w:p w14:paraId="09B84DD3">
            <w:pPr>
              <w:shd w:val="clear" w:color="auto" w:fill="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788A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8" w:type="dxa"/>
            <w:vMerge w:val="continue"/>
            <w:noWrap w:val="0"/>
            <w:vAlign w:val="center"/>
          </w:tcPr>
          <w:p w14:paraId="74BBED4D">
            <w:pPr>
              <w:shd w:val="clear" w:color="auto" w:fill="auto"/>
              <w:rPr>
                <w:rFonts w:hint="eastAsia" w:ascii="仿宋" w:hAnsi="仿宋" w:eastAsia="仿宋" w:cs="仿宋"/>
                <w:color w:val="auto"/>
                <w:sz w:val="18"/>
                <w:szCs w:val="21"/>
                <w:highlight w:val="none"/>
              </w:rPr>
            </w:pPr>
          </w:p>
        </w:tc>
        <w:tc>
          <w:tcPr>
            <w:tcW w:w="7878" w:type="dxa"/>
            <w:gridSpan w:val="2"/>
            <w:vMerge w:val="continue"/>
            <w:noWrap w:val="0"/>
            <w:vAlign w:val="top"/>
          </w:tcPr>
          <w:p w14:paraId="3357D7AE">
            <w:pPr>
              <w:shd w:val="clear" w:color="auto" w:fill="auto"/>
              <w:rPr>
                <w:rFonts w:hint="eastAsia" w:ascii="仿宋" w:hAnsi="仿宋" w:eastAsia="仿宋" w:cs="仿宋"/>
                <w:color w:val="auto"/>
                <w:sz w:val="18"/>
                <w:szCs w:val="21"/>
                <w:highlight w:val="none"/>
              </w:rPr>
            </w:pPr>
          </w:p>
        </w:tc>
        <w:tc>
          <w:tcPr>
            <w:tcW w:w="580" w:type="dxa"/>
            <w:noWrap w:val="0"/>
            <w:vAlign w:val="center"/>
          </w:tcPr>
          <w:p w14:paraId="4DB2926E">
            <w:pPr>
              <w:shd w:val="clear" w:color="auto" w:fill="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634" w:type="dxa"/>
            <w:noWrap w:val="0"/>
            <w:vAlign w:val="center"/>
          </w:tcPr>
          <w:p w14:paraId="614AA3E3">
            <w:pPr>
              <w:shd w:val="clear" w:color="auto" w:fill="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0DA0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8" w:type="dxa"/>
            <w:vMerge w:val="restart"/>
            <w:noWrap w:val="0"/>
            <w:vAlign w:val="center"/>
          </w:tcPr>
          <w:p w14:paraId="1004FA4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55F92DD8">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p w14:paraId="47FC8BD3">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w:t>
            </w:r>
          </w:p>
          <w:p w14:paraId="688FB5C3">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准</w:t>
            </w:r>
          </w:p>
          <w:p w14:paraId="042CCA86">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w:t>
            </w:r>
          </w:p>
          <w:p w14:paraId="3DFDC933">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w:t>
            </w:r>
          </w:p>
          <w:p w14:paraId="253A0F03">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于</w:t>
            </w:r>
          </w:p>
          <w:p w14:paraId="2DEF3B42">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w:t>
            </w:r>
          </w:p>
          <w:p w14:paraId="1E309C1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格</w:t>
            </w:r>
          </w:p>
          <w:p w14:paraId="0FED917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后</w:t>
            </w:r>
          </w:p>
          <w:p w14:paraId="102ADB73">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tc>
        <w:tc>
          <w:tcPr>
            <w:tcW w:w="564" w:type="dxa"/>
            <w:noWrap w:val="0"/>
            <w:vAlign w:val="center"/>
          </w:tcPr>
          <w:p w14:paraId="14FC0BE6">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314" w:type="dxa"/>
            <w:noWrap w:val="0"/>
            <w:vAlign w:val="center"/>
          </w:tcPr>
          <w:p w14:paraId="556F5922">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具有有效的三证合一营业执照；</w:t>
            </w:r>
          </w:p>
        </w:tc>
        <w:tc>
          <w:tcPr>
            <w:tcW w:w="580" w:type="dxa"/>
            <w:noWrap w:val="0"/>
            <w:vAlign w:val="top"/>
          </w:tcPr>
          <w:p w14:paraId="72555B8F">
            <w:pPr>
              <w:shd w:val="clear" w:color="auto" w:fill="auto"/>
              <w:rPr>
                <w:rFonts w:hint="eastAsia" w:ascii="仿宋" w:hAnsi="仿宋" w:eastAsia="仿宋" w:cs="仿宋"/>
                <w:color w:val="auto"/>
                <w:szCs w:val="21"/>
                <w:highlight w:val="none"/>
              </w:rPr>
            </w:pPr>
          </w:p>
        </w:tc>
        <w:tc>
          <w:tcPr>
            <w:tcW w:w="634" w:type="dxa"/>
            <w:noWrap w:val="0"/>
            <w:vAlign w:val="top"/>
          </w:tcPr>
          <w:p w14:paraId="50B631C9">
            <w:pPr>
              <w:shd w:val="clear" w:color="auto" w:fill="auto"/>
              <w:rPr>
                <w:rFonts w:hint="eastAsia" w:ascii="仿宋" w:hAnsi="仿宋" w:eastAsia="仿宋" w:cs="仿宋"/>
                <w:color w:val="auto"/>
                <w:szCs w:val="21"/>
                <w:highlight w:val="none"/>
              </w:rPr>
            </w:pPr>
          </w:p>
        </w:tc>
      </w:tr>
      <w:tr w14:paraId="008D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8" w:type="dxa"/>
            <w:vMerge w:val="continue"/>
            <w:noWrap w:val="0"/>
            <w:vAlign w:val="center"/>
          </w:tcPr>
          <w:p w14:paraId="00ED1E42">
            <w:pPr>
              <w:shd w:val="clear" w:color="auto" w:fill="auto"/>
              <w:rPr>
                <w:rFonts w:hint="eastAsia" w:ascii="仿宋" w:hAnsi="仿宋" w:eastAsia="仿宋" w:cs="仿宋"/>
                <w:color w:val="auto"/>
                <w:highlight w:val="none"/>
              </w:rPr>
            </w:pPr>
          </w:p>
        </w:tc>
        <w:tc>
          <w:tcPr>
            <w:tcW w:w="564" w:type="dxa"/>
            <w:noWrap w:val="0"/>
            <w:vAlign w:val="center"/>
          </w:tcPr>
          <w:p w14:paraId="354DC18E">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7314" w:type="dxa"/>
            <w:noWrap w:val="0"/>
            <w:vAlign w:val="center"/>
          </w:tcPr>
          <w:p w14:paraId="21083113">
            <w:pPr>
              <w:widowControl/>
              <w:shd w:val="clear" w:color="auto" w:fill="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具有法人授权委托书及被委托人身份证（法人提供法人证明书及法人身份证）；</w:t>
            </w:r>
          </w:p>
        </w:tc>
        <w:tc>
          <w:tcPr>
            <w:tcW w:w="580" w:type="dxa"/>
            <w:noWrap w:val="0"/>
            <w:vAlign w:val="top"/>
          </w:tcPr>
          <w:p w14:paraId="4C1E708F">
            <w:pPr>
              <w:shd w:val="clear" w:color="auto" w:fill="auto"/>
              <w:rPr>
                <w:rFonts w:hint="eastAsia" w:ascii="仿宋" w:hAnsi="仿宋" w:eastAsia="仿宋" w:cs="仿宋"/>
                <w:color w:val="auto"/>
                <w:szCs w:val="21"/>
                <w:highlight w:val="none"/>
              </w:rPr>
            </w:pPr>
          </w:p>
        </w:tc>
        <w:tc>
          <w:tcPr>
            <w:tcW w:w="634" w:type="dxa"/>
            <w:noWrap w:val="0"/>
            <w:vAlign w:val="top"/>
          </w:tcPr>
          <w:p w14:paraId="5E7412B3">
            <w:pPr>
              <w:shd w:val="clear" w:color="auto" w:fill="auto"/>
              <w:rPr>
                <w:rFonts w:hint="eastAsia" w:ascii="仿宋" w:hAnsi="仿宋" w:eastAsia="仿宋" w:cs="仿宋"/>
                <w:color w:val="auto"/>
                <w:szCs w:val="21"/>
                <w:highlight w:val="none"/>
              </w:rPr>
            </w:pPr>
          </w:p>
        </w:tc>
      </w:tr>
      <w:tr w14:paraId="4E68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8" w:type="dxa"/>
            <w:vMerge w:val="continue"/>
            <w:noWrap w:val="0"/>
            <w:vAlign w:val="center"/>
          </w:tcPr>
          <w:p w14:paraId="058D39E3">
            <w:pPr>
              <w:shd w:val="clear" w:color="auto" w:fill="auto"/>
              <w:rPr>
                <w:rFonts w:hint="eastAsia" w:ascii="仿宋" w:hAnsi="仿宋" w:eastAsia="仿宋" w:cs="仿宋"/>
                <w:color w:val="auto"/>
                <w:highlight w:val="none"/>
              </w:rPr>
            </w:pPr>
          </w:p>
        </w:tc>
        <w:tc>
          <w:tcPr>
            <w:tcW w:w="564" w:type="dxa"/>
            <w:noWrap w:val="0"/>
            <w:vAlign w:val="center"/>
          </w:tcPr>
          <w:p w14:paraId="04B07616">
            <w:pPr>
              <w:shd w:val="clear" w:color="auto" w:fill="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7314" w:type="dxa"/>
            <w:noWrap w:val="0"/>
            <w:vAlign w:val="center"/>
          </w:tcPr>
          <w:p w14:paraId="2479DAAC">
            <w:pPr>
              <w:widowControl/>
              <w:shd w:val="clear" w:color="auto" w:fill="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投标企业须提供投标人（被授权人）近6个月内任意一个月的社保证明；</w:t>
            </w:r>
          </w:p>
        </w:tc>
        <w:tc>
          <w:tcPr>
            <w:tcW w:w="580" w:type="dxa"/>
            <w:noWrap w:val="0"/>
            <w:vAlign w:val="top"/>
          </w:tcPr>
          <w:p w14:paraId="57FB68C5">
            <w:pPr>
              <w:shd w:val="clear" w:color="auto" w:fill="auto"/>
              <w:rPr>
                <w:rFonts w:hint="eastAsia" w:ascii="仿宋" w:hAnsi="仿宋" w:eastAsia="仿宋" w:cs="仿宋"/>
                <w:color w:val="auto"/>
                <w:szCs w:val="21"/>
                <w:highlight w:val="none"/>
              </w:rPr>
            </w:pPr>
          </w:p>
        </w:tc>
        <w:tc>
          <w:tcPr>
            <w:tcW w:w="634" w:type="dxa"/>
            <w:noWrap w:val="0"/>
            <w:vAlign w:val="top"/>
          </w:tcPr>
          <w:p w14:paraId="1BB62D9E">
            <w:pPr>
              <w:shd w:val="clear" w:color="auto" w:fill="auto"/>
              <w:rPr>
                <w:rFonts w:hint="eastAsia" w:ascii="仿宋" w:hAnsi="仿宋" w:eastAsia="仿宋" w:cs="仿宋"/>
                <w:color w:val="auto"/>
                <w:szCs w:val="21"/>
                <w:highlight w:val="none"/>
              </w:rPr>
            </w:pPr>
          </w:p>
        </w:tc>
      </w:tr>
      <w:tr w14:paraId="5F1B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908" w:type="dxa"/>
            <w:vMerge w:val="continue"/>
            <w:noWrap w:val="0"/>
            <w:vAlign w:val="center"/>
          </w:tcPr>
          <w:p w14:paraId="5E77F95F">
            <w:pPr>
              <w:shd w:val="clear" w:color="auto" w:fill="auto"/>
              <w:rPr>
                <w:rFonts w:hint="eastAsia" w:ascii="仿宋" w:hAnsi="仿宋" w:eastAsia="仿宋" w:cs="仿宋"/>
                <w:color w:val="auto"/>
                <w:highlight w:val="none"/>
              </w:rPr>
            </w:pPr>
          </w:p>
        </w:tc>
        <w:tc>
          <w:tcPr>
            <w:tcW w:w="564" w:type="dxa"/>
            <w:noWrap w:val="0"/>
            <w:vAlign w:val="center"/>
          </w:tcPr>
          <w:p w14:paraId="3CFED1F7">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7314" w:type="dxa"/>
            <w:noWrap w:val="0"/>
            <w:vAlign w:val="center"/>
          </w:tcPr>
          <w:p w14:paraId="2C17DCB6">
            <w:pPr>
              <w:widowControl/>
              <w:shd w:val="clear" w:color="auto" w:fill="auto"/>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val="en-US" w:eastAsia="zh-CN" w:bidi="ar"/>
              </w:rPr>
              <w:t>投标企业需提供参加本次采购活动前三年内未被“信用中国”（www.creditchina.gov.cn）、中国政府采购网（www.ccgp.gov.cn）列入失信被执行人、重大税收违法案件当事人名单、政府采购严重违法失信行为记录名单；</w:t>
            </w:r>
          </w:p>
        </w:tc>
        <w:tc>
          <w:tcPr>
            <w:tcW w:w="580" w:type="dxa"/>
            <w:noWrap w:val="0"/>
            <w:vAlign w:val="top"/>
          </w:tcPr>
          <w:p w14:paraId="604BBE1D">
            <w:pPr>
              <w:shd w:val="clear" w:color="auto" w:fill="auto"/>
              <w:rPr>
                <w:rFonts w:hint="eastAsia" w:ascii="仿宋" w:hAnsi="仿宋" w:eastAsia="仿宋" w:cs="仿宋"/>
                <w:color w:val="auto"/>
                <w:szCs w:val="21"/>
                <w:highlight w:val="none"/>
              </w:rPr>
            </w:pPr>
          </w:p>
        </w:tc>
        <w:tc>
          <w:tcPr>
            <w:tcW w:w="634" w:type="dxa"/>
            <w:noWrap w:val="0"/>
            <w:vAlign w:val="top"/>
          </w:tcPr>
          <w:p w14:paraId="72512EE1">
            <w:pPr>
              <w:shd w:val="clear" w:color="auto" w:fill="auto"/>
              <w:rPr>
                <w:rFonts w:hint="eastAsia" w:ascii="仿宋" w:hAnsi="仿宋" w:eastAsia="仿宋" w:cs="仿宋"/>
                <w:color w:val="auto"/>
                <w:szCs w:val="21"/>
                <w:highlight w:val="none"/>
              </w:rPr>
            </w:pPr>
          </w:p>
        </w:tc>
      </w:tr>
      <w:tr w14:paraId="0C6E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8" w:type="dxa"/>
            <w:vMerge w:val="continue"/>
            <w:noWrap w:val="0"/>
            <w:vAlign w:val="center"/>
          </w:tcPr>
          <w:p w14:paraId="78B8530D">
            <w:pPr>
              <w:shd w:val="clear" w:color="auto" w:fill="auto"/>
              <w:rPr>
                <w:rFonts w:hint="eastAsia" w:ascii="仿宋" w:hAnsi="仿宋" w:eastAsia="仿宋" w:cs="仿宋"/>
                <w:color w:val="auto"/>
                <w:highlight w:val="none"/>
              </w:rPr>
            </w:pPr>
          </w:p>
        </w:tc>
        <w:tc>
          <w:tcPr>
            <w:tcW w:w="564" w:type="dxa"/>
            <w:noWrap w:val="0"/>
            <w:vAlign w:val="center"/>
          </w:tcPr>
          <w:p w14:paraId="3682CF21">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7314" w:type="dxa"/>
            <w:noWrap w:val="0"/>
            <w:vAlign w:val="center"/>
          </w:tcPr>
          <w:p w14:paraId="2B0B82FA">
            <w:pPr>
              <w:widowControl/>
              <w:shd w:val="clear" w:color="auto" w:fill="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投标单位（供应商）提供针对本次采购项目《反商业贿赂承诺书》，《采购活动前三年内无重大违规记录承诺书》的书面声明。</w:t>
            </w:r>
          </w:p>
        </w:tc>
        <w:tc>
          <w:tcPr>
            <w:tcW w:w="580" w:type="dxa"/>
            <w:noWrap w:val="0"/>
            <w:vAlign w:val="top"/>
          </w:tcPr>
          <w:p w14:paraId="5B6D41DC">
            <w:pPr>
              <w:shd w:val="clear" w:color="auto" w:fill="auto"/>
              <w:rPr>
                <w:rFonts w:hint="eastAsia" w:ascii="仿宋" w:hAnsi="仿宋" w:eastAsia="仿宋" w:cs="仿宋"/>
                <w:color w:val="auto"/>
                <w:szCs w:val="21"/>
                <w:highlight w:val="none"/>
              </w:rPr>
            </w:pPr>
          </w:p>
        </w:tc>
        <w:tc>
          <w:tcPr>
            <w:tcW w:w="634" w:type="dxa"/>
            <w:noWrap w:val="0"/>
            <w:vAlign w:val="top"/>
          </w:tcPr>
          <w:p w14:paraId="37702720">
            <w:pPr>
              <w:shd w:val="clear" w:color="auto" w:fill="auto"/>
              <w:rPr>
                <w:rFonts w:hint="eastAsia" w:ascii="仿宋" w:hAnsi="仿宋" w:eastAsia="仿宋" w:cs="仿宋"/>
                <w:color w:val="auto"/>
                <w:szCs w:val="21"/>
                <w:highlight w:val="none"/>
              </w:rPr>
            </w:pPr>
          </w:p>
        </w:tc>
      </w:tr>
      <w:tr w14:paraId="2702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08" w:type="dxa"/>
            <w:vMerge w:val="continue"/>
            <w:noWrap w:val="0"/>
            <w:vAlign w:val="center"/>
          </w:tcPr>
          <w:p w14:paraId="6ABC42E2">
            <w:pPr>
              <w:shd w:val="clear" w:color="auto" w:fill="auto"/>
              <w:rPr>
                <w:rFonts w:hint="eastAsia" w:ascii="仿宋" w:hAnsi="仿宋" w:eastAsia="仿宋" w:cs="仿宋"/>
                <w:color w:val="auto"/>
                <w:highlight w:val="none"/>
              </w:rPr>
            </w:pPr>
          </w:p>
        </w:tc>
        <w:tc>
          <w:tcPr>
            <w:tcW w:w="564" w:type="dxa"/>
            <w:noWrap w:val="0"/>
            <w:vAlign w:val="center"/>
          </w:tcPr>
          <w:p w14:paraId="66B22C4C">
            <w:pPr>
              <w:shd w:val="clear" w:color="auto" w:fill="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7314" w:type="dxa"/>
            <w:noWrap w:val="0"/>
            <w:vAlign w:val="center"/>
          </w:tcPr>
          <w:p w14:paraId="09007187">
            <w:pPr>
              <w:widowControl/>
              <w:shd w:val="clear" w:color="auto" w:fill="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具有良好的商业信誉和健全的财务会计制度（提供2024年经审计的财务报告；或提供2024年的财务报表，新成立公司不足一年的提供成立至今的财务报表；或提供开户银行出具的资信证明）</w:t>
            </w:r>
          </w:p>
        </w:tc>
        <w:tc>
          <w:tcPr>
            <w:tcW w:w="580" w:type="dxa"/>
            <w:noWrap w:val="0"/>
            <w:vAlign w:val="top"/>
          </w:tcPr>
          <w:p w14:paraId="2D7941CC">
            <w:pPr>
              <w:shd w:val="clear" w:color="auto" w:fill="auto"/>
              <w:rPr>
                <w:rFonts w:hint="eastAsia" w:ascii="仿宋" w:hAnsi="仿宋" w:eastAsia="仿宋" w:cs="仿宋"/>
                <w:color w:val="auto"/>
                <w:szCs w:val="21"/>
                <w:highlight w:val="none"/>
              </w:rPr>
            </w:pPr>
          </w:p>
        </w:tc>
        <w:tc>
          <w:tcPr>
            <w:tcW w:w="634" w:type="dxa"/>
            <w:noWrap w:val="0"/>
            <w:vAlign w:val="top"/>
          </w:tcPr>
          <w:p w14:paraId="2779879B">
            <w:pPr>
              <w:shd w:val="clear" w:color="auto" w:fill="auto"/>
              <w:rPr>
                <w:rFonts w:hint="eastAsia" w:ascii="仿宋" w:hAnsi="仿宋" w:eastAsia="仿宋" w:cs="仿宋"/>
                <w:color w:val="auto"/>
                <w:szCs w:val="21"/>
                <w:highlight w:val="none"/>
              </w:rPr>
            </w:pPr>
          </w:p>
        </w:tc>
      </w:tr>
      <w:tr w14:paraId="1151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08" w:type="dxa"/>
            <w:vMerge w:val="continue"/>
            <w:noWrap w:val="0"/>
            <w:vAlign w:val="center"/>
          </w:tcPr>
          <w:p w14:paraId="30534F97">
            <w:pPr>
              <w:shd w:val="clear" w:color="auto" w:fill="auto"/>
              <w:rPr>
                <w:rFonts w:hint="eastAsia" w:ascii="仿宋" w:hAnsi="仿宋" w:eastAsia="仿宋" w:cs="仿宋"/>
                <w:color w:val="auto"/>
                <w:highlight w:val="none"/>
              </w:rPr>
            </w:pPr>
          </w:p>
        </w:tc>
        <w:tc>
          <w:tcPr>
            <w:tcW w:w="564" w:type="dxa"/>
            <w:noWrap w:val="0"/>
            <w:vAlign w:val="center"/>
          </w:tcPr>
          <w:p w14:paraId="1FD5397A">
            <w:pPr>
              <w:shd w:val="clear" w:color="auto" w:fill="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7314" w:type="dxa"/>
            <w:noWrap w:val="0"/>
            <w:vAlign w:val="center"/>
          </w:tcPr>
          <w:p w14:paraId="3D35E11A">
            <w:pPr>
              <w:widowControl/>
              <w:shd w:val="clear" w:color="auto" w:fill="auto"/>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5645DFC5">
            <w:pPr>
              <w:widowControl/>
              <w:shd w:val="clear" w:color="auto" w:fill="auto"/>
              <w:jc w:val="left"/>
              <w:textAlignment w:val="center"/>
              <w:rPr>
                <w:rFonts w:hint="eastAsia" w:ascii="仿宋" w:hAnsi="仿宋" w:eastAsia="仿宋" w:cs="仿宋"/>
                <w:color w:val="auto"/>
                <w:kern w:val="0"/>
                <w:sz w:val="20"/>
                <w:szCs w:val="20"/>
                <w:highlight w:val="none"/>
                <w:lang w:bidi="ar"/>
              </w:rPr>
            </w:pPr>
          </w:p>
        </w:tc>
        <w:tc>
          <w:tcPr>
            <w:tcW w:w="580" w:type="dxa"/>
            <w:noWrap w:val="0"/>
            <w:vAlign w:val="top"/>
          </w:tcPr>
          <w:p w14:paraId="19BD144C">
            <w:pPr>
              <w:shd w:val="clear" w:color="auto" w:fill="auto"/>
              <w:rPr>
                <w:rFonts w:hint="eastAsia" w:ascii="仿宋" w:hAnsi="仿宋" w:eastAsia="仿宋" w:cs="仿宋"/>
                <w:color w:val="auto"/>
                <w:szCs w:val="21"/>
                <w:highlight w:val="none"/>
              </w:rPr>
            </w:pPr>
          </w:p>
        </w:tc>
        <w:tc>
          <w:tcPr>
            <w:tcW w:w="634" w:type="dxa"/>
            <w:noWrap w:val="0"/>
            <w:vAlign w:val="top"/>
          </w:tcPr>
          <w:p w14:paraId="7F1B99B3">
            <w:pPr>
              <w:shd w:val="clear" w:color="auto" w:fill="auto"/>
              <w:rPr>
                <w:rFonts w:hint="eastAsia" w:ascii="仿宋" w:hAnsi="仿宋" w:eastAsia="仿宋" w:cs="仿宋"/>
                <w:color w:val="auto"/>
                <w:szCs w:val="21"/>
                <w:highlight w:val="none"/>
              </w:rPr>
            </w:pPr>
          </w:p>
        </w:tc>
      </w:tr>
      <w:tr w14:paraId="5B18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08" w:type="dxa"/>
            <w:vMerge w:val="continue"/>
            <w:noWrap w:val="0"/>
            <w:vAlign w:val="center"/>
          </w:tcPr>
          <w:p w14:paraId="70C0335F">
            <w:pPr>
              <w:shd w:val="clear" w:color="auto" w:fill="auto"/>
              <w:rPr>
                <w:rFonts w:hint="eastAsia" w:ascii="仿宋" w:hAnsi="仿宋" w:eastAsia="仿宋" w:cs="仿宋"/>
                <w:color w:val="auto"/>
                <w:highlight w:val="none"/>
              </w:rPr>
            </w:pPr>
          </w:p>
        </w:tc>
        <w:tc>
          <w:tcPr>
            <w:tcW w:w="564" w:type="dxa"/>
            <w:noWrap w:val="0"/>
            <w:vAlign w:val="center"/>
          </w:tcPr>
          <w:p w14:paraId="33A79E03">
            <w:pPr>
              <w:shd w:val="clear" w:color="auto" w:fill="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7314" w:type="dxa"/>
            <w:noWrap w:val="0"/>
            <w:vAlign w:val="center"/>
          </w:tcPr>
          <w:p w14:paraId="2B444A7D">
            <w:pPr>
              <w:widowControl/>
              <w:shd w:val="clear" w:color="auto" w:fill="auto"/>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投标保证金</w:t>
            </w:r>
            <w:r>
              <w:rPr>
                <w:rFonts w:hint="eastAsia" w:ascii="仿宋" w:hAnsi="仿宋" w:eastAsia="仿宋" w:cs="仿宋"/>
                <w:color w:val="auto"/>
                <w:kern w:val="0"/>
                <w:sz w:val="20"/>
                <w:szCs w:val="20"/>
                <w:highlight w:val="none"/>
                <w:lang w:val="en-US" w:eastAsia="zh-CN" w:bidi="ar"/>
              </w:rPr>
              <w:t>转账凭证</w:t>
            </w:r>
            <w:r>
              <w:rPr>
                <w:rFonts w:hint="eastAsia" w:ascii="仿宋" w:hAnsi="仿宋" w:eastAsia="仿宋" w:cs="仿宋"/>
                <w:color w:val="auto"/>
                <w:kern w:val="0"/>
                <w:sz w:val="20"/>
                <w:szCs w:val="20"/>
                <w:highlight w:val="none"/>
                <w:lang w:bidi="ar"/>
              </w:rPr>
              <w:t>或保函等票据</w:t>
            </w:r>
            <w:r>
              <w:rPr>
                <w:rFonts w:hint="eastAsia" w:ascii="仿宋" w:hAnsi="仿宋" w:eastAsia="仿宋" w:cs="仿宋"/>
                <w:color w:val="auto"/>
                <w:kern w:val="0"/>
                <w:sz w:val="20"/>
                <w:szCs w:val="20"/>
                <w:highlight w:val="none"/>
                <w:lang w:eastAsia="zh-CN" w:bidi="ar"/>
              </w:rPr>
              <w:t>；</w:t>
            </w:r>
          </w:p>
        </w:tc>
        <w:tc>
          <w:tcPr>
            <w:tcW w:w="580" w:type="dxa"/>
            <w:noWrap w:val="0"/>
            <w:vAlign w:val="top"/>
          </w:tcPr>
          <w:p w14:paraId="61C55662">
            <w:pPr>
              <w:shd w:val="clear" w:color="auto" w:fill="auto"/>
              <w:rPr>
                <w:rFonts w:hint="eastAsia" w:ascii="仿宋" w:hAnsi="仿宋" w:eastAsia="仿宋" w:cs="仿宋"/>
                <w:color w:val="auto"/>
                <w:szCs w:val="21"/>
                <w:highlight w:val="none"/>
              </w:rPr>
            </w:pPr>
          </w:p>
        </w:tc>
        <w:tc>
          <w:tcPr>
            <w:tcW w:w="634" w:type="dxa"/>
            <w:noWrap w:val="0"/>
            <w:vAlign w:val="top"/>
          </w:tcPr>
          <w:p w14:paraId="6D9E9922">
            <w:pPr>
              <w:shd w:val="clear" w:color="auto" w:fill="auto"/>
              <w:rPr>
                <w:rFonts w:hint="eastAsia" w:ascii="仿宋" w:hAnsi="仿宋" w:eastAsia="仿宋" w:cs="仿宋"/>
                <w:color w:val="auto"/>
                <w:szCs w:val="21"/>
                <w:highlight w:val="none"/>
              </w:rPr>
            </w:pPr>
          </w:p>
        </w:tc>
      </w:tr>
      <w:tr w14:paraId="419F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8" w:type="dxa"/>
            <w:vMerge w:val="continue"/>
            <w:noWrap w:val="0"/>
            <w:vAlign w:val="center"/>
          </w:tcPr>
          <w:p w14:paraId="1A47C43E">
            <w:pPr>
              <w:shd w:val="clear" w:color="auto" w:fill="auto"/>
              <w:rPr>
                <w:rFonts w:hint="eastAsia" w:ascii="仿宋" w:hAnsi="仿宋" w:eastAsia="仿宋" w:cs="仿宋"/>
                <w:color w:val="auto"/>
                <w:highlight w:val="none"/>
              </w:rPr>
            </w:pPr>
          </w:p>
        </w:tc>
        <w:tc>
          <w:tcPr>
            <w:tcW w:w="564" w:type="dxa"/>
            <w:noWrap w:val="0"/>
            <w:vAlign w:val="center"/>
          </w:tcPr>
          <w:p w14:paraId="58DC8E0B">
            <w:pPr>
              <w:shd w:val="clear" w:color="auto" w:fill="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7314" w:type="dxa"/>
            <w:noWrap w:val="0"/>
            <w:vAlign w:val="center"/>
          </w:tcPr>
          <w:p w14:paraId="5F0200FD">
            <w:pPr>
              <w:widowControl/>
              <w:shd w:val="clear" w:color="auto" w:fill="auto"/>
              <w:jc w:val="left"/>
              <w:textAlignment w:val="center"/>
              <w:rPr>
                <w:rFonts w:hint="default"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中小企业声明函</w:t>
            </w:r>
          </w:p>
        </w:tc>
        <w:tc>
          <w:tcPr>
            <w:tcW w:w="580" w:type="dxa"/>
            <w:noWrap w:val="0"/>
            <w:vAlign w:val="top"/>
          </w:tcPr>
          <w:p w14:paraId="38A0FBF5">
            <w:pPr>
              <w:shd w:val="clear" w:color="auto" w:fill="auto"/>
              <w:rPr>
                <w:rFonts w:hint="eastAsia" w:ascii="仿宋" w:hAnsi="仿宋" w:eastAsia="仿宋" w:cs="仿宋"/>
                <w:color w:val="auto"/>
                <w:szCs w:val="21"/>
                <w:highlight w:val="none"/>
              </w:rPr>
            </w:pPr>
          </w:p>
        </w:tc>
        <w:tc>
          <w:tcPr>
            <w:tcW w:w="634" w:type="dxa"/>
            <w:noWrap w:val="0"/>
            <w:vAlign w:val="top"/>
          </w:tcPr>
          <w:p w14:paraId="4B6A43AF">
            <w:pPr>
              <w:shd w:val="clear" w:color="auto" w:fill="auto"/>
              <w:rPr>
                <w:rFonts w:hint="eastAsia" w:ascii="仿宋" w:hAnsi="仿宋" w:eastAsia="仿宋" w:cs="仿宋"/>
                <w:color w:val="auto"/>
                <w:szCs w:val="21"/>
                <w:highlight w:val="none"/>
              </w:rPr>
            </w:pPr>
          </w:p>
        </w:tc>
      </w:tr>
      <w:tr w14:paraId="0B20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08" w:type="dxa"/>
            <w:vMerge w:val="continue"/>
            <w:noWrap w:val="0"/>
            <w:vAlign w:val="center"/>
          </w:tcPr>
          <w:p w14:paraId="64A375A0">
            <w:pPr>
              <w:shd w:val="clear" w:color="auto" w:fill="auto"/>
              <w:rPr>
                <w:rFonts w:hint="eastAsia" w:ascii="仿宋" w:hAnsi="仿宋" w:eastAsia="仿宋" w:cs="仿宋"/>
                <w:color w:val="auto"/>
                <w:highlight w:val="none"/>
              </w:rPr>
            </w:pPr>
          </w:p>
        </w:tc>
        <w:tc>
          <w:tcPr>
            <w:tcW w:w="564" w:type="dxa"/>
            <w:noWrap w:val="0"/>
            <w:vAlign w:val="center"/>
          </w:tcPr>
          <w:p w14:paraId="31F887EB">
            <w:pPr>
              <w:shd w:val="clear" w:color="auto" w:fill="auto"/>
              <w:jc w:val="center"/>
              <w:rPr>
                <w:rFonts w:hint="default" w:ascii="仿宋" w:hAnsi="仿宋" w:eastAsia="仿宋" w:cs="仿宋"/>
                <w:color w:val="auto"/>
                <w:szCs w:val="21"/>
                <w:highlight w:val="none"/>
                <w:lang w:val="en-US" w:eastAsia="zh-CN"/>
              </w:rPr>
            </w:pPr>
          </w:p>
        </w:tc>
        <w:tc>
          <w:tcPr>
            <w:tcW w:w="7314" w:type="dxa"/>
            <w:noWrap w:val="0"/>
            <w:vAlign w:val="top"/>
          </w:tcPr>
          <w:p w14:paraId="14644BC0">
            <w:pPr>
              <w:shd w:val="clear" w:color="auto" w:fil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结论：是否通过评审（须填写通过或不通过）</w:t>
            </w:r>
          </w:p>
          <w:p w14:paraId="20D29282">
            <w:pPr>
              <w:shd w:val="clear" w:color="auto" w:fill="auto"/>
              <w:ind w:left="0" w:leftChars="0" w:right="0" w:rightChars="0" w:firstLine="0" w:firstLineChars="0"/>
              <w:rPr>
                <w:rFonts w:hint="eastAsia" w:ascii="仿宋" w:hAnsi="仿宋" w:eastAsia="仿宋" w:cs="仿宋"/>
                <w:color w:val="auto"/>
                <w:spacing w:val="0"/>
                <w:w w:val="100"/>
                <w:position w:val="0"/>
                <w:sz w:val="20"/>
                <w:szCs w:val="22"/>
                <w:highlight w:val="none"/>
                <w:shd w:val="clear" w:color="auto" w:fill="auto"/>
                <w:lang w:val="en-US" w:eastAsia="en-US" w:bidi="en-US"/>
              </w:rPr>
            </w:pPr>
            <w:r>
              <w:rPr>
                <w:rFonts w:hint="eastAsia" w:ascii="仿宋" w:hAnsi="仿宋" w:eastAsia="仿宋" w:cs="仿宋"/>
                <w:color w:val="auto"/>
                <w:sz w:val="20"/>
                <w:szCs w:val="20"/>
                <w:highlight w:val="none"/>
              </w:rPr>
              <w:t>注：如有一项不合格，作废标处理。</w:t>
            </w:r>
          </w:p>
        </w:tc>
        <w:tc>
          <w:tcPr>
            <w:tcW w:w="580" w:type="dxa"/>
            <w:noWrap w:val="0"/>
            <w:vAlign w:val="top"/>
          </w:tcPr>
          <w:p w14:paraId="70011A86">
            <w:pPr>
              <w:shd w:val="clear" w:color="auto" w:fill="auto"/>
              <w:rPr>
                <w:rFonts w:hint="eastAsia" w:ascii="仿宋" w:hAnsi="仿宋" w:eastAsia="仿宋" w:cs="仿宋"/>
                <w:color w:val="auto"/>
                <w:szCs w:val="21"/>
                <w:highlight w:val="none"/>
              </w:rPr>
            </w:pPr>
          </w:p>
        </w:tc>
        <w:tc>
          <w:tcPr>
            <w:tcW w:w="634" w:type="dxa"/>
            <w:noWrap w:val="0"/>
            <w:vAlign w:val="top"/>
          </w:tcPr>
          <w:p w14:paraId="57BABE79">
            <w:pPr>
              <w:shd w:val="clear" w:color="auto" w:fill="auto"/>
              <w:rPr>
                <w:rFonts w:hint="eastAsia" w:ascii="仿宋" w:hAnsi="仿宋" w:eastAsia="仿宋" w:cs="仿宋"/>
                <w:color w:val="auto"/>
                <w:szCs w:val="21"/>
                <w:highlight w:val="none"/>
              </w:rPr>
            </w:pPr>
          </w:p>
        </w:tc>
      </w:tr>
      <w:tr w14:paraId="7B09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08" w:type="dxa"/>
            <w:vMerge w:val="continue"/>
            <w:noWrap w:val="0"/>
            <w:vAlign w:val="center"/>
          </w:tcPr>
          <w:p w14:paraId="13AE2B84">
            <w:pPr>
              <w:shd w:val="clear" w:color="auto" w:fill="auto"/>
              <w:jc w:val="center"/>
              <w:rPr>
                <w:rFonts w:hint="eastAsia" w:ascii="仿宋" w:hAnsi="仿宋" w:eastAsia="仿宋" w:cs="仿宋"/>
                <w:color w:val="auto"/>
                <w:szCs w:val="21"/>
                <w:highlight w:val="none"/>
              </w:rPr>
            </w:pPr>
          </w:p>
        </w:tc>
        <w:tc>
          <w:tcPr>
            <w:tcW w:w="564" w:type="dxa"/>
            <w:noWrap w:val="0"/>
            <w:vAlign w:val="top"/>
          </w:tcPr>
          <w:p w14:paraId="6D3F90F6">
            <w:pPr>
              <w:shd w:val="clear" w:color="auto" w:fill="auto"/>
              <w:spacing w:line="440" w:lineRule="exact"/>
              <w:rPr>
                <w:rFonts w:hint="eastAsia" w:ascii="仿宋" w:hAnsi="仿宋" w:eastAsia="仿宋" w:cs="仿宋"/>
                <w:color w:val="auto"/>
                <w:szCs w:val="21"/>
                <w:highlight w:val="none"/>
              </w:rPr>
            </w:pPr>
          </w:p>
        </w:tc>
        <w:tc>
          <w:tcPr>
            <w:tcW w:w="7314" w:type="dxa"/>
            <w:noWrap w:val="0"/>
            <w:vAlign w:val="top"/>
          </w:tcPr>
          <w:p w14:paraId="75A67072">
            <w:pPr>
              <w:shd w:val="clear" w:color="auto" w:fill="auto"/>
              <w:rPr>
                <w:rFonts w:hint="eastAsia" w:ascii="仿宋" w:hAnsi="仿宋" w:eastAsia="仿宋" w:cs="仿宋"/>
                <w:color w:val="auto"/>
                <w:sz w:val="20"/>
                <w:szCs w:val="22"/>
                <w:highlight w:val="none"/>
              </w:rPr>
            </w:pPr>
          </w:p>
        </w:tc>
        <w:tc>
          <w:tcPr>
            <w:tcW w:w="1214" w:type="dxa"/>
            <w:gridSpan w:val="2"/>
            <w:noWrap w:val="0"/>
            <w:vAlign w:val="top"/>
          </w:tcPr>
          <w:p w14:paraId="7A5299F1">
            <w:pPr>
              <w:shd w:val="clear" w:color="auto" w:fill="auto"/>
              <w:rPr>
                <w:rFonts w:hint="eastAsia" w:ascii="仿宋" w:hAnsi="仿宋" w:eastAsia="仿宋" w:cs="仿宋"/>
                <w:color w:val="auto"/>
                <w:szCs w:val="21"/>
                <w:highlight w:val="none"/>
              </w:rPr>
            </w:pPr>
          </w:p>
        </w:tc>
      </w:tr>
    </w:tbl>
    <w:p w14:paraId="24ED8D04">
      <w:pPr>
        <w:spacing w:line="400" w:lineRule="exact"/>
        <w:ind w:firstLine="578" w:firstLineChars="241"/>
        <w:rPr>
          <w:rFonts w:hint="eastAsia" w:ascii="仿宋" w:hAnsi="仿宋" w:eastAsia="仿宋" w:cs="仿宋"/>
          <w:b/>
          <w:color w:val="auto"/>
          <w:szCs w:val="21"/>
          <w:lang w:eastAsia="zh-CN"/>
        </w:rPr>
      </w:pPr>
    </w:p>
    <w:p w14:paraId="00A40B10">
      <w:pPr>
        <w:spacing w:line="400" w:lineRule="exact"/>
        <w:ind w:firstLine="578" w:firstLineChars="241"/>
        <w:rPr>
          <w:rFonts w:ascii="仿宋" w:hAnsi="仿宋" w:eastAsia="仿宋" w:cs="仿宋"/>
          <w:b/>
          <w:color w:val="auto"/>
          <w:szCs w:val="21"/>
          <w:lang w:eastAsia="zh-CN"/>
        </w:rPr>
      </w:pPr>
      <w:r>
        <w:rPr>
          <w:rFonts w:hint="eastAsia" w:ascii="仿宋" w:hAnsi="仿宋" w:eastAsia="仿宋" w:cs="仿宋"/>
          <w:b/>
          <w:color w:val="auto"/>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2B9929C5">
      <w:pPr>
        <w:spacing w:beforeLines="50" w:line="440" w:lineRule="exact"/>
        <w:rPr>
          <w:rFonts w:hint="eastAsia" w:ascii="仿宋" w:hAnsi="仿宋" w:eastAsia="仿宋" w:cs="仿宋"/>
          <w:b/>
          <w:color w:val="auto"/>
          <w:szCs w:val="21"/>
          <w:lang w:eastAsia="zh-CN"/>
        </w:rPr>
        <w:sectPr>
          <w:footerReference r:id="rId8"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44566383">
      <w:pPr>
        <w:spacing w:beforeLines="50" w:line="440" w:lineRule="exact"/>
        <w:ind w:firstLine="240" w:firstLineChars="100"/>
        <w:rPr>
          <w:rFonts w:ascii="仿宋" w:hAnsi="仿宋" w:eastAsia="仿宋" w:cs="仿宋"/>
          <w:b/>
          <w:color w:val="auto"/>
          <w:szCs w:val="21"/>
        </w:rPr>
      </w:pPr>
      <w:r>
        <w:rPr>
          <w:rFonts w:hint="eastAsia" w:ascii="仿宋" w:hAnsi="仿宋" w:eastAsia="仿宋" w:cs="仿宋"/>
          <w:b/>
          <w:color w:val="auto"/>
          <w:szCs w:val="21"/>
          <w:lang w:eastAsia="zh-CN"/>
        </w:rPr>
        <w:t>7</w:t>
      </w:r>
      <w:r>
        <w:rPr>
          <w:rFonts w:hint="eastAsia" w:ascii="仿宋" w:hAnsi="仿宋" w:eastAsia="仿宋" w:cs="仿宋"/>
          <w:b/>
          <w:color w:val="auto"/>
          <w:szCs w:val="21"/>
        </w:rPr>
        <w:t>.符合性审查</w:t>
      </w:r>
    </w:p>
    <w:p w14:paraId="1CB1C2E8">
      <w:pPr>
        <w:spacing w:line="440" w:lineRule="exact"/>
        <w:ind w:firstLine="360" w:firstLineChars="150"/>
        <w:rPr>
          <w:rFonts w:ascii="仿宋" w:hAnsi="仿宋" w:eastAsia="仿宋" w:cs="仿宋"/>
          <w:color w:val="auto"/>
          <w:szCs w:val="21"/>
        </w:rPr>
      </w:pPr>
      <w:r>
        <w:rPr>
          <w:rFonts w:hint="eastAsia" w:ascii="仿宋" w:hAnsi="仿宋" w:eastAsia="仿宋" w:cs="仿宋"/>
          <w:color w:val="auto"/>
          <w:szCs w:val="21"/>
          <w:lang w:eastAsia="zh-CN"/>
        </w:rPr>
        <w:t>7</w:t>
      </w:r>
      <w:r>
        <w:rPr>
          <w:rFonts w:hint="eastAsia" w:ascii="仿宋" w:hAnsi="仿宋" w:eastAsia="仿宋" w:cs="仿宋"/>
          <w:color w:val="auto"/>
          <w:szCs w:val="21"/>
        </w:rPr>
        <w:t>．1评审细则</w:t>
      </w:r>
    </w:p>
    <w:tbl>
      <w:tblPr>
        <w:tblStyle w:val="25"/>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6AECA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756F39A3">
            <w:pPr>
              <w:jc w:val="center"/>
              <w:rPr>
                <w:rFonts w:ascii="仿宋" w:hAnsi="仿宋" w:eastAsia="仿宋" w:cs="仿宋"/>
                <w:b/>
                <w:color w:val="auto"/>
              </w:rPr>
            </w:pPr>
            <w:r>
              <w:rPr>
                <w:rFonts w:hint="eastAsia" w:ascii="仿宋" w:hAnsi="仿宋" w:eastAsia="仿宋" w:cs="仿宋"/>
                <w:b/>
                <w:color w:val="auto"/>
              </w:rPr>
              <w:t>项目</w:t>
            </w:r>
          </w:p>
        </w:tc>
        <w:tc>
          <w:tcPr>
            <w:tcW w:w="6975" w:type="dxa"/>
            <w:gridSpan w:val="2"/>
            <w:vMerge w:val="restart"/>
            <w:tcBorders>
              <w:top w:val="single" w:color="auto" w:sz="4" w:space="0"/>
            </w:tcBorders>
            <w:vAlign w:val="center"/>
          </w:tcPr>
          <w:p w14:paraId="23A968A3">
            <w:pPr>
              <w:jc w:val="center"/>
              <w:rPr>
                <w:rFonts w:ascii="仿宋" w:hAnsi="仿宋" w:eastAsia="仿宋" w:cs="仿宋"/>
                <w:b/>
                <w:color w:val="auto"/>
              </w:rPr>
            </w:pPr>
            <w:r>
              <w:rPr>
                <w:rFonts w:hint="eastAsia" w:ascii="仿宋" w:hAnsi="仿宋" w:eastAsia="仿宋" w:cs="仿宋"/>
                <w:b/>
                <w:color w:val="auto"/>
              </w:rPr>
              <w:t>评审内容</w:t>
            </w:r>
          </w:p>
        </w:tc>
        <w:tc>
          <w:tcPr>
            <w:tcW w:w="1366" w:type="dxa"/>
            <w:gridSpan w:val="2"/>
            <w:tcBorders>
              <w:top w:val="single" w:color="auto" w:sz="4" w:space="0"/>
              <w:right w:val="single" w:color="auto" w:sz="4" w:space="0"/>
            </w:tcBorders>
            <w:vAlign w:val="center"/>
          </w:tcPr>
          <w:p w14:paraId="56F099B1">
            <w:pPr>
              <w:jc w:val="center"/>
              <w:rPr>
                <w:rFonts w:ascii="仿宋" w:hAnsi="仿宋" w:eastAsia="仿宋" w:cs="仿宋"/>
                <w:b/>
                <w:color w:val="auto"/>
              </w:rPr>
            </w:pPr>
            <w:r>
              <w:rPr>
                <w:rFonts w:hint="eastAsia" w:ascii="仿宋" w:hAnsi="仿宋" w:eastAsia="仿宋" w:cs="仿宋"/>
                <w:b/>
                <w:color w:val="auto"/>
              </w:rPr>
              <w:t>评审意见</w:t>
            </w:r>
          </w:p>
        </w:tc>
      </w:tr>
      <w:tr w14:paraId="306B3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0BF62F6C">
            <w:pPr>
              <w:rPr>
                <w:rFonts w:ascii="仿宋" w:hAnsi="仿宋" w:eastAsia="仿宋" w:cs="仿宋"/>
                <w:color w:val="auto"/>
              </w:rPr>
            </w:pPr>
          </w:p>
        </w:tc>
        <w:tc>
          <w:tcPr>
            <w:tcW w:w="6975" w:type="dxa"/>
            <w:gridSpan w:val="2"/>
            <w:vMerge w:val="continue"/>
            <w:tcBorders>
              <w:bottom w:val="single" w:color="auto" w:sz="4" w:space="0"/>
            </w:tcBorders>
          </w:tcPr>
          <w:p w14:paraId="53A199EF">
            <w:pPr>
              <w:rPr>
                <w:rFonts w:ascii="仿宋" w:hAnsi="仿宋" w:eastAsia="仿宋" w:cs="仿宋"/>
                <w:color w:val="auto"/>
              </w:rPr>
            </w:pPr>
          </w:p>
        </w:tc>
        <w:tc>
          <w:tcPr>
            <w:tcW w:w="749" w:type="dxa"/>
            <w:vAlign w:val="center"/>
          </w:tcPr>
          <w:p w14:paraId="48DFC7AA">
            <w:pPr>
              <w:jc w:val="center"/>
              <w:rPr>
                <w:rFonts w:ascii="仿宋" w:hAnsi="仿宋" w:eastAsia="仿宋" w:cs="仿宋"/>
                <w:b/>
                <w:color w:val="auto"/>
              </w:rPr>
            </w:pPr>
            <w:r>
              <w:rPr>
                <w:rFonts w:hint="eastAsia" w:ascii="仿宋" w:hAnsi="仿宋" w:eastAsia="仿宋" w:cs="仿宋"/>
                <w:b/>
                <w:color w:val="auto"/>
              </w:rPr>
              <w:t>是</w:t>
            </w:r>
          </w:p>
        </w:tc>
        <w:tc>
          <w:tcPr>
            <w:tcW w:w="617" w:type="dxa"/>
            <w:tcBorders>
              <w:right w:val="single" w:color="auto" w:sz="4" w:space="0"/>
            </w:tcBorders>
            <w:vAlign w:val="center"/>
          </w:tcPr>
          <w:p w14:paraId="01D03220">
            <w:pPr>
              <w:jc w:val="center"/>
              <w:rPr>
                <w:rFonts w:ascii="仿宋" w:hAnsi="仿宋" w:eastAsia="仿宋" w:cs="仿宋"/>
                <w:b/>
                <w:color w:val="auto"/>
              </w:rPr>
            </w:pPr>
            <w:r>
              <w:rPr>
                <w:rFonts w:hint="eastAsia" w:ascii="仿宋" w:hAnsi="仿宋" w:eastAsia="仿宋" w:cs="仿宋"/>
                <w:b/>
                <w:color w:val="auto"/>
              </w:rPr>
              <w:t>否</w:t>
            </w:r>
          </w:p>
        </w:tc>
      </w:tr>
      <w:tr w14:paraId="335EF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703C9A4B">
            <w:pPr>
              <w:jc w:val="center"/>
              <w:rPr>
                <w:rFonts w:ascii="仿宋" w:hAnsi="仿宋" w:eastAsia="仿宋" w:cs="仿宋"/>
                <w:color w:val="auto"/>
                <w:szCs w:val="21"/>
              </w:rPr>
            </w:pPr>
            <w:r>
              <w:rPr>
                <w:rFonts w:hint="eastAsia" w:ascii="仿宋" w:hAnsi="仿宋" w:eastAsia="仿宋" w:cs="仿宋"/>
                <w:color w:val="auto"/>
                <w:szCs w:val="21"/>
              </w:rPr>
              <w:t>审</w:t>
            </w:r>
          </w:p>
          <w:p w14:paraId="75C1D0C4">
            <w:pPr>
              <w:jc w:val="center"/>
              <w:rPr>
                <w:rFonts w:ascii="仿宋" w:hAnsi="仿宋" w:eastAsia="仿宋" w:cs="仿宋"/>
                <w:color w:val="auto"/>
                <w:szCs w:val="21"/>
              </w:rPr>
            </w:pPr>
            <w:r>
              <w:rPr>
                <w:rFonts w:hint="eastAsia" w:ascii="仿宋" w:hAnsi="仿宋" w:eastAsia="仿宋" w:cs="仿宋"/>
                <w:color w:val="auto"/>
                <w:szCs w:val="21"/>
              </w:rPr>
              <w:t>查</w:t>
            </w:r>
          </w:p>
          <w:p w14:paraId="35092A52">
            <w:pPr>
              <w:jc w:val="center"/>
              <w:rPr>
                <w:rFonts w:ascii="仿宋" w:hAnsi="仿宋" w:eastAsia="仿宋" w:cs="仿宋"/>
                <w:color w:val="auto"/>
                <w:szCs w:val="21"/>
              </w:rPr>
            </w:pPr>
            <w:r>
              <w:rPr>
                <w:rFonts w:hint="eastAsia" w:ascii="仿宋" w:hAnsi="仿宋" w:eastAsia="仿宋" w:cs="仿宋"/>
                <w:color w:val="auto"/>
                <w:szCs w:val="21"/>
              </w:rPr>
              <w:t>标</w:t>
            </w:r>
          </w:p>
          <w:p w14:paraId="0CE9E164">
            <w:pPr>
              <w:jc w:val="center"/>
              <w:rPr>
                <w:rFonts w:ascii="仿宋" w:hAnsi="仿宋" w:eastAsia="仿宋" w:cs="仿宋"/>
                <w:color w:val="auto"/>
                <w:szCs w:val="21"/>
              </w:rPr>
            </w:pPr>
            <w:r>
              <w:rPr>
                <w:rFonts w:hint="eastAsia" w:ascii="仿宋" w:hAnsi="仿宋" w:eastAsia="仿宋" w:cs="仿宋"/>
                <w:color w:val="auto"/>
                <w:szCs w:val="21"/>
              </w:rPr>
              <w:t>准</w:t>
            </w:r>
          </w:p>
        </w:tc>
        <w:tc>
          <w:tcPr>
            <w:tcW w:w="597" w:type="dxa"/>
            <w:tcBorders>
              <w:top w:val="single" w:color="auto" w:sz="4" w:space="0"/>
              <w:left w:val="single" w:color="auto" w:sz="4" w:space="0"/>
              <w:right w:val="single" w:color="auto" w:sz="4" w:space="0"/>
            </w:tcBorders>
            <w:vAlign w:val="center"/>
          </w:tcPr>
          <w:p w14:paraId="16D7D314">
            <w:pPr>
              <w:jc w:val="center"/>
              <w:rPr>
                <w:rFonts w:ascii="仿宋" w:hAnsi="仿宋" w:eastAsia="仿宋" w:cs="仿宋"/>
                <w:color w:val="auto"/>
              </w:rPr>
            </w:pPr>
            <w:r>
              <w:rPr>
                <w:rFonts w:hint="eastAsia" w:ascii="仿宋" w:hAnsi="仿宋" w:eastAsia="仿宋" w:cs="仿宋"/>
                <w:color w:val="auto"/>
              </w:rPr>
              <w:t>1</w:t>
            </w:r>
          </w:p>
        </w:tc>
        <w:tc>
          <w:tcPr>
            <w:tcW w:w="6378" w:type="dxa"/>
            <w:tcBorders>
              <w:top w:val="single" w:color="auto" w:sz="4" w:space="0"/>
              <w:left w:val="single" w:color="auto" w:sz="4" w:space="0"/>
              <w:right w:val="single" w:color="auto" w:sz="4" w:space="0"/>
            </w:tcBorders>
            <w:vAlign w:val="center"/>
          </w:tcPr>
          <w:p w14:paraId="3AE4AD4F">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color w:val="auto"/>
                <w:kern w:val="0"/>
                <w:sz w:val="24"/>
                <w:szCs w:val="24"/>
                <w:highlight w:val="none"/>
                <w:lang w:bidi="ar"/>
              </w:rPr>
              <w:t>由政府立项核准、审批的采购项目, 报价</w:t>
            </w:r>
            <w:r>
              <w:rPr>
                <w:rFonts w:hint="eastAsia" w:ascii="仿宋" w:hAnsi="仿宋" w:eastAsia="仿宋" w:cs="仿宋"/>
                <w:color w:val="auto"/>
                <w:kern w:val="0"/>
                <w:sz w:val="24"/>
                <w:szCs w:val="24"/>
                <w:highlight w:val="none"/>
                <w:lang w:eastAsia="zh-CN" w:bidi="ar"/>
              </w:rPr>
              <w:t>低</w:t>
            </w:r>
            <w:r>
              <w:rPr>
                <w:rFonts w:hint="eastAsia" w:ascii="仿宋" w:hAnsi="仿宋" w:eastAsia="仿宋" w:cs="仿宋"/>
                <w:color w:val="auto"/>
                <w:kern w:val="0"/>
                <w:sz w:val="24"/>
                <w:szCs w:val="24"/>
                <w:highlight w:val="none"/>
                <w:lang w:bidi="ar"/>
              </w:rPr>
              <w:t>于设定的采购预算价的；</w:t>
            </w:r>
          </w:p>
        </w:tc>
        <w:tc>
          <w:tcPr>
            <w:tcW w:w="749" w:type="dxa"/>
            <w:tcBorders>
              <w:left w:val="single" w:color="auto" w:sz="4" w:space="0"/>
              <w:right w:val="single" w:color="auto" w:sz="4" w:space="0"/>
            </w:tcBorders>
          </w:tcPr>
          <w:p w14:paraId="1DE5A177">
            <w:pPr>
              <w:jc w:val="center"/>
              <w:rPr>
                <w:rFonts w:ascii="仿宋" w:hAnsi="仿宋" w:eastAsia="仿宋" w:cs="仿宋"/>
                <w:b/>
                <w:color w:val="auto"/>
                <w:szCs w:val="21"/>
                <w:lang w:eastAsia="zh-CN"/>
              </w:rPr>
            </w:pPr>
          </w:p>
        </w:tc>
        <w:tc>
          <w:tcPr>
            <w:tcW w:w="617" w:type="dxa"/>
            <w:tcBorders>
              <w:left w:val="single" w:color="auto" w:sz="4" w:space="0"/>
              <w:right w:val="single" w:color="auto" w:sz="4" w:space="0"/>
            </w:tcBorders>
          </w:tcPr>
          <w:p w14:paraId="5284D9E5">
            <w:pPr>
              <w:jc w:val="center"/>
              <w:rPr>
                <w:rFonts w:ascii="仿宋" w:hAnsi="仿宋" w:eastAsia="仿宋" w:cs="仿宋"/>
                <w:b/>
                <w:color w:val="auto"/>
                <w:szCs w:val="21"/>
                <w:lang w:eastAsia="zh-CN"/>
              </w:rPr>
            </w:pPr>
          </w:p>
        </w:tc>
      </w:tr>
      <w:tr w14:paraId="40B72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011B0ADF">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54F03D7B">
            <w:pPr>
              <w:jc w:val="center"/>
              <w:rPr>
                <w:rFonts w:ascii="仿宋" w:hAnsi="仿宋" w:eastAsia="仿宋" w:cs="仿宋"/>
                <w:color w:val="auto"/>
              </w:rPr>
            </w:pPr>
            <w:r>
              <w:rPr>
                <w:rFonts w:hint="eastAsia" w:ascii="仿宋" w:hAnsi="仿宋" w:eastAsia="仿宋" w:cs="仿宋"/>
                <w:color w:val="auto"/>
              </w:rPr>
              <w:t>2</w:t>
            </w:r>
          </w:p>
        </w:tc>
        <w:tc>
          <w:tcPr>
            <w:tcW w:w="6378" w:type="dxa"/>
            <w:tcBorders>
              <w:top w:val="single" w:color="auto" w:sz="4" w:space="0"/>
              <w:left w:val="single" w:color="auto" w:sz="4" w:space="0"/>
              <w:bottom w:val="single" w:color="auto" w:sz="4" w:space="0"/>
              <w:right w:val="single" w:color="auto" w:sz="4" w:space="0"/>
            </w:tcBorders>
            <w:vAlign w:val="center"/>
          </w:tcPr>
          <w:p w14:paraId="7D572B13">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color w:val="auto"/>
                <w:kern w:val="0"/>
                <w:sz w:val="24"/>
                <w:szCs w:val="24"/>
                <w:highlight w:val="none"/>
                <w:lang w:bidi="ar"/>
              </w:rPr>
              <w:t>法定代表人身份证明及授权委托书有效，且符合招标文件规定的格式。</w:t>
            </w:r>
          </w:p>
        </w:tc>
        <w:tc>
          <w:tcPr>
            <w:tcW w:w="749" w:type="dxa"/>
            <w:tcBorders>
              <w:left w:val="single" w:color="auto" w:sz="4" w:space="0"/>
            </w:tcBorders>
          </w:tcPr>
          <w:p w14:paraId="5942F495">
            <w:pPr>
              <w:rPr>
                <w:rFonts w:ascii="仿宋" w:hAnsi="仿宋" w:eastAsia="仿宋" w:cs="仿宋"/>
                <w:color w:val="auto"/>
                <w:szCs w:val="21"/>
                <w:lang w:eastAsia="zh-CN"/>
              </w:rPr>
            </w:pPr>
          </w:p>
        </w:tc>
        <w:tc>
          <w:tcPr>
            <w:tcW w:w="617" w:type="dxa"/>
            <w:tcBorders>
              <w:right w:val="single" w:color="auto" w:sz="4" w:space="0"/>
            </w:tcBorders>
          </w:tcPr>
          <w:p w14:paraId="1617F886">
            <w:pPr>
              <w:rPr>
                <w:rFonts w:ascii="仿宋" w:hAnsi="仿宋" w:eastAsia="仿宋" w:cs="仿宋"/>
                <w:color w:val="auto"/>
                <w:szCs w:val="21"/>
                <w:lang w:eastAsia="zh-CN"/>
              </w:rPr>
            </w:pPr>
          </w:p>
        </w:tc>
      </w:tr>
      <w:tr w14:paraId="63527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5602153B">
            <w:pPr>
              <w:rPr>
                <w:rFonts w:ascii="仿宋" w:hAnsi="仿宋" w:eastAsia="仿宋" w:cs="仿宋"/>
                <w:color w:val="auto"/>
                <w:lang w:eastAsia="zh-CN"/>
              </w:rPr>
            </w:pPr>
          </w:p>
        </w:tc>
        <w:tc>
          <w:tcPr>
            <w:tcW w:w="597" w:type="dxa"/>
            <w:tcBorders>
              <w:top w:val="single" w:color="auto" w:sz="4" w:space="0"/>
              <w:left w:val="single" w:color="auto" w:sz="4" w:space="0"/>
              <w:right w:val="single" w:color="auto" w:sz="4" w:space="0"/>
            </w:tcBorders>
            <w:vAlign w:val="center"/>
          </w:tcPr>
          <w:p w14:paraId="266E45FA">
            <w:pPr>
              <w:jc w:val="center"/>
              <w:rPr>
                <w:rFonts w:ascii="仿宋" w:hAnsi="仿宋" w:eastAsia="仿宋" w:cs="仿宋"/>
                <w:color w:val="auto"/>
              </w:rPr>
            </w:pPr>
            <w:r>
              <w:rPr>
                <w:rFonts w:hint="eastAsia" w:ascii="仿宋" w:hAnsi="仿宋" w:eastAsia="仿宋" w:cs="仿宋"/>
                <w:color w:val="auto"/>
              </w:rPr>
              <w:t>3</w:t>
            </w:r>
          </w:p>
        </w:tc>
        <w:tc>
          <w:tcPr>
            <w:tcW w:w="6378" w:type="dxa"/>
            <w:tcBorders>
              <w:top w:val="single" w:color="auto" w:sz="4" w:space="0"/>
              <w:left w:val="single" w:color="auto" w:sz="4" w:space="0"/>
              <w:right w:val="single" w:color="auto" w:sz="4" w:space="0"/>
            </w:tcBorders>
            <w:vAlign w:val="center"/>
          </w:tcPr>
          <w:p w14:paraId="7E6EA1D3">
            <w:pPr>
              <w:widowControl/>
              <w:shd w:val="clear" w:color="auto" w:fill="auto"/>
              <w:jc w:val="left"/>
              <w:textAlignment w:val="center"/>
              <w:rPr>
                <w:rFonts w:ascii="仿宋" w:hAnsi="仿宋" w:eastAsia="仿宋" w:cs="仿宋"/>
                <w:color w:val="auto"/>
              </w:rPr>
            </w:pPr>
            <w:r>
              <w:rPr>
                <w:rFonts w:hint="eastAsia" w:ascii="仿宋" w:hAnsi="仿宋" w:eastAsia="仿宋" w:cs="仿宋"/>
                <w:color w:val="auto"/>
                <w:kern w:val="0"/>
                <w:sz w:val="24"/>
                <w:szCs w:val="24"/>
                <w:highlight w:val="none"/>
                <w:lang w:bidi="ar"/>
              </w:rPr>
              <w:t>只有一个方案投标。</w:t>
            </w:r>
          </w:p>
        </w:tc>
        <w:tc>
          <w:tcPr>
            <w:tcW w:w="749" w:type="dxa"/>
            <w:tcBorders>
              <w:left w:val="single" w:color="auto" w:sz="4" w:space="0"/>
            </w:tcBorders>
          </w:tcPr>
          <w:p w14:paraId="52A84B19">
            <w:pPr>
              <w:rPr>
                <w:rFonts w:ascii="仿宋" w:hAnsi="仿宋" w:eastAsia="仿宋" w:cs="仿宋"/>
                <w:color w:val="auto"/>
                <w:szCs w:val="21"/>
              </w:rPr>
            </w:pPr>
          </w:p>
        </w:tc>
        <w:tc>
          <w:tcPr>
            <w:tcW w:w="617" w:type="dxa"/>
            <w:tcBorders>
              <w:right w:val="single" w:color="auto" w:sz="4" w:space="0"/>
            </w:tcBorders>
          </w:tcPr>
          <w:p w14:paraId="2A5D9396">
            <w:pPr>
              <w:rPr>
                <w:rFonts w:ascii="仿宋" w:hAnsi="仿宋" w:eastAsia="仿宋" w:cs="仿宋"/>
                <w:color w:val="auto"/>
                <w:szCs w:val="21"/>
              </w:rPr>
            </w:pPr>
          </w:p>
        </w:tc>
      </w:tr>
      <w:tr w14:paraId="7833F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0A7E7D68">
            <w:pPr>
              <w:rPr>
                <w:rFonts w:ascii="仿宋" w:hAnsi="仿宋" w:eastAsia="仿宋" w:cs="仿宋"/>
                <w:color w:val="auto"/>
              </w:rPr>
            </w:pPr>
          </w:p>
        </w:tc>
        <w:tc>
          <w:tcPr>
            <w:tcW w:w="597" w:type="dxa"/>
            <w:tcBorders>
              <w:left w:val="single" w:color="auto" w:sz="4" w:space="0"/>
            </w:tcBorders>
            <w:vAlign w:val="center"/>
          </w:tcPr>
          <w:p w14:paraId="5AC1361F">
            <w:pPr>
              <w:jc w:val="center"/>
              <w:rPr>
                <w:rFonts w:ascii="仿宋" w:hAnsi="仿宋" w:eastAsia="仿宋" w:cs="仿宋"/>
                <w:color w:val="auto"/>
              </w:rPr>
            </w:pPr>
            <w:r>
              <w:rPr>
                <w:rFonts w:hint="eastAsia" w:ascii="仿宋" w:hAnsi="仿宋" w:eastAsia="仿宋" w:cs="仿宋"/>
                <w:color w:val="auto"/>
                <w:lang w:eastAsia="zh-CN"/>
              </w:rPr>
              <w:t>4</w:t>
            </w:r>
          </w:p>
        </w:tc>
        <w:tc>
          <w:tcPr>
            <w:tcW w:w="6378" w:type="dxa"/>
            <w:tcBorders>
              <w:right w:val="single" w:color="auto" w:sz="4" w:space="0"/>
            </w:tcBorders>
            <w:vAlign w:val="center"/>
          </w:tcPr>
          <w:p w14:paraId="4F610E21">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color w:val="auto"/>
                <w:kern w:val="0"/>
                <w:sz w:val="24"/>
                <w:szCs w:val="24"/>
                <w:highlight w:val="none"/>
                <w:lang w:bidi="ar"/>
              </w:rPr>
              <w:t>投标文件内容齐全、无遗漏。</w:t>
            </w:r>
          </w:p>
        </w:tc>
        <w:tc>
          <w:tcPr>
            <w:tcW w:w="749" w:type="dxa"/>
            <w:tcBorders>
              <w:left w:val="single" w:color="auto" w:sz="4" w:space="0"/>
            </w:tcBorders>
          </w:tcPr>
          <w:p w14:paraId="350EEF6E">
            <w:pPr>
              <w:rPr>
                <w:rFonts w:ascii="仿宋" w:hAnsi="仿宋" w:eastAsia="仿宋" w:cs="仿宋"/>
                <w:color w:val="auto"/>
                <w:szCs w:val="21"/>
                <w:lang w:eastAsia="zh-CN"/>
              </w:rPr>
            </w:pPr>
          </w:p>
        </w:tc>
        <w:tc>
          <w:tcPr>
            <w:tcW w:w="617" w:type="dxa"/>
            <w:tcBorders>
              <w:right w:val="single" w:color="auto" w:sz="4" w:space="0"/>
            </w:tcBorders>
          </w:tcPr>
          <w:p w14:paraId="25C3A48C">
            <w:pPr>
              <w:rPr>
                <w:rFonts w:ascii="仿宋" w:hAnsi="仿宋" w:eastAsia="仿宋" w:cs="仿宋"/>
                <w:color w:val="auto"/>
                <w:szCs w:val="21"/>
                <w:lang w:eastAsia="zh-CN"/>
              </w:rPr>
            </w:pPr>
          </w:p>
        </w:tc>
      </w:tr>
      <w:tr w14:paraId="060B8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04EA4403">
            <w:pPr>
              <w:rPr>
                <w:rFonts w:ascii="仿宋" w:hAnsi="仿宋" w:eastAsia="仿宋" w:cs="仿宋"/>
                <w:color w:val="auto"/>
                <w:lang w:eastAsia="zh-CN"/>
              </w:rPr>
            </w:pPr>
          </w:p>
        </w:tc>
        <w:tc>
          <w:tcPr>
            <w:tcW w:w="597" w:type="dxa"/>
            <w:tcBorders>
              <w:left w:val="single" w:color="auto" w:sz="4" w:space="0"/>
              <w:bottom w:val="single" w:color="auto" w:sz="4" w:space="0"/>
            </w:tcBorders>
            <w:vAlign w:val="center"/>
          </w:tcPr>
          <w:p w14:paraId="03F65170">
            <w:pPr>
              <w:jc w:val="center"/>
              <w:rPr>
                <w:rFonts w:ascii="仿宋" w:hAnsi="仿宋" w:eastAsia="仿宋" w:cs="仿宋"/>
                <w:color w:val="auto"/>
              </w:rPr>
            </w:pPr>
            <w:r>
              <w:rPr>
                <w:rFonts w:hint="eastAsia" w:ascii="仿宋" w:hAnsi="仿宋" w:eastAsia="仿宋" w:cs="仿宋"/>
                <w:color w:val="auto"/>
              </w:rPr>
              <w:t>5</w:t>
            </w:r>
          </w:p>
        </w:tc>
        <w:tc>
          <w:tcPr>
            <w:tcW w:w="6378" w:type="dxa"/>
            <w:tcBorders>
              <w:bottom w:val="single" w:color="auto" w:sz="4" w:space="0"/>
              <w:right w:val="single" w:color="auto" w:sz="4" w:space="0"/>
            </w:tcBorders>
            <w:vAlign w:val="center"/>
          </w:tcPr>
          <w:p w14:paraId="7C9B390D">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color w:val="auto"/>
                <w:lang w:eastAsia="zh-CN"/>
              </w:rPr>
              <w:t>对招标文件规定的招标内容全部作出响应。</w:t>
            </w:r>
          </w:p>
        </w:tc>
        <w:tc>
          <w:tcPr>
            <w:tcW w:w="749" w:type="dxa"/>
            <w:tcBorders>
              <w:left w:val="single" w:color="auto" w:sz="4" w:space="0"/>
              <w:bottom w:val="single" w:color="auto" w:sz="4" w:space="0"/>
            </w:tcBorders>
          </w:tcPr>
          <w:p w14:paraId="42F83151">
            <w:pPr>
              <w:rPr>
                <w:rFonts w:ascii="仿宋" w:hAnsi="仿宋" w:eastAsia="仿宋" w:cs="仿宋"/>
                <w:color w:val="auto"/>
                <w:szCs w:val="21"/>
                <w:lang w:eastAsia="zh-CN"/>
              </w:rPr>
            </w:pPr>
          </w:p>
        </w:tc>
        <w:tc>
          <w:tcPr>
            <w:tcW w:w="617" w:type="dxa"/>
            <w:tcBorders>
              <w:bottom w:val="single" w:color="auto" w:sz="4" w:space="0"/>
              <w:right w:val="single" w:color="auto" w:sz="4" w:space="0"/>
            </w:tcBorders>
          </w:tcPr>
          <w:p w14:paraId="29033567">
            <w:pPr>
              <w:rPr>
                <w:rFonts w:ascii="仿宋" w:hAnsi="仿宋" w:eastAsia="仿宋" w:cs="仿宋"/>
                <w:color w:val="auto"/>
                <w:szCs w:val="21"/>
                <w:lang w:eastAsia="zh-CN"/>
              </w:rPr>
            </w:pPr>
          </w:p>
        </w:tc>
      </w:tr>
      <w:tr w14:paraId="4C3D1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74D620C6">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32BABF2">
            <w:pPr>
              <w:jc w:val="center"/>
              <w:rPr>
                <w:rFonts w:ascii="仿宋" w:hAnsi="仿宋" w:eastAsia="仿宋" w:cs="仿宋"/>
                <w:color w:val="auto"/>
              </w:rPr>
            </w:pPr>
            <w:r>
              <w:rPr>
                <w:rFonts w:hint="eastAsia" w:ascii="仿宋" w:hAnsi="仿宋" w:eastAsia="仿宋" w:cs="仿宋"/>
                <w:color w:val="auto"/>
              </w:rPr>
              <w:t>6</w:t>
            </w:r>
          </w:p>
        </w:tc>
        <w:tc>
          <w:tcPr>
            <w:tcW w:w="6378" w:type="dxa"/>
            <w:tcBorders>
              <w:top w:val="single" w:color="auto" w:sz="4" w:space="0"/>
              <w:left w:val="single" w:color="auto" w:sz="4" w:space="0"/>
              <w:bottom w:val="single" w:color="auto" w:sz="4" w:space="0"/>
              <w:right w:val="single" w:color="auto" w:sz="4" w:space="0"/>
            </w:tcBorders>
            <w:vAlign w:val="center"/>
          </w:tcPr>
          <w:p w14:paraId="62347696">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color w:val="auto"/>
                <w:lang w:eastAsia="zh-CN"/>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5C628E51">
            <w:pPr>
              <w:rPr>
                <w:rFonts w:ascii="仿宋" w:hAnsi="仿宋" w:eastAsia="仿宋" w:cs="仿宋"/>
                <w:color w:val="auto"/>
                <w:szCs w:val="21"/>
                <w:lang w:eastAsia="zh-CN"/>
              </w:rPr>
            </w:pPr>
          </w:p>
        </w:tc>
        <w:tc>
          <w:tcPr>
            <w:tcW w:w="617" w:type="dxa"/>
            <w:tcBorders>
              <w:top w:val="single" w:color="auto" w:sz="4" w:space="0"/>
              <w:left w:val="single" w:color="auto" w:sz="4" w:space="0"/>
              <w:bottom w:val="single" w:color="auto" w:sz="4" w:space="0"/>
              <w:right w:val="single" w:color="auto" w:sz="4" w:space="0"/>
            </w:tcBorders>
          </w:tcPr>
          <w:p w14:paraId="0795268B">
            <w:pPr>
              <w:rPr>
                <w:rFonts w:ascii="仿宋" w:hAnsi="仿宋" w:eastAsia="仿宋" w:cs="仿宋"/>
                <w:color w:val="auto"/>
                <w:szCs w:val="21"/>
                <w:lang w:eastAsia="zh-CN"/>
              </w:rPr>
            </w:pPr>
          </w:p>
        </w:tc>
      </w:tr>
      <w:tr w14:paraId="2EF6E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58459A3F">
            <w:pPr>
              <w:rPr>
                <w:rFonts w:ascii="仿宋" w:hAnsi="仿宋" w:eastAsia="仿宋" w:cs="仿宋"/>
                <w:color w:val="auto"/>
                <w:lang w:eastAsia="zh-CN"/>
              </w:rPr>
            </w:pPr>
          </w:p>
        </w:tc>
        <w:tc>
          <w:tcPr>
            <w:tcW w:w="597" w:type="dxa"/>
            <w:tcBorders>
              <w:top w:val="single" w:color="auto" w:sz="4" w:space="0"/>
              <w:left w:val="single" w:color="auto" w:sz="4" w:space="0"/>
            </w:tcBorders>
            <w:vAlign w:val="center"/>
          </w:tcPr>
          <w:p w14:paraId="7DC5C0C7">
            <w:pPr>
              <w:jc w:val="center"/>
              <w:rPr>
                <w:rFonts w:ascii="仿宋" w:hAnsi="仿宋" w:eastAsia="仿宋" w:cs="仿宋"/>
                <w:color w:val="auto"/>
              </w:rPr>
            </w:pPr>
            <w:r>
              <w:rPr>
                <w:rFonts w:hint="eastAsia" w:ascii="仿宋" w:hAnsi="仿宋" w:eastAsia="仿宋" w:cs="仿宋"/>
                <w:color w:val="auto"/>
              </w:rPr>
              <w:t>7</w:t>
            </w:r>
          </w:p>
        </w:tc>
        <w:tc>
          <w:tcPr>
            <w:tcW w:w="6378" w:type="dxa"/>
            <w:tcBorders>
              <w:top w:val="single" w:color="auto" w:sz="4" w:space="0"/>
              <w:right w:val="single" w:color="auto" w:sz="4" w:space="0"/>
            </w:tcBorders>
            <w:vAlign w:val="center"/>
          </w:tcPr>
          <w:p w14:paraId="2981D0A0">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color w:val="auto"/>
                <w:lang w:val="en-US" w:eastAsia="zh-CN"/>
              </w:rPr>
              <w:t>供货</w:t>
            </w:r>
            <w:r>
              <w:rPr>
                <w:rFonts w:hint="eastAsia" w:ascii="仿宋" w:hAnsi="仿宋" w:eastAsia="仿宋" w:cs="仿宋"/>
                <w:color w:val="auto"/>
                <w:lang w:eastAsia="zh-CN"/>
              </w:rPr>
              <w:t>期限、</w:t>
            </w:r>
            <w:r>
              <w:rPr>
                <w:rFonts w:hint="eastAsia" w:ascii="仿宋" w:hAnsi="仿宋" w:eastAsia="仿宋" w:cs="仿宋"/>
                <w:color w:val="auto"/>
                <w:kern w:val="0"/>
                <w:sz w:val="24"/>
                <w:szCs w:val="24"/>
                <w:highlight w:val="none"/>
                <w:lang w:bidi="ar"/>
              </w:rPr>
              <w:t>售后服务</w:t>
            </w:r>
            <w:r>
              <w:rPr>
                <w:rFonts w:hint="eastAsia" w:ascii="仿宋" w:hAnsi="仿宋" w:eastAsia="仿宋" w:cs="仿宋"/>
                <w:color w:val="auto"/>
                <w:kern w:val="0"/>
                <w:sz w:val="24"/>
                <w:szCs w:val="24"/>
                <w:highlight w:val="none"/>
                <w:lang w:val="en-US" w:eastAsia="zh-CN" w:bidi="ar"/>
              </w:rPr>
              <w:t>期限</w:t>
            </w:r>
            <w:r>
              <w:rPr>
                <w:rFonts w:hint="eastAsia" w:ascii="仿宋" w:hAnsi="仿宋" w:eastAsia="仿宋" w:cs="仿宋"/>
                <w:color w:val="auto"/>
                <w:lang w:eastAsia="zh-CN"/>
              </w:rPr>
              <w:t>满足招标文件要求。</w:t>
            </w:r>
          </w:p>
        </w:tc>
        <w:tc>
          <w:tcPr>
            <w:tcW w:w="749" w:type="dxa"/>
            <w:tcBorders>
              <w:top w:val="single" w:color="auto" w:sz="4" w:space="0"/>
              <w:left w:val="single" w:color="auto" w:sz="4" w:space="0"/>
            </w:tcBorders>
          </w:tcPr>
          <w:p w14:paraId="359C817F">
            <w:pPr>
              <w:rPr>
                <w:rFonts w:ascii="仿宋" w:hAnsi="仿宋" w:eastAsia="仿宋" w:cs="仿宋"/>
                <w:color w:val="auto"/>
                <w:szCs w:val="21"/>
                <w:lang w:eastAsia="zh-CN"/>
              </w:rPr>
            </w:pPr>
          </w:p>
        </w:tc>
        <w:tc>
          <w:tcPr>
            <w:tcW w:w="617" w:type="dxa"/>
            <w:tcBorders>
              <w:top w:val="single" w:color="auto" w:sz="4" w:space="0"/>
              <w:right w:val="single" w:color="auto" w:sz="4" w:space="0"/>
            </w:tcBorders>
          </w:tcPr>
          <w:p w14:paraId="16231836">
            <w:pPr>
              <w:rPr>
                <w:rFonts w:ascii="仿宋" w:hAnsi="仿宋" w:eastAsia="仿宋" w:cs="仿宋"/>
                <w:color w:val="auto"/>
                <w:szCs w:val="21"/>
                <w:lang w:eastAsia="zh-CN"/>
              </w:rPr>
            </w:pPr>
          </w:p>
        </w:tc>
      </w:tr>
      <w:tr w14:paraId="0D319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3F6D0558">
            <w:pPr>
              <w:rPr>
                <w:rFonts w:ascii="仿宋" w:hAnsi="仿宋" w:eastAsia="仿宋" w:cs="仿宋"/>
                <w:color w:val="auto"/>
                <w:lang w:eastAsia="zh-CN"/>
              </w:rPr>
            </w:pPr>
          </w:p>
        </w:tc>
        <w:tc>
          <w:tcPr>
            <w:tcW w:w="597" w:type="dxa"/>
            <w:tcBorders>
              <w:left w:val="single" w:color="auto" w:sz="4" w:space="0"/>
            </w:tcBorders>
            <w:vAlign w:val="center"/>
          </w:tcPr>
          <w:p w14:paraId="24060670">
            <w:pPr>
              <w:jc w:val="center"/>
              <w:rPr>
                <w:rFonts w:ascii="仿宋" w:hAnsi="仿宋" w:eastAsia="仿宋" w:cs="仿宋"/>
                <w:color w:val="auto"/>
              </w:rPr>
            </w:pPr>
            <w:r>
              <w:rPr>
                <w:rFonts w:hint="eastAsia" w:ascii="仿宋" w:hAnsi="仿宋" w:eastAsia="仿宋" w:cs="仿宋"/>
                <w:color w:val="auto"/>
              </w:rPr>
              <w:t>8</w:t>
            </w:r>
          </w:p>
        </w:tc>
        <w:tc>
          <w:tcPr>
            <w:tcW w:w="6378" w:type="dxa"/>
            <w:tcBorders>
              <w:right w:val="single" w:color="auto" w:sz="4" w:space="0"/>
            </w:tcBorders>
            <w:vAlign w:val="center"/>
          </w:tcPr>
          <w:p w14:paraId="5C512262">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color w:val="auto"/>
                <w:lang w:eastAsia="zh-CN"/>
              </w:rPr>
              <w:t>投标文件</w:t>
            </w:r>
            <w:r>
              <w:rPr>
                <w:rFonts w:hint="eastAsia" w:ascii="仿宋" w:hAnsi="仿宋" w:eastAsia="仿宋" w:cs="仿宋"/>
                <w:color w:val="auto"/>
                <w:lang w:val="en-US" w:eastAsia="zh-CN"/>
              </w:rPr>
              <w:t>未</w:t>
            </w:r>
            <w:r>
              <w:rPr>
                <w:rFonts w:hint="eastAsia" w:ascii="仿宋" w:hAnsi="仿宋" w:eastAsia="仿宋" w:cs="仿宋"/>
                <w:color w:val="auto"/>
                <w:lang w:eastAsia="zh-CN"/>
              </w:rPr>
              <w:t>含有采购人不能接受的附加条件；</w:t>
            </w:r>
          </w:p>
        </w:tc>
        <w:tc>
          <w:tcPr>
            <w:tcW w:w="749" w:type="dxa"/>
            <w:tcBorders>
              <w:left w:val="single" w:color="auto" w:sz="4" w:space="0"/>
            </w:tcBorders>
          </w:tcPr>
          <w:p w14:paraId="4DF3D83A">
            <w:pPr>
              <w:rPr>
                <w:rFonts w:ascii="仿宋" w:hAnsi="仿宋" w:eastAsia="仿宋" w:cs="仿宋"/>
                <w:color w:val="auto"/>
                <w:szCs w:val="21"/>
                <w:lang w:eastAsia="zh-CN"/>
              </w:rPr>
            </w:pPr>
          </w:p>
        </w:tc>
        <w:tc>
          <w:tcPr>
            <w:tcW w:w="617" w:type="dxa"/>
            <w:tcBorders>
              <w:right w:val="single" w:color="auto" w:sz="4" w:space="0"/>
            </w:tcBorders>
          </w:tcPr>
          <w:p w14:paraId="70B4A8E7">
            <w:pPr>
              <w:rPr>
                <w:rFonts w:ascii="仿宋" w:hAnsi="仿宋" w:eastAsia="仿宋" w:cs="仿宋"/>
                <w:color w:val="auto"/>
                <w:szCs w:val="21"/>
                <w:lang w:eastAsia="zh-CN"/>
              </w:rPr>
            </w:pPr>
          </w:p>
        </w:tc>
      </w:tr>
      <w:tr w14:paraId="7760F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4CDE22EE">
            <w:pPr>
              <w:rPr>
                <w:rFonts w:ascii="仿宋" w:hAnsi="仿宋" w:eastAsia="仿宋" w:cs="仿宋"/>
                <w:color w:val="auto"/>
                <w:lang w:eastAsia="zh-CN"/>
              </w:rPr>
            </w:pPr>
          </w:p>
        </w:tc>
        <w:tc>
          <w:tcPr>
            <w:tcW w:w="597" w:type="dxa"/>
            <w:tcBorders>
              <w:left w:val="single" w:color="auto" w:sz="4" w:space="0"/>
            </w:tcBorders>
            <w:vAlign w:val="center"/>
          </w:tcPr>
          <w:p w14:paraId="7709B0D4">
            <w:pPr>
              <w:jc w:val="center"/>
              <w:rPr>
                <w:rFonts w:ascii="仿宋" w:hAnsi="仿宋" w:eastAsia="仿宋" w:cs="仿宋"/>
                <w:color w:val="auto"/>
              </w:rPr>
            </w:pPr>
            <w:r>
              <w:rPr>
                <w:rFonts w:hint="eastAsia" w:ascii="仿宋" w:hAnsi="仿宋" w:eastAsia="仿宋" w:cs="仿宋"/>
                <w:color w:val="auto"/>
              </w:rPr>
              <w:t>9</w:t>
            </w:r>
          </w:p>
        </w:tc>
        <w:tc>
          <w:tcPr>
            <w:tcW w:w="6378" w:type="dxa"/>
            <w:tcBorders>
              <w:right w:val="single" w:color="auto" w:sz="4" w:space="0"/>
            </w:tcBorders>
            <w:vAlign w:val="center"/>
          </w:tcPr>
          <w:p w14:paraId="5EEB2CF7">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color w:val="auto"/>
                <w:kern w:val="0"/>
                <w:sz w:val="24"/>
                <w:szCs w:val="24"/>
                <w:highlight w:val="none"/>
                <w:lang w:bidi="ar"/>
              </w:rPr>
              <w:t>投标有效期满足招标文件要求。</w:t>
            </w:r>
          </w:p>
        </w:tc>
        <w:tc>
          <w:tcPr>
            <w:tcW w:w="749" w:type="dxa"/>
            <w:tcBorders>
              <w:left w:val="single" w:color="auto" w:sz="4" w:space="0"/>
            </w:tcBorders>
          </w:tcPr>
          <w:p w14:paraId="13872232">
            <w:pPr>
              <w:rPr>
                <w:rFonts w:ascii="仿宋" w:hAnsi="仿宋" w:eastAsia="仿宋" w:cs="仿宋"/>
                <w:color w:val="auto"/>
                <w:szCs w:val="21"/>
                <w:lang w:eastAsia="zh-CN"/>
              </w:rPr>
            </w:pPr>
          </w:p>
        </w:tc>
        <w:tc>
          <w:tcPr>
            <w:tcW w:w="617" w:type="dxa"/>
            <w:tcBorders>
              <w:right w:val="single" w:color="auto" w:sz="4" w:space="0"/>
            </w:tcBorders>
          </w:tcPr>
          <w:p w14:paraId="5871DA56">
            <w:pPr>
              <w:rPr>
                <w:rFonts w:ascii="仿宋" w:hAnsi="仿宋" w:eastAsia="仿宋" w:cs="仿宋"/>
                <w:color w:val="auto"/>
                <w:szCs w:val="21"/>
                <w:lang w:eastAsia="zh-CN"/>
              </w:rPr>
            </w:pPr>
          </w:p>
        </w:tc>
      </w:tr>
      <w:tr w14:paraId="5A591C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0DC0C255">
            <w:pPr>
              <w:rPr>
                <w:rFonts w:ascii="仿宋" w:hAnsi="仿宋" w:eastAsia="仿宋" w:cs="仿宋"/>
                <w:color w:val="auto"/>
                <w:lang w:eastAsia="zh-CN"/>
              </w:rPr>
            </w:pPr>
          </w:p>
        </w:tc>
        <w:tc>
          <w:tcPr>
            <w:tcW w:w="597" w:type="dxa"/>
            <w:tcBorders>
              <w:left w:val="single" w:color="auto" w:sz="4" w:space="0"/>
            </w:tcBorders>
            <w:vAlign w:val="center"/>
          </w:tcPr>
          <w:p w14:paraId="4BC11C2D">
            <w:pPr>
              <w:jc w:val="center"/>
              <w:rPr>
                <w:rFonts w:ascii="仿宋" w:hAnsi="仿宋" w:eastAsia="仿宋" w:cs="仿宋"/>
                <w:color w:val="auto"/>
              </w:rPr>
            </w:pPr>
            <w:r>
              <w:rPr>
                <w:rFonts w:hint="eastAsia" w:ascii="仿宋" w:hAnsi="仿宋" w:eastAsia="仿宋" w:cs="仿宋"/>
                <w:color w:val="auto"/>
              </w:rPr>
              <w:t>10</w:t>
            </w:r>
          </w:p>
        </w:tc>
        <w:tc>
          <w:tcPr>
            <w:tcW w:w="6378" w:type="dxa"/>
            <w:tcBorders>
              <w:right w:val="single" w:color="auto" w:sz="4" w:space="0"/>
            </w:tcBorders>
            <w:vAlign w:val="center"/>
          </w:tcPr>
          <w:p w14:paraId="2412D227">
            <w:pPr>
              <w:widowControl/>
              <w:shd w:val="clear" w:color="auto" w:fill="auto"/>
              <w:jc w:val="left"/>
              <w:textAlignment w:val="center"/>
              <w:rPr>
                <w:rFonts w:ascii="仿宋" w:hAnsi="仿宋" w:eastAsia="仿宋" w:cs="仿宋"/>
                <w:color w:val="auto"/>
                <w:lang w:eastAsia="zh-CN"/>
              </w:rPr>
            </w:pPr>
            <w:r>
              <w:rPr>
                <w:rFonts w:hint="eastAsia" w:ascii="仿宋" w:hAnsi="仿宋" w:eastAsia="仿宋" w:cs="仿宋"/>
                <w:b/>
                <w:bCs/>
                <w:color w:val="auto"/>
                <w:kern w:val="0"/>
                <w:sz w:val="24"/>
                <w:szCs w:val="24"/>
                <w:highlight w:val="none"/>
                <w:lang w:bidi="ar"/>
              </w:rPr>
              <w:t>投标人详细地址、联系人、电话</w:t>
            </w:r>
          </w:p>
        </w:tc>
        <w:tc>
          <w:tcPr>
            <w:tcW w:w="749" w:type="dxa"/>
            <w:tcBorders>
              <w:left w:val="single" w:color="auto" w:sz="4" w:space="0"/>
            </w:tcBorders>
          </w:tcPr>
          <w:p w14:paraId="5A871E59">
            <w:pPr>
              <w:rPr>
                <w:rFonts w:ascii="仿宋" w:hAnsi="仿宋" w:eastAsia="仿宋" w:cs="仿宋"/>
                <w:color w:val="auto"/>
                <w:szCs w:val="21"/>
                <w:lang w:eastAsia="zh-CN"/>
              </w:rPr>
            </w:pPr>
          </w:p>
        </w:tc>
        <w:tc>
          <w:tcPr>
            <w:tcW w:w="617" w:type="dxa"/>
            <w:tcBorders>
              <w:right w:val="single" w:color="auto" w:sz="4" w:space="0"/>
            </w:tcBorders>
          </w:tcPr>
          <w:p w14:paraId="72E5CCE1">
            <w:pPr>
              <w:rPr>
                <w:rFonts w:ascii="仿宋" w:hAnsi="仿宋" w:eastAsia="仿宋" w:cs="仿宋"/>
                <w:color w:val="auto"/>
                <w:szCs w:val="21"/>
                <w:lang w:eastAsia="zh-CN"/>
              </w:rPr>
            </w:pPr>
          </w:p>
        </w:tc>
      </w:tr>
      <w:tr w14:paraId="5D2B2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334F79E4">
            <w:pPr>
              <w:jc w:val="center"/>
              <w:rPr>
                <w:rFonts w:ascii="仿宋" w:hAnsi="仿宋" w:eastAsia="仿宋" w:cs="仿宋"/>
                <w:color w:val="auto"/>
                <w:szCs w:val="21"/>
                <w:lang w:eastAsia="zh-CN"/>
              </w:rPr>
            </w:pPr>
          </w:p>
        </w:tc>
        <w:tc>
          <w:tcPr>
            <w:tcW w:w="6975" w:type="dxa"/>
            <w:gridSpan w:val="2"/>
            <w:tcBorders>
              <w:left w:val="single" w:color="auto" w:sz="4" w:space="0"/>
              <w:bottom w:val="single" w:color="auto" w:sz="4" w:space="0"/>
              <w:right w:val="single" w:color="auto" w:sz="4" w:space="0"/>
            </w:tcBorders>
          </w:tcPr>
          <w:p w14:paraId="569F35CE">
            <w:pPr>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14:paraId="792CD978">
            <w:pPr>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1B6F9BD8">
            <w:pPr>
              <w:rPr>
                <w:rFonts w:ascii="仿宋" w:hAnsi="仿宋" w:eastAsia="仿宋" w:cs="仿宋"/>
                <w:color w:val="auto"/>
                <w:szCs w:val="21"/>
                <w:lang w:eastAsia="zh-CN"/>
              </w:rPr>
            </w:pPr>
          </w:p>
        </w:tc>
      </w:tr>
    </w:tbl>
    <w:p w14:paraId="61E8CC4F">
      <w:pPr>
        <w:rPr>
          <w:rFonts w:ascii="仿宋" w:hAnsi="仿宋" w:eastAsia="仿宋" w:cs="仿宋"/>
          <w:color w:val="auto"/>
          <w:lang w:eastAsia="zh-CN"/>
        </w:rPr>
      </w:pPr>
    </w:p>
    <w:p w14:paraId="1365EEBF">
      <w:pPr>
        <w:spacing w:line="400" w:lineRule="exact"/>
        <w:ind w:firstLine="578" w:firstLineChars="241"/>
        <w:rPr>
          <w:rFonts w:ascii="仿宋" w:hAnsi="仿宋" w:eastAsia="仿宋" w:cs="仿宋"/>
          <w:color w:val="auto"/>
          <w:szCs w:val="21"/>
          <w:lang w:eastAsia="zh-CN"/>
        </w:rPr>
      </w:pPr>
      <w:r>
        <w:rPr>
          <w:rFonts w:hint="eastAsia" w:ascii="仿宋" w:hAnsi="仿宋" w:eastAsia="仿宋" w:cs="仿宋"/>
          <w:color w:val="auto"/>
          <w:szCs w:val="21"/>
          <w:lang w:eastAsia="zh-CN"/>
        </w:rPr>
        <w:t>7.2评委会判定投标文件的响应性只根据投标文件本身的内容，而不寻求外部的证据，但投标有不真实不正确的内容时除外。</w:t>
      </w:r>
    </w:p>
    <w:p w14:paraId="307BB0BB">
      <w:pPr>
        <w:spacing w:line="400" w:lineRule="exact"/>
        <w:ind w:firstLine="578" w:firstLineChars="241"/>
        <w:rPr>
          <w:rFonts w:ascii="仿宋" w:hAnsi="仿宋" w:eastAsia="仿宋" w:cs="仿宋"/>
          <w:color w:val="auto"/>
          <w:szCs w:val="21"/>
          <w:lang w:eastAsia="zh-CN"/>
        </w:rPr>
      </w:pPr>
      <w:r>
        <w:rPr>
          <w:rFonts w:hint="eastAsia" w:ascii="仿宋" w:hAnsi="仿宋" w:eastAsia="仿宋" w:cs="仿宋"/>
          <w:color w:val="auto"/>
          <w:szCs w:val="21"/>
          <w:lang w:eastAsia="zh-CN"/>
        </w:rPr>
        <w:t>7.3如果投标文件实质上没有响应采购文件的要求，评委会将予以拒绝，供应商不得通过修正或撤销不符合要求的偏离或保留，而使其投标成为实质上响应的投标。</w:t>
      </w:r>
    </w:p>
    <w:p w14:paraId="5714C59F">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7.4供应商可在现场20分钟内对评标委员会的评审结论提出异议，评标委员会根据采购文件及有关规定对供应商的异议进行复议</w:t>
      </w:r>
    </w:p>
    <w:p w14:paraId="0C4DB925">
      <w:pPr>
        <w:spacing w:line="400" w:lineRule="exact"/>
        <w:ind w:firstLine="600" w:firstLineChars="250"/>
        <w:rPr>
          <w:rFonts w:ascii="仿宋" w:hAnsi="仿宋" w:eastAsia="仿宋" w:cs="仿宋"/>
          <w:color w:val="auto"/>
          <w:szCs w:val="21"/>
          <w:lang w:eastAsia="zh-CN"/>
        </w:rPr>
      </w:pPr>
      <w:r>
        <w:rPr>
          <w:rFonts w:hint="eastAsia" w:ascii="仿宋" w:hAnsi="仿宋" w:eastAsia="仿宋" w:cs="仿宋"/>
          <w:color w:val="auto"/>
          <w:szCs w:val="21"/>
          <w:lang w:eastAsia="zh-CN"/>
        </w:rPr>
        <w:t>7.5只有通过初审的供应商才能进入下一步评标程序。</w:t>
      </w:r>
    </w:p>
    <w:p w14:paraId="4390BB54">
      <w:pPr>
        <w:spacing w:line="400" w:lineRule="exact"/>
        <w:ind w:firstLine="480" w:firstLineChars="200"/>
        <w:rPr>
          <w:rFonts w:ascii="仿宋" w:hAnsi="仿宋" w:eastAsia="仿宋" w:cs="仿宋"/>
          <w:color w:val="auto"/>
          <w:szCs w:val="21"/>
          <w:lang w:eastAsia="zh-CN"/>
        </w:rPr>
      </w:pPr>
      <w:r>
        <w:rPr>
          <w:rFonts w:hint="eastAsia" w:ascii="仿宋" w:hAnsi="仿宋" w:eastAsia="仿宋" w:cs="仿宋"/>
          <w:b/>
          <w:color w:val="auto"/>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079C35C4">
      <w:pPr>
        <w:spacing w:beforeLines="50" w:line="400" w:lineRule="exact"/>
        <w:jc w:val="center"/>
        <w:outlineLvl w:val="1"/>
        <w:rPr>
          <w:rFonts w:ascii="仿宋" w:hAnsi="仿宋" w:eastAsia="仿宋" w:cs="仿宋"/>
          <w:b/>
          <w:color w:val="auto"/>
          <w:lang w:eastAsia="zh-CN"/>
        </w:rPr>
      </w:pPr>
      <w:bookmarkStart w:id="73" w:name="_Toc362983803"/>
      <w:bookmarkStart w:id="74" w:name="_Toc469495734"/>
      <w:r>
        <w:rPr>
          <w:rFonts w:hint="eastAsia" w:ascii="仿宋" w:hAnsi="仿宋" w:eastAsia="仿宋" w:cs="仿宋"/>
          <w:b/>
          <w:color w:val="auto"/>
          <w:lang w:eastAsia="zh-CN"/>
        </w:rPr>
        <w:t xml:space="preserve">三 </w:t>
      </w:r>
      <w:r>
        <w:rPr>
          <w:rFonts w:hint="eastAsia" w:ascii="仿宋" w:hAnsi="仿宋" w:eastAsia="仿宋" w:cs="仿宋"/>
          <w:b/>
          <w:color w:val="auto"/>
          <w:sz w:val="28"/>
          <w:szCs w:val="28"/>
          <w:lang w:eastAsia="zh-CN"/>
        </w:rPr>
        <w:t xml:space="preserve"> </w:t>
      </w:r>
      <w:r>
        <w:rPr>
          <w:rFonts w:hint="eastAsia" w:ascii="仿宋" w:hAnsi="仿宋" w:eastAsia="仿宋" w:cs="仿宋"/>
          <w:b/>
          <w:color w:val="auto"/>
          <w:lang w:eastAsia="zh-CN"/>
        </w:rPr>
        <w:t>投标文件的澄清和补正</w:t>
      </w:r>
      <w:bookmarkEnd w:id="73"/>
      <w:bookmarkEnd w:id="74"/>
    </w:p>
    <w:p w14:paraId="12A5F8A7">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8．澄清、说明或补正的形式</w:t>
      </w:r>
    </w:p>
    <w:p w14:paraId="5C81265A">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43FB189C">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1DFE8B52">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929ECB1">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9．错误修正的原则</w:t>
      </w:r>
    </w:p>
    <w:p w14:paraId="30082F12">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14:paraId="03DFF1FF">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14:paraId="5A1D01CA">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9.1 投标函中表述的内容与报价表中不一致的，以报价表为准；报价表中的内容与报价明细表不一致的，以报价表为准；</w:t>
      </w:r>
    </w:p>
    <w:p w14:paraId="2656CAAE">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9.2 投标文件中的大写金额和小写金额不一致的，以大写金额为准；</w:t>
      </w:r>
    </w:p>
    <w:p w14:paraId="3050AE16">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9.3 单价金额小数点或者百分比有明显错位的，以开标一览表的总价为准，并修改单价；</w:t>
      </w:r>
    </w:p>
    <w:p w14:paraId="7700A32F">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9.4 总价金额与按单价汇总金额不一致的，以单价金额计算结果为准；</w:t>
      </w:r>
    </w:p>
    <w:p w14:paraId="68F7962B">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9.5 若用文字表示的数值与用数字表示的数值不一致，以文字表示的数值为准；</w:t>
      </w:r>
    </w:p>
    <w:p w14:paraId="4FAC8B69">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9.6 如有多报（指数量超出采购文件需求）、重报（指同一货物重复报价），其投标总价在评标过程中不予调整，如其中标，其合同价按其投标单价予以调整；</w:t>
      </w:r>
    </w:p>
    <w:p w14:paraId="63AFF40B">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9.7 对不同文字文本投标文件的解释发生异议的，以中文文本为准；</w:t>
      </w:r>
    </w:p>
    <w:p w14:paraId="516B0105">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27BE5875">
      <w:pPr>
        <w:spacing w:line="400" w:lineRule="exact"/>
        <w:jc w:val="center"/>
        <w:outlineLvl w:val="1"/>
        <w:rPr>
          <w:rFonts w:ascii="仿宋" w:hAnsi="仿宋" w:eastAsia="仿宋" w:cs="仿宋"/>
          <w:b/>
          <w:color w:val="auto"/>
          <w:lang w:eastAsia="zh-CN"/>
        </w:rPr>
      </w:pPr>
      <w:bookmarkStart w:id="75" w:name="_Toc469495735"/>
      <w:r>
        <w:rPr>
          <w:rFonts w:hint="eastAsia" w:ascii="仿宋" w:hAnsi="仿宋" w:eastAsia="仿宋" w:cs="仿宋"/>
          <w:b/>
          <w:color w:val="auto"/>
          <w:lang w:eastAsia="zh-CN"/>
        </w:rPr>
        <w:t>四 比较与评价</w:t>
      </w:r>
      <w:bookmarkEnd w:id="75"/>
    </w:p>
    <w:p w14:paraId="56471902">
      <w:pPr>
        <w:tabs>
          <w:tab w:val="left" w:pos="720"/>
        </w:tabs>
        <w:spacing w:line="440" w:lineRule="exact"/>
        <w:ind w:firstLine="480" w:firstLineChars="200"/>
        <w:rPr>
          <w:rFonts w:ascii="仿宋" w:hAnsi="仿宋" w:eastAsia="仿宋" w:cs="仿宋"/>
          <w:color w:val="auto"/>
          <w:szCs w:val="21"/>
          <w:lang w:eastAsia="zh-CN" w:bidi="ar-SA"/>
        </w:rPr>
      </w:pPr>
      <w:bookmarkStart w:id="76" w:name="_Toc362983805"/>
      <w:bookmarkStart w:id="77" w:name="_Toc469495736"/>
      <w:r>
        <w:rPr>
          <w:rFonts w:hint="eastAsia" w:ascii="仿宋" w:hAnsi="仿宋" w:eastAsia="仿宋" w:cs="仿宋"/>
          <w:color w:val="auto"/>
          <w:szCs w:val="21"/>
          <w:lang w:eastAsia="zh-CN" w:bidi="ar-SA"/>
        </w:rPr>
        <w:t>10.1评标委员会按招标文件中规定的评标方法和标准，对资格性检查和符合性检查合格的投标文件进行商务和技术评估、综合比较与评价。</w:t>
      </w:r>
    </w:p>
    <w:p w14:paraId="4D28B865">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10.2评标委员会根据商务和技术评估的结果，采用综合评分法，分别对投标文件的商务、技术、价格等内容进行打分。其中，商务评估、技术评估、价格评估的评分权值（详见附件1）。</w:t>
      </w:r>
    </w:p>
    <w:p w14:paraId="7609CEE0">
      <w:pPr>
        <w:spacing w:line="400" w:lineRule="exact"/>
        <w:ind w:firstLine="480" w:firstLineChars="200"/>
        <w:rPr>
          <w:rFonts w:ascii="仿宋" w:hAnsi="仿宋" w:eastAsia="仿宋" w:cs="仿宋"/>
          <w:bCs/>
          <w:color w:val="auto"/>
          <w:szCs w:val="21"/>
          <w:lang w:eastAsia="zh-CN" w:bidi="ar-SA"/>
        </w:rPr>
      </w:pPr>
      <w:r>
        <w:rPr>
          <w:rFonts w:hint="eastAsia" w:ascii="仿宋" w:hAnsi="仿宋" w:eastAsia="仿宋" w:cs="仿宋"/>
          <w:color w:val="auto"/>
          <w:szCs w:val="21"/>
          <w:lang w:eastAsia="zh-CN" w:bidi="ar-SA"/>
        </w:rPr>
        <w:t>10.</w:t>
      </w:r>
      <w:r>
        <w:rPr>
          <w:rFonts w:hint="eastAsia" w:ascii="仿宋" w:hAnsi="仿宋" w:eastAsia="仿宋" w:cs="仿宋"/>
          <w:bCs/>
          <w:color w:val="auto"/>
          <w:szCs w:val="21"/>
          <w:lang w:eastAsia="zh-CN" w:bidi="ar-SA"/>
        </w:rPr>
        <w:t>2.1评委打分办法</w:t>
      </w:r>
    </w:p>
    <w:p w14:paraId="0728926D">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bCs/>
          <w:color w:val="auto"/>
          <w:szCs w:val="21"/>
          <w:lang w:eastAsia="zh-CN" w:bidi="ar-SA"/>
        </w:rPr>
        <w:t>（1）</w:t>
      </w:r>
      <w:r>
        <w:rPr>
          <w:rFonts w:hint="eastAsia" w:ascii="仿宋" w:hAnsi="仿宋" w:eastAsia="仿宋" w:cs="仿宋"/>
          <w:color w:val="auto"/>
          <w:szCs w:val="21"/>
          <w:lang w:eastAsia="zh-CN" w:bidi="ar-SA"/>
        </w:rPr>
        <w:t>参加评分的评委应尽力体现客观、实事求是，避免学派偏见和个人偏好。</w:t>
      </w:r>
    </w:p>
    <w:p w14:paraId="4B37E5D6">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（2）衡量、对比的依据，应以招标文件、投标文件、提供的正式试验数据、质询澄清中的文字为准，口头回答和收集的资料只作为参考。</w:t>
      </w:r>
    </w:p>
    <w:p w14:paraId="5B1029F2">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（3）评分主要是为比较各供应商的价格、商务和技术综合排序。</w:t>
      </w:r>
    </w:p>
    <w:p w14:paraId="0DB5CF91">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（4）评委打分采取记名形式。</w:t>
      </w:r>
    </w:p>
    <w:p w14:paraId="38D6AFC2">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（5）各评委根据提供的技术打分表独立自主打分，任何人不得要求评委统一打分或统一确定等次顺序。</w:t>
      </w:r>
    </w:p>
    <w:p w14:paraId="59716754">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（6）对打分表中的每项条款，各评委应根据投标文件、澄清材料、招标文件要求，按满足的程度给供应商打分。</w:t>
      </w:r>
    </w:p>
    <w:p w14:paraId="711FD9B5">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（7）评分程序</w:t>
      </w:r>
    </w:p>
    <w:p w14:paraId="48169DBD">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1)就供应商的投标文件对照整理出商务、技术评标因素对比表、偏差表，并在经过校核的基础上逐项打分。</w:t>
      </w:r>
    </w:p>
    <w:p w14:paraId="20F6D42B">
      <w:pPr>
        <w:spacing w:line="400" w:lineRule="exact"/>
        <w:ind w:firstLine="480" w:firstLineChars="200"/>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2)各评委独立完成打分后，将评分表交给代理机构，由代理机构组织进行分数统计。</w:t>
      </w:r>
    </w:p>
    <w:p w14:paraId="74220E3F">
      <w:pPr>
        <w:spacing w:line="400" w:lineRule="exact"/>
        <w:ind w:firstLine="480" w:firstLineChars="200"/>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3)最终汇总表中各供应商得分应为评委打分的算术平均值</w:t>
      </w:r>
    </w:p>
    <w:p w14:paraId="7F7E6228">
      <w:pPr>
        <w:rPr>
          <w:rFonts w:hint="eastAsia"/>
          <w:color w:val="auto"/>
          <w:lang w:eastAsia="zh-CN"/>
        </w:rPr>
      </w:pPr>
    </w:p>
    <w:p w14:paraId="63337C61">
      <w:pPr>
        <w:pStyle w:val="5"/>
        <w:numPr>
          <w:ilvl w:val="0"/>
          <w:numId w:val="6"/>
        </w:numPr>
        <w:spacing w:line="400" w:lineRule="exact"/>
        <w:ind w:firstLine="2100" w:firstLineChars="875"/>
        <w:rPr>
          <w:rFonts w:hint="eastAsia" w:ascii="仿宋" w:hAnsi="仿宋" w:eastAsia="仿宋" w:cs="仿宋"/>
          <w:color w:val="auto"/>
          <w:szCs w:val="21"/>
          <w:highlight w:val="none"/>
          <w:lang w:bidi="ar-SA"/>
        </w:rPr>
      </w:pPr>
      <w:r>
        <w:rPr>
          <w:rFonts w:hint="eastAsia" w:ascii="仿宋" w:hAnsi="仿宋" w:eastAsia="仿宋" w:cs="仿宋"/>
          <w:color w:val="auto"/>
          <w:szCs w:val="21"/>
          <w:lang w:eastAsia="zh-CN" w:bidi="ar-SA"/>
        </w:rPr>
        <w:t>评分标准和细则（综合评分法评分标准）</w:t>
      </w:r>
      <w:bookmarkEnd w:id="71"/>
      <w:bookmarkEnd w:id="76"/>
      <w:bookmarkEnd w:id="77"/>
    </w:p>
    <w:tbl>
      <w:tblPr>
        <w:tblStyle w:val="26"/>
        <w:tblpPr w:leftFromText="180" w:rightFromText="180" w:vertAnchor="text" w:horzAnchor="page" w:tblpX="1704" w:tblpY="139"/>
        <w:tblOverlap w:val="never"/>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87"/>
        <w:gridCol w:w="6933"/>
      </w:tblGrid>
      <w:tr w14:paraId="1EB6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38" w:type="dxa"/>
            <w:noWrap w:val="0"/>
            <w:vAlign w:val="top"/>
          </w:tcPr>
          <w:p w14:paraId="2C164E75">
            <w:pPr>
              <w:pStyle w:val="24"/>
              <w:spacing w:line="240" w:lineRule="auto"/>
              <w:ind w:left="0" w:leftChars="0" w:firstLine="0" w:firstLineChars="0"/>
              <w:jc w:val="center"/>
              <w:rPr>
                <w:rFonts w:hint="eastAsia" w:ascii="Times New Roman" w:hAnsi="Times New Roman" w:eastAsia="宋体" w:cs="Times New Roman"/>
                <w:b w:val="0"/>
                <w:bCs w:val="0"/>
                <w:color w:val="auto"/>
                <w:kern w:val="2"/>
                <w:sz w:val="20"/>
                <w:szCs w:val="20"/>
                <w:highlight w:val="none"/>
                <w:lang w:val="en-US" w:eastAsia="zh-CN" w:bidi="ar-SA"/>
              </w:rPr>
            </w:pPr>
            <w:r>
              <w:rPr>
                <w:rFonts w:hint="eastAsia" w:cs="Times New Roman"/>
                <w:b w:val="0"/>
                <w:bCs w:val="0"/>
                <w:color w:val="auto"/>
                <w:kern w:val="2"/>
                <w:sz w:val="20"/>
                <w:szCs w:val="20"/>
                <w:highlight w:val="none"/>
                <w:lang w:val="en-US" w:eastAsia="zh-CN" w:bidi="ar-SA"/>
              </w:rPr>
              <w:t>评审项目</w:t>
            </w:r>
          </w:p>
        </w:tc>
        <w:tc>
          <w:tcPr>
            <w:tcW w:w="1387" w:type="dxa"/>
            <w:noWrap w:val="0"/>
            <w:vAlign w:val="top"/>
          </w:tcPr>
          <w:p w14:paraId="7170E03F">
            <w:pPr>
              <w:keepNext w:val="0"/>
              <w:keepLines w:val="0"/>
              <w:widowControl/>
              <w:suppressLineNumbers w:val="0"/>
              <w:spacing w:line="240" w:lineRule="auto"/>
              <w:jc w:val="center"/>
              <w:rPr>
                <w:rFonts w:hint="eastAsia"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评分因素</w:t>
            </w:r>
          </w:p>
        </w:tc>
        <w:tc>
          <w:tcPr>
            <w:tcW w:w="6933" w:type="dxa"/>
            <w:noWrap w:val="0"/>
            <w:vAlign w:val="top"/>
          </w:tcPr>
          <w:p w14:paraId="7A870E0C">
            <w:pPr>
              <w:pStyle w:val="24"/>
              <w:spacing w:line="240" w:lineRule="auto"/>
              <w:ind w:left="0" w:leftChars="0" w:firstLine="0" w:firstLineChars="0"/>
              <w:jc w:val="center"/>
              <w:rPr>
                <w:rFonts w:hint="eastAsia"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评分标准</w:t>
            </w:r>
          </w:p>
        </w:tc>
      </w:tr>
      <w:tr w14:paraId="04AB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38" w:type="dxa"/>
            <w:noWrap w:val="0"/>
            <w:vAlign w:val="center"/>
          </w:tcPr>
          <w:p w14:paraId="1397F65B">
            <w:pPr>
              <w:spacing w:line="240" w:lineRule="auto"/>
              <w:jc w:val="center"/>
              <w:rPr>
                <w:rFonts w:hint="eastAsia" w:cs="Times New Roman"/>
                <w:b w:val="0"/>
                <w:bCs w:val="0"/>
                <w:color w:val="auto"/>
                <w:kern w:val="2"/>
                <w:sz w:val="20"/>
                <w:szCs w:val="20"/>
                <w:highlight w:val="none"/>
                <w:lang w:val="en-US" w:eastAsia="zh-CN" w:bidi="ar-SA"/>
              </w:rPr>
            </w:pPr>
            <w:r>
              <w:rPr>
                <w:rFonts w:hint="eastAsia" w:cs="Times New Roman"/>
                <w:b w:val="0"/>
                <w:bCs w:val="0"/>
                <w:color w:val="auto"/>
                <w:kern w:val="2"/>
                <w:sz w:val="20"/>
                <w:szCs w:val="20"/>
                <w:highlight w:val="none"/>
                <w:lang w:val="en-US" w:eastAsia="zh-CN" w:bidi="ar-SA"/>
              </w:rPr>
              <w:t>价格</w:t>
            </w:r>
          </w:p>
        </w:tc>
        <w:tc>
          <w:tcPr>
            <w:tcW w:w="1387" w:type="dxa"/>
            <w:noWrap w:val="0"/>
            <w:vAlign w:val="center"/>
          </w:tcPr>
          <w:p w14:paraId="00415AC7">
            <w:pPr>
              <w:widowControl/>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投标报价</w:t>
            </w:r>
          </w:p>
          <w:p w14:paraId="2F44222C">
            <w:pPr>
              <w:widowControl/>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（30分）</w:t>
            </w:r>
          </w:p>
        </w:tc>
        <w:tc>
          <w:tcPr>
            <w:tcW w:w="6933" w:type="dxa"/>
            <w:noWrap w:val="0"/>
            <w:vAlign w:val="center"/>
          </w:tcPr>
          <w:p w14:paraId="60D31AA3">
            <w:pPr>
              <w:keepNext w:val="0"/>
              <w:keepLines w:val="0"/>
              <w:pageBreakBefore w:val="0"/>
              <w:kinsoku/>
              <w:wordWrap/>
              <w:overflowPunct/>
              <w:topLinePunct w:val="0"/>
              <w:autoSpaceDE w:val="0"/>
              <w:autoSpaceDN w:val="0"/>
              <w:bidi w:val="0"/>
              <w:adjustRightInd w:val="0"/>
              <w:snapToGrid w:val="0"/>
              <w:spacing w:line="360" w:lineRule="auto"/>
              <w:ind w:left="0" w:right="0" w:firstLine="0"/>
              <w:jc w:val="both"/>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投标报价得分＝（基准价/投标报价）×价格权重×100。</w:t>
            </w:r>
          </w:p>
          <w:p w14:paraId="62443C7E">
            <w:pPr>
              <w:keepNext w:val="0"/>
              <w:keepLines w:val="0"/>
              <w:pageBreakBefore w:val="0"/>
              <w:kinsoku/>
              <w:wordWrap/>
              <w:overflowPunct/>
              <w:topLinePunct w:val="0"/>
              <w:autoSpaceDE w:val="0"/>
              <w:autoSpaceDN w:val="0"/>
              <w:bidi w:val="0"/>
              <w:adjustRightInd w:val="0"/>
              <w:snapToGrid w:val="0"/>
              <w:spacing w:line="360" w:lineRule="auto"/>
              <w:ind w:left="0" w:right="0" w:firstLine="0"/>
              <w:jc w:val="both"/>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注：价格分统一采用低价优先法计算，即满足招标文件要求且评标价格最低的报价为评标基准价，其价格分为满分，报价得分精确到小数点后两位，投标报价超过采购最高限价的按废标处理。报价远低于最高价的，必须现场提供澄清说明及有效事实依据证明，否则作废标处理。</w:t>
            </w:r>
          </w:p>
        </w:tc>
      </w:tr>
      <w:tr w14:paraId="7EA4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38" w:type="dxa"/>
            <w:vMerge w:val="restart"/>
            <w:noWrap w:val="0"/>
            <w:vAlign w:val="center"/>
          </w:tcPr>
          <w:p w14:paraId="09A9A65B">
            <w:pPr>
              <w:spacing w:line="240" w:lineRule="auto"/>
              <w:jc w:val="center"/>
              <w:rPr>
                <w:rFonts w:hint="eastAsia" w:ascii="Times New Roman" w:hAnsi="Times New Roman" w:eastAsia="宋体" w:cs="Times New Roman"/>
                <w:b w:val="0"/>
                <w:bCs w:val="0"/>
                <w:color w:val="auto"/>
                <w:kern w:val="2"/>
                <w:sz w:val="20"/>
                <w:szCs w:val="20"/>
                <w:highlight w:val="none"/>
                <w:lang w:val="en-US" w:eastAsia="zh-CN" w:bidi="ar-SA"/>
              </w:rPr>
            </w:pPr>
          </w:p>
          <w:p w14:paraId="3EC8E529">
            <w:pPr>
              <w:spacing w:line="240" w:lineRule="auto"/>
              <w:jc w:val="center"/>
              <w:rPr>
                <w:rFonts w:hint="eastAsia" w:ascii="Times New Roman" w:hAnsi="Times New Roman" w:eastAsia="宋体" w:cs="Times New Roman"/>
                <w:b w:val="0"/>
                <w:bCs w:val="0"/>
                <w:color w:val="auto"/>
                <w:kern w:val="2"/>
                <w:sz w:val="20"/>
                <w:szCs w:val="20"/>
                <w:highlight w:val="none"/>
                <w:lang w:val="en-US" w:eastAsia="zh-CN" w:bidi="ar-SA"/>
              </w:rPr>
            </w:pPr>
            <w:r>
              <w:rPr>
                <w:rFonts w:hint="eastAsia" w:eastAsia="宋体" w:cs="Times New Roman"/>
                <w:b w:val="0"/>
                <w:bCs w:val="0"/>
                <w:color w:val="auto"/>
                <w:kern w:val="2"/>
                <w:sz w:val="20"/>
                <w:szCs w:val="20"/>
                <w:highlight w:val="none"/>
                <w:lang w:val="en-US" w:eastAsia="zh-CN" w:bidi="ar-SA"/>
              </w:rPr>
              <w:t>商务</w:t>
            </w:r>
            <w:r>
              <w:rPr>
                <w:rFonts w:hint="eastAsia" w:ascii="Times New Roman" w:hAnsi="Times New Roman" w:eastAsia="宋体" w:cs="Times New Roman"/>
                <w:b w:val="0"/>
                <w:bCs w:val="0"/>
                <w:color w:val="auto"/>
                <w:kern w:val="2"/>
                <w:sz w:val="20"/>
                <w:szCs w:val="20"/>
                <w:highlight w:val="none"/>
                <w:lang w:val="en-US" w:eastAsia="zh-CN" w:bidi="ar-SA"/>
              </w:rPr>
              <w:t>技术</w:t>
            </w:r>
          </w:p>
          <w:p w14:paraId="52F4B8AD">
            <w:pPr>
              <w:spacing w:line="240" w:lineRule="auto"/>
              <w:jc w:val="center"/>
              <w:rPr>
                <w:rFonts w:hint="default" w:ascii="宋体" w:hAnsi="宋体" w:eastAsia="宋体" w:cs="Times New Roman"/>
                <w:color w:val="auto"/>
                <w:sz w:val="20"/>
                <w:szCs w:val="20"/>
                <w:lang w:val="en-US" w:eastAsia="zh-CN"/>
              </w:rPr>
            </w:pPr>
          </w:p>
        </w:tc>
        <w:tc>
          <w:tcPr>
            <w:tcW w:w="1387" w:type="dxa"/>
            <w:noWrap w:val="0"/>
            <w:vAlign w:val="center"/>
          </w:tcPr>
          <w:p w14:paraId="709ED0A4">
            <w:pPr>
              <w:widowControl/>
              <w:adjustRightInd w:val="0"/>
              <w:snapToGrid w:val="0"/>
              <w:ind w:left="600" w:hanging="600" w:hangingChars="30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技术响应</w:t>
            </w:r>
          </w:p>
          <w:p w14:paraId="38C8FAF3">
            <w:pPr>
              <w:widowControl/>
              <w:adjustRightInd w:val="0"/>
              <w:snapToGrid w:val="0"/>
              <w:ind w:left="600" w:hanging="600" w:hangingChars="30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（35分）</w:t>
            </w:r>
          </w:p>
        </w:tc>
        <w:tc>
          <w:tcPr>
            <w:tcW w:w="6933" w:type="dxa"/>
            <w:noWrap w:val="0"/>
            <w:vAlign w:val="center"/>
          </w:tcPr>
          <w:p w14:paraId="37C3236A">
            <w:pPr>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left="0" w:right="0"/>
              <w:jc w:val="left"/>
              <w:textAlignment w:val="baseline"/>
              <w:rPr>
                <w:rFonts w:hint="eastAsia" w:ascii="新宋体" w:hAnsi="新宋体" w:eastAsia="新宋体" w:cs="新宋体"/>
                <w:b w:val="0"/>
                <w:i w:val="0"/>
                <w:strike w:val="0"/>
                <w:color w:val="auto"/>
                <w:sz w:val="21"/>
                <w:szCs w:val="21"/>
                <w:lang w:val="en-US" w:eastAsia="zh-CN"/>
              </w:rPr>
            </w:pPr>
            <w:r>
              <w:rPr>
                <w:rFonts w:hint="eastAsia" w:ascii="新宋体" w:hAnsi="新宋体" w:eastAsia="新宋体" w:cs="新宋体"/>
                <w:b w:val="0"/>
                <w:i w:val="0"/>
                <w:strike w:val="0"/>
                <w:color w:val="auto"/>
                <w:sz w:val="21"/>
                <w:szCs w:val="21"/>
                <w:lang w:val="en-US" w:eastAsia="zh-CN"/>
              </w:rPr>
              <w:t>投标人的技术指标、参数完全符合招标文件技术指标参数要求的得20分且所提供的设备资料应尽可能全面详细。</w:t>
            </w:r>
          </w:p>
          <w:p w14:paraId="7A683964">
            <w:pPr>
              <w:keepNext w:val="0"/>
              <w:keepLines w:val="0"/>
              <w:pageBreakBefore w:val="0"/>
              <w:kinsoku/>
              <w:wordWrap/>
              <w:overflowPunct/>
              <w:topLinePunct w:val="0"/>
              <w:autoSpaceDE w:val="0"/>
              <w:autoSpaceDN w:val="0"/>
              <w:bidi w:val="0"/>
              <w:adjustRightInd w:val="0"/>
              <w:snapToGrid w:val="0"/>
              <w:spacing w:line="360" w:lineRule="auto"/>
              <w:ind w:left="0" w:right="0" w:firstLine="0"/>
              <w:jc w:val="both"/>
              <w:textAlignment w:val="auto"/>
              <w:rPr>
                <w:rFonts w:hint="default" w:ascii="宋体" w:hAnsi="宋体" w:eastAsia="宋体" w:cs="宋体"/>
                <w:i w:val="0"/>
                <w:iCs w:val="0"/>
                <w:color w:val="auto"/>
                <w:sz w:val="21"/>
                <w:szCs w:val="21"/>
                <w:lang w:val="en-US" w:eastAsia="zh-CN"/>
              </w:rPr>
            </w:pPr>
            <w:r>
              <w:rPr>
                <w:rFonts w:hint="eastAsia" w:ascii="新宋体" w:hAnsi="新宋体" w:eastAsia="新宋体" w:cs="新宋体"/>
                <w:b w:val="0"/>
                <w:i w:val="0"/>
                <w:strike w:val="0"/>
                <w:color w:val="auto"/>
                <w:sz w:val="21"/>
                <w:szCs w:val="21"/>
                <w:lang w:val="en-US" w:eastAsia="zh-CN"/>
              </w:rPr>
              <w:t>（标★为重要参数，须提供相关材料，每提供一项证明材料加0.5分，此项最多加15分。具体由评委根据投标文件中《技术规格偏离表》和技术支持资料（如白皮书、彩页、手册、检测报告证明文件等；所提供的佐证资料需加盖厂家公章）等有关资料打分。不提供不得分.）</w:t>
            </w:r>
          </w:p>
        </w:tc>
      </w:tr>
      <w:tr w14:paraId="3DEB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38" w:type="dxa"/>
            <w:vMerge w:val="continue"/>
            <w:noWrap w:val="0"/>
            <w:vAlign w:val="center"/>
          </w:tcPr>
          <w:p w14:paraId="676F270A">
            <w:pPr>
              <w:jc w:val="both"/>
              <w:rPr>
                <w:rFonts w:hint="eastAsia" w:ascii="宋体" w:hAnsi="宋体" w:eastAsia="宋体" w:cs="Times New Roman"/>
                <w:color w:val="auto"/>
                <w:sz w:val="20"/>
                <w:szCs w:val="20"/>
                <w:lang w:val="en-US" w:eastAsia="zh-CN"/>
              </w:rPr>
            </w:pPr>
          </w:p>
        </w:tc>
        <w:tc>
          <w:tcPr>
            <w:tcW w:w="1387" w:type="dxa"/>
            <w:noWrap w:val="0"/>
            <w:vAlign w:val="center"/>
          </w:tcPr>
          <w:p w14:paraId="045DF9F6">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实施方案</w:t>
            </w:r>
          </w:p>
          <w:p w14:paraId="779E0AD1">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color w:val="auto"/>
                <w:sz w:val="20"/>
                <w:szCs w:val="20"/>
                <w:lang w:val="en-US" w:eastAsia="zh-CN"/>
              </w:rPr>
            </w:pPr>
            <w:r>
              <w:rPr>
                <w:rFonts w:hint="eastAsia" w:ascii="宋体" w:hAnsi="宋体" w:eastAsia="宋体" w:cs="宋体"/>
                <w:i w:val="0"/>
                <w:color w:val="auto"/>
                <w:kern w:val="2"/>
                <w:sz w:val="21"/>
                <w:szCs w:val="21"/>
                <w:highlight w:val="none"/>
                <w:lang w:val="en-US" w:eastAsia="zh-CN" w:bidi="ar-SA"/>
              </w:rPr>
              <w:t>（9分）</w:t>
            </w:r>
          </w:p>
        </w:tc>
        <w:tc>
          <w:tcPr>
            <w:tcW w:w="6933" w:type="dxa"/>
            <w:noWrap w:val="0"/>
            <w:vAlign w:val="top"/>
          </w:tcPr>
          <w:p w14:paraId="56F98EE2">
            <w:pPr>
              <w:keepNext w:val="0"/>
              <w:keepLines w:val="0"/>
              <w:pageBreakBefore w:val="0"/>
              <w:kinsoku/>
              <w:wordWrap/>
              <w:overflowPunct/>
              <w:topLinePunct w:val="0"/>
              <w:autoSpaceDE w:val="0"/>
              <w:autoSpaceDN w:val="0"/>
              <w:bidi w:val="0"/>
              <w:adjustRightInd w:val="0"/>
              <w:snapToGrid w:val="0"/>
              <w:spacing w:line="360" w:lineRule="auto"/>
              <w:ind w:left="0" w:right="0" w:firstLine="0"/>
              <w:jc w:val="both"/>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评标委员会根据各投标供应商提供的针对本项目制定的实施方案进行综合打分：（1）项目需求分析方案；（2）设备生产/采购方案；（3）项目进度保障方案；（4）设备运输配送及装卸安装方案；（5）实施团队保障方案；（6）安全文明施工保障方案；（7）设备试运行及系统测试维护方案；（8）系统整体功能设计方案；（9）验收方案等。</w:t>
            </w:r>
          </w:p>
          <w:p w14:paraId="2D85A051">
            <w:pPr>
              <w:keepNext w:val="0"/>
              <w:keepLines w:val="0"/>
              <w:pageBreakBefore w:val="0"/>
              <w:kinsoku/>
              <w:wordWrap/>
              <w:overflowPunct/>
              <w:topLinePunct w:val="0"/>
              <w:autoSpaceDE w:val="0"/>
              <w:autoSpaceDN w:val="0"/>
              <w:bidi w:val="0"/>
              <w:adjustRightInd w:val="0"/>
              <w:snapToGrid w:val="0"/>
              <w:spacing w:line="360" w:lineRule="auto"/>
              <w:ind w:left="0" w:right="0" w:firstLine="0"/>
              <w:jc w:val="both"/>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以上方案内容完整清晰明确、科学合理，满足项目实际需求的，每项计1分，最高得9分，不提供不得分。</w:t>
            </w:r>
          </w:p>
          <w:p w14:paraId="1DE096C9">
            <w:pPr>
              <w:keepNext w:val="0"/>
              <w:keepLines w:val="0"/>
              <w:pageBreakBefore w:val="0"/>
              <w:kinsoku/>
              <w:wordWrap/>
              <w:overflowPunct/>
              <w:topLinePunct w:val="0"/>
              <w:autoSpaceDE w:val="0"/>
              <w:autoSpaceDN w:val="0"/>
              <w:bidi w:val="0"/>
              <w:adjustRightInd w:val="0"/>
              <w:snapToGrid w:val="0"/>
              <w:spacing w:line="360" w:lineRule="auto"/>
              <w:ind w:left="0" w:right="0" w:firstLine="0"/>
              <w:jc w:val="both"/>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每有一项内容不完整或每有一处不具有针对性或逻辑性错误或不满足项目实际需求的扣1分，扣完为止。</w:t>
            </w:r>
          </w:p>
        </w:tc>
      </w:tr>
      <w:tr w14:paraId="4622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vMerge w:val="continue"/>
            <w:noWrap w:val="0"/>
            <w:vAlign w:val="center"/>
          </w:tcPr>
          <w:p w14:paraId="12E551F9">
            <w:pPr>
              <w:jc w:val="both"/>
              <w:rPr>
                <w:rFonts w:hint="eastAsia" w:ascii="宋体" w:hAnsi="宋体" w:eastAsia="宋体" w:cs="Times New Roman"/>
                <w:color w:val="auto"/>
                <w:sz w:val="20"/>
                <w:szCs w:val="20"/>
                <w:lang w:val="en-US" w:eastAsia="zh-CN"/>
              </w:rPr>
            </w:pPr>
          </w:p>
        </w:tc>
        <w:tc>
          <w:tcPr>
            <w:tcW w:w="1387" w:type="dxa"/>
            <w:noWrap w:val="0"/>
            <w:vAlign w:val="center"/>
          </w:tcPr>
          <w:p w14:paraId="1C0FB1C1">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备品备件</w:t>
            </w:r>
          </w:p>
          <w:p w14:paraId="308F4A7D">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Times New Roman"/>
                <w:color w:val="auto"/>
                <w:sz w:val="20"/>
                <w:szCs w:val="20"/>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3分</w:t>
            </w:r>
            <w:r>
              <w:rPr>
                <w:rFonts w:hint="eastAsia" w:ascii="宋体" w:hAnsi="宋体" w:eastAsia="宋体" w:cs="宋体"/>
                <w:color w:val="auto"/>
                <w:sz w:val="21"/>
                <w:szCs w:val="21"/>
                <w:lang w:eastAsia="zh-CN"/>
              </w:rPr>
              <w:t>）</w:t>
            </w:r>
          </w:p>
        </w:tc>
        <w:tc>
          <w:tcPr>
            <w:tcW w:w="6933" w:type="dxa"/>
            <w:noWrap w:val="0"/>
            <w:vAlign w:val="center"/>
          </w:tcPr>
          <w:p w14:paraId="23CE79B3">
            <w:pPr>
              <w:keepNext w:val="0"/>
              <w:keepLines w:val="0"/>
              <w:pageBreakBefore w:val="0"/>
              <w:kinsoku/>
              <w:wordWrap/>
              <w:overflowPunct/>
              <w:topLinePunct w:val="0"/>
              <w:autoSpaceDE w:val="0"/>
              <w:autoSpaceDN w:val="0"/>
              <w:bidi w:val="0"/>
              <w:adjustRightInd w:val="0"/>
              <w:snapToGrid w:val="0"/>
              <w:spacing w:line="360" w:lineRule="auto"/>
              <w:ind w:left="0" w:right="0" w:firstLine="0"/>
              <w:jc w:val="both"/>
              <w:textAlignment w:val="auto"/>
              <w:rPr>
                <w:rFonts w:hint="default" w:ascii="宋体" w:hAnsi="宋体" w:eastAsia="宋体" w:cs="宋体"/>
                <w:i w:val="0"/>
                <w:iCs w:val="0"/>
                <w:color w:val="auto"/>
                <w:sz w:val="21"/>
                <w:szCs w:val="21"/>
                <w:lang w:val="en-US" w:eastAsia="zh-CN"/>
              </w:rPr>
            </w:pPr>
            <w:r>
              <w:rPr>
                <w:rFonts w:hint="default" w:ascii="宋体" w:hAnsi="宋体" w:eastAsia="宋体" w:cs="宋体"/>
                <w:i w:val="0"/>
                <w:iCs w:val="0"/>
                <w:color w:val="auto"/>
                <w:sz w:val="21"/>
                <w:szCs w:val="21"/>
                <w:lang w:val="en-US" w:eastAsia="zh-CN"/>
              </w:rPr>
              <w:t>提供备品备件齐全，材料品质好，设备性能，能够响应招标文件要求的，配件到场时间≤2 天得：3 分；&lt; 配件到场时间≤4 天， 得 1 分，配件到场时间&gt;4天得 0 分（须提供配件库名称地址、联系电话，或书面承诺</w:t>
            </w:r>
            <w:r>
              <w:rPr>
                <w:rFonts w:hint="eastAsia" w:ascii="宋体" w:hAnsi="宋体" w:eastAsia="宋体" w:cs="宋体"/>
                <w:i w:val="0"/>
                <w:iCs w:val="0"/>
                <w:color w:val="auto"/>
                <w:sz w:val="21"/>
                <w:szCs w:val="21"/>
                <w:lang w:val="en-US" w:eastAsia="zh-CN"/>
              </w:rPr>
              <w:t>.</w:t>
            </w:r>
            <w:bookmarkStart w:id="99" w:name="_GoBack"/>
            <w:bookmarkEnd w:id="99"/>
            <w:r>
              <w:rPr>
                <w:rFonts w:hint="default" w:ascii="宋体" w:hAnsi="宋体" w:eastAsia="宋体" w:cs="宋体"/>
                <w:i w:val="0"/>
                <w:iCs w:val="0"/>
                <w:color w:val="auto"/>
                <w:sz w:val="21"/>
                <w:szCs w:val="21"/>
                <w:lang w:val="en-US" w:eastAsia="zh-CN"/>
              </w:rPr>
              <w:t>中标后签订合同之前提供以上信息）。</w:t>
            </w:r>
          </w:p>
        </w:tc>
      </w:tr>
      <w:tr w14:paraId="6961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vMerge w:val="continue"/>
            <w:noWrap w:val="0"/>
            <w:vAlign w:val="center"/>
          </w:tcPr>
          <w:p w14:paraId="3AE91622">
            <w:pPr>
              <w:jc w:val="both"/>
              <w:rPr>
                <w:rFonts w:hint="eastAsia" w:ascii="宋体" w:hAnsi="宋体" w:eastAsia="宋体" w:cs="Times New Roman"/>
                <w:color w:val="auto"/>
                <w:sz w:val="20"/>
                <w:szCs w:val="20"/>
                <w:lang w:val="en-US" w:eastAsia="zh-CN"/>
              </w:rPr>
            </w:pPr>
          </w:p>
        </w:tc>
        <w:tc>
          <w:tcPr>
            <w:tcW w:w="1387" w:type="dxa"/>
            <w:noWrap w:val="0"/>
            <w:vAlign w:val="center"/>
          </w:tcPr>
          <w:p w14:paraId="7A7E5E85">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培训方案</w:t>
            </w:r>
          </w:p>
          <w:p w14:paraId="60970817">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1"/>
                <w:szCs w:val="21"/>
                <w:lang w:val="en-US" w:eastAsia="zh-CN"/>
              </w:rPr>
              <w:t>（10分）</w:t>
            </w:r>
          </w:p>
        </w:tc>
        <w:tc>
          <w:tcPr>
            <w:tcW w:w="6933" w:type="dxa"/>
            <w:noWrap w:val="0"/>
            <w:vAlign w:val="top"/>
          </w:tcPr>
          <w:p w14:paraId="20BE7F2A">
            <w:pPr>
              <w:keepNext w:val="0"/>
              <w:keepLines w:val="0"/>
              <w:pageBreakBefore w:val="0"/>
              <w:kinsoku/>
              <w:wordWrap/>
              <w:overflowPunct/>
              <w:topLinePunct w:val="0"/>
              <w:autoSpaceDE w:val="0"/>
              <w:autoSpaceDN w:val="0"/>
              <w:bidi w:val="0"/>
              <w:adjustRightInd w:val="0"/>
              <w:snapToGrid w:val="0"/>
              <w:spacing w:line="360" w:lineRule="auto"/>
              <w:ind w:left="0" w:right="0" w:firstLine="0"/>
              <w:jc w:val="both"/>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kern w:val="2"/>
                <w:sz w:val="21"/>
                <w:szCs w:val="21"/>
                <w:lang w:val="en-US" w:eastAsia="zh-CN" w:bidi="ar-SA"/>
              </w:rPr>
              <w:t>评标委员会根据各投标供应商提供的针对本项目制定的项目培训方案进行打分（包含但不限于①培训需求分析、②培训计划、方式及内容、③培训针对性、④培训质量保证、⑤培训效果评估及反馈机制等）：供应</w:t>
            </w:r>
            <w:r>
              <w:rPr>
                <w:rFonts w:hint="eastAsia" w:ascii="宋体" w:hAnsi="宋体" w:eastAsia="宋体" w:cs="宋体"/>
                <w:i w:val="0"/>
                <w:iCs w:val="0"/>
                <w:color w:val="auto"/>
                <w:sz w:val="21"/>
                <w:szCs w:val="21"/>
                <w:lang w:val="en-US" w:eastAsia="zh-CN"/>
              </w:rPr>
              <w:t>以上方案内容完整清晰明确、科学合理，满足项目实际需求的，每项计2分，最高得10分，不提供不得分。</w:t>
            </w:r>
          </w:p>
          <w:p w14:paraId="030E40F9">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jc w:val="left"/>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sz w:val="21"/>
                <w:szCs w:val="21"/>
                <w:lang w:val="en-US" w:eastAsia="zh-CN"/>
              </w:rPr>
              <w:t>每有一项内容不完整或每有一处不具有针对性或逻辑性错误或不满足项目实际需求的扣2分，扣完为止。</w:t>
            </w:r>
          </w:p>
        </w:tc>
      </w:tr>
      <w:tr w14:paraId="688D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38" w:type="dxa"/>
            <w:vMerge w:val="restart"/>
            <w:noWrap w:val="0"/>
            <w:vAlign w:val="center"/>
          </w:tcPr>
          <w:p w14:paraId="370FC1EE">
            <w:pPr>
              <w:jc w:val="center"/>
              <w:rPr>
                <w:rFonts w:hint="eastAsia" w:ascii="宋体" w:hAnsi="宋体" w:eastAsia="宋体" w:cs="Times New Roman"/>
                <w:color w:val="auto"/>
                <w:kern w:val="2"/>
                <w:sz w:val="20"/>
                <w:szCs w:val="20"/>
                <w:lang w:val="en-US" w:eastAsia="zh-CN" w:bidi="ar-SA"/>
              </w:rPr>
            </w:pPr>
          </w:p>
        </w:tc>
        <w:tc>
          <w:tcPr>
            <w:tcW w:w="1387" w:type="dxa"/>
            <w:noWrap w:val="0"/>
            <w:vAlign w:val="center"/>
          </w:tcPr>
          <w:p w14:paraId="691F59E2">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售后服务</w:t>
            </w:r>
          </w:p>
          <w:p w14:paraId="45DCB59C">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方案</w:t>
            </w:r>
          </w:p>
          <w:p w14:paraId="1A3B22F0">
            <w:pPr>
              <w:pStyle w:val="62"/>
              <w:keepNext w:val="0"/>
              <w:keepLines w:val="0"/>
              <w:pageBreakBefore w:val="0"/>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Times New Roman"/>
                <w:color w:val="auto"/>
                <w:sz w:val="20"/>
                <w:szCs w:val="20"/>
                <w:lang w:val="en-US" w:eastAsia="zh-CN"/>
              </w:rPr>
            </w:pPr>
            <w:r>
              <w:rPr>
                <w:rFonts w:hint="eastAsia" w:ascii="宋体" w:hAnsi="宋体" w:eastAsia="宋体" w:cs="宋体"/>
                <w:i w:val="0"/>
                <w:color w:val="auto"/>
                <w:kern w:val="2"/>
                <w:sz w:val="21"/>
                <w:szCs w:val="21"/>
                <w:lang w:val="en-US" w:eastAsia="zh-CN" w:bidi="ar-SA"/>
              </w:rPr>
              <w:t>（6分）</w:t>
            </w:r>
          </w:p>
        </w:tc>
        <w:tc>
          <w:tcPr>
            <w:tcW w:w="6933" w:type="dxa"/>
            <w:noWrap w:val="0"/>
            <w:vAlign w:val="top"/>
          </w:tcPr>
          <w:p w14:paraId="0F93A773">
            <w:pPr>
              <w:keepNext w:val="0"/>
              <w:keepLines w:val="0"/>
              <w:pageBreakBefore w:val="0"/>
              <w:kinsoku/>
              <w:wordWrap/>
              <w:overflowPunct/>
              <w:topLinePunct w:val="0"/>
              <w:autoSpaceDE w:val="0"/>
              <w:autoSpaceDN w:val="0"/>
              <w:bidi w:val="0"/>
              <w:adjustRightInd w:val="0"/>
              <w:snapToGrid w:val="0"/>
              <w:spacing w:line="360" w:lineRule="auto"/>
              <w:ind w:left="0" w:right="0" w:firstLine="0"/>
              <w:jc w:val="both"/>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评标委员会根据各投标供应商提供的针对本项目制定的售后服务方案进行综合评分：（1）售后服务质量保障措施；（2）售后服务人员配置；（3）售后维修方案；（4）定期维护保养、巡检方案；（5）产品调换货方案；（6）应急预案等。</w:t>
            </w:r>
          </w:p>
          <w:p w14:paraId="03D4222E">
            <w:pPr>
              <w:keepNext w:val="0"/>
              <w:keepLines w:val="0"/>
              <w:pageBreakBefore w:val="0"/>
              <w:kinsoku/>
              <w:wordWrap/>
              <w:overflowPunct/>
              <w:topLinePunct w:val="0"/>
              <w:autoSpaceDE w:val="0"/>
              <w:autoSpaceDN w:val="0"/>
              <w:bidi w:val="0"/>
              <w:adjustRightInd w:val="0"/>
              <w:snapToGrid w:val="0"/>
              <w:spacing w:line="360" w:lineRule="auto"/>
              <w:ind w:left="0" w:right="0" w:firstLine="0"/>
              <w:jc w:val="both"/>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以上方案内容完整清晰明确、科学合理，满足项目实际需求的，每项计1分，最高得6分，不提供不得分。</w:t>
            </w:r>
          </w:p>
          <w:p w14:paraId="6E470286">
            <w:pPr>
              <w:keepNext w:val="0"/>
              <w:keepLines w:val="0"/>
              <w:pageBreakBefore w:val="0"/>
              <w:kinsoku/>
              <w:wordWrap/>
              <w:overflowPunct/>
              <w:topLinePunct w:val="0"/>
              <w:autoSpaceDE w:val="0"/>
              <w:autoSpaceDN w:val="0"/>
              <w:bidi w:val="0"/>
              <w:adjustRightInd w:val="0"/>
              <w:snapToGrid w:val="0"/>
              <w:spacing w:line="360" w:lineRule="auto"/>
              <w:ind w:left="0" w:right="0" w:firstLine="0"/>
              <w:jc w:val="both"/>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每有一项内容不完整或每有一处不具有针对性或逻辑性错误或不满足项目实际需求的扣1分，扣完为止。</w:t>
            </w:r>
          </w:p>
        </w:tc>
      </w:tr>
      <w:tr w14:paraId="19F7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38" w:type="dxa"/>
            <w:vMerge w:val="continue"/>
            <w:noWrap w:val="0"/>
            <w:vAlign w:val="center"/>
          </w:tcPr>
          <w:p w14:paraId="1F6085E3">
            <w:pPr>
              <w:jc w:val="center"/>
              <w:rPr>
                <w:rFonts w:hint="eastAsia" w:ascii="宋体" w:hAnsi="宋体" w:eastAsia="宋体" w:cs="Times New Roman"/>
                <w:color w:val="auto"/>
                <w:kern w:val="2"/>
                <w:sz w:val="20"/>
                <w:szCs w:val="20"/>
                <w:lang w:val="en-US" w:eastAsia="zh-CN" w:bidi="ar-SA"/>
              </w:rPr>
            </w:pPr>
          </w:p>
        </w:tc>
        <w:tc>
          <w:tcPr>
            <w:tcW w:w="1387" w:type="dxa"/>
            <w:noWrap w:val="0"/>
            <w:vAlign w:val="center"/>
          </w:tcPr>
          <w:p w14:paraId="32226458">
            <w:pPr>
              <w:pStyle w:val="62"/>
              <w:keepNext w:val="0"/>
              <w:keepLines w:val="0"/>
              <w:pageBreakBefore w:val="0"/>
              <w:kinsoku/>
              <w:wordWrap/>
              <w:overflowPunct/>
              <w:topLinePunct w:val="0"/>
              <w:bidi w:val="0"/>
              <w:spacing w:line="360" w:lineRule="auto"/>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val="en-US" w:eastAsia="zh-CN"/>
              </w:rPr>
              <w:t>类似</w:t>
            </w:r>
            <w:r>
              <w:rPr>
                <w:rFonts w:hint="eastAsia" w:ascii="宋体" w:hAnsi="宋体" w:eastAsia="宋体" w:cs="宋体"/>
                <w:color w:val="auto"/>
                <w:spacing w:val="-9"/>
                <w:sz w:val="21"/>
                <w:szCs w:val="21"/>
                <w:highlight w:val="none"/>
              </w:rPr>
              <w:t>项目</w:t>
            </w:r>
          </w:p>
          <w:p w14:paraId="138F0817">
            <w:pPr>
              <w:pStyle w:val="62"/>
              <w:keepNext w:val="0"/>
              <w:keepLines w:val="0"/>
              <w:pageBreakBefore w:val="0"/>
              <w:kinsoku/>
              <w:wordWrap/>
              <w:overflowPunct/>
              <w:topLinePunct w:val="0"/>
              <w:bidi w:val="0"/>
              <w:spacing w:line="36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9"/>
                <w:sz w:val="21"/>
                <w:szCs w:val="21"/>
                <w:highlight w:val="none"/>
                <w:lang w:val="en-US" w:eastAsia="zh-CN"/>
              </w:rPr>
              <w:t>3</w:t>
            </w:r>
            <w:r>
              <w:rPr>
                <w:rFonts w:hint="eastAsia" w:ascii="宋体" w:hAnsi="宋体" w:eastAsia="宋体" w:cs="宋体"/>
                <w:color w:val="auto"/>
                <w:spacing w:val="-9"/>
                <w:sz w:val="21"/>
                <w:szCs w:val="21"/>
                <w:highlight w:val="none"/>
              </w:rPr>
              <w:t>分）</w:t>
            </w:r>
          </w:p>
        </w:tc>
        <w:tc>
          <w:tcPr>
            <w:tcW w:w="6933" w:type="dxa"/>
            <w:noWrap w:val="0"/>
            <w:vAlign w:val="top"/>
          </w:tcPr>
          <w:p w14:paraId="5EAF79E8">
            <w:pPr>
              <w:keepNext w:val="0"/>
              <w:keepLines w:val="0"/>
              <w:pageBreakBefore w:val="0"/>
              <w:kinsoku/>
              <w:wordWrap/>
              <w:overflowPunct/>
              <w:topLinePunct w:val="0"/>
              <w:autoSpaceDE w:val="0"/>
              <w:autoSpaceDN w:val="0"/>
              <w:bidi w:val="0"/>
              <w:adjustRightInd w:val="0"/>
              <w:snapToGrid w:val="0"/>
              <w:spacing w:line="360" w:lineRule="auto"/>
              <w:ind w:left="0" w:right="0" w:firstLine="0"/>
              <w:jc w:val="both"/>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评标委员会根据各投标供应商提供的2022年7月至今类似业绩进行打分，每提供1个业绩得1分，总分不超过3分（附合同和中标（或成交）通知书、设备发票或验收单，扫描件加盖企业公章）。</w:t>
            </w:r>
          </w:p>
        </w:tc>
      </w:tr>
      <w:tr w14:paraId="040A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38" w:type="dxa"/>
            <w:noWrap w:val="0"/>
            <w:vAlign w:val="center"/>
          </w:tcPr>
          <w:p w14:paraId="0BF5E7C7">
            <w:pPr>
              <w:jc w:val="center"/>
              <w:rPr>
                <w:rFonts w:hint="eastAsia" w:ascii="宋体" w:hAnsi="宋体" w:eastAsia="宋体" w:cs="Times New Roman"/>
                <w:color w:val="auto"/>
                <w:kern w:val="2"/>
                <w:sz w:val="20"/>
                <w:szCs w:val="20"/>
                <w:lang w:val="en-US" w:eastAsia="zh-CN" w:bidi="ar-SA"/>
              </w:rPr>
            </w:pPr>
          </w:p>
        </w:tc>
        <w:tc>
          <w:tcPr>
            <w:tcW w:w="1387" w:type="dxa"/>
            <w:noWrap w:val="0"/>
            <w:vAlign w:val="center"/>
          </w:tcPr>
          <w:p w14:paraId="6AC6DF79">
            <w:pPr>
              <w:pStyle w:val="62"/>
              <w:keepNext w:val="0"/>
              <w:keepLines w:val="0"/>
              <w:pageBreakBefore w:val="0"/>
              <w:kinsoku/>
              <w:wordWrap/>
              <w:overflowPunct/>
              <w:topLinePunct w:val="0"/>
              <w:bidi w:val="0"/>
              <w:spacing w:line="360" w:lineRule="auto"/>
              <w:ind w:left="0" w:leftChars="0" w:right="0" w:rightChars="0" w:firstLine="0" w:firstLineChars="0"/>
              <w:jc w:val="both"/>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项目团队</w:t>
            </w:r>
          </w:p>
          <w:p w14:paraId="45BF8CB5">
            <w:pPr>
              <w:pStyle w:val="62"/>
              <w:keepNext w:val="0"/>
              <w:keepLines w:val="0"/>
              <w:pageBreakBefore w:val="0"/>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rPr>
              <w:t>组织</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lang w:val="en-US" w:eastAsia="zh-CN"/>
              </w:rPr>
              <w:t>4分</w:t>
            </w:r>
            <w:r>
              <w:rPr>
                <w:rFonts w:hint="eastAsia" w:ascii="宋体" w:hAnsi="宋体" w:eastAsia="宋体" w:cs="宋体"/>
                <w:color w:val="auto"/>
                <w:spacing w:val="-9"/>
                <w:sz w:val="21"/>
                <w:szCs w:val="21"/>
                <w:highlight w:val="none"/>
                <w:lang w:eastAsia="zh-CN"/>
              </w:rPr>
              <w:t>）</w:t>
            </w:r>
          </w:p>
        </w:tc>
        <w:tc>
          <w:tcPr>
            <w:tcW w:w="6933" w:type="dxa"/>
            <w:noWrap w:val="0"/>
            <w:vAlign w:val="top"/>
          </w:tcPr>
          <w:p w14:paraId="4885E2D5">
            <w:pPr>
              <w:keepNext w:val="0"/>
              <w:keepLines w:val="0"/>
              <w:pageBreakBefore w:val="0"/>
              <w:kinsoku/>
              <w:wordWrap/>
              <w:overflowPunct/>
              <w:topLinePunct w:val="0"/>
              <w:autoSpaceDE w:val="0"/>
              <w:autoSpaceDN w:val="0"/>
              <w:bidi w:val="0"/>
              <w:adjustRightInd w:val="0"/>
              <w:snapToGrid w:val="0"/>
              <w:spacing w:line="360" w:lineRule="auto"/>
              <w:ind w:left="0" w:right="0" w:firstLine="0"/>
              <w:jc w:val="both"/>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拟派服务人员配置情况，人员组成人数，项目班组划分，指定技术人员现场指导至供货结束等进行打分。</w:t>
            </w:r>
          </w:p>
          <w:p w14:paraId="45ABE1A7">
            <w:pPr>
              <w:keepNext w:val="0"/>
              <w:keepLines w:val="0"/>
              <w:pageBreakBefore w:val="0"/>
              <w:kinsoku/>
              <w:wordWrap/>
              <w:overflowPunct/>
              <w:topLinePunct w:val="0"/>
              <w:autoSpaceDE w:val="0"/>
              <w:autoSpaceDN w:val="0"/>
              <w:bidi w:val="0"/>
              <w:adjustRightInd w:val="0"/>
              <w:snapToGrid w:val="0"/>
              <w:spacing w:line="360" w:lineRule="auto"/>
              <w:ind w:left="0" w:right="0" w:firstLine="0"/>
              <w:jc w:val="both"/>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评标委员会根据以上情况进行综合打分，配备人员高于项目需求得4分，基本满足得 3 分，低于项目需求得2 分，未提供不得分。</w:t>
            </w:r>
          </w:p>
          <w:p w14:paraId="4C4D1705">
            <w:pPr>
              <w:keepNext w:val="0"/>
              <w:keepLines w:val="0"/>
              <w:pageBreakBefore w:val="0"/>
              <w:kinsoku/>
              <w:wordWrap/>
              <w:overflowPunct/>
              <w:topLinePunct w:val="0"/>
              <w:autoSpaceDE w:val="0"/>
              <w:autoSpaceDN w:val="0"/>
              <w:bidi w:val="0"/>
              <w:adjustRightInd w:val="0"/>
              <w:snapToGrid w:val="0"/>
              <w:spacing w:line="360" w:lineRule="auto"/>
              <w:ind w:left="0" w:right="0" w:firstLine="0"/>
              <w:jc w:val="both"/>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注：拟投入本项目的成员须提供身份证及人员在投标单位近一个月社保证明或劳动合同复印件并加盖公章，未提供不得分。</w:t>
            </w:r>
          </w:p>
        </w:tc>
      </w:tr>
    </w:tbl>
    <w:p w14:paraId="1964448F">
      <w:pPr>
        <w:shd w:val="clear" w:color="auto" w:fill="auto"/>
        <w:spacing w:line="440" w:lineRule="exact"/>
        <w:ind w:firstLine="480" w:firstLineChars="200"/>
        <w:rPr>
          <w:rFonts w:hint="eastAsia" w:ascii="仿宋" w:hAnsi="仿宋" w:eastAsia="仿宋" w:cs="仿宋"/>
          <w:color w:val="auto"/>
          <w:szCs w:val="21"/>
          <w:highlight w:val="none"/>
          <w:lang w:bidi="ar-SA"/>
        </w:rPr>
      </w:pPr>
      <w:r>
        <w:rPr>
          <w:rFonts w:hint="eastAsia" w:ascii="仿宋" w:hAnsi="仿宋" w:eastAsia="仿宋" w:cs="仿宋"/>
          <w:b/>
          <w:bCs/>
          <w:color w:val="auto"/>
          <w:sz w:val="24"/>
          <w:szCs w:val="24"/>
          <w:lang w:val="en-US" w:eastAsia="zh-CN"/>
        </w:rPr>
        <w:t>注：以上有缺陷、不足、描述不清楚是指，①只有单纯的文件描述，前后内容无法连贯，内容脱离了实际情况，不具备实施的可能性；②套用其他项目方案，前后内容互相矛盾，存在与本项目无关的内容；③内容不满足项目要求、与本项目无关或与本项目不匹配、项目涉及的名称、地点不一致；④不符合采购项目相关的规范及标准任一情形等。</w:t>
      </w:r>
    </w:p>
    <w:p w14:paraId="3AF9A828">
      <w:pPr>
        <w:shd w:val="clear" w:color="auto" w:fill="auto"/>
        <w:spacing w:line="440" w:lineRule="exact"/>
        <w:ind w:firstLine="480" w:firstLineChars="200"/>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10.2.1</w:t>
      </w:r>
      <w:r>
        <w:rPr>
          <w:rFonts w:hint="eastAsia" w:ascii="仿宋" w:hAnsi="仿宋" w:eastAsia="仿宋" w:cs="仿宋"/>
          <w:color w:val="auto"/>
          <w:szCs w:val="21"/>
          <w:highlight w:val="none"/>
          <w:lang w:bidi="ar-SA"/>
        </w:rPr>
        <w:t>如评标专家在检验电子标书过程中，如果由于投标人自身原因导致评标专家无法查看并检验电子标书中以上相关资料的，否决其投标。即使投标单位将原件携带至现场的，同样按无效投标处理。</w:t>
      </w:r>
    </w:p>
    <w:p w14:paraId="4B36B482">
      <w:pPr>
        <w:pStyle w:val="49"/>
        <w:shd w:val="clear" w:color="auto" w:fill="auto"/>
        <w:tabs>
          <w:tab w:val="left" w:pos="1701"/>
        </w:tabs>
        <w:spacing w:line="440" w:lineRule="exact"/>
        <w:ind w:left="600" w:leftChars="200" w:hanging="120" w:hangingChars="50"/>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10.2.2</w:t>
      </w:r>
      <w:r>
        <w:rPr>
          <w:rFonts w:hint="eastAsia" w:ascii="仿宋" w:hAnsi="仿宋" w:eastAsia="仿宋" w:cs="仿宋"/>
          <w:color w:val="auto"/>
          <w:szCs w:val="21"/>
          <w:highlight w:val="none"/>
          <w:lang w:bidi="ar-SA"/>
        </w:rPr>
        <w:t>价格评分方法</w:t>
      </w:r>
    </w:p>
    <w:p w14:paraId="3C3C8B57">
      <w:pPr>
        <w:shd w:val="clear" w:color="auto" w:fill="auto"/>
        <w:spacing w:line="440" w:lineRule="exact"/>
        <w:ind w:firstLine="616" w:firstLineChars="257"/>
        <w:jc w:val="left"/>
        <w:rPr>
          <w:rFonts w:hint="eastAsia" w:ascii="仿宋" w:hAnsi="仿宋" w:eastAsia="仿宋" w:cs="仿宋"/>
          <w:b/>
          <w:color w:val="auto"/>
          <w:sz w:val="24"/>
          <w:highlight w:val="none"/>
        </w:rPr>
      </w:pPr>
      <w:r>
        <w:rPr>
          <w:rFonts w:hint="eastAsia" w:ascii="仿宋" w:hAnsi="仿宋" w:eastAsia="仿宋" w:cs="仿宋"/>
          <w:color w:val="auto"/>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auto"/>
          <w:szCs w:val="21"/>
          <w:highlight w:val="none"/>
          <w:lang w:eastAsia="zh-CN" w:bidi="ar-SA"/>
        </w:rPr>
        <w:t>。</w:t>
      </w:r>
    </w:p>
    <w:p w14:paraId="4C36E353">
      <w:pPr>
        <w:shd w:val="clear" w:color="auto" w:fill="auto"/>
        <w:spacing w:before="156" w:beforeLines="50" w:line="40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  推荐中标候选人</w:t>
      </w:r>
    </w:p>
    <w:p w14:paraId="69DA7439">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11.1</w:t>
      </w:r>
      <w:r>
        <w:rPr>
          <w:rFonts w:hint="eastAsia" w:ascii="仿宋" w:hAnsi="仿宋" w:eastAsia="仿宋" w:cs="仿宋"/>
          <w:color w:val="auto"/>
          <w:szCs w:val="21"/>
          <w:highlight w:val="none"/>
        </w:rPr>
        <w:t>评标委员会推荐</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名中标候选人。</w:t>
      </w:r>
    </w:p>
    <w:p w14:paraId="463C48E9">
      <w:pPr>
        <w:shd w:val="clear" w:color="auto" w:fill="auto"/>
        <w:spacing w:line="400" w:lineRule="exact"/>
        <w:ind w:firstLine="470"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11.2得分相同的，按投标报价由低到高顺序排列；得分且投标报价相同的，按技术指标优劣顺序排列。</w:t>
      </w:r>
    </w:p>
    <w:p w14:paraId="73B85DCD">
      <w:pPr>
        <w:shd w:val="clear" w:color="auto" w:fill="auto"/>
        <w:snapToGrid w:val="0"/>
        <w:spacing w:line="40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12.</w:t>
      </w:r>
      <w:r>
        <w:rPr>
          <w:rFonts w:hint="eastAsia" w:ascii="仿宋" w:hAnsi="仿宋" w:eastAsia="仿宋" w:cs="仿宋"/>
          <w:b/>
          <w:color w:val="auto"/>
          <w:szCs w:val="21"/>
          <w:highlight w:val="none"/>
        </w:rPr>
        <w:t>无效投标条款</w:t>
      </w:r>
    </w:p>
    <w:p w14:paraId="66514BB9">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.1投标文件有下列情形之一的,其投标文件拒收:</w:t>
      </w:r>
    </w:p>
    <w:p w14:paraId="43A9F1EA">
      <w:pPr>
        <w:shd w:val="clear" w:color="auto" w:fill="auto"/>
        <w:snapToGrid w:val="0"/>
        <w:spacing w:line="400" w:lineRule="exac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b/>
          <w:bCs/>
          <w:color w:val="auto"/>
          <w:szCs w:val="21"/>
          <w:highlight w:val="none"/>
        </w:rPr>
        <w:t xml:space="preserve"> (1) 未在开标截止时间前通过网上招标投标系统递交有效电子投标文件的，开标系统不予接收。</w:t>
      </w:r>
    </w:p>
    <w:p w14:paraId="4FEDA702">
      <w:pPr>
        <w:shd w:val="clear" w:color="auto" w:fill="auto"/>
        <w:snapToGrid w:val="0"/>
        <w:spacing w:line="400" w:lineRule="exact"/>
        <w:ind w:firstLine="480"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r>
        <w:rPr>
          <w:rFonts w:hint="eastAsia" w:ascii="仿宋" w:hAnsi="仿宋" w:eastAsia="仿宋" w:cs="仿宋"/>
          <w:b/>
          <w:color w:val="auto"/>
          <w:szCs w:val="21"/>
          <w:highlight w:val="none"/>
        </w:rPr>
        <w:t>所有投标人应在规定时间里完成投标文件的解密工作</w:t>
      </w:r>
      <w:r>
        <w:rPr>
          <w:rFonts w:hint="eastAsia" w:ascii="仿宋" w:hAnsi="仿宋" w:eastAsia="仿宋" w:cs="仿宋"/>
          <w:b/>
          <w:bCs/>
          <w:color w:val="auto"/>
          <w:szCs w:val="21"/>
          <w:highlight w:val="none"/>
        </w:rPr>
        <w:t>【投标人</w:t>
      </w:r>
      <w:r>
        <w:rPr>
          <w:rFonts w:hint="eastAsia" w:ascii="仿宋" w:hAnsi="仿宋" w:eastAsia="仿宋" w:cs="仿宋"/>
          <w:b/>
          <w:bCs/>
          <w:color w:val="auto"/>
          <w:szCs w:val="21"/>
          <w:highlight w:val="none"/>
          <w:lang w:eastAsia="zh-CN"/>
        </w:rPr>
        <w:t>使用</w:t>
      </w:r>
      <w:r>
        <w:rPr>
          <w:rFonts w:hint="eastAsia" w:ascii="仿宋" w:hAnsi="仿宋" w:eastAsia="仿宋" w:cs="仿宋"/>
          <w:b/>
          <w:bCs/>
          <w:color w:val="auto"/>
          <w:szCs w:val="21"/>
          <w:highlight w:val="none"/>
        </w:rPr>
        <w:t>其有效加密锁（CA锁）</w:t>
      </w:r>
      <w:r>
        <w:rPr>
          <w:rFonts w:hint="eastAsia" w:ascii="仿宋" w:hAnsi="仿宋" w:eastAsia="仿宋" w:cs="仿宋"/>
          <w:b/>
          <w:bCs/>
          <w:color w:val="auto"/>
          <w:szCs w:val="21"/>
          <w:highlight w:val="none"/>
          <w:lang w:eastAsia="zh-CN"/>
        </w:rPr>
        <w:t>进行</w:t>
      </w:r>
      <w:r>
        <w:rPr>
          <w:rFonts w:hint="eastAsia" w:ascii="仿宋" w:hAnsi="仿宋" w:eastAsia="仿宋" w:cs="仿宋"/>
          <w:b/>
          <w:bCs/>
          <w:color w:val="auto"/>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rPr>
        <w:t>，因系统原因未能成功解密的投标文件，可导入</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也无法导入的，则投标文件被否决。</w:t>
      </w:r>
    </w:p>
    <w:p w14:paraId="653A7709">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.2投标人有下列情形之一的,资格审查后其投标作无效投标处理：</w:t>
      </w:r>
    </w:p>
    <w:p w14:paraId="658ADFEB">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(1)法定代表人参加开标会议未携带有效的法定代表人身份证明原件和本人身份证的；委托代理人参加开标会议未携带有效的法定代表人授权书和本人身份证；</w:t>
      </w:r>
    </w:p>
    <w:p w14:paraId="2ED3C729">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(2)投标人为本项目提供招标代理服务的；</w:t>
      </w:r>
    </w:p>
    <w:p w14:paraId="2D5B1914">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(3)投标人与在本项目代理机构存在相互任职或工作的；</w:t>
      </w:r>
    </w:p>
    <w:p w14:paraId="6DF30A2C">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(4)投标保证金未按规定要求缴纳的；</w:t>
      </w:r>
    </w:p>
    <w:p w14:paraId="6F2BDE48">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(5)评标专家无法查看并检验电子标书中相关资料的；</w:t>
      </w:r>
    </w:p>
    <w:p w14:paraId="07CCF0A9">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)联合体投标未提交联合体协议的；</w:t>
      </w:r>
    </w:p>
    <w:p w14:paraId="2ACE1CAE">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)被暂停营业的；</w:t>
      </w:r>
    </w:p>
    <w:p w14:paraId="43613AEC">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)被暂停或取消投标资格的；</w:t>
      </w:r>
    </w:p>
    <w:p w14:paraId="02198501">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)财产被接管或冻结的；</w:t>
      </w:r>
    </w:p>
    <w:p w14:paraId="2C45296C">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)投标人单位负责人为同一人或者存在控股、管理关系的不同单位的；</w:t>
      </w:r>
    </w:p>
    <w:p w14:paraId="703967B9">
      <w:pPr>
        <w:shd w:val="clear" w:color="auto" w:fill="auto"/>
        <w:snapToGrid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）投标人基本资格条件和特定资格条件中有一项及以上不符合要求的；</w:t>
      </w:r>
    </w:p>
    <w:p w14:paraId="0480735A">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）投标人使用相同的MAC地址进行报名的；</w:t>
      </w:r>
    </w:p>
    <w:p w14:paraId="36EFE712">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）其它情形，经评标委员会委提出按无效投标处理，并经公共资源交易监督部门核准的；</w:t>
      </w:r>
    </w:p>
    <w:p w14:paraId="5489C294">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）投标人使用相同IP地址报名的，一经发现，监管部门将进一步核实，查实后按串通投标处理；</w:t>
      </w:r>
    </w:p>
    <w:p w14:paraId="74DE170E">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14:paraId="77638902">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.3 投标人有下列情形之一的,符合性审查后其投标按无效投标处理：</w:t>
      </w:r>
    </w:p>
    <w:p w14:paraId="7C750AB4">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投标文件</w:t>
      </w:r>
      <w:r>
        <w:rPr>
          <w:rFonts w:hint="eastAsia" w:ascii="仿宋" w:hAnsi="仿宋" w:eastAsia="仿宋" w:cs="仿宋"/>
          <w:color w:val="auto"/>
          <w:szCs w:val="21"/>
          <w:highlight w:val="none"/>
          <w:lang w:eastAsia="zh-CN"/>
        </w:rPr>
        <w:t>签章</w:t>
      </w:r>
      <w:r>
        <w:rPr>
          <w:rFonts w:hint="eastAsia" w:ascii="仿宋" w:hAnsi="仿宋" w:eastAsia="仿宋" w:cs="仿宋"/>
          <w:color w:val="auto"/>
          <w:szCs w:val="21"/>
          <w:highlight w:val="none"/>
        </w:rPr>
        <w:t>、盖章不全，经评标委员会一致认定对开评标内容有实质性影响并经监督部门核准的；</w:t>
      </w:r>
    </w:p>
    <w:p w14:paraId="048EBE0A">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)未按规定的格式填写，实质性内容不全或关键字迹模糊、无法辨认; 经监督部门核准的；</w:t>
      </w:r>
    </w:p>
    <w:p w14:paraId="55B1780A">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(4)同一投标人提交两个以上不同的投标文件或者投标报价，但</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规定提交备选方案的除外；</w:t>
      </w:r>
    </w:p>
    <w:p w14:paraId="34E71300">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)投标文件没有对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的实质性要求和条件作出响应;</w:t>
      </w:r>
    </w:p>
    <w:p w14:paraId="41026F60">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)投标报价超出规定的投标限价或公布的采购预算的；注：投标人的投标报价各项单价均不得高于招标文件给定的单价最高限价，否则，其投标文件将按无效投标处理。</w:t>
      </w:r>
    </w:p>
    <w:p w14:paraId="430B5989">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)不按评标委员会要求澄清、说明或补正的，或者评标委员会根据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的规定对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的计算错误进行修正后，投标人不接受修正的投标报价的。</w:t>
      </w:r>
    </w:p>
    <w:p w14:paraId="15C2C2C8">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）其它情形，经评标委员会委提出按无效投标处理，并经公共资源交易监督部门核准的；</w:t>
      </w:r>
    </w:p>
    <w:p w14:paraId="571D6546">
      <w:pPr>
        <w:keepNext w:val="0"/>
        <w:keepLines w:val="0"/>
        <w:pageBreakBefore w:val="0"/>
        <w:widowControl/>
        <w:shd w:val="clear" w:color="auto" w:fill="auto"/>
        <w:kinsoku/>
        <w:wordWrap/>
        <w:overflowPunct/>
        <w:topLinePunct w:val="0"/>
        <w:autoSpaceDE/>
        <w:autoSpaceDN/>
        <w:bidi w:val="0"/>
        <w:adjustRightInd/>
        <w:spacing w:line="300" w:lineRule="exact"/>
        <w:ind w:firstLine="48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未按照招标文件的规定提交投标保证金的；</w:t>
      </w:r>
    </w:p>
    <w:p w14:paraId="275A7D2A">
      <w:pPr>
        <w:keepNext w:val="0"/>
        <w:keepLines w:val="0"/>
        <w:pageBreakBefore w:val="0"/>
        <w:widowControl/>
        <w:shd w:val="clear" w:color="auto" w:fill="auto"/>
        <w:kinsoku/>
        <w:wordWrap/>
        <w:overflowPunct/>
        <w:topLinePunct w:val="0"/>
        <w:autoSpaceDE/>
        <w:autoSpaceDN/>
        <w:bidi w:val="0"/>
        <w:adjustRightInd/>
        <w:spacing w:line="300" w:lineRule="exact"/>
        <w:ind w:firstLine="48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投标文件含有采购人不能接受的附加条件的;</w:t>
      </w:r>
    </w:p>
    <w:p w14:paraId="5C009EC3">
      <w:pPr>
        <w:keepNext w:val="0"/>
        <w:keepLines w:val="0"/>
        <w:pageBreakBefore w:val="0"/>
        <w:shd w:val="clear" w:color="auto" w:fill="auto"/>
        <w:tabs>
          <w:tab w:val="left" w:pos="1123"/>
        </w:tabs>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14:paraId="65E0D798">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.4 投标人有下列情形之一的, 详细评审后其投标按无效投标处理：</w:t>
      </w:r>
    </w:p>
    <w:p w14:paraId="6A74E086">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(1)投标产品不符合必须强制执行的国家标准的；</w:t>
      </w:r>
    </w:p>
    <w:p w14:paraId="26968627">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(2)投标人有串通投标、弄虚作假、行贿等违法行为；</w:t>
      </w:r>
    </w:p>
    <w:p w14:paraId="48E70BFA">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(3)投标文件含有违反国家法律、法规的内容，或附有招标人不能接受的条件的；</w:t>
      </w:r>
    </w:p>
    <w:p w14:paraId="56768197">
      <w:pPr>
        <w:keepNext w:val="0"/>
        <w:keepLines w:val="0"/>
        <w:pageBreakBefore w:val="0"/>
        <w:shd w:val="clear" w:color="auto" w:fill="auto"/>
        <w:kinsoku/>
        <w:wordWrap/>
        <w:overflowPunct/>
        <w:topLinePunct w:val="0"/>
        <w:autoSpaceDE/>
        <w:autoSpaceDN/>
        <w:bidi w:val="0"/>
        <w:adjustRightInd/>
        <w:spacing w:line="300" w:lineRule="exact"/>
        <w:ind w:firstLine="360"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（4）在同一项目（或同一标段）中有多个投标人有效投标报价接近最高限价，且评标委员会认为报价出现异常的，可以宣布其投标无效；</w:t>
      </w:r>
    </w:p>
    <w:p w14:paraId="06058A70">
      <w:pPr>
        <w:keepNext w:val="0"/>
        <w:keepLines w:val="0"/>
        <w:pageBreakBefore w:val="0"/>
        <w:shd w:val="clear" w:color="auto" w:fill="auto"/>
        <w:kinsoku/>
        <w:wordWrap/>
        <w:overflowPunct/>
        <w:topLinePunct w:val="0"/>
        <w:autoSpaceDE/>
        <w:autoSpaceDN/>
        <w:bidi w:val="0"/>
        <w:adjustRightInd/>
        <w:spacing w:line="300" w:lineRule="exact"/>
        <w:ind w:firstLine="360"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（5）报价明显低于其他投标人，且不能证明报价合理性的投标无效；</w:t>
      </w:r>
    </w:p>
    <w:p w14:paraId="5D8FA7F2">
      <w:pPr>
        <w:keepNext w:val="0"/>
        <w:keepLines w:val="0"/>
        <w:pageBreakBefore w:val="0"/>
        <w:shd w:val="clear" w:color="auto" w:fill="auto"/>
        <w:kinsoku/>
        <w:wordWrap/>
        <w:overflowPunct/>
        <w:topLinePunct w:val="0"/>
        <w:autoSpaceDE/>
        <w:autoSpaceDN/>
        <w:bidi w:val="0"/>
        <w:adjustRightInd/>
        <w:spacing w:line="300" w:lineRule="exact"/>
        <w:ind w:firstLine="360"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（6）拒不确认评标委员会评审修正的投标无效；</w:t>
      </w:r>
    </w:p>
    <w:p w14:paraId="3FE3FB79">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（7）其它情形，经评标委员会委提出按无效投标处理，并经公共资源交易监督部门核准的；</w:t>
      </w:r>
    </w:p>
    <w:p w14:paraId="4C634AB3">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b/>
          <w:color w:val="auto"/>
          <w:sz w:val="32"/>
          <w:szCs w:val="32"/>
          <w:highlight w:val="none"/>
          <w:lang w:val="en-US" w:eastAsia="zh-CN"/>
        </w:rPr>
        <w:sectPr>
          <w:footerReference r:id="rId9"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color w:val="auto"/>
          <w:szCs w:val="21"/>
          <w:highlight w:val="none"/>
        </w:rPr>
        <w:t>（8）</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w:t>
      </w:r>
    </w:p>
    <w:p w14:paraId="78F36607">
      <w:pPr>
        <w:spacing w:line="460" w:lineRule="exact"/>
        <w:ind w:firstLine="5491" w:firstLineChars="1700"/>
        <w:jc w:val="both"/>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第四部分</w:t>
      </w:r>
      <w:r>
        <w:rPr>
          <w:rFonts w:hint="eastAsia" w:ascii="仿宋" w:hAnsi="仿宋" w:eastAsia="仿宋" w:cs="仿宋"/>
          <w:b/>
          <w:color w:val="auto"/>
          <w:sz w:val="32"/>
          <w:szCs w:val="32"/>
          <w:lang w:val="en-US" w:eastAsia="zh-CN"/>
        </w:rPr>
        <w:t xml:space="preserve"> 采购</w:t>
      </w:r>
      <w:r>
        <w:rPr>
          <w:rFonts w:hint="eastAsia" w:ascii="仿宋" w:hAnsi="仿宋" w:eastAsia="仿宋" w:cs="仿宋"/>
          <w:b/>
          <w:color w:val="auto"/>
          <w:sz w:val="32"/>
          <w:szCs w:val="32"/>
          <w:lang w:eastAsia="zh-CN"/>
        </w:rPr>
        <w:t>需求（</w:t>
      </w:r>
      <w:r>
        <w:rPr>
          <w:rFonts w:hint="eastAsia" w:ascii="仿宋" w:hAnsi="仿宋" w:eastAsia="仿宋" w:cs="仿宋"/>
          <w:b/>
          <w:color w:val="auto"/>
          <w:sz w:val="32"/>
          <w:szCs w:val="32"/>
          <w:lang w:val="en-US" w:eastAsia="zh-CN"/>
        </w:rPr>
        <w:t>技术参数</w:t>
      </w:r>
      <w:r>
        <w:rPr>
          <w:rFonts w:hint="eastAsia" w:ascii="仿宋" w:hAnsi="仿宋" w:eastAsia="仿宋" w:cs="仿宋"/>
          <w:b/>
          <w:color w:val="auto"/>
          <w:sz w:val="32"/>
          <w:szCs w:val="32"/>
          <w:lang w:eastAsia="zh-CN"/>
        </w:rPr>
        <w:t>）</w:t>
      </w:r>
    </w:p>
    <w:bookmarkEnd w:id="72"/>
    <w:p w14:paraId="11433D20">
      <w:pPr>
        <w:pStyle w:val="34"/>
        <w:keepNext w:val="0"/>
        <w:keepLines w:val="0"/>
        <w:pageBreakBefore w:val="0"/>
        <w:widowControl w:val="0"/>
        <w:numPr>
          <w:ilvl w:val="0"/>
          <w:numId w:val="0"/>
        </w:numPr>
        <w:kinsoku/>
        <w:wordWrap/>
        <w:overflowPunct/>
        <w:topLinePunct w:val="0"/>
        <w:bidi w:val="0"/>
        <w:snapToGrid/>
        <w:spacing w:line="400" w:lineRule="exact"/>
        <w:ind w:firstLine="426" w:firstLineChars="200"/>
        <w:textAlignment w:val="auto"/>
        <w:rPr>
          <w:rFonts w:hint="eastAsia" w:ascii="Times New Roman" w:hAnsi="宋体" w:eastAsia="宋体" w:cs="Times New Roman"/>
          <w:b/>
          <w:bCs/>
          <w:color w:val="auto"/>
          <w:kern w:val="2"/>
          <w:sz w:val="21"/>
          <w:szCs w:val="20"/>
          <w:lang w:val="en-US" w:eastAsia="zh-CN" w:bidi="ar-SA"/>
        </w:rPr>
      </w:pP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6"/>
        <w:gridCol w:w="1656"/>
        <w:gridCol w:w="891"/>
        <w:gridCol w:w="1026"/>
        <w:gridCol w:w="397"/>
        <w:gridCol w:w="778"/>
        <w:gridCol w:w="1330"/>
        <w:gridCol w:w="5602"/>
        <w:gridCol w:w="936"/>
        <w:gridCol w:w="982"/>
      </w:tblGrid>
      <w:tr w14:paraId="71B5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14:paraId="0FAD562C">
            <w:pPr>
              <w:spacing w:line="460" w:lineRule="exact"/>
              <w:ind w:firstLine="4522" w:firstLineChars="1400"/>
              <w:jc w:val="both"/>
              <w:rPr>
                <w:rFonts w:hint="eastAsia" w:ascii="宋体" w:hAnsi="宋体" w:eastAsia="宋体" w:cs="宋体"/>
                <w:b/>
                <w:bCs/>
                <w:i w:val="0"/>
                <w:iCs w:val="0"/>
                <w:color w:val="auto"/>
                <w:sz w:val="40"/>
                <w:szCs w:val="40"/>
                <w:u w:val="none"/>
              </w:rPr>
            </w:pPr>
            <w:r>
              <w:rPr>
                <w:rFonts w:hint="eastAsia" w:ascii="仿宋" w:hAnsi="仿宋" w:eastAsia="仿宋" w:cs="仿宋"/>
                <w:b/>
                <w:color w:val="auto"/>
                <w:sz w:val="32"/>
                <w:szCs w:val="32"/>
                <w:lang w:val="en-US" w:eastAsia="zh-CN"/>
              </w:rPr>
              <w:t>鸡场笼具参数要求（12栋鸡舍合计数量）</w:t>
            </w:r>
          </w:p>
        </w:tc>
      </w:tr>
      <w:tr w14:paraId="3BDF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3" w:type="pct"/>
            <w:tcBorders>
              <w:top w:val="single" w:color="000000" w:sz="4" w:space="0"/>
              <w:left w:val="single" w:color="000000" w:sz="4" w:space="0"/>
              <w:bottom w:val="single" w:color="000000" w:sz="4" w:space="0"/>
              <w:right w:val="single" w:color="000000" w:sz="4" w:space="0"/>
            </w:tcBorders>
            <w:noWrap/>
            <w:vAlign w:val="center"/>
          </w:tcPr>
          <w:p w14:paraId="7DB95890">
            <w:pPr>
              <w:jc w:val="center"/>
              <w:rPr>
                <w:rFonts w:hint="eastAsia" w:ascii="宋体" w:hAnsi="宋体" w:eastAsia="宋体" w:cs="宋体"/>
                <w:i w:val="0"/>
                <w:iCs w:val="0"/>
                <w:color w:val="auto"/>
                <w:sz w:val="18"/>
                <w:szCs w:val="18"/>
                <w:u w:val="none"/>
              </w:rPr>
            </w:pPr>
          </w:p>
        </w:tc>
        <w:tc>
          <w:tcPr>
            <w:tcW w:w="4796" w:type="pct"/>
            <w:gridSpan w:val="9"/>
            <w:tcBorders>
              <w:top w:val="single" w:color="000000" w:sz="4" w:space="0"/>
              <w:left w:val="single" w:color="000000" w:sz="4" w:space="0"/>
              <w:bottom w:val="single" w:color="000000" w:sz="4" w:space="0"/>
              <w:right w:val="single" w:color="000000" w:sz="4" w:space="0"/>
            </w:tcBorders>
            <w:noWrap/>
            <w:vAlign w:val="center"/>
          </w:tcPr>
          <w:p w14:paraId="6F7945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鸡舍：规格及设备需求</w:t>
            </w:r>
          </w:p>
        </w:tc>
      </w:tr>
      <w:tr w14:paraId="2ED1D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7AC22B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鸡舍笼养设备</w:t>
            </w: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095FE0B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鸡舍规格：</w:t>
            </w:r>
          </w:p>
        </w:tc>
        <w:tc>
          <w:tcPr>
            <w:tcW w:w="1091" w:type="pct"/>
            <w:gridSpan w:val="4"/>
            <w:tcBorders>
              <w:top w:val="single" w:color="000000" w:sz="4" w:space="0"/>
              <w:left w:val="single" w:color="000000" w:sz="4" w:space="0"/>
              <w:bottom w:val="single" w:color="000000" w:sz="4" w:space="0"/>
              <w:right w:val="single" w:color="000000" w:sz="4" w:space="0"/>
            </w:tcBorders>
            <w:noWrap w:val="0"/>
            <w:vAlign w:val="center"/>
          </w:tcPr>
          <w:p w14:paraId="7F21EA3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长75米*宽13.5米*檐高3.9米</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21A6C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笼具尺寸</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3388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长1000mm*宽1000mm*高500mm，层间距650mm，总高2800mm</w:t>
            </w:r>
          </w:p>
        </w:tc>
        <w:tc>
          <w:tcPr>
            <w:tcW w:w="330" w:type="pct"/>
            <w:tcBorders>
              <w:top w:val="single" w:color="000000" w:sz="4" w:space="0"/>
              <w:left w:val="single" w:color="000000" w:sz="4" w:space="0"/>
              <w:bottom w:val="single" w:color="000000" w:sz="4" w:space="0"/>
              <w:right w:val="single" w:color="000000" w:sz="4" w:space="0"/>
            </w:tcBorders>
            <w:noWrap/>
            <w:vAlign w:val="center"/>
          </w:tcPr>
          <w:p w14:paraId="3A9E96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笼具数量</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66A425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12栋鸡舍</w:t>
            </w:r>
          </w:p>
        </w:tc>
      </w:tr>
      <w:tr w14:paraId="3E9B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0132793">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2B1A519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每栋单元格数量：</w:t>
            </w:r>
          </w:p>
        </w:tc>
        <w:tc>
          <w:tcPr>
            <w:tcW w:w="1091" w:type="pct"/>
            <w:gridSpan w:val="4"/>
            <w:tcBorders>
              <w:top w:val="single" w:color="000000" w:sz="4" w:space="0"/>
              <w:left w:val="single" w:color="000000" w:sz="4" w:space="0"/>
              <w:bottom w:val="single" w:color="000000" w:sz="4" w:space="0"/>
              <w:right w:val="single" w:color="000000" w:sz="4" w:space="0"/>
            </w:tcBorders>
            <w:noWrap w:val="0"/>
            <w:vAlign w:val="center"/>
          </w:tcPr>
          <w:p w14:paraId="2DAB9E3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66个</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FC7BE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每舍列数：</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DD2E0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6列</w:t>
            </w:r>
          </w:p>
        </w:tc>
      </w:tr>
      <w:tr w14:paraId="1FBF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7369CD7">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7630D1E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每栋饲养量：</w:t>
            </w:r>
          </w:p>
        </w:tc>
        <w:tc>
          <w:tcPr>
            <w:tcW w:w="1091" w:type="pct"/>
            <w:gridSpan w:val="4"/>
            <w:tcBorders>
              <w:top w:val="single" w:color="000000" w:sz="4" w:space="0"/>
              <w:left w:val="single" w:color="000000" w:sz="4" w:space="0"/>
              <w:bottom w:val="single" w:color="000000" w:sz="4" w:space="0"/>
              <w:right w:val="single" w:color="000000" w:sz="4" w:space="0"/>
            </w:tcBorders>
            <w:noWrap w:val="0"/>
            <w:vAlign w:val="center"/>
          </w:tcPr>
          <w:p w14:paraId="4E95DAF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38016羽</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134E5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每列层数：</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20B49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4层</w:t>
            </w:r>
          </w:p>
        </w:tc>
      </w:tr>
      <w:tr w14:paraId="266B5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AAE8B39">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3110F60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每单元饲养量：</w:t>
            </w:r>
          </w:p>
        </w:tc>
        <w:tc>
          <w:tcPr>
            <w:tcW w:w="1091" w:type="pct"/>
            <w:gridSpan w:val="4"/>
            <w:tcBorders>
              <w:top w:val="single" w:color="000000" w:sz="4" w:space="0"/>
              <w:left w:val="single" w:color="000000" w:sz="4" w:space="0"/>
              <w:bottom w:val="single" w:color="000000" w:sz="4" w:space="0"/>
              <w:right w:val="single" w:color="000000" w:sz="4" w:space="0"/>
            </w:tcBorders>
            <w:noWrap w:val="0"/>
            <w:vAlign w:val="center"/>
          </w:tcPr>
          <w:p w14:paraId="355618B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24羽</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DD3D8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每列组数：</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FEB17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66组</w:t>
            </w:r>
          </w:p>
        </w:tc>
      </w:tr>
      <w:tr w14:paraId="088D2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FF55471">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77208D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鸡舍面积平方米：</w:t>
            </w:r>
          </w:p>
        </w:tc>
        <w:tc>
          <w:tcPr>
            <w:tcW w:w="1091" w:type="pct"/>
            <w:gridSpan w:val="4"/>
            <w:tcBorders>
              <w:top w:val="single" w:color="000000" w:sz="4" w:space="0"/>
              <w:left w:val="single" w:color="000000" w:sz="4" w:space="0"/>
              <w:bottom w:val="single" w:color="000000" w:sz="4" w:space="0"/>
              <w:right w:val="single" w:color="000000" w:sz="4" w:space="0"/>
            </w:tcBorders>
            <w:noWrap w:val="0"/>
            <w:vAlign w:val="center"/>
          </w:tcPr>
          <w:p w14:paraId="256999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1012.5平米</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2B6A9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每舍总组数；</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A2797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396组</w:t>
            </w:r>
          </w:p>
        </w:tc>
      </w:tr>
      <w:tr w14:paraId="299A7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D962F35">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27662F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设备类型</w:t>
            </w:r>
          </w:p>
        </w:tc>
        <w:tc>
          <w:tcPr>
            <w:tcW w:w="1091" w:type="pct"/>
            <w:gridSpan w:val="4"/>
            <w:tcBorders>
              <w:top w:val="single" w:color="000000" w:sz="4" w:space="0"/>
              <w:left w:val="single" w:color="000000" w:sz="4" w:space="0"/>
              <w:bottom w:val="single" w:color="000000" w:sz="4" w:space="0"/>
              <w:right w:val="single" w:color="000000" w:sz="4" w:space="0"/>
            </w:tcBorders>
            <w:noWrap w:val="0"/>
            <w:vAlign w:val="center"/>
          </w:tcPr>
          <w:p w14:paraId="3A9322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单排式（一侧喂料一侧抓鸡）</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28D16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粪沟宽度：</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72CBE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1米</w:t>
            </w:r>
          </w:p>
        </w:tc>
      </w:tr>
      <w:tr w14:paraId="0448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620BD23">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08932D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出鸡道宽度</w:t>
            </w:r>
          </w:p>
        </w:tc>
        <w:tc>
          <w:tcPr>
            <w:tcW w:w="1091" w:type="pct"/>
            <w:gridSpan w:val="4"/>
            <w:tcBorders>
              <w:top w:val="single" w:color="000000" w:sz="4" w:space="0"/>
              <w:left w:val="single" w:color="000000" w:sz="4" w:space="0"/>
              <w:bottom w:val="single" w:color="000000" w:sz="4" w:space="0"/>
              <w:right w:val="single" w:color="000000" w:sz="4" w:space="0"/>
            </w:tcBorders>
            <w:noWrap w:val="0"/>
            <w:vAlign w:val="center"/>
          </w:tcPr>
          <w:p w14:paraId="3A7061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1.05米</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9863C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喂料道宽度：</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446AFE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0.7米（不含料槽）</w:t>
            </w:r>
          </w:p>
        </w:tc>
      </w:tr>
      <w:tr w14:paraId="0DE3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BC1D19E">
            <w:pPr>
              <w:jc w:val="center"/>
              <w:rPr>
                <w:rFonts w:hint="eastAsia" w:ascii="宋体" w:hAnsi="宋体" w:eastAsia="宋体" w:cs="宋体"/>
                <w:i w:val="0"/>
                <w:iCs w:val="0"/>
                <w:color w:val="auto"/>
                <w:sz w:val="18"/>
                <w:szCs w:val="18"/>
                <w:u w:val="none"/>
              </w:rPr>
            </w:pPr>
          </w:p>
        </w:tc>
        <w:tc>
          <w:tcPr>
            <w:tcW w:w="4796" w:type="pct"/>
            <w:gridSpan w:val="9"/>
            <w:tcBorders>
              <w:top w:val="single" w:color="000000" w:sz="4" w:space="0"/>
              <w:left w:val="single" w:color="000000" w:sz="4" w:space="0"/>
              <w:bottom w:val="single" w:color="000000" w:sz="4" w:space="0"/>
              <w:right w:val="single" w:color="000000" w:sz="4" w:space="0"/>
            </w:tcBorders>
            <w:noWrap w:val="0"/>
            <w:vAlign w:val="center"/>
          </w:tcPr>
          <w:p w14:paraId="117AB898">
            <w:pPr>
              <w:keepNext w:val="0"/>
              <w:keepLines w:val="0"/>
              <w:widowControl/>
              <w:suppressLineNumbers w:val="0"/>
              <w:jc w:val="left"/>
              <w:textAlignment w:val="center"/>
              <w:rPr>
                <w:rFonts w:ascii="华文细黑" w:hAnsi="华文细黑" w:eastAsia="华文细黑" w:cs="华文细黑"/>
                <w:b/>
                <w:bCs/>
                <w:i w:val="0"/>
                <w:iCs w:val="0"/>
                <w:color w:val="auto"/>
                <w:sz w:val="18"/>
                <w:szCs w:val="18"/>
                <w:u w:val="none"/>
              </w:rPr>
            </w:pPr>
            <w:r>
              <w:rPr>
                <w:rFonts w:hint="default" w:ascii="华文细黑" w:hAnsi="华文细黑" w:eastAsia="华文细黑" w:cs="华文细黑"/>
                <w:b/>
                <w:bCs/>
                <w:i w:val="0"/>
                <w:iCs w:val="0"/>
                <w:color w:val="auto"/>
                <w:kern w:val="0"/>
                <w:sz w:val="18"/>
                <w:szCs w:val="18"/>
                <w:u w:val="none"/>
                <w:lang w:val="en-US" w:eastAsia="zh-CN" w:bidi="ar"/>
              </w:rPr>
              <w:t>肉鸡笼养笼具设备</w:t>
            </w:r>
          </w:p>
        </w:tc>
      </w:tr>
      <w:tr w14:paraId="2BEB8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AF4318C">
            <w:pPr>
              <w:jc w:val="center"/>
              <w:rPr>
                <w:rFonts w:hint="eastAsia" w:ascii="宋体" w:hAnsi="宋体" w:eastAsia="宋体" w:cs="宋体"/>
                <w:i w:val="0"/>
                <w:iCs w:val="0"/>
                <w:color w:val="auto"/>
                <w:sz w:val="18"/>
                <w:szCs w:val="18"/>
                <w:u w:val="none"/>
              </w:rPr>
            </w:pPr>
          </w:p>
        </w:tc>
        <w:tc>
          <w:tcPr>
            <w:tcW w:w="4796" w:type="pct"/>
            <w:gridSpan w:val="9"/>
            <w:tcBorders>
              <w:top w:val="single" w:color="000000" w:sz="4" w:space="0"/>
              <w:left w:val="single" w:color="000000" w:sz="4" w:space="0"/>
              <w:bottom w:val="single" w:color="000000" w:sz="4" w:space="0"/>
              <w:right w:val="single" w:color="000000" w:sz="4" w:space="0"/>
            </w:tcBorders>
            <w:noWrap/>
            <w:vAlign w:val="center"/>
          </w:tcPr>
          <w:p w14:paraId="7D0D34C8">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1.肉鸡笼养笼具设备-主体系统</w:t>
            </w:r>
          </w:p>
        </w:tc>
      </w:tr>
      <w:tr w14:paraId="1C6A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848D16C">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A8183A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B7F003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140313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F2A904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5827424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A57E89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C55E416">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2F66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728704D">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8F0F7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07AB0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主笼架</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5D0FC4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4821</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C2BD1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32738C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F5F6D4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E2623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1、主体275g/㎡热镀锌板*，冲压成型。纵向连接≥1.5mm，挂笼板厚度≥1.5 mm，主体立柱厚度≥2.0mm*，粪带托梁板厚度≥1.2mm*，粪托顶部做成弧形。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2、上食槽托厚度≥1.5mm，中、底层食槽托厚度≥2mm*。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3、全螺纹高强度螺栓表面防腐处理笼架系统，固定螺丝采用8.8级别达克罗防腐材质或不锈钢材质。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4、笼架立柱靠食槽处采用塑料件密闭处理，防止漏料。</w:t>
            </w:r>
          </w:p>
        </w:tc>
      </w:tr>
      <w:tr w14:paraId="022B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060F977">
            <w:pPr>
              <w:jc w:val="center"/>
              <w:rPr>
                <w:rFonts w:hint="eastAsia" w:ascii="宋体" w:hAnsi="宋体" w:eastAsia="宋体" w:cs="宋体"/>
                <w:i w:val="0"/>
                <w:iCs w:val="0"/>
                <w:color w:val="auto"/>
                <w:sz w:val="18"/>
                <w:szCs w:val="18"/>
                <w:u w:val="none"/>
              </w:rPr>
            </w:pPr>
          </w:p>
        </w:tc>
        <w:tc>
          <w:tcPr>
            <w:tcW w:w="584" w:type="pct"/>
            <w:vMerge w:val="restart"/>
            <w:tcBorders>
              <w:top w:val="single" w:color="000000" w:sz="4" w:space="0"/>
              <w:left w:val="single" w:color="000000" w:sz="4" w:space="0"/>
              <w:bottom w:val="single" w:color="000000" w:sz="4" w:space="0"/>
              <w:right w:val="single" w:color="000000" w:sz="4" w:space="0"/>
            </w:tcBorders>
            <w:noWrap w:val="0"/>
            <w:vAlign w:val="center"/>
          </w:tcPr>
          <w:p w14:paraId="664B0B5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14:paraId="26D0A7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鸡笼</w:t>
            </w:r>
          </w:p>
        </w:tc>
        <w:tc>
          <w:tcPr>
            <w:tcW w:w="361" w:type="pct"/>
            <w:vMerge w:val="restart"/>
            <w:tcBorders>
              <w:top w:val="single" w:color="000000" w:sz="4" w:space="0"/>
              <w:left w:val="single" w:color="000000" w:sz="4" w:space="0"/>
              <w:bottom w:val="single" w:color="000000" w:sz="4" w:space="0"/>
              <w:right w:val="single" w:color="000000" w:sz="4" w:space="0"/>
            </w:tcBorders>
            <w:noWrap w:val="0"/>
            <w:vAlign w:val="center"/>
          </w:tcPr>
          <w:p w14:paraId="3FCCC72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vMerge w:val="restart"/>
            <w:tcBorders>
              <w:top w:val="single" w:color="000000" w:sz="4" w:space="0"/>
              <w:left w:val="single" w:color="000000" w:sz="4" w:space="0"/>
              <w:bottom w:val="single" w:color="000000" w:sz="4" w:space="0"/>
              <w:right w:val="single" w:color="000000" w:sz="4" w:space="0"/>
            </w:tcBorders>
            <w:noWrap w:val="0"/>
            <w:vAlign w:val="center"/>
          </w:tcPr>
          <w:p w14:paraId="1CBD51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vMerge w:val="restart"/>
            <w:tcBorders>
              <w:top w:val="single" w:color="000000" w:sz="4" w:space="0"/>
              <w:left w:val="single" w:color="000000" w:sz="4" w:space="0"/>
              <w:bottom w:val="single" w:color="000000" w:sz="4" w:space="0"/>
              <w:right w:val="single" w:color="000000" w:sz="4" w:space="0"/>
            </w:tcBorders>
            <w:noWrap w:val="0"/>
            <w:vAlign w:val="center"/>
          </w:tcPr>
          <w:p w14:paraId="145C54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14:paraId="4C2D3B8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4D668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底网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1.净丝径≥φ3㎜*、底网规格50㎜（纵丝）×70㎜（横丝）*、纵丝在下横丝在上、每格底网两侧各加一根横丝（防止育雏期漏鸡）                                                                                                                                                                                                                                                                                                                                                                                                                                                                           2.笼架处不能高于底网，底网间用C形钉固定                                                                                                                                          3.笼底安装紧凑结实，避免笼底出现开裂等现象，底网保证出栏量≥50公斤/㎡*无明显变形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4.底网拖杆设计为双杆。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横向隔网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1.净丝径≥δ2.3mm*、横向隔网竖丝间距20㎜（水线升降处除外）                                                                                                            2.横向隔网每单元格1个，横向隔网与底网间用C形钉固定                                                                                                                    3.横向隔网水线升降处上部无连接，使水线尽量升高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喂料道侧笼门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1.净丝径≥3㎜与≥4㎜*组合使用                                                                                                                                                                                         2.采用上下两断全开门设计，下笼门可放平、上笼门内推                                                                                                                             3.下笼门下端两侧穿在笼架上并用C形钉与底网连接；下笼门上端用塑料卡子与立柱连接，下笼门上端折弯，保证强度不变形；下笼门高250㎜（限饲格宽55㎜、高220㎜），保证整个生长过程方便采食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4.下笼门配塑料采料调节板，每笼门一个，用两个塑料蝶形螺丝固定在下笼门上，采料调节板平直、不变形，两笼采料调节板之间有塑料卡片，保证料槽不漏料                                                                                                                                                           5.辅限饲格宽55㎜、高220㎜；辅限饲格安装在主限饲格和采料调节板之间，辅限饲格上端用塑料蝶形螺丝固定在主限饲格上；辅限饲格可错位移动且方便调节，以控制采食宽度且不跑鸡                                                                                                           6.配备四层采料调节板                                                                                                                                                                                 7.上笼门高255mm；丝间距布局合理，防止跑鸡（黄麻鸡）；上笼门上端距上层下粪带≤30㎜；上笼门下端折弯，保证强度不变形；上笼门上端使用大笼门弹簧，保证弹起力度；笼架上有笼门挡线，保证笼门打开后不伤粪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8.上下笼门丝头和焊接处不得伤鸡。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9.上下笼门搭接处1.5cm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出鸡道侧笼门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1.净丝径≥3㎜与≥4㎜*组合使用                                                                                                                                                                         2.采用上下两断全开门设计，下笼门可放平、上笼门内推，方便抓鸡                                                                                                      3.上笼门设计及规格与喂料道侧一致                                                                                                                                                         4.下笼门下端两侧穿在笼架上并用C形钉与底网连接；下笼门上端用塑料卡子与立柱连接，下笼门上端折弯，保证强度不变形；下笼门高250㎜；下笼门竖丝间距≤20㎜（全开笼门因水线和鸡导致不易打开/建议删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5.上下笼门搭接处＞1.5cm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6.上下笼门丝头和焊接处不得伤鸡。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顶网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1.净丝径≥φ2㎜*、顶网规格100㎜（纵丝）×100㎜（横丝）                                                                                                                                2.除最上层外，其余3层无顶网</w:t>
            </w:r>
          </w:p>
        </w:tc>
      </w:tr>
      <w:tr w14:paraId="5E9FC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41C1149">
            <w:pPr>
              <w:jc w:val="center"/>
              <w:rPr>
                <w:rFonts w:hint="eastAsia" w:ascii="宋体" w:hAnsi="宋体" w:eastAsia="宋体" w:cs="宋体"/>
                <w:i w:val="0"/>
                <w:iCs w:val="0"/>
                <w:color w:val="auto"/>
                <w:sz w:val="18"/>
                <w:szCs w:val="18"/>
                <w:u w:val="none"/>
              </w:rPr>
            </w:pPr>
          </w:p>
        </w:tc>
        <w:tc>
          <w:tcPr>
            <w:tcW w:w="5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8C5F98">
            <w:pPr>
              <w:jc w:val="center"/>
              <w:rPr>
                <w:rFonts w:hint="default" w:ascii="Times New Roman" w:hAnsi="Times New Roman" w:eastAsia="宋体" w:cs="Times New Roman"/>
                <w:i w:val="0"/>
                <w:iCs w:val="0"/>
                <w:color w:val="auto"/>
                <w:sz w:val="18"/>
                <w:szCs w:val="18"/>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781699">
            <w:pPr>
              <w:jc w:val="center"/>
              <w:rPr>
                <w:rFonts w:hint="eastAsia" w:ascii="宋体" w:hAnsi="宋体" w:eastAsia="宋体" w:cs="宋体"/>
                <w:i w:val="0"/>
                <w:iCs w:val="0"/>
                <w:color w:val="auto"/>
                <w:sz w:val="18"/>
                <w:szCs w:val="18"/>
                <w:u w:val="none"/>
              </w:rPr>
            </w:pPr>
          </w:p>
        </w:tc>
        <w:tc>
          <w:tcPr>
            <w:tcW w:w="3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6A64A5">
            <w:pPr>
              <w:jc w:val="center"/>
              <w:rPr>
                <w:rFonts w:hint="default" w:ascii="Times New Roman" w:hAnsi="Times New Roman" w:eastAsia="宋体" w:cs="Times New Roman"/>
                <w:i w:val="0"/>
                <w:iCs w:val="0"/>
                <w:color w:val="auto"/>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A18B06">
            <w:pPr>
              <w:jc w:val="center"/>
              <w:rPr>
                <w:rFonts w:hint="eastAsia" w:ascii="宋体" w:hAnsi="宋体" w:eastAsia="宋体" w:cs="宋体"/>
                <w:i w:val="0"/>
                <w:iCs w:val="0"/>
                <w:color w:val="auto"/>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FCD03F">
            <w:pPr>
              <w:jc w:val="center"/>
              <w:rPr>
                <w:rFonts w:hint="eastAsia" w:ascii="宋体" w:hAnsi="宋体" w:eastAsia="宋体" w:cs="宋体"/>
                <w:i w:val="0"/>
                <w:iCs w:val="0"/>
                <w:color w:val="auto"/>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1DC97F">
            <w:pPr>
              <w:jc w:val="center"/>
              <w:rPr>
                <w:rFonts w:hint="default" w:ascii="Times New Roman" w:hAnsi="Times New Roman" w:eastAsia="宋体" w:cs="Times New Roman"/>
                <w:i w:val="0"/>
                <w:iCs w:val="0"/>
                <w:color w:val="auto"/>
                <w:sz w:val="18"/>
                <w:szCs w:val="18"/>
                <w:u w:val="none"/>
              </w:rPr>
            </w:pPr>
          </w:p>
        </w:tc>
        <w:tc>
          <w:tcPr>
            <w:tcW w:w="265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6582249">
            <w:pPr>
              <w:jc w:val="left"/>
              <w:rPr>
                <w:rFonts w:hint="eastAsia" w:ascii="宋体" w:hAnsi="宋体" w:eastAsia="宋体" w:cs="宋体"/>
                <w:i w:val="0"/>
                <w:iCs w:val="0"/>
                <w:color w:val="auto"/>
                <w:sz w:val="18"/>
                <w:szCs w:val="18"/>
                <w:u w:val="none"/>
              </w:rPr>
            </w:pPr>
          </w:p>
        </w:tc>
      </w:tr>
      <w:tr w14:paraId="0098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15B757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1A82C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681EE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前挡网固定夹及塑料螺丝</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77536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DD563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592728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EAE15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6D7DB8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1.固定夹不锈钢材质                                                                                                                                                               2.塑料螺丝材质POE、≥M12*</w:t>
            </w:r>
          </w:p>
        </w:tc>
      </w:tr>
      <w:tr w14:paraId="29C8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DBE6C0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A5F3C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845E8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笼门销、笼门弹簧、塑料扣</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E374E0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584E4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74F62B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9EE0D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5119F2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1.笼门销≥ M6*≥110mm*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2.笼门弹簧采用高强度合金钢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3.塑料扣使用原生料材质</w:t>
            </w:r>
          </w:p>
        </w:tc>
      </w:tr>
      <w:tr w14:paraId="7F41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2871F4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725F0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D859E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食槽(单侧食槽）</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0398C6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8826A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7D02E7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64E499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910FBC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1.白色PVC原生料、不含再生料*；厚度≥3.5㎜*，料槽采食侧沿高40㎜*；                                                                                                                       2.料槽平直、不变形；料槽接头、料槽堵头为原生塑料，连接处不漏料；                                                                                                                    3.第一层和第二层食槽道侧安装踏管，食槽+踏管宽度不超过200㎜；踏管≥φ25㎜热镀锌圆管，厚度≥2.75mm*；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4.料槽支撑：热镀锌支撑板板厚≥2㎜，用螺栓固定在笼架上，踩踏使用牢固；承压≥70kg*不变形；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5.自行设计满足全日龄料槽（含1-7日龄育雏）。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6.料槽打料檐内檐折弯＞5mm</w:t>
            </w:r>
          </w:p>
        </w:tc>
      </w:tr>
      <w:tr w14:paraId="31ED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F398E36">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D04DF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1672A7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调节板</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01116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A9B16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37123F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A29A00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30E243A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1.原料PVC（含调节螺栓POM原料）注塑件每笼门一个</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2.用两个塑料蝶形螺丝固定在下笼门上，采料调节板平直、不变形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3.两笼采料调节板之间有塑料卡片，保证料槽不漏料*</w:t>
            </w:r>
          </w:p>
        </w:tc>
      </w:tr>
      <w:tr w14:paraId="25F3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A2DFC36">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F1E13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58113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塑料垫网及脚踏板</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F3239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DCF47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528259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B9AD50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56832A9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层均配六边孔状注塑模具式塑料网，全新PE，新料含量100%*，网眼孔径18㎜便于漏粪，厚度≥1.8mm*，塑料底网重量≥600±50g/㎡*，按每单元格分片用C形钉固定在底网上，保证塑料底网不滑；两侧连带挡粪踏板，宽度70㎜。 </w:t>
            </w:r>
          </w:p>
        </w:tc>
      </w:tr>
      <w:tr w14:paraId="527B4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8B83814">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11338D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1.10</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01B00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踏管</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719D0E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144</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6E68E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100E76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C2DD0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37E9E4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1.喂料侧中、下层安装圆形脚踏管，外径≥32MM，壁厚≥2.2mm *，料槽+踏管宽度不超过200㎜。                                                                                            2.出鸡侧中、下层安装方形脚踏管，外径≥30MM*30MM，壁厚≥2.2mm*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3.踏管支撑：用螺栓固定在笼架上，踩踏使用牢固。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4.出鸡道侧踏管紧贴笼门、间隙≤1cm</w:t>
            </w:r>
          </w:p>
        </w:tc>
      </w:tr>
      <w:tr w14:paraId="6EE9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7D78B47">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EE44E5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101D2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地暖管</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5A88D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43200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D8A63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546670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F2406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8750FF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地暖管                                                                                                                                                                              1.每列 、鸡笼最下层安装一进一出两条（四进四出八条）地暖管、鸡笼中间部位返回，鸡笼第二层安装一进一出两条地暖管、鸡笼中间部位返回，鸡笼前后端安装单进单出两个分水器。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2*.外直径：≥25mm、壁厚：≥2mm。                                                                                                                                                                          地暖分水器                                                                                                                                                                       1.全铜分水器。                                                                                                                                                                       2.分水器供回水侧安装铜球阀、过滤器。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3.地暖主管加装电磁阀用环控仪控制、控制电压DC0-10V*,电磁阀不能影响散热器的供水、散热器和地暖管供水分开供水。</w:t>
            </w:r>
          </w:p>
        </w:tc>
      </w:tr>
      <w:tr w14:paraId="12A28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2B55BEE">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548BD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2A6BA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小料桶</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6ADEED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24000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63212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3AABB0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7341C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B95737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1.原料PVC*、容量1.5KG*</w:t>
            </w:r>
          </w:p>
        </w:tc>
      </w:tr>
      <w:tr w14:paraId="39C7F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F3ADC77">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9F391D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2BB64A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手推喂料车</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99E8C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0F2C8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辆</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6EB3B9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FC2282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2903E6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1.手推不锈钢喂料车，不锈钢≥2mm厚*，承重≥200kg*。</w:t>
            </w:r>
          </w:p>
        </w:tc>
      </w:tr>
      <w:tr w14:paraId="559D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878CC0C">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E098E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1.14</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60EDD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电动巡视车</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A8D16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4D67E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辆</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2580AB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E2B67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DC9B45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1.依据使用厂家自行设计技术标准                                                                                                                                                  2.工作电压48v，电机功率400W，荷载250kg*                                                                                                                                    3.尺寸：1250mm*58mm*200mm                                                                                                                                                             4.转弯半径150cm                                                                                                                                                                    5.台阶：一级70cm、二级100cm</w:t>
            </w:r>
          </w:p>
        </w:tc>
      </w:tr>
      <w:tr w14:paraId="1827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4CCBB1C">
            <w:pPr>
              <w:jc w:val="center"/>
              <w:rPr>
                <w:rFonts w:hint="eastAsia" w:ascii="宋体" w:hAnsi="宋体" w:eastAsia="宋体" w:cs="宋体"/>
                <w:i w:val="0"/>
                <w:iCs w:val="0"/>
                <w:color w:val="auto"/>
                <w:sz w:val="18"/>
                <w:szCs w:val="18"/>
                <w:u w:val="none"/>
              </w:rPr>
            </w:pPr>
          </w:p>
        </w:tc>
        <w:tc>
          <w:tcPr>
            <w:tcW w:w="2143" w:type="pct"/>
            <w:gridSpan w:val="6"/>
            <w:tcBorders>
              <w:top w:val="single" w:color="000000" w:sz="4" w:space="0"/>
              <w:left w:val="single" w:color="000000" w:sz="4" w:space="0"/>
              <w:bottom w:val="single" w:color="000000" w:sz="4" w:space="0"/>
              <w:right w:val="single" w:color="000000" w:sz="4" w:space="0"/>
            </w:tcBorders>
            <w:noWrap w:val="0"/>
            <w:vAlign w:val="center"/>
          </w:tcPr>
          <w:p w14:paraId="5FD5AD25">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2、乳头式鸡用饮水设备</w:t>
            </w:r>
          </w:p>
        </w:tc>
        <w:tc>
          <w:tcPr>
            <w:tcW w:w="2653"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71CF71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r>
      <w:tr w14:paraId="6A042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7F2D29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2AC401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153EEE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E0F696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22B68B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41E2E66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单价（元）</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DFB546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D071D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r>
      <w:tr w14:paraId="5449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3802E75">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DE86E4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F4371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水线过滤器组件</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10F494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DA663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3C4F3D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2E766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442CBB8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1.每栋配一个水表、一个过滤器、一个自吸泵≥500W（不需带加药器）,供水主管≥￠50 ，每个机头分管≥￠32，壁厚≥2mm,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2.管线耐压＞0.6mpa*                                                                                                                                </w:t>
            </w:r>
          </w:p>
        </w:tc>
      </w:tr>
      <w:tr w14:paraId="525F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CF107F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AC50EA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39C89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反冲式调压器</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F3394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288</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EECC2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7202F5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4F796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3DABE51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1.调压器采用反冲式，显水塑料管采用插接式、产品尺寸≥25cm*22cm,出水口Φ25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2.耐压＞0.6mpa*</w:t>
            </w:r>
          </w:p>
        </w:tc>
      </w:tr>
      <w:tr w14:paraId="0DBD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E03B6BD">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812452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8D5B0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水线主进水管及管件、配件</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D2742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197C1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211CE8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359EA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40A291A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1.每层1条水线，配调压阀和末端；方形饮水管，外径22㎜*22㎜，壁厚≥2㎜*，带加强筋，白色PVC原生料*；                                                                                         2.水线末端安装集中排污管路，方便冲刷水线,主水管≥￠50，厚度≥2mm,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3.排污管使用UPVC国标供水管</w:t>
            </w:r>
          </w:p>
        </w:tc>
      </w:tr>
      <w:tr w14:paraId="7EF3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CB38C44">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1A898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1C148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固定钢管</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1FBA1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288</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2914C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7BCC65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6A9003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4BC6E5E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1.热镀锌钢管≥¢32mm*3mm*6m*（6米一根）</w:t>
            </w:r>
          </w:p>
        </w:tc>
      </w:tr>
      <w:tr w14:paraId="02867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02BC1C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7014F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50D30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水线调节升降架</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E6FD1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82749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207B6F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6148F5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CB0F8F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1.水线升降装置为绞盘，水线最低高度为水杯接触底网、最高高度为水线接触粪带横拖，保证整个生长过程的饮水                                     </w:t>
            </w:r>
          </w:p>
        </w:tc>
      </w:tr>
      <w:tr w14:paraId="14D7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F88C603">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89DBE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2.6</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14F0C3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加药器及配件</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1FC28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C81B9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245BC9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65BFF2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28D58F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1.1000公斤加药桶、管路使用PVC原料，耐压为≥1.6Mpa*  </w:t>
            </w:r>
          </w:p>
        </w:tc>
      </w:tr>
      <w:tr w14:paraId="33DD9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2B83AFF">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8E3C2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2.7</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35119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乳头式水线</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65D4B5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37F41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44B8E3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D207C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39607CE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1.每笼3个锥阀乳头*，360°侧击出水；每个乳头带100㎜水杯、水杯牢固不易掉。                                                                                                                                                         </w:t>
            </w:r>
          </w:p>
        </w:tc>
      </w:tr>
      <w:tr w14:paraId="01FC8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5FE3B46">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18ACF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BD866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水线螺丝</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B921F9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8BF70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166739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307FF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57D6FC6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1.原生料制作塑料水线螺丝，直径≥11mm</w:t>
            </w:r>
          </w:p>
        </w:tc>
      </w:tr>
      <w:tr w14:paraId="2B86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5A04EDA">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DAE87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2.9</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B0699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水线吊扣</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2BC1A5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86B2D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645AF9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D8A23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CDB5C2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1.使用聚丙材料S型，每个重量≥11克</w:t>
            </w:r>
          </w:p>
        </w:tc>
      </w:tr>
      <w:tr w14:paraId="33EE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9F22CC1">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9333C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2.10</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1168FD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水线拉线</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4DD014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794C0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13D4BC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6A5E5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E37899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1.热镀锌丝；既可实现单层调节。</w:t>
            </w:r>
          </w:p>
        </w:tc>
      </w:tr>
      <w:tr w14:paraId="11BA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9CC1A1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52EAA9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1A64D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PVC胶水</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AA6A13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96</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149E3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桶</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6B7322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49E82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F01E00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1.粘度150-500cps,抗拉度≥200±10(kg/c㎡),中低黏度</w:t>
            </w:r>
          </w:p>
        </w:tc>
      </w:tr>
      <w:tr w14:paraId="698D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04E0220">
            <w:pPr>
              <w:jc w:val="center"/>
              <w:rPr>
                <w:rFonts w:hint="eastAsia" w:ascii="宋体" w:hAnsi="宋体" w:eastAsia="宋体" w:cs="宋体"/>
                <w:i w:val="0"/>
                <w:iCs w:val="0"/>
                <w:color w:val="auto"/>
                <w:sz w:val="18"/>
                <w:szCs w:val="18"/>
                <w:u w:val="none"/>
              </w:rPr>
            </w:pPr>
          </w:p>
        </w:tc>
        <w:tc>
          <w:tcPr>
            <w:tcW w:w="2143" w:type="pct"/>
            <w:gridSpan w:val="6"/>
            <w:tcBorders>
              <w:top w:val="single" w:color="000000" w:sz="4" w:space="0"/>
              <w:left w:val="single" w:color="000000" w:sz="4" w:space="0"/>
              <w:bottom w:val="single" w:color="000000" w:sz="4" w:space="0"/>
              <w:right w:val="single" w:color="000000" w:sz="4" w:space="0"/>
            </w:tcBorders>
            <w:noWrap w:val="0"/>
            <w:vAlign w:val="center"/>
          </w:tcPr>
          <w:p w14:paraId="4ACBB7EF">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3、养鸡送料喂料设备</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1335DD9">
            <w:pPr>
              <w:jc w:val="left"/>
              <w:rPr>
                <w:rFonts w:hint="eastAsia" w:ascii="宋体" w:hAnsi="宋体" w:eastAsia="宋体" w:cs="宋体"/>
                <w:i w:val="0"/>
                <w:iCs w:val="0"/>
                <w:color w:val="auto"/>
                <w:sz w:val="18"/>
                <w:szCs w:val="18"/>
                <w:u w:val="none"/>
              </w:rPr>
            </w:pPr>
          </w:p>
        </w:tc>
      </w:tr>
      <w:tr w14:paraId="3307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40EE76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9EF444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D372A2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5FB255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F39991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1597CB5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单价（元）</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8047A1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547D380B">
            <w:pPr>
              <w:jc w:val="left"/>
              <w:rPr>
                <w:rFonts w:hint="eastAsia" w:ascii="宋体" w:hAnsi="宋体" w:eastAsia="宋体" w:cs="宋体"/>
                <w:i w:val="0"/>
                <w:iCs w:val="0"/>
                <w:color w:val="auto"/>
                <w:sz w:val="18"/>
                <w:szCs w:val="18"/>
                <w:u w:val="none"/>
              </w:rPr>
            </w:pPr>
          </w:p>
        </w:tc>
      </w:tr>
      <w:tr w14:paraId="17BE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9FB3882">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B987B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2A64F7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行车（含前后端）</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8E003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5BCFC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7619C5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926CF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65DCEA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1.播种机式行车，每列1个料箱、载重不低于300Kg*、料箱带分层堵料装置，下料口带平料器                                                                                               2.料箱材质≥275g/㎡镀锌板、板厚≥1㎜；行车大架用≥40*80*3.0*热镀锌方管焊接而成，减速机≥1.1KW减速机，下料≥0.55KW减速机（带调速）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3.行车一体式料斗位于喂鸡过道上方、料斗上檐不能高于3.8m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4.行车下料管每一层保证互相不影响可以实施自动加料。</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5.下料管使用Φ50钢丝软管/壁厚＞2mm</w:t>
            </w:r>
          </w:p>
        </w:tc>
      </w:tr>
      <w:tr w14:paraId="4810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87AF246">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5E2647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E450B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行车轨道</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978B7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288</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4D47E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672906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068AB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C0534B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1.热镀锌钢管≥¢32mm*3mm*6m*（6米一根）</w:t>
            </w:r>
          </w:p>
        </w:tc>
      </w:tr>
      <w:tr w14:paraId="6D1E9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017C0E4">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E989A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DBB9D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主料线</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0A485E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0B7F8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5EECE1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BB4125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68CA2E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1.绞龙驱动上料，Φ90单出口料靴（≥1.5mm镀锌板喷涂）。输料装置Φ90pvc材质，接近开关控制器，螺旋弹簧绞龙,主料线长度约25米。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2.PVC输料管壁厚＞4.5mm*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3.输料管入舍角度不小于130*°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3.料塔配备外挂式料斗，承载＞75KG*饲料</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4.下料口带丝直径5mm,网口20mm*mm的防护网</w:t>
            </w:r>
          </w:p>
        </w:tc>
      </w:tr>
      <w:tr w14:paraId="6373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67E06B9">
            <w:pPr>
              <w:jc w:val="center"/>
              <w:rPr>
                <w:rFonts w:hint="eastAsia" w:ascii="宋体" w:hAnsi="宋体" w:eastAsia="宋体" w:cs="宋体"/>
                <w:i w:val="0"/>
                <w:iCs w:val="0"/>
                <w:color w:val="auto"/>
                <w:sz w:val="18"/>
                <w:szCs w:val="18"/>
                <w:u w:val="none"/>
              </w:rPr>
            </w:pPr>
          </w:p>
        </w:tc>
        <w:tc>
          <w:tcPr>
            <w:tcW w:w="2143" w:type="pct"/>
            <w:gridSpan w:val="6"/>
            <w:tcBorders>
              <w:top w:val="single" w:color="000000" w:sz="4" w:space="0"/>
              <w:left w:val="single" w:color="000000" w:sz="4" w:space="0"/>
              <w:bottom w:val="single" w:color="000000" w:sz="4" w:space="0"/>
              <w:right w:val="single" w:color="000000" w:sz="4" w:space="0"/>
            </w:tcBorders>
            <w:noWrap w:val="0"/>
            <w:vAlign w:val="center"/>
          </w:tcPr>
          <w:p w14:paraId="3797E043">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4、养鸡自动清粪设备</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97E049E">
            <w:pPr>
              <w:jc w:val="left"/>
              <w:rPr>
                <w:rFonts w:hint="eastAsia" w:ascii="宋体" w:hAnsi="宋体" w:eastAsia="宋体" w:cs="宋体"/>
                <w:i w:val="0"/>
                <w:iCs w:val="0"/>
                <w:color w:val="auto"/>
                <w:sz w:val="18"/>
                <w:szCs w:val="18"/>
                <w:u w:val="none"/>
              </w:rPr>
            </w:pPr>
          </w:p>
        </w:tc>
      </w:tr>
      <w:tr w14:paraId="04C5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4459559">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CE8D95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646E38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FD5713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496134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27EBD24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单价（元）</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E675CD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577C790F">
            <w:pPr>
              <w:jc w:val="left"/>
              <w:rPr>
                <w:rFonts w:hint="eastAsia" w:ascii="宋体" w:hAnsi="宋体" w:eastAsia="宋体" w:cs="宋体"/>
                <w:i w:val="0"/>
                <w:iCs w:val="0"/>
                <w:color w:val="auto"/>
                <w:sz w:val="18"/>
                <w:szCs w:val="18"/>
                <w:u w:val="none"/>
              </w:rPr>
            </w:pPr>
          </w:p>
        </w:tc>
      </w:tr>
      <w:tr w14:paraId="6E55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0ADAC0E">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33F99D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17892B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机头（风机端）</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67C13B3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0A6018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0E919D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AC479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A2142F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1.机头为传动端，含有驱动辊、从动辊、2台≥0.75kw电机及配套齿轮、刮粪板，压缩弹簧等。外壳采用275g/㎡*热镀锌钢板，锌层厚度7%-8%。有自动清粪、固定水线，稳固笼架的作用。                                                                                        2.机头处每条粪带两套刮刀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3.机头一台电机可驱动2层粪带，覆胶驱动辊让粪带平稳不跑偏，主动辊、从动辊挂胶，厚度≥7㎜*。                                                                                         4.从动辊覆胶厚度≥10 ㎜，粪带具有自动纠偏功能；机头机尾处加防跑偏装置，粪带托架防止粪便从两端溢出；装有刮粪板手动扳手集体开关装置，方便操作，便于清洁鸡毛、鸡粪；每层2套粪带刮刀，主粪带刮刀为不锈钢＋聚氨酯刮条（可拆卸清洗）；4套在机头末端，4套二次刮粪；花齿副辊可以避免因沾污鸡粪增大胶辊直径造成轴头弯曲，而且使粪带更不易跑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5.所有粪带轴承注油口使用连接管固定安装再笼架上便于加注黄油的地方。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6.电机变速箱防水级别IP68*</w:t>
            </w:r>
          </w:p>
        </w:tc>
      </w:tr>
      <w:tr w14:paraId="7BB6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3445C5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1C9635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0FC63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机尾（水帘端）</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1760E56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773068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620D54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1B15F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882201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1.机尾为固定端，含有宽窄立柱，加强角钢及料车固定座等。外壳采用≥275g/㎡*热镀锌钢板，耐腐蚀。主动辊、从动辊挂胶，厚度≥7㎜*。                                                                    2.被动辊双螺旋外分，平整粪带并清除内部杂物；上下层粪带间有清洁粪带内侧鸡毛的装置；食槽前后端均有余料回收装置，可以节省饲料防止饲料污染。</w:t>
            </w:r>
          </w:p>
        </w:tc>
      </w:tr>
      <w:tr w14:paraId="658F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2443F8E">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389950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B43CF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输粪带</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072B071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38,684.16 </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3654A0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48C367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11EF3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0CE714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1.纵向粪带：材质抗磨抗老化PP树脂、厚度≥1.1㎜*，整套系统具备防跑偏功能*（避免粪带跑偏带来的粪带磨损和漏粪问题），要求粪带两边不漏粪；电机驱动≥1.5KW（电机防护等级≥IP68*）                                                                                                                                                                         2.纵向粪带层间距150㎜、粪带间距50mm/粪带上方距底网100mm</w:t>
            </w:r>
          </w:p>
        </w:tc>
      </w:tr>
      <w:tr w14:paraId="72BA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7CE1CF0">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612434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4.4</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C3102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室内横向清粪机</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23A228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D0F51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1683E8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2AE66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153170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侧板δ≥4mm*热轧结构钢板制成，电机防护等级IP68*；粪带材料为耐低温绿色PVC复合材料，厚度≥5mm*采用无缝连接设计，整体安装，清粪带托辊设计以厂家为准，要求粪带两边不漏粪。输送量满足6列4层主体清粪带同时进行粪便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2.室内粪沟安装格栅，承载重量不低于150KG*</w:t>
            </w:r>
          </w:p>
        </w:tc>
      </w:tr>
      <w:tr w14:paraId="3A78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C81F47E">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5E32FB2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4.5</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2C252F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室外斜向清粪一体式机</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41A00C78">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2B39634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372CAB2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3875D3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3461B8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1.斜向粪带：绿色PVC粪带、厚度≥5㎜*；侧板δ≥4mm*热轧结构钢板制成；电机防护等级IP68；配备防雨罩，材料透明玻璃瓦，保证贼风不能进入棚舍内。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2.斜向清粪（室外离地高2.8m，便于车辆接粪），角度≤70度；要求满足-25℃使用条件（具体尺寸以投标人勘察现场确定）。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3.室外斜向清粪机的粪坑需要做盖板和防护围栏，盖板能够打开便于人员进出，材质要求为热镀锌板厚度≥3mm*；围栏材质要求为热镀锌方管。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4.斜向输送带下方接粪口混凝土地坪面积不小于20㎡</w:t>
            </w:r>
          </w:p>
        </w:tc>
      </w:tr>
      <w:tr w14:paraId="7D460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187A996">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3F46AE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4.6</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52220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粪沟盖板</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3EEF4F07">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84</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05FD4D8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788C264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22CA50B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3DCD0B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1.盖板用4mm花纹钢板焊接制作，4*4角铁制作框架，钢板焊接在框架上。</w:t>
            </w:r>
          </w:p>
        </w:tc>
      </w:tr>
      <w:tr w14:paraId="2E398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7B6319D">
            <w:pPr>
              <w:jc w:val="center"/>
              <w:rPr>
                <w:rFonts w:hint="eastAsia" w:ascii="宋体" w:hAnsi="宋体" w:eastAsia="宋体" w:cs="宋体"/>
                <w:i w:val="0"/>
                <w:iCs w:val="0"/>
                <w:color w:val="auto"/>
                <w:sz w:val="18"/>
                <w:szCs w:val="18"/>
                <w:u w:val="none"/>
              </w:rPr>
            </w:pPr>
          </w:p>
        </w:tc>
        <w:tc>
          <w:tcPr>
            <w:tcW w:w="2143" w:type="pct"/>
            <w:gridSpan w:val="6"/>
            <w:tcBorders>
              <w:top w:val="single" w:color="000000" w:sz="4" w:space="0"/>
              <w:left w:val="single" w:color="000000" w:sz="4" w:space="0"/>
              <w:bottom w:val="single" w:color="000000" w:sz="4" w:space="0"/>
              <w:right w:val="single" w:color="000000" w:sz="4" w:space="0"/>
            </w:tcBorders>
            <w:noWrap w:val="0"/>
            <w:vAlign w:val="center"/>
          </w:tcPr>
          <w:p w14:paraId="5E96C27D">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5、电器控制系统</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D8945BC">
            <w:pPr>
              <w:jc w:val="left"/>
              <w:rPr>
                <w:rFonts w:hint="eastAsia" w:ascii="宋体" w:hAnsi="宋体" w:eastAsia="宋体" w:cs="宋体"/>
                <w:i w:val="0"/>
                <w:iCs w:val="0"/>
                <w:color w:val="auto"/>
                <w:sz w:val="18"/>
                <w:szCs w:val="18"/>
                <w:u w:val="none"/>
              </w:rPr>
            </w:pPr>
          </w:p>
        </w:tc>
      </w:tr>
      <w:tr w14:paraId="2BCC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74D9401">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1AD3A1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38ED59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725C2F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9E2309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251D7DB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单价（元）</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46F3F3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FCE5955">
            <w:pPr>
              <w:jc w:val="left"/>
              <w:rPr>
                <w:rFonts w:hint="eastAsia" w:ascii="宋体" w:hAnsi="宋体" w:eastAsia="宋体" w:cs="宋体"/>
                <w:i w:val="0"/>
                <w:iCs w:val="0"/>
                <w:color w:val="auto"/>
                <w:sz w:val="18"/>
                <w:szCs w:val="18"/>
                <w:u w:val="none"/>
              </w:rPr>
            </w:pPr>
          </w:p>
        </w:tc>
      </w:tr>
      <w:tr w14:paraId="03BE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CDC594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4B9497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1D46D6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行车式喂料机控制箱</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513328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975CC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0C3C1A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D5E22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486D0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主箱：箱体采用国家标准箱体喷塑外壳，三相电源指示、三相电表、三路加热、三路湿帘、风机手自控开关（旋钮开关）、照明开关（7路可分开控制，也可由一路吸合器控制）、通风小窗（一路吸合器控制），每路带热过载保护器，电气元件为国标大厂生产的配件，位置：鸡舍前端操作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2.副箱1：风机动力柜（每路带热过载保护器、相序保护）、异地控制（主箱），位置：鸡舍后端；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3.副箱2：喂料电控箱（由厂家根据实际配置），位置：鸡舍前端操作间                                                                                                                      4.副箱3：清粪电控箱（由厂家根据实际配置），位置：鸡舍后端，配电箱做防雨罩、每列粪带和横斜向输送带实现遥控远程控制启停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5.*报警装置：声光报警功能，能提供高低温10℃-37℃区间报警、断电、相序错误报警，且实现办公区和栋舍的二级报警功能（办公区报警显示某一栋）、报警器电源DC12VUPS 电源供电；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6.金属桥架、PVC电工管；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7.*配电柜内部线路使用BV硬线，总开关使用4P/NXM-≥125s开关，分断能力≤AC500v。                                                                                                                                           8.控制信号线路使用RVV≥16*0.75²线路                                                                                                                                                         9.风机电源、粪带电源、行车电源、料塔电源、水帘电源线路使用RVV≥3*2.5²+1线路                                                                                            10.热风机电源线路主线使用 RVV≥3*2.5²+1电源线、分支使用 RVV≥3*1.5²+1电源线。                                                                                                                                                                                                                                 11.电气设备开关使用DZ108系列开关，整定电流在所带电气设备范围之内。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12.所有电气线路下进下出、桥架、配电箱具备必要的防鼠功能。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13.*料塔供电电源使用32A国标航空插座，安装在室外料塔便于打料的指定位置、距离料塔15M的左右，做防雨罩具备防雨功能，供电线路不低于6²的铜芯国标电源线。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14.*所有粪带、行车控制箱安装配套的急停开关。</w:t>
            </w:r>
          </w:p>
        </w:tc>
      </w:tr>
      <w:tr w14:paraId="53DE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61B58DC">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1FD3F0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99550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清粪控制箱（热继电器+缺相保护)</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7C603E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2342F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357D1D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2C8810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52BB435">
            <w:pPr>
              <w:jc w:val="left"/>
              <w:rPr>
                <w:rFonts w:hint="eastAsia" w:ascii="宋体" w:hAnsi="宋体" w:eastAsia="宋体" w:cs="宋体"/>
                <w:i w:val="0"/>
                <w:iCs w:val="0"/>
                <w:color w:val="auto"/>
                <w:sz w:val="18"/>
                <w:szCs w:val="18"/>
                <w:u w:val="none"/>
              </w:rPr>
            </w:pPr>
          </w:p>
        </w:tc>
      </w:tr>
      <w:tr w14:paraId="6688F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BA2695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430FDF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68593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电线电缆及其他附件</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363E706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22BDA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6371BD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3DE561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B44C88E">
            <w:pPr>
              <w:jc w:val="left"/>
              <w:rPr>
                <w:rFonts w:hint="eastAsia" w:ascii="宋体" w:hAnsi="宋体" w:eastAsia="宋体" w:cs="宋体"/>
                <w:i w:val="0"/>
                <w:iCs w:val="0"/>
                <w:color w:val="auto"/>
                <w:sz w:val="18"/>
                <w:szCs w:val="18"/>
                <w:u w:val="none"/>
              </w:rPr>
            </w:pPr>
          </w:p>
        </w:tc>
      </w:tr>
      <w:tr w14:paraId="29790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D961176">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5B645C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5.4</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7D6C8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鸡舍配电柜</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431DE8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A7C34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6FF4A3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8C091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6367E64">
            <w:pPr>
              <w:jc w:val="left"/>
              <w:rPr>
                <w:rFonts w:hint="eastAsia" w:ascii="宋体" w:hAnsi="宋体" w:eastAsia="宋体" w:cs="宋体"/>
                <w:i w:val="0"/>
                <w:iCs w:val="0"/>
                <w:color w:val="auto"/>
                <w:sz w:val="18"/>
                <w:szCs w:val="18"/>
                <w:u w:val="none"/>
              </w:rPr>
            </w:pPr>
          </w:p>
        </w:tc>
      </w:tr>
      <w:tr w14:paraId="4B5D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683C09E">
            <w:pPr>
              <w:jc w:val="center"/>
              <w:rPr>
                <w:rFonts w:hint="eastAsia" w:ascii="宋体" w:hAnsi="宋体" w:eastAsia="宋体" w:cs="宋体"/>
                <w:i w:val="0"/>
                <w:iCs w:val="0"/>
                <w:color w:val="auto"/>
                <w:sz w:val="18"/>
                <w:szCs w:val="18"/>
                <w:u w:val="none"/>
              </w:rPr>
            </w:pPr>
          </w:p>
        </w:tc>
        <w:tc>
          <w:tcPr>
            <w:tcW w:w="2143" w:type="pct"/>
            <w:gridSpan w:val="6"/>
            <w:tcBorders>
              <w:top w:val="single" w:color="000000" w:sz="4" w:space="0"/>
              <w:left w:val="single" w:color="000000" w:sz="4" w:space="0"/>
              <w:bottom w:val="single" w:color="000000" w:sz="4" w:space="0"/>
              <w:right w:val="single" w:color="000000" w:sz="4" w:space="0"/>
            </w:tcBorders>
            <w:noWrap w:val="0"/>
            <w:vAlign w:val="center"/>
          </w:tcPr>
          <w:p w14:paraId="797EDDD4">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6.养鸡环境控制设备</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3B41458">
            <w:pPr>
              <w:jc w:val="left"/>
              <w:rPr>
                <w:rFonts w:hint="eastAsia" w:ascii="宋体" w:hAnsi="宋体" w:eastAsia="宋体" w:cs="宋体"/>
                <w:i w:val="0"/>
                <w:iCs w:val="0"/>
                <w:color w:val="auto"/>
                <w:sz w:val="18"/>
                <w:szCs w:val="18"/>
                <w:u w:val="none"/>
              </w:rPr>
            </w:pPr>
          </w:p>
        </w:tc>
      </w:tr>
      <w:tr w14:paraId="4C10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24C81B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39EEF2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6957ED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1A0CCB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2F9FA9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7CB7BBD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单价（元）</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613CBF5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EE7F107">
            <w:pPr>
              <w:jc w:val="left"/>
              <w:rPr>
                <w:rFonts w:hint="eastAsia" w:ascii="宋体" w:hAnsi="宋体" w:eastAsia="宋体" w:cs="宋体"/>
                <w:i w:val="0"/>
                <w:iCs w:val="0"/>
                <w:color w:val="auto"/>
                <w:sz w:val="18"/>
                <w:szCs w:val="18"/>
                <w:u w:val="none"/>
              </w:rPr>
            </w:pPr>
          </w:p>
        </w:tc>
      </w:tr>
      <w:tr w14:paraId="5022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7A257C2">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03354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A0C1A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50〞平板风机</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370313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144</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39250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5E1526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750769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75A191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1.每栋12台50箱式风机，配置所有电源和自动控制线路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2.*外形尺寸≥ 1375×1375×450㎜，额定功率 ≥1.1KW、380V、50hz、3相、风机专用电机，防护等级IP68，绝缘等级F级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3.风机外壳采用符合国标（GB/T2518-2008）要求、镀锌层≥275g/㎡的热镀锌板制作</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4.*扇叶为430不锈钢，专业设计的扇叶角度，经动平衡校正，运行平稳、振动小、整机稳定性好、风机扇叶大于等于50MPA-60MPA形变量＜5%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5.舍内部分为热镀锌丝焊接防护网，热镀锌丝直径≥2.5㎜                                                                                                                        6.风机立柱表面经热浸锌处理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7.百叶窗为热镀锌板模具成型，百叶板材厚度≥0.75mm带有自动打开装置、打开装置为推杆式打开装置保证运行情况下保持90°打开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8.自动打开装置为特制尼龙材料加工，导向杆内嵌钢柱，保证使用寿命</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9.*风机风量0帕≥40000m³/H风量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10.报价包含风机安装和洞口密封处理</w:t>
            </w:r>
          </w:p>
        </w:tc>
      </w:tr>
      <w:tr w14:paraId="3468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CB70AD2">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699E2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0244B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变频器</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4E9EE9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B20A8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2A94F6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06657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20DEA9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1.*输入电压为180-460V,频率50Hz,输出电压0-380V,频率0-60Hz,过载能力为P级，控制三项3KW以下功率段运行，可以控制多段速运行</w:t>
            </w:r>
          </w:p>
        </w:tc>
      </w:tr>
      <w:tr w14:paraId="37FE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2377C59">
            <w:pPr>
              <w:jc w:val="center"/>
              <w:rPr>
                <w:rFonts w:hint="eastAsia" w:ascii="宋体" w:hAnsi="宋体" w:eastAsia="宋体" w:cs="宋体"/>
                <w:i w:val="0"/>
                <w:iCs w:val="0"/>
                <w:color w:val="auto"/>
                <w:sz w:val="18"/>
                <w:szCs w:val="18"/>
                <w:u w:val="none"/>
              </w:rPr>
            </w:pPr>
          </w:p>
        </w:tc>
        <w:tc>
          <w:tcPr>
            <w:tcW w:w="2143" w:type="pct"/>
            <w:gridSpan w:val="6"/>
            <w:tcBorders>
              <w:top w:val="single" w:color="000000" w:sz="4" w:space="0"/>
              <w:left w:val="single" w:color="000000" w:sz="4" w:space="0"/>
              <w:bottom w:val="single" w:color="000000" w:sz="4" w:space="0"/>
              <w:right w:val="single" w:color="000000" w:sz="4" w:space="0"/>
            </w:tcBorders>
            <w:noWrap w:val="0"/>
            <w:vAlign w:val="center"/>
          </w:tcPr>
          <w:p w14:paraId="5DB7DCF1">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7、温度环境控制-水帘</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79390F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r>
      <w:tr w14:paraId="4D3F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B87F612">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BEE65E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F70A02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8BAE65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141809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6764E2E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单价（元）</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FCCBDA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4942103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r>
      <w:tr w14:paraId="36E09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D7F3DA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40A735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72011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水帘纸</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004E0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885.6</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60447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50CD81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A86B8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CDC54B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1.每栋水帘73.8㎡，其中山墙水帘长12.9米*高2米、2个侧水帘各长12米*2米；                                                                                                             2.*湿帘纸采用原浆纸 ，单面涂黑≥10-15mm，成品整体厚度≥150㎜、单块宽度≥600㎜（纸张数不少于85张），7090型、单张固化处理；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3.湿帘纸在自然干燥状态下和湿饱和状态下测试不应开胶；湿帘纸的剥离强度在自然干燥状态下＞1.5kPa，在湿饱和状态下＞2.5kPa；湿帘纸吸水率不应小于90%，吸水速度≥50mm/10min；</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4.防鼠网：丝径≥0.8mm，孔径≤12.7mm，材质不锈钢304；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5.*水帘外，使用幕帘，升降实现手自一体化。</w:t>
            </w:r>
          </w:p>
        </w:tc>
      </w:tr>
      <w:tr w14:paraId="003B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DC1459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10F96F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1D134E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侧框水管件</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0F8AF8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36</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CF54A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53B117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34098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D8A751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1.*湿帘框架采用铝合金材质，上框两侧受力边厚度：≥1.3±0.1㎜，表面氧化处理；侧框两侧受力边厚度：≥1.5±0.1㎜，表面氧化处理                                                                      6.下水槽为铝合金一体式水槽，外置式供水泵，水泵功率0.75KW、水帘上水进水口安装阀门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7.依据水帘窗户大小制作一体式铝合金水槽。                                                                                                                                                                                                                                                                                                       </w:t>
            </w:r>
          </w:p>
        </w:tc>
      </w:tr>
      <w:tr w14:paraId="14D5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EAC2D7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75744E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D433A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过滤器</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089E0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36</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ACB10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27E72D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539E1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C0DB6C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1.过滤器：精度≥40目，外螺纹50mm，外壳材质ABS，黑色，滤网材质不锈钢304                                                                             </w:t>
            </w:r>
          </w:p>
        </w:tc>
      </w:tr>
      <w:tr w14:paraId="53BE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B61E3D4">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6215A3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AEC45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水泵</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90C62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36</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47680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429405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DAEA6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E05600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1.*水泵：每栋3个自吸泵≥0.75KW，国标全铜电机；</w:t>
            </w:r>
          </w:p>
        </w:tc>
      </w:tr>
      <w:tr w14:paraId="05BE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33EB95E">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70CB81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B76CD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大板</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A99A62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1,020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B90FB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3AE0C2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29068A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3F17E49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三层大板，每块大板厚度不低于5厘米，内部使用聚缘脂发泡填充，外部为1mm的304钢做表皮，密封条为双槽柔软（达到汽车使用的标准），配置开度器和推杆电机（电动推杆：单相220V、50HZ，负载≥400Kg，最大行程60㎝，带位置信号反馈和手动归零功能），实现手动和自动功能。</w:t>
            </w:r>
          </w:p>
        </w:tc>
      </w:tr>
      <w:tr w14:paraId="31738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935F89E">
            <w:pPr>
              <w:jc w:val="center"/>
              <w:rPr>
                <w:rFonts w:hint="eastAsia" w:ascii="宋体" w:hAnsi="宋体" w:eastAsia="宋体" w:cs="宋体"/>
                <w:i w:val="0"/>
                <w:iCs w:val="0"/>
                <w:color w:val="auto"/>
                <w:sz w:val="18"/>
                <w:szCs w:val="18"/>
                <w:u w:val="none"/>
              </w:rPr>
            </w:pPr>
          </w:p>
        </w:tc>
        <w:tc>
          <w:tcPr>
            <w:tcW w:w="2143" w:type="pct"/>
            <w:gridSpan w:val="6"/>
            <w:tcBorders>
              <w:top w:val="single" w:color="000000" w:sz="4" w:space="0"/>
              <w:left w:val="single" w:color="000000" w:sz="4" w:space="0"/>
              <w:bottom w:val="single" w:color="000000" w:sz="4" w:space="0"/>
              <w:right w:val="single" w:color="000000" w:sz="4" w:space="0"/>
            </w:tcBorders>
            <w:noWrap w:val="0"/>
            <w:vAlign w:val="center"/>
          </w:tcPr>
          <w:p w14:paraId="16D97187">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8、通风环境控制-侧风窗</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4D8899D2">
            <w:pPr>
              <w:jc w:val="left"/>
              <w:rPr>
                <w:rFonts w:hint="eastAsia" w:ascii="宋体" w:hAnsi="宋体" w:eastAsia="宋体" w:cs="宋体"/>
                <w:i w:val="0"/>
                <w:iCs w:val="0"/>
                <w:color w:val="auto"/>
                <w:sz w:val="18"/>
                <w:szCs w:val="18"/>
                <w:u w:val="none"/>
              </w:rPr>
            </w:pPr>
          </w:p>
        </w:tc>
      </w:tr>
      <w:tr w14:paraId="3572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3AAA973">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2CCC6F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B7923B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0EB598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E88349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35EA321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单价（元）</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C8C0F6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5670AE98">
            <w:pPr>
              <w:jc w:val="left"/>
              <w:rPr>
                <w:rFonts w:hint="eastAsia" w:ascii="宋体" w:hAnsi="宋体" w:eastAsia="宋体" w:cs="宋体"/>
                <w:i w:val="0"/>
                <w:iCs w:val="0"/>
                <w:color w:val="auto"/>
                <w:sz w:val="18"/>
                <w:szCs w:val="18"/>
                <w:u w:val="none"/>
              </w:rPr>
            </w:pPr>
          </w:p>
        </w:tc>
      </w:tr>
      <w:tr w14:paraId="56AB2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668CB84">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F4DE1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5E4AA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侧风窗</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5B12222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1332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4F812D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709FE6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CAD50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B01A75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1.每栋111个通风小窗，通风小窗规格=560㎜*270㎜,洞口尺寸=600㎜*300㎜ ，通风小窗带防护网                                                                                           2.*窗体：PS材质，模具注塑而成，颜色为黑色                                                                                                                                        3.结构：中间门板内含EPS保温泡沫，有效保温，进风窗上方配有导流板，方便空气导流                                           </w:t>
            </w:r>
          </w:p>
        </w:tc>
      </w:tr>
      <w:tr w14:paraId="73D8D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758C199">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12F567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2F15AE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小窗挡风罩</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39A6A2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1332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436542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64DCE9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0AAD70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EFDFB1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1.*小窗挡风罩：1mm镀锌铁皮，长600mm*宽250mm*高800mm</w:t>
            </w:r>
          </w:p>
        </w:tc>
      </w:tr>
      <w:tr w14:paraId="7C3FF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FD01924">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12C3BA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F7C92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侧窗开启</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3F59206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7127F3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322E21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284EF1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330C758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1.电动推杆：单相220V、50HZ，负载≥400Kg，行程≥60㎝，带位置信号反馈和手动归零功能                                                                                             2.*每侧配一套手动绞盘开启装置和2台拉杆电机（满足手动、自动控制，配置开度板，和环控仪能配合使用）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3.小窗开度板和水帘大板使用一个开度器控制。</w:t>
            </w:r>
          </w:p>
        </w:tc>
      </w:tr>
      <w:tr w14:paraId="51D5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9522940">
            <w:pPr>
              <w:jc w:val="center"/>
              <w:rPr>
                <w:rFonts w:hint="eastAsia" w:ascii="宋体" w:hAnsi="宋体" w:eastAsia="宋体" w:cs="宋体"/>
                <w:i w:val="0"/>
                <w:iCs w:val="0"/>
                <w:color w:val="auto"/>
                <w:sz w:val="18"/>
                <w:szCs w:val="18"/>
                <w:u w:val="none"/>
              </w:rPr>
            </w:pPr>
          </w:p>
        </w:tc>
        <w:tc>
          <w:tcPr>
            <w:tcW w:w="2143" w:type="pct"/>
            <w:gridSpan w:val="6"/>
            <w:tcBorders>
              <w:top w:val="single" w:color="000000" w:sz="4" w:space="0"/>
              <w:left w:val="single" w:color="000000" w:sz="4" w:space="0"/>
              <w:bottom w:val="single" w:color="000000" w:sz="4" w:space="0"/>
              <w:right w:val="single" w:color="000000" w:sz="4" w:space="0"/>
            </w:tcBorders>
            <w:noWrap w:val="0"/>
            <w:vAlign w:val="center"/>
          </w:tcPr>
          <w:p w14:paraId="5191C3FD">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9、环境控制设备-电气控制系统</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1AB2679">
            <w:pPr>
              <w:jc w:val="left"/>
              <w:rPr>
                <w:rFonts w:hint="eastAsia" w:ascii="宋体" w:hAnsi="宋体" w:eastAsia="宋体" w:cs="宋体"/>
                <w:i w:val="0"/>
                <w:iCs w:val="0"/>
                <w:color w:val="auto"/>
                <w:sz w:val="18"/>
                <w:szCs w:val="18"/>
                <w:u w:val="none"/>
              </w:rPr>
            </w:pPr>
          </w:p>
        </w:tc>
      </w:tr>
      <w:tr w14:paraId="78AF0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E3BA0E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FE3A80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D7D3EF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E4DB0A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DC5F15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23693AB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单价（元）</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1D5D43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F750C40">
            <w:pPr>
              <w:jc w:val="left"/>
              <w:rPr>
                <w:rFonts w:hint="eastAsia" w:ascii="宋体" w:hAnsi="宋体" w:eastAsia="宋体" w:cs="宋体"/>
                <w:i w:val="0"/>
                <w:iCs w:val="0"/>
                <w:color w:val="auto"/>
                <w:sz w:val="18"/>
                <w:szCs w:val="18"/>
                <w:u w:val="none"/>
              </w:rPr>
            </w:pPr>
          </w:p>
        </w:tc>
      </w:tr>
      <w:tr w14:paraId="2FCE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D364686">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469C8C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5C28F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触摸屏VP-TM30环境控制器</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2E2A0A9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4A164B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551178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0B3848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BD63D8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1.*汉显温控仪：8个温度探头、1个湿度探头、1个二氧化碳探头、带负压模块、温度曲线设定、通风小窗自动、高低温报警(0℃-37℃）、远程手机APP监控功能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2.环控仪主要功能参数  </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3.*二氧化碳传感器量程0-10000PPM，带自我校正功能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4.上位机账号密码标注使用方</w:t>
            </w:r>
          </w:p>
        </w:tc>
      </w:tr>
      <w:tr w14:paraId="2C83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E908E35">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63264B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95F03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湿度传感器</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37ED2A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1551D6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3A3F19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E17B2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6A106F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1.和环控器能配套使用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2.*湿度精度≤5%</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3.*带自我校正功能，带有防水功能</w:t>
            </w:r>
          </w:p>
        </w:tc>
      </w:tr>
      <w:tr w14:paraId="348B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51E8DF9">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1C69066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53EEE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压差传感器</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4EC96F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67CB1D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748070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6A447C2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674737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1.和环控器能配套使用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2.*感应压力≤0-100pa</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3.*带有手动校正功能</w:t>
            </w:r>
          </w:p>
        </w:tc>
      </w:tr>
      <w:tr w14:paraId="189B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89A6E89">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5CE654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9.4</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4529B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智能网关</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6F3979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1FCA6E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038202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F4E7F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8E6B3C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1.*GSM-2G/4G 信号，含 SIM 卡 1 张 (包含首年流量费)  </w:t>
            </w:r>
          </w:p>
        </w:tc>
      </w:tr>
      <w:tr w14:paraId="4C59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A4D0A42">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09B0C8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9.5</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2178F0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报警器</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5D41D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A52F4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0E2D9F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A1B068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C3DA20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1.*做二级报警、办公室一级+工作间一级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2.≥130分贝报警喇叭                                                                                                                                                               3.UPS电源≥2000W,输入电压162-268V,输出电压220V±10%                                                                                                                              4.信号线路使用RVV≥0.75²多股信号线</w:t>
            </w:r>
          </w:p>
        </w:tc>
      </w:tr>
      <w:tr w14:paraId="7CDF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432D006">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725FF8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9.6</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0DA8D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主控制箱（热继电器）</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7E20D7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DE375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1EDAF5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3F864A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8828F3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1.主副配电箱（内部电器为符合国家电器材料标准，有合格证）。主控制箱控制3挡水泵+1档照明+1档通风+1挡主料线                                                                                                                                                      2.有环控器接电端口。电控箱为国标喷塑控制箱，厚度≥0.8mm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3.*带防雷击功能</w:t>
            </w:r>
          </w:p>
        </w:tc>
      </w:tr>
      <w:tr w14:paraId="2D93D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573A665">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15E051C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9.7</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E80CB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浪涌保护+缺相保护+相序保护器（装在副箱）</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25CA90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CCDE2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023908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701DE9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D9F014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1.内部电器符合国家电器材料标准，有合格证。                                                                                        2.*浪涌保护器型号：RWU1-C40。                                                                                                                   3.*相序保护器型号：XJ3-G。</w:t>
            </w:r>
          </w:p>
        </w:tc>
      </w:tr>
      <w:tr w14:paraId="6B6B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D3A2202">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3CD1579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9.8</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187813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副控制箱（热继电器）</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50D371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DF602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03A107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310124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54F27FC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1.主副配电箱（符合国家电器材料标准，有合格证）。                                                                                                                                   2.配电柜内部线路使用BV硬线，总开关使用4P/NXM-≥125S开关，分断能力≤AC500v。                                                                                                                                           3.控制信号线路使用RVV≥16*0.75²线路                                                                                                                                                           4.风机电源、粪带电源、行车电源、料塔电源、水帘电源线路使用RVV≥3*2.5²+1线路                                                                                            5.热风机电源线路主线使用 RVV≥3*2.5²+1电源线、分支使用 RVV≥3*1.5²+1电源线。                                                                                                                                                                                                                                 6.*电气设备开关使用DZ108系列开关，整定电流在所带电气设备范围之内。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7.*所有的线缆质量必须符合国标铜缆线路标准                                                                                                   </w:t>
            </w:r>
          </w:p>
        </w:tc>
      </w:tr>
      <w:tr w14:paraId="657E9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E8CE02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6BC605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9.9</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E7AC8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其他配件及国标电线电缆</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07441B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403E5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4A05FC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64B7A82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801AE4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1.*符合国家电器材料标准，有合格证                                                                                                                                                         2.采用金属桥架，使用镀锌结构支撑                                                                                                                                                    3.控制信号线路使用RVV≥16*0.75²线路                                                                                                                                                   4.风机电源电源线路使用RVV≥3*2.5²+1线路                                                                                                                                                   5.风机主电缆使用YJV铜芯电缆≥3*16²+1电缆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7.*所有的线缆质量必须符合国标铜缆线路标准 </w:t>
            </w:r>
          </w:p>
        </w:tc>
      </w:tr>
      <w:tr w14:paraId="1E958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83FB5C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166E29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EF75D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鸡舍照明</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2DE933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936E4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4C0D9B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CB55CA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D2DE2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1.*鸡舍内的照明设备安装成高低灯带（水线位置的光照强度达100勒克斯，色温4000-5000k，可调光，不可闪烁，防水等级IP68），12条交叉式安装在喂料道。</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2.*LED灯珠使用寿命不低于10000H，灯珠质量符合国标灯珠质量要求。</w:t>
            </w:r>
          </w:p>
        </w:tc>
      </w:tr>
      <w:tr w14:paraId="477A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E36FF3D">
            <w:pPr>
              <w:jc w:val="center"/>
              <w:rPr>
                <w:rFonts w:hint="eastAsia" w:ascii="宋体" w:hAnsi="宋体" w:eastAsia="宋体" w:cs="宋体"/>
                <w:i w:val="0"/>
                <w:iCs w:val="0"/>
                <w:color w:val="auto"/>
                <w:sz w:val="18"/>
                <w:szCs w:val="18"/>
                <w:u w:val="none"/>
              </w:rPr>
            </w:pPr>
          </w:p>
        </w:tc>
        <w:tc>
          <w:tcPr>
            <w:tcW w:w="899" w:type="pct"/>
            <w:gridSpan w:val="2"/>
            <w:tcBorders>
              <w:top w:val="single" w:color="000000" w:sz="4" w:space="0"/>
              <w:left w:val="single" w:color="000000" w:sz="4" w:space="0"/>
              <w:bottom w:val="single" w:color="000000" w:sz="4" w:space="0"/>
              <w:right w:val="single" w:color="000000" w:sz="4" w:space="0"/>
            </w:tcBorders>
            <w:noWrap/>
            <w:vAlign w:val="center"/>
          </w:tcPr>
          <w:p w14:paraId="5D3FB01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鸡笼设备总价合计</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2F987FEE">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22209B9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73FD56DA">
            <w:pPr>
              <w:jc w:val="center"/>
              <w:rPr>
                <w:rFonts w:hint="eastAsia" w:ascii="宋体" w:hAnsi="宋体" w:eastAsia="宋体" w:cs="宋体"/>
                <w:b/>
                <w:bCs/>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0310D418">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E6FF702">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12栋舍的安装、运输并提供普通发票，能够保障正常生产和设备的正常运行，</w:t>
            </w:r>
          </w:p>
        </w:tc>
      </w:tr>
      <w:tr w14:paraId="19FC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trPr>
        <w:tc>
          <w:tcPr>
            <w:tcW w:w="203" w:type="pct"/>
            <w:tcBorders>
              <w:top w:val="single" w:color="000000" w:sz="4" w:space="0"/>
              <w:left w:val="single" w:color="000000" w:sz="4" w:space="0"/>
              <w:bottom w:val="single" w:color="000000" w:sz="4" w:space="0"/>
              <w:right w:val="single" w:color="000000" w:sz="4" w:space="0"/>
            </w:tcBorders>
            <w:noWrap/>
            <w:vAlign w:val="center"/>
          </w:tcPr>
          <w:p w14:paraId="1700C2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说明</w:t>
            </w:r>
          </w:p>
        </w:tc>
        <w:tc>
          <w:tcPr>
            <w:tcW w:w="4796" w:type="pct"/>
            <w:gridSpan w:val="9"/>
            <w:tcBorders>
              <w:top w:val="single" w:color="000000" w:sz="4" w:space="0"/>
              <w:left w:val="single" w:color="000000" w:sz="4" w:space="0"/>
              <w:bottom w:val="single" w:color="000000" w:sz="4" w:space="0"/>
              <w:right w:val="single" w:color="000000" w:sz="4" w:space="0"/>
            </w:tcBorders>
            <w:noWrap w:val="0"/>
            <w:vAlign w:val="center"/>
          </w:tcPr>
          <w:p w14:paraId="26E5B8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1、除特殊规定外，其他钢材料都采用热浸锌（上锌量≥10%，指上锌厚度与材料厚度的比例；丝网材质Q195，笼门材质Q235）或镁铝锌丝，表面处理光滑、无毛刺。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2、机头、机尾、清粪系统等所有黄油嘴设计必须便于后期加注黄油。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3、所有电机达到全铜国标，防护等级IP68。</w:t>
            </w:r>
          </w:p>
        </w:tc>
      </w:tr>
    </w:tbl>
    <w:p w14:paraId="1FD5D90D">
      <w:pPr>
        <w:rPr>
          <w:color w:val="auto"/>
        </w:rPr>
      </w:pPr>
    </w:p>
    <w:p w14:paraId="0DDC710C">
      <w:pPr>
        <w:rPr>
          <w:color w:val="auto"/>
        </w:rPr>
      </w:pPr>
    </w:p>
    <w:p w14:paraId="7C001B58">
      <w:pPr>
        <w:rPr>
          <w:color w:val="auto"/>
        </w:rPr>
      </w:pPr>
    </w:p>
    <w:p w14:paraId="4F4ACF54">
      <w:pPr>
        <w:rPr>
          <w:color w:val="auto"/>
        </w:rPr>
      </w:pPr>
    </w:p>
    <w:p w14:paraId="527CEC0F">
      <w:pPr>
        <w:rPr>
          <w:color w:val="auto"/>
        </w:rPr>
      </w:pPr>
    </w:p>
    <w:p w14:paraId="18B65E80">
      <w:pPr>
        <w:rPr>
          <w:color w:val="auto"/>
        </w:rPr>
      </w:pPr>
    </w:p>
    <w:p w14:paraId="3A36DF59">
      <w:pPr>
        <w:rPr>
          <w:color w:val="auto"/>
        </w:rPr>
      </w:pPr>
    </w:p>
    <w:p w14:paraId="0FA69BA4">
      <w:pPr>
        <w:rPr>
          <w:color w:val="auto"/>
        </w:rPr>
      </w:pPr>
    </w:p>
    <w:p w14:paraId="5054CD2F">
      <w:pPr>
        <w:rPr>
          <w:color w:val="auto"/>
        </w:rPr>
      </w:pPr>
    </w:p>
    <w:p w14:paraId="767485E4">
      <w:pPr>
        <w:rPr>
          <w:color w:val="auto"/>
        </w:rPr>
      </w:pPr>
    </w:p>
    <w:p w14:paraId="6B10BAAD">
      <w:pPr>
        <w:rPr>
          <w:color w:val="auto"/>
        </w:rPr>
      </w:pPr>
    </w:p>
    <w:p w14:paraId="062C39EB">
      <w:pPr>
        <w:rPr>
          <w:color w:val="auto"/>
        </w:rPr>
      </w:pPr>
    </w:p>
    <w:p w14:paraId="30C715B2">
      <w:pPr>
        <w:rPr>
          <w:color w:val="auto"/>
        </w:rPr>
      </w:pPr>
    </w:p>
    <w:p w14:paraId="0031D56F">
      <w:pPr>
        <w:rPr>
          <w:color w:val="auto"/>
        </w:rPr>
      </w:pPr>
    </w:p>
    <w:p w14:paraId="638DC511">
      <w:pPr>
        <w:rPr>
          <w:color w:val="auto"/>
        </w:rPr>
      </w:pPr>
    </w:p>
    <w:p w14:paraId="728B5122">
      <w:pPr>
        <w:rPr>
          <w:color w:val="auto"/>
        </w:rPr>
      </w:pPr>
    </w:p>
    <w:p w14:paraId="44694590">
      <w:pPr>
        <w:rPr>
          <w:color w:val="auto"/>
        </w:rPr>
      </w:pPr>
    </w:p>
    <w:p w14:paraId="43846B22">
      <w:pPr>
        <w:rPr>
          <w:color w:val="auto"/>
        </w:rPr>
      </w:pP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54"/>
        <w:gridCol w:w="658"/>
        <w:gridCol w:w="1239"/>
        <w:gridCol w:w="658"/>
        <w:gridCol w:w="658"/>
        <w:gridCol w:w="685"/>
        <w:gridCol w:w="1325"/>
        <w:gridCol w:w="7097"/>
      </w:tblGrid>
      <w:tr w14:paraId="2E56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535B">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eastAsia="宋体" w:cs="宋体"/>
                <w:b/>
                <w:bCs/>
                <w:i w:val="0"/>
                <w:iCs w:val="0"/>
                <w:color w:val="auto"/>
                <w:kern w:val="0"/>
                <w:sz w:val="40"/>
                <w:szCs w:val="40"/>
                <w:u w:val="none"/>
                <w:lang w:val="en-US" w:eastAsia="zh-CN" w:bidi="ar"/>
              </w:rPr>
              <w:t>新增设备技术标准参数-巴仁乡</w:t>
            </w:r>
            <w:r>
              <w:rPr>
                <w:rFonts w:hint="eastAsia" w:ascii="宋体" w:hAnsi="宋体" w:eastAsia="宋体" w:cs="宋体"/>
                <w:b/>
                <w:bCs/>
                <w:i w:val="0"/>
                <w:iCs w:val="0"/>
                <w:color w:val="auto"/>
                <w:kern w:val="0"/>
                <w:sz w:val="28"/>
                <w:szCs w:val="28"/>
                <w:u w:val="none"/>
                <w:lang w:val="en-US" w:eastAsia="zh-CN" w:bidi="ar"/>
              </w:rPr>
              <w:t>（12栋鸡舍合计数量）</w:t>
            </w:r>
          </w:p>
        </w:tc>
      </w:tr>
      <w:tr w14:paraId="07B1E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5D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设备属性</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E4F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编号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1C3A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品名</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1BF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867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869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单价</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132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合计（元）</w:t>
            </w:r>
          </w:p>
        </w:tc>
        <w:tc>
          <w:tcPr>
            <w:tcW w:w="2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0A7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7B0E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58" w:type="pct"/>
            <w:vMerge w:val="restart"/>
            <w:tcBorders>
              <w:top w:val="single" w:color="000000" w:sz="4" w:space="0"/>
              <w:left w:val="single" w:color="000000" w:sz="4" w:space="0"/>
              <w:bottom w:val="single" w:color="000000" w:sz="4" w:space="0"/>
              <w:right w:val="single" w:color="000000" w:sz="4" w:space="0"/>
            </w:tcBorders>
            <w:noWrap w:val="0"/>
            <w:vAlign w:val="center"/>
          </w:tcPr>
          <w:p w14:paraId="7FA7BD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单栋设备</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27DF3F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2F8034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暖风机</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E1AFB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2CB6F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84558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0E3408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51F67B6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暖风机：                                                                                                                                                                                          1.暖风机后壳为镀锌板材质，厚≥度0.8mm，出风口口径≥400mm。  </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2.*纯铜电机，功率≥150W，3003铝扇叶。                                                                                                                                                3.风量每小时≥3000立方。</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4.*电机电压380V                                                                                                                                                                  散热器：                                                                                                                                                                                   1.高度600mm、宽度700mm、厚度≥55mm、  出水口DN25 。                                                                                                                                      2.翅片式散热，翅片管直径2.4cm，材质3003防锈铝。3、暖风机重量≥14KG，整机厚度25.5cm。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3.*要求水温在75℃左右，供回水温差不超过10℃，供热能达到≥6KW。</w:t>
            </w:r>
          </w:p>
        </w:tc>
      </w:tr>
      <w:tr w14:paraId="2DCB1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DC951B">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0C0854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20FA9B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供料设备/料塔</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25D0B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07CB19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098CF2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51B06A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68C84C8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料塔：22T                                                                                                                                                                            1.*整体及附件热镀锌材质 2.75g/m³ 。                                                                                                                                                 2.*上围层板厚不小于 1. 0mm。                                                                                                                                                         3.*下锥板厚不小于 1. 2mm。                                                                                                                                                      4.支腿板厚不小于 2. 5mm。                                                                                                                                                           5.*料管材质 PVC、 厚度不低于 4. 5mm。                                                                                                                                               6.绞龙为进口钢质绞龙。                                                                                                                                                            7.料塔带120KG人工投料口；带观察口，料塔顶锥配有 2 个散热管（带通风口）。                                                                                                                    8.*入户主料线¢110、30 米，水平送料能力≥3000Kg/h（颗粒料）。                                                                                                                        9.下料口带排查检修口和停止下料插板。                                                                                                                                              10.料塔配备 配备8个称重器。                                                                                                                                            11.驱动电机要求纯铜。                                                                                                                                                                         12.料塔配备电控箱一套（全自动控制、可手动控制、含定时器，漏电保护器等必要的电器元件）                                                                                                  13.开挖地基正负零0.8m。                                                                                                                                                                  14.宽度：3.8m*3.8m。                                                                                                                                                                  15.底部垫0.3m垫层。                                                                                                                                                                        16.打0.5mC25混泥土基础。                                                                                                                                                             17.基础做8个预埋件，预埋件使用10mm*200mm*250mm钢板制作，预埋件上焊接M12号螺纹钢4根长度 不低于30cm。</w:t>
            </w:r>
          </w:p>
        </w:tc>
      </w:tr>
      <w:tr w14:paraId="51D1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8EAAC3">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0A6B6E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41C2C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（消毒设备）电动手推式喷雾器</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0DCAC5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03676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0333F6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28E0DC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1CCA21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1.电压：12V。                                                                                                                                                                           2.药箱容积： 60L。                                                                                                                                                                  3.喷雾宽幅： 3-4.5m。                                                                                                                                                               4.药管长度：≥ 20m高压管。                                                                                                                                                                                        5.工作压力： 0.2-0.45mpa。                                                                                                                                                                  6.使用时间：≥ 3-3.5小时。                                                                                                                                                                    7.*流量：2-4.5L/min。                                                                                                                                                                                 8.≥ 重量26KG。</w:t>
            </w:r>
          </w:p>
        </w:tc>
      </w:tr>
      <w:tr w14:paraId="292C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A3DA58">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51F091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40AD9B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超声波人员消毒机</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24FD0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10114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4B808C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774C0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53636A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1.电压AC220v                                                                                                                                                        2.频率：50HZ                                                                                                                                                           3.喷雾工作电流AV4.1A                                                                                                                                                                                  4.喷雾功耗：900W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5.喷壶数量：10个                                                                                                                                               </w:t>
            </w:r>
          </w:p>
        </w:tc>
      </w:tr>
      <w:tr w14:paraId="10480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658" w:type="pct"/>
            <w:vMerge w:val="restart"/>
            <w:tcBorders>
              <w:top w:val="single" w:color="000000" w:sz="4" w:space="0"/>
              <w:left w:val="single" w:color="000000" w:sz="4" w:space="0"/>
              <w:bottom w:val="single" w:color="000000" w:sz="4" w:space="0"/>
              <w:right w:val="single" w:color="000000" w:sz="4" w:space="0"/>
            </w:tcBorders>
            <w:noWrap w:val="0"/>
            <w:vAlign w:val="center"/>
          </w:tcPr>
          <w:p w14:paraId="1B6FD2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共用设备</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ED62A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20CAB4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清洗机</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81007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28929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57AA6D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06FB4B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7376E7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1.额定压力：≥5Mpa。                                                                                                                                                                         2.*额定流量：30-35L/min。                                                                                                                                                                          3.功能：手动关机。                                                                                                                                                                          4.功率：3.5KW。                                                                                                                                                                      5.转速：1440rpm。                                                                                                                                                                     6.电源：380V。                                                                                                                                                                        7.频率：50HZ。                                                                                                                                                               8.*电机：纯铜电机。                                                                                                                                                                         9.重量:68KG。</w:t>
            </w:r>
          </w:p>
        </w:tc>
      </w:tr>
      <w:tr w14:paraId="4200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A9900A">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7ED0D4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27176B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电暖风机</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98A47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C4750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3F047A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62A9AA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113061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1.电压：AC380v                                                                                                                                                        2.*功率：30KW                                                                                                                                                          3.*加热片数量：18片                                                                                                                                                                                  4.挡位：5档以上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5.放置方式：落地式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6.加热方式：镍铬合金丝加热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7.每个加热器配备70m送风带                                                                                                                                               </w:t>
            </w:r>
          </w:p>
        </w:tc>
      </w:tr>
      <w:tr w14:paraId="7BA6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6"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4821CB">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46EC02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2ED29A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锅炉1.4MW</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9B6DB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91E7E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36CBFD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699C82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4D077F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1.4MW燃煤养殖专用锅炉：CWNG1.4-85/60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1.*额定热功率：≥ 1400KW/h。                                                                                                                                                       2.额定工作压力：常压。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3.*额定供回水温度：85/65℃。                                                                                                                                                           4.额定热效率：≥%85.75。                                                                                                                                                             5.排烟温度：≤120℃。                                                                                                                                                                 6.燃烧方式：微负压气化反烧式。                                                                                                                                                      7.烟气流程数量：烟气4流程。                                                                                                                                                            8.炉膛底部结构形式：耐火水泥全封闭式结构。                                                                                                                                               9.炉排结构形式：管式水冷炉排。                                                                                                                                                          10.燃烧控制方式：全自动恒温变频控制（用户仅需设置好所需水温即可全自动恒温运行）。                                                                                                  11.主机外形净尺寸：长3338*宽2199*高2578。                                                                                                                                         12.机组外形尺寸（组装后）：长4840*宽2760*高4078。                                                                                                                                      13.机组净重：6891kg。                                                                                                                                                               14.机组水容量：5235kg。                                                                                                                                                                                            15.炉膛最大容煤量：约1450kg。                                                                                                                                                                                                     16.炉膛加煤口、出渣口、清灰口、开口方向：窄端面开口 。                                                                                                                                                                      17.炉膛加煤口、出渣口、清灰口尺寸及数量：加煤口2个尺寸：500*:400，出渣口3个尺寸：    400*:300，清灰口2个尺寸：500*:400。                                                                               18.烟管清灰门数量：上清灰门2个，下清灰门2个。                                                                                                                                                 19.水冷炉排检修口规格、数量：口径：DN50 数量：16个。                                                                                                                                20.其它燃料接口：具备多燃料（燃生物质、燃油、燃气、电热）接口。                                                                                                                        21.主机管道接口规格：</w:t>
            </w:r>
            <w:r>
              <w:rPr>
                <w:rFonts w:ascii="Calibri" w:hAnsi="Calibri" w:eastAsia="宋体" w:cs="Calibri"/>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供水管DN125 PN1.0、</w:t>
            </w:r>
            <w:r>
              <w:rPr>
                <w:rFonts w:ascii="Calibri" w:hAnsi="Calibri" w:eastAsia="宋体" w:cs="Calibri"/>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回水管DN125PN1.0</w:t>
            </w:r>
            <w:r>
              <w:rPr>
                <w:rFonts w:ascii="Calibri" w:hAnsi="Calibri" w:eastAsia="宋体" w:cs="Calibri"/>
                <w:i w:val="0"/>
                <w:iCs w:val="0"/>
                <w:color w:val="auto"/>
                <w:kern w:val="0"/>
                <w:sz w:val="18"/>
                <w:szCs w:val="18"/>
                <w:u w:val="none"/>
                <w:lang w:val="en-US" w:eastAsia="zh-CN" w:bidi="ar"/>
              </w:rPr>
              <w:t>③</w:t>
            </w:r>
            <w:r>
              <w:rPr>
                <w:rFonts w:hint="eastAsia" w:ascii="宋体" w:hAnsi="宋体" w:eastAsia="宋体" w:cs="宋体"/>
                <w:i w:val="0"/>
                <w:iCs w:val="0"/>
                <w:color w:val="auto"/>
                <w:kern w:val="0"/>
                <w:sz w:val="18"/>
                <w:szCs w:val="18"/>
                <w:u w:val="none"/>
                <w:lang w:val="en-US" w:eastAsia="zh-CN" w:bidi="ar"/>
              </w:rPr>
              <w:t>通大气管DN125 PN1.0、</w:t>
            </w:r>
            <w:r>
              <w:rPr>
                <w:rFonts w:ascii="华文中宋" w:hAnsi="华文中宋" w:eastAsia="华文中宋" w:cs="华文中宋"/>
                <w:i w:val="0"/>
                <w:iCs w:val="0"/>
                <w:color w:val="auto"/>
                <w:kern w:val="0"/>
                <w:sz w:val="18"/>
                <w:szCs w:val="18"/>
                <w:u w:val="none"/>
                <w:lang w:val="en-US" w:eastAsia="zh-CN" w:bidi="ar"/>
              </w:rPr>
              <w:t>④</w:t>
            </w:r>
            <w:r>
              <w:rPr>
                <w:rFonts w:hint="eastAsia" w:ascii="宋体" w:hAnsi="宋体" w:eastAsia="宋体" w:cs="宋体"/>
                <w:i w:val="0"/>
                <w:iCs w:val="0"/>
                <w:color w:val="auto"/>
                <w:kern w:val="0"/>
                <w:sz w:val="18"/>
                <w:szCs w:val="18"/>
                <w:u w:val="none"/>
                <w:lang w:val="en-US" w:eastAsia="zh-CN" w:bidi="ar"/>
              </w:rPr>
              <w:t>补水管DN50 PN1.0、</w:t>
            </w:r>
            <w:r>
              <w:rPr>
                <w:rFonts w:ascii="华文中宋" w:hAnsi="华文中宋" w:eastAsia="华文中宋" w:cs="华文中宋"/>
                <w:i w:val="0"/>
                <w:iCs w:val="0"/>
                <w:color w:val="auto"/>
                <w:kern w:val="0"/>
                <w:sz w:val="18"/>
                <w:szCs w:val="18"/>
                <w:u w:val="none"/>
                <w:lang w:val="en-US" w:eastAsia="zh-CN" w:bidi="ar"/>
              </w:rPr>
              <w:t>⑤</w:t>
            </w:r>
            <w:r>
              <w:rPr>
                <w:rFonts w:hint="eastAsia" w:ascii="宋体" w:hAnsi="宋体" w:eastAsia="宋体" w:cs="宋体"/>
                <w:i w:val="0"/>
                <w:iCs w:val="0"/>
                <w:color w:val="auto"/>
                <w:kern w:val="0"/>
                <w:sz w:val="18"/>
                <w:szCs w:val="18"/>
                <w:u w:val="none"/>
                <w:lang w:val="en-US" w:eastAsia="zh-CN" w:bidi="ar"/>
              </w:rPr>
              <w:t>排污管DN40 PN1.0、</w:t>
            </w:r>
            <w:r>
              <w:rPr>
                <w:rFonts w:ascii="微软雅黑" w:hAnsi="微软雅黑" w:eastAsia="微软雅黑" w:cs="微软雅黑"/>
                <w:i w:val="0"/>
                <w:iCs w:val="0"/>
                <w:color w:val="auto"/>
                <w:kern w:val="0"/>
                <w:sz w:val="18"/>
                <w:szCs w:val="18"/>
                <w:u w:val="none"/>
                <w:lang w:val="en-US" w:eastAsia="zh-CN" w:bidi="ar"/>
              </w:rPr>
              <w:t>⑥</w:t>
            </w:r>
            <w:r>
              <w:rPr>
                <w:rFonts w:hint="eastAsia" w:ascii="宋体" w:hAnsi="宋体" w:eastAsia="宋体" w:cs="宋体"/>
                <w:i w:val="0"/>
                <w:iCs w:val="0"/>
                <w:color w:val="auto"/>
                <w:kern w:val="0"/>
                <w:sz w:val="18"/>
                <w:szCs w:val="18"/>
                <w:u w:val="none"/>
                <w:lang w:val="en-US" w:eastAsia="zh-CN" w:bidi="ar"/>
              </w:rPr>
              <w:t xml:space="preserve">主烟囱DN250副烟囱DN150。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22.*主机主要部件材质、规格、数量：</w:t>
            </w:r>
            <w:r>
              <w:rPr>
                <w:rFonts w:ascii="Calibri" w:hAnsi="Calibri" w:eastAsia="宋体" w:cs="Calibri"/>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炉膛材质：Q235B碳钢厚度≥10mm、</w:t>
            </w:r>
            <w:r>
              <w:rPr>
                <w:rFonts w:ascii="Calibri" w:hAnsi="Calibri" w:eastAsia="宋体" w:cs="Calibri"/>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锅壳材质：Q235B碳钢厚度≥8mm</w:t>
            </w:r>
            <w:r>
              <w:rPr>
                <w:rFonts w:ascii="Calibri" w:hAnsi="Calibri" w:eastAsia="宋体" w:cs="Calibri"/>
                <w:i w:val="0"/>
                <w:iCs w:val="0"/>
                <w:color w:val="auto"/>
                <w:kern w:val="0"/>
                <w:sz w:val="18"/>
                <w:szCs w:val="18"/>
                <w:u w:val="none"/>
                <w:lang w:val="en-US" w:eastAsia="zh-CN" w:bidi="ar"/>
              </w:rPr>
              <w:t>③</w:t>
            </w:r>
            <w:r>
              <w:rPr>
                <w:rFonts w:hint="eastAsia" w:ascii="宋体" w:hAnsi="宋体" w:eastAsia="宋体" w:cs="宋体"/>
                <w:i w:val="0"/>
                <w:iCs w:val="0"/>
                <w:color w:val="auto"/>
                <w:kern w:val="0"/>
                <w:sz w:val="18"/>
                <w:szCs w:val="18"/>
                <w:u w:val="none"/>
                <w:lang w:val="en-US" w:eastAsia="zh-CN" w:bidi="ar"/>
              </w:rPr>
              <w:t>水冷炉排管材质：20g-GB3087锅炉无缝管管径φ76mm厚度≥6mm长度：1240 数量：21根、</w:t>
            </w:r>
            <w:r>
              <w:rPr>
                <w:rFonts w:ascii="华文中宋" w:hAnsi="华文中宋" w:eastAsia="华文中宋" w:cs="华文中宋"/>
                <w:i w:val="0"/>
                <w:iCs w:val="0"/>
                <w:color w:val="auto"/>
                <w:kern w:val="0"/>
                <w:sz w:val="18"/>
                <w:szCs w:val="18"/>
                <w:u w:val="none"/>
                <w:lang w:val="en-US" w:eastAsia="zh-CN" w:bidi="ar"/>
              </w:rPr>
              <w:t>④</w:t>
            </w:r>
            <w:r>
              <w:rPr>
                <w:rFonts w:hint="eastAsia" w:ascii="宋体" w:hAnsi="宋体" w:eastAsia="宋体" w:cs="宋体"/>
                <w:i w:val="0"/>
                <w:iCs w:val="0"/>
                <w:color w:val="auto"/>
                <w:kern w:val="0"/>
                <w:sz w:val="18"/>
                <w:szCs w:val="18"/>
                <w:u w:val="none"/>
                <w:lang w:val="en-US" w:eastAsia="zh-CN" w:bidi="ar"/>
              </w:rPr>
              <w:t>烟管材质：20g-GB3087锅炉无缝管管径φ63mm 厚度≥4.5mm长度：1760mm，数量210根                                                                                                           23.含所有设备、材料、配件的运输、装卸费用。                                                                                                                                        24.含锅炉房内安装所需材料费及人工费。</w:t>
            </w:r>
          </w:p>
        </w:tc>
      </w:tr>
      <w:tr w14:paraId="4B95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DA1DE6">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F193F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18504D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锅炉引风机</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0EBD38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0D5E51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57B6E0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0ADAC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1B149D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锅炉引风机11KW                                                                                                                                                                                   1.落地式直联离心风机耐温225℃。</w:t>
            </w:r>
          </w:p>
        </w:tc>
      </w:tr>
      <w:tr w14:paraId="0F42A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21D98E">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067A22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0AF57F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锅炉除尘器</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35B10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B9B33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68847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2C5F2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6492DC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1.水浸式除尘                                                                                                                                                                                                    2、容量：1.5方                                                                                                                                                                                             3、材质：碳钢板制作壁厚≥5mm                                                                                                                                                              4、尺寸：1250mm*1000mm*1250mm</w:t>
            </w:r>
          </w:p>
        </w:tc>
      </w:tr>
      <w:tr w14:paraId="170B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CE7470">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52E2B5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E9289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锅炉高位水箱</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ACD1D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A8EC4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437E8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FBB6A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7C8449D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1.碳钢材质、容量500KG（含自动补水装置)。                                                                                                                               2、尺寸:1200mm*800mm*1000mm。</w:t>
            </w:r>
          </w:p>
        </w:tc>
      </w:tr>
      <w:tr w14:paraId="07BA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2B55B7">
            <w:pPr>
              <w:jc w:val="center"/>
              <w:rPr>
                <w:rFonts w:hint="eastAsia" w:ascii="宋体" w:hAnsi="宋体" w:eastAsia="宋体" w:cs="宋体"/>
                <w:i w:val="0"/>
                <w:iCs w:val="0"/>
                <w:color w:val="auto"/>
                <w:sz w:val="18"/>
                <w:szCs w:val="18"/>
                <w:u w:val="none"/>
              </w:rPr>
            </w:pPr>
          </w:p>
        </w:tc>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14:paraId="32AA86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441" w:type="pct"/>
            <w:vMerge w:val="restart"/>
            <w:tcBorders>
              <w:top w:val="single" w:color="000000" w:sz="4" w:space="0"/>
              <w:left w:val="single" w:color="000000" w:sz="4" w:space="0"/>
              <w:bottom w:val="single" w:color="000000" w:sz="4" w:space="0"/>
              <w:right w:val="single" w:color="000000" w:sz="4" w:space="0"/>
            </w:tcBorders>
            <w:noWrap w:val="0"/>
            <w:vAlign w:val="center"/>
          </w:tcPr>
          <w:p w14:paraId="58B1F8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锅炉烟囱</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1591C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CA197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25F7D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28AE59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ign w:val="center"/>
          </w:tcPr>
          <w:p w14:paraId="139DE777">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1.Φ350碳钢材质 落地安装。</w:t>
            </w:r>
          </w:p>
        </w:tc>
      </w:tr>
      <w:tr w14:paraId="0CDD7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3F0F5E">
            <w:pPr>
              <w:jc w:val="center"/>
              <w:rPr>
                <w:rFonts w:hint="eastAsia" w:ascii="宋体" w:hAnsi="宋体" w:eastAsia="宋体" w:cs="宋体"/>
                <w:i w:val="0"/>
                <w:iCs w:val="0"/>
                <w:color w:val="auto"/>
                <w:sz w:val="18"/>
                <w:szCs w:val="18"/>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015AB7">
            <w:pPr>
              <w:jc w:val="center"/>
              <w:rPr>
                <w:rFonts w:hint="eastAsia" w:ascii="宋体" w:hAnsi="宋体" w:eastAsia="宋体" w:cs="宋体"/>
                <w:i w:val="0"/>
                <w:iCs w:val="0"/>
                <w:color w:val="auto"/>
                <w:sz w:val="18"/>
                <w:szCs w:val="18"/>
                <w:u w:val="none"/>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7252EB">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16F25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E375F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655FB6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24A666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ign w:val="center"/>
          </w:tcPr>
          <w:p w14:paraId="34B487BE">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1.Φ250碳钢材质 炉顶安装。</w:t>
            </w:r>
          </w:p>
        </w:tc>
      </w:tr>
      <w:tr w14:paraId="3C27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834B48">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4218E0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7C5E8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锅炉卧式循环水泵</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BFC8C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B2C2A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6821D8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20AC11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15E5D3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1.一备一用。                                                                                                                                                                                      2.流量100 m³ 扬程32米 功率15KW</w:t>
            </w:r>
          </w:p>
        </w:tc>
      </w:tr>
      <w:tr w14:paraId="7F49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366914">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13EC3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304841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锅炉温度计</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6896B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87AE3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70980C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047AC5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16AC19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1.Φ100炉内水温直显                                                                                                                                                                    2、温度显示范围：0℃-100℃</w:t>
            </w:r>
          </w:p>
        </w:tc>
      </w:tr>
      <w:tr w14:paraId="2E5D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70957F">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5D8F1C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19C666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锅炉全自动软水器</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050C3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C8D8A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4A7D0E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501275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24B7C0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1.*4吨/h                                                                                                                                                                                      2.清洗方式：自动                                                                                                                                                                                   3.整机功率：15W 、系统电压：220V                                                                                                                                     4.排水规格：D20软管                                                                                                                                                                    5.进出水规格：D40外丝接口                                                                                                                                                                      6.供水方式、运行连续供水，清洗断                                                                                                                                      7.再生剂：软水                                                                                                                                                                    8.再生耗时：80分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9.*清洗周期：制水≥20吨                                                                                                                                                                            10.盐箱规格：≥100L                                                                                                                                                 11.树脂规格：工业级电标树脂</w:t>
            </w:r>
          </w:p>
        </w:tc>
      </w:tr>
      <w:tr w14:paraId="37D84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101520">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356C9F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094BF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锅炉电控系统</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6910C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FA605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E6146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742E01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781303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1.*所有电控设备带手自动控制系统。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2.*引风机电控带有调频功能（变频器输入电压为180-460V、频率50HZ、输出电压0-380V、过载能力为P级、控制三相15KW以下功率段运行，可以控制多段速运行。</w:t>
            </w:r>
          </w:p>
        </w:tc>
      </w:tr>
      <w:tr w14:paraId="6CD2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7A4D66">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04A9C4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1335A0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锅炉2.1MW</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B8B94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0010C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5F03FE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4F1988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658983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2.1MW燃煤养殖专用锅炉：CWNG2.1-85/60                                                                                                                                                                 1.额定热功率：≥ 2100KW/h。                                                                                                                                                              2.额定工作压力：常压。                                                                                                                                                               3.额定供回水温度：85/65℃。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4.*额定热效率：≥%85.75。                                                                                                                                                             5.排烟温度：≤120℃。                                                                                                                                                                 6.燃烧方式：微负压气化反烧式。                                                                                                                                                      7.烟气流程数量：烟气4流程。                                                                                                                                                            8.炉膛底部结构形式：耐火水泥全封闭式结构。                                                                                                                                               9.炉排结构形式：管式水冷炉排。                                                                                                                                                          10.燃烧控制方式：全自动恒温变频控制（用户仅需设置好所需水温即可全自动恒温运行）。                                                                                                  11.主机外形净尺寸：长3930*宽2450*高2578。                                                                                                                                         12.机组外形尺寸（组装后）：≥ 长5450*宽2930*高4078。                                                                                                                                                            13.机组净重：≥ 9100kg。                                                                                                                                                                                         14.机组水容量：≥6473kg。                                                                                                                                                                                     15.炉膛最大容煤量：≥2070kg。                                                                                                                                                                                      16.炉膛加煤口、出渣口、清灰口、开口方向：窄端面开口 （2450宽度方向）。                                                                                                                                                                      17.炉膛加煤口、出渣口、清灰口尺寸及数量：加煤口2个尺寸：500*:400，出渣口3个尺寸：≥400*:300，清灰口2个尺寸：≥500*:400。                                                                               18.烟管清灰门数量：上清灰门2个，下清灰门2个。                                                                                                                                                 19.水冷炉排检修口规格、数量：口径：DN50 数量：27个。                                                                                                                                20.其它燃料接口：具备多燃料（燃生物质、燃油、燃气、电热）接口。                                                                                                                        21.主机管道接口规格：</w:t>
            </w:r>
            <w:r>
              <w:rPr>
                <w:rFonts w:hint="default" w:ascii="Calibri" w:hAnsi="Calibri" w:eastAsia="宋体" w:cs="Calibri"/>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供水管DN125 PN1.0、</w:t>
            </w:r>
            <w:r>
              <w:rPr>
                <w:rFonts w:hint="default" w:ascii="Calibri" w:hAnsi="Calibri" w:eastAsia="宋体" w:cs="Calibri"/>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回水管DN125PN1.0</w:t>
            </w:r>
            <w:r>
              <w:rPr>
                <w:rFonts w:hint="default" w:ascii="Calibri" w:hAnsi="Calibri" w:eastAsia="宋体" w:cs="Calibri"/>
                <w:i w:val="0"/>
                <w:iCs w:val="0"/>
                <w:color w:val="auto"/>
                <w:kern w:val="0"/>
                <w:sz w:val="18"/>
                <w:szCs w:val="18"/>
                <w:u w:val="none"/>
                <w:lang w:val="en-US" w:eastAsia="zh-CN" w:bidi="ar"/>
              </w:rPr>
              <w:t>③</w:t>
            </w:r>
            <w:r>
              <w:rPr>
                <w:rFonts w:hint="eastAsia" w:ascii="宋体" w:hAnsi="宋体" w:eastAsia="宋体" w:cs="宋体"/>
                <w:i w:val="0"/>
                <w:iCs w:val="0"/>
                <w:color w:val="auto"/>
                <w:kern w:val="0"/>
                <w:sz w:val="18"/>
                <w:szCs w:val="18"/>
                <w:u w:val="none"/>
                <w:lang w:val="en-US" w:eastAsia="zh-CN" w:bidi="ar"/>
              </w:rPr>
              <w:t>通大气管DN125 PN1.0、</w:t>
            </w:r>
            <w:r>
              <w:rPr>
                <w:rFonts w:hint="default" w:ascii="华文中宋" w:hAnsi="华文中宋" w:eastAsia="华文中宋" w:cs="华文中宋"/>
                <w:i w:val="0"/>
                <w:iCs w:val="0"/>
                <w:color w:val="auto"/>
                <w:kern w:val="0"/>
                <w:sz w:val="18"/>
                <w:szCs w:val="18"/>
                <w:u w:val="none"/>
                <w:lang w:val="en-US" w:eastAsia="zh-CN" w:bidi="ar"/>
              </w:rPr>
              <w:t>④</w:t>
            </w:r>
            <w:r>
              <w:rPr>
                <w:rFonts w:hint="eastAsia" w:ascii="宋体" w:hAnsi="宋体" w:eastAsia="宋体" w:cs="宋体"/>
                <w:i w:val="0"/>
                <w:iCs w:val="0"/>
                <w:color w:val="auto"/>
                <w:kern w:val="0"/>
                <w:sz w:val="18"/>
                <w:szCs w:val="18"/>
                <w:u w:val="none"/>
                <w:lang w:val="en-US" w:eastAsia="zh-CN" w:bidi="ar"/>
              </w:rPr>
              <w:t>补水管DN50 PN1.0、</w:t>
            </w:r>
            <w:r>
              <w:rPr>
                <w:rFonts w:hint="default" w:ascii="华文中宋" w:hAnsi="华文中宋" w:eastAsia="华文中宋" w:cs="华文中宋"/>
                <w:i w:val="0"/>
                <w:iCs w:val="0"/>
                <w:color w:val="auto"/>
                <w:kern w:val="0"/>
                <w:sz w:val="18"/>
                <w:szCs w:val="18"/>
                <w:u w:val="none"/>
                <w:lang w:val="en-US" w:eastAsia="zh-CN" w:bidi="ar"/>
              </w:rPr>
              <w:t>⑤</w:t>
            </w:r>
            <w:r>
              <w:rPr>
                <w:rFonts w:hint="eastAsia" w:ascii="宋体" w:hAnsi="宋体" w:eastAsia="宋体" w:cs="宋体"/>
                <w:i w:val="0"/>
                <w:iCs w:val="0"/>
                <w:color w:val="auto"/>
                <w:kern w:val="0"/>
                <w:sz w:val="18"/>
                <w:szCs w:val="18"/>
                <w:u w:val="none"/>
                <w:lang w:val="en-US" w:eastAsia="zh-CN" w:bidi="ar"/>
              </w:rPr>
              <w:t>排污管DN40 PN1.0、</w:t>
            </w:r>
            <w:r>
              <w:rPr>
                <w:rFonts w:hint="eastAsia" w:ascii="微软雅黑" w:hAnsi="微软雅黑" w:eastAsia="微软雅黑" w:cs="微软雅黑"/>
                <w:i w:val="0"/>
                <w:iCs w:val="0"/>
                <w:color w:val="auto"/>
                <w:kern w:val="0"/>
                <w:sz w:val="18"/>
                <w:szCs w:val="18"/>
                <w:u w:val="none"/>
                <w:lang w:val="en-US" w:eastAsia="zh-CN" w:bidi="ar"/>
              </w:rPr>
              <w:t>⑥</w:t>
            </w:r>
            <w:r>
              <w:rPr>
                <w:rFonts w:hint="eastAsia" w:ascii="宋体" w:hAnsi="宋体" w:eastAsia="宋体" w:cs="宋体"/>
                <w:i w:val="0"/>
                <w:iCs w:val="0"/>
                <w:color w:val="auto"/>
                <w:kern w:val="0"/>
                <w:sz w:val="18"/>
                <w:szCs w:val="18"/>
                <w:u w:val="none"/>
                <w:lang w:val="en-US" w:eastAsia="zh-CN" w:bidi="ar"/>
              </w:rPr>
              <w:t xml:space="preserve">主烟囱DN250副烟囱DN150。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22.*主机主要部件材质、规格、数量：</w:t>
            </w:r>
            <w:r>
              <w:rPr>
                <w:rFonts w:hint="default" w:ascii="Calibri" w:hAnsi="Calibri" w:eastAsia="宋体" w:cs="Calibri"/>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炉膛材质：Q235B碳钢厚度≥10mm、</w:t>
            </w:r>
            <w:r>
              <w:rPr>
                <w:rFonts w:hint="default" w:ascii="Calibri" w:hAnsi="Calibri" w:eastAsia="宋体" w:cs="Calibri"/>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锅壳材质：Q235B碳钢厚度≥8mm</w:t>
            </w:r>
            <w:r>
              <w:rPr>
                <w:rFonts w:hint="default" w:ascii="Calibri" w:hAnsi="Calibri" w:eastAsia="宋体" w:cs="Calibri"/>
                <w:i w:val="0"/>
                <w:iCs w:val="0"/>
                <w:color w:val="auto"/>
                <w:kern w:val="0"/>
                <w:sz w:val="18"/>
                <w:szCs w:val="18"/>
                <w:u w:val="none"/>
                <w:lang w:val="en-US" w:eastAsia="zh-CN" w:bidi="ar"/>
              </w:rPr>
              <w:t>③</w:t>
            </w:r>
            <w:r>
              <w:rPr>
                <w:rFonts w:hint="eastAsia" w:ascii="宋体" w:hAnsi="宋体" w:eastAsia="宋体" w:cs="宋体"/>
                <w:i w:val="0"/>
                <w:iCs w:val="0"/>
                <w:color w:val="auto"/>
                <w:kern w:val="0"/>
                <w:sz w:val="18"/>
                <w:szCs w:val="18"/>
                <w:u w:val="none"/>
                <w:lang w:val="en-US" w:eastAsia="zh-CN" w:bidi="ar"/>
              </w:rPr>
              <w:t>水冷炉排管材质：20g-GB3087锅炉无缝管管径φ76mm厚度≥6mm长度：1240 数量：27根、</w:t>
            </w:r>
            <w:r>
              <w:rPr>
                <w:rFonts w:hint="default" w:ascii="华文中宋" w:hAnsi="华文中宋" w:eastAsia="华文中宋" w:cs="华文中宋"/>
                <w:i w:val="0"/>
                <w:iCs w:val="0"/>
                <w:color w:val="auto"/>
                <w:kern w:val="0"/>
                <w:sz w:val="18"/>
                <w:szCs w:val="18"/>
                <w:u w:val="none"/>
                <w:lang w:val="en-US" w:eastAsia="zh-CN" w:bidi="ar"/>
              </w:rPr>
              <w:t>④</w:t>
            </w:r>
            <w:r>
              <w:rPr>
                <w:rFonts w:hint="eastAsia" w:ascii="宋体" w:hAnsi="宋体" w:eastAsia="宋体" w:cs="宋体"/>
                <w:i w:val="0"/>
                <w:iCs w:val="0"/>
                <w:color w:val="auto"/>
                <w:kern w:val="0"/>
                <w:sz w:val="18"/>
                <w:szCs w:val="18"/>
                <w:u w:val="none"/>
                <w:lang w:val="en-US" w:eastAsia="zh-CN" w:bidi="ar"/>
              </w:rPr>
              <w:t>烟管材质：20g-GB3087锅炉无缝管管径φ63mm 厚度≥4.5mm长度：1760mm 数量270根                                                                                                           23.含所有设备、材料、配件的运输、装卸费用。                                                                                                                                        24.含锅炉房内安装所需材料费及人工费。</w:t>
            </w:r>
          </w:p>
        </w:tc>
      </w:tr>
      <w:tr w14:paraId="7F5B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E4A337">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387E4F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1291DC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锅炉引风机</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75640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8ED35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613185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35E869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3540DE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锅炉引风机15KW                                                                                                                                                                        1.落地式直联离心风机耐温225℃。</w:t>
            </w:r>
          </w:p>
        </w:tc>
      </w:tr>
      <w:tr w14:paraId="5CF4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4B3C1A">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31D39B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8.3</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710030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锅炉除尘器</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890F4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9F41B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5D3BC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3B1870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641EA1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1.布袋除尘器                                                                                                                                                                                                    2.*处理烟气量：8400 m³/h                                                                                                                                                                                            3.*颗粒物排放指标：50mg/m³  </w:t>
            </w:r>
          </w:p>
        </w:tc>
      </w:tr>
      <w:tr w14:paraId="79314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252569">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A5D2F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19CCB9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锅炉高位水箱</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D5102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0776C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7D5966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4350D3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159992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1.碳钢材质、容量500KG（含自动补水装置)。                                                                                                                               2、尺寸:1200mm*800mm*1000mm。</w:t>
            </w:r>
          </w:p>
        </w:tc>
      </w:tr>
      <w:tr w14:paraId="3ED4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1DF44F">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nil"/>
              <w:right w:val="single" w:color="000000" w:sz="4" w:space="0"/>
            </w:tcBorders>
            <w:noWrap w:val="0"/>
            <w:vAlign w:val="center"/>
          </w:tcPr>
          <w:p w14:paraId="1816BD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57310C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锅炉烟囱</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4CC72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9BE57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01357A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0DFBA1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ign w:val="center"/>
          </w:tcPr>
          <w:p w14:paraId="2B2EB87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1.Φ400碳钢材质 炉顶安装。</w:t>
            </w:r>
          </w:p>
        </w:tc>
      </w:tr>
      <w:tr w14:paraId="212E3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659B1F">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2BDE1C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678FB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锅炉卧式循环水泵</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FE88C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E45A3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0F32A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37B9A0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089D00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1.一备一用。                                                                                                                                                                             2.流量≥160 m³ 扬程32米 功率22KW</w:t>
            </w:r>
          </w:p>
        </w:tc>
      </w:tr>
      <w:tr w14:paraId="7E23D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D3FC87">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2FA88E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39CFFC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锅炉温度计</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0A852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CC71A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7F73E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02894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589AFB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1.Φ100炉内水温直显                                                                                                                                                                    2、温度显示范围：0℃-100℃</w:t>
            </w:r>
          </w:p>
        </w:tc>
      </w:tr>
      <w:tr w14:paraId="17DD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26EDC8">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5B1997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8.8</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ECF35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锅炉全自动软水器</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B42D6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F71AD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33F384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24223E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5F8C78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1.*6吨/h                                                                                                                                                                                             2.清洗方式：自动                                                                                                                                                                     3.整机功率：15W、系统电压：220V                                                                                                                                      4.排水规格：D20软管                                                                                                                                                                        5.进出水规格：D40外丝接口                                                                                                                                                            6.供水方式、运行连续供水，清洗断                                                                                                                                      7.再生剂：软水                                                                                                                                                                    8.再生耗时：80分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9.*清洗周期：制水≥30吨                                                                                                                                                                          10.盐箱规格：≥200L                                                                                                                                                 11.树脂规格：工业级电标树脂</w:t>
            </w:r>
          </w:p>
        </w:tc>
      </w:tr>
      <w:tr w14:paraId="3322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23681E">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2335F2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F3C82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锅炉电控系统</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FC0B3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8381A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36C5FE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66EF4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7DAC372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1.*所有电控设备带手自动控制系统。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2.*引风机电控带有调频功能（变频器输入电压为180-460V、频率50HZ、输出电压0-380V、过载能力为P级、控制三相15KW以下功率段运行，可以控制多段速运行。</w:t>
            </w:r>
          </w:p>
        </w:tc>
      </w:tr>
      <w:tr w14:paraId="6456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EEB539">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7DEB67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1D7C90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运输设备（装载机）</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80310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06AC1E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7B920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38C7B3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44A41D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960型转载机                                                                                                                                                                    1.发动机：6105增压。                                                                                                                                                                2.斗宽：2m 。                                                                                                                                                                       3.*功率：85KW。                                                                                                                                                                        4.链接桥：轮边桥。                                                                                                                                                                           5.轮胎：1670-24。                                                                                                                                                                                  6.卸载高度：3.6m 。                                                                                                                                                                    7.整机尺寸：≥6100*1950*2960。 </w:t>
            </w:r>
          </w:p>
        </w:tc>
      </w:tr>
      <w:tr w14:paraId="7E187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B9F4BD">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D35B6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D325B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运输设备（拉粪车）</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19713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523E9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辆</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06A893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7931BD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7F782A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柴油三轮车                                                                                                                                                                         1.*柴油机功率：25马力。                                                                                                                                                            2.*车厢尺寸：2500mm*1480mmm*50mm。                                                                                                                                                          3.车辆高度：1.88m。                                                                                                                                                                                           4.车辆总长度：≥4.27m   </w:t>
            </w:r>
          </w:p>
        </w:tc>
      </w:tr>
      <w:tr w14:paraId="03FD3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A404F5">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A7D30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44A60E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鸡舍进户电缆</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5EA4C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5F21C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798400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7547E1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1561DDF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1.*鸡舍进户主电缆使用YJV22铜芯电缆≥3*25²+1电缆</w:t>
            </w:r>
          </w:p>
        </w:tc>
      </w:tr>
      <w:tr w14:paraId="12F9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EFABBD">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9B243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26AF0B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洒水车</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04F06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68150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辆</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0C88D4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FA0C1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066C92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1.*功率136马力</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2.轴距：3308</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3.双车架：192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4.多档位：6档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5.*容量：7m³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6.罐体使用国标武钢碳钢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7.配备腰冲、后冲、侧喷、后工作平台高炮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8.配备洒水车高功率撒水泵，泵可自吸自排自流阀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9.消防接口各1个，水管1根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10.安装过滤网，可通过消防栓进水</w:t>
            </w:r>
          </w:p>
        </w:tc>
      </w:tr>
      <w:tr w14:paraId="34550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0A8864">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D74ED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509C37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发电机</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BF2B6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3BA3E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78D62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681AB2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764112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1.*输出功率：300KW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2.额定电压400V/230V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3.额定频率：50HZ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4.电制：三相四线制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5.功率因数：0.8（滞后）</w:t>
            </w:r>
          </w:p>
        </w:tc>
      </w:tr>
      <w:tr w14:paraId="76347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E7854D">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61BDF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3829AE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80L热水器</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BE5AA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E5014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58ED66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15EF9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2E693C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1.容量80L</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2.带淋浴花洒</w:t>
            </w:r>
          </w:p>
        </w:tc>
      </w:tr>
      <w:tr w14:paraId="5071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658" w:type="pct"/>
            <w:tcBorders>
              <w:top w:val="single" w:color="000000" w:sz="4" w:space="0"/>
              <w:left w:val="single" w:color="000000" w:sz="4" w:space="0"/>
              <w:bottom w:val="single" w:color="000000" w:sz="4" w:space="0"/>
              <w:right w:val="single" w:color="000000" w:sz="4" w:space="0"/>
            </w:tcBorders>
            <w:noWrap/>
            <w:vAlign w:val="center"/>
          </w:tcPr>
          <w:p w14:paraId="5DDE91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古勒巴格村、且克村</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9B6B7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35713A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污水处理一体化设备( 玻璃钢,埋地)</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4452A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05C2C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08D2D87F">
            <w:pPr>
              <w:jc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542CC6ED">
            <w:pPr>
              <w:jc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74CE24EA">
            <w:pPr>
              <w:keepNext w:val="0"/>
              <w:keepLines w:val="0"/>
              <w:widowControl/>
              <w:suppressLineNumbers w:val="0"/>
              <w:spacing w:after="180" w:afterAutospacing="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1.污水处理一体化设备( 玻璃钢材质化粪池，调节池，清水池均埋地)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2.污水储存量：200m³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3.*污水处理规模：10m³/d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4.*排放标准:一级A</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5.*设备电采用太阳能板；要求：处理后出水达到《城市污水再生利用 城市杂用水水质》（GB/T18920-2020）中绿化和冲厕标准，以及《城市污水再生利用 景观环境用水水质》（GB/T18920-2019）中观赏性景观环境用水标准；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6.污水一体化处理设备包括安装、运输并提供普通发票，能够保障正常生产和设备的正常运行</w:t>
            </w:r>
          </w:p>
        </w:tc>
      </w:tr>
      <w:tr w14:paraId="4A0DC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58" w:type="pct"/>
            <w:tcBorders>
              <w:top w:val="single" w:color="000000" w:sz="4" w:space="0"/>
              <w:left w:val="single" w:color="000000" w:sz="4" w:space="0"/>
              <w:bottom w:val="single" w:color="000000" w:sz="4" w:space="0"/>
              <w:right w:val="single" w:color="000000" w:sz="4" w:space="0"/>
            </w:tcBorders>
            <w:noWrap/>
            <w:vAlign w:val="center"/>
          </w:tcPr>
          <w:p w14:paraId="02F2DF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墩巴格村</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4A19C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157929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污水处理一体化设备( 玻璃钢,埋地)</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FB92D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610E6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38D4A20">
            <w:pPr>
              <w:jc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6CF57454">
            <w:pPr>
              <w:jc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326C8770">
            <w:pPr>
              <w:keepNext w:val="0"/>
              <w:keepLines w:val="0"/>
              <w:widowControl/>
              <w:suppressLineNumbers w:val="0"/>
              <w:spacing w:after="180" w:afterAutospacing="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1.污水处理一体化设备( 玻璃钢材质化粪池，调节池，清水池均埋地)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2.污水储存量：100m³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3.*污水处理规模：5m³/d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4.*排放标准:一级A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5.*设备电采用太阳能板；要求：处理后出水达到《城市污水再生利用 城市杂用水水质》（GB/T18920-2020）中绿化和冲厕标准，以及《城市污水再生利用 景观环境用水水质》（GB/T18920-2019）中观赏性景观环境用水标准；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6.污水一体化处理设备包括安装、运输并提供普通发票，能够保障正常生产和设备的正常运行</w:t>
            </w:r>
          </w:p>
        </w:tc>
      </w:tr>
    </w:tbl>
    <w:p w14:paraId="49478AB2">
      <w:pPr>
        <w:rPr>
          <w:rFonts w:hint="eastAsia" w:ascii="Times New Roman" w:hAnsi="宋体" w:eastAsia="宋体" w:cs="Times New Roman"/>
          <w:b/>
          <w:bCs/>
          <w:color w:val="auto"/>
          <w:kern w:val="2"/>
          <w:sz w:val="21"/>
          <w:szCs w:val="20"/>
          <w:lang w:val="en-US" w:eastAsia="zh-CN" w:bidi="ar-SA"/>
        </w:rPr>
        <w:sectPr>
          <w:footerReference r:id="rId10" w:type="default"/>
          <w:pgSz w:w="16838" w:h="11905" w:orient="landscape"/>
          <w:pgMar w:top="1797" w:right="1440" w:bottom="1797" w:left="1440"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14:paraId="55A0EEB9">
      <w:pPr>
        <w:pStyle w:val="34"/>
        <w:keepNext w:val="0"/>
        <w:keepLines w:val="0"/>
        <w:pageBreakBefore w:val="0"/>
        <w:widowControl w:val="0"/>
        <w:numPr>
          <w:ilvl w:val="0"/>
          <w:numId w:val="0"/>
        </w:numPr>
        <w:kinsoku/>
        <w:wordWrap/>
        <w:overflowPunct/>
        <w:topLinePunct w:val="0"/>
        <w:bidi w:val="0"/>
        <w:snapToGrid/>
        <w:spacing w:line="400" w:lineRule="exact"/>
        <w:ind w:firstLine="426" w:firstLineChars="200"/>
        <w:textAlignment w:val="auto"/>
        <w:rPr>
          <w:rFonts w:hint="default" w:ascii="Times New Roman" w:hAnsi="宋体" w:eastAsia="宋体" w:cs="Times New Roman"/>
          <w:b/>
          <w:bCs/>
          <w:color w:val="auto"/>
          <w:kern w:val="2"/>
          <w:sz w:val="21"/>
          <w:szCs w:val="20"/>
          <w:lang w:val="en-US" w:eastAsia="zh-CN" w:bidi="ar-SA"/>
        </w:rPr>
      </w:pPr>
      <w:r>
        <w:rPr>
          <w:rFonts w:hint="eastAsia" w:ascii="Times New Roman" w:hAnsi="宋体" w:eastAsia="宋体" w:cs="Times New Roman"/>
          <w:b/>
          <w:bCs/>
          <w:color w:val="auto"/>
          <w:kern w:val="2"/>
          <w:sz w:val="21"/>
          <w:szCs w:val="20"/>
          <w:lang w:val="en-US" w:eastAsia="zh-CN" w:bidi="ar-SA"/>
        </w:rPr>
        <w:t>备注：</w:t>
      </w:r>
    </w:p>
    <w:p w14:paraId="52CDC121">
      <w:pPr>
        <w:pStyle w:val="24"/>
        <w:keepNext w:val="0"/>
        <w:keepLines w:val="0"/>
        <w:pageBreakBefore w:val="0"/>
        <w:widowControl w:val="0"/>
        <w:kinsoku/>
        <w:wordWrap/>
        <w:overflowPunct/>
        <w:topLinePunct w:val="0"/>
        <w:autoSpaceDE/>
        <w:autoSpaceDN/>
        <w:bidi w:val="0"/>
        <w:adjustRightInd/>
        <w:snapToGrid/>
        <w:spacing w:line="400" w:lineRule="exact"/>
        <w:ind w:left="0" w:leftChars="0" w:firstLine="426" w:firstLineChars="200"/>
        <w:textAlignment w:val="auto"/>
        <w:rPr>
          <w:rFonts w:hint="default" w:ascii="宋体" w:hAnsi="宋体" w:eastAsia="宋体" w:cs="仿宋_GB2312"/>
          <w:b/>
          <w:color w:val="auto"/>
          <w:kern w:val="0"/>
          <w:sz w:val="21"/>
          <w:szCs w:val="22"/>
          <w:lang w:val="en-US" w:eastAsia="zh-CN" w:bidi="ar-SA"/>
        </w:rPr>
      </w:pPr>
      <w:r>
        <w:rPr>
          <w:rFonts w:hint="eastAsia" w:ascii="宋体" w:hAnsi="宋体" w:eastAsia="宋体" w:cs="仿宋_GB2312"/>
          <w:b/>
          <w:color w:val="auto"/>
          <w:kern w:val="0"/>
          <w:sz w:val="21"/>
          <w:szCs w:val="22"/>
          <w:lang w:val="en-US" w:eastAsia="zh-CN" w:bidi="ar-SA"/>
        </w:rPr>
        <w:t>2.投标企业</w:t>
      </w:r>
      <w:r>
        <w:rPr>
          <w:rFonts w:hint="default" w:ascii="宋体" w:hAnsi="宋体" w:eastAsia="宋体" w:cs="仿宋_GB2312"/>
          <w:b/>
          <w:color w:val="auto"/>
          <w:kern w:val="0"/>
          <w:sz w:val="21"/>
          <w:szCs w:val="22"/>
          <w:lang w:val="en-US" w:eastAsia="zh-CN" w:bidi="ar-SA"/>
        </w:rPr>
        <w:t>报价必须考虑事宜如下：从采购、运输</w:t>
      </w:r>
      <w:r>
        <w:rPr>
          <w:rFonts w:hint="eastAsia" w:ascii="宋体" w:hAnsi="宋体" w:eastAsia="宋体" w:cs="仿宋_GB2312"/>
          <w:b/>
          <w:color w:val="auto"/>
          <w:kern w:val="0"/>
          <w:sz w:val="21"/>
          <w:szCs w:val="22"/>
          <w:lang w:val="en-US" w:eastAsia="zh-CN" w:bidi="ar-SA"/>
        </w:rPr>
        <w:t>、税金</w:t>
      </w:r>
      <w:r>
        <w:rPr>
          <w:rFonts w:hint="default" w:ascii="宋体" w:hAnsi="宋体" w:eastAsia="宋体" w:cs="仿宋_GB2312"/>
          <w:b/>
          <w:color w:val="auto"/>
          <w:kern w:val="0"/>
          <w:sz w:val="21"/>
          <w:szCs w:val="22"/>
          <w:lang w:val="en-US" w:eastAsia="zh-CN" w:bidi="ar-SA"/>
        </w:rPr>
        <w:t>、</w:t>
      </w:r>
      <w:r>
        <w:rPr>
          <w:rFonts w:hint="eastAsia" w:ascii="宋体" w:hAnsi="宋体" w:eastAsia="宋体" w:cs="仿宋_GB2312"/>
          <w:b/>
          <w:color w:val="auto"/>
          <w:kern w:val="0"/>
          <w:sz w:val="21"/>
          <w:szCs w:val="22"/>
          <w:lang w:val="en-US" w:eastAsia="zh-CN" w:bidi="ar-SA"/>
        </w:rPr>
        <w:t>安装维修、</w:t>
      </w:r>
      <w:r>
        <w:rPr>
          <w:rFonts w:hint="default" w:ascii="宋体" w:hAnsi="宋体" w:eastAsia="宋体" w:cs="仿宋_GB2312"/>
          <w:b/>
          <w:color w:val="auto"/>
          <w:kern w:val="0"/>
          <w:sz w:val="21"/>
          <w:szCs w:val="22"/>
          <w:lang w:val="en-US" w:eastAsia="zh-CN" w:bidi="ar-SA"/>
        </w:rPr>
        <w:t>卸货至指定地点、验收合格、交付使用及售后服务等的人民币报价。</w:t>
      </w:r>
      <w:r>
        <w:rPr>
          <w:rFonts w:hint="eastAsia" w:ascii="宋体" w:hAnsi="宋体" w:eastAsia="宋体" w:cs="仿宋_GB2312"/>
          <w:b/>
          <w:color w:val="auto"/>
          <w:kern w:val="0"/>
          <w:sz w:val="21"/>
          <w:szCs w:val="22"/>
          <w:lang w:val="en-US" w:eastAsia="zh-CN" w:bidi="ar-SA"/>
        </w:rPr>
        <w:t>报价</w:t>
      </w:r>
      <w:r>
        <w:rPr>
          <w:rFonts w:hint="default" w:ascii="宋体" w:hAnsi="宋体" w:eastAsia="宋体" w:cs="仿宋_GB2312"/>
          <w:b/>
          <w:color w:val="auto"/>
          <w:kern w:val="0"/>
          <w:sz w:val="21"/>
          <w:szCs w:val="22"/>
          <w:lang w:val="en-US" w:eastAsia="zh-CN" w:bidi="ar-SA"/>
        </w:rPr>
        <w:t>包括了货物</w:t>
      </w:r>
      <w:r>
        <w:rPr>
          <w:rFonts w:hint="eastAsia" w:ascii="宋体" w:hAnsi="宋体" w:eastAsia="宋体" w:cs="仿宋_GB2312"/>
          <w:b/>
          <w:color w:val="auto"/>
          <w:kern w:val="0"/>
          <w:sz w:val="21"/>
          <w:szCs w:val="22"/>
          <w:lang w:val="en-US" w:eastAsia="zh-CN" w:bidi="ar-SA"/>
        </w:rPr>
        <w:t>本身价格</w:t>
      </w:r>
      <w:r>
        <w:rPr>
          <w:rFonts w:hint="default" w:ascii="宋体" w:hAnsi="宋体" w:eastAsia="宋体" w:cs="仿宋_GB2312"/>
          <w:b/>
          <w:color w:val="auto"/>
          <w:kern w:val="0"/>
          <w:sz w:val="21"/>
          <w:szCs w:val="22"/>
          <w:lang w:val="en-US" w:eastAsia="zh-CN" w:bidi="ar-SA"/>
        </w:rPr>
        <w:t>、运输</w:t>
      </w:r>
      <w:r>
        <w:rPr>
          <w:rFonts w:hint="eastAsia" w:ascii="宋体" w:hAnsi="宋体" w:eastAsia="宋体" w:cs="仿宋_GB2312"/>
          <w:b/>
          <w:color w:val="auto"/>
          <w:kern w:val="0"/>
          <w:sz w:val="21"/>
          <w:szCs w:val="22"/>
          <w:lang w:val="en-US" w:eastAsia="zh-CN" w:bidi="ar-SA"/>
        </w:rPr>
        <w:t>税金费</w:t>
      </w:r>
      <w:r>
        <w:rPr>
          <w:rFonts w:hint="default" w:ascii="宋体" w:hAnsi="宋体" w:eastAsia="宋体" w:cs="仿宋_GB2312"/>
          <w:b/>
          <w:color w:val="auto"/>
          <w:kern w:val="0"/>
          <w:sz w:val="21"/>
          <w:szCs w:val="22"/>
          <w:lang w:val="en-US" w:eastAsia="zh-CN" w:bidi="ar-SA"/>
        </w:rPr>
        <w:t>、</w:t>
      </w:r>
      <w:r>
        <w:rPr>
          <w:rFonts w:hint="eastAsia" w:ascii="宋体" w:hAnsi="宋体" w:eastAsia="宋体" w:cs="仿宋_GB2312"/>
          <w:b/>
          <w:color w:val="auto"/>
          <w:kern w:val="0"/>
          <w:sz w:val="21"/>
          <w:szCs w:val="22"/>
          <w:lang w:val="en-US" w:eastAsia="zh-CN" w:bidi="ar-SA"/>
        </w:rPr>
        <w:t>安装维修费</w:t>
      </w:r>
      <w:r>
        <w:rPr>
          <w:rFonts w:hint="default" w:ascii="宋体" w:hAnsi="宋体" w:eastAsia="宋体" w:cs="仿宋_GB2312"/>
          <w:b/>
          <w:color w:val="auto"/>
          <w:kern w:val="0"/>
          <w:sz w:val="21"/>
          <w:szCs w:val="22"/>
          <w:lang w:val="en-US" w:eastAsia="zh-CN" w:bidi="ar-SA"/>
        </w:rPr>
        <w:t>、现场检验试验</w:t>
      </w:r>
      <w:r>
        <w:rPr>
          <w:rFonts w:hint="eastAsia" w:ascii="宋体" w:hAnsi="宋体" w:eastAsia="宋体" w:cs="仿宋_GB2312"/>
          <w:b/>
          <w:color w:val="auto"/>
          <w:kern w:val="0"/>
          <w:sz w:val="21"/>
          <w:szCs w:val="22"/>
          <w:lang w:val="en-US" w:eastAsia="zh-CN" w:bidi="ar-SA"/>
        </w:rPr>
        <w:t>费、</w:t>
      </w:r>
      <w:r>
        <w:rPr>
          <w:rFonts w:hint="default" w:ascii="宋体" w:hAnsi="宋体" w:eastAsia="宋体" w:cs="仿宋_GB2312"/>
          <w:b/>
          <w:color w:val="auto"/>
          <w:kern w:val="0"/>
          <w:sz w:val="21"/>
          <w:szCs w:val="22"/>
          <w:lang w:val="en-US" w:eastAsia="zh-CN" w:bidi="ar-SA"/>
        </w:rPr>
        <w:t>交付使用及售后服务</w:t>
      </w:r>
      <w:r>
        <w:rPr>
          <w:rFonts w:hint="eastAsia" w:ascii="宋体" w:hAnsi="宋体" w:eastAsia="宋体" w:cs="仿宋_GB2312"/>
          <w:b/>
          <w:color w:val="auto"/>
          <w:kern w:val="0"/>
          <w:sz w:val="21"/>
          <w:szCs w:val="22"/>
          <w:lang w:val="en-US" w:eastAsia="zh-CN" w:bidi="ar-SA"/>
        </w:rPr>
        <w:t>费</w:t>
      </w:r>
      <w:r>
        <w:rPr>
          <w:rFonts w:hint="default" w:ascii="宋体" w:hAnsi="宋体" w:eastAsia="宋体" w:cs="仿宋_GB2312"/>
          <w:b/>
          <w:color w:val="auto"/>
          <w:kern w:val="0"/>
          <w:sz w:val="21"/>
          <w:szCs w:val="22"/>
          <w:lang w:val="en-US" w:eastAsia="zh-CN" w:bidi="ar-SA"/>
        </w:rPr>
        <w:t>等，因质量问题引起的更换、技术指导和培训、成品保护、投标人的利润、税金、政策性文件的规定以及包括原材料涨价等合同明示或暗示的所有一切风险、责任和义务的费用</w:t>
      </w:r>
      <w:r>
        <w:rPr>
          <w:rFonts w:hint="eastAsia" w:ascii="宋体" w:hAnsi="宋体" w:eastAsia="宋体" w:cs="仿宋_GB2312"/>
          <w:b/>
          <w:color w:val="auto"/>
          <w:kern w:val="0"/>
          <w:sz w:val="21"/>
          <w:szCs w:val="22"/>
          <w:lang w:val="en-US" w:eastAsia="zh-CN" w:bidi="ar-SA"/>
        </w:rPr>
        <w:t>，</w:t>
      </w:r>
      <w:r>
        <w:rPr>
          <w:rFonts w:hint="default" w:ascii="宋体" w:hAnsi="宋体" w:eastAsia="宋体" w:cs="仿宋_GB2312"/>
          <w:b/>
          <w:color w:val="auto"/>
          <w:kern w:val="0"/>
          <w:sz w:val="21"/>
          <w:szCs w:val="22"/>
          <w:lang w:val="en-US" w:eastAsia="zh-CN" w:bidi="ar-SA"/>
        </w:rPr>
        <w:t>本次报价</w:t>
      </w:r>
      <w:r>
        <w:rPr>
          <w:rFonts w:hint="eastAsia" w:ascii="宋体" w:hAnsi="宋体" w:eastAsia="宋体" w:cs="仿宋_GB2312"/>
          <w:b/>
          <w:color w:val="auto"/>
          <w:kern w:val="0"/>
          <w:sz w:val="21"/>
          <w:szCs w:val="22"/>
          <w:lang w:val="en-US" w:eastAsia="zh-CN" w:bidi="ar-SA"/>
        </w:rPr>
        <w:t>投标企业</w:t>
      </w:r>
      <w:r>
        <w:rPr>
          <w:rFonts w:hint="default" w:ascii="宋体" w:hAnsi="宋体" w:eastAsia="宋体" w:cs="仿宋_GB2312"/>
          <w:b/>
          <w:color w:val="auto"/>
          <w:kern w:val="0"/>
          <w:sz w:val="21"/>
          <w:szCs w:val="22"/>
          <w:lang w:val="en-US" w:eastAsia="zh-CN" w:bidi="ar-SA"/>
        </w:rPr>
        <w:t>必须考虑</w:t>
      </w:r>
      <w:r>
        <w:rPr>
          <w:rFonts w:hint="eastAsia" w:ascii="宋体" w:hAnsi="宋体" w:eastAsia="宋体" w:cs="仿宋_GB2312"/>
          <w:b/>
          <w:color w:val="auto"/>
          <w:kern w:val="0"/>
          <w:sz w:val="21"/>
          <w:szCs w:val="22"/>
          <w:lang w:val="en-US" w:eastAsia="zh-CN" w:bidi="ar-SA"/>
        </w:rPr>
        <w:t>清楚一切费用，一旦中标不增加任何费用</w:t>
      </w:r>
      <w:r>
        <w:rPr>
          <w:rFonts w:hint="default" w:ascii="宋体" w:hAnsi="宋体" w:eastAsia="宋体" w:cs="仿宋_GB2312"/>
          <w:b/>
          <w:color w:val="auto"/>
          <w:kern w:val="0"/>
          <w:sz w:val="21"/>
          <w:szCs w:val="22"/>
          <w:lang w:val="en-US" w:eastAsia="zh-CN" w:bidi="ar-SA"/>
        </w:rPr>
        <w:t>。</w:t>
      </w:r>
    </w:p>
    <w:p w14:paraId="36834855">
      <w:pPr>
        <w:pStyle w:val="24"/>
        <w:keepNext w:val="0"/>
        <w:keepLines w:val="0"/>
        <w:pageBreakBefore w:val="0"/>
        <w:widowControl w:val="0"/>
        <w:kinsoku/>
        <w:wordWrap/>
        <w:overflowPunct/>
        <w:topLinePunct w:val="0"/>
        <w:autoSpaceDE/>
        <w:autoSpaceDN/>
        <w:bidi w:val="0"/>
        <w:adjustRightInd/>
        <w:snapToGrid/>
        <w:spacing w:line="400" w:lineRule="exact"/>
        <w:ind w:left="0" w:leftChars="0" w:firstLine="426" w:firstLineChars="200"/>
        <w:textAlignment w:val="auto"/>
        <w:rPr>
          <w:rFonts w:hint="eastAsia" w:ascii="宋体" w:hAnsi="宋体" w:eastAsia="宋体" w:cs="仿宋_GB2312"/>
          <w:b/>
          <w:color w:val="auto"/>
          <w:kern w:val="0"/>
          <w:sz w:val="21"/>
          <w:szCs w:val="22"/>
          <w:lang w:val="en-US" w:eastAsia="zh-CN" w:bidi="ar-SA"/>
        </w:rPr>
      </w:pPr>
      <w:r>
        <w:rPr>
          <w:rFonts w:hint="eastAsia" w:ascii="宋体" w:hAnsi="宋体" w:eastAsia="宋体" w:cs="仿宋_GB2312"/>
          <w:b/>
          <w:color w:val="auto"/>
          <w:kern w:val="0"/>
          <w:sz w:val="21"/>
          <w:szCs w:val="22"/>
          <w:lang w:val="en-US" w:eastAsia="zh-CN" w:bidi="ar-SA"/>
        </w:rPr>
        <w:t>3.</w:t>
      </w:r>
      <w:r>
        <w:rPr>
          <w:rFonts w:hint="default" w:ascii="宋体" w:hAnsi="宋体" w:eastAsia="宋体" w:cs="仿宋_GB2312"/>
          <w:b/>
          <w:color w:val="auto"/>
          <w:kern w:val="0"/>
          <w:sz w:val="21"/>
          <w:szCs w:val="22"/>
          <w:lang w:val="en-US" w:eastAsia="zh-CN" w:bidi="ar-SA"/>
        </w:rPr>
        <w:t>质量标准</w:t>
      </w:r>
      <w:r>
        <w:rPr>
          <w:rFonts w:hint="eastAsia" w:ascii="宋体" w:hAnsi="宋体" w:eastAsia="宋体" w:cs="仿宋_GB2312"/>
          <w:b/>
          <w:color w:val="auto"/>
          <w:kern w:val="0"/>
          <w:sz w:val="21"/>
          <w:szCs w:val="22"/>
          <w:lang w:val="en-US" w:eastAsia="zh-CN" w:bidi="ar-SA"/>
        </w:rPr>
        <w:t>：货物的技术指标作为交货验收时的依据（采购人按照所投产品的技术规格及商务要求验收货物，如投标人实际应标的标准高于国家标准及招标文件中的要求，则按投标人应标标准验收）</w:t>
      </w:r>
    </w:p>
    <w:p w14:paraId="2C5C5080">
      <w:pPr>
        <w:pStyle w:val="24"/>
        <w:keepNext w:val="0"/>
        <w:keepLines w:val="0"/>
        <w:pageBreakBefore w:val="0"/>
        <w:widowControl w:val="0"/>
        <w:kinsoku/>
        <w:wordWrap/>
        <w:overflowPunct/>
        <w:topLinePunct w:val="0"/>
        <w:autoSpaceDE/>
        <w:autoSpaceDN/>
        <w:bidi w:val="0"/>
        <w:adjustRightInd/>
        <w:snapToGrid/>
        <w:spacing w:line="400" w:lineRule="exact"/>
        <w:ind w:left="0" w:leftChars="0" w:firstLine="426" w:firstLineChars="200"/>
        <w:textAlignment w:val="auto"/>
        <w:rPr>
          <w:rFonts w:hint="default" w:ascii="宋体" w:hAnsi="宋体" w:eastAsia="宋体" w:cs="仿宋_GB2312"/>
          <w:b/>
          <w:color w:val="auto"/>
          <w:kern w:val="0"/>
          <w:sz w:val="21"/>
          <w:szCs w:val="22"/>
          <w:lang w:val="en-US" w:eastAsia="zh-CN" w:bidi="ar-SA"/>
        </w:rPr>
      </w:pPr>
      <w:r>
        <w:rPr>
          <w:rFonts w:hint="eastAsia" w:ascii="宋体" w:hAnsi="宋体" w:eastAsia="宋体" w:cs="仿宋_GB2312"/>
          <w:b/>
          <w:color w:val="auto"/>
          <w:kern w:val="0"/>
          <w:sz w:val="21"/>
          <w:szCs w:val="22"/>
          <w:lang w:val="en-US" w:eastAsia="zh-CN" w:bidi="ar-SA"/>
        </w:rPr>
        <w:t>4.参数中涉及到的国家标准若有最新标准按最新标准执行。</w:t>
      </w:r>
    </w:p>
    <w:p w14:paraId="707CCBE9">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交货时</w:t>
      </w:r>
      <w:r>
        <w:rPr>
          <w:rFonts w:hint="eastAsia" w:ascii="仿宋" w:hAnsi="仿宋" w:eastAsia="仿宋" w:cs="仿宋"/>
          <w:b/>
          <w:bCs/>
          <w:color w:val="auto"/>
          <w:sz w:val="24"/>
          <w:szCs w:val="24"/>
          <w:lang w:eastAsia="zh-CN"/>
        </w:rPr>
        <w:t>交货地点</w:t>
      </w:r>
    </w:p>
    <w:p w14:paraId="587BBEEC">
      <w:pPr>
        <w:spacing w:line="360" w:lineRule="auto"/>
        <w:rPr>
          <w:rFonts w:hint="eastAsia" w:ascii="仿宋" w:hAnsi="仿宋" w:eastAsia="仿宋" w:cs="仿宋"/>
          <w:b/>
          <w:bCs/>
          <w:color w:val="auto"/>
          <w:lang w:val="en-US" w:eastAsia="zh-CN"/>
        </w:rPr>
      </w:pPr>
      <w:r>
        <w:rPr>
          <w:rFonts w:hint="eastAsia" w:ascii="仿宋" w:hAnsi="仿宋" w:eastAsia="仿宋" w:cs="仿宋"/>
          <w:bCs/>
          <w:color w:val="auto"/>
          <w:sz w:val="24"/>
          <w:lang w:val="en-US" w:eastAsia="zh-CN"/>
        </w:rPr>
        <w:t>供货安装完成</w:t>
      </w:r>
      <w:r>
        <w:rPr>
          <w:rFonts w:hint="eastAsia" w:ascii="仿宋" w:hAnsi="仿宋" w:eastAsia="仿宋" w:cs="仿宋"/>
          <w:color w:val="auto"/>
          <w:sz w:val="24"/>
          <w:szCs w:val="24"/>
          <w:lang w:eastAsia="zh-CN"/>
        </w:rPr>
        <w:t>时间：</w:t>
      </w:r>
      <w:r>
        <w:rPr>
          <w:rFonts w:hint="eastAsia" w:ascii="仿宋" w:hAnsi="仿宋" w:eastAsia="仿宋" w:cs="仿宋"/>
          <w:b/>
          <w:bCs/>
          <w:color w:val="auto"/>
          <w:lang w:val="en-US" w:eastAsia="zh-CN"/>
        </w:rPr>
        <w:t>合同签订后于60</w:t>
      </w:r>
      <w:r>
        <w:rPr>
          <w:rFonts w:hint="eastAsia" w:ascii="仿宋" w:hAnsi="仿宋" w:eastAsia="仿宋" w:cs="仿宋"/>
          <w:b/>
          <w:bCs/>
          <w:color w:val="auto"/>
          <w:highlight w:val="none"/>
          <w:lang w:val="en-US" w:eastAsia="zh-CN"/>
        </w:rPr>
        <w:t>日内全</w:t>
      </w:r>
      <w:r>
        <w:rPr>
          <w:rFonts w:hint="eastAsia" w:ascii="仿宋" w:hAnsi="仿宋" w:eastAsia="仿宋" w:cs="仿宋"/>
          <w:b/>
          <w:bCs/>
          <w:color w:val="auto"/>
          <w:lang w:val="en-US" w:eastAsia="zh-CN"/>
        </w:rPr>
        <w:t>部安装、调试、试运行完毕。具体甲乙双方签订合同约定为准（严格按照采购单位的时间要求按时供货及服务）</w:t>
      </w:r>
    </w:p>
    <w:p w14:paraId="765C49B2">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交货地点：甲方指定地点</w:t>
      </w:r>
      <w:r>
        <w:rPr>
          <w:rFonts w:hint="eastAsia" w:ascii="仿宋" w:hAnsi="仿宋" w:eastAsia="仿宋" w:cs="仿宋"/>
          <w:color w:val="auto"/>
          <w:sz w:val="24"/>
          <w:szCs w:val="24"/>
          <w:lang w:val="en-US" w:eastAsia="zh-CN"/>
        </w:rPr>
        <w:t xml:space="preserve"> </w:t>
      </w:r>
    </w:p>
    <w:p w14:paraId="6CDB0C5F">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二、质保期 ：2</w:t>
      </w:r>
      <w:r>
        <w:rPr>
          <w:rFonts w:hint="eastAsia" w:ascii="仿宋" w:hAnsi="仿宋" w:eastAsia="仿宋" w:cs="仿宋"/>
          <w:b/>
          <w:bCs/>
          <w:color w:val="auto"/>
          <w:sz w:val="24"/>
          <w:szCs w:val="24"/>
          <w:lang w:eastAsia="zh-CN"/>
        </w:rPr>
        <w:t>年(起止时间</w:t>
      </w:r>
      <w:r>
        <w:rPr>
          <w:rFonts w:hint="eastAsia" w:ascii="仿宋" w:hAnsi="仿宋" w:eastAsia="仿宋" w:cs="仿宋"/>
          <w:b/>
          <w:bCs/>
          <w:color w:val="auto"/>
          <w:sz w:val="24"/>
          <w:szCs w:val="24"/>
          <w:lang w:val="en-US" w:eastAsia="zh-CN"/>
        </w:rPr>
        <w:t>以</w:t>
      </w:r>
      <w:r>
        <w:rPr>
          <w:rFonts w:hint="eastAsia" w:ascii="仿宋" w:hAnsi="仿宋" w:eastAsia="仿宋" w:cs="仿宋"/>
          <w:b/>
          <w:bCs/>
          <w:color w:val="auto"/>
          <w:sz w:val="24"/>
          <w:szCs w:val="24"/>
          <w:lang w:eastAsia="zh-CN"/>
        </w:rPr>
        <w:t>甲乙双方</w:t>
      </w:r>
      <w:r>
        <w:rPr>
          <w:rFonts w:hint="eastAsia" w:ascii="仿宋" w:hAnsi="仿宋" w:eastAsia="仿宋" w:cs="仿宋"/>
          <w:b/>
          <w:bCs/>
          <w:color w:val="auto"/>
          <w:sz w:val="24"/>
          <w:szCs w:val="24"/>
          <w:lang w:val="en-US" w:eastAsia="zh-CN"/>
        </w:rPr>
        <w:t>签订的合同</w:t>
      </w:r>
      <w:r>
        <w:rPr>
          <w:rFonts w:hint="eastAsia" w:ascii="仿宋" w:hAnsi="仿宋" w:eastAsia="仿宋" w:cs="仿宋"/>
          <w:b/>
          <w:bCs/>
          <w:color w:val="auto"/>
          <w:sz w:val="24"/>
          <w:szCs w:val="24"/>
          <w:lang w:eastAsia="zh-CN"/>
        </w:rPr>
        <w:t>约定</w:t>
      </w:r>
      <w:r>
        <w:rPr>
          <w:rFonts w:hint="eastAsia" w:ascii="仿宋" w:hAnsi="仿宋" w:eastAsia="仿宋" w:cs="仿宋"/>
          <w:b/>
          <w:bCs/>
          <w:color w:val="auto"/>
          <w:sz w:val="24"/>
          <w:szCs w:val="24"/>
          <w:lang w:val="en-US" w:eastAsia="zh-CN"/>
        </w:rPr>
        <w:t>为准</w:t>
      </w:r>
      <w:r>
        <w:rPr>
          <w:rFonts w:hint="eastAsia" w:ascii="仿宋" w:hAnsi="仿宋" w:eastAsia="仿宋" w:cs="仿宋"/>
          <w:b/>
          <w:bCs/>
          <w:color w:val="auto"/>
          <w:sz w:val="24"/>
          <w:szCs w:val="24"/>
          <w:lang w:eastAsia="zh-CN"/>
        </w:rPr>
        <w:t>)</w:t>
      </w:r>
    </w:p>
    <w:p w14:paraId="0617C62B">
      <w:pPr>
        <w:pStyle w:val="63"/>
        <w:rPr>
          <w:rFonts w:hint="eastAsia"/>
          <w:color w:val="auto"/>
          <w:lang w:val="en-US" w:eastAsia="zh-CN"/>
        </w:rPr>
      </w:pPr>
    </w:p>
    <w:p w14:paraId="03077641">
      <w:pPr>
        <w:pStyle w:val="35"/>
        <w:rPr>
          <w:rFonts w:hint="eastAsia"/>
          <w:b/>
          <w:bCs/>
          <w:color w:val="auto"/>
          <w:lang w:val="en-US" w:eastAsia="zh-CN"/>
        </w:rPr>
      </w:pPr>
      <w:r>
        <w:rPr>
          <w:rFonts w:hint="eastAsia"/>
          <w:b/>
          <w:bCs/>
          <w:color w:val="auto"/>
          <w:lang w:val="en-US" w:eastAsia="zh-CN"/>
        </w:rPr>
        <w:t>三、报价要求</w:t>
      </w:r>
    </w:p>
    <w:p w14:paraId="5EC2EF2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本次报价为人民币报价，投标报价应包括：货物本身价格、保险费用、养护费</w:t>
      </w:r>
      <w:r>
        <w:rPr>
          <w:rFonts w:hint="eastAsia" w:ascii="仿宋" w:hAnsi="仿宋" w:eastAsia="仿宋" w:cs="仿宋"/>
          <w:i w:val="0"/>
          <w:iCs w:val="0"/>
          <w:color w:val="auto"/>
          <w:kern w:val="0"/>
          <w:sz w:val="24"/>
          <w:szCs w:val="24"/>
          <w:highlight w:val="none"/>
          <w:u w:val="none"/>
          <w:lang w:val="en-US" w:eastAsia="zh-CN" w:bidi="ar"/>
        </w:rPr>
        <w:t>、安装</w:t>
      </w:r>
      <w:r>
        <w:rPr>
          <w:rFonts w:hint="eastAsia" w:ascii="仿宋" w:hAnsi="仿宋" w:eastAsia="仿宋" w:cs="仿宋"/>
          <w:color w:val="auto"/>
          <w:highlight w:val="none"/>
          <w:lang w:eastAsia="zh-CN"/>
        </w:rPr>
        <w:t>费</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highlight w:val="none"/>
          <w:lang w:eastAsia="zh-CN"/>
        </w:rPr>
        <w:t>包装费、运输费用、二次搬运费、装卸费、损耗、税金费用、自检费、人工费、其他配件费及验收合格前和质保期内发生的一切费用、应当提供的伴随服务/售后服务费用。</w:t>
      </w:r>
    </w:p>
    <w:p w14:paraId="685F7BF8">
      <w:pPr>
        <w:numPr>
          <w:ilvl w:val="0"/>
          <w:numId w:val="0"/>
        </w:numPr>
        <w:spacing w:line="360" w:lineRule="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四、</w:t>
      </w:r>
      <w:r>
        <w:rPr>
          <w:rFonts w:hint="eastAsia" w:ascii="仿宋" w:hAnsi="仿宋" w:eastAsia="仿宋" w:cs="仿宋"/>
          <w:b/>
          <w:bCs/>
          <w:color w:val="auto"/>
          <w:highlight w:val="none"/>
          <w:lang w:eastAsia="zh-CN"/>
        </w:rPr>
        <w:t>售后服务、理赔、质量技术及验收保证的承诺</w:t>
      </w:r>
    </w:p>
    <w:p w14:paraId="2AF47408">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1、售后服务</w:t>
      </w:r>
    </w:p>
    <w:p w14:paraId="0D450FEA">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1.1产品质量：在合同期内，甲方正常使用乙方所供产品而出现质量问题时，乙方负责。产品使用：甲方在使用乙方所供产品中出现问题需乙方解决时，乙方应无偿解决（质保期内，如果该产品多次出现质量问题或出现质量问题不能解决的需退换货）。</w:t>
      </w:r>
    </w:p>
    <w:p w14:paraId="7DDAFA4E">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1.2质保期内，当采购人遇到使用及技术问题电话咨询不能解决的，须在48小时内到达现场进行处理。    </w:t>
      </w:r>
    </w:p>
    <w:p w14:paraId="065DF980">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1.3质保期内，设备出现故障，须在12小时内响应，48小时内到达现场，一般故障8小时内修复，较大故障24小时内解决问题。</w:t>
      </w:r>
    </w:p>
    <w:p w14:paraId="5B5F9CF3">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2、交货时应提供以下技术或培训资料（如涉及）</w:t>
      </w:r>
    </w:p>
    <w:p w14:paraId="19004547">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2.1原产地证明书(由制造厂签发)；</w:t>
      </w:r>
    </w:p>
    <w:p w14:paraId="761786DD">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2.2提供主机及配套设备的安装图纸及说明；</w:t>
      </w:r>
    </w:p>
    <w:p w14:paraId="72B9B11E">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2.3提供主机及配套设备使用说明书、维护手册；</w:t>
      </w:r>
    </w:p>
    <w:p w14:paraId="0F1835D1">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2.4备件手册、零件及易损件的图纸及相关资料；</w:t>
      </w:r>
    </w:p>
    <w:p w14:paraId="690D6A29">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2.5其它相关技术资料。</w:t>
      </w:r>
    </w:p>
    <w:p w14:paraId="0213BED8">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 安装、现场培训：免费安装并现场培训相关人员至掌握仪器设备操作及日常维护。</w:t>
      </w:r>
    </w:p>
    <w:p w14:paraId="15F37CB8">
      <w:pPr>
        <w:spacing w:line="360" w:lineRule="auto"/>
        <w:ind w:firstLine="486" w:firstLineChars="200"/>
        <w:rPr>
          <w:rFonts w:hint="eastAsia" w:ascii="仿宋" w:hAnsi="仿宋" w:eastAsia="仿宋" w:cs="仿宋"/>
          <w:b/>
          <w:bCs/>
          <w:color w:val="auto"/>
          <w:sz w:val="21"/>
          <w:szCs w:val="24"/>
          <w:highlight w:val="none"/>
          <w:lang w:eastAsia="zh-CN"/>
        </w:rPr>
      </w:pPr>
      <w:r>
        <w:rPr>
          <w:rFonts w:hint="eastAsia" w:ascii="仿宋" w:hAnsi="仿宋" w:eastAsia="仿宋" w:cs="仿宋"/>
          <w:color w:val="auto"/>
          <w:highlight w:val="none"/>
          <w:lang w:eastAsia="zh-CN"/>
        </w:rPr>
        <w:t>3.1设备到场后，供应商需至少派1名工程师现场指导安装调试。</w:t>
      </w:r>
    </w:p>
    <w:p w14:paraId="00A937E8">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4、新购设备随仪器配备必要的维修工具，工具能满足维护人员对设备的正常维护、维修。</w:t>
      </w:r>
    </w:p>
    <w:p w14:paraId="48A22D29">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5、在质保期内，如果供应商的产品技术升级，供应商应及时通知采购人，如采购人有相应要求，供应商应对采购人购买的产品进行升级服务。</w:t>
      </w:r>
    </w:p>
    <w:p w14:paraId="032189A3">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6、质保期过后，供应商应同样提供免费电话咨询服务，并应承诺提供该产品上门维护服务。</w:t>
      </w:r>
    </w:p>
    <w:p w14:paraId="3CD69D0A">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7、质保期过后，采购人需要继续由原投标人提供售后服务的，该投标人和制造商应以优惠价格提供售后服务。</w:t>
      </w:r>
    </w:p>
    <w:p w14:paraId="751B16A7">
      <w:pPr>
        <w:spacing w:line="360" w:lineRule="auto"/>
        <w:ind w:firstLine="486" w:firstLineChars="200"/>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五、</w:t>
      </w:r>
      <w:r>
        <w:rPr>
          <w:rFonts w:hint="eastAsia" w:ascii="仿宋" w:hAnsi="仿宋" w:eastAsia="仿宋" w:cs="仿宋"/>
          <w:b/>
          <w:bCs/>
          <w:color w:val="auto"/>
          <w:highlight w:val="none"/>
          <w:lang w:eastAsia="zh-CN"/>
        </w:rPr>
        <w:t>验收</w:t>
      </w:r>
    </w:p>
    <w:p w14:paraId="292BD93C">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1、供应商提供的产品为全新未使用且符合相关法律法规要求的合格产品；</w:t>
      </w:r>
    </w:p>
    <w:p w14:paraId="35C5B895">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2、供应商提供的产品需与投标文件、合同规定内容完全一致，且满足采购方提出的采购需求。</w:t>
      </w:r>
    </w:p>
    <w:p w14:paraId="1DB6C8CA">
      <w:pPr>
        <w:spacing w:line="360" w:lineRule="auto"/>
        <w:ind w:firstLine="486" w:firstLineChars="200"/>
        <w:rPr>
          <w:rFonts w:hint="default"/>
          <w:color w:val="auto"/>
          <w:lang w:val="en-US" w:eastAsia="zh-CN"/>
        </w:rPr>
      </w:pPr>
      <w:r>
        <w:rPr>
          <w:rFonts w:hint="eastAsia" w:ascii="仿宋" w:hAnsi="仿宋" w:eastAsia="仿宋" w:cs="仿宋"/>
          <w:color w:val="auto"/>
          <w:highlight w:val="none"/>
          <w:lang w:eastAsia="zh-CN"/>
        </w:rPr>
        <w:t>3、供应商提供的产品需经采购人验收小组验收，进行试验检测，按照</w:t>
      </w:r>
      <w:r>
        <w:rPr>
          <w:rFonts w:hint="eastAsia" w:ascii="仿宋" w:hAnsi="仿宋" w:eastAsia="仿宋" w:cs="仿宋"/>
          <w:color w:val="auto"/>
          <w:highlight w:val="none"/>
          <w:lang w:val="en-US" w:eastAsia="zh-CN"/>
        </w:rPr>
        <w:t>相应的要求</w:t>
      </w:r>
      <w:r>
        <w:rPr>
          <w:rFonts w:hint="eastAsia" w:ascii="仿宋" w:hAnsi="仿宋" w:eastAsia="仿宋" w:cs="仿宋"/>
          <w:color w:val="auto"/>
          <w:highlight w:val="none"/>
          <w:lang w:eastAsia="zh-CN"/>
        </w:rPr>
        <w:t>逐项进行测试，测试结果应满足相关要求，试验通过并满足要求为验收合格。</w:t>
      </w:r>
    </w:p>
    <w:p w14:paraId="16A99B48">
      <w:pPr>
        <w:pStyle w:val="35"/>
        <w:rPr>
          <w:rFonts w:hint="eastAsia"/>
          <w:color w:val="auto"/>
        </w:rPr>
      </w:pPr>
    </w:p>
    <w:p w14:paraId="7970A183">
      <w:pPr>
        <w:spacing w:line="360" w:lineRule="auto"/>
        <w:rPr>
          <w:rFonts w:hint="eastAsia" w:ascii="仿宋" w:hAnsi="仿宋" w:eastAsia="仿宋" w:cs="仿宋"/>
          <w:b/>
          <w:bCs/>
          <w:color w:val="auto"/>
          <w:sz w:val="24"/>
          <w:szCs w:val="24"/>
          <w:lang w:eastAsia="zh-CN"/>
        </w:rPr>
      </w:pPr>
      <w:bookmarkStart w:id="78" w:name="_Toc8238"/>
      <w:bookmarkStart w:id="79" w:name="_Toc16945"/>
      <w:bookmarkStart w:id="80" w:name="_Toc21807"/>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lang w:eastAsia="zh-CN"/>
        </w:rPr>
        <w:t>、 知识产权</w:t>
      </w:r>
      <w:bookmarkEnd w:id="78"/>
      <w:bookmarkEnd w:id="79"/>
      <w:bookmarkEnd w:id="80"/>
    </w:p>
    <w:p w14:paraId="6B4B06FE">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本项目在进行过程中，所产生的所有与本项目相关的，无论以任何载体形式出现的工作成果，其知识产权均属于招标方所有。</w:t>
      </w:r>
    </w:p>
    <w:p w14:paraId="3ACC97ED">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投标方保证招标方及其用户对设备享有合法的使用权。</w:t>
      </w:r>
    </w:p>
    <w:p w14:paraId="561D03F6">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投标方保证招标方及其用户在使用过程中不受到第三方关于侵犯专利权等知识产权的指控。任何第三方如果提出指控，投标方须与第三方交涉并承担可能发生的一切法律责任和费用。</w:t>
      </w:r>
    </w:p>
    <w:p w14:paraId="3ACA8F42">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与本项目相关的商业秘密信息、技术资料和技术诀窍等所有权归甲方所有。供货方非经用户同意不得向第三方转让本条所约定的相关所有权和使用权或泄露秘密信息、技术资料或技术诀窍。任何一方违反本条的约定，应承担违约责任，并赔偿另一方的损失。本项目另有规定或双方另行约定的除外。</w:t>
      </w:r>
    </w:p>
    <w:p w14:paraId="6EB8E90D">
      <w:pPr>
        <w:spacing w:line="360" w:lineRule="auto"/>
        <w:ind w:firstLine="486" w:firstLineChars="200"/>
        <w:rPr>
          <w:rFonts w:hint="eastAsia" w:ascii="仿宋" w:hAnsi="仿宋" w:eastAsia="仿宋" w:cs="仿宋"/>
          <w:b/>
          <w:bCs/>
          <w:color w:val="auto"/>
          <w:sz w:val="24"/>
          <w:szCs w:val="24"/>
          <w:lang w:eastAsia="zh-CN"/>
        </w:rPr>
      </w:pPr>
      <w:bookmarkStart w:id="81" w:name="_Toc7598"/>
      <w:bookmarkStart w:id="82" w:name="_Toc20832"/>
      <w:bookmarkStart w:id="83" w:name="_Toc12239"/>
      <w:bookmarkStart w:id="84" w:name="_Toc267320054"/>
      <w:bookmarkStart w:id="85" w:name="_Toc439255252"/>
      <w:bookmarkStart w:id="86" w:name="_Toc12840_WPSOffice_Level1"/>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lang w:eastAsia="zh-CN"/>
        </w:rPr>
        <w:t xml:space="preserve"> 其他</w:t>
      </w:r>
      <w:bookmarkEnd w:id="81"/>
      <w:bookmarkEnd w:id="82"/>
      <w:bookmarkEnd w:id="83"/>
    </w:p>
    <w:bookmarkEnd w:id="84"/>
    <w:bookmarkEnd w:id="85"/>
    <w:bookmarkEnd w:id="86"/>
    <w:p w14:paraId="32711645">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投标人必须在投标文件中对以上条款和服务承诺明确列出，承诺内容必须达到本篇及招标文件其他条款的要求。</w:t>
      </w:r>
    </w:p>
    <w:p w14:paraId="29AC83ED">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中标人与采购人签订《协议》后，须与用户方签订《合同》，明确具体供货数量、供货时间、送达地点等内容。</w:t>
      </w:r>
    </w:p>
    <w:p w14:paraId="1E9D3CB5">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其他未尽事宜由供需双方在采购合同中详细约定。</w:t>
      </w:r>
    </w:p>
    <w:p w14:paraId="0B7A9EA2">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4、 </w:t>
      </w:r>
      <w:r>
        <w:rPr>
          <w:rFonts w:hint="eastAsia" w:ascii="仿宋" w:hAnsi="仿宋" w:eastAsia="仿宋" w:cs="仿宋"/>
          <w:color w:val="auto"/>
          <w:sz w:val="24"/>
          <w:szCs w:val="24"/>
          <w:lang w:eastAsia="zh-CN"/>
        </w:rPr>
        <w:t>若供货服务商不能按招标文件规定的交货期正常交货，采购方有权终止采购合同，并将相关情况上报给采购计划主管部门，取消其中标资格。</w:t>
      </w:r>
    </w:p>
    <w:p w14:paraId="092D8FBD">
      <w:pPr>
        <w:spacing w:line="360" w:lineRule="auto"/>
        <w:ind w:firstLine="486" w:firstLineChars="200"/>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5、其他未尽事宜由供需双方在采购合同中详细约定。</w:t>
      </w:r>
    </w:p>
    <w:p w14:paraId="5C8AEA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auto"/>
          <w:sz w:val="30"/>
          <w:szCs w:val="30"/>
          <w:highlight w:val="none"/>
          <w:lang w:val="en-US" w:eastAsia="zh-CN"/>
        </w:rPr>
      </w:pPr>
    </w:p>
    <w:p w14:paraId="05A234A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auto"/>
          <w:sz w:val="30"/>
          <w:szCs w:val="30"/>
          <w:highlight w:val="none"/>
          <w:lang w:val="en-US" w:eastAsia="zh-CN"/>
        </w:rPr>
      </w:pPr>
    </w:p>
    <w:p w14:paraId="74CB9B9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auto"/>
          <w:sz w:val="30"/>
          <w:szCs w:val="30"/>
          <w:highlight w:val="none"/>
          <w:lang w:val="en-US" w:eastAsia="zh-CN"/>
        </w:rPr>
      </w:pPr>
    </w:p>
    <w:p w14:paraId="7CF7FED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auto"/>
          <w:sz w:val="30"/>
          <w:szCs w:val="30"/>
          <w:highlight w:val="none"/>
          <w:lang w:val="en-US" w:eastAsia="zh-CN"/>
        </w:rPr>
      </w:pPr>
    </w:p>
    <w:p w14:paraId="180A614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auto"/>
          <w:sz w:val="30"/>
          <w:szCs w:val="30"/>
          <w:highlight w:val="none"/>
          <w:lang w:val="en-US" w:eastAsia="zh-CN"/>
        </w:rPr>
      </w:pPr>
    </w:p>
    <w:p w14:paraId="108FB1F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1"/>
        <w:rPr>
          <w:rFonts w:hint="eastAsia" w:ascii="宋体" w:hAnsi="Times New Roman" w:eastAsia="Times New Roman" w:cs="Times New Roman"/>
          <w:b/>
          <w:color w:val="auto"/>
          <w:sz w:val="30"/>
          <w:szCs w:val="30"/>
          <w:highlight w:val="none"/>
          <w:lang w:val="en-US" w:eastAsia="zh-CN"/>
        </w:rPr>
      </w:pPr>
    </w:p>
    <w:p w14:paraId="4A83D7E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1"/>
        <w:rPr>
          <w:rFonts w:hint="eastAsia" w:ascii="宋体" w:hAnsi="Times New Roman" w:eastAsia="Times New Roman" w:cs="Times New Roman"/>
          <w:b/>
          <w:color w:val="auto"/>
          <w:sz w:val="30"/>
          <w:szCs w:val="30"/>
          <w:highlight w:val="none"/>
          <w:lang w:val="en-US" w:eastAsia="zh-CN"/>
        </w:rPr>
      </w:pPr>
    </w:p>
    <w:p w14:paraId="61D2500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1"/>
        <w:rPr>
          <w:rFonts w:hint="eastAsia" w:ascii="宋体" w:hAnsi="Times New Roman" w:eastAsia="Times New Roman" w:cs="Times New Roman"/>
          <w:b/>
          <w:color w:val="auto"/>
          <w:sz w:val="30"/>
          <w:szCs w:val="30"/>
          <w:highlight w:val="none"/>
          <w:lang w:val="en-US" w:eastAsia="zh-CN"/>
        </w:rPr>
      </w:pPr>
    </w:p>
    <w:p w14:paraId="6CCEBEB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auto"/>
          <w:sz w:val="30"/>
          <w:szCs w:val="30"/>
          <w:highlight w:val="none"/>
          <w:lang w:val="en-US" w:eastAsia="zh-CN"/>
        </w:rPr>
      </w:pPr>
    </w:p>
    <w:p w14:paraId="54F2DB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b/>
          <w:color w:val="auto"/>
          <w:sz w:val="30"/>
          <w:szCs w:val="30"/>
          <w:highlight w:val="none"/>
        </w:rPr>
      </w:pPr>
      <w:r>
        <w:rPr>
          <w:rFonts w:hint="eastAsia" w:ascii="宋体" w:hAnsi="Times New Roman" w:eastAsia="Times New Roman" w:cs="Times New Roman"/>
          <w:b/>
          <w:color w:val="auto"/>
          <w:sz w:val="30"/>
          <w:szCs w:val="30"/>
          <w:highlight w:val="none"/>
          <w:lang w:val="en-US" w:eastAsia="zh-CN"/>
        </w:rPr>
        <w:t>第五章</w:t>
      </w:r>
      <w:r>
        <w:rPr>
          <w:rFonts w:hint="eastAsia" w:ascii="宋体" w:hAnsi="Times New Roman" w:eastAsia="Times New Roman" w:cs="Times New Roman"/>
          <w:b/>
          <w:color w:val="auto"/>
          <w:sz w:val="30"/>
          <w:szCs w:val="30"/>
          <w:highlight w:val="none"/>
        </w:rPr>
        <w:t xml:space="preserve"> </w:t>
      </w:r>
      <w:r>
        <w:rPr>
          <w:rFonts w:hint="eastAsia" w:ascii="宋体"/>
          <w:b/>
          <w:color w:val="auto"/>
          <w:sz w:val="30"/>
          <w:szCs w:val="30"/>
          <w:highlight w:val="none"/>
        </w:rPr>
        <w:t xml:space="preserve"> 合同条款及格式</w:t>
      </w:r>
      <w:bookmarkStart w:id="87" w:name="_Toc20669"/>
    </w:p>
    <w:p w14:paraId="1C839E8F">
      <w:pPr>
        <w:shd w:val="clear" w:color="auto" w:fill="auto"/>
        <w:spacing w:line="420" w:lineRule="exact"/>
        <w:ind w:firstLine="1458" w:firstLineChars="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（本合同为合同样稿，最终稿由供需双方协商后确定）</w:t>
      </w:r>
      <w:bookmarkEnd w:id="87"/>
    </w:p>
    <w:p w14:paraId="042188FA">
      <w:pPr>
        <w:adjustRightInd w:val="0"/>
        <w:snapToGrid w:val="0"/>
        <w:spacing w:line="360" w:lineRule="auto"/>
        <w:ind w:firstLine="243" w:firstLineChars="100"/>
        <w:rPr>
          <w:rFonts w:hint="eastAsia" w:ascii="仿宋" w:hAnsi="仿宋" w:eastAsia="仿宋" w:cs="仿宋"/>
          <w:bCs/>
          <w:color w:val="auto"/>
          <w:sz w:val="24"/>
        </w:rPr>
      </w:pPr>
      <w:bookmarkStart w:id="88" w:name="bookmark196"/>
      <w:r>
        <w:rPr>
          <w:rFonts w:hint="eastAsia" w:ascii="仿宋" w:hAnsi="仿宋" w:eastAsia="仿宋" w:cs="仿宋"/>
          <w:bCs/>
          <w:color w:val="auto"/>
          <w:sz w:val="24"/>
        </w:rPr>
        <w:t>采购合同主要条款</w:t>
      </w:r>
    </w:p>
    <w:p w14:paraId="6EB10D90">
      <w:pPr>
        <w:adjustRightInd w:val="0"/>
        <w:snapToGrid w:val="0"/>
        <w:spacing w:line="360" w:lineRule="auto"/>
        <w:ind w:firstLine="243" w:firstLineChars="100"/>
        <w:rPr>
          <w:rFonts w:hint="eastAsia" w:ascii="仿宋" w:hAnsi="仿宋" w:eastAsia="仿宋" w:cs="仿宋"/>
          <w:bCs/>
          <w:color w:val="auto"/>
          <w:sz w:val="24"/>
        </w:rPr>
      </w:pPr>
      <w:r>
        <w:rPr>
          <w:rFonts w:hint="eastAsia" w:ascii="仿宋" w:hAnsi="仿宋" w:eastAsia="仿宋" w:cs="仿宋"/>
          <w:bCs/>
          <w:color w:val="auto"/>
          <w:sz w:val="24"/>
        </w:rPr>
        <w:t>（本合同为合同样稿，最终稿由供需双方协商后确定）</w:t>
      </w:r>
    </w:p>
    <w:p w14:paraId="0C613C13">
      <w:pPr>
        <w:adjustRightInd w:val="0"/>
        <w:snapToGrid w:val="0"/>
        <w:spacing w:line="360" w:lineRule="auto"/>
        <w:ind w:firstLine="243" w:firstLineChars="100"/>
        <w:rPr>
          <w:rFonts w:hint="eastAsia" w:ascii="仿宋" w:hAnsi="仿宋" w:eastAsia="仿宋" w:cs="仿宋"/>
          <w:bCs/>
          <w:color w:val="auto"/>
          <w:sz w:val="24"/>
        </w:rPr>
      </w:pPr>
      <w:r>
        <w:rPr>
          <w:rFonts w:hint="eastAsia" w:ascii="仿宋" w:hAnsi="仿宋" w:eastAsia="仿宋" w:cs="仿宋"/>
          <w:bCs/>
          <w:color w:val="auto"/>
          <w:sz w:val="24"/>
        </w:rPr>
        <w:t>合同编号：</w:t>
      </w:r>
    </w:p>
    <w:p w14:paraId="00987081">
      <w:pPr>
        <w:adjustRightInd w:val="0"/>
        <w:snapToGrid w:val="0"/>
        <w:spacing w:line="360" w:lineRule="auto"/>
        <w:ind w:firstLine="243" w:firstLineChars="100"/>
        <w:rPr>
          <w:rFonts w:hint="eastAsia" w:ascii="仿宋" w:hAnsi="仿宋" w:eastAsia="仿宋" w:cs="仿宋"/>
          <w:bCs/>
          <w:color w:val="auto"/>
          <w:sz w:val="24"/>
        </w:rPr>
      </w:pPr>
      <w:r>
        <w:rPr>
          <w:rFonts w:hint="eastAsia" w:ascii="仿宋" w:hAnsi="仿宋" w:eastAsia="仿宋" w:cs="仿宋"/>
          <w:bCs/>
          <w:color w:val="auto"/>
          <w:sz w:val="24"/>
        </w:rPr>
        <w:t>需    方：</w:t>
      </w:r>
    </w:p>
    <w:p w14:paraId="7A25B8ED">
      <w:pPr>
        <w:adjustRightInd w:val="0"/>
        <w:snapToGrid w:val="0"/>
        <w:spacing w:line="360" w:lineRule="auto"/>
        <w:ind w:firstLine="243" w:firstLineChars="100"/>
        <w:rPr>
          <w:rFonts w:hint="eastAsia" w:ascii="仿宋" w:hAnsi="仿宋" w:eastAsia="仿宋" w:cs="仿宋"/>
          <w:bCs/>
          <w:color w:val="auto"/>
          <w:sz w:val="24"/>
        </w:rPr>
      </w:pPr>
      <w:r>
        <w:rPr>
          <w:rFonts w:hint="eastAsia" w:ascii="仿宋" w:hAnsi="仿宋" w:eastAsia="仿宋" w:cs="仿宋"/>
          <w:bCs/>
          <w:color w:val="auto"/>
          <w:sz w:val="24"/>
        </w:rPr>
        <w:t>供 应 方：</w:t>
      </w:r>
    </w:p>
    <w:p w14:paraId="21DF7E80">
      <w:pPr>
        <w:adjustRightInd w:val="0"/>
        <w:snapToGrid w:val="0"/>
        <w:spacing w:line="360" w:lineRule="auto"/>
        <w:ind w:firstLine="243" w:firstLineChars="100"/>
        <w:rPr>
          <w:rFonts w:hint="eastAsia" w:ascii="仿宋" w:hAnsi="仿宋" w:eastAsia="仿宋" w:cs="仿宋"/>
          <w:bCs/>
          <w:color w:val="auto"/>
          <w:sz w:val="24"/>
        </w:rPr>
      </w:pPr>
      <w:r>
        <w:rPr>
          <w:rFonts w:hint="eastAsia" w:ascii="仿宋" w:hAnsi="仿宋" w:eastAsia="仿宋" w:cs="仿宋"/>
          <w:bCs/>
          <w:color w:val="auto"/>
          <w:sz w:val="24"/>
        </w:rPr>
        <w:t xml:space="preserve">                受有关单位委托，为（      下称需方）经公开招标结果确定           为供应方。现经供需双方充分协商订立本合同。</w:t>
      </w:r>
    </w:p>
    <w:p w14:paraId="7D3A8D1D">
      <w:pPr>
        <w:adjustRightInd w:val="0"/>
        <w:snapToGrid w:val="0"/>
        <w:spacing w:line="360" w:lineRule="auto"/>
        <w:ind w:firstLine="243" w:firstLineChars="100"/>
        <w:rPr>
          <w:rFonts w:hint="eastAsia" w:ascii="仿宋" w:hAnsi="仿宋" w:eastAsia="仿宋" w:cs="仿宋"/>
          <w:bCs/>
          <w:color w:val="auto"/>
          <w:sz w:val="24"/>
        </w:rPr>
      </w:pPr>
      <w:r>
        <w:rPr>
          <w:rFonts w:hint="eastAsia" w:ascii="仿宋" w:hAnsi="仿宋" w:eastAsia="仿宋" w:cs="仿宋"/>
          <w:bCs/>
          <w:color w:val="auto"/>
          <w:sz w:val="24"/>
        </w:rPr>
        <w:t>一、名称、规格、数量及价款</w:t>
      </w:r>
    </w:p>
    <w:p w14:paraId="3E545DF7">
      <w:pPr>
        <w:adjustRightInd w:val="0"/>
        <w:snapToGrid w:val="0"/>
        <w:spacing w:line="360" w:lineRule="auto"/>
        <w:ind w:firstLine="243" w:firstLineChars="100"/>
        <w:rPr>
          <w:rFonts w:hint="eastAsia" w:ascii="仿宋" w:hAnsi="仿宋" w:eastAsia="仿宋" w:cs="仿宋"/>
          <w:bCs/>
          <w:color w:val="auto"/>
          <w:sz w:val="24"/>
        </w:rPr>
      </w:pPr>
      <w:r>
        <w:rPr>
          <w:rFonts w:hint="eastAsia" w:ascii="仿宋" w:hAnsi="仿宋" w:eastAsia="仿宋" w:cs="仿宋"/>
          <w:bCs/>
          <w:color w:val="auto"/>
          <w:sz w:val="24"/>
        </w:rPr>
        <w:t xml:space="preserve">（名称、规格、数量及单价）                           </w:t>
      </w:r>
    </w:p>
    <w:p w14:paraId="4FC1FF77">
      <w:pPr>
        <w:adjustRightInd w:val="0"/>
        <w:snapToGrid w:val="0"/>
        <w:spacing w:line="360" w:lineRule="auto"/>
        <w:ind w:firstLine="243" w:firstLineChars="100"/>
        <w:rPr>
          <w:rFonts w:hint="eastAsia" w:ascii="仿宋" w:hAnsi="仿宋" w:eastAsia="仿宋" w:cs="仿宋"/>
          <w:bCs/>
          <w:color w:val="auto"/>
          <w:sz w:val="24"/>
        </w:rPr>
      </w:pPr>
      <w:r>
        <w:rPr>
          <w:rFonts w:hint="eastAsia" w:ascii="仿宋" w:hAnsi="仿宋" w:eastAsia="仿宋" w:cs="仿宋"/>
          <w:bCs/>
          <w:color w:val="auto"/>
          <w:sz w:val="24"/>
        </w:rPr>
        <w:t>合同总金额          元整（￥      元）。</w:t>
      </w:r>
    </w:p>
    <w:p w14:paraId="293852C8">
      <w:pPr>
        <w:adjustRightInd w:val="0"/>
        <w:snapToGrid w:val="0"/>
        <w:spacing w:line="360" w:lineRule="auto"/>
        <w:ind w:firstLine="243" w:firstLineChars="100"/>
        <w:rPr>
          <w:rFonts w:hint="eastAsia" w:ascii="仿宋" w:hAnsi="仿宋" w:eastAsia="仿宋" w:cs="仿宋"/>
          <w:bCs/>
          <w:color w:val="auto"/>
          <w:sz w:val="24"/>
        </w:rPr>
      </w:pPr>
      <w:r>
        <w:rPr>
          <w:rFonts w:hint="eastAsia" w:ascii="仿宋" w:hAnsi="仿宋" w:eastAsia="仿宋" w:cs="仿宋"/>
          <w:bCs/>
          <w:color w:val="auto"/>
          <w:sz w:val="24"/>
        </w:rPr>
        <w:t>二、质量要求及技术标准</w:t>
      </w:r>
    </w:p>
    <w:p w14:paraId="30E03151">
      <w:pPr>
        <w:adjustRightInd w:val="0"/>
        <w:snapToGrid w:val="0"/>
        <w:spacing w:line="360" w:lineRule="auto"/>
        <w:ind w:firstLine="243" w:firstLineChars="100"/>
        <w:rPr>
          <w:rFonts w:hint="eastAsia" w:ascii="仿宋" w:hAnsi="仿宋" w:eastAsia="仿宋" w:cs="仿宋"/>
          <w:bCs/>
          <w:color w:val="auto"/>
          <w:sz w:val="24"/>
        </w:rPr>
      </w:pPr>
      <w:r>
        <w:rPr>
          <w:rFonts w:hint="eastAsia" w:ascii="仿宋" w:hAnsi="仿宋" w:eastAsia="仿宋" w:cs="仿宋"/>
          <w:bCs/>
          <w:color w:val="auto"/>
          <w:sz w:val="24"/>
        </w:rPr>
        <w:t>1、供应方交付的货物的技术标准不低于国家标准。</w:t>
      </w:r>
    </w:p>
    <w:p w14:paraId="5AE8869D">
      <w:pPr>
        <w:adjustRightInd w:val="0"/>
        <w:snapToGrid w:val="0"/>
        <w:spacing w:line="360" w:lineRule="auto"/>
        <w:ind w:firstLine="243" w:firstLineChars="100"/>
        <w:rPr>
          <w:rFonts w:hint="eastAsia" w:ascii="仿宋" w:hAnsi="仿宋" w:eastAsia="仿宋" w:cs="仿宋"/>
          <w:bCs/>
          <w:color w:val="auto"/>
          <w:sz w:val="24"/>
        </w:rPr>
      </w:pPr>
      <w:r>
        <w:rPr>
          <w:rFonts w:hint="eastAsia" w:ascii="仿宋" w:hAnsi="仿宋" w:eastAsia="仿宋" w:cs="仿宋"/>
          <w:bCs/>
          <w:color w:val="auto"/>
          <w:sz w:val="24"/>
        </w:rPr>
        <w:t>2、供应方在交付货物的同时应提供国家规定的检验合格证明等文件。</w:t>
      </w:r>
    </w:p>
    <w:p w14:paraId="69D35BF9">
      <w:pPr>
        <w:adjustRightInd w:val="0"/>
        <w:snapToGrid w:val="0"/>
        <w:spacing w:line="360" w:lineRule="auto"/>
        <w:ind w:firstLine="243" w:firstLineChars="100"/>
        <w:rPr>
          <w:rFonts w:hint="eastAsia" w:ascii="仿宋" w:hAnsi="仿宋" w:eastAsia="仿宋" w:cs="仿宋"/>
          <w:bCs/>
          <w:color w:val="auto"/>
          <w:sz w:val="24"/>
        </w:rPr>
      </w:pPr>
      <w:r>
        <w:rPr>
          <w:rFonts w:hint="eastAsia" w:ascii="仿宋" w:hAnsi="仿宋" w:eastAsia="仿宋" w:cs="仿宋"/>
          <w:bCs/>
          <w:color w:val="auto"/>
          <w:sz w:val="24"/>
        </w:rPr>
        <w:t>三、交货时间</w:t>
      </w:r>
    </w:p>
    <w:p w14:paraId="76661454">
      <w:pPr>
        <w:adjustRightInd w:val="0"/>
        <w:snapToGrid w:val="0"/>
        <w:spacing w:line="360" w:lineRule="auto"/>
        <w:ind w:firstLine="243" w:firstLineChars="100"/>
        <w:rPr>
          <w:rFonts w:hint="eastAsia" w:ascii="仿宋" w:hAnsi="仿宋" w:eastAsia="仿宋" w:cs="仿宋"/>
          <w:bCs/>
          <w:color w:val="auto"/>
          <w:sz w:val="24"/>
        </w:rPr>
      </w:pPr>
      <w:r>
        <w:rPr>
          <w:rFonts w:hint="eastAsia" w:ascii="仿宋" w:hAnsi="仿宋" w:eastAsia="仿宋" w:cs="仿宋"/>
          <w:bCs/>
          <w:color w:val="auto"/>
          <w:sz w:val="24"/>
          <w:u w:val="single"/>
          <w:lang w:val="en-US" w:eastAsia="zh-CN"/>
        </w:rPr>
        <w:t xml:space="preserve">      </w:t>
      </w:r>
      <w:r>
        <w:rPr>
          <w:rFonts w:hint="eastAsia" w:ascii="仿宋" w:hAnsi="仿宋" w:eastAsia="仿宋" w:cs="仿宋"/>
          <w:bCs/>
          <w:color w:val="auto"/>
          <w:sz w:val="24"/>
          <w:lang w:val="en-US" w:eastAsia="zh-CN"/>
        </w:rPr>
        <w:t>日前供货安装并检验完毕</w:t>
      </w:r>
      <w:r>
        <w:rPr>
          <w:rFonts w:hint="eastAsia" w:ascii="仿宋" w:hAnsi="仿宋" w:eastAsia="仿宋" w:cs="仿宋"/>
          <w:bCs/>
          <w:color w:val="auto"/>
          <w:sz w:val="24"/>
        </w:rPr>
        <w:t>。</w:t>
      </w:r>
    </w:p>
    <w:p w14:paraId="2071A9D1">
      <w:pPr>
        <w:pStyle w:val="36"/>
        <w:ind w:left="0" w:leftChars="0" w:firstLine="243" w:firstLineChars="100"/>
        <w:rPr>
          <w:rFonts w:hint="default" w:eastAsia="仿宋"/>
          <w:color w:val="auto"/>
          <w:lang w:val="en-US" w:eastAsia="zh-CN"/>
        </w:rPr>
      </w:pPr>
      <w:r>
        <w:rPr>
          <w:rFonts w:hint="eastAsia" w:ascii="仿宋" w:hAnsi="仿宋" w:eastAsia="仿宋" w:cs="仿宋"/>
          <w:bCs/>
          <w:color w:val="auto"/>
          <w:sz w:val="24"/>
          <w:u w:val="single"/>
          <w:lang w:val="en-US" w:eastAsia="zh-CN"/>
        </w:rPr>
        <w:t xml:space="preserve">       </w:t>
      </w:r>
      <w:r>
        <w:rPr>
          <w:rFonts w:hint="eastAsia" w:ascii="仿宋" w:hAnsi="仿宋" w:eastAsia="仿宋" w:cs="仿宋"/>
          <w:bCs/>
          <w:color w:val="auto"/>
          <w:sz w:val="24"/>
          <w:lang w:val="en-US" w:eastAsia="zh-CN"/>
        </w:rPr>
        <w:t>年质保期</w:t>
      </w:r>
    </w:p>
    <w:p w14:paraId="3F678747">
      <w:pPr>
        <w:adjustRightInd w:val="0"/>
        <w:snapToGrid w:val="0"/>
        <w:spacing w:line="360" w:lineRule="auto"/>
        <w:ind w:firstLine="243" w:firstLineChars="100"/>
        <w:rPr>
          <w:rFonts w:hint="eastAsia" w:ascii="仿宋" w:hAnsi="仿宋" w:eastAsia="仿宋" w:cs="仿宋"/>
          <w:bCs/>
          <w:color w:val="auto"/>
          <w:sz w:val="24"/>
        </w:rPr>
      </w:pPr>
      <w:r>
        <w:rPr>
          <w:rFonts w:hint="eastAsia" w:ascii="仿宋" w:hAnsi="仿宋" w:eastAsia="仿宋" w:cs="仿宋"/>
          <w:bCs/>
          <w:color w:val="auto"/>
          <w:sz w:val="24"/>
        </w:rPr>
        <w:t xml:space="preserve">四、验收   </w:t>
      </w:r>
    </w:p>
    <w:p w14:paraId="1370DA28">
      <w:pPr>
        <w:shd w:val="clear" w:color="auto" w:fill="auto"/>
        <w:spacing w:line="360" w:lineRule="auto"/>
        <w:ind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1.货物的技术指标作为交货验收时的依据（采购人按照所投产品的技术规格及商务要求验收货物，如投标人实际应标的标准高于国家标准及招标文件中的要求，则按投标人应标标准验收）。</w:t>
      </w:r>
    </w:p>
    <w:p w14:paraId="512D7F01">
      <w:pPr>
        <w:shd w:val="clear" w:color="auto" w:fill="auto"/>
        <w:spacing w:line="360" w:lineRule="auto"/>
        <w:ind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2、货物到达现场后，供应商应在使用单位人员在场情况下当面共同清点、检查，作出检查记录，双方签字确认。</w:t>
      </w:r>
    </w:p>
    <w:p w14:paraId="1C83C9AC">
      <w:pPr>
        <w:shd w:val="clear" w:color="auto" w:fill="auto"/>
        <w:spacing w:line="360" w:lineRule="auto"/>
        <w:ind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3、货物验收时，供应商向采购人提供生产厂家出具的验收报告、合格证、厂家资格证件等相关文件及相关单位所出具的检测报告。</w:t>
      </w:r>
    </w:p>
    <w:p w14:paraId="13F52635">
      <w:pPr>
        <w:adjustRightInd w:val="0"/>
        <w:snapToGrid w:val="0"/>
        <w:spacing w:line="360" w:lineRule="auto"/>
        <w:ind w:firstLine="243" w:firstLineChars="100"/>
        <w:rPr>
          <w:rFonts w:hint="eastAsia" w:ascii="仿宋" w:hAnsi="仿宋" w:eastAsia="仿宋" w:cs="仿宋"/>
          <w:bCs/>
          <w:color w:val="auto"/>
          <w:sz w:val="24"/>
        </w:rPr>
      </w:pPr>
      <w:r>
        <w:rPr>
          <w:rFonts w:hint="eastAsia" w:ascii="仿宋" w:hAnsi="仿宋" w:eastAsia="仿宋" w:cs="仿宋"/>
          <w:color w:val="auto"/>
          <w:sz w:val="24"/>
          <w:szCs w:val="24"/>
          <w:lang w:val="en-US" w:eastAsia="zh-CN"/>
        </w:rPr>
        <w:t>4、供应商提供的货物未达到招标文件规定要求，且对采购人造成损失的，由供应商承担一切责任，并赔偿所造成的损失。</w:t>
      </w:r>
    </w:p>
    <w:p w14:paraId="60CE5581">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五、付款方式</w:t>
      </w:r>
    </w:p>
    <w:p w14:paraId="71690084">
      <w:pPr>
        <w:spacing w:line="360" w:lineRule="auto"/>
        <w:ind w:firstLine="486"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签订合同支付合同总价的40％，根据工程进度支付合同总价的50％，设备调试运行无问题后另支付合同总价的10％。（具体以实际签订合同为准）</w:t>
      </w:r>
    </w:p>
    <w:p w14:paraId="73335F95">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六、违约责任</w:t>
      </w:r>
    </w:p>
    <w:p w14:paraId="201DC302">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0773FFAB">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2、如有质量问题时需方可以按照供应方投标文件的服务承诺从质量保证金款项中扣除相关费用。</w:t>
      </w:r>
    </w:p>
    <w:p w14:paraId="1B3F3EC7">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3、其它违约，按《中华人民共和国合同法》的相关条款执行。</w:t>
      </w:r>
    </w:p>
    <w:p w14:paraId="3EB20E54">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七、解决合同纠纷的方式</w:t>
      </w:r>
    </w:p>
    <w:p w14:paraId="37D1E3CA">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当出现纠纷时，双方协商解决；协商不成时可向当地仲裁机关申请仲裁。</w:t>
      </w:r>
    </w:p>
    <w:p w14:paraId="5CB4F0BA">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八、技术协议</w:t>
      </w:r>
    </w:p>
    <w:p w14:paraId="4F412840">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附技术协议（另定）</w:t>
      </w:r>
    </w:p>
    <w:p w14:paraId="7AE995B4">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九、其它约定事项</w:t>
      </w:r>
    </w:p>
    <w:p w14:paraId="17E4FE24">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1、本合同壹式叁份，经双方法定代表人或授权代理人签章，</w:t>
      </w:r>
      <w:r>
        <w:rPr>
          <w:rFonts w:hint="eastAsia" w:ascii="仿宋" w:hAnsi="仿宋" w:eastAsia="仿宋" w:cs="仿宋"/>
          <w:bCs/>
          <w:color w:val="auto"/>
          <w:sz w:val="24"/>
          <w:lang w:eastAsia="zh-CN"/>
        </w:rPr>
        <w:t>市</w:t>
      </w:r>
      <w:r>
        <w:rPr>
          <w:rFonts w:hint="eastAsia" w:ascii="仿宋" w:hAnsi="仿宋" w:eastAsia="仿宋" w:cs="仿宋"/>
          <w:bCs/>
          <w:color w:val="auto"/>
          <w:sz w:val="24"/>
        </w:rPr>
        <w:t>政府采购中心鉴证后生效。</w:t>
      </w:r>
    </w:p>
    <w:p w14:paraId="52352151">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2、本合同一式三份，供应方执一份，需方执一份，鉴证方执一份。</w:t>
      </w:r>
    </w:p>
    <w:p w14:paraId="0DB77E9B">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3、相关招标文件、投标文件与本合同具有同等法律效力。</w:t>
      </w:r>
    </w:p>
    <w:p w14:paraId="56D7607F">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供  应  方：                               需     方：</w:t>
      </w:r>
    </w:p>
    <w:p w14:paraId="351B102C">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法定代表人：                               法定代表人：</w:t>
      </w:r>
    </w:p>
    <w:p w14:paraId="77E3790E">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授权代理人：                               授权代理人：</w:t>
      </w:r>
    </w:p>
    <w:p w14:paraId="4496BFCA">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单位 地址：                                 单位 地址：</w:t>
      </w:r>
    </w:p>
    <w:p w14:paraId="435ECF84">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联系 电话：                                 联系 电话：</w:t>
      </w:r>
    </w:p>
    <w:p w14:paraId="6829E460">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开户 银行：                                 开户 银行：</w:t>
      </w:r>
    </w:p>
    <w:p w14:paraId="4FAF215F">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账     号：                                 账     号：</w:t>
      </w:r>
    </w:p>
    <w:p w14:paraId="7700042F">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rPr>
      </w:pPr>
      <w:r>
        <w:rPr>
          <w:rFonts w:hint="eastAsia" w:ascii="仿宋" w:hAnsi="仿宋" w:eastAsia="仿宋" w:cs="仿宋"/>
          <w:bCs/>
          <w:color w:val="auto"/>
          <w:sz w:val="24"/>
        </w:rPr>
        <w:t>鉴  证  方（签字盖章）：</w:t>
      </w:r>
    </w:p>
    <w:p w14:paraId="413ED0B2">
      <w:pPr>
        <w:adjustRightInd w:val="0"/>
        <w:snapToGrid w:val="0"/>
        <w:spacing w:line="360" w:lineRule="auto"/>
        <w:ind w:firstLine="243" w:firstLineChars="100"/>
        <w:jc w:val="both"/>
        <w:rPr>
          <w:rFonts w:ascii="仿宋" w:hAnsi="仿宋" w:eastAsia="仿宋" w:cs="仿宋"/>
          <w:color w:val="auto"/>
        </w:rPr>
      </w:pPr>
      <w:r>
        <w:rPr>
          <w:rFonts w:hint="eastAsia" w:ascii="仿宋" w:hAnsi="仿宋" w:eastAsia="仿宋" w:cs="仿宋"/>
          <w:bCs/>
          <w:color w:val="auto"/>
          <w:sz w:val="24"/>
        </w:rPr>
        <w:t>签约时间：                                   签约地点：</w:t>
      </w:r>
    </w:p>
    <w:p w14:paraId="4E8E5204">
      <w:pPr>
        <w:pStyle w:val="40"/>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auto"/>
          <w:sz w:val="36"/>
          <w:szCs w:val="36"/>
        </w:rPr>
      </w:pPr>
      <w:r>
        <w:rPr>
          <w:rFonts w:hint="eastAsia" w:ascii="仿宋" w:hAnsi="仿宋" w:eastAsia="仿宋" w:cs="仿宋"/>
          <w:b/>
          <w:bCs/>
          <w:color w:val="auto"/>
          <w:spacing w:val="0"/>
          <w:w w:val="100"/>
          <w:position w:val="0"/>
          <w:sz w:val="36"/>
          <w:szCs w:val="36"/>
        </w:rPr>
        <w:t>第</w:t>
      </w:r>
      <w:r>
        <w:rPr>
          <w:rFonts w:hint="eastAsia" w:ascii="仿宋" w:hAnsi="仿宋" w:eastAsia="仿宋" w:cs="仿宋"/>
          <w:b/>
          <w:bCs/>
          <w:color w:val="auto"/>
          <w:spacing w:val="0"/>
          <w:w w:val="100"/>
          <w:position w:val="0"/>
          <w:sz w:val="36"/>
          <w:szCs w:val="36"/>
          <w:lang w:eastAsia="zh-CN"/>
        </w:rPr>
        <w:t>六</w:t>
      </w:r>
      <w:r>
        <w:rPr>
          <w:rFonts w:hint="eastAsia" w:ascii="仿宋" w:hAnsi="仿宋" w:eastAsia="仿宋" w:cs="仿宋"/>
          <w:b/>
          <w:bCs/>
          <w:color w:val="auto"/>
          <w:spacing w:val="0"/>
          <w:w w:val="100"/>
          <w:position w:val="0"/>
          <w:sz w:val="36"/>
          <w:szCs w:val="36"/>
        </w:rPr>
        <w:t>部分</w:t>
      </w:r>
      <w:r>
        <w:rPr>
          <w:rFonts w:hint="eastAsia" w:ascii="仿宋" w:hAnsi="仿宋" w:eastAsia="仿宋" w:cs="仿宋"/>
          <w:b/>
          <w:bCs/>
          <w:color w:val="auto"/>
          <w:spacing w:val="0"/>
          <w:w w:val="100"/>
          <w:position w:val="0"/>
          <w:sz w:val="36"/>
          <w:szCs w:val="36"/>
          <w:lang w:val="en-US" w:eastAsia="zh-CN"/>
        </w:rPr>
        <w:t xml:space="preserve">  </w:t>
      </w:r>
      <w:r>
        <w:rPr>
          <w:rFonts w:hint="eastAsia" w:ascii="仿宋" w:hAnsi="仿宋" w:eastAsia="仿宋" w:cs="仿宋"/>
          <w:b/>
          <w:bCs/>
          <w:color w:val="auto"/>
          <w:spacing w:val="0"/>
          <w:w w:val="100"/>
          <w:position w:val="0"/>
          <w:sz w:val="36"/>
          <w:szCs w:val="36"/>
        </w:rPr>
        <w:t>投标文件格式</w:t>
      </w:r>
    </w:p>
    <w:p w14:paraId="54E37E48">
      <w:pPr>
        <w:adjustRightInd w:val="0"/>
        <w:snapToGrid w:val="0"/>
        <w:spacing w:line="360" w:lineRule="auto"/>
        <w:ind w:left="602" w:right="70" w:hanging="602"/>
        <w:jc w:val="right"/>
        <w:rPr>
          <w:rFonts w:hint="eastAsia" w:ascii="仿宋" w:hAnsi="仿宋" w:eastAsia="仿宋" w:cs="仿宋"/>
          <w:b/>
          <w:bCs/>
          <w:color w:val="auto"/>
          <w:sz w:val="28"/>
          <w:szCs w:val="28"/>
          <w:bdr w:val="single" w:color="auto" w:sz="4" w:space="0"/>
        </w:rPr>
      </w:pPr>
      <w:r>
        <w:rPr>
          <w:rFonts w:hint="eastAsia" w:ascii="仿宋" w:hAnsi="仿宋" w:eastAsia="仿宋" w:cs="仿宋"/>
          <w:b/>
          <w:bCs/>
          <w:color w:val="auto"/>
          <w:sz w:val="28"/>
          <w:szCs w:val="28"/>
          <w:bdr w:val="single" w:color="auto" w:sz="4" w:space="0"/>
        </w:rPr>
        <w:t>正/副 本</w:t>
      </w:r>
    </w:p>
    <w:p w14:paraId="6789024E">
      <w:pPr>
        <w:adjustRightInd w:val="0"/>
        <w:snapToGrid w:val="0"/>
        <w:spacing w:line="360" w:lineRule="auto"/>
        <w:jc w:val="center"/>
        <w:rPr>
          <w:rFonts w:hint="eastAsia" w:ascii="仿宋" w:hAnsi="仿宋" w:eastAsia="仿宋" w:cs="仿宋"/>
          <w:b/>
          <w:caps/>
          <w:color w:val="auto"/>
          <w:sz w:val="24"/>
          <w:szCs w:val="24"/>
        </w:rPr>
      </w:pPr>
    </w:p>
    <w:p w14:paraId="2D99F8C0">
      <w:pPr>
        <w:adjustRightInd w:val="0"/>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
          <w:caps/>
          <w:color w:val="auto"/>
          <w:sz w:val="32"/>
          <w:szCs w:val="32"/>
        </w:rPr>
        <w:t>（项目名称）</w:t>
      </w:r>
    </w:p>
    <w:p w14:paraId="7E346FF7">
      <w:pPr>
        <w:adjustRightInd w:val="0"/>
        <w:snapToGrid w:val="0"/>
        <w:spacing w:line="360" w:lineRule="auto"/>
        <w:jc w:val="both"/>
        <w:rPr>
          <w:rFonts w:hint="eastAsia" w:ascii="仿宋" w:hAnsi="仿宋" w:eastAsia="仿宋" w:cs="仿宋"/>
          <w:bCs/>
          <w:color w:val="auto"/>
          <w:sz w:val="32"/>
          <w:szCs w:val="32"/>
        </w:rPr>
      </w:pPr>
    </w:p>
    <w:p w14:paraId="077B8C24">
      <w:pPr>
        <w:adjustRightInd w:val="0"/>
        <w:snapToGrid w:val="0"/>
        <w:spacing w:line="360" w:lineRule="auto"/>
        <w:jc w:val="center"/>
        <w:rPr>
          <w:rFonts w:hint="eastAsia" w:ascii="仿宋" w:hAnsi="仿宋" w:eastAsia="仿宋" w:cs="仿宋"/>
          <w:bCs/>
          <w:color w:val="auto"/>
          <w:sz w:val="32"/>
          <w:szCs w:val="32"/>
        </w:rPr>
      </w:pPr>
    </w:p>
    <w:p w14:paraId="4CCBE5ED">
      <w:pPr>
        <w:adjustRightInd w:val="0"/>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14:paraId="0FCAF421">
      <w:pPr>
        <w:adjustRightInd w:val="0"/>
        <w:snapToGrid w:val="0"/>
        <w:spacing w:line="360" w:lineRule="auto"/>
        <w:jc w:val="center"/>
        <w:rPr>
          <w:rFonts w:hint="eastAsia" w:ascii="仿宋" w:hAnsi="仿宋" w:eastAsia="仿宋" w:cs="仿宋"/>
          <w:bCs/>
          <w:color w:val="auto"/>
          <w:sz w:val="32"/>
          <w:szCs w:val="32"/>
        </w:rPr>
      </w:pPr>
    </w:p>
    <w:p w14:paraId="7FF0DB48">
      <w:pPr>
        <w:adjustRightInd w:val="0"/>
        <w:snapToGrid w:val="0"/>
        <w:spacing w:line="360" w:lineRule="auto"/>
        <w:jc w:val="both"/>
        <w:rPr>
          <w:rFonts w:hint="eastAsia" w:ascii="仿宋" w:hAnsi="仿宋" w:eastAsia="仿宋" w:cs="仿宋"/>
          <w:bCs/>
          <w:color w:val="auto"/>
          <w:sz w:val="32"/>
          <w:szCs w:val="32"/>
        </w:rPr>
      </w:pPr>
    </w:p>
    <w:p w14:paraId="6DDF30E2">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0"/>
          <w:kern w:val="0"/>
          <w:sz w:val="28"/>
          <w:szCs w:val="28"/>
          <w:fitText w:val="2810" w:id="1607212411"/>
        </w:rPr>
        <w:t>供应商名称（公章）：</w:t>
      </w:r>
    </w:p>
    <w:p w14:paraId="1E804C13">
      <w:pPr>
        <w:adjustRightInd w:val="0"/>
        <w:snapToGrid w:val="0"/>
        <w:spacing w:line="360" w:lineRule="auto"/>
        <w:ind w:right="-155" w:rightChars="-64"/>
        <w:rPr>
          <w:rFonts w:hint="eastAsia" w:ascii="仿宋" w:hAnsi="仿宋" w:eastAsia="仿宋" w:cs="仿宋"/>
          <w:b/>
          <w:caps/>
          <w:color w:val="auto"/>
          <w:sz w:val="28"/>
          <w:szCs w:val="28"/>
        </w:rPr>
      </w:pPr>
    </w:p>
    <w:p w14:paraId="4F0116CF">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678262609"/>
        </w:rPr>
        <w:t>法定代表人（</w:t>
      </w:r>
      <w:r>
        <w:rPr>
          <w:rFonts w:hint="eastAsia" w:ascii="仿宋" w:hAnsi="仿宋" w:eastAsia="仿宋" w:cs="仿宋"/>
          <w:b/>
          <w:caps/>
          <w:color w:val="auto"/>
          <w:spacing w:val="0"/>
          <w:w w:val="77"/>
          <w:kern w:val="0"/>
          <w:sz w:val="28"/>
          <w:szCs w:val="28"/>
          <w:fitText w:val="2810" w:id="1678262609"/>
          <w:lang w:eastAsia="zh-CN"/>
        </w:rPr>
        <w:t>签章</w:t>
      </w:r>
      <w:r>
        <w:rPr>
          <w:rFonts w:hint="eastAsia" w:ascii="仿宋" w:hAnsi="仿宋" w:eastAsia="仿宋" w:cs="仿宋"/>
          <w:b/>
          <w:caps/>
          <w:color w:val="auto"/>
          <w:spacing w:val="0"/>
          <w:w w:val="77"/>
          <w:kern w:val="0"/>
          <w:sz w:val="28"/>
          <w:szCs w:val="28"/>
          <w:fitText w:val="2810" w:id="1678262609"/>
        </w:rPr>
        <w:t>或盖章）</w:t>
      </w:r>
      <w:r>
        <w:rPr>
          <w:rFonts w:hint="eastAsia" w:ascii="仿宋" w:hAnsi="仿宋" w:eastAsia="仿宋" w:cs="仿宋"/>
          <w:b/>
          <w:caps/>
          <w:color w:val="auto"/>
          <w:spacing w:val="-1"/>
          <w:w w:val="77"/>
          <w:kern w:val="0"/>
          <w:sz w:val="28"/>
          <w:szCs w:val="28"/>
          <w:fitText w:val="2810" w:id="1678262609"/>
        </w:rPr>
        <w:t>：</w:t>
      </w:r>
    </w:p>
    <w:p w14:paraId="055209AF">
      <w:pPr>
        <w:adjustRightInd w:val="0"/>
        <w:snapToGrid w:val="0"/>
        <w:spacing w:line="360" w:lineRule="auto"/>
        <w:ind w:right="-155" w:rightChars="-64"/>
        <w:rPr>
          <w:rFonts w:hint="eastAsia" w:ascii="仿宋" w:hAnsi="仿宋" w:eastAsia="仿宋" w:cs="仿宋"/>
          <w:b/>
          <w:caps/>
          <w:color w:val="auto"/>
          <w:sz w:val="28"/>
          <w:szCs w:val="28"/>
        </w:rPr>
      </w:pPr>
    </w:p>
    <w:p w14:paraId="2C0F9F47">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113"/>
          <w:kern w:val="0"/>
          <w:sz w:val="28"/>
          <w:szCs w:val="28"/>
          <w:fitText w:val="2810" w:id="838214655"/>
        </w:rPr>
        <w:t>供应商地址</w:t>
      </w:r>
      <w:r>
        <w:rPr>
          <w:rFonts w:hint="eastAsia" w:ascii="仿宋" w:hAnsi="仿宋" w:eastAsia="仿宋" w:cs="仿宋"/>
          <w:b/>
          <w:caps/>
          <w:color w:val="auto"/>
          <w:spacing w:val="0"/>
          <w:kern w:val="0"/>
          <w:sz w:val="28"/>
          <w:szCs w:val="28"/>
          <w:fitText w:val="2810" w:id="838214655"/>
        </w:rPr>
        <w:t>：</w:t>
      </w:r>
    </w:p>
    <w:p w14:paraId="310EF4FD">
      <w:pPr>
        <w:adjustRightInd w:val="0"/>
        <w:snapToGrid w:val="0"/>
        <w:spacing w:line="360" w:lineRule="auto"/>
        <w:ind w:right="-155" w:rightChars="-64"/>
        <w:rPr>
          <w:rFonts w:hint="eastAsia" w:ascii="仿宋" w:hAnsi="仿宋" w:eastAsia="仿宋" w:cs="仿宋"/>
          <w:b/>
          <w:caps/>
          <w:color w:val="auto"/>
          <w:sz w:val="28"/>
          <w:szCs w:val="28"/>
        </w:rPr>
      </w:pPr>
    </w:p>
    <w:p w14:paraId="11373DC5">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1781337067"/>
        </w:rPr>
        <w:t>联系人</w:t>
      </w:r>
      <w:r>
        <w:rPr>
          <w:rFonts w:hint="eastAsia" w:ascii="仿宋" w:hAnsi="仿宋" w:eastAsia="仿宋" w:cs="仿宋"/>
          <w:b/>
          <w:caps/>
          <w:color w:val="auto"/>
          <w:spacing w:val="2"/>
          <w:kern w:val="0"/>
          <w:sz w:val="28"/>
          <w:szCs w:val="28"/>
          <w:fitText w:val="2810" w:id="1781337067"/>
        </w:rPr>
        <w:t>：</w:t>
      </w:r>
    </w:p>
    <w:p w14:paraId="35D5092F">
      <w:pPr>
        <w:adjustRightInd w:val="0"/>
        <w:snapToGrid w:val="0"/>
        <w:spacing w:line="360" w:lineRule="auto"/>
        <w:ind w:right="-155" w:rightChars="-64"/>
        <w:rPr>
          <w:rFonts w:hint="eastAsia" w:ascii="仿宋" w:hAnsi="仿宋" w:eastAsia="仿宋" w:cs="仿宋"/>
          <w:b/>
          <w:caps/>
          <w:color w:val="auto"/>
          <w:sz w:val="28"/>
          <w:szCs w:val="28"/>
        </w:rPr>
      </w:pPr>
    </w:p>
    <w:p w14:paraId="12B3A2F6">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1848534003"/>
        </w:rPr>
        <w:t>联系电话</w:t>
      </w:r>
      <w:r>
        <w:rPr>
          <w:rFonts w:hint="eastAsia" w:ascii="仿宋" w:hAnsi="仿宋" w:eastAsia="仿宋" w:cs="仿宋"/>
          <w:b/>
          <w:caps/>
          <w:color w:val="auto"/>
          <w:spacing w:val="1"/>
          <w:kern w:val="0"/>
          <w:sz w:val="28"/>
          <w:szCs w:val="28"/>
          <w:fitText w:val="2810" w:id="1848534003"/>
        </w:rPr>
        <w:t>：</w:t>
      </w:r>
    </w:p>
    <w:p w14:paraId="29E926E9">
      <w:pPr>
        <w:adjustRightInd w:val="0"/>
        <w:snapToGrid w:val="0"/>
        <w:spacing w:line="360" w:lineRule="auto"/>
        <w:jc w:val="center"/>
        <w:rPr>
          <w:rFonts w:hint="eastAsia" w:ascii="仿宋" w:hAnsi="仿宋" w:eastAsia="仿宋" w:cs="仿宋"/>
          <w:b/>
          <w:caps/>
          <w:color w:val="auto"/>
          <w:sz w:val="28"/>
          <w:szCs w:val="28"/>
        </w:rPr>
      </w:pPr>
    </w:p>
    <w:p w14:paraId="3C2DB15F">
      <w:pPr>
        <w:adjustRightInd w:val="0"/>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bookmarkEnd w:id="88"/>
    <w:p w14:paraId="51F873C8">
      <w:pPr>
        <w:pStyle w:val="3"/>
        <w:spacing w:line="240" w:lineRule="atLeast"/>
        <w:jc w:val="both"/>
        <w:rPr>
          <w:rFonts w:hint="eastAsia" w:ascii="仿宋" w:hAnsi="仿宋" w:eastAsia="仿宋" w:cs="仿宋"/>
          <w:bCs/>
          <w:color w:val="auto"/>
          <w:szCs w:val="21"/>
          <w:lang w:eastAsia="zh-CN"/>
        </w:rPr>
      </w:pPr>
      <w:bookmarkStart w:id="89" w:name="_Toc8919"/>
      <w:bookmarkStart w:id="90" w:name="_Toc515647803"/>
      <w:bookmarkStart w:id="91" w:name="_Toc18694"/>
      <w:bookmarkStart w:id="92" w:name="_Toc18974"/>
    </w:p>
    <w:p w14:paraId="0226BE91">
      <w:pPr>
        <w:pStyle w:val="3"/>
        <w:spacing w:line="240" w:lineRule="atLeast"/>
        <w:jc w:val="both"/>
        <w:rPr>
          <w:rFonts w:hint="eastAsia" w:ascii="仿宋" w:hAnsi="仿宋" w:eastAsia="仿宋" w:cs="仿宋"/>
          <w:bCs/>
          <w:color w:val="auto"/>
          <w:szCs w:val="21"/>
          <w:lang w:eastAsia="zh-CN"/>
        </w:rPr>
      </w:pPr>
    </w:p>
    <w:p w14:paraId="73DFF721">
      <w:pPr>
        <w:pStyle w:val="3"/>
        <w:spacing w:line="240" w:lineRule="atLeast"/>
        <w:jc w:val="both"/>
        <w:rPr>
          <w:rFonts w:hint="eastAsia" w:ascii="仿宋" w:hAnsi="仿宋" w:eastAsia="仿宋" w:cs="仿宋"/>
          <w:bCs/>
          <w:color w:val="auto"/>
          <w:szCs w:val="21"/>
          <w:lang w:eastAsia="zh-CN"/>
        </w:rPr>
      </w:pPr>
    </w:p>
    <w:p w14:paraId="60D67C56">
      <w:pPr>
        <w:pStyle w:val="3"/>
        <w:spacing w:line="240" w:lineRule="atLeast"/>
        <w:ind w:firstLine="2264" w:firstLineChars="800"/>
        <w:jc w:val="both"/>
        <w:rPr>
          <w:rFonts w:ascii="仿宋" w:hAnsi="仿宋" w:eastAsia="仿宋" w:cs="仿宋"/>
          <w:color w:val="auto"/>
          <w:szCs w:val="21"/>
          <w:lang w:eastAsia="zh-CN"/>
        </w:rPr>
      </w:pPr>
      <w:r>
        <w:rPr>
          <w:rFonts w:hint="eastAsia" w:ascii="仿宋" w:hAnsi="仿宋" w:eastAsia="仿宋" w:cs="仿宋"/>
          <w:bCs/>
          <w:color w:val="auto"/>
          <w:szCs w:val="21"/>
          <w:lang w:eastAsia="zh-CN"/>
        </w:rPr>
        <w:t>第一部分 资格证明文件</w:t>
      </w:r>
      <w:bookmarkEnd w:id="89"/>
      <w:bookmarkEnd w:id="90"/>
      <w:bookmarkEnd w:id="91"/>
      <w:bookmarkEnd w:id="92"/>
    </w:p>
    <w:p w14:paraId="7237C39E">
      <w:pPr>
        <w:spacing w:line="240" w:lineRule="atLeast"/>
        <w:ind w:left="717" w:hanging="716" w:hangingChars="295"/>
        <w:jc w:val="center"/>
        <w:rPr>
          <w:rFonts w:ascii="仿宋" w:hAnsi="仿宋" w:eastAsia="仿宋" w:cs="仿宋"/>
          <w:color w:val="auto"/>
          <w:lang w:eastAsia="zh-CN"/>
        </w:rPr>
      </w:pPr>
    </w:p>
    <w:p w14:paraId="6C235F0D">
      <w:pPr>
        <w:shd w:val="clear" w:color="auto" w:fill="auto"/>
        <w:spacing w:line="240" w:lineRule="atLeast"/>
        <w:ind w:left="708" w:hanging="716" w:hangingChars="295"/>
        <w:jc w:val="center"/>
        <w:rPr>
          <w:rFonts w:hint="eastAsia" w:ascii="仿宋" w:hAnsi="仿宋" w:eastAsia="仿宋" w:cs="仿宋"/>
          <w:color w:val="auto"/>
          <w:sz w:val="24"/>
          <w:highlight w:val="none"/>
        </w:rPr>
      </w:pPr>
    </w:p>
    <w:p w14:paraId="7356D34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（1）具有有效的三证合一营业执照；</w:t>
      </w:r>
    </w:p>
    <w:p w14:paraId="044353C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（2）具有法人授权委托书及被委托人身份证（法人提供法人证明书及法人身份证）；</w:t>
      </w:r>
    </w:p>
    <w:p w14:paraId="4BCDFC6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（3）投标企业须提供投标人（被授权人）近6个月内任意一个月的社保证明；</w:t>
      </w:r>
    </w:p>
    <w:p w14:paraId="2624BD2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4）投标企业需提供参加本次采购活动前三年内未被“信用中国”（www.creditchina.gov.cn）、中国政府采购网（www.ccgp.gov.cn）列入失信被执行人、重大税收违法案件当事人名单、政府采购严重违法失信行为记录名单；</w:t>
      </w:r>
    </w:p>
    <w:p w14:paraId="72AE9CA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（5）投标单位（供应商）提供针对本次采购项目《反商业贿赂承诺书》，《采购活动前三年内无重大违规记录承诺书》的书面声明。</w:t>
      </w:r>
    </w:p>
    <w:p w14:paraId="1EEFE89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（6）具有良好的商业信誉和健全的财务会计制度（提供2024年经审计的财务报告；或提供2024年的财务报表，新成立公司不足一年的提供成立至今的财务报表；或提供开户银行出具的资信证明）</w:t>
      </w:r>
    </w:p>
    <w:p w14:paraId="4A4B4C1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7）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2B1EA36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firstLine="243"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（8）投标保证金缴纳依据（汇款凭证）或保函等票据；</w:t>
      </w:r>
    </w:p>
    <w:p w14:paraId="6C411EC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firstLine="243" w:firstLineChars="1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投标人须知资料表要求的其他资格证明文件</w:t>
      </w:r>
      <w:r>
        <w:rPr>
          <w:rFonts w:hint="eastAsia" w:ascii="仿宋" w:hAnsi="仿宋" w:eastAsia="仿宋" w:cs="仿宋"/>
          <w:color w:val="auto"/>
          <w:sz w:val="24"/>
          <w:highlight w:val="none"/>
          <w:lang w:eastAsia="zh-CN"/>
        </w:rPr>
        <w:t>。</w:t>
      </w:r>
    </w:p>
    <w:p w14:paraId="391ECD05">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14:paraId="7E56399C">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14:paraId="676EC5DD">
      <w:pPr>
        <w:rPr>
          <w:rFonts w:ascii="仿宋" w:hAnsi="仿宋" w:eastAsia="仿宋" w:cs="仿宋"/>
          <w:b/>
          <w:bCs/>
          <w:color w:val="auto"/>
          <w:sz w:val="36"/>
          <w:szCs w:val="36"/>
          <w:lang w:eastAsia="zh-CN"/>
        </w:rPr>
      </w:pPr>
    </w:p>
    <w:p w14:paraId="31C4F436">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62C9B943">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1、 法人或者非法人组织的营业执照等证明文件</w:t>
      </w:r>
      <w:bookmarkStart w:id="93" w:name="_Toc515647806"/>
      <w:r>
        <w:rPr>
          <w:rFonts w:hint="eastAsia" w:ascii="仿宋" w:hAnsi="仿宋" w:eastAsia="仿宋" w:cs="仿宋"/>
          <w:b/>
          <w:bCs/>
          <w:color w:val="auto"/>
          <w:sz w:val="36"/>
          <w:szCs w:val="36"/>
          <w:lang w:val="en-US" w:eastAsia="zh-CN"/>
        </w:rPr>
        <w:t>或自然人的身份证明</w:t>
      </w:r>
      <w:bookmarkEnd w:id="93"/>
    </w:p>
    <w:p w14:paraId="0EC9D572">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auto"/>
          <w:sz w:val="24"/>
          <w:highlight w:val="none"/>
        </w:rPr>
      </w:pPr>
    </w:p>
    <w:p w14:paraId="64D83FA5">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14:paraId="774C4C0A">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14:paraId="4DBD7C3F">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说明：1.提供有效的营业执照等证明文件复印件，复印件上应加盖本单位章。</w:t>
      </w:r>
    </w:p>
    <w:p w14:paraId="76223F00">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 投标人为自然人的，应提供身份证明的复印件。</w:t>
      </w:r>
    </w:p>
    <w:p w14:paraId="347C9865">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3230365B">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403C6B22">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0827B6F6">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4EAE655E">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7AF9B02E">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04C061AC">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7D58D90D">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17074EC8">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4C07124F">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5BF6FD25">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13210796">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65AD4412">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783EF67A">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6BF76C7E">
      <w:pPr>
        <w:pStyle w:val="32"/>
        <w:rPr>
          <w:rFonts w:hint="eastAsia" w:ascii="仿宋" w:hAnsi="仿宋" w:eastAsia="仿宋" w:cs="仿宋"/>
          <w:b/>
          <w:bCs/>
          <w:color w:val="auto"/>
          <w:sz w:val="36"/>
          <w:szCs w:val="36"/>
          <w:lang w:eastAsia="zh-CN"/>
        </w:rPr>
      </w:pPr>
    </w:p>
    <w:p w14:paraId="04C966EE">
      <w:pPr>
        <w:rPr>
          <w:rFonts w:hint="eastAsia" w:ascii="仿宋" w:hAnsi="仿宋" w:eastAsia="仿宋" w:cs="仿宋"/>
          <w:b/>
          <w:bCs/>
          <w:color w:val="auto"/>
          <w:sz w:val="36"/>
          <w:szCs w:val="36"/>
          <w:lang w:eastAsia="zh-CN"/>
        </w:rPr>
      </w:pPr>
    </w:p>
    <w:p w14:paraId="0ED89899">
      <w:pPr>
        <w:pStyle w:val="35"/>
        <w:rPr>
          <w:rFonts w:hint="eastAsia"/>
          <w:color w:val="auto"/>
          <w:lang w:eastAsia="zh-CN"/>
        </w:rPr>
      </w:pPr>
    </w:p>
    <w:p w14:paraId="4CD209FF">
      <w:pPr>
        <w:pStyle w:val="35"/>
        <w:rPr>
          <w:rFonts w:hint="eastAsia"/>
          <w:color w:val="auto"/>
          <w:lang w:eastAsia="zh-CN"/>
        </w:rPr>
      </w:pPr>
    </w:p>
    <w:p w14:paraId="4DEE4F5F">
      <w:pPr>
        <w:pStyle w:val="35"/>
        <w:rPr>
          <w:rFonts w:hint="eastAsia"/>
          <w:color w:val="auto"/>
          <w:lang w:eastAsia="zh-CN"/>
        </w:rPr>
      </w:pPr>
    </w:p>
    <w:p w14:paraId="0832F8DC">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4EBD6830">
      <w:pPr>
        <w:rPr>
          <w:rFonts w:hint="eastAsia"/>
          <w:color w:val="auto"/>
          <w:lang w:eastAsia="zh-CN"/>
        </w:rPr>
      </w:pPr>
    </w:p>
    <w:p w14:paraId="0E9C0EED">
      <w:pPr>
        <w:pStyle w:val="35"/>
        <w:rPr>
          <w:rFonts w:hint="eastAsia"/>
          <w:color w:val="auto"/>
          <w:lang w:eastAsia="zh-CN"/>
        </w:rPr>
      </w:pPr>
    </w:p>
    <w:p w14:paraId="1F457444">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2FA8F5AC">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auto"/>
          <w:sz w:val="36"/>
          <w:szCs w:val="36"/>
        </w:rPr>
      </w:pP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、法定代表人身份证明</w:t>
      </w:r>
    </w:p>
    <w:p w14:paraId="58C6E713">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14:paraId="4CAC4CC1">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14:paraId="604E8529">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14:paraId="4FA5876D">
      <w:pPr>
        <w:spacing w:line="42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60A5BE96">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14:paraId="79705435">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14:paraId="01700263">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p>
    <w:p w14:paraId="51B55EAE">
      <w:pPr>
        <w:spacing w:line="42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14:paraId="3C40CBB5">
      <w:pPr>
        <w:spacing w:line="420" w:lineRule="exact"/>
        <w:ind w:firstLine="972"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14:paraId="19103BCC">
      <w:pPr>
        <w:pStyle w:val="8"/>
        <w:numPr>
          <w:ilvl w:val="0"/>
          <w:numId w:val="0"/>
        </w:numPr>
        <w:kinsoku w:val="0"/>
        <w:overflowPunct w:val="0"/>
        <w:ind w:leftChars="0" w:right="0" w:rightChars="0"/>
        <w:rPr>
          <w:rFonts w:hint="eastAsia" w:ascii="仿宋" w:hAnsi="仿宋" w:eastAsia="仿宋" w:cs="仿宋"/>
          <w:color w:val="auto"/>
          <w:sz w:val="20"/>
          <w:szCs w:val="20"/>
        </w:rPr>
      </w:pPr>
    </w:p>
    <w:p w14:paraId="657B181A">
      <w:pPr>
        <w:pStyle w:val="8"/>
        <w:numPr>
          <w:ilvl w:val="0"/>
          <w:numId w:val="0"/>
        </w:numPr>
        <w:kinsoku w:val="0"/>
        <w:overflowPunct w:val="0"/>
        <w:spacing w:before="7"/>
        <w:ind w:leftChars="0" w:right="0" w:rightChars="0"/>
        <w:rPr>
          <w:rFonts w:hint="eastAsia" w:ascii="仿宋" w:hAnsi="仿宋" w:eastAsia="仿宋" w:cs="仿宋"/>
          <w:color w:val="auto"/>
          <w:sz w:val="25"/>
          <w:szCs w:val="25"/>
        </w:rPr>
      </w:pPr>
    </w:p>
    <w:p w14:paraId="2256F503">
      <w:pPr>
        <w:pStyle w:val="8"/>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w:pict>
          <v:group id="组合 34" o:spid="_x0000_s1128"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任意多边形 14" o:spid="_x0000_s1116"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5" o:spid="_x0000_s1117"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118"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119"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12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任意多边形 20" o:spid="_x0000_s1121"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21" o:spid="_x0000_s1122"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2" o:spid="_x0000_s1123"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3" o:spid="_x0000_s1124"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125"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1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14:paraId="7DDE87CF">
                    <w:pPr>
                      <w:pStyle w:val="8"/>
                      <w:numPr>
                        <w:ilvl w:val="0"/>
                        <w:numId w:val="0"/>
                      </w:numPr>
                      <w:kinsoku w:val="0"/>
                      <w:overflowPunct w:val="0"/>
                      <w:spacing w:before="13"/>
                      <w:ind w:leftChars="0" w:right="0" w:rightChars="0"/>
                      <w:rPr>
                        <w:rFonts w:hint="eastAsia"/>
                        <w:sz w:val="28"/>
                        <w:szCs w:val="28"/>
                      </w:rPr>
                    </w:pPr>
                  </w:p>
                  <w:p w14:paraId="022E252C">
                    <w:pPr>
                      <w:pStyle w:val="8"/>
                      <w:numPr>
                        <w:ilvl w:val="0"/>
                        <w:numId w:val="0"/>
                      </w:numPr>
                      <w:kinsoku w:val="0"/>
                      <w:overflowPunct w:val="0"/>
                      <w:ind w:right="0" w:rightChars="0"/>
                      <w:jc w:val="center"/>
                    </w:pPr>
                    <w:r>
                      <w:rPr>
                        <w:rFonts w:hint="eastAsia"/>
                      </w:rPr>
                      <w:t>法定代表人身份证复印件（正面）</w:t>
                    </w:r>
                  </w:p>
                </w:txbxContent>
              </v:textbox>
            </v:shape>
            <v:shape id="文本框 32" o:spid="_x0000_s1127"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14:paraId="45F320E0">
                    <w:pPr>
                      <w:pStyle w:val="8"/>
                      <w:numPr>
                        <w:ilvl w:val="0"/>
                        <w:numId w:val="0"/>
                      </w:numPr>
                      <w:kinsoku w:val="0"/>
                      <w:overflowPunct w:val="0"/>
                      <w:spacing w:before="13"/>
                      <w:ind w:leftChars="0" w:right="0" w:rightChars="0"/>
                      <w:rPr>
                        <w:rFonts w:hint="eastAsia"/>
                        <w:sz w:val="28"/>
                        <w:szCs w:val="28"/>
                      </w:rPr>
                    </w:pPr>
                  </w:p>
                  <w:p w14:paraId="35B5CC61">
                    <w:pPr>
                      <w:pStyle w:val="8"/>
                      <w:numPr>
                        <w:ilvl w:val="0"/>
                        <w:numId w:val="0"/>
                      </w:numPr>
                      <w:kinsoku w:val="0"/>
                      <w:overflowPunct w:val="0"/>
                      <w:ind w:right="0" w:rightChars="0"/>
                    </w:pPr>
                    <w:r>
                      <w:rPr>
                        <w:rFonts w:hint="eastAsia"/>
                      </w:rPr>
                      <w:t>法定代表人身份证复印件（反面）</w:t>
                    </w:r>
                  </w:p>
                </w:txbxContent>
              </v:textbox>
            </v:shape>
            <w10:wrap type="none"/>
            <w10:anchorlock/>
          </v:group>
        </w:pict>
      </w:r>
    </w:p>
    <w:p w14:paraId="2099A2E9">
      <w:pPr>
        <w:wordWrap w:val="0"/>
        <w:spacing w:line="420" w:lineRule="exact"/>
        <w:ind w:firstLine="486" w:firstLineChars="200"/>
        <w:jc w:val="right"/>
        <w:rPr>
          <w:rFonts w:hint="eastAsia" w:ascii="仿宋" w:hAnsi="仿宋" w:eastAsia="仿宋" w:cs="仿宋"/>
          <w:color w:val="auto"/>
          <w:kern w:val="0"/>
          <w:sz w:val="24"/>
        </w:rPr>
      </w:pPr>
    </w:p>
    <w:p w14:paraId="63AB753F">
      <w:pPr>
        <w:spacing w:line="420" w:lineRule="exact"/>
        <w:ind w:firstLine="486" w:firstLineChars="200"/>
        <w:jc w:val="right"/>
        <w:rPr>
          <w:rFonts w:hint="eastAsia" w:ascii="仿宋" w:hAnsi="仿宋" w:eastAsia="仿宋" w:cs="仿宋"/>
          <w:color w:val="auto"/>
          <w:kern w:val="0"/>
          <w:sz w:val="24"/>
        </w:rPr>
      </w:pPr>
    </w:p>
    <w:p w14:paraId="596459D7">
      <w:pPr>
        <w:spacing w:line="420" w:lineRule="exact"/>
        <w:ind w:firstLine="486" w:firstLineChars="200"/>
        <w:jc w:val="right"/>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14:paraId="34A02911">
      <w:pPr>
        <w:wordWrap w:val="0"/>
        <w:spacing w:line="420" w:lineRule="exact"/>
        <w:ind w:right="480" w:firstLine="486"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14:paraId="0055D415">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auto"/>
          <w:sz w:val="36"/>
          <w:szCs w:val="36"/>
          <w:lang w:eastAsia="zh-CN"/>
        </w:rPr>
      </w:pPr>
    </w:p>
    <w:p w14:paraId="5416B4B4">
      <w:pPr>
        <w:rPr>
          <w:rFonts w:hint="eastAsia"/>
          <w:color w:val="auto"/>
          <w:lang w:eastAsia="zh-CN"/>
        </w:rPr>
      </w:pPr>
    </w:p>
    <w:p w14:paraId="1341D7C2">
      <w:pPr>
        <w:rPr>
          <w:rFonts w:hint="eastAsia"/>
          <w:color w:val="auto"/>
          <w:lang w:val="en-US" w:eastAsia="zh-CN"/>
        </w:rPr>
      </w:pPr>
    </w:p>
    <w:p w14:paraId="0572A2D8">
      <w:pPr>
        <w:pStyle w:val="35"/>
        <w:rPr>
          <w:rFonts w:hint="eastAsia"/>
          <w:color w:val="auto"/>
          <w:lang w:val="en-US" w:eastAsia="zh-CN"/>
        </w:rPr>
      </w:pPr>
    </w:p>
    <w:p w14:paraId="19763AD0">
      <w:pPr>
        <w:pStyle w:val="35"/>
        <w:rPr>
          <w:rFonts w:hint="eastAsia"/>
          <w:color w:val="auto"/>
          <w:lang w:val="en-US" w:eastAsia="zh-CN"/>
        </w:rPr>
      </w:pPr>
    </w:p>
    <w:p w14:paraId="2B448692">
      <w:pPr>
        <w:pStyle w:val="35"/>
        <w:rPr>
          <w:rFonts w:hint="eastAsia"/>
          <w:color w:val="auto"/>
          <w:lang w:val="en-US" w:eastAsia="zh-CN"/>
        </w:rPr>
      </w:pPr>
    </w:p>
    <w:p w14:paraId="463DD15B">
      <w:pPr>
        <w:pStyle w:val="35"/>
        <w:rPr>
          <w:rFonts w:hint="eastAsia"/>
          <w:color w:val="auto"/>
          <w:lang w:val="en-US" w:eastAsia="zh-CN"/>
        </w:rPr>
      </w:pPr>
    </w:p>
    <w:p w14:paraId="1D2577E2">
      <w:pPr>
        <w:pStyle w:val="35"/>
        <w:rPr>
          <w:rFonts w:hint="eastAsia"/>
          <w:color w:val="auto"/>
          <w:lang w:val="en-US" w:eastAsia="zh-CN"/>
        </w:rPr>
      </w:pPr>
    </w:p>
    <w:p w14:paraId="6BC92AAE">
      <w:pPr>
        <w:pStyle w:val="35"/>
        <w:rPr>
          <w:rFonts w:hint="eastAsia"/>
          <w:color w:val="auto"/>
          <w:lang w:val="en-US" w:eastAsia="zh-CN"/>
        </w:rPr>
      </w:pPr>
    </w:p>
    <w:p w14:paraId="0E64CBA7">
      <w:pPr>
        <w:pStyle w:val="35"/>
        <w:rPr>
          <w:rFonts w:hint="eastAsia"/>
          <w:color w:val="auto"/>
          <w:lang w:val="en-US" w:eastAsia="zh-CN"/>
        </w:rPr>
      </w:pPr>
    </w:p>
    <w:p w14:paraId="7BF6864E">
      <w:pPr>
        <w:pStyle w:val="35"/>
        <w:rPr>
          <w:rFonts w:hint="eastAsia"/>
          <w:color w:val="auto"/>
          <w:lang w:val="en-US" w:eastAsia="zh-CN"/>
        </w:rPr>
      </w:pPr>
    </w:p>
    <w:p w14:paraId="2D993F4B">
      <w:pPr>
        <w:pStyle w:val="35"/>
        <w:rPr>
          <w:rFonts w:hint="eastAsia"/>
          <w:color w:val="auto"/>
          <w:lang w:val="en-US" w:eastAsia="zh-CN"/>
        </w:rPr>
      </w:pPr>
    </w:p>
    <w:p w14:paraId="77D7246C">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b/>
          <w:bCs/>
          <w:color w:val="auto"/>
          <w:sz w:val="36"/>
          <w:szCs w:val="36"/>
          <w:lang w:val="en-US" w:eastAsia="zh-CN"/>
        </w:rPr>
        <w:t>2.1</w:t>
      </w:r>
      <w:r>
        <w:rPr>
          <w:rFonts w:hint="eastAsia" w:ascii="仿宋" w:hAnsi="仿宋" w:eastAsia="仿宋" w:cs="仿宋"/>
          <w:b/>
          <w:bCs/>
          <w:color w:val="auto"/>
          <w:sz w:val="36"/>
          <w:szCs w:val="36"/>
        </w:rPr>
        <w:t>授权委托书</w:t>
      </w:r>
    </w:p>
    <w:p w14:paraId="6F95013C">
      <w:pPr>
        <w:spacing w:line="42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致：采购人名称 </w:t>
      </w:r>
    </w:p>
    <w:p w14:paraId="44792DF4">
      <w:pPr>
        <w:spacing w:line="42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本授权书声明：注册于</w:t>
      </w:r>
      <w:r>
        <w:rPr>
          <w:rFonts w:hint="eastAsia" w:ascii="仿宋" w:hAnsi="仿宋" w:eastAsia="仿宋" w:cs="仿宋"/>
          <w:color w:val="auto"/>
          <w:kern w:val="0"/>
          <w:sz w:val="24"/>
          <w:u w:val="single"/>
        </w:rPr>
        <w:t>（投标人地址）</w:t>
      </w:r>
      <w:r>
        <w:rPr>
          <w:rFonts w:hint="eastAsia" w:ascii="仿宋" w:hAnsi="仿宋" w:eastAsia="仿宋" w:cs="仿宋"/>
          <w:color w:val="auto"/>
          <w:kern w:val="0"/>
          <w:sz w:val="24"/>
        </w:rPr>
        <w:t>的</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法定代表人（负责人）</w:t>
      </w:r>
      <w:r>
        <w:rPr>
          <w:rFonts w:hint="eastAsia" w:ascii="仿宋" w:hAnsi="仿宋" w:eastAsia="仿宋" w:cs="仿宋"/>
          <w:color w:val="auto"/>
          <w:kern w:val="0"/>
          <w:sz w:val="24"/>
          <w:u w:val="single"/>
        </w:rPr>
        <w:t>姓名、职务或职称）</w:t>
      </w:r>
      <w:r>
        <w:rPr>
          <w:rFonts w:hint="eastAsia" w:ascii="仿宋" w:hAnsi="仿宋" w:eastAsia="仿宋" w:cs="仿宋"/>
          <w:color w:val="auto"/>
          <w:kern w:val="0"/>
          <w:sz w:val="24"/>
        </w:rPr>
        <w:t>代表本公司授权</w:t>
      </w:r>
      <w:r>
        <w:rPr>
          <w:rFonts w:hint="eastAsia" w:ascii="仿宋" w:hAnsi="仿宋" w:eastAsia="仿宋" w:cs="仿宋"/>
          <w:color w:val="auto"/>
          <w:kern w:val="0"/>
          <w:sz w:val="24"/>
          <w:u w:val="single"/>
        </w:rPr>
        <w:t>（姓名）</w:t>
      </w:r>
      <w:r>
        <w:rPr>
          <w:rFonts w:hint="eastAsia" w:ascii="仿宋" w:hAnsi="仿宋" w:eastAsia="仿宋" w:cs="仿宋"/>
          <w:color w:val="auto"/>
          <w:kern w:val="0"/>
          <w:sz w:val="24"/>
        </w:rPr>
        <w:t>为本单位的合法代理人，参与贵方组织的</w:t>
      </w:r>
      <w:r>
        <w:rPr>
          <w:rFonts w:hint="eastAsia" w:ascii="仿宋" w:hAnsi="仿宋" w:eastAsia="仿宋" w:cs="仿宋"/>
          <w:color w:val="auto"/>
          <w:kern w:val="0"/>
          <w:sz w:val="24"/>
          <w:u w:val="single"/>
        </w:rPr>
        <w:t>（项目名称及项目编号）</w:t>
      </w:r>
      <w:r>
        <w:rPr>
          <w:rFonts w:hint="eastAsia" w:ascii="仿宋" w:hAnsi="仿宋" w:eastAsia="仿宋" w:cs="仿宋"/>
          <w:color w:val="auto"/>
          <w:kern w:val="0"/>
          <w:sz w:val="24"/>
        </w:rPr>
        <w:t xml:space="preserve"> 的投标、谈判、签约等具体工作，并签署全部有关文件、协议及合同。</w:t>
      </w:r>
    </w:p>
    <w:p w14:paraId="15B18456">
      <w:pPr>
        <w:adjustRightInd w:val="0"/>
        <w:snapToGrid w:val="0"/>
        <w:spacing w:line="42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我单位对被授权人的上述经济活动负全部责任。在撤销授权的书面通知前，本授权书一直有效。被授权人在授权书有效期内签署的所有文件不因授权的撤消而失效。</w:t>
      </w:r>
    </w:p>
    <w:p w14:paraId="2C3E73E9">
      <w:pPr>
        <w:pStyle w:val="8"/>
        <w:kinsoku w:val="0"/>
        <w:overflowPunct w:val="0"/>
        <w:adjustRightInd w:val="0"/>
        <w:snapToGrid w:val="0"/>
        <w:spacing w:before="12"/>
        <w:rPr>
          <w:rFonts w:hint="eastAsia" w:ascii="仿宋" w:hAnsi="仿宋" w:eastAsia="仿宋" w:cs="仿宋"/>
          <w:color w:val="auto"/>
          <w:sz w:val="4"/>
          <w:szCs w:val="4"/>
        </w:rPr>
      </w:pPr>
    </w:p>
    <w:p w14:paraId="1542E06E">
      <w:pPr>
        <w:pStyle w:val="8"/>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auto"/>
          <w:sz w:val="18"/>
          <w:szCs w:val="20"/>
        </w:rPr>
      </w:pPr>
      <w:r>
        <w:rPr>
          <w:rFonts w:hint="eastAsia" w:ascii="仿宋" w:hAnsi="仿宋" w:eastAsia="仿宋" w:cs="仿宋"/>
          <w:color w:val="auto"/>
          <w:sz w:val="18"/>
          <w:szCs w:val="20"/>
        </w:rPr>
        <w:pict>
          <v:group id="组合 35" o:spid="_x0000_s1141"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">
            <o:lock v:ext="edit" rotation="t" aspectratio="f"/>
            <v:shape id="任意多边形 1" o:spid="_x0000_s1129"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 o:spid="_x0000_s113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 o:spid="_x0000_s1131" style="position:absolute;left:24;top:2267;height:20;width:8041;" filled="f" stroked="t" coordsize="8041,20" o:gfxdata="UEsDBAoAAAAAAIdO4kAAAAAAAAAAAAAAAAAEAAAAZHJzL1BLAwQUAAAACACHTuJA5n73KrwAAADa&#10;AAAADwAAAGRycy9kb3ducmV2LnhtbEWPQWsCMRSE7wX/Q3iCt5qs2K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9yq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4" o:spid="_x0000_s1132" style="position:absolute;left:4;top:2286;height:20;width:8079;" filled="f" stroked="t" coordsize="8079,20" o:gfxdata="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4WHrsAAADa&#10;AAAADwAAAAAAAAABACAAAAAiAAAAZHJzL2Rvd25yZXYueG1sUEsBAhQAFAAAAAgAh07iQDMvBZ47&#10;AAAAOQAAABAAAAAAAAAAAQAgAAAACgEAAGRycy9zaGFwZXhtbC54bWxQSwUGAAAAAAYABgBbAQAA&#10;tAMAAAAA&#10;" path="m0,0l8078,0e">
              <v:fill on="f" focussize="0,0"/>
              <v:stroke weight="0.48pt" color="#000000" joinstyle="round"/>
              <v:imagedata o:title=""/>
              <o:lock v:ext="edit" aspectratio="f"/>
            </v:shape>
            <v:shape id="任意多边形 5" o:spid="_x0000_s1133" style="position:absolute;left:9;top:4;height:2287;width:20;" filled="f" stroked="t" coordsize="20,2287" o:gfxdata="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GIb7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任意多边形 6" o:spid="_x0000_s1134" style="position:absolute;left:28;top:24;height:2249;width:20;" filled="f" stroked="t" coordsize="20,2249" o:gfxdata="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65ry/&#10;AAAA2gAAAA8AAAAAAAAAAQAgAAAAIgAAAGRycy9kb3ducmV2LnhtbFBLAQIUABQAAAAIAIdO4kAz&#10;LwWeOwAAADkAAAAQAAAAAAAAAAEAIAAAAA4BAABkcnMvc2hhcGV4bWwueG1sUEsFBgAAAAAGAAYA&#10;WwEAALgDAAAAAA==&#10;" path="m0,0l0,2248e">
              <v:fill on="f" focussize="0,0"/>
              <v:stroke weight="0.48pt" color="#000000" joinstyle="round"/>
              <v:imagedata o:title=""/>
              <o:lock v:ext="edit" aspectratio="f"/>
            </v:shape>
            <v:shape id="任意多边形 7" o:spid="_x0000_s1135" style="position:absolute;left:4034;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任意多边形 8" o:spid="_x0000_s1136" style="position:absolute;left:4053;top:24;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9" o:spid="_x0000_s1137" style="position:absolute;left:8059;top:33;height:2239;width:20;" filled="f" stroked="t" coordsize="20,2239" o:gfxdata="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6Ni7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10" o:spid="_x0000_s1138" style="position:absolute;left:8078;top:14;height:2278;width:20;" filled="f" stroked="t" coordsize="20,2278" o:gfxdata="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chR68AAAA&#10;2wAAAA8AAAAAAAAAAQAgAAAAIgAAAGRycy9kb3ducmV2LnhtbFBLAQIUABQAAAAIAIdO4kAzLwWe&#10;OwAAADkAAAAQAAAAAAAAAAEAIAAAAAsBAABkcnMvc2hhcGV4bWwueG1sUEsFBgAAAAAGAAYAWwEA&#10;ALUDAAAAAA==&#10;" path="m0,0l0,2277e">
              <v:fill on="f" focussize="0,0"/>
              <v:stroke weight="0.48pt" color="#000000" joinstyle="round"/>
              <v:imagedata o:title=""/>
              <o:lock v:ext="edit" aspectratio="f"/>
            </v:shape>
            <v:shape id="文本框 11" o:spid="_x0000_s1139" o:spt="202" type="#_x0000_t202" style="position:absolute;left:19;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14:paraId="7E4CE2EA">
                    <w:pPr>
                      <w:pStyle w:val="8"/>
                      <w:numPr>
                        <w:ilvl w:val="0"/>
                        <w:numId w:val="0"/>
                      </w:numPr>
                      <w:kinsoku w:val="0"/>
                      <w:overflowPunct w:val="0"/>
                      <w:spacing w:before="12"/>
                      <w:ind w:leftChars="0" w:right="0" w:rightChars="0"/>
                      <w:rPr>
                        <w:rFonts w:hint="eastAsia"/>
                        <w:sz w:val="28"/>
                        <w:szCs w:val="28"/>
                      </w:rPr>
                    </w:pPr>
                  </w:p>
                  <w:p w14:paraId="072B1A83">
                    <w:pPr>
                      <w:pStyle w:val="8"/>
                      <w:numPr>
                        <w:ilvl w:val="0"/>
                        <w:numId w:val="0"/>
                      </w:numPr>
                      <w:kinsoku w:val="0"/>
                      <w:overflowPunct w:val="0"/>
                      <w:ind w:right="0" w:rightChars="0"/>
                      <w:jc w:val="center"/>
                      <w:rPr>
                        <w:rFonts w:hint="eastAsia"/>
                      </w:rPr>
                    </w:pPr>
                  </w:p>
                  <w:p w14:paraId="1D927C9C">
                    <w:pPr>
                      <w:pStyle w:val="8"/>
                      <w:numPr>
                        <w:ilvl w:val="0"/>
                        <w:numId w:val="0"/>
                      </w:numPr>
                      <w:kinsoku w:val="0"/>
                      <w:overflowPunct w:val="0"/>
                      <w:ind w:right="0" w:rightChars="0"/>
                      <w:jc w:val="center"/>
                    </w:pPr>
                    <w:r>
                      <w:rPr>
                        <w:rFonts w:hint="eastAsia"/>
                      </w:rPr>
                      <w:t>授权人身份证复印件（正面）</w:t>
                    </w:r>
                  </w:p>
                </w:txbxContent>
              </v:textbox>
            </v:shape>
            <v:shape id="文本框 12" o:spid="_x0000_s1140" o:spt="202" type="#_x0000_t202" style="position:absolute;left:4044;top:19;height:2258;width:4025;"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14:paraId="59CAA929">
                    <w:pPr>
                      <w:pStyle w:val="8"/>
                      <w:numPr>
                        <w:ilvl w:val="0"/>
                        <w:numId w:val="0"/>
                      </w:numPr>
                      <w:kinsoku w:val="0"/>
                      <w:overflowPunct w:val="0"/>
                      <w:ind w:right="0" w:rightChars="0"/>
                      <w:rPr>
                        <w:rFonts w:hint="eastAsia"/>
                      </w:rPr>
                    </w:pPr>
                  </w:p>
                  <w:p w14:paraId="394D0CE3">
                    <w:pPr>
                      <w:pStyle w:val="8"/>
                      <w:numPr>
                        <w:ilvl w:val="0"/>
                        <w:numId w:val="0"/>
                      </w:numPr>
                      <w:kinsoku w:val="0"/>
                      <w:overflowPunct w:val="0"/>
                      <w:ind w:right="0" w:rightChars="0"/>
                      <w:rPr>
                        <w:rFonts w:hint="eastAsia"/>
                      </w:rPr>
                    </w:pPr>
                  </w:p>
                  <w:p w14:paraId="04FA3598">
                    <w:pPr>
                      <w:pStyle w:val="8"/>
                      <w:numPr>
                        <w:ilvl w:val="0"/>
                        <w:numId w:val="0"/>
                      </w:numPr>
                      <w:kinsoku w:val="0"/>
                      <w:overflowPunct w:val="0"/>
                      <w:ind w:right="0" w:rightChars="0"/>
                      <w:rPr>
                        <w:rFonts w:hint="eastAsia"/>
                      </w:rPr>
                    </w:pPr>
                  </w:p>
                  <w:p w14:paraId="514114EB">
                    <w:pPr>
                      <w:pStyle w:val="8"/>
                      <w:numPr>
                        <w:ilvl w:val="0"/>
                        <w:numId w:val="0"/>
                      </w:numPr>
                      <w:kinsoku w:val="0"/>
                      <w:overflowPunct w:val="0"/>
                      <w:ind w:right="0" w:rightChars="0"/>
                    </w:pPr>
                    <w:r>
                      <w:rPr>
                        <w:rFonts w:hint="eastAsia"/>
                      </w:rPr>
                      <w:t>授权人身份证复印件（反面）</w:t>
                    </w:r>
                  </w:p>
                </w:txbxContent>
              </v:textbox>
            </v:shape>
            <w10:wrap type="none"/>
            <w10:anchorlock/>
          </v:group>
        </w:pict>
      </w:r>
    </w:p>
    <w:p w14:paraId="65FD4453">
      <w:pPr>
        <w:pStyle w:val="8"/>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r>
        <w:rPr>
          <w:rFonts w:hint="eastAsia" w:ascii="仿宋" w:hAnsi="仿宋" w:eastAsia="仿宋" w:cs="仿宋"/>
          <w:color w:val="auto"/>
          <w:sz w:val="18"/>
          <w:szCs w:val="20"/>
        </w:rPr>
        <w:pict>
          <v:group id="组合 36" o:spid="_x0000_s1154"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142"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143"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144"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145"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146"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147"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148"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149"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15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151"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152"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14:paraId="2CCD27A9">
                    <w:pPr>
                      <w:pStyle w:val="8"/>
                      <w:numPr>
                        <w:ilvl w:val="0"/>
                        <w:numId w:val="0"/>
                      </w:numPr>
                      <w:kinsoku w:val="0"/>
                      <w:overflowPunct w:val="0"/>
                      <w:ind w:right="0" w:rightChars="0"/>
                      <w:rPr>
                        <w:rFonts w:hint="eastAsia"/>
                      </w:rPr>
                    </w:pPr>
                  </w:p>
                  <w:p w14:paraId="5893AD7D">
                    <w:pPr>
                      <w:pStyle w:val="8"/>
                      <w:numPr>
                        <w:ilvl w:val="0"/>
                        <w:numId w:val="0"/>
                      </w:numPr>
                      <w:kinsoku w:val="0"/>
                      <w:overflowPunct w:val="0"/>
                      <w:ind w:right="0" w:rightChars="0"/>
                      <w:rPr>
                        <w:rFonts w:hint="eastAsia"/>
                      </w:rPr>
                    </w:pPr>
                  </w:p>
                  <w:p w14:paraId="0ECC8273">
                    <w:pPr>
                      <w:pStyle w:val="8"/>
                      <w:numPr>
                        <w:ilvl w:val="0"/>
                        <w:numId w:val="0"/>
                      </w:numPr>
                      <w:kinsoku w:val="0"/>
                      <w:overflowPunct w:val="0"/>
                      <w:ind w:right="0" w:rightChars="0"/>
                      <w:jc w:val="center"/>
                    </w:pPr>
                    <w:r>
                      <w:rPr>
                        <w:rFonts w:hint="eastAsia"/>
                      </w:rPr>
                      <w:t>被授权代表身份证复印件（正面）</w:t>
                    </w:r>
                  </w:p>
                </w:txbxContent>
              </v:textbox>
            </v:shape>
            <v:shape id="文本框 45" o:spid="_x0000_s1153"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path/>
              <v:fill on="f" focussize="0,0"/>
              <v:stroke on="f"/>
              <v:imagedata o:title=""/>
              <o:lock v:ext="edit" aspectratio="f"/>
              <v:textbox inset="0mm,0mm,0mm,0mm">
                <w:txbxContent>
                  <w:p w14:paraId="51325956">
                    <w:pPr>
                      <w:pStyle w:val="8"/>
                      <w:numPr>
                        <w:ilvl w:val="0"/>
                        <w:numId w:val="0"/>
                      </w:numPr>
                      <w:kinsoku w:val="0"/>
                      <w:overflowPunct w:val="0"/>
                      <w:ind w:right="0" w:rightChars="0"/>
                      <w:rPr>
                        <w:rFonts w:hint="eastAsia"/>
                      </w:rPr>
                    </w:pPr>
                  </w:p>
                  <w:p w14:paraId="4BA57B0E">
                    <w:pPr>
                      <w:pStyle w:val="8"/>
                      <w:numPr>
                        <w:ilvl w:val="0"/>
                        <w:numId w:val="0"/>
                      </w:numPr>
                      <w:kinsoku w:val="0"/>
                      <w:overflowPunct w:val="0"/>
                      <w:ind w:right="0" w:rightChars="0"/>
                      <w:rPr>
                        <w:rFonts w:hint="eastAsia"/>
                      </w:rPr>
                    </w:pPr>
                  </w:p>
                  <w:p w14:paraId="74352E37">
                    <w:pPr>
                      <w:pStyle w:val="8"/>
                      <w:numPr>
                        <w:ilvl w:val="0"/>
                        <w:numId w:val="0"/>
                      </w:numPr>
                      <w:kinsoku w:val="0"/>
                      <w:overflowPunct w:val="0"/>
                      <w:ind w:right="0" w:rightChars="0"/>
                    </w:pPr>
                    <w:r>
                      <w:rPr>
                        <w:rFonts w:hint="eastAsia"/>
                      </w:rPr>
                      <w:t>被授权代表身份证复印件（反面）</w:t>
                    </w:r>
                  </w:p>
                </w:txbxContent>
              </v:textbox>
            </v:shape>
            <w10:wrap type="none"/>
            <w10:anchorlock/>
          </v:group>
        </w:pict>
      </w:r>
    </w:p>
    <w:p w14:paraId="7AF3B413">
      <w:pPr>
        <w:pStyle w:val="8"/>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04EE0795">
      <w:pPr>
        <w:pStyle w:val="8"/>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7384C343">
      <w:pPr>
        <w:pStyle w:val="8"/>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签章</w:t>
      </w:r>
      <w:r>
        <w:rPr>
          <w:rFonts w:hint="eastAsia" w:ascii="仿宋" w:hAnsi="仿宋" w:eastAsia="仿宋" w:cs="仿宋"/>
          <w:color w:val="auto"/>
          <w:sz w:val="24"/>
        </w:rPr>
        <w:t>）：</w:t>
      </w:r>
    </w:p>
    <w:p w14:paraId="6AF1DD6E">
      <w:pPr>
        <w:pStyle w:val="8"/>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rPr>
        <w:tab/>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14:paraId="3B8E1B2A">
      <w:pPr>
        <w:pStyle w:val="8"/>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rPr>
        <w:tab/>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14:paraId="34C27C90">
      <w:pPr>
        <w:pStyle w:val="8"/>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14:paraId="729F6935">
      <w:pPr>
        <w:pStyle w:val="8"/>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14:paraId="7C04348D">
      <w:pPr>
        <w:pStyle w:val="36"/>
        <w:rPr>
          <w:rFonts w:hint="eastAsia" w:ascii="仿宋" w:hAnsi="仿宋" w:eastAsia="仿宋" w:cs="仿宋"/>
          <w:b/>
          <w:color w:val="auto"/>
          <w:sz w:val="24"/>
          <w:szCs w:val="20"/>
          <w:highlight w:val="none"/>
          <w:lang w:val="en-US" w:eastAsia="zh-CN" w:bidi="en-US"/>
        </w:rPr>
      </w:pPr>
      <w:r>
        <w:rPr>
          <w:rFonts w:hint="eastAsia" w:ascii="仿宋" w:hAnsi="仿宋" w:eastAsia="仿宋" w:cs="仿宋"/>
          <w:color w:val="auto"/>
        </w:rPr>
        <w:br w:type="page"/>
      </w:r>
    </w:p>
    <w:p w14:paraId="722E395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lang w:val="en-US" w:eastAsia="zh-CN"/>
        </w:rPr>
      </w:pPr>
      <w:r>
        <w:rPr>
          <w:rFonts w:hint="eastAsia" w:ascii="仿宋" w:hAnsi="仿宋" w:eastAsia="仿宋" w:cs="仿宋"/>
          <w:b/>
          <w:bCs/>
          <w:color w:val="auto"/>
          <w:sz w:val="32"/>
          <w:szCs w:val="32"/>
          <w:lang w:val="en-US" w:eastAsia="zh-CN"/>
        </w:rPr>
        <w:t>（3）投标企业须提供投标人（被授权在职人员）近6个月内任意1个月的社保证明</w:t>
      </w:r>
    </w:p>
    <w:p w14:paraId="4BF430E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说明：复印件上应加盖本单位章</w:t>
      </w:r>
    </w:p>
    <w:p w14:paraId="5F3D7801">
      <w:pPr>
        <w:pStyle w:val="36"/>
        <w:rPr>
          <w:rFonts w:ascii="仿宋" w:hAnsi="仿宋" w:eastAsia="仿宋" w:cs="仿宋"/>
          <w:color w:val="auto"/>
          <w:lang w:eastAsia="zh-CN"/>
        </w:rPr>
      </w:pPr>
    </w:p>
    <w:p w14:paraId="3D23E41B">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785D11B5">
      <w:pPr>
        <w:pStyle w:val="35"/>
        <w:rPr>
          <w:rFonts w:hint="eastAsia" w:ascii="仿宋" w:hAnsi="仿宋" w:eastAsia="仿宋" w:cs="仿宋"/>
          <w:b/>
          <w:color w:val="auto"/>
          <w:sz w:val="32"/>
          <w:szCs w:val="22"/>
          <w:highlight w:val="none"/>
          <w:lang w:val="en-US" w:eastAsia="zh-CN" w:bidi="en-US"/>
        </w:rPr>
      </w:pPr>
    </w:p>
    <w:p w14:paraId="7D3CB689">
      <w:pPr>
        <w:pStyle w:val="35"/>
        <w:rPr>
          <w:rFonts w:hint="eastAsia" w:ascii="仿宋" w:hAnsi="仿宋" w:eastAsia="仿宋" w:cs="仿宋"/>
          <w:b/>
          <w:color w:val="auto"/>
          <w:sz w:val="32"/>
          <w:szCs w:val="22"/>
          <w:highlight w:val="none"/>
          <w:lang w:val="en-US" w:eastAsia="zh-CN" w:bidi="en-US"/>
        </w:rPr>
      </w:pPr>
    </w:p>
    <w:p w14:paraId="662002A1">
      <w:pPr>
        <w:pStyle w:val="35"/>
        <w:rPr>
          <w:rFonts w:hint="eastAsia" w:ascii="仿宋" w:hAnsi="仿宋" w:eastAsia="仿宋" w:cs="仿宋"/>
          <w:b/>
          <w:color w:val="auto"/>
          <w:sz w:val="32"/>
          <w:szCs w:val="22"/>
          <w:highlight w:val="none"/>
          <w:lang w:val="en-US" w:eastAsia="zh-CN" w:bidi="en-US"/>
        </w:rPr>
      </w:pPr>
    </w:p>
    <w:p w14:paraId="7E986C2C">
      <w:pPr>
        <w:pStyle w:val="35"/>
        <w:rPr>
          <w:rFonts w:hint="eastAsia" w:ascii="仿宋" w:hAnsi="仿宋" w:eastAsia="仿宋" w:cs="仿宋"/>
          <w:b/>
          <w:color w:val="auto"/>
          <w:sz w:val="32"/>
          <w:szCs w:val="22"/>
          <w:highlight w:val="none"/>
          <w:lang w:val="en-US" w:eastAsia="zh-CN" w:bidi="en-US"/>
        </w:rPr>
      </w:pPr>
    </w:p>
    <w:p w14:paraId="2DD5FA4A">
      <w:pPr>
        <w:pStyle w:val="35"/>
        <w:rPr>
          <w:rFonts w:hint="eastAsia" w:ascii="仿宋" w:hAnsi="仿宋" w:eastAsia="仿宋" w:cs="仿宋"/>
          <w:b/>
          <w:color w:val="auto"/>
          <w:sz w:val="32"/>
          <w:szCs w:val="22"/>
          <w:highlight w:val="none"/>
          <w:lang w:val="en-US" w:eastAsia="zh-CN" w:bidi="en-US"/>
        </w:rPr>
      </w:pPr>
    </w:p>
    <w:p w14:paraId="0C2FE029">
      <w:pPr>
        <w:pStyle w:val="35"/>
        <w:rPr>
          <w:rFonts w:hint="eastAsia" w:ascii="仿宋" w:hAnsi="仿宋" w:eastAsia="仿宋" w:cs="仿宋"/>
          <w:b/>
          <w:color w:val="auto"/>
          <w:sz w:val="32"/>
          <w:szCs w:val="22"/>
          <w:highlight w:val="none"/>
          <w:lang w:val="en-US" w:eastAsia="zh-CN" w:bidi="en-US"/>
        </w:rPr>
      </w:pPr>
    </w:p>
    <w:p w14:paraId="39E97455">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5B217EF3">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r>
        <w:rPr>
          <w:rFonts w:hint="eastAsia" w:ascii="仿宋" w:hAnsi="仿宋" w:eastAsia="仿宋" w:cs="仿宋"/>
          <w:b/>
          <w:color w:val="auto"/>
          <w:sz w:val="32"/>
          <w:szCs w:val="22"/>
          <w:highlight w:val="none"/>
          <w:lang w:val="en-US" w:eastAsia="zh-CN" w:bidi="en-US"/>
        </w:rPr>
        <w:t>（4）投标企业需提供参加本次采购活动前三年内未被“信用中国”（www.creditchina.gov.cn）、中国政府采购网（www.ccgp.gov.cn）列入失信被执行人、重大税收违法案件当事人名单、政府采购严重违法失信行为记录名单；</w:t>
      </w:r>
    </w:p>
    <w:p w14:paraId="35CA1082">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26BCD0E2">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0310DD51">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330A4E1D">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60B38810">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3DFD39CB">
      <w:pPr>
        <w:widowControl/>
        <w:numPr>
          <w:ilvl w:val="0"/>
          <w:numId w:val="7"/>
        </w:numPr>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r>
        <w:rPr>
          <w:rFonts w:hint="eastAsia" w:ascii="仿宋" w:hAnsi="仿宋" w:eastAsia="仿宋" w:cs="仿宋"/>
          <w:b/>
          <w:color w:val="auto"/>
          <w:sz w:val="32"/>
          <w:szCs w:val="22"/>
          <w:highlight w:val="none"/>
          <w:lang w:val="en-US" w:eastAsia="zh-CN" w:bidi="en-US"/>
        </w:rPr>
        <w:t>投标单位（供应商）针对本次采购项目《反商业贿赂承诺书》，《采购活动前三年内无重大违规记录承诺书》的书面声明。</w:t>
      </w:r>
    </w:p>
    <w:p w14:paraId="53082E7B">
      <w:pPr>
        <w:pStyle w:val="11"/>
        <w:shd w:val="clear" w:color="auto" w:fill="auto"/>
        <w:tabs>
          <w:tab w:val="left" w:pos="5580"/>
        </w:tabs>
        <w:spacing w:line="240" w:lineRule="atLeas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说明：1.投标人应按照相关法规规定如实作出说明。</w:t>
      </w:r>
    </w:p>
    <w:p w14:paraId="5B47FF2B">
      <w:pPr>
        <w:pStyle w:val="11"/>
        <w:shd w:val="clear" w:color="auto" w:fill="auto"/>
        <w:tabs>
          <w:tab w:val="left" w:pos="5580"/>
        </w:tabs>
        <w:spacing w:line="240" w:lineRule="atLeast"/>
        <w:ind w:left="746" w:leftChars="307" w:firstLine="607" w:firstLineChars="25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24"/>
          <w:highlight w:val="none"/>
        </w:rPr>
        <w:t>2．按照招标文件的规定加盖单位章（自然人投标的无需盖章，需要签字）。</w:t>
      </w:r>
    </w:p>
    <w:p w14:paraId="2CD71433">
      <w:pPr>
        <w:pStyle w:val="36"/>
        <w:ind w:left="0" w:leftChars="0" w:firstLine="0" w:firstLineChars="0"/>
        <w:rPr>
          <w:rFonts w:hint="eastAsia" w:ascii="仿宋" w:hAnsi="仿宋" w:eastAsia="仿宋" w:cs="仿宋"/>
          <w:b/>
          <w:bCs/>
          <w:color w:val="auto"/>
          <w:sz w:val="32"/>
          <w:szCs w:val="32"/>
        </w:rPr>
      </w:pPr>
    </w:p>
    <w:p w14:paraId="7C0957AF">
      <w:pPr>
        <w:pStyle w:val="35"/>
        <w:numPr>
          <w:ilvl w:val="0"/>
          <w:numId w:val="0"/>
        </w:numPr>
        <w:rPr>
          <w:rFonts w:hint="eastAsia"/>
          <w:color w:val="auto"/>
          <w:lang w:val="en-US" w:eastAsia="zh-CN"/>
        </w:rPr>
      </w:pPr>
    </w:p>
    <w:p w14:paraId="1FD72C0D">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2CBD8E14">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1933CE46">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72C680AF">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473615A6">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p>
    <w:p w14:paraId="61CCAC6A">
      <w:pPr>
        <w:pStyle w:val="35"/>
        <w:rPr>
          <w:rFonts w:hint="eastAsia" w:ascii="仿宋" w:hAnsi="仿宋" w:eastAsia="仿宋" w:cs="仿宋"/>
          <w:b/>
          <w:color w:val="auto"/>
          <w:sz w:val="32"/>
          <w:szCs w:val="22"/>
          <w:highlight w:val="none"/>
          <w:lang w:val="en-US" w:eastAsia="zh-CN" w:bidi="en-US"/>
        </w:rPr>
      </w:pPr>
    </w:p>
    <w:p w14:paraId="36D9A5BF">
      <w:pPr>
        <w:pStyle w:val="35"/>
        <w:rPr>
          <w:rFonts w:hint="eastAsia" w:ascii="仿宋" w:hAnsi="仿宋" w:eastAsia="仿宋" w:cs="仿宋"/>
          <w:b/>
          <w:color w:val="auto"/>
          <w:sz w:val="32"/>
          <w:szCs w:val="22"/>
          <w:highlight w:val="none"/>
          <w:lang w:val="en-US" w:eastAsia="zh-CN" w:bidi="en-US"/>
        </w:rPr>
      </w:pPr>
    </w:p>
    <w:p w14:paraId="5C7F0E36">
      <w:pPr>
        <w:pStyle w:val="35"/>
        <w:rPr>
          <w:rFonts w:hint="eastAsia" w:ascii="仿宋" w:hAnsi="仿宋" w:eastAsia="仿宋" w:cs="仿宋"/>
          <w:b/>
          <w:color w:val="auto"/>
          <w:sz w:val="32"/>
          <w:szCs w:val="22"/>
          <w:highlight w:val="none"/>
          <w:lang w:val="en-US" w:eastAsia="zh-CN" w:bidi="en-US"/>
        </w:rPr>
      </w:pPr>
    </w:p>
    <w:p w14:paraId="0234D32C">
      <w:pPr>
        <w:pStyle w:val="35"/>
        <w:rPr>
          <w:rFonts w:hint="eastAsia" w:ascii="仿宋" w:hAnsi="仿宋" w:eastAsia="仿宋" w:cs="仿宋"/>
          <w:b/>
          <w:color w:val="auto"/>
          <w:sz w:val="32"/>
          <w:szCs w:val="22"/>
          <w:highlight w:val="none"/>
          <w:lang w:val="en-US" w:eastAsia="zh-CN" w:bidi="en-US"/>
        </w:rPr>
      </w:pPr>
    </w:p>
    <w:p w14:paraId="008C103E">
      <w:pPr>
        <w:pStyle w:val="35"/>
        <w:rPr>
          <w:rFonts w:hint="eastAsia" w:ascii="仿宋" w:hAnsi="仿宋" w:eastAsia="仿宋" w:cs="仿宋"/>
          <w:b/>
          <w:color w:val="auto"/>
          <w:sz w:val="32"/>
          <w:szCs w:val="22"/>
          <w:highlight w:val="none"/>
          <w:lang w:val="en-US" w:eastAsia="zh-CN" w:bidi="en-US"/>
        </w:rPr>
      </w:pPr>
    </w:p>
    <w:p w14:paraId="79C46E1B">
      <w:pPr>
        <w:pStyle w:val="35"/>
        <w:rPr>
          <w:rFonts w:hint="eastAsia" w:ascii="仿宋" w:hAnsi="仿宋" w:eastAsia="仿宋" w:cs="仿宋"/>
          <w:b/>
          <w:color w:val="auto"/>
          <w:sz w:val="32"/>
          <w:szCs w:val="22"/>
          <w:highlight w:val="none"/>
          <w:lang w:val="en-US" w:eastAsia="zh-CN" w:bidi="en-US"/>
        </w:rPr>
      </w:pPr>
    </w:p>
    <w:p w14:paraId="071250B8">
      <w:pPr>
        <w:pStyle w:val="35"/>
        <w:rPr>
          <w:rFonts w:hint="eastAsia" w:ascii="仿宋" w:hAnsi="仿宋" w:eastAsia="仿宋" w:cs="仿宋"/>
          <w:b/>
          <w:color w:val="auto"/>
          <w:sz w:val="32"/>
          <w:szCs w:val="22"/>
          <w:highlight w:val="none"/>
          <w:lang w:val="en-US" w:eastAsia="zh-CN" w:bidi="en-US"/>
        </w:rPr>
      </w:pPr>
    </w:p>
    <w:p w14:paraId="4DFA925C">
      <w:pPr>
        <w:pStyle w:val="35"/>
        <w:rPr>
          <w:rFonts w:hint="eastAsia" w:ascii="仿宋" w:hAnsi="仿宋" w:eastAsia="仿宋" w:cs="仿宋"/>
          <w:b/>
          <w:color w:val="auto"/>
          <w:sz w:val="32"/>
          <w:szCs w:val="22"/>
          <w:highlight w:val="none"/>
          <w:lang w:val="en-US" w:eastAsia="zh-CN" w:bidi="en-US"/>
        </w:rPr>
      </w:pPr>
    </w:p>
    <w:p w14:paraId="401736AF">
      <w:pPr>
        <w:pStyle w:val="35"/>
        <w:rPr>
          <w:rFonts w:hint="eastAsia" w:ascii="仿宋" w:hAnsi="仿宋" w:eastAsia="仿宋" w:cs="仿宋"/>
          <w:b/>
          <w:color w:val="auto"/>
          <w:sz w:val="32"/>
          <w:szCs w:val="22"/>
          <w:highlight w:val="none"/>
          <w:lang w:val="en-US" w:eastAsia="zh-CN" w:bidi="en-US"/>
        </w:rPr>
      </w:pPr>
    </w:p>
    <w:p w14:paraId="494562D9">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r>
        <w:rPr>
          <w:rFonts w:hint="eastAsia" w:ascii="仿宋" w:hAnsi="仿宋" w:eastAsia="仿宋" w:cs="仿宋"/>
          <w:b/>
          <w:color w:val="auto"/>
          <w:sz w:val="32"/>
          <w:szCs w:val="22"/>
          <w:highlight w:val="none"/>
          <w:lang w:val="en-US" w:eastAsia="zh-CN" w:bidi="en-US"/>
        </w:rPr>
        <w:t>（6）具有良好的商业信誉和健全的财务会计制度（提供2024年经审计的财务报告；或提供2024年的财务报表，新成立公司不足一年的提供成立至今的财务报表；或提供开户银行出具的资信证明）</w:t>
      </w:r>
    </w:p>
    <w:p w14:paraId="585674BC">
      <w:pPr>
        <w:pStyle w:val="35"/>
        <w:rPr>
          <w:rFonts w:hint="eastAsia" w:ascii="仿宋" w:hAnsi="仿宋" w:eastAsia="仿宋" w:cs="仿宋"/>
          <w:b/>
          <w:color w:val="auto"/>
          <w:sz w:val="32"/>
          <w:szCs w:val="22"/>
          <w:highlight w:val="none"/>
          <w:lang w:val="en-US" w:eastAsia="zh-CN" w:bidi="en-US"/>
        </w:rPr>
      </w:pPr>
    </w:p>
    <w:p w14:paraId="03E6DFA1">
      <w:pPr>
        <w:pStyle w:val="35"/>
        <w:rPr>
          <w:rFonts w:hint="eastAsia" w:ascii="仿宋" w:hAnsi="仿宋" w:eastAsia="仿宋" w:cs="仿宋"/>
          <w:b/>
          <w:color w:val="auto"/>
          <w:sz w:val="32"/>
          <w:szCs w:val="22"/>
          <w:highlight w:val="none"/>
          <w:lang w:val="en-US" w:eastAsia="zh-CN" w:bidi="en-US"/>
        </w:rPr>
      </w:pPr>
    </w:p>
    <w:p w14:paraId="1365BB0A">
      <w:pPr>
        <w:pStyle w:val="35"/>
        <w:rPr>
          <w:rFonts w:hint="eastAsia" w:ascii="仿宋" w:hAnsi="仿宋" w:eastAsia="仿宋" w:cs="仿宋"/>
          <w:b/>
          <w:color w:val="auto"/>
          <w:sz w:val="32"/>
          <w:szCs w:val="22"/>
          <w:highlight w:val="none"/>
          <w:lang w:val="en-US" w:eastAsia="zh-CN" w:bidi="en-US"/>
        </w:rPr>
      </w:pPr>
    </w:p>
    <w:p w14:paraId="49B160EF">
      <w:pPr>
        <w:pStyle w:val="35"/>
        <w:rPr>
          <w:rFonts w:hint="eastAsia" w:ascii="仿宋" w:hAnsi="仿宋" w:eastAsia="仿宋" w:cs="仿宋"/>
          <w:b/>
          <w:color w:val="auto"/>
          <w:sz w:val="32"/>
          <w:szCs w:val="22"/>
          <w:highlight w:val="none"/>
          <w:lang w:val="en-US" w:eastAsia="zh-CN" w:bidi="en-US"/>
        </w:rPr>
      </w:pPr>
    </w:p>
    <w:p w14:paraId="6C8EEA63">
      <w:pPr>
        <w:pStyle w:val="35"/>
        <w:rPr>
          <w:rFonts w:hint="eastAsia" w:ascii="仿宋" w:hAnsi="仿宋" w:eastAsia="仿宋" w:cs="仿宋"/>
          <w:b/>
          <w:color w:val="auto"/>
          <w:sz w:val="32"/>
          <w:szCs w:val="22"/>
          <w:highlight w:val="none"/>
          <w:lang w:val="en-US" w:eastAsia="zh-CN" w:bidi="en-US"/>
        </w:rPr>
      </w:pPr>
      <w:r>
        <w:rPr>
          <w:rFonts w:hint="eastAsia" w:ascii="仿宋" w:hAnsi="仿宋" w:eastAsia="仿宋" w:cs="仿宋"/>
          <w:b/>
          <w:color w:val="auto"/>
          <w:sz w:val="32"/>
          <w:szCs w:val="22"/>
          <w:highlight w:val="none"/>
          <w:lang w:val="en-US" w:eastAsia="zh-CN" w:bidi="en-US"/>
        </w:rPr>
        <w:t>（7）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p w14:paraId="32F02293">
      <w:pPr>
        <w:pStyle w:val="35"/>
        <w:rPr>
          <w:rFonts w:hint="eastAsia" w:ascii="仿宋" w:hAnsi="仿宋" w:eastAsia="仿宋" w:cs="仿宋"/>
          <w:b/>
          <w:color w:val="auto"/>
          <w:sz w:val="32"/>
          <w:szCs w:val="22"/>
          <w:highlight w:val="none"/>
          <w:lang w:val="en-US" w:eastAsia="zh-CN" w:bidi="en-US"/>
        </w:rPr>
      </w:pPr>
    </w:p>
    <w:p w14:paraId="4E3D13E2">
      <w:pPr>
        <w:pStyle w:val="35"/>
        <w:rPr>
          <w:rFonts w:hint="eastAsia" w:ascii="仿宋" w:hAnsi="仿宋" w:eastAsia="仿宋" w:cs="仿宋"/>
          <w:b/>
          <w:color w:val="auto"/>
          <w:sz w:val="32"/>
          <w:szCs w:val="22"/>
          <w:highlight w:val="none"/>
          <w:lang w:val="en-US" w:eastAsia="zh-CN" w:bidi="en-US"/>
        </w:rPr>
      </w:pPr>
    </w:p>
    <w:p w14:paraId="040C4E31">
      <w:pPr>
        <w:pStyle w:val="35"/>
        <w:rPr>
          <w:rFonts w:hint="eastAsia" w:ascii="仿宋" w:hAnsi="仿宋" w:eastAsia="仿宋" w:cs="仿宋"/>
          <w:b/>
          <w:color w:val="auto"/>
          <w:sz w:val="32"/>
          <w:szCs w:val="22"/>
          <w:highlight w:val="none"/>
          <w:lang w:val="en-US" w:eastAsia="zh-CN" w:bidi="en-US"/>
        </w:rPr>
      </w:pPr>
    </w:p>
    <w:p w14:paraId="085B58BA">
      <w:pPr>
        <w:pStyle w:val="35"/>
        <w:rPr>
          <w:rFonts w:hint="eastAsia" w:ascii="仿宋" w:hAnsi="仿宋" w:eastAsia="仿宋" w:cs="仿宋"/>
          <w:b/>
          <w:color w:val="auto"/>
          <w:sz w:val="32"/>
          <w:szCs w:val="22"/>
          <w:highlight w:val="none"/>
          <w:lang w:val="en-US" w:eastAsia="zh-CN" w:bidi="en-US"/>
        </w:rPr>
      </w:pPr>
    </w:p>
    <w:p w14:paraId="606B820B">
      <w:pPr>
        <w:pStyle w:val="35"/>
        <w:rPr>
          <w:rFonts w:hint="eastAsia" w:ascii="仿宋" w:hAnsi="仿宋" w:eastAsia="仿宋" w:cs="仿宋"/>
          <w:b/>
          <w:color w:val="auto"/>
          <w:sz w:val="32"/>
          <w:szCs w:val="22"/>
          <w:highlight w:val="none"/>
          <w:lang w:val="en-US" w:eastAsia="zh-CN" w:bidi="en-US"/>
        </w:rPr>
      </w:pPr>
    </w:p>
    <w:p w14:paraId="6ACB9838">
      <w:pPr>
        <w:pStyle w:val="35"/>
        <w:rPr>
          <w:rFonts w:hint="eastAsia" w:ascii="仿宋" w:hAnsi="仿宋" w:eastAsia="仿宋" w:cs="仿宋"/>
          <w:b/>
          <w:color w:val="auto"/>
          <w:sz w:val="32"/>
          <w:szCs w:val="22"/>
          <w:highlight w:val="none"/>
          <w:lang w:val="en-US" w:eastAsia="zh-CN" w:bidi="en-US"/>
        </w:rPr>
      </w:pPr>
    </w:p>
    <w:p w14:paraId="3EF67090">
      <w:pPr>
        <w:pStyle w:val="35"/>
        <w:rPr>
          <w:rFonts w:hint="eastAsia" w:ascii="仿宋" w:hAnsi="仿宋" w:eastAsia="仿宋" w:cs="仿宋"/>
          <w:b/>
          <w:color w:val="auto"/>
          <w:sz w:val="32"/>
          <w:szCs w:val="22"/>
          <w:highlight w:val="none"/>
          <w:lang w:val="en-US" w:eastAsia="zh-CN" w:bidi="en-US"/>
        </w:rPr>
      </w:pPr>
    </w:p>
    <w:p w14:paraId="6215E843">
      <w:pPr>
        <w:pStyle w:val="35"/>
        <w:rPr>
          <w:rFonts w:hint="eastAsia" w:ascii="仿宋" w:hAnsi="仿宋" w:eastAsia="仿宋" w:cs="仿宋"/>
          <w:b/>
          <w:color w:val="auto"/>
          <w:sz w:val="32"/>
          <w:szCs w:val="22"/>
          <w:highlight w:val="none"/>
          <w:lang w:val="en-US" w:eastAsia="zh-CN" w:bidi="en-US"/>
        </w:rPr>
      </w:pPr>
    </w:p>
    <w:p w14:paraId="6A6F747F">
      <w:pPr>
        <w:pStyle w:val="35"/>
        <w:rPr>
          <w:rFonts w:hint="eastAsia" w:ascii="仿宋" w:hAnsi="仿宋" w:eastAsia="仿宋" w:cs="仿宋"/>
          <w:b/>
          <w:color w:val="auto"/>
          <w:sz w:val="32"/>
          <w:szCs w:val="22"/>
          <w:highlight w:val="none"/>
          <w:lang w:val="en-US" w:eastAsia="zh-CN" w:bidi="en-US"/>
        </w:rPr>
      </w:pPr>
    </w:p>
    <w:p w14:paraId="1DD36842">
      <w:pPr>
        <w:pStyle w:val="35"/>
        <w:rPr>
          <w:rFonts w:hint="eastAsia" w:ascii="仿宋" w:hAnsi="仿宋" w:eastAsia="仿宋" w:cs="仿宋"/>
          <w:b/>
          <w:color w:val="auto"/>
          <w:sz w:val="32"/>
          <w:szCs w:val="22"/>
          <w:highlight w:val="none"/>
          <w:lang w:val="en-US" w:eastAsia="zh-CN" w:bidi="en-US"/>
        </w:rPr>
      </w:pPr>
    </w:p>
    <w:p w14:paraId="2753FDB9">
      <w:pPr>
        <w:pStyle w:val="35"/>
        <w:rPr>
          <w:rFonts w:hint="eastAsia" w:ascii="仿宋" w:hAnsi="仿宋" w:eastAsia="仿宋" w:cs="仿宋"/>
          <w:b/>
          <w:color w:val="auto"/>
          <w:sz w:val="32"/>
          <w:szCs w:val="22"/>
          <w:highlight w:val="none"/>
          <w:lang w:val="en-US" w:eastAsia="zh-CN" w:bidi="en-US"/>
        </w:rPr>
      </w:pPr>
    </w:p>
    <w:p w14:paraId="115AD6DA">
      <w:pPr>
        <w:pStyle w:val="35"/>
        <w:rPr>
          <w:rFonts w:hint="eastAsia" w:ascii="仿宋" w:hAnsi="仿宋" w:eastAsia="仿宋" w:cs="仿宋"/>
          <w:b/>
          <w:color w:val="auto"/>
          <w:sz w:val="32"/>
          <w:szCs w:val="22"/>
          <w:highlight w:val="none"/>
          <w:lang w:val="en-US" w:eastAsia="zh-CN" w:bidi="en-US"/>
        </w:rPr>
      </w:pPr>
    </w:p>
    <w:p w14:paraId="42219917">
      <w:pPr>
        <w:pStyle w:val="35"/>
        <w:rPr>
          <w:rFonts w:hint="eastAsia" w:ascii="仿宋" w:hAnsi="仿宋" w:eastAsia="仿宋" w:cs="仿宋"/>
          <w:b/>
          <w:color w:val="auto"/>
          <w:sz w:val="32"/>
          <w:szCs w:val="22"/>
          <w:highlight w:val="none"/>
          <w:lang w:val="en-US" w:eastAsia="zh-CN" w:bidi="en-US"/>
        </w:rPr>
      </w:pPr>
    </w:p>
    <w:p w14:paraId="0E928404">
      <w:pPr>
        <w:pStyle w:val="35"/>
        <w:rPr>
          <w:rFonts w:hint="eastAsia" w:ascii="仿宋" w:hAnsi="仿宋" w:eastAsia="仿宋" w:cs="仿宋"/>
          <w:b/>
          <w:color w:val="auto"/>
          <w:sz w:val="32"/>
          <w:szCs w:val="22"/>
          <w:highlight w:val="none"/>
          <w:lang w:val="en-US" w:eastAsia="zh-CN" w:bidi="en-US"/>
        </w:rPr>
      </w:pPr>
    </w:p>
    <w:p w14:paraId="34B888FE">
      <w:pPr>
        <w:pStyle w:val="35"/>
        <w:rPr>
          <w:rFonts w:hint="eastAsia" w:ascii="仿宋" w:hAnsi="仿宋" w:eastAsia="仿宋" w:cs="仿宋"/>
          <w:b/>
          <w:color w:val="auto"/>
          <w:sz w:val="32"/>
          <w:szCs w:val="22"/>
          <w:highlight w:val="none"/>
          <w:lang w:val="en-US" w:eastAsia="zh-CN" w:bidi="en-US"/>
        </w:rPr>
      </w:pPr>
    </w:p>
    <w:p w14:paraId="5E6729E2">
      <w:pPr>
        <w:widowControl/>
        <w:spacing w:before="100" w:beforeAutospacing="1" w:after="100" w:afterAutospacing="1" w:line="360" w:lineRule="auto"/>
        <w:jc w:val="left"/>
        <w:rPr>
          <w:rFonts w:hint="eastAsia" w:ascii="仿宋" w:hAnsi="仿宋" w:eastAsia="仿宋" w:cs="仿宋"/>
          <w:b/>
          <w:color w:val="auto"/>
          <w:sz w:val="32"/>
          <w:szCs w:val="22"/>
          <w:highlight w:val="none"/>
          <w:lang w:val="en-US" w:eastAsia="zh-CN" w:bidi="en-US"/>
        </w:rPr>
      </w:pPr>
      <w:r>
        <w:rPr>
          <w:rFonts w:hint="eastAsia" w:ascii="仿宋" w:hAnsi="仿宋" w:eastAsia="仿宋" w:cs="仿宋"/>
          <w:b/>
          <w:color w:val="auto"/>
          <w:sz w:val="32"/>
          <w:szCs w:val="22"/>
          <w:highlight w:val="none"/>
          <w:lang w:val="en-US" w:eastAsia="zh-CN" w:bidi="en-US"/>
        </w:rPr>
        <w:t>（8）投标保证金缴纳依据（汇款凭证）或保函等票据</w:t>
      </w:r>
    </w:p>
    <w:tbl>
      <w:tblPr>
        <w:tblStyle w:val="26"/>
        <w:tblpPr w:leftFromText="180" w:rightFromText="180" w:vertAnchor="text" w:horzAnchor="page" w:tblpX="1919" w:tblpY="393"/>
        <w:tblOverlap w:val="never"/>
        <w:tblW w:w="7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0"/>
      </w:tblGrid>
      <w:tr w14:paraId="087A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7360" w:type="dxa"/>
            <w:noWrap w:val="0"/>
            <w:vAlign w:val="top"/>
          </w:tcPr>
          <w:p w14:paraId="3A491FB4">
            <w:pPr>
              <w:jc w:val="both"/>
              <w:rPr>
                <w:rFonts w:hint="eastAsia" w:ascii="宋体" w:hAnsi="宋体" w:cs="宋体"/>
                <w:b/>
                <w:color w:val="auto"/>
                <w:sz w:val="30"/>
                <w:szCs w:val="30"/>
              </w:rPr>
            </w:pPr>
          </w:p>
          <w:p w14:paraId="5CCDE264">
            <w:pPr>
              <w:jc w:val="center"/>
              <w:rPr>
                <w:rFonts w:hint="default" w:ascii="宋体" w:hAnsi="宋体" w:eastAsia="宋体" w:cs="宋体"/>
                <w:b/>
                <w:color w:val="auto"/>
                <w:sz w:val="30"/>
                <w:szCs w:val="30"/>
                <w:vertAlign w:val="baseline"/>
                <w:lang w:val="en-US" w:eastAsia="zh-CN"/>
              </w:rPr>
            </w:pPr>
            <w:r>
              <w:rPr>
                <w:rFonts w:hint="eastAsia" w:ascii="宋体" w:hAnsi="宋体" w:cs="宋体"/>
                <w:b/>
                <w:color w:val="auto"/>
                <w:sz w:val="30"/>
                <w:szCs w:val="30"/>
              </w:rPr>
              <w:t>投标保证金</w:t>
            </w:r>
            <w:r>
              <w:rPr>
                <w:rFonts w:hint="eastAsia" w:ascii="宋体" w:hAnsi="宋体" w:cs="宋体"/>
                <w:b/>
                <w:color w:val="auto"/>
                <w:sz w:val="30"/>
                <w:szCs w:val="30"/>
                <w:lang w:val="en-US" w:eastAsia="zh-CN"/>
              </w:rPr>
              <w:t>缴纳依据（汇款凭证）</w:t>
            </w:r>
          </w:p>
        </w:tc>
      </w:tr>
    </w:tbl>
    <w:p w14:paraId="0FAD9D3A">
      <w:pPr>
        <w:rPr>
          <w:rFonts w:ascii="仿宋" w:hAnsi="仿宋" w:eastAsia="仿宋" w:cs="仿宋"/>
          <w:color w:val="auto"/>
          <w:sz w:val="20"/>
        </w:rPr>
      </w:pPr>
    </w:p>
    <w:p w14:paraId="5341CD67">
      <w:pPr>
        <w:pStyle w:val="36"/>
        <w:rPr>
          <w:rFonts w:ascii="仿宋" w:hAnsi="仿宋" w:eastAsia="仿宋" w:cs="仿宋"/>
          <w:color w:val="auto"/>
          <w:lang w:eastAsia="zh-CN"/>
        </w:rPr>
      </w:pPr>
    </w:p>
    <w:p w14:paraId="2CB4FA85">
      <w:pPr>
        <w:pStyle w:val="36"/>
        <w:rPr>
          <w:rFonts w:ascii="仿宋" w:hAnsi="仿宋" w:eastAsia="仿宋" w:cs="仿宋"/>
          <w:color w:val="auto"/>
          <w:lang w:eastAsia="zh-CN"/>
        </w:rPr>
      </w:pPr>
    </w:p>
    <w:p w14:paraId="33E24FE7">
      <w:pPr>
        <w:pStyle w:val="36"/>
        <w:rPr>
          <w:rFonts w:ascii="仿宋" w:hAnsi="仿宋" w:eastAsia="仿宋" w:cs="仿宋"/>
          <w:color w:val="auto"/>
          <w:lang w:eastAsia="zh-CN"/>
        </w:rPr>
      </w:pPr>
    </w:p>
    <w:p w14:paraId="20934CA5">
      <w:pPr>
        <w:pStyle w:val="36"/>
        <w:rPr>
          <w:rFonts w:ascii="仿宋" w:hAnsi="仿宋" w:eastAsia="仿宋" w:cs="仿宋"/>
          <w:color w:val="auto"/>
          <w:lang w:eastAsia="zh-CN"/>
        </w:rPr>
      </w:pPr>
    </w:p>
    <w:p w14:paraId="56F8F182">
      <w:pPr>
        <w:pStyle w:val="36"/>
        <w:rPr>
          <w:rFonts w:ascii="仿宋" w:hAnsi="仿宋" w:eastAsia="仿宋" w:cs="仿宋"/>
          <w:color w:val="auto"/>
          <w:lang w:eastAsia="zh-CN"/>
        </w:rPr>
      </w:pPr>
    </w:p>
    <w:p w14:paraId="418594CE">
      <w:pPr>
        <w:pStyle w:val="36"/>
        <w:rPr>
          <w:rFonts w:ascii="仿宋" w:hAnsi="仿宋" w:eastAsia="仿宋" w:cs="仿宋"/>
          <w:color w:val="auto"/>
          <w:lang w:eastAsia="zh-CN"/>
        </w:rPr>
      </w:pPr>
    </w:p>
    <w:p w14:paraId="2FBE1095">
      <w:pPr>
        <w:pStyle w:val="36"/>
        <w:rPr>
          <w:rFonts w:ascii="仿宋" w:hAnsi="仿宋" w:eastAsia="仿宋" w:cs="仿宋"/>
          <w:color w:val="auto"/>
          <w:lang w:eastAsia="zh-CN"/>
        </w:rPr>
      </w:pPr>
    </w:p>
    <w:p w14:paraId="581E40F1">
      <w:pPr>
        <w:pStyle w:val="36"/>
        <w:rPr>
          <w:rFonts w:ascii="仿宋" w:hAnsi="仿宋" w:eastAsia="仿宋" w:cs="仿宋"/>
          <w:color w:val="auto"/>
          <w:lang w:eastAsia="zh-CN"/>
        </w:rPr>
      </w:pPr>
    </w:p>
    <w:p w14:paraId="76773DA6">
      <w:pPr>
        <w:pStyle w:val="36"/>
        <w:rPr>
          <w:rFonts w:ascii="仿宋" w:hAnsi="仿宋" w:eastAsia="仿宋" w:cs="仿宋"/>
          <w:color w:val="auto"/>
          <w:lang w:eastAsia="zh-CN"/>
        </w:rPr>
      </w:pPr>
    </w:p>
    <w:p w14:paraId="22E3DFFB">
      <w:pPr>
        <w:pStyle w:val="36"/>
        <w:rPr>
          <w:rFonts w:ascii="仿宋" w:hAnsi="仿宋" w:eastAsia="仿宋" w:cs="仿宋"/>
          <w:color w:val="auto"/>
          <w:lang w:eastAsia="zh-CN"/>
        </w:rPr>
      </w:pPr>
    </w:p>
    <w:p w14:paraId="7E3F235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sz w:val="32"/>
          <w:szCs w:val="32"/>
          <w:lang w:val="en-US" w:eastAsia="zh-CN"/>
        </w:rPr>
      </w:pPr>
    </w:p>
    <w:p w14:paraId="51942A34">
      <w:pPr>
        <w:pStyle w:val="11"/>
        <w:shd w:val="clear" w:color="auto" w:fill="auto"/>
        <w:tabs>
          <w:tab w:val="left" w:pos="5580"/>
        </w:tabs>
        <w:spacing w:line="240" w:lineRule="atLeast"/>
        <w:rPr>
          <w:rFonts w:hint="eastAsia" w:ascii="仿宋" w:hAnsi="仿宋" w:eastAsia="仿宋" w:cs="仿宋"/>
          <w:color w:val="auto"/>
          <w:sz w:val="24"/>
          <w:highlight w:val="none"/>
        </w:rPr>
      </w:pPr>
    </w:p>
    <w:p w14:paraId="5BC910C8">
      <w:pPr>
        <w:rPr>
          <w:rFonts w:hint="eastAsia" w:ascii="仿宋" w:hAnsi="仿宋" w:eastAsia="仿宋" w:cs="仿宋"/>
          <w:color w:val="auto"/>
        </w:rPr>
      </w:pPr>
    </w:p>
    <w:p w14:paraId="51C01BC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auto"/>
          <w:sz w:val="32"/>
          <w:szCs w:val="32"/>
          <w:lang w:val="en-US" w:eastAsia="zh-CN"/>
        </w:rPr>
      </w:pPr>
    </w:p>
    <w:p w14:paraId="7A5235C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auto"/>
          <w:sz w:val="32"/>
          <w:szCs w:val="32"/>
          <w:lang w:val="en-US" w:eastAsia="zh-CN"/>
        </w:rPr>
      </w:pPr>
    </w:p>
    <w:p w14:paraId="1FA6003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auto"/>
          <w:sz w:val="32"/>
          <w:szCs w:val="32"/>
          <w:lang w:val="en-US" w:eastAsia="zh-CN"/>
        </w:rPr>
      </w:pPr>
    </w:p>
    <w:p w14:paraId="000E379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auto"/>
          <w:sz w:val="32"/>
          <w:szCs w:val="32"/>
          <w:lang w:val="en-US" w:eastAsia="zh-CN"/>
        </w:rPr>
      </w:pPr>
    </w:p>
    <w:p w14:paraId="5BEFD32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auto"/>
          <w:lang w:eastAsia="zh-CN"/>
        </w:rPr>
      </w:pPr>
      <w:r>
        <w:rPr>
          <w:rFonts w:hint="eastAsia" w:ascii="仿宋" w:hAnsi="仿宋" w:eastAsia="仿宋" w:cs="仿宋"/>
          <w:b/>
          <w:bCs/>
          <w:color w:val="auto"/>
          <w:sz w:val="32"/>
          <w:szCs w:val="32"/>
          <w:lang w:val="en-US" w:eastAsia="zh-CN"/>
        </w:rPr>
        <w:t>9、</w:t>
      </w:r>
      <w:r>
        <w:rPr>
          <w:rFonts w:hint="eastAsia" w:ascii="仿宋" w:hAnsi="仿宋" w:eastAsia="仿宋" w:cs="仿宋"/>
          <w:b/>
          <w:bCs/>
          <w:color w:val="auto"/>
          <w:sz w:val="32"/>
          <w:szCs w:val="32"/>
        </w:rPr>
        <w:t>投标人须知资料表要求的其他资格证明文件</w:t>
      </w:r>
      <w:bookmarkStart w:id="94" w:name="_Toc515647816"/>
      <w:bookmarkStart w:id="95" w:name="_Toc11180"/>
      <w:bookmarkStart w:id="96" w:name="_Toc22967"/>
      <w:bookmarkStart w:id="97" w:name="_Toc5695"/>
      <w:r>
        <w:rPr>
          <w:rFonts w:hint="eastAsia" w:ascii="仿宋" w:hAnsi="仿宋" w:eastAsia="仿宋" w:cs="仿宋"/>
          <w:b/>
          <w:bCs/>
          <w:color w:val="auto"/>
          <w:sz w:val="32"/>
          <w:szCs w:val="32"/>
          <w:lang w:eastAsia="zh-CN"/>
        </w:rPr>
        <w:t>。</w:t>
      </w:r>
    </w:p>
    <w:p w14:paraId="150012F0">
      <w:pPr>
        <w:pStyle w:val="36"/>
        <w:ind w:left="0" w:leftChars="0" w:firstLine="0" w:firstLineChars="0"/>
        <w:rPr>
          <w:rFonts w:ascii="仿宋" w:hAnsi="仿宋" w:eastAsia="仿宋" w:cs="仿宋"/>
          <w:color w:val="auto"/>
          <w:lang w:eastAsia="zh-CN"/>
        </w:rPr>
      </w:pPr>
    </w:p>
    <w:p w14:paraId="75B68B8A">
      <w:pPr>
        <w:pStyle w:val="2"/>
        <w:spacing w:before="40" w:after="40" w:line="579" w:lineRule="auto"/>
        <w:ind w:firstLine="2261" w:firstLineChars="700"/>
        <w:jc w:val="both"/>
        <w:rPr>
          <w:rFonts w:hint="eastAsia" w:ascii="仿宋" w:hAnsi="仿宋" w:eastAsia="仿宋" w:cs="仿宋"/>
          <w:color w:val="auto"/>
          <w:sz w:val="32"/>
          <w:szCs w:val="32"/>
          <w:lang w:eastAsia="zh-CN"/>
        </w:rPr>
      </w:pPr>
    </w:p>
    <w:p w14:paraId="0215FC09">
      <w:pPr>
        <w:pStyle w:val="2"/>
        <w:spacing w:before="40" w:after="40" w:line="579" w:lineRule="auto"/>
        <w:ind w:firstLine="2261" w:firstLineChars="700"/>
        <w:jc w:val="both"/>
        <w:rPr>
          <w:rFonts w:hint="eastAsia" w:ascii="仿宋" w:hAnsi="仿宋" w:eastAsia="仿宋" w:cs="仿宋"/>
          <w:color w:val="auto"/>
          <w:sz w:val="32"/>
          <w:szCs w:val="32"/>
          <w:lang w:eastAsia="zh-CN"/>
        </w:rPr>
      </w:pPr>
    </w:p>
    <w:p w14:paraId="601A4029">
      <w:pPr>
        <w:pStyle w:val="2"/>
        <w:spacing w:before="40" w:after="40" w:line="579" w:lineRule="auto"/>
        <w:jc w:val="both"/>
        <w:rPr>
          <w:rFonts w:hint="eastAsia" w:ascii="仿宋" w:hAnsi="仿宋" w:eastAsia="仿宋" w:cs="仿宋"/>
          <w:color w:val="auto"/>
          <w:sz w:val="32"/>
          <w:szCs w:val="32"/>
          <w:lang w:eastAsia="zh-CN"/>
        </w:rPr>
      </w:pPr>
    </w:p>
    <w:p w14:paraId="03E76499">
      <w:pPr>
        <w:rPr>
          <w:rFonts w:hint="eastAsia" w:ascii="仿宋" w:hAnsi="仿宋" w:eastAsia="仿宋" w:cs="仿宋"/>
          <w:color w:val="auto"/>
          <w:sz w:val="32"/>
          <w:szCs w:val="32"/>
          <w:lang w:eastAsia="zh-CN"/>
        </w:rPr>
      </w:pPr>
    </w:p>
    <w:p w14:paraId="3AA6AD06">
      <w:pPr>
        <w:pStyle w:val="35"/>
        <w:rPr>
          <w:rFonts w:hint="eastAsia" w:ascii="仿宋" w:hAnsi="仿宋" w:eastAsia="仿宋" w:cs="仿宋"/>
          <w:color w:val="auto"/>
          <w:sz w:val="32"/>
          <w:szCs w:val="32"/>
          <w:lang w:eastAsia="zh-CN"/>
        </w:rPr>
      </w:pPr>
    </w:p>
    <w:p w14:paraId="21A907AA">
      <w:pPr>
        <w:pStyle w:val="35"/>
        <w:rPr>
          <w:rFonts w:hint="eastAsia" w:ascii="仿宋" w:hAnsi="仿宋" w:eastAsia="仿宋" w:cs="仿宋"/>
          <w:color w:val="auto"/>
          <w:sz w:val="32"/>
          <w:szCs w:val="32"/>
          <w:lang w:eastAsia="zh-CN"/>
        </w:rPr>
      </w:pPr>
    </w:p>
    <w:p w14:paraId="3088282B">
      <w:pPr>
        <w:pStyle w:val="2"/>
        <w:spacing w:before="40" w:after="40" w:line="579" w:lineRule="auto"/>
        <w:ind w:firstLine="2261" w:firstLineChars="700"/>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94"/>
      <w:bookmarkEnd w:id="95"/>
      <w:bookmarkEnd w:id="96"/>
      <w:bookmarkEnd w:id="97"/>
    </w:p>
    <w:p w14:paraId="1BD841C8">
      <w:pPr>
        <w:shd w:val="clear" w:color="auto" w:fill="auto"/>
        <w:spacing w:line="400" w:lineRule="exact"/>
        <w:ind w:firstLine="482"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（1）投标函</w:t>
      </w:r>
    </w:p>
    <w:p w14:paraId="5E3A5CC2">
      <w:pPr>
        <w:shd w:val="clear" w:color="auto" w:fill="auto"/>
        <w:spacing w:line="400" w:lineRule="exact"/>
        <w:ind w:firstLine="482"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（2）开标一览表</w:t>
      </w:r>
    </w:p>
    <w:p w14:paraId="3E6B3F65">
      <w:pPr>
        <w:shd w:val="clear" w:color="auto" w:fill="auto"/>
        <w:spacing w:line="400" w:lineRule="exact"/>
        <w:ind w:firstLine="482"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（3）货物说明一览表</w:t>
      </w:r>
    </w:p>
    <w:p w14:paraId="653EC153">
      <w:pPr>
        <w:shd w:val="clear" w:color="auto" w:fill="auto"/>
        <w:spacing w:line="400" w:lineRule="exact"/>
        <w:ind w:firstLine="482"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（4）投标报价明细表</w:t>
      </w:r>
    </w:p>
    <w:p w14:paraId="0C04EF78">
      <w:pPr>
        <w:shd w:val="clear" w:color="auto" w:fill="auto"/>
        <w:spacing w:line="400" w:lineRule="exact"/>
        <w:ind w:firstLine="482" w:firstLineChars="199"/>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（5）技术规格偏离表</w:t>
      </w:r>
    </w:p>
    <w:p w14:paraId="400675C6">
      <w:pPr>
        <w:shd w:val="clear" w:color="auto" w:fill="auto"/>
        <w:spacing w:line="400" w:lineRule="exact"/>
        <w:ind w:firstLine="482"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（6）商务条款偏离表</w:t>
      </w:r>
    </w:p>
    <w:p w14:paraId="1C11240D">
      <w:pPr>
        <w:shd w:val="clear" w:color="auto" w:fill="auto"/>
        <w:spacing w:line="400" w:lineRule="exact"/>
        <w:ind w:firstLine="482" w:firstLineChars="199"/>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（7）供应商基本情况表</w:t>
      </w:r>
    </w:p>
    <w:p w14:paraId="64F4069C">
      <w:pPr>
        <w:shd w:val="clear" w:color="auto" w:fill="auto"/>
        <w:spacing w:line="400" w:lineRule="exact"/>
        <w:ind w:firstLine="482" w:firstLineChars="199"/>
        <w:rPr>
          <w:rFonts w:hint="default"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（8）近三年类似项目业绩</w:t>
      </w:r>
    </w:p>
    <w:p w14:paraId="37A31E9E">
      <w:pPr>
        <w:shd w:val="clear" w:color="auto" w:fill="auto"/>
        <w:spacing w:line="400" w:lineRule="exact"/>
        <w:ind w:firstLine="486" w:firstLineChars="200"/>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（9）中小企业声明函(货物)</w:t>
      </w:r>
    </w:p>
    <w:p w14:paraId="355621B2">
      <w:pPr>
        <w:shd w:val="clear" w:color="auto" w:fill="auto"/>
        <w:spacing w:line="400" w:lineRule="exact"/>
        <w:ind w:firstLine="482"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（10）投标人关联单位的说明（格式自拟）</w:t>
      </w:r>
    </w:p>
    <w:p w14:paraId="0EE78988">
      <w:pPr>
        <w:shd w:val="clear" w:color="auto" w:fill="auto"/>
        <w:spacing w:line="400" w:lineRule="exact"/>
        <w:ind w:firstLine="482"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（11）评分标准和细则中技术部分证明材料（格式自拟）</w:t>
      </w:r>
    </w:p>
    <w:p w14:paraId="76E7A5E7">
      <w:pPr>
        <w:shd w:val="clear" w:color="auto" w:fill="auto"/>
        <w:spacing w:line="400" w:lineRule="exact"/>
        <w:ind w:firstLine="490" w:firstLineChars="202"/>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（12）评分标准和细则中商务部分证明材料（格式自拟）</w:t>
      </w:r>
    </w:p>
    <w:p w14:paraId="5641A5BD">
      <w:pPr>
        <w:shd w:val="clear" w:color="auto" w:fill="auto"/>
        <w:spacing w:line="400" w:lineRule="exact"/>
        <w:ind w:firstLine="482" w:firstLineChars="199"/>
        <w:rPr>
          <w:rFonts w:hint="eastAsia" w:ascii="仿宋" w:hAnsi="仿宋" w:eastAsia="仿宋" w:cs="仿宋"/>
          <w:bCs/>
          <w:color w:val="auto"/>
          <w:sz w:val="24"/>
          <w:szCs w:val="24"/>
          <w:lang w:val="en-US" w:eastAsia="zh-CN" w:bidi="en-US"/>
        </w:rPr>
      </w:pPr>
      <w:r>
        <w:rPr>
          <w:rFonts w:hint="eastAsia" w:ascii="仿宋" w:hAnsi="仿宋" w:eastAsia="仿宋" w:cs="仿宋"/>
          <w:bCs/>
          <w:color w:val="auto"/>
          <w:sz w:val="24"/>
          <w:szCs w:val="24"/>
          <w:lang w:val="en-US" w:eastAsia="zh-CN" w:bidi="en-US"/>
        </w:rPr>
        <w:t>（13）投标人认为有必要提供的其他证明材料（格式自拟）注：以上材料须逐页加盖单位公章。</w:t>
      </w:r>
    </w:p>
    <w:p w14:paraId="72F830EC">
      <w:pPr>
        <w:pStyle w:val="11"/>
        <w:tabs>
          <w:tab w:val="left" w:pos="5580"/>
        </w:tabs>
        <w:spacing w:line="400" w:lineRule="exact"/>
        <w:ind w:left="648" w:leftChars="267"/>
        <w:rPr>
          <w:rFonts w:ascii="仿宋" w:hAnsi="仿宋" w:eastAsia="仿宋" w:cs="仿宋"/>
          <w:color w:val="auto"/>
          <w:sz w:val="21"/>
          <w:szCs w:val="21"/>
          <w:lang w:eastAsia="zh-CN"/>
        </w:rPr>
      </w:pPr>
      <w:r>
        <w:rPr>
          <w:rFonts w:hint="eastAsia" w:ascii="仿宋" w:hAnsi="仿宋" w:eastAsia="仿宋" w:cs="仿宋"/>
          <w:color w:val="auto"/>
          <w:lang w:eastAsia="zh-CN"/>
        </w:rPr>
        <w:br w:type="page"/>
      </w:r>
    </w:p>
    <w:p w14:paraId="077F2D7F">
      <w:pPr>
        <w:pStyle w:val="8"/>
        <w:numPr>
          <w:ilvl w:val="0"/>
          <w:numId w:val="0"/>
        </w:numPr>
        <w:tabs>
          <w:tab w:val="clear" w:pos="780"/>
        </w:tabs>
        <w:kinsoku w:val="0"/>
        <w:overflowPunct w:val="0"/>
        <w:spacing w:before="130" w:line="355" w:lineRule="auto"/>
        <w:ind w:left="480" w:right="7"/>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1、投标函</w:t>
      </w:r>
    </w:p>
    <w:p w14:paraId="1F3DFFB3">
      <w:pPr>
        <w:spacing w:line="440" w:lineRule="exact"/>
        <w:rPr>
          <w:rFonts w:ascii="仿宋" w:hAnsi="仿宋" w:eastAsia="仿宋" w:cs="仿宋"/>
          <w:color w:val="auto"/>
          <w:u w:val="single"/>
          <w:lang w:eastAsia="zh-CN"/>
        </w:rPr>
      </w:pPr>
      <w:r>
        <w:rPr>
          <w:rFonts w:hint="eastAsia" w:ascii="仿宋" w:hAnsi="仿宋" w:eastAsia="仿宋" w:cs="仿宋"/>
          <w:color w:val="auto"/>
          <w:lang w:eastAsia="zh-CN"/>
        </w:rPr>
        <w:t>致：</w:t>
      </w:r>
      <w:r>
        <w:rPr>
          <w:rFonts w:hint="eastAsia" w:ascii="仿宋" w:hAnsi="仿宋" w:eastAsia="仿宋" w:cs="仿宋"/>
          <w:color w:val="auto"/>
          <w:u w:val="single"/>
          <w:lang w:eastAsia="zh-CN"/>
        </w:rPr>
        <w:t xml:space="preserve">                     </w:t>
      </w:r>
    </w:p>
    <w:p w14:paraId="03460A2A">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为响应你方组织的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项目的招标[项目编号为：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]，我方愿参与投标。</w:t>
      </w:r>
    </w:p>
    <w:p w14:paraId="58AF1BCD">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我方确认收到贵方提供的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招标文件的全部内容。</w:t>
      </w:r>
    </w:p>
    <w:p w14:paraId="5C7C9715">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2E467891">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(供应商名称)      </w:t>
      </w:r>
      <w:r>
        <w:rPr>
          <w:rFonts w:hint="eastAsia" w:ascii="仿宋" w:hAnsi="仿宋" w:eastAsia="仿宋" w:cs="仿宋"/>
          <w:color w:val="auto"/>
          <w:lang w:eastAsia="zh-CN"/>
        </w:rPr>
        <w:t>作为供应商正式授权</w:t>
      </w:r>
      <w:r>
        <w:rPr>
          <w:rFonts w:hint="eastAsia" w:ascii="仿宋" w:hAnsi="仿宋" w:eastAsia="仿宋" w:cs="仿宋"/>
          <w:color w:val="auto"/>
          <w:u w:val="single"/>
          <w:lang w:eastAsia="zh-CN"/>
        </w:rPr>
        <w:t xml:space="preserve">  (授权代表全名, 职务)  </w:t>
      </w:r>
      <w:r>
        <w:rPr>
          <w:rFonts w:hint="eastAsia" w:ascii="仿宋" w:hAnsi="仿宋" w:eastAsia="仿宋" w:cs="仿宋"/>
          <w:color w:val="auto"/>
          <w:lang w:eastAsia="zh-CN"/>
        </w:rPr>
        <w:t>代表我方全权处理有关本报价的一切事宜。</w:t>
      </w:r>
    </w:p>
    <w:p w14:paraId="73596AF9">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我方已完全明白招标文件的所有条款要求，并申明如下：</w:t>
      </w:r>
    </w:p>
    <w:p w14:paraId="26F8F445">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（一）按招标文件提供的全部货物与相关服务的投标总价详见《报价一览表》。</w:t>
      </w:r>
    </w:p>
    <w:p w14:paraId="6A712FFE">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（二）本投标文件的有效期为投标截止时间起</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95A3EDC">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（三）我方同意按照贵方可能提出的要求而提供与投标有关的任何其它数据、信息或资料。</w:t>
      </w:r>
    </w:p>
    <w:p w14:paraId="44CA665B">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（四）我方理解贵方不一定接受最低投标价或任何贵方可能收到的投标。</w:t>
      </w:r>
    </w:p>
    <w:p w14:paraId="545EE294">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（五）我方如果中标，将保证履行招标文件及其澄清、修改文件（如果有）中的全部责任和义务，按质、按量、按期完成《招标内容》及《合同书》中的全部任务。</w:t>
      </w:r>
    </w:p>
    <w:p w14:paraId="53E52684">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（六）如我方被授予合同，我方承诺支付就本次招标应支付或将支付的中标服务费（详见按招标文件要求格式填写的《中标服务费支付承诺书》）。</w:t>
      </w:r>
    </w:p>
    <w:p w14:paraId="1E035164">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（七）我方作为在法律、财务和运作上独立于采购人、招标代理机构的供应商，在此保证所提交的所有文件和全部说明是真实的和正确的。</w:t>
      </w:r>
    </w:p>
    <w:p w14:paraId="133DF70F">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（八）我方投标报价已包含应向知识产权所有权人支付的所有相关税费，并保证采购人在中国使用我方提供的货物时，如有第三方提出侵犯其知识产权主张的，责任由我方承担。</w:t>
      </w:r>
    </w:p>
    <w:p w14:paraId="4EE66A93">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（九）我方与其他供应商不存在单位负责人为同一人或者存在直接控股、管理关系。</w:t>
      </w:r>
    </w:p>
    <w:p w14:paraId="3C553B5E">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（十）我方承诺未为本项目提供整体设计、规范编制或者项目管理、监理、检测等服务。</w:t>
      </w:r>
    </w:p>
    <w:p w14:paraId="3DE32564">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（十一）我方具备《政府采购法》第二十二条规定的条件，承诺如下：</w:t>
      </w:r>
    </w:p>
    <w:p w14:paraId="71055DEF">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（1）我方已依法缴纳了各项税费及社会保险费用，如有需要，可随时向采购人提供近三个月内的相关缴费证明，以便核查。</w:t>
      </w:r>
    </w:p>
    <w:p w14:paraId="4F7D8897">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（2）我方已依法建立健全的财务会计制度，如有需要，可随时向采购人提供相关的证明材料，以便核查。</w:t>
      </w:r>
    </w:p>
    <w:p w14:paraId="130B5ADD">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（3）我方参加本项目政府采购活动前3年内在经营活动中没有重大违法记录。</w:t>
      </w:r>
    </w:p>
    <w:p w14:paraId="5B5E0E3D">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（4）我方具备履行合同所必需的设备和专业技术能力。</w:t>
      </w:r>
    </w:p>
    <w:p w14:paraId="0B7F13A9">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（5）我方符合法律、行政法规规定的其他条件。</w:t>
      </w:r>
    </w:p>
    <w:p w14:paraId="6A48A449">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以上内容如有虚假或与事实不符的，评审委员会可将我方做无效投标处理，我方愿意承担相应的法律责任。</w:t>
      </w:r>
    </w:p>
    <w:p w14:paraId="332FF684">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（十三）我方对在本函及投标文件中所作的所有承诺承担法律责任。</w:t>
      </w:r>
    </w:p>
    <w:p w14:paraId="7E569A9F">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（十四）所有与本招标有关的函件请发往下列地址：</w:t>
      </w:r>
    </w:p>
    <w:p w14:paraId="665531D4">
      <w:pPr>
        <w:spacing w:line="440" w:lineRule="exact"/>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.邮政编码：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522ACE8E">
      <w:pPr>
        <w:spacing w:line="440" w:lineRule="exact"/>
        <w:rPr>
          <w:rFonts w:ascii="仿宋" w:hAnsi="仿宋" w:eastAsia="仿宋" w:cs="仿宋"/>
          <w:color w:val="auto"/>
          <w:lang w:eastAsia="zh-CN"/>
        </w:rPr>
      </w:pPr>
      <w:r>
        <w:rPr>
          <w:rFonts w:hint="eastAsia" w:ascii="仿宋" w:hAnsi="仿宋" w:eastAsia="仿宋" w:cs="仿宋"/>
          <w:color w:val="auto"/>
          <w:lang w:eastAsia="zh-CN"/>
        </w:rPr>
        <w:t>电    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21991E71">
      <w:pPr>
        <w:spacing w:line="440" w:lineRule="exact"/>
        <w:rPr>
          <w:rFonts w:ascii="仿宋" w:hAnsi="仿宋" w:eastAsia="仿宋" w:cs="仿宋"/>
          <w:color w:val="auto"/>
          <w:lang w:eastAsia="zh-CN"/>
        </w:rPr>
      </w:pPr>
      <w:r>
        <w:rPr>
          <w:rFonts w:hint="eastAsia" w:ascii="仿宋" w:hAnsi="仿宋" w:eastAsia="仿宋" w:cs="仿宋"/>
          <w:color w:val="auto"/>
          <w:lang w:eastAsia="zh-CN"/>
        </w:rPr>
        <w:t>传    真：</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2157A7F9">
      <w:pPr>
        <w:spacing w:line="440" w:lineRule="exact"/>
        <w:rPr>
          <w:rFonts w:ascii="仿宋" w:hAnsi="仿宋" w:eastAsia="仿宋" w:cs="仿宋"/>
          <w:color w:val="auto"/>
          <w:lang w:eastAsia="zh-CN"/>
        </w:rPr>
      </w:pPr>
      <w:r>
        <w:rPr>
          <w:rFonts w:hint="eastAsia" w:ascii="仿宋" w:hAnsi="仿宋" w:eastAsia="仿宋" w:cs="仿宋"/>
          <w:color w:val="auto"/>
          <w:lang w:eastAsia="zh-CN"/>
        </w:rPr>
        <w:t>代表姓名：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.职    务：</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2D7B61E2">
      <w:pPr>
        <w:spacing w:line="440" w:lineRule="exact"/>
        <w:ind w:right="480"/>
        <w:jc w:val="right"/>
        <w:rPr>
          <w:rFonts w:ascii="仿宋" w:hAnsi="仿宋" w:eastAsia="仿宋" w:cs="仿宋"/>
          <w:color w:val="auto"/>
          <w:lang w:eastAsia="zh-CN"/>
        </w:rPr>
      </w:pPr>
      <w:r>
        <w:rPr>
          <w:rFonts w:hint="eastAsia" w:ascii="仿宋" w:hAnsi="仿宋" w:eastAsia="仿宋" w:cs="仿宋"/>
          <w:color w:val="auto"/>
          <w:lang w:eastAsia="zh-CN"/>
        </w:rPr>
        <w:t>供应商：</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（公章） </w:t>
      </w:r>
    </w:p>
    <w:p w14:paraId="1C317D1A">
      <w:pPr>
        <w:wordWrap w:val="0"/>
        <w:spacing w:line="440" w:lineRule="exact"/>
        <w:ind w:firstLine="486" w:firstLineChars="200"/>
        <w:jc w:val="right"/>
        <w:rPr>
          <w:rFonts w:ascii="仿宋" w:hAnsi="仿宋" w:eastAsia="仿宋" w:cs="仿宋"/>
          <w:color w:val="auto"/>
          <w:lang w:eastAsia="zh-CN"/>
        </w:rPr>
      </w:pPr>
      <w:r>
        <w:rPr>
          <w:rFonts w:hint="eastAsia" w:ascii="仿宋" w:hAnsi="仿宋" w:eastAsia="仿宋" w:cs="仿宋"/>
          <w:color w:val="auto"/>
          <w:lang w:eastAsia="zh-CN"/>
        </w:rPr>
        <w:t>法定代表人或委托人：</w:t>
      </w:r>
      <w:r>
        <w:rPr>
          <w:rFonts w:hint="eastAsia" w:ascii="仿宋" w:hAnsi="仿宋" w:eastAsia="仿宋" w:cs="仿宋"/>
          <w:color w:val="auto"/>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sz w:val="24"/>
          <w:lang w:eastAsia="zh-CN"/>
        </w:rPr>
        <w:t>（签</w:t>
      </w:r>
      <w:r>
        <w:rPr>
          <w:rFonts w:hint="eastAsia" w:ascii="仿宋" w:hAnsi="仿宋" w:eastAsia="仿宋" w:cs="仿宋"/>
          <w:color w:val="auto"/>
          <w:sz w:val="24"/>
          <w:lang w:val="en-US" w:eastAsia="zh-CN"/>
        </w:rPr>
        <w:t>字并盖</w:t>
      </w:r>
      <w:r>
        <w:rPr>
          <w:rFonts w:hint="eastAsia" w:ascii="仿宋" w:hAnsi="仿宋" w:eastAsia="仿宋" w:cs="仿宋"/>
          <w:color w:val="auto"/>
          <w:sz w:val="24"/>
          <w:lang w:eastAsia="zh-CN"/>
        </w:rPr>
        <w:t>章）</w:t>
      </w:r>
      <w:r>
        <w:rPr>
          <w:rFonts w:hint="eastAsia" w:ascii="仿宋" w:hAnsi="仿宋" w:eastAsia="仿宋" w:cs="仿宋"/>
          <w:color w:val="auto"/>
          <w:lang w:eastAsia="zh-CN"/>
        </w:rPr>
        <w:t xml:space="preserve">  </w:t>
      </w:r>
    </w:p>
    <w:p w14:paraId="7D228170">
      <w:pPr>
        <w:wordWrap w:val="0"/>
        <w:spacing w:line="440" w:lineRule="exact"/>
        <w:ind w:firstLine="486" w:firstLineChars="200"/>
        <w:jc w:val="right"/>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lang w:eastAsia="zh-CN"/>
        </w:rPr>
        <w:t>年</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3A2B17EA">
      <w:pPr>
        <w:pStyle w:val="36"/>
        <w:rPr>
          <w:rFonts w:ascii="仿宋" w:hAnsi="仿宋" w:eastAsia="仿宋" w:cs="仿宋"/>
          <w:color w:val="auto"/>
          <w:lang w:eastAsia="zh-CN"/>
        </w:rPr>
      </w:pPr>
      <w:r>
        <w:rPr>
          <w:rFonts w:hint="eastAsia" w:ascii="仿宋" w:hAnsi="仿宋" w:eastAsia="仿宋" w:cs="仿宋"/>
          <w:color w:val="auto"/>
          <w:lang w:eastAsia="zh-CN"/>
        </w:rPr>
        <w:br w:type="page"/>
      </w:r>
    </w:p>
    <w:p w14:paraId="1076258E">
      <w:pPr>
        <w:pStyle w:val="5"/>
        <w:tabs>
          <w:tab w:val="left" w:pos="5580"/>
        </w:tabs>
        <w:spacing w:line="240" w:lineRule="atLeast"/>
        <w:ind w:firstLine="3364" w:firstLineChars="927"/>
        <w:jc w:val="both"/>
        <w:rPr>
          <w:rFonts w:ascii="仿宋" w:hAnsi="仿宋" w:eastAsia="仿宋" w:cs="仿宋"/>
          <w:color w:val="auto"/>
          <w:lang w:eastAsia="zh-CN"/>
        </w:rPr>
      </w:pPr>
      <w:r>
        <w:rPr>
          <w:rFonts w:hint="eastAsia" w:ascii="仿宋" w:hAnsi="仿宋" w:eastAsia="仿宋" w:cs="仿宋"/>
          <w:b/>
          <w:color w:val="auto"/>
          <w:sz w:val="36"/>
          <w:szCs w:val="24"/>
          <w:lang w:eastAsia="zh-CN"/>
        </w:rPr>
        <w:t>2、开标一览表</w:t>
      </w:r>
      <w:r>
        <w:rPr>
          <w:rFonts w:hint="eastAsia" w:ascii="仿宋" w:hAnsi="仿宋" w:eastAsia="仿宋" w:cs="仿宋"/>
          <w:b/>
          <w:color w:val="auto"/>
          <w:sz w:val="36"/>
          <w:szCs w:val="24"/>
          <w:lang w:eastAsia="zh-CN"/>
        </w:rPr>
        <w:cr/>
      </w:r>
    </w:p>
    <w:p w14:paraId="28E9E957">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14:paraId="3D4363A2">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14:paraId="6A469604">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单位：元（人民币）</w:t>
      </w:r>
    </w:p>
    <w:tbl>
      <w:tblPr>
        <w:tblStyle w:val="25"/>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437A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413CCE37">
            <w:pPr>
              <w:ind w:firstLine="486" w:firstLineChars="200"/>
              <w:jc w:val="both"/>
              <w:rPr>
                <w:rFonts w:ascii="仿宋" w:hAnsi="仿宋" w:eastAsia="仿宋" w:cs="仿宋"/>
                <w:color w:val="auto"/>
                <w:szCs w:val="21"/>
              </w:rPr>
            </w:pPr>
            <w:r>
              <w:rPr>
                <w:rFonts w:hint="eastAsia" w:ascii="仿宋" w:hAnsi="仿宋" w:eastAsia="仿宋" w:cs="仿宋"/>
                <w:color w:val="auto"/>
                <w:szCs w:val="21"/>
              </w:rPr>
              <w:t>项目名称</w:t>
            </w:r>
          </w:p>
        </w:tc>
        <w:tc>
          <w:tcPr>
            <w:tcW w:w="6185" w:type="dxa"/>
            <w:vAlign w:val="center"/>
          </w:tcPr>
          <w:p w14:paraId="1F11F5E4">
            <w:pPr>
              <w:rPr>
                <w:rFonts w:ascii="仿宋" w:hAnsi="仿宋" w:eastAsia="仿宋" w:cs="仿宋"/>
                <w:color w:val="auto"/>
                <w:szCs w:val="21"/>
              </w:rPr>
            </w:pPr>
          </w:p>
        </w:tc>
      </w:tr>
      <w:tr w14:paraId="2061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44E3F1BC">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供货期</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天</w:t>
            </w:r>
            <w:r>
              <w:rPr>
                <w:rFonts w:hint="eastAsia" w:ascii="仿宋" w:hAnsi="仿宋" w:eastAsia="仿宋" w:cs="仿宋"/>
                <w:color w:val="auto"/>
                <w:szCs w:val="21"/>
                <w:lang w:eastAsia="zh-CN"/>
              </w:rPr>
              <w:t>）</w:t>
            </w:r>
          </w:p>
        </w:tc>
        <w:tc>
          <w:tcPr>
            <w:tcW w:w="6185" w:type="dxa"/>
            <w:vAlign w:val="center"/>
          </w:tcPr>
          <w:p w14:paraId="707A43D9">
            <w:pPr>
              <w:jc w:val="center"/>
              <w:rPr>
                <w:rFonts w:ascii="仿宋" w:hAnsi="仿宋" w:eastAsia="仿宋" w:cs="仿宋"/>
                <w:color w:val="auto"/>
                <w:szCs w:val="21"/>
                <w:lang w:eastAsia="zh-CN"/>
              </w:rPr>
            </w:pPr>
            <w:r>
              <w:rPr>
                <w:rFonts w:hint="eastAsia" w:ascii="仿宋" w:hAnsi="仿宋" w:eastAsia="仿宋" w:cs="仿宋"/>
                <w:color w:val="auto"/>
                <w:szCs w:val="21"/>
                <w:highlight w:val="none"/>
                <w:lang w:eastAsia="zh-CN"/>
              </w:rPr>
              <w:t>中标后</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天内供货完成</w:t>
            </w:r>
          </w:p>
        </w:tc>
      </w:tr>
      <w:tr w14:paraId="3BA7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3CCE2FC5">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14:paraId="019B0084">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天</w:t>
            </w:r>
          </w:p>
        </w:tc>
      </w:tr>
      <w:tr w14:paraId="12DD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74DF46D0">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质保期</w:t>
            </w:r>
          </w:p>
        </w:tc>
        <w:tc>
          <w:tcPr>
            <w:tcW w:w="6185" w:type="dxa"/>
            <w:vAlign w:val="center"/>
          </w:tcPr>
          <w:p w14:paraId="5F91981C">
            <w:pPr>
              <w:jc w:val="center"/>
              <w:rPr>
                <w:rFonts w:hint="eastAsia" w:ascii="仿宋" w:hAnsi="仿宋" w:eastAsia="仿宋" w:cs="仿宋"/>
                <w:color w:val="auto"/>
                <w:szCs w:val="21"/>
                <w:lang w:val="en-US" w:eastAsia="zh-CN"/>
              </w:rPr>
            </w:pPr>
          </w:p>
        </w:tc>
      </w:tr>
      <w:tr w14:paraId="26C7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05F68C59">
            <w:pPr>
              <w:jc w:val="center"/>
              <w:rPr>
                <w:rFonts w:ascii="仿宋" w:hAnsi="仿宋" w:eastAsia="仿宋" w:cs="仿宋"/>
                <w:color w:val="auto"/>
                <w:szCs w:val="21"/>
              </w:rPr>
            </w:pPr>
            <w:r>
              <w:rPr>
                <w:rFonts w:hint="eastAsia" w:ascii="仿宋" w:hAnsi="仿宋" w:eastAsia="仿宋" w:cs="仿宋"/>
                <w:color w:val="auto"/>
                <w:szCs w:val="21"/>
              </w:rPr>
              <w:t>投标报价</w:t>
            </w:r>
          </w:p>
          <w:p w14:paraId="0780DED2">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14:paraId="16E04497">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14:paraId="71F13612">
            <w:pPr>
              <w:jc w:val="center"/>
              <w:rPr>
                <w:rFonts w:ascii="仿宋" w:hAnsi="仿宋" w:eastAsia="仿宋" w:cs="仿宋"/>
                <w:color w:val="auto"/>
                <w:szCs w:val="21"/>
              </w:rPr>
            </w:pPr>
          </w:p>
        </w:tc>
      </w:tr>
      <w:tr w14:paraId="2399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55A80C01">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14:paraId="1A3CB01A">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14:paraId="1C626D4D">
            <w:pPr>
              <w:jc w:val="center"/>
              <w:rPr>
                <w:rFonts w:ascii="仿宋" w:hAnsi="仿宋" w:eastAsia="仿宋" w:cs="仿宋"/>
                <w:color w:val="auto"/>
                <w:szCs w:val="21"/>
              </w:rPr>
            </w:pPr>
          </w:p>
        </w:tc>
      </w:tr>
    </w:tbl>
    <w:p w14:paraId="6F5DCBC4">
      <w:pPr>
        <w:spacing w:line="500" w:lineRule="exact"/>
        <w:ind w:firstLine="475" w:firstLineChars="196"/>
        <w:rPr>
          <w:rFonts w:ascii="仿宋" w:hAnsi="仿宋" w:eastAsia="仿宋" w:cs="仿宋"/>
          <w:color w:val="auto"/>
          <w:szCs w:val="21"/>
        </w:rPr>
      </w:pPr>
      <w:r>
        <w:rPr>
          <w:rFonts w:hint="eastAsia" w:ascii="仿宋" w:hAnsi="仿宋" w:eastAsia="仿宋" w:cs="仿宋"/>
          <w:color w:val="auto"/>
          <w:szCs w:val="21"/>
        </w:rPr>
        <w:t>填写说明：</w:t>
      </w:r>
    </w:p>
    <w:p w14:paraId="4482025D">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1</w:t>
      </w:r>
      <w:r>
        <w:rPr>
          <w:rFonts w:hint="eastAsia" w:ascii="仿宋" w:hAnsi="仿宋" w:eastAsia="仿宋" w:cs="仿宋"/>
          <w:color w:val="auto"/>
          <w:szCs w:val="21"/>
          <w:lang w:eastAsia="zh-CN"/>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B2E9ADD">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.投标总价为招标范围所列全部招标项目的报价总和，并应与投标报价明细表及分项价格表保持一致。</w:t>
      </w:r>
    </w:p>
    <w:p w14:paraId="46ADE9CF">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.必须在投标文件中装订。</w:t>
      </w:r>
    </w:p>
    <w:p w14:paraId="7A76AD5B">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4</w:t>
      </w:r>
      <w:r>
        <w:rPr>
          <w:rFonts w:hint="eastAsia" w:ascii="仿宋" w:hAnsi="仿宋" w:eastAsia="仿宋" w:cs="仿宋"/>
          <w:color w:val="auto"/>
          <w:szCs w:val="21"/>
          <w:lang w:eastAsia="zh-CN"/>
        </w:rPr>
        <w:t>.投标报价不得填报选择性报价。</w:t>
      </w:r>
    </w:p>
    <w:p w14:paraId="1E3F54FE">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供应商名称：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14:paraId="71A3304B">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w:t>
      </w:r>
      <w:r>
        <w:rPr>
          <w:rFonts w:hint="eastAsia" w:ascii="仿宋" w:hAnsi="仿宋" w:eastAsia="仿宋" w:cs="仿宋"/>
          <w:color w:val="auto"/>
          <w:szCs w:val="21"/>
          <w:lang w:val="en-US" w:eastAsia="zh-CN"/>
        </w:rPr>
        <w:t>并</w:t>
      </w:r>
      <w:r>
        <w:rPr>
          <w:rFonts w:hint="eastAsia" w:ascii="仿宋" w:hAnsi="仿宋" w:eastAsia="仿宋" w:cs="仿宋"/>
          <w:color w:val="auto"/>
          <w:szCs w:val="21"/>
          <w:lang w:eastAsia="zh-CN"/>
        </w:rPr>
        <w:t>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0ED6AAD6">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w:t>
      </w:r>
      <w:r>
        <w:rPr>
          <w:rFonts w:hint="eastAsia" w:ascii="仿宋" w:hAnsi="仿宋" w:eastAsia="仿宋" w:cs="仿宋"/>
          <w:color w:val="auto"/>
          <w:szCs w:val="21"/>
          <w:lang w:val="en-US" w:eastAsia="zh-CN"/>
        </w:rPr>
        <w:t>并</w:t>
      </w:r>
      <w:r>
        <w:rPr>
          <w:rFonts w:hint="eastAsia" w:ascii="仿宋" w:hAnsi="仿宋" w:eastAsia="仿宋" w:cs="仿宋"/>
          <w:color w:val="auto"/>
          <w:szCs w:val="21"/>
          <w:lang w:eastAsia="zh-CN"/>
        </w:rPr>
        <w:t>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4E27EB2D">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14:paraId="0F76CF5B">
      <w:pPr>
        <w:pStyle w:val="3"/>
        <w:spacing w:line="240" w:lineRule="atLeast"/>
        <w:rPr>
          <w:rFonts w:ascii="仿宋" w:hAnsi="仿宋" w:eastAsia="仿宋" w:cs="仿宋"/>
          <w:bCs/>
          <w:color w:val="auto"/>
          <w:sz w:val="24"/>
          <w:lang w:eastAsia="zh-CN"/>
        </w:rPr>
      </w:pPr>
    </w:p>
    <w:p w14:paraId="677D35FA">
      <w:pPr>
        <w:pStyle w:val="3"/>
        <w:spacing w:line="240" w:lineRule="atLeast"/>
        <w:rPr>
          <w:rFonts w:ascii="仿宋" w:hAnsi="仿宋" w:eastAsia="仿宋" w:cs="仿宋"/>
          <w:bCs/>
          <w:color w:val="auto"/>
          <w:sz w:val="24"/>
          <w:lang w:eastAsia="zh-CN"/>
        </w:rPr>
      </w:pPr>
    </w:p>
    <w:p w14:paraId="7BA37857">
      <w:pPr>
        <w:pStyle w:val="40"/>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3、货物说明一览表</w:t>
      </w:r>
    </w:p>
    <w:p w14:paraId="52B5DC84">
      <w:pPr>
        <w:pStyle w:val="11"/>
        <w:shd w:val="clear" w:color="auto" w:fill="auto"/>
        <w:spacing w:line="240" w:lineRule="atLeast"/>
        <w:ind w:left="1164" w:leftChars="257" w:hanging="540"/>
        <w:rPr>
          <w:rFonts w:hint="eastAsia" w:ascii="仿宋" w:hAnsi="仿宋" w:eastAsia="仿宋" w:cs="仿宋"/>
          <w:color w:val="auto"/>
          <w:sz w:val="24"/>
          <w:highlight w:val="none"/>
        </w:rPr>
      </w:pPr>
    </w:p>
    <w:p w14:paraId="24A0D0BC">
      <w:pPr>
        <w:pStyle w:val="11"/>
        <w:shd w:val="clear" w:color="auto" w:fill="auto"/>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093F78CA">
      <w:pPr>
        <w:pStyle w:val="11"/>
        <w:shd w:val="clear" w:color="auto" w:fill="auto"/>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包号:                      </w:t>
      </w:r>
    </w:p>
    <w:p w14:paraId="254ECEE0">
      <w:pPr>
        <w:pStyle w:val="11"/>
        <w:shd w:val="clear" w:color="auto" w:fill="auto"/>
        <w:spacing w:line="240" w:lineRule="atLeast"/>
        <w:ind w:left="1164" w:leftChars="257" w:hanging="540"/>
        <w:rPr>
          <w:rFonts w:hint="eastAsia" w:ascii="仿宋" w:hAnsi="仿宋" w:eastAsia="仿宋" w:cs="仿宋"/>
          <w:color w:val="auto"/>
          <w:sz w:val="24"/>
          <w:highlight w:val="none"/>
        </w:rPr>
      </w:pPr>
    </w:p>
    <w:tbl>
      <w:tblPr>
        <w:tblStyle w:val="25"/>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1ED3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1C34A44E">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top"/>
          </w:tcPr>
          <w:p w14:paraId="5CFE1F61">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top"/>
          </w:tcPr>
          <w:p w14:paraId="2A905672">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top"/>
          </w:tcPr>
          <w:p w14:paraId="20AECD79">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top"/>
          </w:tcPr>
          <w:p w14:paraId="6D69DA46">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交货期</w:t>
            </w:r>
          </w:p>
        </w:tc>
        <w:tc>
          <w:tcPr>
            <w:tcW w:w="1250" w:type="dxa"/>
            <w:noWrap w:val="0"/>
            <w:vAlign w:val="top"/>
          </w:tcPr>
          <w:p w14:paraId="0D75C1D3">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690" w:type="dxa"/>
            <w:noWrap w:val="0"/>
            <w:vAlign w:val="top"/>
          </w:tcPr>
          <w:p w14:paraId="6A4C32D1">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14:paraId="1984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5BF533E9">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14:paraId="6AAC800A">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14:paraId="460A1737">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612D696F">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479810F5">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14:paraId="476E565F">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14:paraId="2AB460A1">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0763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2369B280">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14:paraId="4C019874">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14:paraId="429A5373">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0532057F">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702B553D">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14:paraId="0DF603E7">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14:paraId="214AA3D7">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6008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6A010B63">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14:paraId="2DBA1728">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14:paraId="12F63ECA">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1A9FAC97">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16A73A15">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14:paraId="7935E40D">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14:paraId="6016E1B8">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16D3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41721EC5">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14:paraId="7C9BC1BE">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14:paraId="0B03DC27">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62E37D29">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07F4DBC5">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14:paraId="33C8C74D">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14:paraId="6764EB27">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0743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39565040">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14:paraId="1C653CE1">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14:paraId="7486DA2E">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4E5E8804">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104DCF2E">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14:paraId="44D521D1">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14:paraId="3923D202">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11B2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363F07AF">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14:paraId="433C362E">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14:paraId="51519899">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0AB0F70B">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27CA983F">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14:paraId="3AA1A64F">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14:paraId="1BD67E8C">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450D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2B46C0B9">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14:paraId="3AAF641B">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14:paraId="7CA79C90">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3EE10FB8">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6133422C">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14:paraId="399EE0A9">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14:paraId="405A749B">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7AF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03898D54">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14:paraId="217F2EB7">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14:paraId="151BA7DA">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70AEE54A">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1B171295">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14:paraId="72808CB6">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14:paraId="72F136FC">
            <w:pPr>
              <w:pStyle w:val="11"/>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bl>
    <w:p w14:paraId="753C203F">
      <w:pPr>
        <w:pStyle w:val="11"/>
        <w:shd w:val="clear" w:color="auto" w:fill="auto"/>
        <w:spacing w:line="240" w:lineRule="atLeast"/>
        <w:ind w:left="1164" w:leftChars="257" w:hanging="540"/>
        <w:rPr>
          <w:rFonts w:hint="eastAsia" w:ascii="仿宋" w:hAnsi="仿宋" w:eastAsia="仿宋" w:cs="仿宋"/>
          <w:color w:val="auto"/>
          <w:sz w:val="24"/>
          <w:highlight w:val="none"/>
        </w:rPr>
      </w:pPr>
    </w:p>
    <w:p w14:paraId="1EA161AB">
      <w:pPr>
        <w:pStyle w:val="11"/>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p>
    <w:p w14:paraId="58D40185">
      <w:pPr>
        <w:pStyle w:val="11"/>
        <w:shd w:val="clear" w:color="auto" w:fill="auto"/>
        <w:tabs>
          <w:tab w:val="left" w:pos="5370"/>
        </w:tabs>
        <w:spacing w:line="240" w:lineRule="atLeast"/>
        <w:ind w:left="1164"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5C0F9B3F">
      <w:pPr>
        <w:pStyle w:val="11"/>
        <w:shd w:val="clear" w:color="auto" w:fill="auto"/>
        <w:spacing w:line="240" w:lineRule="atLeast"/>
        <w:ind w:left="1164" w:leftChars="257" w:hanging="540"/>
        <w:rPr>
          <w:rFonts w:hint="eastAsia" w:ascii="仿宋" w:hAnsi="仿宋" w:eastAsia="仿宋" w:cs="仿宋"/>
          <w:color w:val="auto"/>
          <w:sz w:val="24"/>
          <w:highlight w:val="none"/>
        </w:rPr>
      </w:pPr>
    </w:p>
    <w:p w14:paraId="15F860B9">
      <w:pPr>
        <w:pStyle w:val="11"/>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仿宋" w:hAnsi="仿宋" w:eastAsia="仿宋" w:cs="仿宋"/>
          <w:color w:val="auto"/>
          <w:sz w:val="24"/>
          <w:highlight w:val="none"/>
        </w:rPr>
        <w:t>注: 各项货物详细技术性能应另页描述</w:t>
      </w:r>
      <w:r>
        <w:rPr>
          <w:rFonts w:hint="eastAsia" w:ascii="宋体" w:hAnsi="宋体" w:eastAsia="宋体" w:cs="宋体"/>
          <w:color w:val="auto"/>
          <w:sz w:val="24"/>
          <w:highlight w:val="none"/>
        </w:rPr>
        <w:t>。</w:t>
      </w:r>
    </w:p>
    <w:p w14:paraId="3A8E6C1D">
      <w:pPr>
        <w:pStyle w:val="11"/>
        <w:shd w:val="clear" w:color="auto" w:fill="auto"/>
        <w:spacing w:line="240" w:lineRule="atLeast"/>
        <w:ind w:left="1164" w:leftChars="257" w:hanging="540"/>
        <w:jc w:val="center"/>
        <w:rPr>
          <w:rFonts w:hint="eastAsia" w:ascii="宋体" w:hAnsi="宋体" w:eastAsia="宋体" w:cs="宋体"/>
          <w:color w:val="auto"/>
          <w:sz w:val="24"/>
          <w:highlight w:val="none"/>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14:paraId="13A9B527">
      <w:pPr>
        <w:pStyle w:val="40"/>
        <w:keepNext/>
        <w:keepLines/>
        <w:widowControl w:val="0"/>
        <w:numPr>
          <w:ilvl w:val="0"/>
          <w:numId w:val="0"/>
        </w:numPr>
        <w:shd w:val="clear" w:color="auto" w:fill="auto"/>
        <w:bidi w:val="0"/>
        <w:spacing w:before="0" w:after="220" w:line="240" w:lineRule="auto"/>
        <w:ind w:right="0" w:rightChars="0" w:firstLine="3253" w:firstLineChars="900"/>
        <w:jc w:val="both"/>
        <w:rPr>
          <w:rFonts w:hint="eastAsia" w:ascii="仿宋" w:hAnsi="仿宋" w:eastAsia="仿宋" w:cs="仿宋"/>
          <w:b/>
          <w:bCs/>
          <w:color w:val="auto"/>
          <w:spacing w:val="0"/>
          <w:w w:val="100"/>
          <w:position w:val="0"/>
        </w:rPr>
      </w:pPr>
      <w:r>
        <w:rPr>
          <w:rFonts w:hint="eastAsia" w:ascii="仿宋" w:hAnsi="仿宋" w:eastAsia="仿宋" w:cs="仿宋"/>
          <w:b/>
          <w:bCs/>
          <w:color w:val="auto"/>
          <w:spacing w:val="0"/>
          <w:w w:val="100"/>
          <w:position w:val="0"/>
          <w:lang w:val="en-US" w:eastAsia="zh-CN"/>
        </w:rPr>
        <w:t>4</w:t>
      </w:r>
      <w:r>
        <w:rPr>
          <w:rFonts w:hint="eastAsia" w:ascii="仿宋" w:hAnsi="仿宋" w:eastAsia="仿宋" w:cs="仿宋"/>
          <w:b/>
          <w:bCs/>
          <w:color w:val="auto"/>
          <w:spacing w:val="0"/>
          <w:w w:val="100"/>
          <w:position w:val="0"/>
          <w:lang w:eastAsia="zh-CN"/>
        </w:rPr>
        <w:t>、</w:t>
      </w:r>
      <w:r>
        <w:rPr>
          <w:rFonts w:hint="eastAsia" w:ascii="仿宋" w:hAnsi="仿宋" w:eastAsia="仿宋" w:cs="仿宋"/>
          <w:b/>
          <w:bCs/>
          <w:color w:val="auto"/>
          <w:spacing w:val="0"/>
          <w:w w:val="100"/>
          <w:position w:val="0"/>
        </w:rPr>
        <w:t>投标报价明细表</w:t>
      </w:r>
    </w:p>
    <w:p w14:paraId="0659D5E4">
      <w:pPr>
        <w:pStyle w:val="40"/>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20FA4489">
      <w:pPr>
        <w:pStyle w:val="40"/>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 　 </w:t>
      </w:r>
    </w:p>
    <w:p w14:paraId="3F77FAB7">
      <w:pPr>
        <w:pStyle w:val="11"/>
        <w:shd w:val="clear" w:color="auto" w:fill="auto"/>
        <w:spacing w:line="240" w:lineRule="atLeast"/>
        <w:ind w:left="1157"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单位：</w:t>
      </w:r>
      <w:r>
        <w:rPr>
          <w:rFonts w:hint="eastAsia" w:ascii="仿宋" w:hAnsi="仿宋" w:eastAsia="仿宋" w:cs="仿宋"/>
          <w:color w:val="auto"/>
          <w:szCs w:val="21"/>
        </w:rPr>
        <w:t>元（人民币）</w:t>
      </w:r>
    </w:p>
    <w:tbl>
      <w:tblPr>
        <w:tblStyle w:val="25"/>
        <w:tblW w:w="97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664"/>
        <w:gridCol w:w="664"/>
        <w:gridCol w:w="818"/>
        <w:gridCol w:w="818"/>
        <w:gridCol w:w="818"/>
      </w:tblGrid>
      <w:tr w14:paraId="5D124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14:paraId="6C4C9A49">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14:paraId="10F543A6">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14:paraId="1538A8F0">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品牌</w:t>
            </w:r>
          </w:p>
        </w:tc>
        <w:tc>
          <w:tcPr>
            <w:tcW w:w="1267" w:type="dxa"/>
            <w:tcBorders>
              <w:top w:val="single" w:color="auto" w:sz="12" w:space="0"/>
              <w:left w:val="single" w:color="auto" w:sz="6" w:space="0"/>
              <w:bottom w:val="single" w:color="auto" w:sz="6" w:space="0"/>
              <w:right w:val="single" w:color="auto" w:sz="4" w:space="0"/>
            </w:tcBorders>
            <w:noWrap w:val="0"/>
            <w:vAlign w:val="center"/>
          </w:tcPr>
          <w:p w14:paraId="169F7738">
            <w:pPr>
              <w:spacing w:line="500" w:lineRule="exact"/>
              <w:rPr>
                <w:rFonts w:hint="eastAsia" w:ascii="仿宋" w:hAnsi="仿宋" w:eastAsia="仿宋" w:cs="仿宋"/>
                <w:color w:val="auto"/>
                <w:szCs w:val="21"/>
                <w:lang w:eastAsia="zh-CN"/>
              </w:rPr>
            </w:pPr>
            <w:r>
              <w:rPr>
                <w:rFonts w:hint="eastAsia" w:ascii="仿宋" w:hAnsi="仿宋" w:eastAsia="仿宋" w:cs="仿宋"/>
                <w:color w:val="auto"/>
                <w:szCs w:val="21"/>
              </w:rPr>
              <w:t>规格</w:t>
            </w:r>
            <w:r>
              <w:rPr>
                <w:rFonts w:hint="eastAsia" w:ascii="仿宋" w:hAnsi="仿宋" w:eastAsia="仿宋" w:cs="仿宋"/>
                <w:color w:val="auto"/>
                <w:szCs w:val="21"/>
                <w:lang w:eastAsia="zh-CN"/>
              </w:rPr>
              <w:t>型号</w:t>
            </w:r>
          </w:p>
        </w:tc>
        <w:tc>
          <w:tcPr>
            <w:tcW w:w="833" w:type="dxa"/>
            <w:tcBorders>
              <w:top w:val="single" w:color="auto" w:sz="12" w:space="0"/>
              <w:left w:val="single" w:color="auto" w:sz="6" w:space="0"/>
              <w:bottom w:val="single" w:color="auto" w:sz="6" w:space="0"/>
              <w:right w:val="single" w:color="auto" w:sz="4" w:space="0"/>
            </w:tcBorders>
            <w:noWrap w:val="0"/>
            <w:vAlign w:val="center"/>
          </w:tcPr>
          <w:p w14:paraId="6A1E4393">
            <w:pPr>
              <w:spacing w:line="500" w:lineRule="exact"/>
              <w:rPr>
                <w:rFonts w:hint="eastAsia" w:ascii="仿宋" w:hAnsi="仿宋" w:eastAsia="仿宋" w:cs="仿宋"/>
                <w:color w:val="auto"/>
                <w:szCs w:val="21"/>
                <w:lang w:eastAsia="zh-CN"/>
              </w:rPr>
            </w:pPr>
            <w:r>
              <w:rPr>
                <w:rFonts w:hint="eastAsia" w:ascii="仿宋" w:hAnsi="仿宋" w:eastAsia="仿宋" w:cs="仿宋"/>
                <w:color w:val="auto"/>
                <w:szCs w:val="21"/>
              </w:rPr>
              <w:t>交货时间</w:t>
            </w:r>
          </w:p>
        </w:tc>
        <w:tc>
          <w:tcPr>
            <w:tcW w:w="1336" w:type="dxa"/>
            <w:tcBorders>
              <w:top w:val="single" w:color="auto" w:sz="12" w:space="0"/>
              <w:left w:val="single" w:color="auto" w:sz="4" w:space="0"/>
              <w:bottom w:val="single" w:color="auto" w:sz="6" w:space="0"/>
              <w:right w:val="single" w:color="auto" w:sz="6" w:space="0"/>
            </w:tcBorders>
            <w:noWrap w:val="0"/>
            <w:vAlign w:val="center"/>
          </w:tcPr>
          <w:p w14:paraId="20D7591B">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交货地点</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4AAE5A32">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1DBAB493">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单位</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60F839C2">
            <w:pPr>
              <w:spacing w:line="50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单价</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24E5032D">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总价</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3AE73A4F">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备注</w:t>
            </w:r>
          </w:p>
        </w:tc>
      </w:tr>
      <w:tr w14:paraId="7F23C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008A8DC6">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05C01EC2">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4BCB5E5">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6BC9B4B0">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0C073BDC">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27B25133">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1AEBCE39">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DD0520F">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92946EA">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67F3303">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F9F942A">
            <w:pPr>
              <w:spacing w:line="500" w:lineRule="exact"/>
              <w:jc w:val="center"/>
              <w:rPr>
                <w:rFonts w:hint="eastAsia" w:ascii="仿宋" w:hAnsi="仿宋" w:eastAsia="仿宋" w:cs="仿宋"/>
                <w:color w:val="auto"/>
                <w:szCs w:val="21"/>
              </w:rPr>
            </w:pPr>
          </w:p>
        </w:tc>
      </w:tr>
      <w:tr w14:paraId="7CD17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0BC4D6F7">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64E5FFFF">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457564D">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4813D700">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6DC6FACE">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2D1A90A2">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2536A529">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044C9A30">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6522B6DF">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50E4E29F">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721C7069">
            <w:pPr>
              <w:spacing w:line="500" w:lineRule="exact"/>
              <w:jc w:val="center"/>
              <w:rPr>
                <w:rFonts w:hint="eastAsia" w:ascii="仿宋" w:hAnsi="仿宋" w:eastAsia="仿宋" w:cs="仿宋"/>
                <w:color w:val="auto"/>
                <w:szCs w:val="21"/>
              </w:rPr>
            </w:pPr>
          </w:p>
        </w:tc>
      </w:tr>
      <w:tr w14:paraId="4CE34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7C508E02">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5811D698">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A0CAF16">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10BD890A">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0AE57152">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29DA1549">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477592B">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2930FFC3">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CBAF92A">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3FB3996C">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60F55149">
            <w:pPr>
              <w:spacing w:line="500" w:lineRule="exact"/>
              <w:jc w:val="center"/>
              <w:rPr>
                <w:rFonts w:hint="eastAsia" w:ascii="仿宋" w:hAnsi="仿宋" w:eastAsia="仿宋" w:cs="仿宋"/>
                <w:color w:val="auto"/>
                <w:szCs w:val="21"/>
              </w:rPr>
            </w:pPr>
          </w:p>
        </w:tc>
      </w:tr>
      <w:tr w14:paraId="72EA1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B61C009">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32B6A832">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E708E38">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08E0DC8B">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69D1DD92">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3365DB36">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1DC63235">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05738EA2">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341482E1">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4D2BE3AD">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FC0C995">
            <w:pPr>
              <w:spacing w:line="500" w:lineRule="exact"/>
              <w:jc w:val="center"/>
              <w:rPr>
                <w:rFonts w:hint="eastAsia" w:ascii="仿宋" w:hAnsi="仿宋" w:eastAsia="仿宋" w:cs="仿宋"/>
                <w:color w:val="auto"/>
                <w:szCs w:val="21"/>
              </w:rPr>
            </w:pPr>
          </w:p>
        </w:tc>
      </w:tr>
      <w:tr w14:paraId="13644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04917E5A">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0274A146">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960A4DC">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2DAA11BA">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52E7F176">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246F3F3C">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19ED0424">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157A435">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D29C35A">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356B07B0">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1739682">
            <w:pPr>
              <w:spacing w:line="500" w:lineRule="exact"/>
              <w:jc w:val="center"/>
              <w:rPr>
                <w:rFonts w:hint="eastAsia" w:ascii="仿宋" w:hAnsi="仿宋" w:eastAsia="仿宋" w:cs="仿宋"/>
                <w:color w:val="auto"/>
                <w:szCs w:val="21"/>
              </w:rPr>
            </w:pPr>
          </w:p>
        </w:tc>
      </w:tr>
      <w:tr w14:paraId="43558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062DC6A0">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27949EEA">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0B8039FE">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013C899E">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227737EF">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56E95505">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50C52FF">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03FC152">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05B40A0">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C42B0C8">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0E39858">
            <w:pPr>
              <w:spacing w:line="500" w:lineRule="exact"/>
              <w:jc w:val="center"/>
              <w:rPr>
                <w:rFonts w:hint="eastAsia" w:ascii="仿宋" w:hAnsi="仿宋" w:eastAsia="仿宋" w:cs="仿宋"/>
                <w:color w:val="auto"/>
                <w:szCs w:val="21"/>
              </w:rPr>
            </w:pPr>
          </w:p>
        </w:tc>
      </w:tr>
      <w:tr w14:paraId="1B4EC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6702825C">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5DB4583D">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2473C39A">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10830FF1">
            <w:pPr>
              <w:spacing w:line="500" w:lineRule="exact"/>
              <w:jc w:val="center"/>
              <w:rPr>
                <w:rFonts w:hint="eastAsia"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3ED7FAFB">
            <w:pPr>
              <w:spacing w:line="500" w:lineRule="exact"/>
              <w:jc w:val="center"/>
              <w:rPr>
                <w:rFonts w:hint="eastAsia"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5B474501">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0C5773DE">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63560D9">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77B5852C">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7E1689C9">
            <w:pPr>
              <w:spacing w:line="500" w:lineRule="exact"/>
              <w:jc w:val="center"/>
              <w:rPr>
                <w:rFonts w:hint="eastAsia"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5FF0F026">
            <w:pPr>
              <w:spacing w:line="500" w:lineRule="exact"/>
              <w:jc w:val="center"/>
              <w:rPr>
                <w:rFonts w:hint="eastAsia" w:ascii="仿宋" w:hAnsi="仿宋" w:eastAsia="仿宋" w:cs="仿宋"/>
                <w:color w:val="auto"/>
                <w:szCs w:val="21"/>
              </w:rPr>
            </w:pPr>
          </w:p>
        </w:tc>
      </w:tr>
    </w:tbl>
    <w:p w14:paraId="025F86E3">
      <w:pPr>
        <w:pStyle w:val="44"/>
        <w:keepNext w:val="0"/>
        <w:keepLines w:val="0"/>
        <w:widowControl w:val="0"/>
        <w:shd w:val="clear" w:color="auto" w:fill="auto"/>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说明：</w:t>
      </w:r>
      <w:r>
        <w:rPr>
          <w:rFonts w:hint="eastAsia" w:ascii="仿宋" w:hAnsi="仿宋" w:eastAsia="仿宋" w:cs="仿宋"/>
          <w:color w:val="auto"/>
          <w:spacing w:val="0"/>
          <w:w w:val="100"/>
          <w:position w:val="0"/>
          <w:sz w:val="24"/>
          <w:szCs w:val="24"/>
          <w:lang w:val="en-US" w:eastAsia="en-US" w:bidi="en-US"/>
        </w:rPr>
        <w:t>1.</w:t>
      </w:r>
      <w:r>
        <w:rPr>
          <w:rFonts w:hint="eastAsia" w:ascii="仿宋" w:hAnsi="仿宋" w:eastAsia="仿宋" w:cs="仿宋"/>
          <w:color w:val="auto"/>
          <w:spacing w:val="0"/>
          <w:w w:val="100"/>
          <w:position w:val="0"/>
          <w:sz w:val="24"/>
          <w:szCs w:val="24"/>
        </w:rPr>
        <w:t>所有价格均用人民币表示，单位为元。</w:t>
      </w:r>
    </w:p>
    <w:p w14:paraId="2EE10256">
      <w:pPr>
        <w:pStyle w:val="44"/>
        <w:keepNext w:val="0"/>
        <w:keepLines w:val="0"/>
        <w:widowControl w:val="0"/>
        <w:numPr>
          <w:ilvl w:val="0"/>
          <w:numId w:val="8"/>
        </w:numPr>
        <w:shd w:val="clear" w:color="auto" w:fill="auto"/>
        <w:tabs>
          <w:tab w:val="left" w:pos="378"/>
        </w:tabs>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报价总计价格必须与《</w:t>
      </w:r>
      <w:r>
        <w:rPr>
          <w:rFonts w:hint="eastAsia" w:ascii="仿宋" w:hAnsi="仿宋" w:eastAsia="仿宋" w:cs="仿宋"/>
          <w:color w:val="auto"/>
          <w:spacing w:val="0"/>
          <w:w w:val="100"/>
          <w:position w:val="0"/>
          <w:sz w:val="24"/>
          <w:szCs w:val="24"/>
          <w:lang w:eastAsia="zh-CN"/>
        </w:rPr>
        <w:t>投标报价单</w:t>
      </w:r>
      <w:r>
        <w:rPr>
          <w:rFonts w:hint="eastAsia" w:ascii="仿宋" w:hAnsi="仿宋" w:eastAsia="仿宋" w:cs="仿宋"/>
          <w:color w:val="auto"/>
          <w:spacing w:val="0"/>
          <w:w w:val="100"/>
          <w:position w:val="0"/>
          <w:sz w:val="24"/>
          <w:szCs w:val="24"/>
        </w:rPr>
        <w:t>》报价一致。</w:t>
      </w:r>
    </w:p>
    <w:p w14:paraId="31FCDE9A">
      <w:pPr>
        <w:pStyle w:val="44"/>
        <w:keepNext w:val="0"/>
        <w:keepLines w:val="0"/>
        <w:widowControl w:val="0"/>
        <w:numPr>
          <w:ilvl w:val="0"/>
          <w:numId w:val="8"/>
        </w:numPr>
        <w:shd w:val="clear" w:color="auto" w:fill="auto"/>
        <w:tabs>
          <w:tab w:val="left" w:pos="490"/>
        </w:tabs>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如果不提供详细的分项报价表将被视为没有实质性</w:t>
      </w:r>
      <w:r>
        <w:rPr>
          <w:rFonts w:hint="eastAsia" w:ascii="仿宋" w:hAnsi="仿宋" w:eastAsia="仿宋" w:cs="仿宋"/>
          <w:color w:val="auto"/>
          <w:spacing w:val="0"/>
          <w:w w:val="100"/>
          <w:position w:val="0"/>
          <w:sz w:val="24"/>
          <w:szCs w:val="24"/>
          <w:lang w:eastAsia="zh-CN"/>
        </w:rPr>
        <w:t>投标文件</w:t>
      </w:r>
      <w:r>
        <w:rPr>
          <w:rFonts w:hint="eastAsia" w:ascii="仿宋" w:hAnsi="仿宋" w:eastAsia="仿宋" w:cs="仿宋"/>
          <w:color w:val="auto"/>
          <w:spacing w:val="0"/>
          <w:w w:val="100"/>
          <w:position w:val="0"/>
          <w:sz w:val="24"/>
          <w:szCs w:val="24"/>
        </w:rPr>
        <w:t>。</w:t>
      </w:r>
    </w:p>
    <w:p w14:paraId="2F95F87C">
      <w:pPr>
        <w:pStyle w:val="44"/>
        <w:keepNext w:val="0"/>
        <w:keepLines w:val="0"/>
        <w:widowControl w:val="0"/>
        <w:numPr>
          <w:ilvl w:val="0"/>
          <w:numId w:val="8"/>
        </w:numPr>
        <w:shd w:val="clear" w:color="auto" w:fill="auto"/>
        <w:tabs>
          <w:tab w:val="left" w:pos="493"/>
        </w:tabs>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投标人必须按此表格式中的对应栏目内容填写，若需增加栏目，请在栏目</w:t>
      </w:r>
      <w:r>
        <w:rPr>
          <w:rFonts w:hint="eastAsia" w:ascii="仿宋" w:hAnsi="仿宋" w:eastAsia="仿宋" w:cs="仿宋"/>
          <w:color w:val="auto"/>
          <w:spacing w:val="0"/>
          <w:w w:val="100"/>
          <w:position w:val="0"/>
          <w:sz w:val="24"/>
          <w:szCs w:val="24"/>
          <w:lang w:val="zh-CN" w:eastAsia="zh-CN" w:bidi="zh-CN"/>
        </w:rPr>
        <w:t>“其</w:t>
      </w:r>
      <w:r>
        <w:rPr>
          <w:rFonts w:hint="eastAsia" w:ascii="仿宋" w:hAnsi="仿宋" w:eastAsia="仿宋" w:cs="仿宋"/>
          <w:color w:val="auto"/>
          <w:spacing w:val="0"/>
          <w:w w:val="100"/>
          <w:position w:val="0"/>
          <w:sz w:val="24"/>
          <w:szCs w:val="24"/>
        </w:rPr>
        <w:t>它”中填写，并作详细说明。</w:t>
      </w:r>
    </w:p>
    <w:p w14:paraId="61FCAF6C">
      <w:pPr>
        <w:pStyle w:val="44"/>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0"/>
          <w:szCs w:val="20"/>
        </w:rPr>
      </w:pPr>
    </w:p>
    <w:p w14:paraId="3953A56A">
      <w:pPr>
        <w:pStyle w:val="44"/>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0"/>
          <w:szCs w:val="20"/>
        </w:rPr>
      </w:pPr>
    </w:p>
    <w:p w14:paraId="69229845">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ab/>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69375298">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rPr>
        <w:tab/>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w:t>
      </w:r>
      <w:r>
        <w:rPr>
          <w:rFonts w:hint="eastAsia" w:ascii="仿宋" w:hAnsi="仿宋" w:eastAsia="仿宋" w:cs="仿宋"/>
          <w:color w:val="auto"/>
          <w:w w:val="95"/>
          <w:sz w:val="24"/>
          <w:szCs w:val="24"/>
          <w:lang w:val="en-US" w:eastAsia="zh-CN"/>
        </w:rPr>
        <w:t>字并盖</w:t>
      </w:r>
      <w:r>
        <w:rPr>
          <w:rFonts w:hint="eastAsia" w:ascii="仿宋" w:hAnsi="仿宋" w:eastAsia="仿宋" w:cs="仿宋"/>
          <w:color w:val="auto"/>
          <w:w w:val="95"/>
          <w:sz w:val="24"/>
          <w:szCs w:val="24"/>
          <w:lang w:eastAsia="zh-CN"/>
        </w:rPr>
        <w:t>章</w:t>
      </w:r>
      <w:r>
        <w:rPr>
          <w:rFonts w:hint="eastAsia" w:ascii="仿宋" w:hAnsi="仿宋" w:eastAsia="仿宋" w:cs="仿宋"/>
          <w:color w:val="auto"/>
          <w:w w:val="95"/>
          <w:sz w:val="24"/>
          <w:szCs w:val="24"/>
        </w:rPr>
        <w:t>）</w:t>
      </w:r>
    </w:p>
    <w:p w14:paraId="66C284DA">
      <w:pPr>
        <w:pStyle w:val="8"/>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2A48F5F5">
      <w:pPr>
        <w:rPr>
          <w:rFonts w:ascii="仿宋" w:hAnsi="仿宋" w:eastAsia="仿宋" w:cs="仿宋"/>
          <w:color w:val="auto"/>
          <w:lang w:eastAsia="zh-CN"/>
        </w:rPr>
      </w:pPr>
    </w:p>
    <w:p w14:paraId="00826C5B">
      <w:pPr>
        <w:spacing w:line="360" w:lineRule="auto"/>
        <w:jc w:val="both"/>
        <w:rPr>
          <w:rFonts w:hint="eastAsia" w:ascii="仿宋" w:hAnsi="仿宋" w:eastAsia="仿宋" w:cs="仿宋"/>
          <w:b/>
          <w:color w:val="auto"/>
          <w:kern w:val="0"/>
          <w:sz w:val="36"/>
          <w:szCs w:val="36"/>
          <w:lang w:val="en-US" w:eastAsia="zh-CN"/>
        </w:rPr>
      </w:pPr>
    </w:p>
    <w:p w14:paraId="47D9F423">
      <w:pPr>
        <w:spacing w:line="360" w:lineRule="auto"/>
        <w:jc w:val="center"/>
        <w:rPr>
          <w:rFonts w:hint="eastAsia" w:ascii="仿宋" w:hAnsi="仿宋" w:eastAsia="仿宋" w:cs="仿宋"/>
          <w:b/>
          <w:bCs/>
          <w:color w:val="auto"/>
          <w:sz w:val="32"/>
          <w:szCs w:val="32"/>
        </w:rPr>
      </w:pPr>
      <w:r>
        <w:rPr>
          <w:rFonts w:hint="eastAsia" w:ascii="仿宋" w:hAnsi="仿宋" w:eastAsia="仿宋" w:cs="仿宋"/>
          <w:b/>
          <w:color w:val="auto"/>
          <w:kern w:val="0"/>
          <w:sz w:val="36"/>
          <w:szCs w:val="36"/>
          <w:lang w:val="en-US" w:eastAsia="zh-CN"/>
        </w:rPr>
        <w:t>5</w:t>
      </w:r>
      <w:r>
        <w:rPr>
          <w:rFonts w:hint="eastAsia" w:ascii="仿宋" w:hAnsi="仿宋" w:eastAsia="仿宋" w:cs="仿宋"/>
          <w:b/>
          <w:color w:val="auto"/>
          <w:kern w:val="0"/>
          <w:sz w:val="36"/>
          <w:szCs w:val="36"/>
          <w:lang w:eastAsia="zh-CN"/>
        </w:rPr>
        <w:t>、</w:t>
      </w:r>
      <w:r>
        <w:rPr>
          <w:rFonts w:hint="eastAsia" w:ascii="仿宋" w:hAnsi="仿宋" w:eastAsia="仿宋" w:cs="仿宋"/>
          <w:b/>
          <w:bCs/>
          <w:color w:val="auto"/>
          <w:sz w:val="32"/>
          <w:szCs w:val="32"/>
        </w:rPr>
        <w:t>技术条款偏离表</w:t>
      </w:r>
    </w:p>
    <w:tbl>
      <w:tblPr>
        <w:tblStyle w:val="2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894"/>
        <w:gridCol w:w="1478"/>
        <w:gridCol w:w="894"/>
        <w:gridCol w:w="4053"/>
        <w:gridCol w:w="602"/>
      </w:tblGrid>
      <w:tr w14:paraId="55B4A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1" w:type="dxa"/>
            <w:noWrap w:val="0"/>
            <w:vAlign w:val="center"/>
          </w:tcPr>
          <w:p w14:paraId="326033C7">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894" w:type="dxa"/>
            <w:noWrap w:val="0"/>
            <w:vAlign w:val="center"/>
          </w:tcPr>
          <w:p w14:paraId="316E6BC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478" w:type="dxa"/>
            <w:noWrap w:val="0"/>
            <w:vAlign w:val="center"/>
          </w:tcPr>
          <w:p w14:paraId="731E228B">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招标文件要求规格</w:t>
            </w:r>
          </w:p>
        </w:tc>
        <w:tc>
          <w:tcPr>
            <w:tcW w:w="894" w:type="dxa"/>
            <w:noWrap w:val="0"/>
            <w:vAlign w:val="center"/>
          </w:tcPr>
          <w:p w14:paraId="0089A6F3">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4053" w:type="dxa"/>
            <w:noWrap w:val="0"/>
            <w:vAlign w:val="center"/>
          </w:tcPr>
          <w:p w14:paraId="5B7F3A5E">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602" w:type="dxa"/>
            <w:noWrap w:val="0"/>
            <w:vAlign w:val="center"/>
          </w:tcPr>
          <w:p w14:paraId="32AF1DDB">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67B82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1" w:type="dxa"/>
            <w:noWrap w:val="0"/>
            <w:vAlign w:val="top"/>
          </w:tcPr>
          <w:p w14:paraId="41CEC551">
            <w:pPr>
              <w:jc w:val="center"/>
              <w:rPr>
                <w:rFonts w:hint="eastAsia" w:ascii="仿宋" w:hAnsi="仿宋" w:eastAsia="仿宋" w:cs="仿宋"/>
                <w:b/>
                <w:bCs/>
                <w:color w:val="auto"/>
                <w:sz w:val="24"/>
                <w:szCs w:val="24"/>
              </w:rPr>
            </w:pPr>
          </w:p>
        </w:tc>
        <w:tc>
          <w:tcPr>
            <w:tcW w:w="894" w:type="dxa"/>
            <w:noWrap w:val="0"/>
            <w:vAlign w:val="top"/>
          </w:tcPr>
          <w:p w14:paraId="3BC19976">
            <w:pPr>
              <w:jc w:val="center"/>
              <w:rPr>
                <w:rFonts w:hint="eastAsia" w:ascii="仿宋" w:hAnsi="仿宋" w:eastAsia="仿宋" w:cs="仿宋"/>
                <w:b/>
                <w:bCs/>
                <w:color w:val="auto"/>
                <w:sz w:val="24"/>
                <w:szCs w:val="24"/>
              </w:rPr>
            </w:pPr>
          </w:p>
        </w:tc>
        <w:tc>
          <w:tcPr>
            <w:tcW w:w="1478" w:type="dxa"/>
            <w:noWrap w:val="0"/>
            <w:vAlign w:val="top"/>
          </w:tcPr>
          <w:p w14:paraId="40512E23">
            <w:pPr>
              <w:jc w:val="center"/>
              <w:rPr>
                <w:rFonts w:hint="eastAsia" w:ascii="仿宋" w:hAnsi="仿宋" w:eastAsia="仿宋" w:cs="仿宋"/>
                <w:b/>
                <w:bCs/>
                <w:color w:val="auto"/>
                <w:sz w:val="24"/>
                <w:szCs w:val="24"/>
              </w:rPr>
            </w:pPr>
          </w:p>
        </w:tc>
        <w:tc>
          <w:tcPr>
            <w:tcW w:w="894" w:type="dxa"/>
            <w:noWrap w:val="0"/>
            <w:vAlign w:val="top"/>
          </w:tcPr>
          <w:p w14:paraId="5BC64BA6">
            <w:pPr>
              <w:jc w:val="center"/>
              <w:rPr>
                <w:rFonts w:hint="eastAsia" w:ascii="仿宋" w:hAnsi="仿宋" w:eastAsia="仿宋" w:cs="仿宋"/>
                <w:b/>
                <w:bCs/>
                <w:color w:val="auto"/>
                <w:sz w:val="24"/>
                <w:szCs w:val="24"/>
              </w:rPr>
            </w:pPr>
          </w:p>
        </w:tc>
        <w:tc>
          <w:tcPr>
            <w:tcW w:w="4053" w:type="dxa"/>
            <w:noWrap w:val="0"/>
            <w:vAlign w:val="top"/>
          </w:tcPr>
          <w:p w14:paraId="36BE2CE1">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如有正偏离需提供证明材料，证明材料附后(并注明页码)</w:t>
            </w:r>
          </w:p>
        </w:tc>
        <w:tc>
          <w:tcPr>
            <w:tcW w:w="602" w:type="dxa"/>
            <w:noWrap w:val="0"/>
            <w:vAlign w:val="top"/>
          </w:tcPr>
          <w:p w14:paraId="7940B9DE">
            <w:pPr>
              <w:jc w:val="center"/>
              <w:rPr>
                <w:rFonts w:hint="eastAsia" w:ascii="仿宋" w:hAnsi="仿宋" w:eastAsia="仿宋" w:cs="仿宋"/>
                <w:b/>
                <w:bCs/>
                <w:color w:val="auto"/>
                <w:sz w:val="24"/>
                <w:szCs w:val="24"/>
              </w:rPr>
            </w:pPr>
          </w:p>
        </w:tc>
      </w:tr>
      <w:tr w14:paraId="3FCCC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601" w:type="dxa"/>
            <w:noWrap w:val="0"/>
            <w:vAlign w:val="top"/>
          </w:tcPr>
          <w:p w14:paraId="1CCA4839">
            <w:pPr>
              <w:jc w:val="center"/>
              <w:rPr>
                <w:rFonts w:hint="eastAsia" w:ascii="仿宋" w:hAnsi="仿宋" w:eastAsia="仿宋" w:cs="仿宋"/>
                <w:b/>
                <w:bCs/>
                <w:color w:val="auto"/>
                <w:sz w:val="24"/>
                <w:szCs w:val="24"/>
              </w:rPr>
            </w:pPr>
          </w:p>
        </w:tc>
        <w:tc>
          <w:tcPr>
            <w:tcW w:w="894" w:type="dxa"/>
            <w:noWrap w:val="0"/>
            <w:vAlign w:val="top"/>
          </w:tcPr>
          <w:p w14:paraId="126ABA0E">
            <w:pPr>
              <w:jc w:val="center"/>
              <w:rPr>
                <w:rFonts w:hint="eastAsia" w:ascii="仿宋" w:hAnsi="仿宋" w:eastAsia="仿宋" w:cs="仿宋"/>
                <w:b/>
                <w:bCs/>
                <w:color w:val="auto"/>
                <w:sz w:val="24"/>
                <w:szCs w:val="24"/>
              </w:rPr>
            </w:pPr>
          </w:p>
        </w:tc>
        <w:tc>
          <w:tcPr>
            <w:tcW w:w="1478" w:type="dxa"/>
            <w:noWrap w:val="0"/>
            <w:vAlign w:val="top"/>
          </w:tcPr>
          <w:p w14:paraId="77D3F089">
            <w:pPr>
              <w:jc w:val="center"/>
              <w:rPr>
                <w:rFonts w:hint="eastAsia" w:ascii="仿宋" w:hAnsi="仿宋" w:eastAsia="仿宋" w:cs="仿宋"/>
                <w:b/>
                <w:bCs/>
                <w:color w:val="auto"/>
                <w:sz w:val="24"/>
                <w:szCs w:val="24"/>
              </w:rPr>
            </w:pPr>
          </w:p>
        </w:tc>
        <w:tc>
          <w:tcPr>
            <w:tcW w:w="894" w:type="dxa"/>
            <w:noWrap w:val="0"/>
            <w:vAlign w:val="top"/>
          </w:tcPr>
          <w:p w14:paraId="706E6F1D">
            <w:pPr>
              <w:jc w:val="center"/>
              <w:rPr>
                <w:rFonts w:hint="eastAsia" w:ascii="仿宋" w:hAnsi="仿宋" w:eastAsia="仿宋" w:cs="仿宋"/>
                <w:b/>
                <w:bCs/>
                <w:color w:val="auto"/>
                <w:sz w:val="24"/>
                <w:szCs w:val="24"/>
              </w:rPr>
            </w:pPr>
          </w:p>
        </w:tc>
        <w:tc>
          <w:tcPr>
            <w:tcW w:w="4053" w:type="dxa"/>
            <w:noWrap w:val="0"/>
            <w:vAlign w:val="top"/>
          </w:tcPr>
          <w:p w14:paraId="5A86DBE5">
            <w:pPr>
              <w:jc w:val="center"/>
              <w:rPr>
                <w:rFonts w:hint="eastAsia" w:ascii="仿宋" w:hAnsi="仿宋" w:eastAsia="仿宋" w:cs="仿宋"/>
                <w:b/>
                <w:bCs/>
                <w:color w:val="auto"/>
                <w:sz w:val="24"/>
                <w:szCs w:val="24"/>
              </w:rPr>
            </w:pPr>
          </w:p>
        </w:tc>
        <w:tc>
          <w:tcPr>
            <w:tcW w:w="602" w:type="dxa"/>
            <w:noWrap w:val="0"/>
            <w:vAlign w:val="top"/>
          </w:tcPr>
          <w:p w14:paraId="4E786342">
            <w:pPr>
              <w:jc w:val="center"/>
              <w:rPr>
                <w:rFonts w:hint="eastAsia" w:ascii="仿宋" w:hAnsi="仿宋" w:eastAsia="仿宋" w:cs="仿宋"/>
                <w:b/>
                <w:bCs/>
                <w:color w:val="auto"/>
                <w:sz w:val="24"/>
                <w:szCs w:val="24"/>
              </w:rPr>
            </w:pPr>
          </w:p>
        </w:tc>
      </w:tr>
      <w:tr w14:paraId="24C18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01" w:type="dxa"/>
            <w:noWrap w:val="0"/>
            <w:vAlign w:val="top"/>
          </w:tcPr>
          <w:p w14:paraId="21A756B1">
            <w:pPr>
              <w:jc w:val="center"/>
              <w:rPr>
                <w:rFonts w:hint="eastAsia" w:ascii="仿宋" w:hAnsi="仿宋" w:eastAsia="仿宋" w:cs="仿宋"/>
                <w:b/>
                <w:bCs/>
                <w:color w:val="auto"/>
                <w:sz w:val="24"/>
                <w:szCs w:val="24"/>
              </w:rPr>
            </w:pPr>
          </w:p>
        </w:tc>
        <w:tc>
          <w:tcPr>
            <w:tcW w:w="894" w:type="dxa"/>
            <w:noWrap w:val="0"/>
            <w:vAlign w:val="top"/>
          </w:tcPr>
          <w:p w14:paraId="06865FD3">
            <w:pPr>
              <w:jc w:val="center"/>
              <w:rPr>
                <w:rFonts w:hint="eastAsia" w:ascii="仿宋" w:hAnsi="仿宋" w:eastAsia="仿宋" w:cs="仿宋"/>
                <w:b/>
                <w:bCs/>
                <w:color w:val="auto"/>
                <w:sz w:val="24"/>
                <w:szCs w:val="24"/>
              </w:rPr>
            </w:pPr>
          </w:p>
        </w:tc>
        <w:tc>
          <w:tcPr>
            <w:tcW w:w="1478" w:type="dxa"/>
            <w:noWrap w:val="0"/>
            <w:vAlign w:val="top"/>
          </w:tcPr>
          <w:p w14:paraId="5D731942">
            <w:pPr>
              <w:jc w:val="center"/>
              <w:rPr>
                <w:rFonts w:hint="eastAsia" w:ascii="仿宋" w:hAnsi="仿宋" w:eastAsia="仿宋" w:cs="仿宋"/>
                <w:b/>
                <w:bCs/>
                <w:color w:val="auto"/>
                <w:sz w:val="24"/>
                <w:szCs w:val="24"/>
              </w:rPr>
            </w:pPr>
          </w:p>
        </w:tc>
        <w:tc>
          <w:tcPr>
            <w:tcW w:w="894" w:type="dxa"/>
            <w:noWrap w:val="0"/>
            <w:vAlign w:val="top"/>
          </w:tcPr>
          <w:p w14:paraId="689A5779">
            <w:pPr>
              <w:jc w:val="center"/>
              <w:rPr>
                <w:rFonts w:hint="eastAsia" w:ascii="仿宋" w:hAnsi="仿宋" w:eastAsia="仿宋" w:cs="仿宋"/>
                <w:b/>
                <w:bCs/>
                <w:color w:val="auto"/>
                <w:sz w:val="24"/>
                <w:szCs w:val="24"/>
              </w:rPr>
            </w:pPr>
          </w:p>
        </w:tc>
        <w:tc>
          <w:tcPr>
            <w:tcW w:w="4053" w:type="dxa"/>
            <w:noWrap w:val="0"/>
            <w:vAlign w:val="top"/>
          </w:tcPr>
          <w:p w14:paraId="2C3D63EE">
            <w:pPr>
              <w:jc w:val="center"/>
              <w:rPr>
                <w:rFonts w:hint="eastAsia" w:ascii="仿宋" w:hAnsi="仿宋" w:eastAsia="仿宋" w:cs="仿宋"/>
                <w:b/>
                <w:bCs/>
                <w:color w:val="auto"/>
                <w:sz w:val="24"/>
                <w:szCs w:val="24"/>
              </w:rPr>
            </w:pPr>
          </w:p>
        </w:tc>
        <w:tc>
          <w:tcPr>
            <w:tcW w:w="602" w:type="dxa"/>
            <w:noWrap w:val="0"/>
            <w:vAlign w:val="top"/>
          </w:tcPr>
          <w:p w14:paraId="19B3B0AC">
            <w:pPr>
              <w:jc w:val="center"/>
              <w:rPr>
                <w:rFonts w:hint="eastAsia" w:ascii="仿宋" w:hAnsi="仿宋" w:eastAsia="仿宋" w:cs="仿宋"/>
                <w:b/>
                <w:bCs/>
                <w:color w:val="auto"/>
                <w:sz w:val="24"/>
                <w:szCs w:val="24"/>
              </w:rPr>
            </w:pPr>
          </w:p>
        </w:tc>
      </w:tr>
      <w:tr w14:paraId="0FAF9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601" w:type="dxa"/>
            <w:noWrap w:val="0"/>
            <w:vAlign w:val="top"/>
          </w:tcPr>
          <w:p w14:paraId="5ADF3EF9">
            <w:pPr>
              <w:jc w:val="center"/>
              <w:rPr>
                <w:rFonts w:hint="eastAsia" w:ascii="仿宋" w:hAnsi="仿宋" w:eastAsia="仿宋" w:cs="仿宋"/>
                <w:b/>
                <w:bCs/>
                <w:color w:val="auto"/>
                <w:sz w:val="24"/>
                <w:szCs w:val="24"/>
              </w:rPr>
            </w:pPr>
          </w:p>
        </w:tc>
        <w:tc>
          <w:tcPr>
            <w:tcW w:w="894" w:type="dxa"/>
            <w:noWrap w:val="0"/>
            <w:vAlign w:val="top"/>
          </w:tcPr>
          <w:p w14:paraId="1CFE4F88">
            <w:pPr>
              <w:jc w:val="center"/>
              <w:rPr>
                <w:rFonts w:hint="eastAsia" w:ascii="仿宋" w:hAnsi="仿宋" w:eastAsia="仿宋" w:cs="仿宋"/>
                <w:b/>
                <w:bCs/>
                <w:color w:val="auto"/>
                <w:sz w:val="24"/>
                <w:szCs w:val="24"/>
              </w:rPr>
            </w:pPr>
          </w:p>
        </w:tc>
        <w:tc>
          <w:tcPr>
            <w:tcW w:w="1478" w:type="dxa"/>
            <w:noWrap w:val="0"/>
            <w:vAlign w:val="top"/>
          </w:tcPr>
          <w:p w14:paraId="7952EE8D">
            <w:pPr>
              <w:jc w:val="center"/>
              <w:rPr>
                <w:rFonts w:hint="eastAsia" w:ascii="仿宋" w:hAnsi="仿宋" w:eastAsia="仿宋" w:cs="仿宋"/>
                <w:b/>
                <w:bCs/>
                <w:color w:val="auto"/>
                <w:sz w:val="24"/>
                <w:szCs w:val="24"/>
              </w:rPr>
            </w:pPr>
          </w:p>
        </w:tc>
        <w:tc>
          <w:tcPr>
            <w:tcW w:w="894" w:type="dxa"/>
            <w:noWrap w:val="0"/>
            <w:vAlign w:val="top"/>
          </w:tcPr>
          <w:p w14:paraId="7DDB9EB3">
            <w:pPr>
              <w:jc w:val="center"/>
              <w:rPr>
                <w:rFonts w:hint="eastAsia" w:ascii="仿宋" w:hAnsi="仿宋" w:eastAsia="仿宋" w:cs="仿宋"/>
                <w:b/>
                <w:bCs/>
                <w:color w:val="auto"/>
                <w:sz w:val="24"/>
                <w:szCs w:val="24"/>
              </w:rPr>
            </w:pPr>
          </w:p>
        </w:tc>
        <w:tc>
          <w:tcPr>
            <w:tcW w:w="4053" w:type="dxa"/>
            <w:noWrap w:val="0"/>
            <w:vAlign w:val="top"/>
          </w:tcPr>
          <w:p w14:paraId="2851C187">
            <w:pPr>
              <w:jc w:val="center"/>
              <w:rPr>
                <w:rFonts w:hint="eastAsia" w:ascii="仿宋" w:hAnsi="仿宋" w:eastAsia="仿宋" w:cs="仿宋"/>
                <w:b/>
                <w:bCs/>
                <w:color w:val="auto"/>
                <w:sz w:val="24"/>
                <w:szCs w:val="24"/>
              </w:rPr>
            </w:pPr>
          </w:p>
        </w:tc>
        <w:tc>
          <w:tcPr>
            <w:tcW w:w="602" w:type="dxa"/>
            <w:noWrap w:val="0"/>
            <w:vAlign w:val="top"/>
          </w:tcPr>
          <w:p w14:paraId="022B2AEF">
            <w:pPr>
              <w:jc w:val="center"/>
              <w:rPr>
                <w:rFonts w:hint="eastAsia" w:ascii="仿宋" w:hAnsi="仿宋" w:eastAsia="仿宋" w:cs="仿宋"/>
                <w:b/>
                <w:bCs/>
                <w:color w:val="auto"/>
                <w:sz w:val="24"/>
                <w:szCs w:val="24"/>
              </w:rPr>
            </w:pPr>
          </w:p>
        </w:tc>
      </w:tr>
      <w:tr w14:paraId="697D0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601" w:type="dxa"/>
            <w:noWrap w:val="0"/>
            <w:vAlign w:val="top"/>
          </w:tcPr>
          <w:p w14:paraId="454A8993">
            <w:pPr>
              <w:jc w:val="center"/>
              <w:rPr>
                <w:rFonts w:hint="eastAsia" w:ascii="仿宋" w:hAnsi="仿宋" w:eastAsia="仿宋" w:cs="仿宋"/>
                <w:b/>
                <w:bCs/>
                <w:color w:val="auto"/>
                <w:sz w:val="24"/>
                <w:szCs w:val="24"/>
              </w:rPr>
            </w:pPr>
          </w:p>
        </w:tc>
        <w:tc>
          <w:tcPr>
            <w:tcW w:w="894" w:type="dxa"/>
            <w:noWrap w:val="0"/>
            <w:vAlign w:val="top"/>
          </w:tcPr>
          <w:p w14:paraId="28B72905">
            <w:pPr>
              <w:jc w:val="center"/>
              <w:rPr>
                <w:rFonts w:hint="eastAsia" w:ascii="仿宋" w:hAnsi="仿宋" w:eastAsia="仿宋" w:cs="仿宋"/>
                <w:b/>
                <w:bCs/>
                <w:color w:val="auto"/>
                <w:sz w:val="24"/>
                <w:szCs w:val="24"/>
              </w:rPr>
            </w:pPr>
          </w:p>
        </w:tc>
        <w:tc>
          <w:tcPr>
            <w:tcW w:w="1478" w:type="dxa"/>
            <w:noWrap w:val="0"/>
            <w:vAlign w:val="top"/>
          </w:tcPr>
          <w:p w14:paraId="460B7413">
            <w:pPr>
              <w:jc w:val="center"/>
              <w:rPr>
                <w:rFonts w:hint="eastAsia" w:ascii="仿宋" w:hAnsi="仿宋" w:eastAsia="仿宋" w:cs="仿宋"/>
                <w:b/>
                <w:bCs/>
                <w:color w:val="auto"/>
                <w:sz w:val="24"/>
                <w:szCs w:val="24"/>
              </w:rPr>
            </w:pPr>
          </w:p>
        </w:tc>
        <w:tc>
          <w:tcPr>
            <w:tcW w:w="894" w:type="dxa"/>
            <w:noWrap w:val="0"/>
            <w:vAlign w:val="top"/>
          </w:tcPr>
          <w:p w14:paraId="0C50DAA4">
            <w:pPr>
              <w:jc w:val="center"/>
              <w:rPr>
                <w:rFonts w:hint="eastAsia" w:ascii="仿宋" w:hAnsi="仿宋" w:eastAsia="仿宋" w:cs="仿宋"/>
                <w:b/>
                <w:bCs/>
                <w:color w:val="auto"/>
                <w:sz w:val="24"/>
                <w:szCs w:val="24"/>
              </w:rPr>
            </w:pPr>
          </w:p>
        </w:tc>
        <w:tc>
          <w:tcPr>
            <w:tcW w:w="4053" w:type="dxa"/>
            <w:noWrap w:val="0"/>
            <w:vAlign w:val="top"/>
          </w:tcPr>
          <w:p w14:paraId="516DD7B6">
            <w:pPr>
              <w:jc w:val="center"/>
              <w:rPr>
                <w:rFonts w:hint="eastAsia" w:ascii="仿宋" w:hAnsi="仿宋" w:eastAsia="仿宋" w:cs="仿宋"/>
                <w:b/>
                <w:bCs/>
                <w:color w:val="auto"/>
                <w:sz w:val="24"/>
                <w:szCs w:val="24"/>
              </w:rPr>
            </w:pPr>
          </w:p>
        </w:tc>
        <w:tc>
          <w:tcPr>
            <w:tcW w:w="602" w:type="dxa"/>
            <w:noWrap w:val="0"/>
            <w:vAlign w:val="top"/>
          </w:tcPr>
          <w:p w14:paraId="2CC14B65">
            <w:pPr>
              <w:jc w:val="center"/>
              <w:rPr>
                <w:rFonts w:hint="eastAsia" w:ascii="仿宋" w:hAnsi="仿宋" w:eastAsia="仿宋" w:cs="仿宋"/>
                <w:b/>
                <w:bCs/>
                <w:color w:val="auto"/>
                <w:sz w:val="24"/>
                <w:szCs w:val="24"/>
              </w:rPr>
            </w:pPr>
          </w:p>
        </w:tc>
      </w:tr>
    </w:tbl>
    <w:p w14:paraId="4CBE02A1">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071EE415">
      <w:pPr>
        <w:pStyle w:val="11"/>
        <w:tabs>
          <w:tab w:val="left" w:pos="5580"/>
        </w:tabs>
        <w:spacing w:line="360" w:lineRule="auto"/>
        <w:ind w:firstLine="3120" w:firstLineChars="1300"/>
        <w:rPr>
          <w:rFonts w:hint="eastAsia" w:ascii="仿宋" w:hAnsi="仿宋" w:eastAsia="仿宋" w:cs="仿宋"/>
          <w:color w:val="auto"/>
          <w:sz w:val="24"/>
        </w:rPr>
      </w:pPr>
    </w:p>
    <w:p w14:paraId="47B803CF">
      <w:pPr>
        <w:pStyle w:val="11"/>
        <w:tabs>
          <w:tab w:val="left" w:pos="5580"/>
        </w:tabs>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397CDB69">
      <w:pPr>
        <w:pStyle w:val="11"/>
        <w:tabs>
          <w:tab w:val="left" w:pos="5580"/>
        </w:tabs>
        <w:spacing w:line="360" w:lineRule="auto"/>
        <w:ind w:firstLine="3120" w:firstLineChars="1300"/>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sz w:val="24"/>
          <w:lang w:eastAsia="zh-CN"/>
        </w:rPr>
        <w:t>法定代表人或</w:t>
      </w:r>
      <w:r>
        <w:rPr>
          <w:rFonts w:hint="eastAsia" w:ascii="仿宋" w:hAnsi="仿宋" w:eastAsia="仿宋" w:cs="仿宋"/>
          <w:color w:val="auto"/>
          <w:kern w:val="0"/>
          <w:sz w:val="24"/>
          <w:szCs w:val="24"/>
        </w:rPr>
        <w:t>委托代理人</w:t>
      </w:r>
      <w:r>
        <w:rPr>
          <w:rFonts w:hint="eastAsia" w:ascii="仿宋" w:hAnsi="仿宋" w:eastAsia="仿宋" w:cs="仿宋"/>
          <w:color w:val="auto"/>
          <w:sz w:val="24"/>
          <w:lang w:eastAsia="zh-CN"/>
        </w:rPr>
        <w:t>（签</w:t>
      </w:r>
      <w:r>
        <w:rPr>
          <w:rFonts w:hint="eastAsia" w:ascii="仿宋" w:hAnsi="仿宋" w:eastAsia="仿宋" w:cs="仿宋"/>
          <w:color w:val="auto"/>
          <w:sz w:val="24"/>
          <w:lang w:val="en-US" w:eastAsia="zh-CN"/>
        </w:rPr>
        <w:t>字并盖</w:t>
      </w:r>
      <w:r>
        <w:rPr>
          <w:rFonts w:hint="eastAsia" w:ascii="仿宋" w:hAnsi="仿宋" w:eastAsia="仿宋" w:cs="仿宋"/>
          <w:color w:val="auto"/>
          <w:sz w:val="24"/>
          <w:lang w:eastAsia="zh-CN"/>
        </w:rPr>
        <w:t>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p>
    <w:p w14:paraId="3A82CB7F">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149C70F5">
      <w:pPr>
        <w:pStyle w:val="4"/>
        <w:rPr>
          <w:rFonts w:hint="eastAsia" w:ascii="仿宋" w:hAnsi="仿宋" w:eastAsia="仿宋" w:cs="仿宋"/>
          <w:b/>
          <w:bCs/>
          <w:color w:val="auto"/>
          <w:sz w:val="36"/>
          <w:szCs w:val="36"/>
        </w:rPr>
      </w:pPr>
    </w:p>
    <w:p w14:paraId="2F20FCE0">
      <w:pPr>
        <w:pStyle w:val="42"/>
        <w:tabs>
          <w:tab w:val="left" w:pos="826"/>
        </w:tabs>
        <w:spacing w:line="470" w:lineRule="exact"/>
        <w:ind w:firstLine="0"/>
        <w:jc w:val="center"/>
        <w:rPr>
          <w:rFonts w:ascii="仿宋" w:hAnsi="仿宋" w:eastAsia="仿宋" w:cs="仿宋"/>
          <w:color w:val="auto"/>
          <w:sz w:val="21"/>
          <w:szCs w:val="21"/>
        </w:rPr>
      </w:pPr>
    </w:p>
    <w:p w14:paraId="110A572B">
      <w:pPr>
        <w:pStyle w:val="42"/>
        <w:tabs>
          <w:tab w:val="left" w:pos="826"/>
        </w:tabs>
        <w:spacing w:line="470" w:lineRule="exact"/>
        <w:ind w:firstLine="0"/>
        <w:jc w:val="center"/>
        <w:rPr>
          <w:rFonts w:ascii="仿宋" w:hAnsi="仿宋" w:eastAsia="仿宋" w:cs="仿宋"/>
          <w:color w:val="auto"/>
          <w:sz w:val="21"/>
          <w:szCs w:val="21"/>
        </w:rPr>
      </w:pPr>
    </w:p>
    <w:p w14:paraId="3232AE11">
      <w:pPr>
        <w:pStyle w:val="42"/>
        <w:tabs>
          <w:tab w:val="left" w:pos="826"/>
        </w:tabs>
        <w:spacing w:line="470" w:lineRule="exact"/>
        <w:ind w:firstLine="0"/>
        <w:jc w:val="center"/>
        <w:rPr>
          <w:rFonts w:ascii="仿宋" w:hAnsi="仿宋" w:eastAsia="仿宋" w:cs="仿宋"/>
          <w:color w:val="auto"/>
          <w:sz w:val="21"/>
          <w:szCs w:val="21"/>
        </w:rPr>
      </w:pPr>
    </w:p>
    <w:p w14:paraId="65EB9C13">
      <w:pPr>
        <w:pStyle w:val="42"/>
        <w:tabs>
          <w:tab w:val="left" w:pos="826"/>
        </w:tabs>
        <w:spacing w:line="470" w:lineRule="exact"/>
        <w:ind w:firstLine="0"/>
        <w:jc w:val="center"/>
        <w:rPr>
          <w:rFonts w:ascii="仿宋" w:hAnsi="仿宋" w:eastAsia="仿宋" w:cs="仿宋"/>
          <w:color w:val="auto"/>
          <w:sz w:val="21"/>
          <w:szCs w:val="21"/>
        </w:rPr>
      </w:pPr>
    </w:p>
    <w:p w14:paraId="787C50D6">
      <w:pPr>
        <w:pStyle w:val="42"/>
        <w:tabs>
          <w:tab w:val="left" w:pos="826"/>
        </w:tabs>
        <w:spacing w:line="470" w:lineRule="exact"/>
        <w:ind w:firstLine="0"/>
        <w:jc w:val="both"/>
        <w:rPr>
          <w:rFonts w:ascii="仿宋" w:hAnsi="仿宋" w:eastAsia="仿宋" w:cs="仿宋"/>
          <w:color w:val="auto"/>
          <w:sz w:val="21"/>
          <w:szCs w:val="21"/>
        </w:rPr>
      </w:pPr>
    </w:p>
    <w:p w14:paraId="7CF307BE">
      <w:pPr>
        <w:pStyle w:val="42"/>
        <w:tabs>
          <w:tab w:val="left" w:pos="826"/>
        </w:tabs>
        <w:spacing w:line="470" w:lineRule="exact"/>
        <w:ind w:firstLine="0"/>
        <w:jc w:val="both"/>
        <w:rPr>
          <w:rFonts w:ascii="仿宋" w:hAnsi="仿宋" w:eastAsia="仿宋" w:cs="仿宋"/>
          <w:color w:val="auto"/>
          <w:sz w:val="21"/>
          <w:szCs w:val="21"/>
        </w:rPr>
      </w:pPr>
    </w:p>
    <w:p w14:paraId="4F520933">
      <w:pPr>
        <w:pStyle w:val="42"/>
        <w:tabs>
          <w:tab w:val="left" w:pos="826"/>
        </w:tabs>
        <w:spacing w:line="470" w:lineRule="exact"/>
        <w:ind w:firstLine="0"/>
        <w:jc w:val="both"/>
        <w:rPr>
          <w:rFonts w:ascii="仿宋" w:hAnsi="仿宋" w:eastAsia="仿宋" w:cs="仿宋"/>
          <w:color w:val="auto"/>
          <w:sz w:val="21"/>
          <w:szCs w:val="21"/>
        </w:rPr>
      </w:pPr>
    </w:p>
    <w:p w14:paraId="51EC5A78">
      <w:pPr>
        <w:pStyle w:val="42"/>
        <w:tabs>
          <w:tab w:val="left" w:pos="826"/>
        </w:tabs>
        <w:spacing w:line="470" w:lineRule="exact"/>
        <w:ind w:firstLine="0"/>
        <w:jc w:val="both"/>
        <w:rPr>
          <w:rFonts w:ascii="仿宋" w:hAnsi="仿宋" w:eastAsia="仿宋" w:cs="仿宋"/>
          <w:color w:val="auto"/>
          <w:sz w:val="21"/>
          <w:szCs w:val="21"/>
        </w:rPr>
      </w:pPr>
    </w:p>
    <w:p w14:paraId="586EB416">
      <w:pPr>
        <w:jc w:val="center"/>
        <w:rPr>
          <w:rFonts w:hint="eastAsia" w:ascii="仿宋" w:hAnsi="仿宋" w:eastAsia="仿宋" w:cs="仿宋"/>
          <w:b/>
          <w:bCs/>
          <w:color w:val="auto"/>
          <w:sz w:val="30"/>
          <w:szCs w:val="30"/>
          <w:lang w:eastAsia="zh-CN"/>
        </w:rPr>
      </w:pPr>
    </w:p>
    <w:p w14:paraId="66A5420A">
      <w:pPr>
        <w:jc w:val="center"/>
        <w:rPr>
          <w:rFonts w:hint="eastAsia" w:ascii="仿宋" w:hAnsi="仿宋" w:eastAsia="仿宋" w:cs="仿宋"/>
          <w:b/>
          <w:bCs/>
          <w:color w:val="auto"/>
          <w:sz w:val="30"/>
          <w:szCs w:val="30"/>
          <w:lang w:eastAsia="zh-CN"/>
        </w:rPr>
      </w:pPr>
    </w:p>
    <w:p w14:paraId="0F347698">
      <w:pPr>
        <w:shd w:val="clear" w:color="auto" w:fill="auto"/>
        <w:jc w:val="cente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6、商务条款偏离表</w:t>
      </w:r>
    </w:p>
    <w:tbl>
      <w:tblPr>
        <w:tblStyle w:val="25"/>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3D4E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05769EC">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noWrap w:val="0"/>
            <w:vAlign w:val="top"/>
          </w:tcPr>
          <w:p w14:paraId="43CE315E">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14:paraId="32512159">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14:paraId="6E390C92">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14:paraId="498965B6">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0015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421D65F">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noWrap w:val="0"/>
            <w:vAlign w:val="center"/>
          </w:tcPr>
          <w:p w14:paraId="348D1A53">
            <w:pPr>
              <w:rPr>
                <w:rFonts w:hint="eastAsia" w:ascii="仿宋" w:hAnsi="仿宋" w:eastAsia="仿宋" w:cs="仿宋"/>
                <w:color w:val="auto"/>
                <w:spacing w:val="-1"/>
                <w:kern w:val="0"/>
                <w:sz w:val="24"/>
              </w:rPr>
            </w:pPr>
          </w:p>
        </w:tc>
        <w:tc>
          <w:tcPr>
            <w:tcW w:w="2477" w:type="dxa"/>
            <w:noWrap w:val="0"/>
            <w:vAlign w:val="center"/>
          </w:tcPr>
          <w:p w14:paraId="585243CD">
            <w:pPr>
              <w:rPr>
                <w:rFonts w:hint="eastAsia" w:ascii="仿宋" w:hAnsi="仿宋" w:eastAsia="仿宋" w:cs="仿宋"/>
                <w:color w:val="auto"/>
                <w:spacing w:val="-1"/>
                <w:kern w:val="0"/>
                <w:sz w:val="24"/>
              </w:rPr>
            </w:pPr>
          </w:p>
        </w:tc>
        <w:tc>
          <w:tcPr>
            <w:tcW w:w="2454" w:type="dxa"/>
            <w:noWrap w:val="0"/>
            <w:vAlign w:val="center"/>
          </w:tcPr>
          <w:p w14:paraId="173EE7BB">
            <w:pPr>
              <w:rPr>
                <w:rFonts w:hint="eastAsia" w:ascii="仿宋" w:hAnsi="仿宋" w:eastAsia="仿宋" w:cs="仿宋"/>
                <w:color w:val="auto"/>
                <w:spacing w:val="-1"/>
                <w:kern w:val="0"/>
                <w:sz w:val="24"/>
              </w:rPr>
            </w:pPr>
          </w:p>
        </w:tc>
        <w:tc>
          <w:tcPr>
            <w:tcW w:w="1130" w:type="dxa"/>
            <w:noWrap w:val="0"/>
            <w:vAlign w:val="center"/>
          </w:tcPr>
          <w:p w14:paraId="1B4A8309">
            <w:pPr>
              <w:rPr>
                <w:rFonts w:hint="eastAsia" w:ascii="仿宋" w:hAnsi="仿宋" w:eastAsia="仿宋" w:cs="仿宋"/>
                <w:color w:val="auto"/>
                <w:spacing w:val="-1"/>
                <w:kern w:val="0"/>
                <w:sz w:val="24"/>
              </w:rPr>
            </w:pPr>
          </w:p>
        </w:tc>
      </w:tr>
      <w:tr w14:paraId="1B91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66B752B">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noWrap w:val="0"/>
            <w:vAlign w:val="center"/>
          </w:tcPr>
          <w:p w14:paraId="744C9B62">
            <w:pPr>
              <w:rPr>
                <w:rFonts w:hint="eastAsia" w:ascii="仿宋" w:hAnsi="仿宋" w:eastAsia="仿宋" w:cs="仿宋"/>
                <w:color w:val="auto"/>
                <w:spacing w:val="-1"/>
                <w:kern w:val="0"/>
                <w:sz w:val="24"/>
              </w:rPr>
            </w:pPr>
          </w:p>
        </w:tc>
        <w:tc>
          <w:tcPr>
            <w:tcW w:w="2477" w:type="dxa"/>
            <w:noWrap w:val="0"/>
            <w:vAlign w:val="center"/>
          </w:tcPr>
          <w:p w14:paraId="39B7CEF1">
            <w:pPr>
              <w:rPr>
                <w:rFonts w:hint="eastAsia" w:ascii="仿宋" w:hAnsi="仿宋" w:eastAsia="仿宋" w:cs="仿宋"/>
                <w:color w:val="auto"/>
                <w:spacing w:val="-1"/>
                <w:kern w:val="0"/>
                <w:sz w:val="24"/>
              </w:rPr>
            </w:pPr>
          </w:p>
        </w:tc>
        <w:tc>
          <w:tcPr>
            <w:tcW w:w="2454" w:type="dxa"/>
            <w:noWrap w:val="0"/>
            <w:vAlign w:val="center"/>
          </w:tcPr>
          <w:p w14:paraId="0B10A3E4">
            <w:pPr>
              <w:rPr>
                <w:rFonts w:hint="eastAsia" w:ascii="仿宋" w:hAnsi="仿宋" w:eastAsia="仿宋" w:cs="仿宋"/>
                <w:color w:val="auto"/>
                <w:spacing w:val="-1"/>
                <w:kern w:val="0"/>
                <w:sz w:val="24"/>
              </w:rPr>
            </w:pPr>
          </w:p>
        </w:tc>
        <w:tc>
          <w:tcPr>
            <w:tcW w:w="1130" w:type="dxa"/>
            <w:noWrap w:val="0"/>
            <w:vAlign w:val="center"/>
          </w:tcPr>
          <w:p w14:paraId="3B19086C">
            <w:pPr>
              <w:rPr>
                <w:rFonts w:hint="eastAsia" w:ascii="仿宋" w:hAnsi="仿宋" w:eastAsia="仿宋" w:cs="仿宋"/>
                <w:color w:val="auto"/>
                <w:spacing w:val="-1"/>
                <w:kern w:val="0"/>
                <w:sz w:val="24"/>
              </w:rPr>
            </w:pPr>
          </w:p>
        </w:tc>
      </w:tr>
      <w:tr w14:paraId="11F3A12B">
        <w:tblPrEx>
          <w:tblCellMar>
            <w:top w:w="0" w:type="dxa"/>
            <w:left w:w="108" w:type="dxa"/>
            <w:bottom w:w="0" w:type="dxa"/>
            <w:right w:w="108" w:type="dxa"/>
          </w:tblCellMar>
        </w:tblPrEx>
        <w:trPr>
          <w:trHeight w:val="397" w:hRule="atLeast"/>
          <w:jc w:val="center"/>
        </w:trPr>
        <w:tc>
          <w:tcPr>
            <w:tcW w:w="788" w:type="dxa"/>
            <w:noWrap w:val="0"/>
            <w:vAlign w:val="center"/>
          </w:tcPr>
          <w:p w14:paraId="3781A6A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noWrap w:val="0"/>
            <w:vAlign w:val="center"/>
          </w:tcPr>
          <w:p w14:paraId="37D04AC6">
            <w:pPr>
              <w:rPr>
                <w:rFonts w:hint="eastAsia" w:ascii="仿宋" w:hAnsi="仿宋" w:eastAsia="仿宋" w:cs="仿宋"/>
                <w:color w:val="auto"/>
                <w:spacing w:val="-1"/>
                <w:kern w:val="0"/>
                <w:sz w:val="24"/>
              </w:rPr>
            </w:pPr>
          </w:p>
        </w:tc>
        <w:tc>
          <w:tcPr>
            <w:tcW w:w="2477" w:type="dxa"/>
            <w:noWrap w:val="0"/>
            <w:vAlign w:val="center"/>
          </w:tcPr>
          <w:p w14:paraId="76D5F6F6">
            <w:pPr>
              <w:rPr>
                <w:rFonts w:hint="eastAsia" w:ascii="仿宋" w:hAnsi="仿宋" w:eastAsia="仿宋" w:cs="仿宋"/>
                <w:color w:val="auto"/>
                <w:spacing w:val="-1"/>
                <w:kern w:val="0"/>
                <w:sz w:val="24"/>
              </w:rPr>
            </w:pPr>
          </w:p>
        </w:tc>
        <w:tc>
          <w:tcPr>
            <w:tcW w:w="2454" w:type="dxa"/>
            <w:noWrap w:val="0"/>
            <w:vAlign w:val="center"/>
          </w:tcPr>
          <w:p w14:paraId="5460C577">
            <w:pPr>
              <w:rPr>
                <w:rFonts w:hint="eastAsia" w:ascii="仿宋" w:hAnsi="仿宋" w:eastAsia="仿宋" w:cs="仿宋"/>
                <w:color w:val="auto"/>
                <w:spacing w:val="-1"/>
                <w:kern w:val="0"/>
                <w:sz w:val="24"/>
              </w:rPr>
            </w:pPr>
          </w:p>
        </w:tc>
        <w:tc>
          <w:tcPr>
            <w:tcW w:w="1130" w:type="dxa"/>
            <w:noWrap w:val="0"/>
            <w:vAlign w:val="center"/>
          </w:tcPr>
          <w:p w14:paraId="602FC71D">
            <w:pPr>
              <w:rPr>
                <w:rFonts w:hint="eastAsia" w:ascii="仿宋" w:hAnsi="仿宋" w:eastAsia="仿宋" w:cs="仿宋"/>
                <w:color w:val="auto"/>
                <w:spacing w:val="-1"/>
                <w:kern w:val="0"/>
                <w:sz w:val="24"/>
              </w:rPr>
            </w:pPr>
          </w:p>
        </w:tc>
      </w:tr>
      <w:tr w14:paraId="5D9F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87980F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noWrap w:val="0"/>
            <w:vAlign w:val="center"/>
          </w:tcPr>
          <w:p w14:paraId="42542301">
            <w:pPr>
              <w:rPr>
                <w:rFonts w:hint="eastAsia" w:ascii="仿宋" w:hAnsi="仿宋" w:eastAsia="仿宋" w:cs="仿宋"/>
                <w:color w:val="auto"/>
                <w:spacing w:val="-1"/>
                <w:kern w:val="0"/>
                <w:sz w:val="24"/>
              </w:rPr>
            </w:pPr>
          </w:p>
        </w:tc>
        <w:tc>
          <w:tcPr>
            <w:tcW w:w="2477" w:type="dxa"/>
            <w:noWrap w:val="0"/>
            <w:vAlign w:val="center"/>
          </w:tcPr>
          <w:p w14:paraId="445DFBB1">
            <w:pPr>
              <w:rPr>
                <w:rFonts w:hint="eastAsia" w:ascii="仿宋" w:hAnsi="仿宋" w:eastAsia="仿宋" w:cs="仿宋"/>
                <w:color w:val="auto"/>
                <w:spacing w:val="-1"/>
                <w:kern w:val="0"/>
                <w:sz w:val="24"/>
              </w:rPr>
            </w:pPr>
          </w:p>
        </w:tc>
        <w:tc>
          <w:tcPr>
            <w:tcW w:w="2454" w:type="dxa"/>
            <w:noWrap w:val="0"/>
            <w:vAlign w:val="center"/>
          </w:tcPr>
          <w:p w14:paraId="094A0AD9">
            <w:pPr>
              <w:rPr>
                <w:rFonts w:hint="eastAsia" w:ascii="仿宋" w:hAnsi="仿宋" w:eastAsia="仿宋" w:cs="仿宋"/>
                <w:color w:val="auto"/>
                <w:spacing w:val="-1"/>
                <w:kern w:val="0"/>
                <w:sz w:val="24"/>
              </w:rPr>
            </w:pPr>
          </w:p>
        </w:tc>
        <w:tc>
          <w:tcPr>
            <w:tcW w:w="1130" w:type="dxa"/>
            <w:noWrap w:val="0"/>
            <w:vAlign w:val="center"/>
          </w:tcPr>
          <w:p w14:paraId="2494564E">
            <w:pPr>
              <w:rPr>
                <w:rFonts w:hint="eastAsia" w:ascii="仿宋" w:hAnsi="仿宋" w:eastAsia="仿宋" w:cs="仿宋"/>
                <w:color w:val="auto"/>
                <w:spacing w:val="-1"/>
                <w:kern w:val="0"/>
                <w:sz w:val="24"/>
              </w:rPr>
            </w:pPr>
          </w:p>
        </w:tc>
      </w:tr>
      <w:tr w14:paraId="4D6B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342016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noWrap w:val="0"/>
            <w:vAlign w:val="center"/>
          </w:tcPr>
          <w:p w14:paraId="01774952">
            <w:pPr>
              <w:rPr>
                <w:rFonts w:hint="eastAsia" w:ascii="仿宋" w:hAnsi="仿宋" w:eastAsia="仿宋" w:cs="仿宋"/>
                <w:color w:val="auto"/>
                <w:spacing w:val="-1"/>
                <w:kern w:val="0"/>
                <w:sz w:val="24"/>
              </w:rPr>
            </w:pPr>
          </w:p>
        </w:tc>
        <w:tc>
          <w:tcPr>
            <w:tcW w:w="2477" w:type="dxa"/>
            <w:noWrap w:val="0"/>
            <w:vAlign w:val="center"/>
          </w:tcPr>
          <w:p w14:paraId="72D83F13">
            <w:pPr>
              <w:rPr>
                <w:rFonts w:hint="eastAsia" w:ascii="仿宋" w:hAnsi="仿宋" w:eastAsia="仿宋" w:cs="仿宋"/>
                <w:color w:val="auto"/>
                <w:spacing w:val="-1"/>
                <w:kern w:val="0"/>
                <w:sz w:val="24"/>
              </w:rPr>
            </w:pPr>
          </w:p>
        </w:tc>
        <w:tc>
          <w:tcPr>
            <w:tcW w:w="2454" w:type="dxa"/>
            <w:noWrap w:val="0"/>
            <w:vAlign w:val="center"/>
          </w:tcPr>
          <w:p w14:paraId="136F50DF">
            <w:pPr>
              <w:rPr>
                <w:rFonts w:hint="eastAsia" w:ascii="仿宋" w:hAnsi="仿宋" w:eastAsia="仿宋" w:cs="仿宋"/>
                <w:color w:val="auto"/>
                <w:spacing w:val="-1"/>
                <w:kern w:val="0"/>
                <w:sz w:val="24"/>
              </w:rPr>
            </w:pPr>
          </w:p>
        </w:tc>
        <w:tc>
          <w:tcPr>
            <w:tcW w:w="1130" w:type="dxa"/>
            <w:noWrap w:val="0"/>
            <w:vAlign w:val="center"/>
          </w:tcPr>
          <w:p w14:paraId="358813A7">
            <w:pPr>
              <w:rPr>
                <w:rFonts w:hint="eastAsia" w:ascii="仿宋" w:hAnsi="仿宋" w:eastAsia="仿宋" w:cs="仿宋"/>
                <w:color w:val="auto"/>
                <w:spacing w:val="-1"/>
                <w:kern w:val="0"/>
                <w:sz w:val="24"/>
              </w:rPr>
            </w:pPr>
          </w:p>
        </w:tc>
      </w:tr>
      <w:tr w14:paraId="513D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D10E177">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noWrap w:val="0"/>
            <w:vAlign w:val="center"/>
          </w:tcPr>
          <w:p w14:paraId="43605AE5">
            <w:pPr>
              <w:rPr>
                <w:rFonts w:hint="eastAsia" w:ascii="仿宋" w:hAnsi="仿宋" w:eastAsia="仿宋" w:cs="仿宋"/>
                <w:color w:val="auto"/>
                <w:spacing w:val="-1"/>
                <w:kern w:val="0"/>
                <w:sz w:val="24"/>
              </w:rPr>
            </w:pPr>
          </w:p>
        </w:tc>
        <w:tc>
          <w:tcPr>
            <w:tcW w:w="2477" w:type="dxa"/>
            <w:noWrap w:val="0"/>
            <w:vAlign w:val="center"/>
          </w:tcPr>
          <w:p w14:paraId="2A39D7F2">
            <w:pPr>
              <w:rPr>
                <w:rFonts w:hint="eastAsia" w:ascii="仿宋" w:hAnsi="仿宋" w:eastAsia="仿宋" w:cs="仿宋"/>
                <w:color w:val="auto"/>
                <w:spacing w:val="-1"/>
                <w:kern w:val="0"/>
                <w:sz w:val="24"/>
              </w:rPr>
            </w:pPr>
          </w:p>
        </w:tc>
        <w:tc>
          <w:tcPr>
            <w:tcW w:w="2454" w:type="dxa"/>
            <w:noWrap w:val="0"/>
            <w:vAlign w:val="center"/>
          </w:tcPr>
          <w:p w14:paraId="3821DE0D">
            <w:pPr>
              <w:rPr>
                <w:rFonts w:hint="eastAsia" w:ascii="仿宋" w:hAnsi="仿宋" w:eastAsia="仿宋" w:cs="仿宋"/>
                <w:color w:val="auto"/>
                <w:spacing w:val="-1"/>
                <w:kern w:val="0"/>
                <w:sz w:val="24"/>
              </w:rPr>
            </w:pPr>
          </w:p>
        </w:tc>
        <w:tc>
          <w:tcPr>
            <w:tcW w:w="1130" w:type="dxa"/>
            <w:noWrap w:val="0"/>
            <w:vAlign w:val="center"/>
          </w:tcPr>
          <w:p w14:paraId="7B94C614">
            <w:pPr>
              <w:rPr>
                <w:rFonts w:hint="eastAsia" w:ascii="仿宋" w:hAnsi="仿宋" w:eastAsia="仿宋" w:cs="仿宋"/>
                <w:color w:val="auto"/>
                <w:spacing w:val="-1"/>
                <w:kern w:val="0"/>
                <w:sz w:val="24"/>
              </w:rPr>
            </w:pPr>
          </w:p>
        </w:tc>
      </w:tr>
      <w:tr w14:paraId="7A96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8DF69C8">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noWrap w:val="0"/>
            <w:vAlign w:val="center"/>
          </w:tcPr>
          <w:p w14:paraId="1EED8157">
            <w:pPr>
              <w:rPr>
                <w:rFonts w:hint="eastAsia" w:ascii="仿宋" w:hAnsi="仿宋" w:eastAsia="仿宋" w:cs="仿宋"/>
                <w:color w:val="auto"/>
                <w:spacing w:val="-1"/>
                <w:kern w:val="0"/>
                <w:sz w:val="24"/>
              </w:rPr>
            </w:pPr>
          </w:p>
        </w:tc>
        <w:tc>
          <w:tcPr>
            <w:tcW w:w="2477" w:type="dxa"/>
            <w:noWrap w:val="0"/>
            <w:vAlign w:val="center"/>
          </w:tcPr>
          <w:p w14:paraId="7709C305">
            <w:pPr>
              <w:rPr>
                <w:rFonts w:hint="eastAsia" w:ascii="仿宋" w:hAnsi="仿宋" w:eastAsia="仿宋" w:cs="仿宋"/>
                <w:color w:val="auto"/>
                <w:spacing w:val="-1"/>
                <w:kern w:val="0"/>
                <w:sz w:val="24"/>
              </w:rPr>
            </w:pPr>
          </w:p>
        </w:tc>
        <w:tc>
          <w:tcPr>
            <w:tcW w:w="2454" w:type="dxa"/>
            <w:noWrap w:val="0"/>
            <w:vAlign w:val="center"/>
          </w:tcPr>
          <w:p w14:paraId="1639DF9D">
            <w:pPr>
              <w:rPr>
                <w:rFonts w:hint="eastAsia" w:ascii="仿宋" w:hAnsi="仿宋" w:eastAsia="仿宋" w:cs="仿宋"/>
                <w:color w:val="auto"/>
                <w:spacing w:val="-1"/>
                <w:kern w:val="0"/>
                <w:sz w:val="24"/>
              </w:rPr>
            </w:pPr>
          </w:p>
        </w:tc>
        <w:tc>
          <w:tcPr>
            <w:tcW w:w="1130" w:type="dxa"/>
            <w:noWrap w:val="0"/>
            <w:vAlign w:val="center"/>
          </w:tcPr>
          <w:p w14:paraId="41BA9AF4">
            <w:pPr>
              <w:rPr>
                <w:rFonts w:hint="eastAsia" w:ascii="仿宋" w:hAnsi="仿宋" w:eastAsia="仿宋" w:cs="仿宋"/>
                <w:color w:val="auto"/>
                <w:spacing w:val="-1"/>
                <w:kern w:val="0"/>
                <w:sz w:val="24"/>
              </w:rPr>
            </w:pPr>
          </w:p>
        </w:tc>
      </w:tr>
      <w:tr w14:paraId="3624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42E6D93">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noWrap w:val="0"/>
            <w:vAlign w:val="center"/>
          </w:tcPr>
          <w:p w14:paraId="7CED2D18">
            <w:pPr>
              <w:rPr>
                <w:rFonts w:hint="eastAsia" w:ascii="仿宋" w:hAnsi="仿宋" w:eastAsia="仿宋" w:cs="仿宋"/>
                <w:color w:val="auto"/>
                <w:spacing w:val="-1"/>
                <w:kern w:val="0"/>
                <w:sz w:val="24"/>
              </w:rPr>
            </w:pPr>
          </w:p>
        </w:tc>
        <w:tc>
          <w:tcPr>
            <w:tcW w:w="2477" w:type="dxa"/>
            <w:noWrap w:val="0"/>
            <w:vAlign w:val="center"/>
          </w:tcPr>
          <w:p w14:paraId="386813BF">
            <w:pPr>
              <w:rPr>
                <w:rFonts w:hint="eastAsia" w:ascii="仿宋" w:hAnsi="仿宋" w:eastAsia="仿宋" w:cs="仿宋"/>
                <w:color w:val="auto"/>
                <w:spacing w:val="-1"/>
                <w:kern w:val="0"/>
                <w:sz w:val="24"/>
              </w:rPr>
            </w:pPr>
          </w:p>
        </w:tc>
        <w:tc>
          <w:tcPr>
            <w:tcW w:w="2454" w:type="dxa"/>
            <w:noWrap w:val="0"/>
            <w:vAlign w:val="center"/>
          </w:tcPr>
          <w:p w14:paraId="41821385">
            <w:pPr>
              <w:rPr>
                <w:rFonts w:hint="eastAsia" w:ascii="仿宋" w:hAnsi="仿宋" w:eastAsia="仿宋" w:cs="仿宋"/>
                <w:color w:val="auto"/>
                <w:spacing w:val="-1"/>
                <w:kern w:val="0"/>
                <w:sz w:val="24"/>
              </w:rPr>
            </w:pPr>
          </w:p>
        </w:tc>
        <w:tc>
          <w:tcPr>
            <w:tcW w:w="1130" w:type="dxa"/>
            <w:noWrap w:val="0"/>
            <w:vAlign w:val="center"/>
          </w:tcPr>
          <w:p w14:paraId="19AFA0FC">
            <w:pPr>
              <w:rPr>
                <w:rFonts w:hint="eastAsia" w:ascii="仿宋" w:hAnsi="仿宋" w:eastAsia="仿宋" w:cs="仿宋"/>
                <w:color w:val="auto"/>
                <w:spacing w:val="-1"/>
                <w:kern w:val="0"/>
                <w:sz w:val="24"/>
              </w:rPr>
            </w:pPr>
          </w:p>
        </w:tc>
      </w:tr>
      <w:tr w14:paraId="33C7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BA050B8">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noWrap w:val="0"/>
            <w:vAlign w:val="center"/>
          </w:tcPr>
          <w:p w14:paraId="00BA939F">
            <w:pPr>
              <w:rPr>
                <w:rFonts w:hint="eastAsia" w:ascii="仿宋" w:hAnsi="仿宋" w:eastAsia="仿宋" w:cs="仿宋"/>
                <w:color w:val="auto"/>
                <w:spacing w:val="-1"/>
                <w:kern w:val="0"/>
                <w:sz w:val="24"/>
              </w:rPr>
            </w:pPr>
          </w:p>
        </w:tc>
        <w:tc>
          <w:tcPr>
            <w:tcW w:w="2477" w:type="dxa"/>
            <w:noWrap w:val="0"/>
            <w:vAlign w:val="center"/>
          </w:tcPr>
          <w:p w14:paraId="5C097203">
            <w:pPr>
              <w:rPr>
                <w:rFonts w:hint="eastAsia" w:ascii="仿宋" w:hAnsi="仿宋" w:eastAsia="仿宋" w:cs="仿宋"/>
                <w:color w:val="auto"/>
                <w:spacing w:val="-1"/>
                <w:kern w:val="0"/>
                <w:sz w:val="24"/>
              </w:rPr>
            </w:pPr>
          </w:p>
        </w:tc>
        <w:tc>
          <w:tcPr>
            <w:tcW w:w="2454" w:type="dxa"/>
            <w:noWrap w:val="0"/>
            <w:vAlign w:val="center"/>
          </w:tcPr>
          <w:p w14:paraId="0216BC9B">
            <w:pPr>
              <w:rPr>
                <w:rFonts w:hint="eastAsia" w:ascii="仿宋" w:hAnsi="仿宋" w:eastAsia="仿宋" w:cs="仿宋"/>
                <w:color w:val="auto"/>
                <w:spacing w:val="-1"/>
                <w:kern w:val="0"/>
                <w:sz w:val="24"/>
              </w:rPr>
            </w:pPr>
          </w:p>
        </w:tc>
        <w:tc>
          <w:tcPr>
            <w:tcW w:w="1130" w:type="dxa"/>
            <w:noWrap w:val="0"/>
            <w:vAlign w:val="center"/>
          </w:tcPr>
          <w:p w14:paraId="78784A9F">
            <w:pPr>
              <w:rPr>
                <w:rFonts w:hint="eastAsia" w:ascii="仿宋" w:hAnsi="仿宋" w:eastAsia="仿宋" w:cs="仿宋"/>
                <w:color w:val="auto"/>
                <w:spacing w:val="-1"/>
                <w:kern w:val="0"/>
                <w:sz w:val="24"/>
              </w:rPr>
            </w:pPr>
          </w:p>
        </w:tc>
      </w:tr>
      <w:tr w14:paraId="4877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C6EAD82">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noWrap w:val="0"/>
            <w:vAlign w:val="center"/>
          </w:tcPr>
          <w:p w14:paraId="6286FD5A">
            <w:pPr>
              <w:rPr>
                <w:rFonts w:hint="eastAsia" w:ascii="仿宋" w:hAnsi="仿宋" w:eastAsia="仿宋" w:cs="仿宋"/>
                <w:color w:val="auto"/>
                <w:spacing w:val="-1"/>
                <w:kern w:val="0"/>
                <w:sz w:val="24"/>
              </w:rPr>
            </w:pPr>
          </w:p>
        </w:tc>
        <w:tc>
          <w:tcPr>
            <w:tcW w:w="2477" w:type="dxa"/>
            <w:noWrap w:val="0"/>
            <w:vAlign w:val="center"/>
          </w:tcPr>
          <w:p w14:paraId="40D56B2C">
            <w:pPr>
              <w:rPr>
                <w:rFonts w:hint="eastAsia" w:ascii="仿宋" w:hAnsi="仿宋" w:eastAsia="仿宋" w:cs="仿宋"/>
                <w:color w:val="auto"/>
                <w:spacing w:val="-1"/>
                <w:kern w:val="0"/>
                <w:sz w:val="24"/>
              </w:rPr>
            </w:pPr>
          </w:p>
        </w:tc>
        <w:tc>
          <w:tcPr>
            <w:tcW w:w="2454" w:type="dxa"/>
            <w:noWrap w:val="0"/>
            <w:vAlign w:val="center"/>
          </w:tcPr>
          <w:p w14:paraId="50011FE7">
            <w:pPr>
              <w:rPr>
                <w:rFonts w:hint="eastAsia" w:ascii="仿宋" w:hAnsi="仿宋" w:eastAsia="仿宋" w:cs="仿宋"/>
                <w:color w:val="auto"/>
                <w:spacing w:val="-1"/>
                <w:kern w:val="0"/>
                <w:sz w:val="24"/>
              </w:rPr>
            </w:pPr>
          </w:p>
        </w:tc>
        <w:tc>
          <w:tcPr>
            <w:tcW w:w="1130" w:type="dxa"/>
            <w:noWrap w:val="0"/>
            <w:vAlign w:val="center"/>
          </w:tcPr>
          <w:p w14:paraId="3E17A642">
            <w:pPr>
              <w:rPr>
                <w:rFonts w:hint="eastAsia" w:ascii="仿宋" w:hAnsi="仿宋" w:eastAsia="仿宋" w:cs="仿宋"/>
                <w:color w:val="auto"/>
                <w:spacing w:val="-1"/>
                <w:kern w:val="0"/>
                <w:sz w:val="24"/>
              </w:rPr>
            </w:pPr>
          </w:p>
        </w:tc>
      </w:tr>
      <w:tr w14:paraId="0792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1D36BBF">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noWrap w:val="0"/>
            <w:vAlign w:val="center"/>
          </w:tcPr>
          <w:p w14:paraId="3381DEDC">
            <w:pPr>
              <w:rPr>
                <w:rFonts w:hint="eastAsia" w:ascii="仿宋" w:hAnsi="仿宋" w:eastAsia="仿宋" w:cs="仿宋"/>
                <w:color w:val="auto"/>
                <w:spacing w:val="-1"/>
                <w:kern w:val="0"/>
                <w:sz w:val="24"/>
              </w:rPr>
            </w:pPr>
          </w:p>
        </w:tc>
        <w:tc>
          <w:tcPr>
            <w:tcW w:w="2477" w:type="dxa"/>
            <w:noWrap w:val="0"/>
            <w:vAlign w:val="center"/>
          </w:tcPr>
          <w:p w14:paraId="4DCF43C9">
            <w:pPr>
              <w:rPr>
                <w:rFonts w:hint="eastAsia" w:ascii="仿宋" w:hAnsi="仿宋" w:eastAsia="仿宋" w:cs="仿宋"/>
                <w:color w:val="auto"/>
                <w:spacing w:val="-1"/>
                <w:kern w:val="0"/>
                <w:sz w:val="24"/>
              </w:rPr>
            </w:pPr>
          </w:p>
        </w:tc>
        <w:tc>
          <w:tcPr>
            <w:tcW w:w="2454" w:type="dxa"/>
            <w:noWrap w:val="0"/>
            <w:vAlign w:val="center"/>
          </w:tcPr>
          <w:p w14:paraId="3B463B7E">
            <w:pPr>
              <w:rPr>
                <w:rFonts w:hint="eastAsia" w:ascii="仿宋" w:hAnsi="仿宋" w:eastAsia="仿宋" w:cs="仿宋"/>
                <w:color w:val="auto"/>
                <w:spacing w:val="-1"/>
                <w:kern w:val="0"/>
                <w:sz w:val="24"/>
              </w:rPr>
            </w:pPr>
          </w:p>
        </w:tc>
        <w:tc>
          <w:tcPr>
            <w:tcW w:w="1130" w:type="dxa"/>
            <w:noWrap w:val="0"/>
            <w:vAlign w:val="center"/>
          </w:tcPr>
          <w:p w14:paraId="0C0BFE6D">
            <w:pPr>
              <w:rPr>
                <w:rFonts w:hint="eastAsia" w:ascii="仿宋" w:hAnsi="仿宋" w:eastAsia="仿宋" w:cs="仿宋"/>
                <w:color w:val="auto"/>
                <w:spacing w:val="-1"/>
                <w:kern w:val="0"/>
                <w:sz w:val="24"/>
              </w:rPr>
            </w:pPr>
          </w:p>
        </w:tc>
      </w:tr>
      <w:tr w14:paraId="3AE0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C84EEC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noWrap w:val="0"/>
            <w:vAlign w:val="center"/>
          </w:tcPr>
          <w:p w14:paraId="41BD3316">
            <w:pPr>
              <w:rPr>
                <w:rFonts w:hint="eastAsia" w:ascii="仿宋" w:hAnsi="仿宋" w:eastAsia="仿宋" w:cs="仿宋"/>
                <w:color w:val="auto"/>
                <w:spacing w:val="-1"/>
                <w:kern w:val="0"/>
                <w:sz w:val="24"/>
              </w:rPr>
            </w:pPr>
          </w:p>
        </w:tc>
        <w:tc>
          <w:tcPr>
            <w:tcW w:w="2477" w:type="dxa"/>
            <w:noWrap w:val="0"/>
            <w:vAlign w:val="center"/>
          </w:tcPr>
          <w:p w14:paraId="2C20A3C0">
            <w:pPr>
              <w:rPr>
                <w:rFonts w:hint="eastAsia" w:ascii="仿宋" w:hAnsi="仿宋" w:eastAsia="仿宋" w:cs="仿宋"/>
                <w:color w:val="auto"/>
                <w:spacing w:val="-1"/>
                <w:kern w:val="0"/>
                <w:sz w:val="24"/>
              </w:rPr>
            </w:pPr>
          </w:p>
        </w:tc>
        <w:tc>
          <w:tcPr>
            <w:tcW w:w="2454" w:type="dxa"/>
            <w:noWrap w:val="0"/>
            <w:vAlign w:val="center"/>
          </w:tcPr>
          <w:p w14:paraId="4CF7995A">
            <w:pPr>
              <w:rPr>
                <w:rFonts w:hint="eastAsia" w:ascii="仿宋" w:hAnsi="仿宋" w:eastAsia="仿宋" w:cs="仿宋"/>
                <w:color w:val="auto"/>
                <w:spacing w:val="-1"/>
                <w:kern w:val="0"/>
                <w:sz w:val="24"/>
              </w:rPr>
            </w:pPr>
          </w:p>
        </w:tc>
        <w:tc>
          <w:tcPr>
            <w:tcW w:w="1130" w:type="dxa"/>
            <w:noWrap w:val="0"/>
            <w:vAlign w:val="center"/>
          </w:tcPr>
          <w:p w14:paraId="58BBEAB9">
            <w:pPr>
              <w:rPr>
                <w:rFonts w:hint="eastAsia" w:ascii="仿宋" w:hAnsi="仿宋" w:eastAsia="仿宋" w:cs="仿宋"/>
                <w:color w:val="auto"/>
                <w:spacing w:val="-1"/>
                <w:kern w:val="0"/>
                <w:sz w:val="24"/>
              </w:rPr>
            </w:pPr>
          </w:p>
        </w:tc>
      </w:tr>
      <w:tr w14:paraId="18AF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B041F4F">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noWrap w:val="0"/>
            <w:vAlign w:val="center"/>
          </w:tcPr>
          <w:p w14:paraId="10B1E9A2">
            <w:pPr>
              <w:rPr>
                <w:rFonts w:hint="eastAsia" w:ascii="仿宋" w:hAnsi="仿宋" w:eastAsia="仿宋" w:cs="仿宋"/>
                <w:color w:val="auto"/>
                <w:spacing w:val="-1"/>
                <w:kern w:val="0"/>
                <w:sz w:val="24"/>
              </w:rPr>
            </w:pPr>
          </w:p>
        </w:tc>
        <w:tc>
          <w:tcPr>
            <w:tcW w:w="2477" w:type="dxa"/>
            <w:noWrap w:val="0"/>
            <w:vAlign w:val="center"/>
          </w:tcPr>
          <w:p w14:paraId="0217368F">
            <w:pPr>
              <w:rPr>
                <w:rFonts w:hint="eastAsia" w:ascii="仿宋" w:hAnsi="仿宋" w:eastAsia="仿宋" w:cs="仿宋"/>
                <w:color w:val="auto"/>
                <w:spacing w:val="-1"/>
                <w:kern w:val="0"/>
                <w:sz w:val="24"/>
              </w:rPr>
            </w:pPr>
          </w:p>
        </w:tc>
        <w:tc>
          <w:tcPr>
            <w:tcW w:w="2454" w:type="dxa"/>
            <w:noWrap w:val="0"/>
            <w:vAlign w:val="center"/>
          </w:tcPr>
          <w:p w14:paraId="51CEEA95">
            <w:pPr>
              <w:rPr>
                <w:rFonts w:hint="eastAsia" w:ascii="仿宋" w:hAnsi="仿宋" w:eastAsia="仿宋" w:cs="仿宋"/>
                <w:color w:val="auto"/>
                <w:spacing w:val="-1"/>
                <w:kern w:val="0"/>
                <w:sz w:val="24"/>
              </w:rPr>
            </w:pPr>
          </w:p>
        </w:tc>
        <w:tc>
          <w:tcPr>
            <w:tcW w:w="1130" w:type="dxa"/>
            <w:noWrap w:val="0"/>
            <w:vAlign w:val="center"/>
          </w:tcPr>
          <w:p w14:paraId="08A1F2EF">
            <w:pPr>
              <w:rPr>
                <w:rFonts w:hint="eastAsia" w:ascii="仿宋" w:hAnsi="仿宋" w:eastAsia="仿宋" w:cs="仿宋"/>
                <w:color w:val="auto"/>
                <w:spacing w:val="-1"/>
                <w:kern w:val="0"/>
                <w:sz w:val="24"/>
              </w:rPr>
            </w:pPr>
          </w:p>
        </w:tc>
      </w:tr>
      <w:tr w14:paraId="2679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DF85C98">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noWrap w:val="0"/>
            <w:vAlign w:val="center"/>
          </w:tcPr>
          <w:p w14:paraId="154A11DB">
            <w:pPr>
              <w:rPr>
                <w:rFonts w:hint="eastAsia" w:ascii="仿宋" w:hAnsi="仿宋" w:eastAsia="仿宋" w:cs="仿宋"/>
                <w:color w:val="auto"/>
                <w:spacing w:val="-1"/>
                <w:kern w:val="0"/>
                <w:sz w:val="24"/>
              </w:rPr>
            </w:pPr>
          </w:p>
        </w:tc>
        <w:tc>
          <w:tcPr>
            <w:tcW w:w="2477" w:type="dxa"/>
            <w:noWrap w:val="0"/>
            <w:vAlign w:val="center"/>
          </w:tcPr>
          <w:p w14:paraId="058D6BC3">
            <w:pPr>
              <w:rPr>
                <w:rFonts w:hint="eastAsia" w:ascii="仿宋" w:hAnsi="仿宋" w:eastAsia="仿宋" w:cs="仿宋"/>
                <w:color w:val="auto"/>
                <w:spacing w:val="-1"/>
                <w:kern w:val="0"/>
                <w:sz w:val="24"/>
              </w:rPr>
            </w:pPr>
          </w:p>
        </w:tc>
        <w:tc>
          <w:tcPr>
            <w:tcW w:w="2454" w:type="dxa"/>
            <w:noWrap w:val="0"/>
            <w:vAlign w:val="center"/>
          </w:tcPr>
          <w:p w14:paraId="34453A8F">
            <w:pPr>
              <w:rPr>
                <w:rFonts w:hint="eastAsia" w:ascii="仿宋" w:hAnsi="仿宋" w:eastAsia="仿宋" w:cs="仿宋"/>
                <w:color w:val="auto"/>
                <w:spacing w:val="-1"/>
                <w:kern w:val="0"/>
                <w:sz w:val="24"/>
              </w:rPr>
            </w:pPr>
          </w:p>
        </w:tc>
        <w:tc>
          <w:tcPr>
            <w:tcW w:w="1130" w:type="dxa"/>
            <w:noWrap w:val="0"/>
            <w:vAlign w:val="center"/>
          </w:tcPr>
          <w:p w14:paraId="4F6A1869">
            <w:pPr>
              <w:rPr>
                <w:rFonts w:hint="eastAsia" w:ascii="仿宋" w:hAnsi="仿宋" w:eastAsia="仿宋" w:cs="仿宋"/>
                <w:color w:val="auto"/>
                <w:spacing w:val="-1"/>
                <w:kern w:val="0"/>
                <w:sz w:val="24"/>
              </w:rPr>
            </w:pPr>
          </w:p>
        </w:tc>
      </w:tr>
      <w:tr w14:paraId="453F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36C4B23">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noWrap w:val="0"/>
            <w:vAlign w:val="center"/>
          </w:tcPr>
          <w:p w14:paraId="49991142">
            <w:pPr>
              <w:rPr>
                <w:rFonts w:hint="eastAsia" w:ascii="仿宋" w:hAnsi="仿宋" w:eastAsia="仿宋" w:cs="仿宋"/>
                <w:color w:val="auto"/>
                <w:spacing w:val="-1"/>
                <w:kern w:val="0"/>
                <w:sz w:val="24"/>
              </w:rPr>
            </w:pPr>
          </w:p>
        </w:tc>
        <w:tc>
          <w:tcPr>
            <w:tcW w:w="2477" w:type="dxa"/>
            <w:noWrap w:val="0"/>
            <w:vAlign w:val="center"/>
          </w:tcPr>
          <w:p w14:paraId="5AE706ED">
            <w:pPr>
              <w:rPr>
                <w:rFonts w:hint="eastAsia" w:ascii="仿宋" w:hAnsi="仿宋" w:eastAsia="仿宋" w:cs="仿宋"/>
                <w:color w:val="auto"/>
                <w:spacing w:val="-1"/>
                <w:kern w:val="0"/>
                <w:sz w:val="24"/>
              </w:rPr>
            </w:pPr>
          </w:p>
        </w:tc>
        <w:tc>
          <w:tcPr>
            <w:tcW w:w="2454" w:type="dxa"/>
            <w:noWrap w:val="0"/>
            <w:vAlign w:val="center"/>
          </w:tcPr>
          <w:p w14:paraId="6BB34FB1">
            <w:pPr>
              <w:rPr>
                <w:rFonts w:hint="eastAsia" w:ascii="仿宋" w:hAnsi="仿宋" w:eastAsia="仿宋" w:cs="仿宋"/>
                <w:color w:val="auto"/>
                <w:spacing w:val="-1"/>
                <w:kern w:val="0"/>
                <w:sz w:val="24"/>
              </w:rPr>
            </w:pPr>
          </w:p>
        </w:tc>
        <w:tc>
          <w:tcPr>
            <w:tcW w:w="1130" w:type="dxa"/>
            <w:noWrap w:val="0"/>
            <w:vAlign w:val="center"/>
          </w:tcPr>
          <w:p w14:paraId="17496906">
            <w:pPr>
              <w:rPr>
                <w:rFonts w:hint="eastAsia" w:ascii="仿宋" w:hAnsi="仿宋" w:eastAsia="仿宋" w:cs="仿宋"/>
                <w:color w:val="auto"/>
                <w:spacing w:val="-1"/>
                <w:kern w:val="0"/>
                <w:sz w:val="24"/>
              </w:rPr>
            </w:pPr>
          </w:p>
        </w:tc>
      </w:tr>
    </w:tbl>
    <w:p w14:paraId="783B5B7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注：请在“偏离说明”栏内扼要说明偏离情况，如无偏离则不需列明。</w:t>
      </w:r>
    </w:p>
    <w:p w14:paraId="7D2D4301">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rPr>
      </w:pPr>
    </w:p>
    <w:p w14:paraId="1D4DF0FB">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rPr>
      </w:pPr>
    </w:p>
    <w:p w14:paraId="0F3976D0">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6A3C8782">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ab/>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5D38CE5A">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rPr>
        <w:tab/>
      </w:r>
      <w:r>
        <w:rPr>
          <w:rFonts w:hint="eastAsia" w:ascii="仿宋" w:hAnsi="仿宋" w:eastAsia="仿宋" w:cs="仿宋"/>
          <w:color w:val="auto"/>
          <w:sz w:val="24"/>
          <w:lang w:eastAsia="zh-CN"/>
        </w:rPr>
        <w:t>（签</w:t>
      </w:r>
      <w:r>
        <w:rPr>
          <w:rFonts w:hint="eastAsia" w:ascii="仿宋" w:hAnsi="仿宋" w:eastAsia="仿宋" w:cs="仿宋"/>
          <w:color w:val="auto"/>
          <w:sz w:val="24"/>
          <w:lang w:val="en-US" w:eastAsia="zh-CN"/>
        </w:rPr>
        <w:t>字并盖</w:t>
      </w:r>
      <w:r>
        <w:rPr>
          <w:rFonts w:hint="eastAsia" w:ascii="仿宋" w:hAnsi="仿宋" w:eastAsia="仿宋" w:cs="仿宋"/>
          <w:color w:val="auto"/>
          <w:sz w:val="24"/>
          <w:lang w:eastAsia="zh-CN"/>
        </w:rPr>
        <w:t>章）</w:t>
      </w:r>
      <w:r>
        <w:rPr>
          <w:rFonts w:hint="eastAsia" w:ascii="仿宋" w:hAnsi="仿宋" w:eastAsia="仿宋" w:cs="仿宋"/>
          <w:color w:val="auto"/>
          <w:w w:val="95"/>
          <w:sz w:val="24"/>
          <w:szCs w:val="24"/>
        </w:rPr>
        <w:t>）</w:t>
      </w:r>
    </w:p>
    <w:p w14:paraId="0BAA95CE">
      <w:pPr>
        <w:pStyle w:val="4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4F5FF3E0">
      <w:pPr>
        <w:pStyle w:val="4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654D1B32">
      <w:pPr>
        <w:jc w:val="center"/>
        <w:rPr>
          <w:rFonts w:hint="eastAsia" w:ascii="仿宋" w:hAnsi="仿宋" w:eastAsia="仿宋" w:cs="仿宋"/>
          <w:b/>
          <w:bCs/>
          <w:color w:val="auto"/>
          <w:sz w:val="30"/>
          <w:szCs w:val="30"/>
          <w:lang w:eastAsia="zh-CN"/>
        </w:rPr>
      </w:pPr>
    </w:p>
    <w:p w14:paraId="1032EE52">
      <w:pPr>
        <w:jc w:val="center"/>
        <w:rPr>
          <w:rFonts w:hint="eastAsia" w:ascii="仿宋" w:hAnsi="仿宋" w:eastAsia="仿宋" w:cs="仿宋"/>
          <w:b/>
          <w:bCs/>
          <w:color w:val="auto"/>
          <w:sz w:val="30"/>
          <w:szCs w:val="30"/>
          <w:lang w:eastAsia="zh-CN"/>
        </w:rPr>
      </w:pPr>
    </w:p>
    <w:p w14:paraId="21C37A25">
      <w:pPr>
        <w:jc w:val="center"/>
        <w:rPr>
          <w:rFonts w:hint="eastAsia" w:ascii="仿宋" w:hAnsi="仿宋" w:eastAsia="仿宋" w:cs="仿宋"/>
          <w:b/>
          <w:bCs/>
          <w:color w:val="auto"/>
          <w:sz w:val="30"/>
          <w:szCs w:val="30"/>
          <w:lang w:eastAsia="zh-CN"/>
        </w:rPr>
      </w:pPr>
    </w:p>
    <w:p w14:paraId="326794F7">
      <w:pPr>
        <w:jc w:val="center"/>
        <w:rPr>
          <w:rFonts w:hint="eastAsia" w:ascii="仿宋" w:hAnsi="仿宋" w:eastAsia="仿宋" w:cs="仿宋"/>
          <w:b/>
          <w:bCs/>
          <w:color w:val="auto"/>
          <w:sz w:val="30"/>
          <w:szCs w:val="30"/>
          <w:lang w:eastAsia="zh-CN"/>
        </w:rPr>
      </w:pPr>
    </w:p>
    <w:p w14:paraId="2FBCA088">
      <w:pPr>
        <w:jc w:val="both"/>
        <w:rPr>
          <w:rFonts w:hint="eastAsia" w:ascii="仿宋" w:hAnsi="仿宋" w:eastAsia="仿宋" w:cs="仿宋"/>
          <w:b/>
          <w:bCs/>
          <w:color w:val="auto"/>
          <w:sz w:val="30"/>
          <w:szCs w:val="30"/>
          <w:lang w:eastAsia="zh-CN"/>
        </w:rPr>
      </w:pPr>
    </w:p>
    <w:p w14:paraId="3DF36883">
      <w:pPr>
        <w:jc w:val="center"/>
        <w:rPr>
          <w:rFonts w:ascii="仿宋" w:hAnsi="仿宋" w:eastAsia="仿宋" w:cs="仿宋"/>
          <w:color w:val="auto"/>
          <w:sz w:val="30"/>
          <w:szCs w:val="30"/>
          <w:lang w:eastAsia="zh-CN"/>
        </w:rPr>
      </w:pPr>
      <w:r>
        <w:rPr>
          <w:rFonts w:hint="eastAsia" w:ascii="仿宋" w:hAnsi="仿宋" w:eastAsia="仿宋" w:cs="仿宋"/>
          <w:b/>
          <w:bCs/>
          <w:color w:val="auto"/>
          <w:sz w:val="30"/>
          <w:szCs w:val="30"/>
          <w:lang w:val="en-US" w:eastAsia="zh-CN"/>
        </w:rPr>
        <w:t>7</w:t>
      </w:r>
      <w:r>
        <w:rPr>
          <w:rFonts w:hint="eastAsia" w:ascii="仿宋" w:hAnsi="仿宋" w:eastAsia="仿宋" w:cs="仿宋"/>
          <w:b/>
          <w:bCs/>
          <w:color w:val="auto"/>
          <w:sz w:val="30"/>
          <w:szCs w:val="30"/>
          <w:lang w:eastAsia="zh-CN"/>
        </w:rPr>
        <w:t>、供应商基本情况表</w:t>
      </w:r>
    </w:p>
    <w:p w14:paraId="607AADFF">
      <w:pPr>
        <w:pStyle w:val="8"/>
        <w:numPr>
          <w:ilvl w:val="0"/>
          <w:numId w:val="0"/>
        </w:numPr>
        <w:tabs>
          <w:tab w:val="clear" w:pos="780"/>
        </w:tabs>
        <w:kinsoku w:val="0"/>
        <w:overflowPunct w:val="0"/>
        <w:spacing w:before="5"/>
        <w:rPr>
          <w:rFonts w:ascii="仿宋" w:hAnsi="仿宋" w:eastAsia="仿宋" w:cs="仿宋"/>
          <w:b/>
          <w:bCs/>
          <w:color w:val="auto"/>
          <w:sz w:val="6"/>
          <w:szCs w:val="6"/>
          <w:lang w:eastAsia="zh-CN"/>
        </w:rPr>
      </w:pPr>
    </w:p>
    <w:tbl>
      <w:tblPr>
        <w:tblStyle w:val="25"/>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57CC037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DD53E8C">
            <w:pPr>
              <w:pStyle w:val="45"/>
              <w:kinsoku w:val="0"/>
              <w:overflowPunct w:val="0"/>
              <w:spacing w:before="145"/>
              <w:ind w:left="137"/>
              <w:rPr>
                <w:rFonts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07B541F2">
            <w:pPr>
              <w:rPr>
                <w:rFonts w:ascii="仿宋" w:hAnsi="仿宋" w:eastAsia="仿宋" w:cs="仿宋"/>
                <w:color w:val="auto"/>
              </w:rPr>
            </w:pPr>
          </w:p>
        </w:tc>
      </w:tr>
      <w:tr w14:paraId="12B645F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F3A4CAB">
            <w:pPr>
              <w:pStyle w:val="45"/>
              <w:kinsoku w:val="0"/>
              <w:overflowPunct w:val="0"/>
              <w:spacing w:before="145"/>
              <w:ind w:left="137"/>
              <w:rPr>
                <w:rFonts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5CDC3693">
            <w:pPr>
              <w:rPr>
                <w:rFonts w:ascii="仿宋" w:hAnsi="仿宋" w:eastAsia="仿宋" w:cs="仿宋"/>
                <w:color w:val="auto"/>
              </w:rPr>
            </w:pPr>
          </w:p>
        </w:tc>
      </w:tr>
      <w:tr w14:paraId="017CC15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79B169F">
            <w:pPr>
              <w:pStyle w:val="45"/>
              <w:kinsoku w:val="0"/>
              <w:overflowPunct w:val="0"/>
              <w:spacing w:before="145"/>
              <w:ind w:left="137"/>
              <w:rPr>
                <w:rFonts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2D8FADF0">
            <w:pPr>
              <w:rPr>
                <w:rFonts w:ascii="仿宋" w:hAnsi="仿宋" w:eastAsia="仿宋" w:cs="仿宋"/>
                <w:color w:val="auto"/>
              </w:rPr>
            </w:pPr>
          </w:p>
        </w:tc>
      </w:tr>
      <w:tr w14:paraId="0775DD5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53B71C2">
            <w:pPr>
              <w:pStyle w:val="45"/>
              <w:kinsoku w:val="0"/>
              <w:overflowPunct w:val="0"/>
              <w:spacing w:before="145"/>
              <w:ind w:left="137"/>
              <w:rPr>
                <w:rFonts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443455C2">
            <w:pPr>
              <w:rPr>
                <w:rFonts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14:paraId="016926FA">
            <w:pPr>
              <w:pStyle w:val="45"/>
              <w:kinsoku w:val="0"/>
              <w:overflowPunct w:val="0"/>
              <w:spacing w:before="145"/>
              <w:ind w:left="181"/>
              <w:rPr>
                <w:rFonts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6EBF75AD">
            <w:pPr>
              <w:rPr>
                <w:rFonts w:ascii="仿宋" w:hAnsi="仿宋" w:eastAsia="仿宋" w:cs="仿宋"/>
                <w:color w:val="auto"/>
              </w:rPr>
            </w:pPr>
          </w:p>
        </w:tc>
      </w:tr>
      <w:tr w14:paraId="36F59AF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25A8CE0">
            <w:pPr>
              <w:pStyle w:val="45"/>
              <w:kinsoku w:val="0"/>
              <w:overflowPunct w:val="0"/>
              <w:spacing w:before="146"/>
              <w:ind w:left="137"/>
              <w:rPr>
                <w:rFonts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037D5C7B">
            <w:pPr>
              <w:rPr>
                <w:rFonts w:ascii="仿宋" w:hAnsi="仿宋" w:eastAsia="仿宋" w:cs="仿宋"/>
                <w:color w:val="auto"/>
              </w:rPr>
            </w:pPr>
          </w:p>
        </w:tc>
      </w:tr>
      <w:tr w14:paraId="41AD173F">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8F6A36F">
            <w:pPr>
              <w:pStyle w:val="45"/>
              <w:kinsoku w:val="0"/>
              <w:overflowPunct w:val="0"/>
              <w:spacing w:before="141" w:line="312" w:lineRule="exact"/>
              <w:ind w:left="257" w:right="133" w:hanging="120"/>
              <w:rPr>
                <w:rFonts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0DF83E5A">
            <w:pPr>
              <w:rPr>
                <w:rFonts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14:paraId="3546FFA2">
            <w:pPr>
              <w:pStyle w:val="45"/>
              <w:kinsoku w:val="0"/>
              <w:overflowPunct w:val="0"/>
              <w:spacing w:before="4"/>
              <w:rPr>
                <w:rFonts w:ascii="仿宋" w:hAnsi="仿宋" w:eastAsia="仿宋" w:cs="仿宋"/>
                <w:b/>
                <w:bCs/>
                <w:color w:val="auto"/>
                <w:sz w:val="20"/>
                <w:szCs w:val="20"/>
              </w:rPr>
            </w:pPr>
          </w:p>
          <w:p w14:paraId="1FCD4F44">
            <w:pPr>
              <w:pStyle w:val="45"/>
              <w:kinsoku w:val="0"/>
              <w:overflowPunct w:val="0"/>
              <w:ind w:left="366"/>
              <w:rPr>
                <w:rFonts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0E923A80">
            <w:pPr>
              <w:rPr>
                <w:rFonts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14:paraId="4D090FB0">
            <w:pPr>
              <w:pStyle w:val="45"/>
              <w:kinsoku w:val="0"/>
              <w:overflowPunct w:val="0"/>
              <w:spacing w:before="4"/>
              <w:rPr>
                <w:rFonts w:ascii="仿宋" w:hAnsi="仿宋" w:eastAsia="仿宋" w:cs="仿宋"/>
                <w:b/>
                <w:bCs/>
                <w:color w:val="auto"/>
                <w:sz w:val="20"/>
                <w:szCs w:val="20"/>
              </w:rPr>
            </w:pPr>
          </w:p>
          <w:p w14:paraId="5015E98E">
            <w:pPr>
              <w:pStyle w:val="45"/>
              <w:kinsoku w:val="0"/>
              <w:overflowPunct w:val="0"/>
              <w:ind w:left="383"/>
              <w:rPr>
                <w:rFonts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14:paraId="393A5B7F">
            <w:pPr>
              <w:rPr>
                <w:rFonts w:ascii="仿宋" w:hAnsi="仿宋" w:eastAsia="仿宋" w:cs="仿宋"/>
                <w:color w:val="auto"/>
              </w:rPr>
            </w:pPr>
          </w:p>
        </w:tc>
      </w:tr>
      <w:tr w14:paraId="2377310A">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748DB3BF">
            <w:pPr>
              <w:pStyle w:val="45"/>
              <w:kinsoku w:val="0"/>
              <w:overflowPunct w:val="0"/>
              <w:rPr>
                <w:rFonts w:ascii="仿宋" w:hAnsi="仿宋" w:eastAsia="仿宋" w:cs="仿宋"/>
                <w:b/>
                <w:bCs/>
                <w:color w:val="auto"/>
              </w:rPr>
            </w:pPr>
          </w:p>
          <w:p w14:paraId="3A2A3FF1">
            <w:pPr>
              <w:pStyle w:val="45"/>
              <w:kinsoku w:val="0"/>
              <w:overflowPunct w:val="0"/>
              <w:rPr>
                <w:rFonts w:ascii="仿宋" w:hAnsi="仿宋" w:eastAsia="仿宋" w:cs="仿宋"/>
                <w:b/>
                <w:bCs/>
                <w:color w:val="auto"/>
              </w:rPr>
            </w:pPr>
          </w:p>
          <w:p w14:paraId="14933500">
            <w:pPr>
              <w:pStyle w:val="45"/>
              <w:kinsoku w:val="0"/>
              <w:overflowPunct w:val="0"/>
              <w:rPr>
                <w:rFonts w:ascii="仿宋" w:hAnsi="仿宋" w:eastAsia="仿宋" w:cs="仿宋"/>
                <w:b/>
                <w:bCs/>
                <w:color w:val="auto"/>
              </w:rPr>
            </w:pPr>
          </w:p>
          <w:p w14:paraId="160DD181">
            <w:pPr>
              <w:pStyle w:val="45"/>
              <w:kinsoku w:val="0"/>
              <w:overflowPunct w:val="0"/>
              <w:spacing w:line="475" w:lineRule="auto"/>
              <w:ind w:left="497" w:right="493"/>
              <w:jc w:val="both"/>
              <w:rPr>
                <w:rFonts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4D8418B9">
            <w:pPr>
              <w:pStyle w:val="45"/>
              <w:kinsoku w:val="0"/>
              <w:overflowPunct w:val="0"/>
              <w:spacing w:before="144"/>
              <w:ind w:left="236"/>
              <w:rPr>
                <w:rFonts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65923299">
            <w:pPr>
              <w:rPr>
                <w:rFonts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14:paraId="4CA6F8BF">
            <w:pPr>
              <w:pStyle w:val="45"/>
              <w:kinsoku w:val="0"/>
              <w:overflowPunct w:val="0"/>
              <w:spacing w:before="144"/>
              <w:ind w:left="118"/>
              <w:rPr>
                <w:rFonts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75A97869">
            <w:pPr>
              <w:rPr>
                <w:rFonts w:ascii="仿宋" w:hAnsi="仿宋" w:eastAsia="仿宋" w:cs="仿宋"/>
                <w:color w:val="auto"/>
              </w:rPr>
            </w:pPr>
          </w:p>
        </w:tc>
      </w:tr>
      <w:tr w14:paraId="5415AECC">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BFF144B">
            <w:pPr>
              <w:rPr>
                <w:rFonts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14:paraId="4B0AD91A">
            <w:pPr>
              <w:pStyle w:val="45"/>
              <w:kinsoku w:val="0"/>
              <w:overflowPunct w:val="0"/>
              <w:spacing w:before="145"/>
              <w:jc w:val="center"/>
              <w:rPr>
                <w:rFonts w:ascii="仿宋" w:hAnsi="仿宋" w:eastAsia="仿宋" w:cs="仿宋"/>
                <w:color w:val="auto"/>
                <w:lang w:eastAsia="zh-CN"/>
              </w:rPr>
            </w:pPr>
            <w:r>
              <w:rPr>
                <w:rFonts w:hint="eastAsia" w:ascii="仿宋" w:hAnsi="仿宋" w:eastAsia="仿宋" w:cs="仿宋"/>
                <w:color w:val="auto"/>
                <w:lang w:eastAsia="zh-CN"/>
              </w:rPr>
              <w:t>单位行政和技术负责人</w:t>
            </w:r>
          </w:p>
        </w:tc>
      </w:tr>
      <w:tr w14:paraId="1DA1E100">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129AC6F">
            <w:pPr>
              <w:pStyle w:val="45"/>
              <w:kinsoku w:val="0"/>
              <w:overflowPunct w:val="0"/>
              <w:spacing w:before="145"/>
              <w:jc w:val="center"/>
              <w:rPr>
                <w:rFonts w:ascii="仿宋" w:hAnsi="仿宋" w:eastAsia="仿宋" w:cs="仿宋"/>
                <w:color w:val="auto"/>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5219B174">
            <w:pPr>
              <w:pStyle w:val="45"/>
              <w:kinsoku w:val="0"/>
              <w:overflowPunct w:val="0"/>
              <w:spacing w:before="145"/>
              <w:ind w:left="416"/>
              <w:rPr>
                <w:rFonts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10C4BB29">
            <w:pPr>
              <w:pStyle w:val="45"/>
              <w:kinsoku w:val="0"/>
              <w:overflowPunct w:val="0"/>
              <w:spacing w:before="145"/>
              <w:ind w:left="452"/>
              <w:rPr>
                <w:rFonts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17CF6559">
            <w:pPr>
              <w:pStyle w:val="45"/>
              <w:kinsoku w:val="0"/>
              <w:overflowPunct w:val="0"/>
              <w:spacing w:before="145"/>
              <w:ind w:left="450"/>
              <w:rPr>
                <w:rFonts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54F63023">
            <w:pPr>
              <w:pStyle w:val="45"/>
              <w:tabs>
                <w:tab w:val="left" w:pos="479"/>
              </w:tabs>
              <w:kinsoku w:val="0"/>
              <w:overflowPunct w:val="0"/>
              <w:spacing w:before="145"/>
              <w:ind w:right="1"/>
              <w:jc w:val="center"/>
              <w:rPr>
                <w:rFonts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47A811AF">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C556687">
            <w:pPr>
              <w:pStyle w:val="45"/>
              <w:tabs>
                <w:tab w:val="left" w:pos="479"/>
              </w:tabs>
              <w:kinsoku w:val="0"/>
              <w:overflowPunct w:val="0"/>
              <w:spacing w:before="145"/>
              <w:ind w:right="1"/>
              <w:jc w:val="cente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0424B95B">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4DAEDF7">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29459B71">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FF7BFCE">
            <w:pPr>
              <w:rPr>
                <w:rFonts w:ascii="仿宋" w:hAnsi="仿宋" w:eastAsia="仿宋" w:cs="仿宋"/>
                <w:color w:val="auto"/>
              </w:rPr>
            </w:pPr>
          </w:p>
        </w:tc>
      </w:tr>
      <w:tr w14:paraId="0AD6C0B5">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124C2806">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022A85C4">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6249567">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4D8651B">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11388AED">
            <w:pPr>
              <w:rPr>
                <w:rFonts w:ascii="仿宋" w:hAnsi="仿宋" w:eastAsia="仿宋" w:cs="仿宋"/>
                <w:color w:val="auto"/>
              </w:rPr>
            </w:pPr>
          </w:p>
        </w:tc>
      </w:tr>
      <w:tr w14:paraId="5493FB17">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5FD6981">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4E28645B">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AD314E3">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58AF93A7">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775444DD">
            <w:pPr>
              <w:rPr>
                <w:rFonts w:ascii="仿宋" w:hAnsi="仿宋" w:eastAsia="仿宋" w:cs="仿宋"/>
                <w:color w:val="auto"/>
              </w:rPr>
            </w:pPr>
          </w:p>
        </w:tc>
      </w:tr>
      <w:tr w14:paraId="31FCC3CC">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1ECDEF4">
            <w:pPr>
              <w:pStyle w:val="45"/>
              <w:kinsoku w:val="0"/>
              <w:overflowPunct w:val="0"/>
              <w:spacing w:before="1"/>
              <w:rPr>
                <w:rFonts w:ascii="仿宋" w:hAnsi="仿宋" w:eastAsia="仿宋" w:cs="仿宋"/>
                <w:b/>
                <w:bCs/>
                <w:color w:val="auto"/>
                <w:sz w:val="23"/>
                <w:szCs w:val="23"/>
              </w:rPr>
            </w:pPr>
          </w:p>
          <w:p w14:paraId="05238503">
            <w:pPr>
              <w:pStyle w:val="45"/>
              <w:kinsoku w:val="0"/>
              <w:overflowPunct w:val="0"/>
              <w:spacing w:line="237" w:lineRule="auto"/>
              <w:ind w:left="497" w:right="493"/>
              <w:jc w:val="both"/>
              <w:rPr>
                <w:rFonts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4FA93BAC">
            <w:pPr>
              <w:rPr>
                <w:rFonts w:ascii="仿宋" w:hAnsi="仿宋" w:eastAsia="仿宋" w:cs="仿宋"/>
                <w:color w:val="auto"/>
              </w:rPr>
            </w:pPr>
          </w:p>
        </w:tc>
      </w:tr>
    </w:tbl>
    <w:p w14:paraId="494905E2">
      <w:pPr>
        <w:pStyle w:val="42"/>
        <w:spacing w:line="440" w:lineRule="exact"/>
        <w:ind w:firstLine="0"/>
        <w:jc w:val="both"/>
        <w:rPr>
          <w:rFonts w:ascii="仿宋" w:hAnsi="仿宋" w:eastAsia="仿宋" w:cs="仿宋"/>
          <w:b/>
          <w:color w:val="auto"/>
          <w:sz w:val="30"/>
          <w:szCs w:val="30"/>
        </w:rPr>
      </w:pPr>
    </w:p>
    <w:p w14:paraId="65DC1584">
      <w:pPr>
        <w:pStyle w:val="42"/>
        <w:spacing w:line="440" w:lineRule="exact"/>
        <w:ind w:firstLine="0"/>
        <w:jc w:val="both"/>
        <w:rPr>
          <w:rFonts w:ascii="仿宋" w:hAnsi="仿宋" w:eastAsia="仿宋" w:cs="仿宋"/>
          <w:b/>
          <w:color w:val="auto"/>
          <w:sz w:val="30"/>
          <w:szCs w:val="30"/>
        </w:rPr>
      </w:pPr>
    </w:p>
    <w:p w14:paraId="246BE724">
      <w:pPr>
        <w:pStyle w:val="42"/>
        <w:spacing w:line="440" w:lineRule="exact"/>
        <w:ind w:firstLine="0"/>
        <w:jc w:val="both"/>
        <w:rPr>
          <w:rFonts w:ascii="仿宋" w:hAnsi="仿宋" w:eastAsia="仿宋" w:cs="仿宋"/>
          <w:b/>
          <w:color w:val="auto"/>
          <w:sz w:val="30"/>
          <w:szCs w:val="30"/>
        </w:rPr>
      </w:pPr>
    </w:p>
    <w:p w14:paraId="4198195B">
      <w:pPr>
        <w:pStyle w:val="42"/>
        <w:spacing w:line="440" w:lineRule="exact"/>
        <w:ind w:firstLine="0"/>
        <w:jc w:val="both"/>
        <w:rPr>
          <w:rFonts w:ascii="仿宋" w:hAnsi="仿宋" w:eastAsia="仿宋" w:cs="仿宋"/>
          <w:b/>
          <w:color w:val="auto"/>
          <w:sz w:val="30"/>
          <w:szCs w:val="30"/>
        </w:rPr>
      </w:pPr>
    </w:p>
    <w:p w14:paraId="1A160A0E">
      <w:pPr>
        <w:pStyle w:val="42"/>
        <w:spacing w:line="440" w:lineRule="exact"/>
        <w:ind w:firstLine="0"/>
        <w:jc w:val="both"/>
        <w:rPr>
          <w:rFonts w:ascii="仿宋" w:hAnsi="仿宋" w:eastAsia="仿宋" w:cs="仿宋"/>
          <w:b/>
          <w:color w:val="auto"/>
          <w:sz w:val="30"/>
          <w:szCs w:val="30"/>
        </w:rPr>
      </w:pPr>
    </w:p>
    <w:p w14:paraId="46D7FD84">
      <w:pPr>
        <w:pStyle w:val="42"/>
        <w:spacing w:line="440" w:lineRule="exact"/>
        <w:ind w:firstLine="0"/>
        <w:jc w:val="both"/>
        <w:rPr>
          <w:rFonts w:ascii="仿宋" w:hAnsi="仿宋" w:eastAsia="仿宋" w:cs="仿宋"/>
          <w:b/>
          <w:color w:val="auto"/>
          <w:sz w:val="30"/>
          <w:szCs w:val="30"/>
        </w:rPr>
      </w:pPr>
    </w:p>
    <w:p w14:paraId="3D279CAB">
      <w:pPr>
        <w:pStyle w:val="8"/>
        <w:numPr>
          <w:ilvl w:val="0"/>
          <w:numId w:val="0"/>
        </w:numPr>
        <w:kinsoku w:val="0"/>
        <w:overflowPunct w:val="0"/>
        <w:spacing w:before="34" w:line="357" w:lineRule="auto"/>
        <w:ind w:right="126" w:rightChars="0"/>
        <w:jc w:val="both"/>
        <w:rPr>
          <w:rFonts w:hint="eastAsia" w:ascii="仿宋" w:hAnsi="仿宋" w:eastAsia="仿宋" w:cs="仿宋"/>
          <w:b w:val="0"/>
          <w:bCs/>
          <w:color w:val="auto"/>
          <w:kern w:val="0"/>
          <w:sz w:val="36"/>
          <w:szCs w:val="36"/>
          <w:lang w:val="en-US" w:eastAsia="zh-CN"/>
        </w:rPr>
      </w:pPr>
    </w:p>
    <w:p w14:paraId="0253AD5A">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w w:val="90"/>
          <w:lang w:eastAsia="zh-CN"/>
        </w:rPr>
      </w:pPr>
      <w:r>
        <w:rPr>
          <w:rFonts w:hint="eastAsia" w:ascii="仿宋" w:hAnsi="仿宋" w:eastAsia="仿宋" w:cs="仿宋"/>
          <w:b w:val="0"/>
          <w:bCs/>
          <w:color w:val="auto"/>
          <w:kern w:val="0"/>
          <w:sz w:val="36"/>
          <w:szCs w:val="36"/>
          <w:lang w:val="en-US" w:eastAsia="zh-CN"/>
        </w:rPr>
        <w:t>8、</w:t>
      </w:r>
      <w:r>
        <w:rPr>
          <w:rFonts w:hint="eastAsia" w:ascii="仿宋" w:hAnsi="仿宋" w:eastAsia="仿宋" w:cs="仿宋"/>
          <w:b/>
          <w:bCs/>
          <w:color w:val="auto"/>
          <w:w w:val="90"/>
          <w:sz w:val="36"/>
          <w:szCs w:val="36"/>
        </w:rPr>
        <w:t>近三年类似项目业绩</w:t>
      </w:r>
      <w:r>
        <w:rPr>
          <w:rFonts w:hint="eastAsia" w:ascii="仿宋" w:hAnsi="仿宋" w:eastAsia="仿宋" w:cs="仿宋"/>
          <w:b/>
          <w:bCs/>
          <w:color w:val="auto"/>
          <w:w w:val="90"/>
          <w:sz w:val="36"/>
          <w:szCs w:val="36"/>
          <w:lang w:eastAsia="zh-CN"/>
        </w:rPr>
        <w:t>表</w:t>
      </w:r>
    </w:p>
    <w:p w14:paraId="0842B9EC">
      <w:pPr>
        <w:pStyle w:val="8"/>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5"/>
        <w:tblW w:w="9115" w:type="dxa"/>
        <w:jc w:val="center"/>
        <w:tblLayout w:type="fixed"/>
        <w:tblCellMar>
          <w:top w:w="0" w:type="dxa"/>
          <w:left w:w="10" w:type="dxa"/>
          <w:bottom w:w="0" w:type="dxa"/>
          <w:right w:w="10" w:type="dxa"/>
        </w:tblCellMar>
      </w:tblPr>
      <w:tblGrid>
        <w:gridCol w:w="1919"/>
        <w:gridCol w:w="7196"/>
      </w:tblGrid>
      <w:tr w14:paraId="76281826">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14:paraId="614F7B9A">
            <w:pPr>
              <w:pStyle w:val="43"/>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rPr>
            </w:pPr>
            <w:r>
              <w:rPr>
                <w:rFonts w:hint="eastAsia" w:ascii="仿宋" w:hAnsi="仿宋" w:eastAsia="仿宋" w:cs="仿宋"/>
                <w:color w:val="auto"/>
                <w:spacing w:val="0"/>
                <w:w w:val="100"/>
                <w:position w:val="0"/>
              </w:rPr>
              <w:t>项目名称</w:t>
            </w:r>
          </w:p>
        </w:tc>
        <w:tc>
          <w:tcPr>
            <w:tcW w:w="7196" w:type="dxa"/>
            <w:tcBorders>
              <w:top w:val="single" w:color="auto" w:sz="4" w:space="0"/>
              <w:left w:val="single" w:color="auto" w:sz="4" w:space="0"/>
              <w:right w:val="single" w:color="auto" w:sz="4" w:space="0"/>
            </w:tcBorders>
            <w:shd w:val="clear" w:color="auto" w:fill="FFFFFF"/>
            <w:vAlign w:val="top"/>
          </w:tcPr>
          <w:p w14:paraId="78149395">
            <w:pPr>
              <w:widowControl w:val="0"/>
              <w:rPr>
                <w:rFonts w:hint="eastAsia" w:ascii="仿宋" w:hAnsi="仿宋" w:eastAsia="仿宋" w:cs="仿宋"/>
                <w:color w:val="auto"/>
                <w:sz w:val="10"/>
                <w:szCs w:val="10"/>
              </w:rPr>
            </w:pPr>
          </w:p>
        </w:tc>
      </w:tr>
      <w:tr w14:paraId="4B207C9B">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14:paraId="33A5EDBC">
            <w:pPr>
              <w:pStyle w:val="43"/>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auto"/>
              </w:rPr>
            </w:pPr>
            <w:r>
              <w:rPr>
                <w:rFonts w:hint="eastAsia" w:ascii="仿宋" w:hAnsi="仿宋" w:eastAsia="仿宋" w:cs="仿宋"/>
                <w:color w:val="auto"/>
                <w:spacing w:val="0"/>
                <w:w w:val="100"/>
                <w:position w:val="0"/>
              </w:rPr>
              <w:t>项目单位名称</w:t>
            </w:r>
          </w:p>
        </w:tc>
        <w:tc>
          <w:tcPr>
            <w:tcW w:w="7196" w:type="dxa"/>
            <w:tcBorders>
              <w:top w:val="single" w:color="auto" w:sz="4" w:space="0"/>
              <w:left w:val="single" w:color="auto" w:sz="4" w:space="0"/>
              <w:right w:val="single" w:color="auto" w:sz="4" w:space="0"/>
            </w:tcBorders>
            <w:shd w:val="clear" w:color="auto" w:fill="FFFFFF"/>
            <w:vAlign w:val="top"/>
          </w:tcPr>
          <w:p w14:paraId="50C732CC">
            <w:pPr>
              <w:widowControl w:val="0"/>
              <w:rPr>
                <w:rFonts w:hint="eastAsia" w:ascii="仿宋" w:hAnsi="仿宋" w:eastAsia="仿宋" w:cs="仿宋"/>
                <w:color w:val="auto"/>
                <w:sz w:val="10"/>
                <w:szCs w:val="10"/>
              </w:rPr>
            </w:pPr>
          </w:p>
        </w:tc>
      </w:tr>
      <w:tr w14:paraId="0FF4D994">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vAlign w:val="top"/>
          </w:tcPr>
          <w:p w14:paraId="351A448E">
            <w:pPr>
              <w:pStyle w:val="43"/>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auto"/>
              </w:rPr>
            </w:pPr>
            <w:r>
              <w:rPr>
                <w:rFonts w:hint="eastAsia" w:ascii="仿宋" w:hAnsi="仿宋" w:eastAsia="仿宋" w:cs="仿宋"/>
                <w:color w:val="auto"/>
                <w:spacing w:val="0"/>
                <w:w w:val="100"/>
                <w:position w:val="0"/>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14:paraId="76439510">
            <w:pPr>
              <w:widowControl w:val="0"/>
              <w:rPr>
                <w:rFonts w:hint="eastAsia" w:ascii="仿宋" w:hAnsi="仿宋" w:eastAsia="仿宋" w:cs="仿宋"/>
                <w:color w:val="auto"/>
                <w:sz w:val="10"/>
                <w:szCs w:val="10"/>
              </w:rPr>
            </w:pPr>
          </w:p>
        </w:tc>
      </w:tr>
      <w:tr w14:paraId="6EBF4E1F">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14:paraId="051E287E">
            <w:pPr>
              <w:pStyle w:val="43"/>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rPr>
            </w:pPr>
            <w:r>
              <w:rPr>
                <w:rFonts w:hint="eastAsia" w:ascii="仿宋" w:hAnsi="仿宋" w:eastAsia="仿宋" w:cs="仿宋"/>
                <w:color w:val="auto"/>
                <w:spacing w:val="0"/>
                <w:w w:val="100"/>
                <w:position w:val="0"/>
              </w:rPr>
              <w:t>合同金额</w:t>
            </w:r>
          </w:p>
        </w:tc>
        <w:tc>
          <w:tcPr>
            <w:tcW w:w="7196" w:type="dxa"/>
            <w:tcBorders>
              <w:top w:val="single" w:color="auto" w:sz="4" w:space="0"/>
              <w:left w:val="single" w:color="auto" w:sz="4" w:space="0"/>
              <w:right w:val="single" w:color="auto" w:sz="4" w:space="0"/>
            </w:tcBorders>
            <w:shd w:val="clear" w:color="auto" w:fill="FFFFFF"/>
            <w:vAlign w:val="top"/>
          </w:tcPr>
          <w:p w14:paraId="3BB77AD6">
            <w:pPr>
              <w:widowControl w:val="0"/>
              <w:rPr>
                <w:rFonts w:hint="eastAsia" w:ascii="仿宋" w:hAnsi="仿宋" w:eastAsia="仿宋" w:cs="仿宋"/>
                <w:color w:val="auto"/>
                <w:sz w:val="10"/>
                <w:szCs w:val="10"/>
              </w:rPr>
            </w:pPr>
          </w:p>
        </w:tc>
      </w:tr>
      <w:tr w14:paraId="2A269145">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top"/>
          </w:tcPr>
          <w:p w14:paraId="52975EEA">
            <w:pPr>
              <w:pStyle w:val="43"/>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auto"/>
              </w:rPr>
            </w:pPr>
            <w:r>
              <w:rPr>
                <w:rFonts w:hint="eastAsia" w:ascii="仿宋" w:hAnsi="仿宋" w:eastAsia="仿宋" w:cs="仿宋"/>
                <w:color w:val="auto"/>
                <w:spacing w:val="0"/>
                <w:w w:val="100"/>
                <w:position w:val="0"/>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14:paraId="4BC3E678">
            <w:pPr>
              <w:widowControl w:val="0"/>
              <w:rPr>
                <w:rFonts w:hint="eastAsia" w:ascii="仿宋" w:hAnsi="仿宋" w:eastAsia="仿宋" w:cs="仿宋"/>
                <w:color w:val="auto"/>
                <w:sz w:val="10"/>
                <w:szCs w:val="10"/>
              </w:rPr>
            </w:pPr>
          </w:p>
        </w:tc>
      </w:tr>
      <w:tr w14:paraId="21C06684">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14:paraId="5C54ED7F">
            <w:pPr>
              <w:pStyle w:val="43"/>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auto"/>
              </w:rPr>
            </w:pPr>
            <w:r>
              <w:rPr>
                <w:rFonts w:hint="eastAsia" w:ascii="仿宋" w:hAnsi="仿宋" w:eastAsia="仿宋" w:cs="仿宋"/>
                <w:color w:val="auto"/>
                <w:spacing w:val="0"/>
                <w:w w:val="100"/>
                <w:position w:val="0"/>
              </w:rPr>
              <w:t>项目实施时间</w:t>
            </w:r>
          </w:p>
        </w:tc>
        <w:tc>
          <w:tcPr>
            <w:tcW w:w="7196" w:type="dxa"/>
            <w:tcBorders>
              <w:top w:val="single" w:color="auto" w:sz="4" w:space="0"/>
              <w:left w:val="single" w:color="auto" w:sz="4" w:space="0"/>
              <w:right w:val="single" w:color="auto" w:sz="4" w:space="0"/>
            </w:tcBorders>
            <w:shd w:val="clear" w:color="auto" w:fill="FFFFFF"/>
            <w:vAlign w:val="top"/>
          </w:tcPr>
          <w:p w14:paraId="050E1FD2">
            <w:pPr>
              <w:widowControl w:val="0"/>
              <w:rPr>
                <w:rFonts w:hint="eastAsia" w:ascii="仿宋" w:hAnsi="仿宋" w:eastAsia="仿宋" w:cs="仿宋"/>
                <w:color w:val="auto"/>
                <w:sz w:val="10"/>
                <w:szCs w:val="10"/>
              </w:rPr>
            </w:pPr>
          </w:p>
        </w:tc>
      </w:tr>
      <w:tr w14:paraId="452B1694">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14:paraId="407B365E">
            <w:pPr>
              <w:pStyle w:val="43"/>
              <w:keepNext w:val="0"/>
              <w:keepLines w:val="0"/>
              <w:widowControl w:val="0"/>
              <w:shd w:val="clear" w:color="auto" w:fill="auto"/>
              <w:bidi w:val="0"/>
              <w:spacing w:before="0" w:after="0" w:line="240" w:lineRule="auto"/>
              <w:ind w:left="0" w:right="0" w:firstLine="220"/>
              <w:jc w:val="left"/>
              <w:rPr>
                <w:rFonts w:hint="eastAsia" w:ascii="仿宋" w:hAnsi="仿宋" w:eastAsia="仿宋" w:cs="仿宋"/>
                <w:color w:val="auto"/>
              </w:rPr>
            </w:pPr>
            <w:r>
              <w:rPr>
                <w:rFonts w:hint="eastAsia" w:ascii="仿宋" w:hAnsi="仿宋" w:eastAsia="仿宋" w:cs="仿宋"/>
                <w:color w:val="auto"/>
                <w:spacing w:val="0"/>
                <w:w w:val="100"/>
                <w:position w:val="0"/>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14:paraId="7991BD66">
            <w:pPr>
              <w:widowControl w:val="0"/>
              <w:rPr>
                <w:rFonts w:hint="eastAsia" w:ascii="仿宋" w:hAnsi="仿宋" w:eastAsia="仿宋" w:cs="仿宋"/>
                <w:color w:val="auto"/>
                <w:sz w:val="10"/>
                <w:szCs w:val="10"/>
              </w:rPr>
            </w:pPr>
          </w:p>
        </w:tc>
      </w:tr>
    </w:tbl>
    <w:p w14:paraId="299642C2">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注：每个</w:t>
      </w:r>
      <w:r>
        <w:rPr>
          <w:rFonts w:hint="eastAsia" w:ascii="仿宋" w:hAnsi="仿宋" w:eastAsia="仿宋" w:cs="仿宋"/>
          <w:color w:val="auto"/>
          <w:spacing w:val="-1"/>
          <w:kern w:val="0"/>
          <w:sz w:val="24"/>
          <w:lang w:eastAsia="zh-CN"/>
        </w:rPr>
        <w:t>业绩</w:t>
      </w:r>
      <w:r>
        <w:rPr>
          <w:rFonts w:hint="eastAsia" w:ascii="仿宋" w:hAnsi="仿宋" w:eastAsia="仿宋" w:cs="仿宋"/>
          <w:color w:val="auto"/>
          <w:spacing w:val="-1"/>
          <w:kern w:val="0"/>
          <w:sz w:val="24"/>
        </w:rPr>
        <w:t>须单独附表，并附上</w:t>
      </w:r>
      <w:r>
        <w:rPr>
          <w:rFonts w:hint="eastAsia" w:ascii="仿宋" w:hAnsi="仿宋" w:eastAsia="仿宋" w:cs="仿宋"/>
          <w:color w:val="auto"/>
          <w:spacing w:val="-1"/>
          <w:kern w:val="0"/>
          <w:sz w:val="24"/>
          <w:lang w:eastAsia="zh-CN"/>
        </w:rPr>
        <w:t>合同或中标通知书</w:t>
      </w:r>
      <w:r>
        <w:rPr>
          <w:rFonts w:hint="eastAsia" w:ascii="仿宋" w:hAnsi="仿宋" w:eastAsia="仿宋" w:cs="仿宋"/>
          <w:color w:val="auto"/>
          <w:spacing w:val="-1"/>
          <w:kern w:val="0"/>
          <w:sz w:val="24"/>
        </w:rPr>
        <w:t>相关证明材料，否则专家在评审时将不予采信。</w:t>
      </w:r>
    </w:p>
    <w:p w14:paraId="31CA1B5B">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3CA865AA">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16CD31FA">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417E77CB">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1F24A462">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lang w:eastAsia="zh-CN"/>
        </w:rPr>
        <w:t>（签</w:t>
      </w:r>
      <w:r>
        <w:rPr>
          <w:rFonts w:hint="eastAsia" w:ascii="仿宋" w:hAnsi="仿宋" w:eastAsia="仿宋" w:cs="仿宋"/>
          <w:color w:val="auto"/>
          <w:sz w:val="24"/>
          <w:lang w:val="en-US" w:eastAsia="zh-CN"/>
        </w:rPr>
        <w:t>字并盖</w:t>
      </w:r>
      <w:r>
        <w:rPr>
          <w:rFonts w:hint="eastAsia" w:ascii="仿宋" w:hAnsi="仿宋" w:eastAsia="仿宋" w:cs="仿宋"/>
          <w:color w:val="auto"/>
          <w:sz w:val="24"/>
          <w:lang w:eastAsia="zh-CN"/>
        </w:rPr>
        <w:t>章</w:t>
      </w:r>
      <w:r>
        <w:rPr>
          <w:rFonts w:hint="eastAsia" w:ascii="仿宋" w:hAnsi="仿宋" w:eastAsia="仿宋" w:cs="仿宋"/>
          <w:color w:val="auto"/>
          <w:w w:val="95"/>
          <w:sz w:val="24"/>
          <w:szCs w:val="24"/>
        </w:rPr>
        <w:t>）</w:t>
      </w:r>
    </w:p>
    <w:p w14:paraId="6F06AF8A">
      <w:pPr>
        <w:pStyle w:val="8"/>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70DBE2D7">
      <w:pPr>
        <w:pStyle w:val="41"/>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rPr>
      </w:pPr>
    </w:p>
    <w:p w14:paraId="4EF9B89E">
      <w:pPr>
        <w:numPr>
          <w:ilvl w:val="0"/>
          <w:numId w:val="0"/>
        </w:numPr>
        <w:spacing w:line="360" w:lineRule="auto"/>
        <w:ind w:left="720" w:leftChars="0" w:firstLine="723" w:firstLineChars="200"/>
        <w:jc w:val="both"/>
        <w:rPr>
          <w:rFonts w:hint="eastAsia" w:ascii="仿宋" w:hAnsi="仿宋" w:eastAsia="仿宋" w:cs="仿宋"/>
          <w:b/>
          <w:color w:val="auto"/>
          <w:sz w:val="36"/>
          <w:szCs w:val="36"/>
          <w:lang w:val="en-US" w:eastAsia="zh-CN"/>
        </w:rPr>
      </w:pPr>
    </w:p>
    <w:p w14:paraId="40992959">
      <w:pPr>
        <w:numPr>
          <w:ilvl w:val="0"/>
          <w:numId w:val="0"/>
        </w:numPr>
        <w:spacing w:line="360" w:lineRule="auto"/>
        <w:ind w:left="720" w:leftChars="0" w:firstLine="723" w:firstLineChars="200"/>
        <w:jc w:val="both"/>
        <w:rPr>
          <w:rFonts w:hint="eastAsia" w:ascii="仿宋" w:hAnsi="仿宋" w:eastAsia="仿宋" w:cs="仿宋"/>
          <w:b/>
          <w:color w:val="auto"/>
          <w:sz w:val="36"/>
          <w:szCs w:val="36"/>
          <w:lang w:val="en-US" w:eastAsia="zh-CN"/>
        </w:rPr>
      </w:pPr>
    </w:p>
    <w:p w14:paraId="74896CC0">
      <w:pPr>
        <w:numPr>
          <w:ilvl w:val="0"/>
          <w:numId w:val="0"/>
        </w:numPr>
        <w:spacing w:line="360" w:lineRule="auto"/>
        <w:ind w:left="720" w:leftChars="0" w:firstLine="723" w:firstLineChars="200"/>
        <w:jc w:val="both"/>
        <w:rPr>
          <w:rFonts w:hint="eastAsia" w:ascii="仿宋" w:hAnsi="仿宋" w:eastAsia="仿宋" w:cs="仿宋"/>
          <w:b/>
          <w:color w:val="auto"/>
          <w:sz w:val="36"/>
          <w:szCs w:val="36"/>
          <w:lang w:val="en-US" w:eastAsia="zh-CN"/>
        </w:rPr>
      </w:pPr>
    </w:p>
    <w:p w14:paraId="628443D8">
      <w:pPr>
        <w:numPr>
          <w:ilvl w:val="0"/>
          <w:numId w:val="0"/>
        </w:numPr>
        <w:spacing w:line="360" w:lineRule="auto"/>
        <w:ind w:left="720" w:leftChars="0" w:firstLine="723" w:firstLineChars="200"/>
        <w:jc w:val="both"/>
        <w:rPr>
          <w:rFonts w:hint="eastAsia" w:ascii="仿宋" w:hAnsi="仿宋" w:eastAsia="仿宋" w:cs="仿宋"/>
          <w:b/>
          <w:color w:val="auto"/>
          <w:sz w:val="36"/>
          <w:szCs w:val="36"/>
          <w:lang w:val="en-US" w:eastAsia="zh-CN"/>
        </w:rPr>
      </w:pPr>
    </w:p>
    <w:p w14:paraId="70702384">
      <w:pPr>
        <w:numPr>
          <w:ilvl w:val="0"/>
          <w:numId w:val="0"/>
        </w:numPr>
        <w:spacing w:line="360" w:lineRule="auto"/>
        <w:jc w:val="both"/>
        <w:rPr>
          <w:rFonts w:hint="eastAsia" w:ascii="仿宋" w:hAnsi="仿宋" w:eastAsia="仿宋" w:cs="仿宋"/>
          <w:b/>
          <w:color w:val="auto"/>
          <w:sz w:val="36"/>
          <w:szCs w:val="36"/>
          <w:lang w:val="en-US" w:eastAsia="zh-CN"/>
        </w:rPr>
      </w:pPr>
    </w:p>
    <w:p w14:paraId="1DEEC037">
      <w:pPr>
        <w:keepNext/>
        <w:keepLines/>
        <w:pageBreakBefore/>
        <w:adjustRightInd w:val="0"/>
        <w:snapToGrid w:val="0"/>
        <w:spacing w:line="360" w:lineRule="auto"/>
        <w:jc w:val="center"/>
        <w:textAlignment w:val="baseline"/>
        <w:outlineLvl w:val="3"/>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政府采购优惠政策</w:t>
      </w:r>
      <w:r>
        <w:rPr>
          <w:rFonts w:hint="eastAsia" w:ascii="仿宋" w:hAnsi="仿宋" w:eastAsia="仿宋" w:cs="仿宋"/>
          <w:b/>
          <w:bCs/>
          <w:color w:val="auto"/>
          <w:sz w:val="36"/>
          <w:szCs w:val="36"/>
          <w:lang w:eastAsia="zh-CN"/>
        </w:rPr>
        <w:t>声明函</w:t>
      </w:r>
    </w:p>
    <w:p w14:paraId="72B085B8">
      <w:pPr>
        <w:snapToGrid w:val="0"/>
        <w:outlineLvl w:val="4"/>
        <w:rPr>
          <w:rFonts w:hint="eastAsia" w:ascii="仿宋" w:hAnsi="仿宋" w:eastAsia="仿宋" w:cs="仿宋"/>
          <w:b/>
          <w:bCs/>
          <w:color w:val="auto"/>
          <w:sz w:val="24"/>
          <w:szCs w:val="24"/>
        </w:rPr>
      </w:pPr>
      <w:r>
        <w:rPr>
          <w:rFonts w:hint="eastAsia" w:ascii="仿宋" w:hAnsi="仿宋" w:eastAsia="仿宋" w:cs="仿宋"/>
          <w:b/>
          <w:bCs/>
          <w:color w:val="auto"/>
          <w:sz w:val="24"/>
          <w:szCs w:val="24"/>
        </w:rPr>
        <w:t>填写</w:t>
      </w:r>
      <w:r>
        <w:rPr>
          <w:rFonts w:hint="eastAsia" w:ascii="仿宋" w:hAnsi="仿宋" w:eastAsia="仿宋" w:cs="仿宋"/>
          <w:b/>
          <w:bCs/>
          <w:color w:val="auto"/>
          <w:sz w:val="24"/>
          <w:szCs w:val="24"/>
          <w:lang w:val="en-US" w:eastAsia="zh-CN"/>
        </w:rPr>
        <w:t>提示</w:t>
      </w:r>
      <w:r>
        <w:rPr>
          <w:rFonts w:hint="eastAsia" w:ascii="仿宋" w:hAnsi="仿宋" w:eastAsia="仿宋" w:cs="仿宋"/>
          <w:b/>
          <w:bCs/>
          <w:color w:val="auto"/>
          <w:sz w:val="24"/>
          <w:szCs w:val="24"/>
        </w:rPr>
        <w:t>：</w:t>
      </w:r>
    </w:p>
    <w:p w14:paraId="414B70ED">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1、该部分内容由投标人根据自身实际情况</w:t>
      </w:r>
      <w:r>
        <w:rPr>
          <w:rFonts w:hint="eastAsia" w:ascii="仿宋" w:hAnsi="仿宋" w:eastAsia="仿宋" w:cs="仿宋"/>
          <w:color w:val="auto"/>
          <w:sz w:val="24"/>
          <w:szCs w:val="24"/>
          <w:lang w:val="en-US" w:eastAsia="zh-CN"/>
        </w:rPr>
        <w:t>选取并</w:t>
      </w:r>
      <w:r>
        <w:rPr>
          <w:rFonts w:hint="eastAsia" w:ascii="仿宋" w:hAnsi="仿宋" w:eastAsia="仿宋" w:cs="仿宋"/>
          <w:color w:val="auto"/>
          <w:sz w:val="24"/>
          <w:szCs w:val="24"/>
        </w:rPr>
        <w:t>填写。投标人提供的声明函不属实的，属于提供虚假资料谋取中标，</w:t>
      </w:r>
      <w:r>
        <w:rPr>
          <w:rFonts w:hint="eastAsia" w:ascii="仿宋" w:hAnsi="仿宋" w:eastAsia="仿宋" w:cs="仿宋"/>
          <w:color w:val="auto"/>
          <w:sz w:val="24"/>
          <w:szCs w:val="24"/>
          <w:lang w:val="en-US" w:eastAsia="zh-CN"/>
        </w:rPr>
        <w:t>将</w:t>
      </w:r>
      <w:r>
        <w:rPr>
          <w:rFonts w:hint="eastAsia" w:ascii="仿宋" w:hAnsi="仿宋" w:eastAsia="仿宋" w:cs="仿宋"/>
          <w:color w:val="auto"/>
          <w:sz w:val="24"/>
          <w:szCs w:val="24"/>
        </w:rPr>
        <w:t>依照《中华人民共和国政府采购法》等国家有关规定追究相应责任。</w:t>
      </w:r>
    </w:p>
    <w:p w14:paraId="2958A4FB">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2、该部分内容填写需要参考的相关文件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包括但不限于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61D2EFD5">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(1)《政府采购促进中小企业发展管理办法》（财库〔2020〕46号），链接：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"http://www.ccgp.gov.cn/news/202012/t20201229_15715888.htm"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www.ccgp.gov.cn/news/202012/t20201229_15715888.htm</w:t>
      </w:r>
      <w:r>
        <w:rPr>
          <w:rFonts w:hint="eastAsia" w:ascii="仿宋" w:hAnsi="仿宋" w:eastAsia="仿宋" w:cs="仿宋"/>
          <w:color w:val="auto"/>
          <w:sz w:val="24"/>
          <w:szCs w:val="24"/>
          <w:u w:val="single"/>
        </w:rPr>
        <w:fldChar w:fldCharType="end"/>
      </w:r>
    </w:p>
    <w:p w14:paraId="2923E221">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w:t>
      </w:r>
      <w:bookmarkStart w:id="98" w:name="_Hlk71925120"/>
      <w:r>
        <w:rPr>
          <w:rFonts w:hint="eastAsia" w:ascii="仿宋" w:hAnsi="仿宋" w:eastAsia="仿宋" w:cs="仿宋"/>
          <w:color w:val="auto"/>
          <w:sz w:val="24"/>
          <w:szCs w:val="24"/>
        </w:rPr>
        <w:t>《关于印发中小企业划型标准规定的通知》（工信部联企业〔2011〕300 号</w:t>
      </w:r>
      <w:bookmarkEnd w:id="98"/>
      <w:r>
        <w:rPr>
          <w:rFonts w:hint="eastAsia" w:ascii="仿宋" w:hAnsi="仿宋" w:eastAsia="仿宋" w:cs="仿宋"/>
          <w:color w:val="auto"/>
          <w:sz w:val="24"/>
          <w:szCs w:val="24"/>
        </w:rPr>
        <w:t>），链接：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"http://www.gov.cn/zwgk/2011-07/04/content_1898747.htm"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www.gov.cn/zwgk/2011-07/04/content_1898747.htm</w:t>
      </w:r>
      <w:r>
        <w:rPr>
          <w:rFonts w:hint="eastAsia" w:ascii="仿宋" w:hAnsi="仿宋" w:eastAsia="仿宋" w:cs="仿宋"/>
          <w:color w:val="auto"/>
          <w:sz w:val="24"/>
          <w:szCs w:val="24"/>
          <w:u w:val="single"/>
        </w:rPr>
        <w:fldChar w:fldCharType="end"/>
      </w:r>
    </w:p>
    <w:p w14:paraId="1D906E7C">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(3)《统计上大中小微型企业划分办法(2017)》（国统字〔2017〕213 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"http://www.stats.gov.cn/tjsj/tjbz/201801/t20180103_1569357.html"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www.stats.gov.cn/tjsj/tjbz/201801/t20180103_1569357.html</w:t>
      </w:r>
      <w:r>
        <w:rPr>
          <w:rFonts w:hint="eastAsia" w:ascii="仿宋" w:hAnsi="仿宋" w:eastAsia="仿宋" w:cs="仿宋"/>
          <w:color w:val="auto"/>
          <w:sz w:val="24"/>
          <w:szCs w:val="24"/>
          <w:u w:val="single"/>
        </w:rPr>
        <w:fldChar w:fldCharType="end"/>
      </w:r>
    </w:p>
    <w:p w14:paraId="51525203">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(4)《关于促进残疾人就业政府采购政策的通知》（财库〔2017〕141号），链接：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"http://www.ccgp.gov.cn/zcfg/mof/201709/t20170904_8787205.shtml"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www.ccgp.gov.cn/zcfg/mof/201709/t20170904_8787205.shtml</w:t>
      </w:r>
      <w:r>
        <w:rPr>
          <w:rFonts w:hint="eastAsia" w:ascii="仿宋" w:hAnsi="仿宋" w:eastAsia="仿宋" w:cs="仿宋"/>
          <w:color w:val="auto"/>
          <w:sz w:val="24"/>
          <w:szCs w:val="24"/>
          <w:u w:val="single"/>
        </w:rPr>
        <w:fldChar w:fldCharType="end"/>
      </w:r>
    </w:p>
    <w:p w14:paraId="74D65DA0">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(5)《关于政府采购支持监狱企业发展有关问题的通知》（财库〔2014〕68号），链接：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"http://www.ccgp.gov.cn/zcfg/mof/201406/t20140616_4619272.htm"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www.ccgp.gov.cn/zcfg/mof/201406/t20140616_4619272.htm</w:t>
      </w:r>
      <w:r>
        <w:rPr>
          <w:rFonts w:hint="eastAsia" w:ascii="仿宋" w:hAnsi="仿宋" w:eastAsia="仿宋" w:cs="仿宋"/>
          <w:color w:val="auto"/>
          <w:sz w:val="24"/>
          <w:szCs w:val="24"/>
          <w:u w:val="single"/>
        </w:rPr>
        <w:fldChar w:fldCharType="end"/>
      </w:r>
    </w:p>
    <w:p w14:paraId="5C0237AC">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3、请依照招标文件提供的格式和内容填写声明函，</w:t>
      </w:r>
      <w:r>
        <w:rPr>
          <w:rFonts w:hint="eastAsia" w:ascii="仿宋" w:hAnsi="仿宋" w:eastAsia="仿宋" w:cs="仿宋"/>
          <w:color w:val="auto"/>
          <w:sz w:val="24"/>
          <w:szCs w:val="24"/>
          <w:lang w:eastAsia="zh-CN"/>
        </w:rPr>
        <w:t>内容完整、</w:t>
      </w:r>
      <w:r>
        <w:rPr>
          <w:rFonts w:hint="eastAsia" w:ascii="仿宋" w:hAnsi="仿宋" w:eastAsia="仿宋" w:cs="仿宋"/>
          <w:color w:val="auto"/>
          <w:sz w:val="24"/>
          <w:szCs w:val="24"/>
        </w:rPr>
        <w:t>不</w:t>
      </w:r>
      <w:r>
        <w:rPr>
          <w:rFonts w:hint="eastAsia" w:ascii="仿宋" w:hAnsi="仿宋" w:eastAsia="仿宋" w:cs="仿宋"/>
          <w:color w:val="auto"/>
          <w:sz w:val="24"/>
          <w:szCs w:val="24"/>
          <w:lang w:val="en-US" w:eastAsia="zh-CN"/>
        </w:rPr>
        <w:t>得更改</w:t>
      </w:r>
      <w:r>
        <w:rPr>
          <w:rFonts w:hint="eastAsia" w:ascii="仿宋" w:hAnsi="仿宋" w:eastAsia="仿宋" w:cs="仿宋"/>
          <w:color w:val="auto"/>
          <w:sz w:val="24"/>
          <w:szCs w:val="24"/>
        </w:rPr>
        <w:t>格式；满足多项优惠政策的投标人，不重复享受多项价格扣除政策。</w:t>
      </w:r>
    </w:p>
    <w:p w14:paraId="564A6673">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4、声明函具体填写要求：</w:t>
      </w:r>
    </w:p>
    <w:p w14:paraId="4ED66C39">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（1）声明是</w:t>
      </w:r>
      <w:r>
        <w:rPr>
          <w:rFonts w:hint="eastAsia" w:ascii="仿宋" w:hAnsi="仿宋" w:eastAsia="仿宋" w:cs="仿宋"/>
          <w:color w:val="auto"/>
          <w:sz w:val="24"/>
          <w:szCs w:val="24"/>
          <w:lang w:val="en-US" w:eastAsia="zh-CN"/>
        </w:rPr>
        <w:t>符合条件的</w:t>
      </w:r>
      <w:r>
        <w:rPr>
          <w:rFonts w:hint="eastAsia" w:ascii="仿宋" w:hAnsi="仿宋" w:eastAsia="仿宋" w:cs="仿宋"/>
          <w:color w:val="auto"/>
          <w:sz w:val="24"/>
          <w:szCs w:val="24"/>
        </w:rPr>
        <w:t>中小企业须填写《中小企业声明函》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内容</w:t>
      </w:r>
      <w:r>
        <w:rPr>
          <w:rFonts w:hint="eastAsia" w:ascii="仿宋" w:hAnsi="仿宋" w:eastAsia="仿宋" w:cs="仿宋"/>
          <w:color w:val="auto"/>
          <w:sz w:val="24"/>
          <w:szCs w:val="24"/>
          <w:lang w:val="en-US" w:eastAsia="zh-CN"/>
        </w:rPr>
        <w:t>如下</w:t>
      </w:r>
      <w:r>
        <w:rPr>
          <w:rFonts w:hint="eastAsia" w:ascii="仿宋" w:hAnsi="仿宋" w:eastAsia="仿宋" w:cs="仿宋"/>
          <w:color w:val="auto"/>
          <w:sz w:val="24"/>
          <w:szCs w:val="24"/>
        </w:rPr>
        <w:t>：</w:t>
      </w:r>
    </w:p>
    <w:p w14:paraId="0D874A69">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第一处，在“单位名称”下划线处如实填写采购人名称；</w:t>
      </w:r>
    </w:p>
    <w:p w14:paraId="5E06B9B3">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第二处，在“项目名称”下划线处如实填写采购项目名称；</w:t>
      </w:r>
    </w:p>
    <w:p w14:paraId="232149F1">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第三处，在“标的名称”下划线处填写所采购标的（货物或服务）的具体名称；如果涉及多项标的（货物或服务）为同一企业制造或承接，“标的名称”下划线处可以如实填写多项标的名称；</w:t>
      </w:r>
    </w:p>
    <w:p w14:paraId="60591862">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第四处，在“招标文件中明确的所属行业”下划线处填写采购标的对应的中小企业划分标准所属行业；</w:t>
      </w:r>
    </w:p>
    <w:p w14:paraId="7A5CA08B">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2A251F79">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（2）声明是残疾人福利性单位须填写《残疾人福利性单位声明函》的相关内容，具体参照以上《中小企业声明函》填写要求执行。</w:t>
      </w:r>
    </w:p>
    <w:p w14:paraId="6616D6DF">
      <w:pPr>
        <w:snapToGrid w:val="0"/>
        <w:rPr>
          <w:rFonts w:ascii="仿宋" w:hAnsi="仿宋" w:eastAsia="仿宋"/>
          <w:color w:val="auto"/>
          <w:sz w:val="25"/>
          <w:szCs w:val="25"/>
        </w:rPr>
      </w:pPr>
      <w:r>
        <w:rPr>
          <w:rFonts w:hint="eastAsia" w:ascii="仿宋" w:hAnsi="仿宋" w:eastAsia="仿宋" w:cs="仿宋"/>
          <w:color w:val="auto"/>
          <w:sz w:val="24"/>
          <w:szCs w:val="24"/>
        </w:rPr>
        <w:t xml:space="preserve">    （3）声明是监狱企业须填写《监狱企业声明函》的</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内容（填写位置的字体已加粗），具体参照以上《中小企业声明函》填写要求执行。</w:t>
      </w:r>
    </w:p>
    <w:p w14:paraId="32166961">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14:paraId="2F1D0D16">
      <w:pPr>
        <w:numPr>
          <w:ilvl w:val="0"/>
          <w:numId w:val="0"/>
        </w:numPr>
        <w:spacing w:line="360" w:lineRule="auto"/>
        <w:ind w:left="720" w:leftChars="0" w:firstLine="1446" w:firstLineChars="400"/>
        <w:jc w:val="both"/>
        <w:rPr>
          <w:rFonts w:hint="eastAsia" w:ascii="仿宋" w:hAnsi="仿宋" w:eastAsia="仿宋" w:cs="仿宋"/>
          <w:b/>
          <w:color w:val="auto"/>
          <w:sz w:val="36"/>
          <w:szCs w:val="36"/>
          <w:lang w:val="en-US" w:eastAsia="zh-CN"/>
        </w:rPr>
      </w:pPr>
    </w:p>
    <w:p w14:paraId="60CE252B">
      <w:pPr>
        <w:numPr>
          <w:ilvl w:val="0"/>
          <w:numId w:val="0"/>
        </w:numPr>
        <w:spacing w:line="360" w:lineRule="auto"/>
        <w:ind w:left="720" w:leftChars="0" w:firstLine="1446" w:firstLineChars="400"/>
        <w:jc w:val="both"/>
        <w:rPr>
          <w:rFonts w:hint="eastAsia" w:ascii="仿宋" w:hAnsi="仿宋" w:eastAsia="仿宋" w:cs="仿宋"/>
          <w:b/>
          <w:color w:val="auto"/>
          <w:sz w:val="36"/>
          <w:szCs w:val="36"/>
          <w:lang w:val="en-US" w:eastAsia="zh-CN"/>
        </w:rPr>
      </w:pPr>
    </w:p>
    <w:p w14:paraId="1E4AADCE">
      <w:pPr>
        <w:numPr>
          <w:ilvl w:val="0"/>
          <w:numId w:val="0"/>
        </w:numPr>
        <w:spacing w:line="360" w:lineRule="auto"/>
        <w:ind w:left="720" w:leftChars="0" w:firstLine="1446" w:firstLineChars="400"/>
        <w:jc w:val="both"/>
        <w:rPr>
          <w:color w:val="auto"/>
          <w:lang w:eastAsia="zh-CN"/>
        </w:rPr>
      </w:pPr>
      <w:r>
        <w:rPr>
          <w:rFonts w:hint="eastAsia" w:ascii="仿宋" w:hAnsi="仿宋" w:eastAsia="仿宋" w:cs="仿宋"/>
          <w:b/>
          <w:color w:val="auto"/>
          <w:sz w:val="36"/>
          <w:szCs w:val="36"/>
          <w:lang w:val="en-US" w:eastAsia="zh-CN"/>
        </w:rPr>
        <w:t>9、</w:t>
      </w:r>
      <w:r>
        <w:rPr>
          <w:rFonts w:hint="eastAsia" w:ascii="仿宋" w:hAnsi="仿宋" w:eastAsia="仿宋" w:cs="仿宋"/>
          <w:b/>
          <w:color w:val="auto"/>
          <w:sz w:val="36"/>
          <w:szCs w:val="36"/>
          <w:lang w:eastAsia="zh-CN"/>
        </w:rPr>
        <w:t>中小企业声明函(</w:t>
      </w:r>
      <w:r>
        <w:rPr>
          <w:rFonts w:hint="eastAsia" w:ascii="仿宋" w:hAnsi="仿宋" w:eastAsia="仿宋" w:cs="仿宋"/>
          <w:b/>
          <w:color w:val="auto"/>
          <w:sz w:val="36"/>
          <w:szCs w:val="36"/>
          <w:lang w:val="en-US" w:eastAsia="zh-CN"/>
        </w:rPr>
        <w:t>货物</w:t>
      </w:r>
      <w:r>
        <w:rPr>
          <w:rFonts w:hint="eastAsia" w:ascii="仿宋" w:hAnsi="仿宋" w:eastAsia="仿宋" w:cs="仿宋"/>
          <w:b/>
          <w:color w:val="auto"/>
          <w:sz w:val="36"/>
          <w:szCs w:val="36"/>
          <w:lang w:eastAsia="zh-CN"/>
        </w:rPr>
        <w:t>)</w:t>
      </w:r>
    </w:p>
    <w:p w14:paraId="49EFD4A8">
      <w:pPr>
        <w:rPr>
          <w:rFonts w:hint="eastAsia" w:ascii="仿宋" w:hAnsi="仿宋" w:eastAsia="仿宋" w:cs="仿宋"/>
          <w:color w:val="auto"/>
          <w:sz w:val="32"/>
          <w:szCs w:val="32"/>
        </w:rPr>
      </w:pPr>
    </w:p>
    <w:p w14:paraId="6CB042E7">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20261121">
      <w:pPr>
        <w:numPr>
          <w:ilvl w:val="0"/>
          <w:numId w:val="9"/>
        </w:num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（标的名称）</w:t>
      </w:r>
      <w:r>
        <w:rPr>
          <w:rFonts w:hint="eastAsia" w:ascii="仿宋" w:hAnsi="仿宋" w:eastAsia="仿宋" w:cs="仿宋"/>
          <w:color w:val="auto"/>
          <w:kern w:val="0"/>
          <w:sz w:val="24"/>
          <w:szCs w:val="24"/>
        </w:rPr>
        <w:t>，属于</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；制造商为</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（企业名称）</w:t>
      </w:r>
      <w:r>
        <w:rPr>
          <w:rFonts w:hint="eastAsia" w:ascii="仿宋" w:hAnsi="仿宋" w:eastAsia="仿宋" w:cs="仿宋"/>
          <w:color w:val="auto"/>
          <w:kern w:val="0"/>
          <w:sz w:val="24"/>
          <w:szCs w:val="24"/>
        </w:rPr>
        <w:t>，从业人员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人，营业收入为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万元，资产总额为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万元，属于</w:t>
      </w:r>
      <w:r>
        <w:rPr>
          <w:rFonts w:hint="eastAsia" w:ascii="仿宋" w:hAnsi="仿宋" w:eastAsia="仿宋" w:cs="仿宋"/>
          <w:color w:val="auto"/>
          <w:kern w:val="0"/>
          <w:sz w:val="24"/>
          <w:szCs w:val="24"/>
          <w:u w:val="single"/>
        </w:rPr>
        <w:t>（中型企业、小型企业、微型企业</w:t>
      </w:r>
      <w:r>
        <w:rPr>
          <w:rFonts w:hint="eastAsia" w:ascii="仿宋" w:hAnsi="仿宋" w:eastAsia="仿宋" w:cs="仿宋"/>
          <w:color w:val="auto"/>
          <w:kern w:val="0"/>
          <w:sz w:val="24"/>
          <w:szCs w:val="24"/>
        </w:rPr>
        <w:t>）；</w:t>
      </w:r>
    </w:p>
    <w:p w14:paraId="2C26B43E">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2.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（标的名称）</w:t>
      </w:r>
      <w:r>
        <w:rPr>
          <w:rFonts w:hint="eastAsia" w:ascii="仿宋" w:hAnsi="仿宋" w:eastAsia="仿宋" w:cs="仿宋"/>
          <w:color w:val="auto"/>
          <w:kern w:val="0"/>
          <w:sz w:val="24"/>
          <w:szCs w:val="24"/>
        </w:rPr>
        <w:t>，属于</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；制造商为</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（企业名称）</w:t>
      </w:r>
      <w:r>
        <w:rPr>
          <w:rFonts w:hint="eastAsia" w:ascii="仿宋" w:hAnsi="仿宋" w:eastAsia="仿宋" w:cs="仿宋"/>
          <w:color w:val="auto"/>
          <w:kern w:val="0"/>
          <w:sz w:val="24"/>
          <w:szCs w:val="24"/>
        </w:rPr>
        <w:t>，从业人员</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none"/>
        </w:rPr>
        <w:t>人</w:t>
      </w:r>
      <w:r>
        <w:rPr>
          <w:rFonts w:hint="eastAsia" w:ascii="仿宋" w:hAnsi="仿宋" w:eastAsia="仿宋" w:cs="仿宋"/>
          <w:color w:val="auto"/>
          <w:kern w:val="0"/>
          <w:sz w:val="24"/>
          <w:szCs w:val="24"/>
        </w:rPr>
        <w:t>，营业收入为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none"/>
        </w:rPr>
        <w:t>万元</w:t>
      </w:r>
      <w:r>
        <w:rPr>
          <w:rFonts w:hint="eastAsia" w:ascii="仿宋" w:hAnsi="仿宋" w:eastAsia="仿宋" w:cs="仿宋"/>
          <w:color w:val="auto"/>
          <w:kern w:val="0"/>
          <w:sz w:val="24"/>
          <w:szCs w:val="24"/>
        </w:rPr>
        <w:t>，资产总额为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none"/>
        </w:rPr>
        <w:t>万元</w:t>
      </w:r>
      <w:r>
        <w:rPr>
          <w:rFonts w:hint="eastAsia" w:ascii="仿宋" w:hAnsi="仿宋" w:eastAsia="仿宋" w:cs="仿宋"/>
          <w:color w:val="auto"/>
          <w:kern w:val="0"/>
          <w:sz w:val="24"/>
          <w:szCs w:val="24"/>
        </w:rPr>
        <w:t>，属于</w:t>
      </w:r>
      <w:r>
        <w:rPr>
          <w:rFonts w:hint="eastAsia" w:ascii="仿宋" w:hAnsi="仿宋" w:eastAsia="仿宋" w:cs="仿宋"/>
          <w:color w:val="auto"/>
          <w:kern w:val="0"/>
          <w:sz w:val="24"/>
          <w:szCs w:val="24"/>
          <w:u w:val="single"/>
        </w:rPr>
        <w:t>（中型企业、小型企业、微型企业）</w:t>
      </w:r>
      <w:r>
        <w:rPr>
          <w:rFonts w:hint="eastAsia" w:ascii="仿宋" w:hAnsi="仿宋" w:eastAsia="仿宋" w:cs="仿宋"/>
          <w:color w:val="auto"/>
          <w:kern w:val="0"/>
          <w:sz w:val="24"/>
          <w:szCs w:val="24"/>
        </w:rPr>
        <w:t>；</w:t>
      </w:r>
    </w:p>
    <w:p w14:paraId="7908415C">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1784BF96">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以上企业，不属于大企业的分支机构，不存在控股股东为大企业的情形，也不存在与大企业的负责人为同一人的情形。</w:t>
      </w:r>
    </w:p>
    <w:p w14:paraId="2D89DAD0">
      <w:pPr>
        <w:shd w:val="clear" w:color="auto" w:fill="auto"/>
        <w:spacing w:line="360" w:lineRule="auto"/>
        <w:ind w:firstLine="480" w:firstLineChars="200"/>
        <w:rPr>
          <w:rFonts w:hint="eastAsia" w:ascii="仿宋" w:hAnsi="仿宋" w:eastAsia="仿宋" w:cs="仿宋"/>
          <w:color w:val="auto"/>
          <w:kern w:val="0"/>
          <w:sz w:val="24"/>
          <w:szCs w:val="24"/>
        </w:rPr>
      </w:pPr>
    </w:p>
    <w:p w14:paraId="1BE0B588">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本企业对上述声明内容的真实性负责。如有虚假，将依法承担相应责任。</w:t>
      </w:r>
    </w:p>
    <w:p w14:paraId="5AA97B97">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14:paraId="56558593">
      <w:pPr>
        <w:shd w:val="clear" w:color="auto" w:fill="auto"/>
        <w:spacing w:line="360" w:lineRule="auto"/>
        <w:ind w:firstLine="480" w:firstLineChars="200"/>
        <w:rPr>
          <w:rFonts w:hint="eastAsia" w:ascii="仿宋" w:hAnsi="仿宋" w:eastAsia="仿宋" w:cs="仿宋"/>
          <w:color w:val="auto"/>
          <w:kern w:val="0"/>
          <w:sz w:val="24"/>
          <w:szCs w:val="24"/>
        </w:rPr>
      </w:pPr>
    </w:p>
    <w:p w14:paraId="2AFA7433">
      <w:pPr>
        <w:shd w:val="clear" w:color="auto" w:fill="auto"/>
        <w:spacing w:line="360" w:lineRule="auto"/>
        <w:ind w:firstLine="4560" w:firstLineChars="19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企业名称（盖章）：</w:t>
      </w:r>
    </w:p>
    <w:p w14:paraId="76ABB665">
      <w:pPr>
        <w:shd w:val="clear" w:color="auto" w:fill="auto"/>
        <w:spacing w:line="360" w:lineRule="auto"/>
        <w:ind w:firstLine="480" w:firstLineChars="200"/>
        <w:rPr>
          <w:color w:val="auto"/>
          <w:lang w:eastAsia="zh-CN"/>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日期：</w:t>
      </w:r>
    </w:p>
    <w:p w14:paraId="38B6CEF0">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44733BB9">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3E09AF9E">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6D1D51DD">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5C1166E0">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7B89E177">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149F9349">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777CF516">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1AE925B4">
      <w:pPr>
        <w:shd w:val="clear" w:color="auto" w:fill="auto"/>
        <w:spacing w:line="400" w:lineRule="exact"/>
        <w:rPr>
          <w:rFonts w:hint="eastAsia" w:ascii="仿宋" w:hAnsi="仿宋" w:eastAsia="仿宋" w:cs="仿宋"/>
          <w:b/>
          <w:bCs w:val="0"/>
          <w:color w:val="auto"/>
          <w:sz w:val="36"/>
          <w:szCs w:val="36"/>
          <w:lang w:val="en-US" w:eastAsia="zh-CN" w:bidi="en-US"/>
        </w:rPr>
      </w:pPr>
      <w:r>
        <w:rPr>
          <w:rFonts w:hint="eastAsia" w:ascii="仿宋" w:hAnsi="仿宋" w:eastAsia="仿宋" w:cs="仿宋"/>
          <w:b/>
          <w:bCs w:val="0"/>
          <w:color w:val="auto"/>
          <w:sz w:val="36"/>
          <w:szCs w:val="36"/>
          <w:lang w:val="en-US" w:eastAsia="zh-CN" w:bidi="en-US"/>
        </w:rPr>
        <w:t>10、投标人关联单位的说明（格式自拟）</w:t>
      </w:r>
    </w:p>
    <w:p w14:paraId="5F90CBCF">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23855467">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39CD2DB0">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7B0E8389">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1BE21953">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40084E72">
      <w:pPr>
        <w:tabs>
          <w:tab w:val="left" w:pos="3600"/>
        </w:tabs>
        <w:adjustRightInd w:val="0"/>
        <w:snapToGrid w:val="0"/>
        <w:spacing w:line="440" w:lineRule="exact"/>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val="en-US" w:eastAsia="zh-CN"/>
        </w:rPr>
        <w:t>11</w:t>
      </w:r>
      <w:r>
        <w:rPr>
          <w:rFonts w:hint="eastAsia" w:ascii="仿宋" w:hAnsi="仿宋" w:eastAsia="仿宋" w:cs="仿宋"/>
          <w:b/>
          <w:bCs/>
          <w:color w:val="auto"/>
          <w:sz w:val="36"/>
          <w:szCs w:val="36"/>
          <w:lang w:eastAsia="zh-CN"/>
        </w:rPr>
        <w:t>、评分标准和细则中技术部分证明材料（格式自拟</w:t>
      </w:r>
      <w:r>
        <w:rPr>
          <w:rFonts w:hint="eastAsia" w:ascii="仿宋" w:hAnsi="仿宋" w:eastAsia="仿宋" w:cs="仿宋"/>
          <w:color w:val="auto"/>
          <w:sz w:val="36"/>
          <w:szCs w:val="36"/>
          <w:lang w:eastAsia="zh-CN"/>
        </w:rPr>
        <w:t>）</w:t>
      </w:r>
    </w:p>
    <w:p w14:paraId="7727C7A0">
      <w:pPr>
        <w:pStyle w:val="3"/>
        <w:numPr>
          <w:ilvl w:val="1"/>
          <w:numId w:val="0"/>
        </w:numPr>
        <w:spacing w:line="240" w:lineRule="atLeast"/>
        <w:ind w:left="617" w:leftChars="257"/>
        <w:rPr>
          <w:rFonts w:ascii="仿宋" w:hAnsi="仿宋" w:eastAsia="仿宋" w:cs="仿宋"/>
          <w:color w:val="auto"/>
          <w:sz w:val="24"/>
          <w:lang w:eastAsia="zh-CN"/>
        </w:rPr>
      </w:pPr>
    </w:p>
    <w:p w14:paraId="1D593FE5">
      <w:pPr>
        <w:spacing w:line="440" w:lineRule="exact"/>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评分标准和细则中技术部分</w:t>
      </w:r>
      <w:r>
        <w:rPr>
          <w:rFonts w:hint="eastAsia" w:ascii="仿宋" w:hAnsi="仿宋" w:eastAsia="仿宋" w:cs="仿宋"/>
          <w:color w:val="auto"/>
          <w:lang w:eastAsia="zh-CN"/>
        </w:rPr>
        <w:t>要求的其他资格证明文件（主要包括：技术指标参数响应情况</w:t>
      </w:r>
      <w:r>
        <w:rPr>
          <w:rFonts w:hint="eastAsia" w:ascii="仿宋" w:hAnsi="仿宋" w:eastAsia="仿宋" w:cs="仿宋"/>
          <w:color w:val="auto"/>
          <w:szCs w:val="21"/>
          <w:lang w:eastAsia="zh-CN" w:bidi="ar-SA"/>
        </w:rPr>
        <w:t>等</w:t>
      </w:r>
      <w:r>
        <w:rPr>
          <w:rFonts w:hint="eastAsia" w:ascii="仿宋" w:hAnsi="仿宋" w:eastAsia="仿宋" w:cs="仿宋"/>
          <w:color w:val="auto"/>
          <w:lang w:eastAsia="zh-CN"/>
        </w:rPr>
        <w:t>）。</w:t>
      </w:r>
    </w:p>
    <w:p w14:paraId="593F4C5F">
      <w:pPr>
        <w:pStyle w:val="11"/>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1C160F73">
      <w:pPr>
        <w:pStyle w:val="4"/>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4C5EC3CD">
      <w:pPr>
        <w:rPr>
          <w:rFonts w:ascii="仿宋" w:hAnsi="仿宋" w:eastAsia="仿宋" w:cs="仿宋"/>
          <w:color w:val="auto"/>
          <w:lang w:eastAsia="zh-CN"/>
        </w:rPr>
      </w:pPr>
    </w:p>
    <w:p w14:paraId="0F14FA39">
      <w:pPr>
        <w:pStyle w:val="3"/>
        <w:numPr>
          <w:ilvl w:val="1"/>
          <w:numId w:val="0"/>
        </w:numPr>
        <w:spacing w:line="240" w:lineRule="atLeast"/>
        <w:ind w:left="617" w:leftChars="257"/>
        <w:rPr>
          <w:rFonts w:ascii="仿宋" w:hAnsi="仿宋" w:eastAsia="仿宋" w:cs="仿宋"/>
          <w:color w:val="auto"/>
          <w:sz w:val="24"/>
          <w:lang w:eastAsia="zh-CN"/>
        </w:rPr>
      </w:pPr>
    </w:p>
    <w:p w14:paraId="612E921B">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29C118BA">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07A31096">
      <w:pPr>
        <w:tabs>
          <w:tab w:val="left" w:pos="3600"/>
        </w:tabs>
        <w:adjustRightInd w:val="0"/>
        <w:snapToGrid w:val="0"/>
        <w:spacing w:line="440" w:lineRule="exact"/>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12</w:t>
      </w:r>
      <w:r>
        <w:rPr>
          <w:rFonts w:hint="eastAsia" w:ascii="仿宋" w:hAnsi="仿宋" w:eastAsia="仿宋" w:cs="仿宋"/>
          <w:b/>
          <w:bCs/>
          <w:color w:val="auto"/>
          <w:sz w:val="36"/>
          <w:szCs w:val="36"/>
          <w:lang w:eastAsia="zh-CN"/>
        </w:rPr>
        <w:t>、评分标准和细则中商务部分证明材料（格式自拟）</w:t>
      </w:r>
    </w:p>
    <w:p w14:paraId="386DB7A4">
      <w:pPr>
        <w:pStyle w:val="11"/>
        <w:tabs>
          <w:tab w:val="left" w:pos="5580"/>
        </w:tabs>
        <w:spacing w:line="240" w:lineRule="atLeast"/>
        <w:rPr>
          <w:rFonts w:ascii="仿宋" w:hAnsi="仿宋" w:eastAsia="仿宋" w:cs="仿宋"/>
          <w:color w:val="auto"/>
          <w:lang w:eastAsia="zh-CN"/>
        </w:rPr>
      </w:pPr>
    </w:p>
    <w:p w14:paraId="718391E5">
      <w:pPr>
        <w:spacing w:line="440" w:lineRule="exact"/>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评分标准和细则中商务部分</w:t>
      </w:r>
      <w:r>
        <w:rPr>
          <w:rFonts w:hint="eastAsia" w:ascii="仿宋" w:hAnsi="仿宋" w:eastAsia="仿宋" w:cs="仿宋"/>
          <w:color w:val="auto"/>
          <w:lang w:eastAsia="zh-CN"/>
        </w:rPr>
        <w:t>要求的其他资格证明文件。</w:t>
      </w:r>
    </w:p>
    <w:p w14:paraId="5FF225B8">
      <w:pPr>
        <w:pStyle w:val="11"/>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505A6E9C">
      <w:pPr>
        <w:pStyle w:val="3"/>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14:paraId="1680F06B">
      <w:pPr>
        <w:pStyle w:val="3"/>
        <w:numPr>
          <w:ilvl w:val="1"/>
          <w:numId w:val="0"/>
        </w:numPr>
        <w:spacing w:line="240" w:lineRule="atLeast"/>
        <w:jc w:val="left"/>
        <w:rPr>
          <w:rFonts w:ascii="仿宋" w:hAnsi="仿宋" w:eastAsia="仿宋" w:cs="仿宋"/>
          <w:bCs/>
          <w:color w:val="auto"/>
          <w:sz w:val="24"/>
          <w:lang w:eastAsia="zh-CN"/>
        </w:rPr>
      </w:pPr>
    </w:p>
    <w:p w14:paraId="6AE35943">
      <w:pPr>
        <w:pStyle w:val="3"/>
        <w:numPr>
          <w:ilvl w:val="1"/>
          <w:numId w:val="0"/>
        </w:numPr>
        <w:spacing w:line="240" w:lineRule="atLeast"/>
        <w:jc w:val="left"/>
        <w:rPr>
          <w:rFonts w:ascii="仿宋" w:hAnsi="仿宋" w:eastAsia="仿宋" w:cs="仿宋"/>
          <w:bCs/>
          <w:color w:val="auto"/>
          <w:sz w:val="24"/>
          <w:lang w:eastAsia="zh-CN"/>
        </w:rPr>
      </w:pPr>
    </w:p>
    <w:p w14:paraId="6F334B43">
      <w:pPr>
        <w:rPr>
          <w:rFonts w:ascii="仿宋" w:hAnsi="仿宋" w:eastAsia="仿宋" w:cs="仿宋"/>
          <w:color w:val="auto"/>
          <w:lang w:eastAsia="zh-CN"/>
        </w:rPr>
      </w:pPr>
    </w:p>
    <w:p w14:paraId="7D313B21">
      <w:pPr>
        <w:pStyle w:val="3"/>
        <w:numPr>
          <w:ilvl w:val="1"/>
          <w:numId w:val="0"/>
        </w:numPr>
        <w:spacing w:line="240" w:lineRule="atLeast"/>
        <w:jc w:val="left"/>
        <w:rPr>
          <w:rFonts w:ascii="仿宋" w:hAnsi="仿宋" w:eastAsia="仿宋" w:cs="仿宋"/>
          <w:bCs/>
          <w:color w:val="auto"/>
          <w:sz w:val="24"/>
          <w:lang w:eastAsia="zh-CN"/>
        </w:rPr>
      </w:pPr>
    </w:p>
    <w:p w14:paraId="06E149C7">
      <w:pPr>
        <w:pStyle w:val="3"/>
        <w:numPr>
          <w:ilvl w:val="1"/>
          <w:numId w:val="0"/>
        </w:numPr>
        <w:spacing w:line="240" w:lineRule="atLeast"/>
        <w:jc w:val="left"/>
        <w:rPr>
          <w:rFonts w:ascii="仿宋" w:hAnsi="仿宋" w:eastAsia="仿宋" w:cs="仿宋"/>
          <w:bCs/>
          <w:color w:val="auto"/>
          <w:sz w:val="24"/>
          <w:lang w:eastAsia="zh-CN"/>
        </w:rPr>
      </w:pPr>
    </w:p>
    <w:p w14:paraId="453D3C61">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38B08E9B">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68E2EB15">
      <w:pPr>
        <w:tabs>
          <w:tab w:val="left" w:pos="3600"/>
        </w:tabs>
        <w:adjustRightInd w:val="0"/>
        <w:snapToGrid w:val="0"/>
        <w:spacing w:line="440" w:lineRule="exact"/>
        <w:jc w:val="center"/>
        <w:rPr>
          <w:rFonts w:hint="eastAsia" w:ascii="仿宋" w:hAnsi="仿宋" w:eastAsia="仿宋" w:cs="仿宋"/>
          <w:b/>
          <w:bCs/>
          <w:color w:val="auto"/>
          <w:sz w:val="36"/>
          <w:szCs w:val="36"/>
          <w:lang w:val="en-US" w:eastAsia="zh-CN"/>
        </w:rPr>
      </w:pPr>
    </w:p>
    <w:p w14:paraId="529C71C5">
      <w:pPr>
        <w:tabs>
          <w:tab w:val="left" w:pos="3600"/>
        </w:tabs>
        <w:adjustRightInd w:val="0"/>
        <w:snapToGrid w:val="0"/>
        <w:spacing w:line="440" w:lineRule="exact"/>
        <w:jc w:val="center"/>
        <w:rPr>
          <w:rFonts w:ascii="仿宋" w:hAnsi="仿宋" w:eastAsia="仿宋" w:cs="仿宋"/>
          <w:b/>
          <w:bCs/>
          <w:color w:val="auto"/>
          <w:w w:val="90"/>
          <w:sz w:val="36"/>
          <w:szCs w:val="36"/>
          <w:lang w:eastAsia="zh-CN"/>
        </w:rPr>
      </w:pPr>
      <w:r>
        <w:rPr>
          <w:rFonts w:hint="eastAsia" w:ascii="仿宋" w:hAnsi="仿宋" w:eastAsia="仿宋" w:cs="仿宋"/>
          <w:b/>
          <w:bCs/>
          <w:color w:val="auto"/>
          <w:sz w:val="36"/>
          <w:szCs w:val="36"/>
          <w:lang w:val="en-US" w:eastAsia="zh-CN"/>
        </w:rPr>
        <w:t>13</w:t>
      </w:r>
      <w:r>
        <w:rPr>
          <w:rFonts w:hint="eastAsia" w:ascii="仿宋" w:hAnsi="仿宋" w:eastAsia="仿宋" w:cs="仿宋"/>
          <w:b/>
          <w:bCs/>
          <w:color w:val="auto"/>
          <w:sz w:val="36"/>
          <w:szCs w:val="36"/>
          <w:lang w:eastAsia="zh-CN"/>
        </w:rPr>
        <w:t>、</w:t>
      </w:r>
      <w:r>
        <w:rPr>
          <w:rFonts w:hint="eastAsia" w:ascii="仿宋" w:hAnsi="仿宋" w:eastAsia="仿宋" w:cs="仿宋"/>
          <w:b/>
          <w:bCs/>
          <w:color w:val="auto"/>
          <w:w w:val="90"/>
          <w:sz w:val="36"/>
          <w:szCs w:val="36"/>
          <w:lang w:eastAsia="zh-CN"/>
        </w:rPr>
        <w:t>供应商认为有必要提供的其他证明材料（格式自拟）</w:t>
      </w:r>
    </w:p>
    <w:p w14:paraId="4BF79716">
      <w:pPr>
        <w:pStyle w:val="11"/>
        <w:tabs>
          <w:tab w:val="left" w:pos="5580"/>
        </w:tabs>
        <w:spacing w:line="240" w:lineRule="atLeast"/>
        <w:ind w:firstLine="480" w:firstLineChars="200"/>
        <w:rPr>
          <w:rFonts w:ascii="仿宋" w:hAnsi="仿宋" w:eastAsia="仿宋" w:cs="仿宋"/>
          <w:color w:val="auto"/>
          <w:lang w:eastAsia="zh-CN"/>
        </w:rPr>
      </w:pPr>
    </w:p>
    <w:p w14:paraId="203F8BF4">
      <w:pPr>
        <w:pStyle w:val="11"/>
        <w:tabs>
          <w:tab w:val="left" w:pos="5580"/>
        </w:tabs>
        <w:spacing w:line="240" w:lineRule="atLeas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说明：复印件上应加盖本单位章（自然人投标的无需盖章，需要签字）。</w:t>
      </w:r>
    </w:p>
    <w:p w14:paraId="5D904735">
      <w:pPr>
        <w:pStyle w:val="12"/>
        <w:rPr>
          <w:rFonts w:hint="eastAsia" w:ascii="仿宋" w:hAnsi="仿宋" w:eastAsia="仿宋" w:cs="仿宋"/>
          <w:color w:val="auto"/>
          <w:lang w:eastAsia="zh-CN"/>
        </w:rPr>
      </w:pPr>
    </w:p>
    <w:p w14:paraId="2CEB1BD7">
      <w:pPr>
        <w:rPr>
          <w:color w:val="auto"/>
          <w:lang w:eastAsia="zh-CN"/>
        </w:rPr>
      </w:pPr>
    </w:p>
    <w:tbl>
      <w:tblPr>
        <w:tblStyle w:val="25"/>
        <w:tblW w:w="10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14:paraId="7A0A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noWrap w:val="0"/>
            <w:vAlign w:val="center"/>
          </w:tcPr>
          <w:p w14:paraId="5A2C0B48">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noWrap w:val="0"/>
            <w:vAlign w:val="center"/>
          </w:tcPr>
          <w:p w14:paraId="60F22C30">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中小微型企业（</w:t>
            </w:r>
            <w:r>
              <w:rPr>
                <w:rFonts w:hint="eastAsia" w:ascii="仿宋" w:hAnsi="仿宋" w:eastAsia="仿宋" w:cs="仿宋"/>
                <w:b/>
                <w:i w:val="0"/>
                <w:color w:val="auto"/>
                <w:kern w:val="0"/>
                <w:sz w:val="11"/>
                <w:szCs w:val="11"/>
                <w:u w:val="none"/>
                <w:lang w:val="en-US" w:eastAsia="zh-CN" w:bidi="ar"/>
              </w:rPr>
              <w:t>或</w:t>
            </w:r>
            <w:r>
              <w:rPr>
                <w:rStyle w:val="64"/>
                <w:color w:val="auto"/>
                <w:sz w:val="11"/>
                <w:szCs w:val="11"/>
                <w:lang w:val="en-US"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noWrap w:val="0"/>
            <w:vAlign w:val="center"/>
          </w:tcPr>
          <w:p w14:paraId="0592404F">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中型企业（</w:t>
            </w:r>
            <w:r>
              <w:rPr>
                <w:rFonts w:hint="eastAsia" w:ascii="仿宋" w:hAnsi="仿宋" w:eastAsia="仿宋" w:cs="仿宋"/>
                <w:b/>
                <w:i w:val="0"/>
                <w:color w:val="auto"/>
                <w:kern w:val="0"/>
                <w:sz w:val="11"/>
                <w:szCs w:val="11"/>
                <w:u w:val="none"/>
                <w:lang w:val="en-US" w:eastAsia="zh-CN" w:bidi="ar"/>
              </w:rPr>
              <w:t>且</w:t>
            </w:r>
            <w:r>
              <w:rPr>
                <w:rStyle w:val="64"/>
                <w:color w:val="auto"/>
                <w:sz w:val="11"/>
                <w:szCs w:val="11"/>
                <w:lang w:val="en-US"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noWrap w:val="0"/>
            <w:vAlign w:val="center"/>
          </w:tcPr>
          <w:p w14:paraId="0AB8A3CC">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小型企业（</w:t>
            </w:r>
            <w:r>
              <w:rPr>
                <w:rFonts w:hint="eastAsia" w:ascii="仿宋" w:hAnsi="仿宋" w:eastAsia="仿宋" w:cs="仿宋"/>
                <w:b/>
                <w:i w:val="0"/>
                <w:color w:val="auto"/>
                <w:kern w:val="0"/>
                <w:sz w:val="11"/>
                <w:szCs w:val="11"/>
                <w:u w:val="none"/>
                <w:lang w:val="en-US" w:eastAsia="zh-CN" w:bidi="ar"/>
              </w:rPr>
              <w:t>且</w:t>
            </w:r>
            <w:r>
              <w:rPr>
                <w:rStyle w:val="64"/>
                <w:color w:val="auto"/>
                <w:sz w:val="11"/>
                <w:szCs w:val="11"/>
                <w:lang w:val="en-US"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noWrap w:val="0"/>
            <w:vAlign w:val="center"/>
          </w:tcPr>
          <w:p w14:paraId="4E768AB0">
            <w:pPr>
              <w:keepNext w:val="0"/>
              <w:keepLines w:val="0"/>
              <w:widowControl/>
              <w:suppressLineNumbers w:val="0"/>
              <w:ind w:right="-113" w:rightChars="-47"/>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微型企业（</w:t>
            </w:r>
            <w:r>
              <w:rPr>
                <w:rFonts w:hint="eastAsia" w:ascii="仿宋" w:hAnsi="仿宋" w:eastAsia="仿宋" w:cs="仿宋"/>
                <w:b/>
                <w:i w:val="0"/>
                <w:color w:val="auto"/>
                <w:kern w:val="0"/>
                <w:sz w:val="11"/>
                <w:szCs w:val="11"/>
                <w:u w:val="none"/>
                <w:lang w:val="en-US" w:eastAsia="zh-CN" w:bidi="ar"/>
              </w:rPr>
              <w:t>或</w:t>
            </w:r>
            <w:r>
              <w:rPr>
                <w:rStyle w:val="64"/>
                <w:color w:val="auto"/>
                <w:sz w:val="11"/>
                <w:szCs w:val="11"/>
                <w:lang w:val="en-US" w:eastAsia="zh-CN" w:bidi="ar"/>
              </w:rPr>
              <w:t>）</w:t>
            </w:r>
          </w:p>
        </w:tc>
      </w:tr>
      <w:tr w14:paraId="56626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248BDDB6">
            <w:pPr>
              <w:jc w:val="center"/>
              <w:rPr>
                <w:rFonts w:hint="eastAsia" w:ascii="仿宋" w:hAnsi="仿宋" w:eastAsia="仿宋" w:cs="仿宋"/>
                <w:i w:val="0"/>
                <w:color w:val="auto"/>
                <w:sz w:val="11"/>
                <w:szCs w:val="1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96F9FE0">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343740D">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BD6D33D">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BE9FB14">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F1EECB7">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28DD2EB">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8FCB6D">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56625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1021B70">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BF7E47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77C3452">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62F68B8">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r>
      <w:tr w14:paraId="130E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A55242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D27BC70">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57F071CD">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2AF710F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0222E2">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0F09B0B">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2F141C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11DD6D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2C4D736">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83981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DE26DA1">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3A4CDD7">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C570D6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6AEC0799">
            <w:pPr>
              <w:rPr>
                <w:rFonts w:hint="eastAsia" w:ascii="仿宋" w:hAnsi="仿宋" w:eastAsia="仿宋" w:cs="仿宋"/>
                <w:i w:val="0"/>
                <w:color w:val="auto"/>
                <w:sz w:val="11"/>
                <w:szCs w:val="11"/>
                <w:u w:val="none"/>
              </w:rPr>
            </w:pPr>
          </w:p>
        </w:tc>
      </w:tr>
      <w:tr w14:paraId="3F70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4752A38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8764F3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5EDBF686">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3D7B168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4B0ED89">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54A09B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6CB781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3DCFB31">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B48C4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3045B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DB08C77">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E8B07E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94FB5E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42B4A3BB">
            <w:pPr>
              <w:rPr>
                <w:rFonts w:hint="eastAsia" w:ascii="仿宋" w:hAnsi="仿宋" w:eastAsia="仿宋" w:cs="仿宋"/>
                <w:i w:val="0"/>
                <w:color w:val="auto"/>
                <w:sz w:val="11"/>
                <w:szCs w:val="11"/>
                <w:u w:val="none"/>
              </w:rPr>
            </w:pPr>
          </w:p>
        </w:tc>
      </w:tr>
      <w:tr w14:paraId="3B839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8C61D0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建筑业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74737EF">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1D772180">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80000万元</w:t>
            </w:r>
          </w:p>
          <w:p w14:paraId="0732BE7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94263C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F870FDA">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B61C83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CC82DB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FABA0A">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E26E5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88007D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952F366">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4EB0F0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439C40D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r>
      <w:tr w14:paraId="16F8A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8C16B9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批发业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4A4BCF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8934EDB">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11064B1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BC386B">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96CEB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49E7B8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48CB65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7AE57E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20A8D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3BF2FD6">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C37178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4DF1EA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4A29F9B">
            <w:pPr>
              <w:rPr>
                <w:rFonts w:hint="eastAsia" w:ascii="仿宋" w:hAnsi="仿宋" w:eastAsia="仿宋" w:cs="仿宋"/>
                <w:i w:val="0"/>
                <w:color w:val="auto"/>
                <w:sz w:val="11"/>
                <w:szCs w:val="11"/>
                <w:u w:val="none"/>
              </w:rPr>
            </w:pPr>
          </w:p>
        </w:tc>
      </w:tr>
      <w:tr w14:paraId="7C6AD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4B4033F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零售业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BE2F45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AF4E1E0">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004C640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1041C9">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6F9B1F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2C0F36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76EB8DB">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F0B896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060C7F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0CB4C7F">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0A9EBF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379F42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8A777F5">
            <w:pPr>
              <w:rPr>
                <w:rFonts w:hint="eastAsia" w:ascii="仿宋" w:hAnsi="仿宋" w:eastAsia="仿宋" w:cs="仿宋"/>
                <w:i w:val="0"/>
                <w:color w:val="auto"/>
                <w:sz w:val="11"/>
                <w:szCs w:val="11"/>
                <w:u w:val="none"/>
              </w:rPr>
            </w:pPr>
          </w:p>
        </w:tc>
      </w:tr>
      <w:tr w14:paraId="0207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B51A75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9F2655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54E432B1">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30000万元</w:t>
            </w:r>
          </w:p>
          <w:p w14:paraId="737D023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C75E37A">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891618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59314B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C80B6F3">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7A2BAD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3277DF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64073D1">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0F52FC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6CE072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3B8F718">
            <w:pPr>
              <w:rPr>
                <w:rFonts w:hint="eastAsia" w:ascii="仿宋" w:hAnsi="仿宋" w:eastAsia="仿宋" w:cs="仿宋"/>
                <w:i w:val="0"/>
                <w:color w:val="auto"/>
                <w:sz w:val="11"/>
                <w:szCs w:val="11"/>
                <w:u w:val="none"/>
              </w:rPr>
            </w:pPr>
          </w:p>
        </w:tc>
      </w:tr>
      <w:tr w14:paraId="40CC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EE1AA3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仓储业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127522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5025BE5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36E6EAF">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36C709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913F73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BFCF158">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F04284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7351A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739C957">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74455D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3053F0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767B0A7">
            <w:pPr>
              <w:rPr>
                <w:rFonts w:hint="eastAsia" w:ascii="仿宋" w:hAnsi="仿宋" w:eastAsia="仿宋" w:cs="仿宋"/>
                <w:i w:val="0"/>
                <w:color w:val="auto"/>
                <w:sz w:val="11"/>
                <w:szCs w:val="11"/>
                <w:u w:val="none"/>
              </w:rPr>
            </w:pPr>
          </w:p>
        </w:tc>
      </w:tr>
      <w:tr w14:paraId="2132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842A9E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邮政业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E5830F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3C7293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7A27658">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C1A14C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F91958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A46F211">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94386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C0D9F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7118504">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CB9316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2566F9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ACCCAB7">
            <w:pPr>
              <w:rPr>
                <w:rFonts w:hint="eastAsia" w:ascii="仿宋" w:hAnsi="仿宋" w:eastAsia="仿宋" w:cs="仿宋"/>
                <w:i w:val="0"/>
                <w:color w:val="auto"/>
                <w:sz w:val="11"/>
                <w:szCs w:val="11"/>
                <w:u w:val="none"/>
              </w:rPr>
            </w:pPr>
          </w:p>
        </w:tc>
      </w:tr>
      <w:tr w14:paraId="6857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86DD66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住宿业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3563C6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8B7E81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E9F26CC">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482089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55D7A9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54A176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ECFBA6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C52AD2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10B6789">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48768E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6E915C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6C62C4A">
            <w:pPr>
              <w:rPr>
                <w:rFonts w:hint="eastAsia" w:ascii="仿宋" w:hAnsi="仿宋" w:eastAsia="仿宋" w:cs="仿宋"/>
                <w:i w:val="0"/>
                <w:color w:val="auto"/>
                <w:sz w:val="11"/>
                <w:szCs w:val="11"/>
                <w:u w:val="none"/>
              </w:rPr>
            </w:pPr>
          </w:p>
        </w:tc>
      </w:tr>
      <w:tr w14:paraId="7DF1A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30F44D4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餐饮业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724E0F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AB90B6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F1DD2B2">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18EAD3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67F94A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E55E9EF">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49A3F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143DE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2A5C6A2">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A4BDCB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693F3D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9498C88">
            <w:pPr>
              <w:rPr>
                <w:rFonts w:hint="eastAsia" w:ascii="仿宋" w:hAnsi="仿宋" w:eastAsia="仿宋" w:cs="仿宋"/>
                <w:i w:val="0"/>
                <w:color w:val="auto"/>
                <w:sz w:val="11"/>
                <w:szCs w:val="11"/>
                <w:u w:val="none"/>
              </w:rPr>
            </w:pPr>
          </w:p>
        </w:tc>
      </w:tr>
      <w:tr w14:paraId="3097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CB398E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3C0919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9B8EE1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06D53B0">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D1E3B1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B904D3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C932221">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0B4578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C953C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F7EF29F">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99019C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649893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015D641">
            <w:pPr>
              <w:rPr>
                <w:rFonts w:hint="eastAsia" w:ascii="仿宋" w:hAnsi="仿宋" w:eastAsia="仿宋" w:cs="仿宋"/>
                <w:i w:val="0"/>
                <w:color w:val="auto"/>
                <w:sz w:val="11"/>
                <w:szCs w:val="11"/>
                <w:u w:val="none"/>
              </w:rPr>
            </w:pPr>
          </w:p>
        </w:tc>
      </w:tr>
      <w:tr w14:paraId="29F16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28D304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08A72A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DA4702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F9D5C5F">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8B1C05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1B21CD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7B645BD">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F88A9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492CF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28B8D6A">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82BC37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5D60A0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682CDDA4">
            <w:pPr>
              <w:rPr>
                <w:rFonts w:hint="eastAsia" w:ascii="仿宋" w:hAnsi="仿宋" w:eastAsia="仿宋" w:cs="仿宋"/>
                <w:i w:val="0"/>
                <w:color w:val="auto"/>
                <w:sz w:val="11"/>
                <w:szCs w:val="11"/>
                <w:u w:val="none"/>
              </w:rPr>
            </w:pPr>
          </w:p>
        </w:tc>
      </w:tr>
      <w:tr w14:paraId="3724C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614166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436332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1D1CD10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452303">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E736898">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D0D7E6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58A92B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8F9CC75">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583A4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002BF6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E1C8E94">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8736BE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EE766C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2000万元以下</w:t>
            </w:r>
          </w:p>
        </w:tc>
      </w:tr>
      <w:tr w14:paraId="5592F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E904BE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2EE843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216267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7703F5">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9B26DC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801D08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8BFBBAB">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DBB6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1C45C8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04D1170">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F7D482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9D8422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408B73F">
            <w:pPr>
              <w:rPr>
                <w:rFonts w:hint="eastAsia" w:ascii="仿宋" w:hAnsi="仿宋" w:eastAsia="仿宋" w:cs="仿宋"/>
                <w:i w:val="0"/>
                <w:color w:val="auto"/>
                <w:sz w:val="11"/>
                <w:szCs w:val="11"/>
                <w:u w:val="none"/>
              </w:rPr>
            </w:pPr>
          </w:p>
        </w:tc>
      </w:tr>
      <w:tr w14:paraId="43A40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29A6446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608869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2DC4567">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7F729A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737A26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2030809">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2790EF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98B3D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E8E5C05">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4052C0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148BE0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49887B0">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609E7E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r>
      <w:tr w14:paraId="35ACA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5" w:hRule="atLeast"/>
          <w:jc w:val="center"/>
        </w:trPr>
        <w:tc>
          <w:tcPr>
            <w:tcW w:w="1925" w:type="dxa"/>
            <w:tcBorders>
              <w:top w:val="single" w:color="000000" w:sz="4" w:space="0"/>
              <w:left w:val="single" w:color="000000" w:sz="12" w:space="0"/>
              <w:bottom w:val="single" w:color="000000" w:sz="12" w:space="0"/>
              <w:right w:val="single" w:color="000000" w:sz="4" w:space="0"/>
            </w:tcBorders>
            <w:noWrap w:val="0"/>
            <w:vAlign w:val="center"/>
          </w:tcPr>
          <w:p w14:paraId="069418A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noWrap w:val="0"/>
            <w:vAlign w:val="center"/>
          </w:tcPr>
          <w:p w14:paraId="5A237E6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noWrap w:val="0"/>
            <w:vAlign w:val="center"/>
          </w:tcPr>
          <w:p w14:paraId="2A67DFD3">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12" w:space="0"/>
              <w:right w:val="single" w:color="000000" w:sz="4" w:space="0"/>
            </w:tcBorders>
            <w:noWrap w:val="0"/>
            <w:vAlign w:val="center"/>
          </w:tcPr>
          <w:p w14:paraId="32027779">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12" w:space="0"/>
              <w:right w:val="single" w:color="000000" w:sz="4" w:space="0"/>
            </w:tcBorders>
            <w:noWrap w:val="0"/>
            <w:vAlign w:val="center"/>
          </w:tcPr>
          <w:p w14:paraId="70B871F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noWrap w:val="0"/>
            <w:vAlign w:val="center"/>
          </w:tcPr>
          <w:p w14:paraId="47EFF223">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12" w:space="0"/>
              <w:right w:val="single" w:color="000000" w:sz="4" w:space="0"/>
            </w:tcBorders>
            <w:noWrap w:val="0"/>
            <w:vAlign w:val="center"/>
          </w:tcPr>
          <w:p w14:paraId="6D3A02C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27494C8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42420567">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12" w:space="0"/>
              <w:right w:val="single" w:color="000000" w:sz="4" w:space="0"/>
            </w:tcBorders>
            <w:noWrap w:val="0"/>
            <w:vAlign w:val="center"/>
          </w:tcPr>
          <w:p w14:paraId="58B5478F">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12" w:space="0"/>
              <w:right w:val="single" w:color="000000" w:sz="4" w:space="0"/>
            </w:tcBorders>
            <w:noWrap w:val="0"/>
            <w:vAlign w:val="center"/>
          </w:tcPr>
          <w:p w14:paraId="33EA83D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noWrap w:val="0"/>
            <w:vAlign w:val="center"/>
          </w:tcPr>
          <w:p w14:paraId="1AC83803">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12" w:space="0"/>
              <w:right w:val="single" w:color="000000" w:sz="12" w:space="0"/>
            </w:tcBorders>
            <w:noWrap w:val="0"/>
            <w:vAlign w:val="center"/>
          </w:tcPr>
          <w:p w14:paraId="2CA82DD6">
            <w:pPr>
              <w:rPr>
                <w:rFonts w:hint="eastAsia" w:ascii="仿宋" w:hAnsi="仿宋" w:eastAsia="仿宋" w:cs="仿宋"/>
                <w:i w:val="0"/>
                <w:color w:val="auto"/>
                <w:sz w:val="11"/>
                <w:szCs w:val="11"/>
                <w:u w:val="none"/>
              </w:rPr>
            </w:pPr>
          </w:p>
        </w:tc>
      </w:tr>
    </w:tbl>
    <w:p w14:paraId="74830ED4">
      <w:pPr>
        <w:pStyle w:val="12"/>
        <w:ind w:left="2880"/>
        <w:rPr>
          <w:rFonts w:ascii="仿宋" w:hAnsi="仿宋" w:eastAsia="仿宋" w:cs="仿宋"/>
          <w:color w:val="auto"/>
          <w:lang w:eastAsia="zh-CN"/>
        </w:rPr>
      </w:pP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_x000B__x000C_">
    <w:altName w:val="Courier New"/>
    <w:panose1 w:val="00000000000000000000"/>
    <w:charset w:val="00"/>
    <w:family w:val="decorative"/>
    <w:pitch w:val="default"/>
    <w:sig w:usb0="00000000" w:usb1="00000000" w:usb2="00000000" w:usb3="00000000" w:csb0="00040001" w:csb1="00000000"/>
  </w:font>
  <w:font w:name="Arial Unicode MS">
    <w:altName w:val="Arial"/>
    <w:panose1 w:val="020B0604020202020204"/>
    <w:charset w:val="00"/>
    <w:family w:val="decorative"/>
    <w:pitch w:val="default"/>
    <w:sig w:usb0="00000000" w:usb1="00000000" w:usb2="00000000" w:usb3="00000000" w:csb0="00000001" w:csb1="00000000"/>
  </w:font>
  <w:font w:name="MingLiU">
    <w:altName w:val="PMingLiU-ExtB"/>
    <w:panose1 w:val="02020509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华文中宋">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FECDB">
    <w:pPr>
      <w:pStyle w:val="16"/>
      <w:tabs>
        <w:tab w:val="left" w:pos="4801"/>
        <w:tab w:val="clear" w:pos="4153"/>
      </w:tabs>
      <w:ind w:right="0"/>
      <w:jc w:val="both"/>
    </w:pPr>
    <w:r>
      <w:rPr>
        <w:sz w:val="16"/>
      </w:rPr>
      <w:pict>
        <v:shape id="_x0000_s2207" o:spid="_x0000_s220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23BA03D1">
                <w:pPr>
                  <w:pStyle w:val="16"/>
                </w:pPr>
              </w:p>
            </w:txbxContent>
          </v:textbox>
        </v:shape>
      </w:pict>
    </w:r>
    <w:r>
      <w:rPr>
        <w:sz w:val="16"/>
        <w:lang w:eastAsia="zh-CN" w:bidi="ar-SA"/>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w:txbxContent>
              <w:p w14:paraId="1446841E">
                <w:pPr>
                  <w:keepNext w:val="0"/>
                  <w:keepLines w:val="0"/>
                  <w:pageBreakBefore w:val="0"/>
                  <w:widowControl w:val="0"/>
                  <w:kinsoku/>
                  <w:wordWrap/>
                  <w:overflowPunct/>
                  <w:topLinePunct w:val="0"/>
                  <w:bidi w:val="0"/>
                  <w:adjustRightInd/>
                  <w:snapToGrid w:val="0"/>
                  <w:textAlignment w:val="auto"/>
                  <w:rPr>
                    <w:rFonts w:hint="eastAsia" w:eastAsia="宋体"/>
                    <w:lang w:val="en-US"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686A">
    <w:pPr>
      <w:pStyle w:val="16"/>
      <w:ind w:right="360"/>
      <w:jc w:val="both"/>
      <w:rPr>
        <w:rFonts w:hint="default"/>
        <w:lang w:val="en-US"/>
      </w:rPr>
    </w:pPr>
    <w:r>
      <w:rPr>
        <w:sz w:val="16"/>
      </w:rPr>
      <w:pict>
        <v:shape id="_x0000_s2209" o:spid="_x0000_s220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7D9E4413">
                <w:pPr>
                  <w:pStyle w:val="16"/>
                </w:pPr>
                <w:r>
                  <w:fldChar w:fldCharType="begin"/>
                </w:r>
                <w:r>
                  <w:instrText xml:space="preserve"> PAGE  \* MERGEFORMAT </w:instrText>
                </w:r>
                <w:r>
                  <w:fldChar w:fldCharType="separate"/>
                </w:r>
                <w:r>
                  <w:t>1</w:t>
                </w:r>
                <w:r>
                  <w:fldChar w:fldCharType="end"/>
                </w:r>
              </w:p>
            </w:txbxContent>
          </v:textbox>
        </v:shape>
      </w:pict>
    </w:r>
    <w:r>
      <w:rPr>
        <w:sz w:val="16"/>
        <w:lang w:eastAsia="zh-CN" w:bidi="ar-SA"/>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path/>
          <v:fill on="f" focussize="0,0"/>
          <v:stroke on="f" joinstyle="miter"/>
          <v:imagedata o:title=""/>
          <o:lock v:ext="edit"/>
          <v:textbox inset="0mm,0mm,0mm,0mm" style="mso-fit-shape-to-text:t;">
            <w:txbxContent>
              <w:p w14:paraId="72ED4559">
                <w:pPr>
                  <w:pStyle w:val="16"/>
                </w:pPr>
              </w:p>
            </w:txbxContent>
          </v:textbox>
        </v:shape>
      </w:pict>
    </w:r>
    <w:r>
      <w:rPr>
        <w:rFonts w:hint="eastAsia"/>
        <w:sz w:val="16"/>
        <w:szCs w:val="16"/>
      </w:rPr>
      <w:t xml:space="preserve"> </w:t>
    </w:r>
    <w:r>
      <w:rPr>
        <w:rFonts w:hint="eastAsia"/>
        <w:color w:val="800000"/>
        <w:sz w:val="16"/>
        <w:szCs w:val="20"/>
        <w:lang w:eastAsia="zh-CN"/>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23D8">
    <w:pPr>
      <w:pStyle w:val="16"/>
      <w:tabs>
        <w:tab w:val="center" w:pos="4873"/>
        <w:tab w:val="clear" w:pos="4153"/>
      </w:tabs>
      <w:ind w:right="360"/>
      <w:jc w:val="both"/>
      <w:rPr>
        <w:rFonts w:hint="default"/>
        <w:lang w:val="en-US"/>
      </w:rPr>
    </w:pPr>
    <w:r>
      <w:rPr>
        <w:sz w:val="18"/>
      </w:rPr>
      <w:pict>
        <v:shape id="_x0000_s2213" o:spid="_x0000_s221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0C535B24">
                <w:pPr>
                  <w:pStyle w:val="16"/>
                </w:pPr>
                <w:r>
                  <w:fldChar w:fldCharType="begin"/>
                </w:r>
                <w:r>
                  <w:instrText xml:space="preserve"> PAGE  \* MERGEFORMAT </w:instrText>
                </w:r>
                <w:r>
                  <w:fldChar w:fldCharType="separate"/>
                </w:r>
                <w:r>
                  <w:t>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B352C">
    <w:pPr>
      <w:pStyle w:val="16"/>
      <w:tabs>
        <w:tab w:val="center" w:pos="4873"/>
        <w:tab w:val="clear" w:pos="4153"/>
      </w:tabs>
      <w:ind w:right="360"/>
      <w:jc w:val="both"/>
      <w:rPr>
        <w:rFonts w:hint="default"/>
        <w:lang w:val="en-US"/>
      </w:rPr>
    </w:pPr>
    <w:r>
      <w:rPr>
        <w:sz w:val="16"/>
      </w:rPr>
      <w:pict>
        <v:shape id="_x0000_s2214" o:spid="_x0000_s221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33144E47">
                <w:pPr>
                  <w:pStyle w:val="16"/>
                </w:pPr>
                <w:r>
                  <w:fldChar w:fldCharType="begin"/>
                </w:r>
                <w:r>
                  <w:instrText xml:space="preserve"> PAGE  \* MERGEFORMAT </w:instrText>
                </w:r>
                <w:r>
                  <w:fldChar w:fldCharType="separate"/>
                </w:r>
                <w:r>
                  <w:t>34</w:t>
                </w:r>
                <w:r>
                  <w:fldChar w:fldCharType="end"/>
                </w:r>
              </w:p>
            </w:txbxContent>
          </v:textbox>
        </v:shape>
      </w:pict>
    </w:r>
    <w:r>
      <w:rPr>
        <w:sz w:val="16"/>
      </w:rPr>
      <w:pict>
        <v:shape id="_x0000_s2135" o:spid="_x0000_s2135" o:spt="202" type="#_x0000_t202" style="position:absolute;left:0pt;margin-left:241.4pt;margin-top:2.45pt;height:141.55pt;width:6pt;mso-position-horizontal-relative:margin;z-index:251662336;mso-width-relative:page;mso-height-relative:page;" filled="f" stroked="f" coordsize="21600,21600">
          <v:path/>
          <v:fill on="f" focussize="0,0"/>
          <v:stroke on="f"/>
          <v:imagedata o:title=""/>
          <o:lock v:ext="edit" aspectratio="f"/>
          <v:textbox inset="0mm,0mm,0mm,0mm">
            <w:txbxContent>
              <w:p w14:paraId="6438E6B8">
                <w:pPr>
                  <w:pStyle w:val="16"/>
                  <w:rPr>
                    <w:rFonts w:hint="eastAsia" w:eastAsia="宋体"/>
                    <w:lang w:val="en-US" w:eastAsia="zh-CN"/>
                  </w:rPr>
                </w:pPr>
              </w:p>
            </w:txbxContent>
          </v:textbox>
        </v:shape>
      </w:pict>
    </w:r>
    <w:r>
      <w:rPr>
        <w:rFonts w:hint="eastAsia"/>
        <w:sz w:val="16"/>
        <w:szCs w:val="16"/>
      </w:rPr>
      <w:t xml:space="preserve"> </w:t>
    </w:r>
    <w:r>
      <w:rPr>
        <w:rFonts w:hint="eastAsia"/>
        <w:color w:val="800000"/>
        <w:sz w:val="16"/>
        <w:szCs w:val="20"/>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83E68">
    <w:pPr>
      <w:pStyle w:val="16"/>
      <w:tabs>
        <w:tab w:val="center" w:pos="4873"/>
        <w:tab w:val="clear" w:pos="4153"/>
      </w:tabs>
      <w:ind w:right="360"/>
      <w:jc w:val="both"/>
      <w:rPr>
        <w:rFonts w:hint="default"/>
        <w:lang w:val="en-US"/>
      </w:rPr>
    </w:pPr>
    <w:r>
      <w:rPr>
        <w:sz w:val="18"/>
      </w:rPr>
      <w:pict>
        <v:shape id="_x0000_s2215" o:spid="_x0000_s221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3F6F2A8E">
                <w:pPr>
                  <w:pStyle w:val="16"/>
                </w:pPr>
                <w:r>
                  <w:fldChar w:fldCharType="begin"/>
                </w:r>
                <w:r>
                  <w:instrText xml:space="preserve"> PAGE  \* MERGEFORMAT </w:instrText>
                </w:r>
                <w:r>
                  <w:fldChar w:fldCharType="separate"/>
                </w:r>
                <w:r>
                  <w:t>35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32A8">
    <w:pPr>
      <w:pStyle w:val="16"/>
      <w:ind w:right="360"/>
      <w:jc w:val="both"/>
      <w:rPr>
        <w:rFonts w:hint="eastAsia"/>
      </w:rPr>
    </w:pPr>
    <w:r>
      <w:rPr>
        <w:sz w:val="24"/>
      </w:rPr>
      <w:pict>
        <v:shape id="_x0000_s2216" o:spid="_x0000_s221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34D437AF">
                <w:pPr>
                  <w:pStyle w:val="16"/>
                </w:pPr>
                <w:r>
                  <w:fldChar w:fldCharType="begin"/>
                </w:r>
                <w:r>
                  <w:instrText xml:space="preserve"> PAGE  \* MERGEFORMAT </w:instrText>
                </w:r>
                <w:r>
                  <w:fldChar w:fldCharType="separate"/>
                </w:r>
                <w:r>
                  <w:t>164</w:t>
                </w:r>
                <w:r>
                  <w:fldChar w:fldCharType="end"/>
                </w:r>
              </w:p>
            </w:txbxContent>
          </v:textbox>
        </v:shape>
      </w:pic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76B2030D">
    <w:pPr>
      <w:pStyle w:val="16"/>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15AC6164">
    <w:pPr>
      <w:pStyle w:val="16"/>
      <w:ind w:right="360"/>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7F5D2">
    <w:pPr>
      <w:pStyle w:val="16"/>
    </w:pPr>
    <w:r>
      <w:rPr>
        <w:sz w:val="18"/>
      </w:rPr>
      <w:pict>
        <v:shape id="_x0000_s2217" o:spid="_x0000_s221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55E54BBB">
                <w:pPr>
                  <w:pStyle w:val="16"/>
                </w:pPr>
                <w:r>
                  <w:fldChar w:fldCharType="begin"/>
                </w:r>
                <w:r>
                  <w:instrText xml:space="preserve"> PAGE  \* MERGEFORMAT </w:instrText>
                </w:r>
                <w:r>
                  <w:fldChar w:fldCharType="separate"/>
                </w:r>
                <w:r>
                  <w:t>183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C3C9B">
    <w:pPr>
      <w:pStyle w:val="17"/>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63DC5">
    <w:pPr>
      <w:pStyle w:val="17"/>
      <w:pBdr>
        <w:bottom w:val="none" w:color="auto" w:sz="0" w:space="0"/>
      </w:pBdr>
      <w:tabs>
        <w:tab w:val="clear" w:pos="4153"/>
        <w:tab w:val="clear" w:pos="8306"/>
      </w:tabs>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0A57B">
    <w:pPr>
      <w:pStyle w:val="17"/>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F811C"/>
    <w:multiLevelType w:val="singleLevel"/>
    <w:tmpl w:val="A3BF811C"/>
    <w:lvl w:ilvl="0" w:tentative="0">
      <w:start w:val="5"/>
      <w:numFmt w:val="decimal"/>
      <w:suff w:val="nothing"/>
      <w:lvlText w:val="（%1）"/>
      <w:lvlJc w:val="left"/>
    </w:lvl>
  </w:abstractNum>
  <w:abstractNum w:abstractNumId="1">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CF0DAD01"/>
    <w:multiLevelType w:val="singleLevel"/>
    <w:tmpl w:val="CF0DAD01"/>
    <w:lvl w:ilvl="0" w:tentative="0">
      <w:start w:val="1"/>
      <w:numFmt w:val="decimal"/>
      <w:suff w:val="space"/>
      <w:lvlText w:val="%1."/>
      <w:lvlJc w:val="left"/>
    </w:lvl>
  </w:abstractNum>
  <w:abstractNum w:abstractNumId="3">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4">
    <w:nsid w:val="03EF8FC6"/>
    <w:multiLevelType w:val="singleLevel"/>
    <w:tmpl w:val="03EF8FC6"/>
    <w:lvl w:ilvl="0" w:tentative="0">
      <w:start w:val="1"/>
      <w:numFmt w:val="chineseCounting"/>
      <w:suff w:val="nothing"/>
      <w:lvlText w:val="%1、"/>
      <w:lvlJc w:val="left"/>
      <w:rPr>
        <w:rFonts w:hint="eastAsia"/>
      </w:rPr>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5642325E"/>
    <w:multiLevelType w:val="singleLevel"/>
    <w:tmpl w:val="5642325E"/>
    <w:lvl w:ilvl="0" w:tentative="0">
      <w:start w:val="8"/>
      <w:numFmt w:val="decimal"/>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4"/>
  </w:num>
  <w:num w:numId="3">
    <w:abstractNumId w:val="6"/>
  </w:num>
  <w:num w:numId="4">
    <w:abstractNumId w:val="5"/>
  </w:num>
  <w:num w:numId="5">
    <w:abstractNumId w:val="8"/>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ViNWFhZjMyNTM3N2ZmN2I0NjJiYmJiYWE0ZDE4YjUifQ=="/>
  </w:docVars>
  <w:rsids>
    <w:rsidRoot w:val="430832B2"/>
    <w:rsid w:val="00036274"/>
    <w:rsid w:val="00065F1A"/>
    <w:rsid w:val="000E4DA7"/>
    <w:rsid w:val="000E7277"/>
    <w:rsid w:val="00153D08"/>
    <w:rsid w:val="001909B2"/>
    <w:rsid w:val="001E67F0"/>
    <w:rsid w:val="00226E7C"/>
    <w:rsid w:val="00232484"/>
    <w:rsid w:val="00366967"/>
    <w:rsid w:val="00370057"/>
    <w:rsid w:val="003B3386"/>
    <w:rsid w:val="004259D8"/>
    <w:rsid w:val="00450906"/>
    <w:rsid w:val="00461E17"/>
    <w:rsid w:val="00471CA4"/>
    <w:rsid w:val="00493937"/>
    <w:rsid w:val="004A4594"/>
    <w:rsid w:val="005364B9"/>
    <w:rsid w:val="00562077"/>
    <w:rsid w:val="00597163"/>
    <w:rsid w:val="005D4E0B"/>
    <w:rsid w:val="00643BE3"/>
    <w:rsid w:val="006761BB"/>
    <w:rsid w:val="00697881"/>
    <w:rsid w:val="006D00E3"/>
    <w:rsid w:val="0076445C"/>
    <w:rsid w:val="00783ABB"/>
    <w:rsid w:val="007A3406"/>
    <w:rsid w:val="007E068D"/>
    <w:rsid w:val="007F0E39"/>
    <w:rsid w:val="008276FA"/>
    <w:rsid w:val="00876956"/>
    <w:rsid w:val="008849F7"/>
    <w:rsid w:val="008D1783"/>
    <w:rsid w:val="008D66BB"/>
    <w:rsid w:val="009143D6"/>
    <w:rsid w:val="00924B48"/>
    <w:rsid w:val="009E0D3F"/>
    <w:rsid w:val="00A329DF"/>
    <w:rsid w:val="00A703E4"/>
    <w:rsid w:val="00A75CA8"/>
    <w:rsid w:val="00AA277B"/>
    <w:rsid w:val="00AB0B74"/>
    <w:rsid w:val="00AF420A"/>
    <w:rsid w:val="00B6614A"/>
    <w:rsid w:val="00B8657E"/>
    <w:rsid w:val="00BA4013"/>
    <w:rsid w:val="00C26A7F"/>
    <w:rsid w:val="00C377E4"/>
    <w:rsid w:val="00C57AF5"/>
    <w:rsid w:val="00C74FD6"/>
    <w:rsid w:val="00D00791"/>
    <w:rsid w:val="00D00D67"/>
    <w:rsid w:val="00D03DFD"/>
    <w:rsid w:val="00D127F2"/>
    <w:rsid w:val="00D42D81"/>
    <w:rsid w:val="00D84377"/>
    <w:rsid w:val="00DB7FE1"/>
    <w:rsid w:val="00DE0124"/>
    <w:rsid w:val="00E56748"/>
    <w:rsid w:val="00E63692"/>
    <w:rsid w:val="00EB29FB"/>
    <w:rsid w:val="00ED05CA"/>
    <w:rsid w:val="00F050C2"/>
    <w:rsid w:val="00F70359"/>
    <w:rsid w:val="00FB6C7A"/>
    <w:rsid w:val="00FE2AAE"/>
    <w:rsid w:val="0123584C"/>
    <w:rsid w:val="0144795E"/>
    <w:rsid w:val="014631E4"/>
    <w:rsid w:val="014F6266"/>
    <w:rsid w:val="01830F3F"/>
    <w:rsid w:val="019464FB"/>
    <w:rsid w:val="01E44B68"/>
    <w:rsid w:val="02376DA4"/>
    <w:rsid w:val="02614ACA"/>
    <w:rsid w:val="02E7054D"/>
    <w:rsid w:val="03120DC1"/>
    <w:rsid w:val="03152839"/>
    <w:rsid w:val="03531E23"/>
    <w:rsid w:val="035508BA"/>
    <w:rsid w:val="03735124"/>
    <w:rsid w:val="039D2197"/>
    <w:rsid w:val="041B7C0D"/>
    <w:rsid w:val="042A106A"/>
    <w:rsid w:val="043C12C1"/>
    <w:rsid w:val="04471D7D"/>
    <w:rsid w:val="04555E4D"/>
    <w:rsid w:val="04B46F75"/>
    <w:rsid w:val="050F221F"/>
    <w:rsid w:val="051E7B81"/>
    <w:rsid w:val="05284124"/>
    <w:rsid w:val="05295038"/>
    <w:rsid w:val="0591547A"/>
    <w:rsid w:val="05AA02EA"/>
    <w:rsid w:val="05CE725F"/>
    <w:rsid w:val="05D26519"/>
    <w:rsid w:val="05E43238"/>
    <w:rsid w:val="05F94DCD"/>
    <w:rsid w:val="06141E47"/>
    <w:rsid w:val="062E44A1"/>
    <w:rsid w:val="063539E9"/>
    <w:rsid w:val="06385AA9"/>
    <w:rsid w:val="063B7194"/>
    <w:rsid w:val="068A276B"/>
    <w:rsid w:val="068D7DAD"/>
    <w:rsid w:val="068F23C3"/>
    <w:rsid w:val="06A20D46"/>
    <w:rsid w:val="06A922BE"/>
    <w:rsid w:val="06CC538D"/>
    <w:rsid w:val="06CD24E2"/>
    <w:rsid w:val="070B6F74"/>
    <w:rsid w:val="072C60C0"/>
    <w:rsid w:val="073826E5"/>
    <w:rsid w:val="074F6B51"/>
    <w:rsid w:val="07581523"/>
    <w:rsid w:val="076369A2"/>
    <w:rsid w:val="07CA5E05"/>
    <w:rsid w:val="07D75CBB"/>
    <w:rsid w:val="0804766D"/>
    <w:rsid w:val="08253C96"/>
    <w:rsid w:val="08323FEC"/>
    <w:rsid w:val="08451956"/>
    <w:rsid w:val="0845254C"/>
    <w:rsid w:val="085608FD"/>
    <w:rsid w:val="085D5AE7"/>
    <w:rsid w:val="086504F8"/>
    <w:rsid w:val="086B6DF8"/>
    <w:rsid w:val="08986B20"/>
    <w:rsid w:val="08A37CA5"/>
    <w:rsid w:val="08C2594B"/>
    <w:rsid w:val="08D25D68"/>
    <w:rsid w:val="091D420B"/>
    <w:rsid w:val="09231976"/>
    <w:rsid w:val="093F2ABC"/>
    <w:rsid w:val="09406633"/>
    <w:rsid w:val="094D1093"/>
    <w:rsid w:val="095073FA"/>
    <w:rsid w:val="0958005D"/>
    <w:rsid w:val="09B17236"/>
    <w:rsid w:val="09E92566"/>
    <w:rsid w:val="0A007485"/>
    <w:rsid w:val="0A226110"/>
    <w:rsid w:val="0A271261"/>
    <w:rsid w:val="0A622E54"/>
    <w:rsid w:val="0A982D0F"/>
    <w:rsid w:val="0AB614DF"/>
    <w:rsid w:val="0AE61EF7"/>
    <w:rsid w:val="0AEC1713"/>
    <w:rsid w:val="0AFE7394"/>
    <w:rsid w:val="0AFF7B45"/>
    <w:rsid w:val="0B213EE8"/>
    <w:rsid w:val="0B2F3756"/>
    <w:rsid w:val="0B472137"/>
    <w:rsid w:val="0B641CFB"/>
    <w:rsid w:val="0B70168E"/>
    <w:rsid w:val="0B720833"/>
    <w:rsid w:val="0B941400"/>
    <w:rsid w:val="0B9E39F1"/>
    <w:rsid w:val="0BB54396"/>
    <w:rsid w:val="0BCF58D8"/>
    <w:rsid w:val="0BF26C44"/>
    <w:rsid w:val="0C1429D4"/>
    <w:rsid w:val="0CA912FB"/>
    <w:rsid w:val="0D533015"/>
    <w:rsid w:val="0D9030DE"/>
    <w:rsid w:val="0D9378B6"/>
    <w:rsid w:val="0DBC6E0C"/>
    <w:rsid w:val="0DE35329"/>
    <w:rsid w:val="0DE67920"/>
    <w:rsid w:val="0E1B4581"/>
    <w:rsid w:val="0E213AB4"/>
    <w:rsid w:val="0E3E1813"/>
    <w:rsid w:val="0E5B66D1"/>
    <w:rsid w:val="0E644D10"/>
    <w:rsid w:val="0F1C4CB4"/>
    <w:rsid w:val="0F2405B3"/>
    <w:rsid w:val="0F42217E"/>
    <w:rsid w:val="0F4F5A5E"/>
    <w:rsid w:val="0F7D081D"/>
    <w:rsid w:val="0F9A54F8"/>
    <w:rsid w:val="0FA22205"/>
    <w:rsid w:val="0FCE58B0"/>
    <w:rsid w:val="10015291"/>
    <w:rsid w:val="10534DBE"/>
    <w:rsid w:val="10685029"/>
    <w:rsid w:val="10F679CB"/>
    <w:rsid w:val="11074842"/>
    <w:rsid w:val="112C2E1C"/>
    <w:rsid w:val="114227C7"/>
    <w:rsid w:val="116457F1"/>
    <w:rsid w:val="11D31FFF"/>
    <w:rsid w:val="12143671"/>
    <w:rsid w:val="12326DC2"/>
    <w:rsid w:val="12891287"/>
    <w:rsid w:val="12FF5684"/>
    <w:rsid w:val="130308CA"/>
    <w:rsid w:val="1312560D"/>
    <w:rsid w:val="131B6383"/>
    <w:rsid w:val="132C218A"/>
    <w:rsid w:val="13337B71"/>
    <w:rsid w:val="13703B2C"/>
    <w:rsid w:val="13B81ECA"/>
    <w:rsid w:val="13CD729B"/>
    <w:rsid w:val="13D55805"/>
    <w:rsid w:val="13E35953"/>
    <w:rsid w:val="13F84D28"/>
    <w:rsid w:val="14123C2A"/>
    <w:rsid w:val="142B46CE"/>
    <w:rsid w:val="144C729A"/>
    <w:rsid w:val="1457788F"/>
    <w:rsid w:val="145C30F7"/>
    <w:rsid w:val="14602089"/>
    <w:rsid w:val="14841E5F"/>
    <w:rsid w:val="14953EB8"/>
    <w:rsid w:val="14964A58"/>
    <w:rsid w:val="14CD6092"/>
    <w:rsid w:val="14D970D8"/>
    <w:rsid w:val="14E530ED"/>
    <w:rsid w:val="15056E62"/>
    <w:rsid w:val="15232D06"/>
    <w:rsid w:val="1525173B"/>
    <w:rsid w:val="153C6A85"/>
    <w:rsid w:val="1542308D"/>
    <w:rsid w:val="156D1711"/>
    <w:rsid w:val="157F0D4F"/>
    <w:rsid w:val="159F732A"/>
    <w:rsid w:val="15C31338"/>
    <w:rsid w:val="15C56A7A"/>
    <w:rsid w:val="15D373E9"/>
    <w:rsid w:val="15E839EB"/>
    <w:rsid w:val="16010E59"/>
    <w:rsid w:val="16066E4C"/>
    <w:rsid w:val="161727D5"/>
    <w:rsid w:val="16430D11"/>
    <w:rsid w:val="1650051A"/>
    <w:rsid w:val="167B61DA"/>
    <w:rsid w:val="169E167E"/>
    <w:rsid w:val="16A31AA6"/>
    <w:rsid w:val="16C22D80"/>
    <w:rsid w:val="16D231F0"/>
    <w:rsid w:val="16EC163A"/>
    <w:rsid w:val="171F0B4E"/>
    <w:rsid w:val="172577D0"/>
    <w:rsid w:val="172D48D7"/>
    <w:rsid w:val="178644DD"/>
    <w:rsid w:val="17881C02"/>
    <w:rsid w:val="17A51045"/>
    <w:rsid w:val="17EB3771"/>
    <w:rsid w:val="189F02F4"/>
    <w:rsid w:val="18E90CD1"/>
    <w:rsid w:val="18F8040C"/>
    <w:rsid w:val="18FE29CF"/>
    <w:rsid w:val="19047F61"/>
    <w:rsid w:val="1910625E"/>
    <w:rsid w:val="193D3715"/>
    <w:rsid w:val="19445F08"/>
    <w:rsid w:val="19791440"/>
    <w:rsid w:val="198D3D53"/>
    <w:rsid w:val="19D24BCD"/>
    <w:rsid w:val="19F35DD2"/>
    <w:rsid w:val="1A5E3F75"/>
    <w:rsid w:val="1A6A7BF0"/>
    <w:rsid w:val="1A6B70D0"/>
    <w:rsid w:val="1A6C043C"/>
    <w:rsid w:val="1A8879D0"/>
    <w:rsid w:val="1A991A95"/>
    <w:rsid w:val="1A9E1C2B"/>
    <w:rsid w:val="1AA14F3E"/>
    <w:rsid w:val="1ACD57BB"/>
    <w:rsid w:val="1AFE16C7"/>
    <w:rsid w:val="1B132A5A"/>
    <w:rsid w:val="1B2938B4"/>
    <w:rsid w:val="1B3867B7"/>
    <w:rsid w:val="1B526E30"/>
    <w:rsid w:val="1B5A42F2"/>
    <w:rsid w:val="1BA46EB4"/>
    <w:rsid w:val="1BD3623E"/>
    <w:rsid w:val="1BE65325"/>
    <w:rsid w:val="1BF54431"/>
    <w:rsid w:val="1C03767B"/>
    <w:rsid w:val="1C641A5B"/>
    <w:rsid w:val="1C65230B"/>
    <w:rsid w:val="1C770BAC"/>
    <w:rsid w:val="1C8812E8"/>
    <w:rsid w:val="1CBF4223"/>
    <w:rsid w:val="1CC048D1"/>
    <w:rsid w:val="1CD221A8"/>
    <w:rsid w:val="1CFF3DC8"/>
    <w:rsid w:val="1D28001A"/>
    <w:rsid w:val="1D52077A"/>
    <w:rsid w:val="1D6F5759"/>
    <w:rsid w:val="1D7713AD"/>
    <w:rsid w:val="1D9430E8"/>
    <w:rsid w:val="1D9C08F7"/>
    <w:rsid w:val="1DA43419"/>
    <w:rsid w:val="1DB7139E"/>
    <w:rsid w:val="1DDE4B7D"/>
    <w:rsid w:val="1E435DE1"/>
    <w:rsid w:val="1E531E94"/>
    <w:rsid w:val="1E540B4E"/>
    <w:rsid w:val="1E6813A9"/>
    <w:rsid w:val="1E6D1634"/>
    <w:rsid w:val="1E9B1505"/>
    <w:rsid w:val="1ECE4F82"/>
    <w:rsid w:val="1EE5064C"/>
    <w:rsid w:val="1F262D19"/>
    <w:rsid w:val="1F437424"/>
    <w:rsid w:val="1F5B26D6"/>
    <w:rsid w:val="1F6007D8"/>
    <w:rsid w:val="1F962703"/>
    <w:rsid w:val="1FB748C5"/>
    <w:rsid w:val="203828DD"/>
    <w:rsid w:val="20746CEC"/>
    <w:rsid w:val="209D4381"/>
    <w:rsid w:val="20C57552"/>
    <w:rsid w:val="20CB1239"/>
    <w:rsid w:val="213649FD"/>
    <w:rsid w:val="216340FC"/>
    <w:rsid w:val="218454A5"/>
    <w:rsid w:val="21B4515F"/>
    <w:rsid w:val="21F7470F"/>
    <w:rsid w:val="220E65E1"/>
    <w:rsid w:val="22561186"/>
    <w:rsid w:val="22835243"/>
    <w:rsid w:val="228D7546"/>
    <w:rsid w:val="22965E6B"/>
    <w:rsid w:val="22AE28BF"/>
    <w:rsid w:val="22BE4F7D"/>
    <w:rsid w:val="22D075B3"/>
    <w:rsid w:val="22D700DE"/>
    <w:rsid w:val="22E54766"/>
    <w:rsid w:val="22F917C9"/>
    <w:rsid w:val="23226B91"/>
    <w:rsid w:val="23287712"/>
    <w:rsid w:val="23463622"/>
    <w:rsid w:val="235B1AD6"/>
    <w:rsid w:val="23874BA3"/>
    <w:rsid w:val="24042E63"/>
    <w:rsid w:val="241A4435"/>
    <w:rsid w:val="24264234"/>
    <w:rsid w:val="24266EC9"/>
    <w:rsid w:val="242923FE"/>
    <w:rsid w:val="245B2E54"/>
    <w:rsid w:val="245E07C6"/>
    <w:rsid w:val="247B3126"/>
    <w:rsid w:val="24BD1F5B"/>
    <w:rsid w:val="24D053AA"/>
    <w:rsid w:val="24D50A8E"/>
    <w:rsid w:val="24D9339D"/>
    <w:rsid w:val="24EC7364"/>
    <w:rsid w:val="24FC16A1"/>
    <w:rsid w:val="25002F8D"/>
    <w:rsid w:val="25546BA5"/>
    <w:rsid w:val="25550156"/>
    <w:rsid w:val="256318A5"/>
    <w:rsid w:val="256D43FD"/>
    <w:rsid w:val="25C1100C"/>
    <w:rsid w:val="25FB512C"/>
    <w:rsid w:val="262B2929"/>
    <w:rsid w:val="26594A5E"/>
    <w:rsid w:val="265C0D35"/>
    <w:rsid w:val="267D2FA7"/>
    <w:rsid w:val="269009DE"/>
    <w:rsid w:val="26A077E1"/>
    <w:rsid w:val="26D37563"/>
    <w:rsid w:val="26FD55E8"/>
    <w:rsid w:val="27013906"/>
    <w:rsid w:val="27147AA3"/>
    <w:rsid w:val="272A2BE1"/>
    <w:rsid w:val="274B4345"/>
    <w:rsid w:val="2759752E"/>
    <w:rsid w:val="27641FEC"/>
    <w:rsid w:val="27727C09"/>
    <w:rsid w:val="277A0959"/>
    <w:rsid w:val="28063F31"/>
    <w:rsid w:val="283D072F"/>
    <w:rsid w:val="286860B2"/>
    <w:rsid w:val="286B44D3"/>
    <w:rsid w:val="2888354A"/>
    <w:rsid w:val="28894FF8"/>
    <w:rsid w:val="28976054"/>
    <w:rsid w:val="290F6532"/>
    <w:rsid w:val="291C049E"/>
    <w:rsid w:val="291F0973"/>
    <w:rsid w:val="293710DF"/>
    <w:rsid w:val="29384AB9"/>
    <w:rsid w:val="29390EB5"/>
    <w:rsid w:val="29477A7A"/>
    <w:rsid w:val="294E1863"/>
    <w:rsid w:val="29B10DBC"/>
    <w:rsid w:val="29BD0AE3"/>
    <w:rsid w:val="29EC3DAC"/>
    <w:rsid w:val="29F20F87"/>
    <w:rsid w:val="2A015314"/>
    <w:rsid w:val="2A2953D2"/>
    <w:rsid w:val="2A375D41"/>
    <w:rsid w:val="2A571F3F"/>
    <w:rsid w:val="2A6F2C28"/>
    <w:rsid w:val="2AA9424E"/>
    <w:rsid w:val="2AAD6003"/>
    <w:rsid w:val="2AB303AA"/>
    <w:rsid w:val="2ADC5AFD"/>
    <w:rsid w:val="2AE56C24"/>
    <w:rsid w:val="2AF23A16"/>
    <w:rsid w:val="2AF552B4"/>
    <w:rsid w:val="2AF9470D"/>
    <w:rsid w:val="2B2A724C"/>
    <w:rsid w:val="2B4B69E7"/>
    <w:rsid w:val="2B762634"/>
    <w:rsid w:val="2B807273"/>
    <w:rsid w:val="2B97636B"/>
    <w:rsid w:val="2BCA04EF"/>
    <w:rsid w:val="2BDB094E"/>
    <w:rsid w:val="2C007005"/>
    <w:rsid w:val="2C0C6D59"/>
    <w:rsid w:val="2C154A52"/>
    <w:rsid w:val="2C302A48"/>
    <w:rsid w:val="2C5031C9"/>
    <w:rsid w:val="2C9F6035"/>
    <w:rsid w:val="2CBE5289"/>
    <w:rsid w:val="2D107FD9"/>
    <w:rsid w:val="2D1B0C53"/>
    <w:rsid w:val="2D1F486A"/>
    <w:rsid w:val="2D261D28"/>
    <w:rsid w:val="2D380A40"/>
    <w:rsid w:val="2D597A5D"/>
    <w:rsid w:val="2D757E51"/>
    <w:rsid w:val="2D7E66F1"/>
    <w:rsid w:val="2D92668D"/>
    <w:rsid w:val="2D95546D"/>
    <w:rsid w:val="2DAC25A2"/>
    <w:rsid w:val="2DB43A1E"/>
    <w:rsid w:val="2DBC7EC6"/>
    <w:rsid w:val="2DF1140A"/>
    <w:rsid w:val="2DFC064C"/>
    <w:rsid w:val="2E11096B"/>
    <w:rsid w:val="2E1B0C2F"/>
    <w:rsid w:val="2E2D19AE"/>
    <w:rsid w:val="2E3662A3"/>
    <w:rsid w:val="2E6C2B65"/>
    <w:rsid w:val="2E764B34"/>
    <w:rsid w:val="2E766A63"/>
    <w:rsid w:val="2F177EEF"/>
    <w:rsid w:val="2F265E4E"/>
    <w:rsid w:val="2F5A7DDB"/>
    <w:rsid w:val="2F664B0F"/>
    <w:rsid w:val="2FA50B1C"/>
    <w:rsid w:val="2FAD2601"/>
    <w:rsid w:val="2FAD33C2"/>
    <w:rsid w:val="2FF60004"/>
    <w:rsid w:val="2FFF0770"/>
    <w:rsid w:val="30073F62"/>
    <w:rsid w:val="304149D3"/>
    <w:rsid w:val="30D57C5D"/>
    <w:rsid w:val="30DA154E"/>
    <w:rsid w:val="311D4B00"/>
    <w:rsid w:val="312352B9"/>
    <w:rsid w:val="3179279B"/>
    <w:rsid w:val="3193030B"/>
    <w:rsid w:val="31C54436"/>
    <w:rsid w:val="31DE4CF4"/>
    <w:rsid w:val="32184A8F"/>
    <w:rsid w:val="3221486C"/>
    <w:rsid w:val="32387E25"/>
    <w:rsid w:val="32905583"/>
    <w:rsid w:val="32C70F99"/>
    <w:rsid w:val="333077D1"/>
    <w:rsid w:val="33400D8C"/>
    <w:rsid w:val="335B1D88"/>
    <w:rsid w:val="335C76C1"/>
    <w:rsid w:val="337B7322"/>
    <w:rsid w:val="33815A7E"/>
    <w:rsid w:val="33C022CF"/>
    <w:rsid w:val="34041D40"/>
    <w:rsid w:val="340616D0"/>
    <w:rsid w:val="34085961"/>
    <w:rsid w:val="34163F53"/>
    <w:rsid w:val="345E4EDA"/>
    <w:rsid w:val="3464452F"/>
    <w:rsid w:val="34851143"/>
    <w:rsid w:val="34AC63E7"/>
    <w:rsid w:val="34F903B8"/>
    <w:rsid w:val="351A6043"/>
    <w:rsid w:val="35427B0F"/>
    <w:rsid w:val="35447AEC"/>
    <w:rsid w:val="356B5D1D"/>
    <w:rsid w:val="357F49FA"/>
    <w:rsid w:val="358160D1"/>
    <w:rsid w:val="35883446"/>
    <w:rsid w:val="358B081F"/>
    <w:rsid w:val="35BA1005"/>
    <w:rsid w:val="35BA1508"/>
    <w:rsid w:val="35C04C25"/>
    <w:rsid w:val="35D75961"/>
    <w:rsid w:val="35FC548C"/>
    <w:rsid w:val="360B129A"/>
    <w:rsid w:val="364E1CC8"/>
    <w:rsid w:val="365D07B0"/>
    <w:rsid w:val="36A4475E"/>
    <w:rsid w:val="36AA5E0A"/>
    <w:rsid w:val="36CA0C5E"/>
    <w:rsid w:val="36CA1CEB"/>
    <w:rsid w:val="36D21E3E"/>
    <w:rsid w:val="36E032BC"/>
    <w:rsid w:val="36E9620D"/>
    <w:rsid w:val="36F6488E"/>
    <w:rsid w:val="371C74DF"/>
    <w:rsid w:val="372E04CB"/>
    <w:rsid w:val="374E6478"/>
    <w:rsid w:val="37520F41"/>
    <w:rsid w:val="3762161D"/>
    <w:rsid w:val="378679C0"/>
    <w:rsid w:val="378F65A8"/>
    <w:rsid w:val="37A12630"/>
    <w:rsid w:val="37AC319E"/>
    <w:rsid w:val="37D00869"/>
    <w:rsid w:val="37D44BCF"/>
    <w:rsid w:val="37DA7D0B"/>
    <w:rsid w:val="37EE3E36"/>
    <w:rsid w:val="38083993"/>
    <w:rsid w:val="38173356"/>
    <w:rsid w:val="385E5C62"/>
    <w:rsid w:val="38895400"/>
    <w:rsid w:val="38B062BB"/>
    <w:rsid w:val="38B3500B"/>
    <w:rsid w:val="38BD4DB8"/>
    <w:rsid w:val="38C56C0D"/>
    <w:rsid w:val="38D46E50"/>
    <w:rsid w:val="38DE52AC"/>
    <w:rsid w:val="38E946D1"/>
    <w:rsid w:val="391A096E"/>
    <w:rsid w:val="39A77BA6"/>
    <w:rsid w:val="39C07B4A"/>
    <w:rsid w:val="39E45DE4"/>
    <w:rsid w:val="3A1273C6"/>
    <w:rsid w:val="3A2160C5"/>
    <w:rsid w:val="3A451F82"/>
    <w:rsid w:val="3A493A3A"/>
    <w:rsid w:val="3A5E2E76"/>
    <w:rsid w:val="3A6D6A80"/>
    <w:rsid w:val="3A76310C"/>
    <w:rsid w:val="3A9C4892"/>
    <w:rsid w:val="3AE06945"/>
    <w:rsid w:val="3B1339F6"/>
    <w:rsid w:val="3B356279"/>
    <w:rsid w:val="3B5953EB"/>
    <w:rsid w:val="3B5C6947"/>
    <w:rsid w:val="3B7F7C46"/>
    <w:rsid w:val="3B8406BA"/>
    <w:rsid w:val="3B88795E"/>
    <w:rsid w:val="3B965AEE"/>
    <w:rsid w:val="3BBA063F"/>
    <w:rsid w:val="3BDE19D1"/>
    <w:rsid w:val="3BDF7962"/>
    <w:rsid w:val="3BF408BA"/>
    <w:rsid w:val="3C6B74E7"/>
    <w:rsid w:val="3C893FAF"/>
    <w:rsid w:val="3CA827C1"/>
    <w:rsid w:val="3CAD59EE"/>
    <w:rsid w:val="3CDA4418"/>
    <w:rsid w:val="3CE753A4"/>
    <w:rsid w:val="3D2D2A65"/>
    <w:rsid w:val="3D38095E"/>
    <w:rsid w:val="3D413E5D"/>
    <w:rsid w:val="3D723DD3"/>
    <w:rsid w:val="3D751F42"/>
    <w:rsid w:val="3DA54918"/>
    <w:rsid w:val="3DA87F4F"/>
    <w:rsid w:val="3DE21EFD"/>
    <w:rsid w:val="3DF2491B"/>
    <w:rsid w:val="3E0C4997"/>
    <w:rsid w:val="3E1E0BD5"/>
    <w:rsid w:val="3E2919ED"/>
    <w:rsid w:val="3E2C6003"/>
    <w:rsid w:val="3E941710"/>
    <w:rsid w:val="3EDE6349"/>
    <w:rsid w:val="3EF05606"/>
    <w:rsid w:val="3F0C0E76"/>
    <w:rsid w:val="3F6A3151"/>
    <w:rsid w:val="3F874C1D"/>
    <w:rsid w:val="400A4EA6"/>
    <w:rsid w:val="40153FD6"/>
    <w:rsid w:val="4027017D"/>
    <w:rsid w:val="402757C1"/>
    <w:rsid w:val="40324B88"/>
    <w:rsid w:val="403F2E01"/>
    <w:rsid w:val="40420B44"/>
    <w:rsid w:val="40534AFF"/>
    <w:rsid w:val="40814B23"/>
    <w:rsid w:val="4083151E"/>
    <w:rsid w:val="408E72C3"/>
    <w:rsid w:val="408E7BCF"/>
    <w:rsid w:val="408F66A7"/>
    <w:rsid w:val="40AB15B8"/>
    <w:rsid w:val="40AB66E9"/>
    <w:rsid w:val="40B26236"/>
    <w:rsid w:val="40C14C05"/>
    <w:rsid w:val="40F04347"/>
    <w:rsid w:val="41073554"/>
    <w:rsid w:val="416359C8"/>
    <w:rsid w:val="41681350"/>
    <w:rsid w:val="416F668A"/>
    <w:rsid w:val="419378A9"/>
    <w:rsid w:val="419F6662"/>
    <w:rsid w:val="41A72D03"/>
    <w:rsid w:val="41BC55E0"/>
    <w:rsid w:val="41BF069E"/>
    <w:rsid w:val="41CC6917"/>
    <w:rsid w:val="41DD3F9B"/>
    <w:rsid w:val="420B7389"/>
    <w:rsid w:val="42246FB6"/>
    <w:rsid w:val="422E4785"/>
    <w:rsid w:val="423563C7"/>
    <w:rsid w:val="427B2293"/>
    <w:rsid w:val="42AA7468"/>
    <w:rsid w:val="42C57370"/>
    <w:rsid w:val="42C80E0F"/>
    <w:rsid w:val="430832B2"/>
    <w:rsid w:val="43144276"/>
    <w:rsid w:val="43264088"/>
    <w:rsid w:val="432E4A0D"/>
    <w:rsid w:val="43333AFF"/>
    <w:rsid w:val="434966C0"/>
    <w:rsid w:val="434C4B79"/>
    <w:rsid w:val="43500D8E"/>
    <w:rsid w:val="43603D96"/>
    <w:rsid w:val="437C4518"/>
    <w:rsid w:val="438B5013"/>
    <w:rsid w:val="43900453"/>
    <w:rsid w:val="43903D02"/>
    <w:rsid w:val="439873F8"/>
    <w:rsid w:val="439E0787"/>
    <w:rsid w:val="43B87C14"/>
    <w:rsid w:val="43BC29BB"/>
    <w:rsid w:val="43CB7C06"/>
    <w:rsid w:val="43CE514A"/>
    <w:rsid w:val="43F26816"/>
    <w:rsid w:val="44024872"/>
    <w:rsid w:val="44064B1D"/>
    <w:rsid w:val="445769C9"/>
    <w:rsid w:val="44637696"/>
    <w:rsid w:val="44740DA7"/>
    <w:rsid w:val="44C02B2F"/>
    <w:rsid w:val="44C7578F"/>
    <w:rsid w:val="44D31AB8"/>
    <w:rsid w:val="44EF728A"/>
    <w:rsid w:val="45111167"/>
    <w:rsid w:val="4517597F"/>
    <w:rsid w:val="451F6108"/>
    <w:rsid w:val="453864C5"/>
    <w:rsid w:val="45442C68"/>
    <w:rsid w:val="454815E5"/>
    <w:rsid w:val="457C2033"/>
    <w:rsid w:val="465313B5"/>
    <w:rsid w:val="466A125B"/>
    <w:rsid w:val="466D3A64"/>
    <w:rsid w:val="467632F5"/>
    <w:rsid w:val="46994235"/>
    <w:rsid w:val="46A2549B"/>
    <w:rsid w:val="46A95479"/>
    <w:rsid w:val="46B53CB8"/>
    <w:rsid w:val="46B856BC"/>
    <w:rsid w:val="46F77B89"/>
    <w:rsid w:val="46FD7572"/>
    <w:rsid w:val="472104F4"/>
    <w:rsid w:val="47275881"/>
    <w:rsid w:val="4743767B"/>
    <w:rsid w:val="47487E06"/>
    <w:rsid w:val="475353E4"/>
    <w:rsid w:val="4757256C"/>
    <w:rsid w:val="47777325"/>
    <w:rsid w:val="47836C2B"/>
    <w:rsid w:val="479E023F"/>
    <w:rsid w:val="47F15329"/>
    <w:rsid w:val="47FC6E81"/>
    <w:rsid w:val="48686598"/>
    <w:rsid w:val="487B3318"/>
    <w:rsid w:val="48AD5394"/>
    <w:rsid w:val="48B43184"/>
    <w:rsid w:val="48B47B09"/>
    <w:rsid w:val="48B93029"/>
    <w:rsid w:val="48DB14EE"/>
    <w:rsid w:val="493F1574"/>
    <w:rsid w:val="49726A4B"/>
    <w:rsid w:val="49A63EF1"/>
    <w:rsid w:val="49B45E75"/>
    <w:rsid w:val="49C308D2"/>
    <w:rsid w:val="49C5554F"/>
    <w:rsid w:val="4A076C56"/>
    <w:rsid w:val="4A0C5C52"/>
    <w:rsid w:val="4A431F7F"/>
    <w:rsid w:val="4A711501"/>
    <w:rsid w:val="4AA77F21"/>
    <w:rsid w:val="4AAF0341"/>
    <w:rsid w:val="4ADE5F63"/>
    <w:rsid w:val="4AE253FD"/>
    <w:rsid w:val="4B097E96"/>
    <w:rsid w:val="4B105AC6"/>
    <w:rsid w:val="4B3E34E1"/>
    <w:rsid w:val="4B4B0E2E"/>
    <w:rsid w:val="4B6F7507"/>
    <w:rsid w:val="4B7B64DF"/>
    <w:rsid w:val="4B8C78A0"/>
    <w:rsid w:val="4BA10E14"/>
    <w:rsid w:val="4BB73B85"/>
    <w:rsid w:val="4BD01C29"/>
    <w:rsid w:val="4BF478AD"/>
    <w:rsid w:val="4C0C77BC"/>
    <w:rsid w:val="4C0D38CD"/>
    <w:rsid w:val="4C17384D"/>
    <w:rsid w:val="4C257A37"/>
    <w:rsid w:val="4C2707A1"/>
    <w:rsid w:val="4C4F1A9E"/>
    <w:rsid w:val="4C64712B"/>
    <w:rsid w:val="4C700EF1"/>
    <w:rsid w:val="4C760354"/>
    <w:rsid w:val="4C9C1570"/>
    <w:rsid w:val="4CC17176"/>
    <w:rsid w:val="4CF21B5F"/>
    <w:rsid w:val="4D7F6F33"/>
    <w:rsid w:val="4DA6515D"/>
    <w:rsid w:val="4DD972EA"/>
    <w:rsid w:val="4DDD4EEC"/>
    <w:rsid w:val="4DF50B78"/>
    <w:rsid w:val="4DF616CB"/>
    <w:rsid w:val="4E1D6BA2"/>
    <w:rsid w:val="4E5A1331"/>
    <w:rsid w:val="4E5A5ADC"/>
    <w:rsid w:val="4E651BED"/>
    <w:rsid w:val="4E6938E7"/>
    <w:rsid w:val="4E6A5759"/>
    <w:rsid w:val="4E701DC0"/>
    <w:rsid w:val="4E9065D4"/>
    <w:rsid w:val="4E93713A"/>
    <w:rsid w:val="4EAB5FD9"/>
    <w:rsid w:val="4EAD7E14"/>
    <w:rsid w:val="4EBB21ED"/>
    <w:rsid w:val="4ECA741E"/>
    <w:rsid w:val="4EDA2F0D"/>
    <w:rsid w:val="4EDA6A05"/>
    <w:rsid w:val="4F006719"/>
    <w:rsid w:val="4F2E489B"/>
    <w:rsid w:val="4F4C72E9"/>
    <w:rsid w:val="4F5166AD"/>
    <w:rsid w:val="4F5D25FD"/>
    <w:rsid w:val="4F6121B7"/>
    <w:rsid w:val="4F643265"/>
    <w:rsid w:val="4F741231"/>
    <w:rsid w:val="4FB41D44"/>
    <w:rsid w:val="4FB93303"/>
    <w:rsid w:val="4FBC32D6"/>
    <w:rsid w:val="50105D76"/>
    <w:rsid w:val="501E2A33"/>
    <w:rsid w:val="507A4445"/>
    <w:rsid w:val="508D452C"/>
    <w:rsid w:val="50BF6E81"/>
    <w:rsid w:val="50FF0870"/>
    <w:rsid w:val="51024103"/>
    <w:rsid w:val="5131339E"/>
    <w:rsid w:val="513D513B"/>
    <w:rsid w:val="513F080C"/>
    <w:rsid w:val="517E4370"/>
    <w:rsid w:val="518E2B89"/>
    <w:rsid w:val="519E4696"/>
    <w:rsid w:val="51A833A5"/>
    <w:rsid w:val="51C00C5F"/>
    <w:rsid w:val="51E37C2A"/>
    <w:rsid w:val="51F64B4D"/>
    <w:rsid w:val="51F90C88"/>
    <w:rsid w:val="521D7E30"/>
    <w:rsid w:val="526037D7"/>
    <w:rsid w:val="52627693"/>
    <w:rsid w:val="52654DCD"/>
    <w:rsid w:val="52A43369"/>
    <w:rsid w:val="52DA541F"/>
    <w:rsid w:val="5306542C"/>
    <w:rsid w:val="53177C0E"/>
    <w:rsid w:val="5328270F"/>
    <w:rsid w:val="532B582C"/>
    <w:rsid w:val="533662E6"/>
    <w:rsid w:val="53390376"/>
    <w:rsid w:val="533B37EB"/>
    <w:rsid w:val="533C1C56"/>
    <w:rsid w:val="533C207A"/>
    <w:rsid w:val="5357579E"/>
    <w:rsid w:val="53842532"/>
    <w:rsid w:val="53976CF9"/>
    <w:rsid w:val="54027A71"/>
    <w:rsid w:val="540A24A6"/>
    <w:rsid w:val="5418706E"/>
    <w:rsid w:val="541D6439"/>
    <w:rsid w:val="546A09A4"/>
    <w:rsid w:val="549E4143"/>
    <w:rsid w:val="54C55FCD"/>
    <w:rsid w:val="54E802D2"/>
    <w:rsid w:val="54EC069B"/>
    <w:rsid w:val="552535BC"/>
    <w:rsid w:val="55342CF9"/>
    <w:rsid w:val="553813F1"/>
    <w:rsid w:val="55540CA5"/>
    <w:rsid w:val="557E3F74"/>
    <w:rsid w:val="55821076"/>
    <w:rsid w:val="55DF2C65"/>
    <w:rsid w:val="56493792"/>
    <w:rsid w:val="56777341"/>
    <w:rsid w:val="56943A17"/>
    <w:rsid w:val="56AA3DFF"/>
    <w:rsid w:val="56D402F0"/>
    <w:rsid w:val="572F4B71"/>
    <w:rsid w:val="575329D5"/>
    <w:rsid w:val="57D01595"/>
    <w:rsid w:val="581A3D04"/>
    <w:rsid w:val="58317C08"/>
    <w:rsid w:val="583B48F5"/>
    <w:rsid w:val="5865652E"/>
    <w:rsid w:val="58743095"/>
    <w:rsid w:val="593B7436"/>
    <w:rsid w:val="594015B1"/>
    <w:rsid w:val="5943350B"/>
    <w:rsid w:val="59554FEC"/>
    <w:rsid w:val="595A0DC1"/>
    <w:rsid w:val="596D4A2C"/>
    <w:rsid w:val="599B0EFC"/>
    <w:rsid w:val="59BD150F"/>
    <w:rsid w:val="59BE5DFE"/>
    <w:rsid w:val="59EA1596"/>
    <w:rsid w:val="5A130C2C"/>
    <w:rsid w:val="5A39563D"/>
    <w:rsid w:val="5A47370B"/>
    <w:rsid w:val="5AE0581C"/>
    <w:rsid w:val="5AE96334"/>
    <w:rsid w:val="5AF30F60"/>
    <w:rsid w:val="5B31213F"/>
    <w:rsid w:val="5B5F738D"/>
    <w:rsid w:val="5B9A7FF4"/>
    <w:rsid w:val="5BA54009"/>
    <w:rsid w:val="5BB26481"/>
    <w:rsid w:val="5BB32D18"/>
    <w:rsid w:val="5BE43388"/>
    <w:rsid w:val="5C5C591B"/>
    <w:rsid w:val="5C643EC4"/>
    <w:rsid w:val="5CCF1148"/>
    <w:rsid w:val="5CD4114D"/>
    <w:rsid w:val="5CD53D28"/>
    <w:rsid w:val="5CFA7568"/>
    <w:rsid w:val="5D0460DC"/>
    <w:rsid w:val="5D2366CB"/>
    <w:rsid w:val="5D3331A6"/>
    <w:rsid w:val="5D625800"/>
    <w:rsid w:val="5D8660BC"/>
    <w:rsid w:val="5D8A153C"/>
    <w:rsid w:val="5DE1497B"/>
    <w:rsid w:val="5E135BA1"/>
    <w:rsid w:val="5E1D1079"/>
    <w:rsid w:val="5E211941"/>
    <w:rsid w:val="5E4C39C0"/>
    <w:rsid w:val="5E4C4EB1"/>
    <w:rsid w:val="5E6A5C84"/>
    <w:rsid w:val="5E6D59C3"/>
    <w:rsid w:val="5E9341CF"/>
    <w:rsid w:val="5E9C0CBE"/>
    <w:rsid w:val="5EDA6373"/>
    <w:rsid w:val="5EF46D8B"/>
    <w:rsid w:val="5F180162"/>
    <w:rsid w:val="5F514BE2"/>
    <w:rsid w:val="5F555D46"/>
    <w:rsid w:val="5F5A15AE"/>
    <w:rsid w:val="5F670268"/>
    <w:rsid w:val="5F871E55"/>
    <w:rsid w:val="5F9C1BC7"/>
    <w:rsid w:val="5FDD555A"/>
    <w:rsid w:val="5FFB68ED"/>
    <w:rsid w:val="601F4136"/>
    <w:rsid w:val="6022031E"/>
    <w:rsid w:val="606F4BE5"/>
    <w:rsid w:val="60AA69DE"/>
    <w:rsid w:val="60C3313B"/>
    <w:rsid w:val="61007F33"/>
    <w:rsid w:val="61137122"/>
    <w:rsid w:val="61183C2B"/>
    <w:rsid w:val="61273712"/>
    <w:rsid w:val="617D1400"/>
    <w:rsid w:val="61876670"/>
    <w:rsid w:val="61903A3C"/>
    <w:rsid w:val="61905523"/>
    <w:rsid w:val="6196533C"/>
    <w:rsid w:val="61C24BFD"/>
    <w:rsid w:val="61C81C8C"/>
    <w:rsid w:val="61DB0771"/>
    <w:rsid w:val="620774EF"/>
    <w:rsid w:val="626F41F4"/>
    <w:rsid w:val="627D7A8D"/>
    <w:rsid w:val="628A603B"/>
    <w:rsid w:val="62B04611"/>
    <w:rsid w:val="62C51707"/>
    <w:rsid w:val="62D578C9"/>
    <w:rsid w:val="63153AD6"/>
    <w:rsid w:val="634A483E"/>
    <w:rsid w:val="635D166D"/>
    <w:rsid w:val="637A3FCD"/>
    <w:rsid w:val="63AB4186"/>
    <w:rsid w:val="63C36260"/>
    <w:rsid w:val="63C51B85"/>
    <w:rsid w:val="63C81B89"/>
    <w:rsid w:val="64027360"/>
    <w:rsid w:val="642B45E0"/>
    <w:rsid w:val="64604EAC"/>
    <w:rsid w:val="64740A1C"/>
    <w:rsid w:val="64805FF8"/>
    <w:rsid w:val="64D7429C"/>
    <w:rsid w:val="64FD3DCA"/>
    <w:rsid w:val="650002E7"/>
    <w:rsid w:val="6507415B"/>
    <w:rsid w:val="65434447"/>
    <w:rsid w:val="654C2A11"/>
    <w:rsid w:val="654E3C48"/>
    <w:rsid w:val="659B09D6"/>
    <w:rsid w:val="65D200F0"/>
    <w:rsid w:val="65F73581"/>
    <w:rsid w:val="660F3F8C"/>
    <w:rsid w:val="66457796"/>
    <w:rsid w:val="669453A6"/>
    <w:rsid w:val="66A5387A"/>
    <w:rsid w:val="66BF5FFF"/>
    <w:rsid w:val="66C2621A"/>
    <w:rsid w:val="66C4655E"/>
    <w:rsid w:val="66F10A4A"/>
    <w:rsid w:val="674F7545"/>
    <w:rsid w:val="67537CF0"/>
    <w:rsid w:val="67656B1B"/>
    <w:rsid w:val="67660AF3"/>
    <w:rsid w:val="677775A8"/>
    <w:rsid w:val="679542C8"/>
    <w:rsid w:val="67A37331"/>
    <w:rsid w:val="67AE419D"/>
    <w:rsid w:val="67B22635"/>
    <w:rsid w:val="67BE74C9"/>
    <w:rsid w:val="683769EB"/>
    <w:rsid w:val="684F37DE"/>
    <w:rsid w:val="68B2669E"/>
    <w:rsid w:val="68CD37B6"/>
    <w:rsid w:val="68E22B52"/>
    <w:rsid w:val="68EB131E"/>
    <w:rsid w:val="68FD4652"/>
    <w:rsid w:val="69182A19"/>
    <w:rsid w:val="693A50E1"/>
    <w:rsid w:val="69764EE6"/>
    <w:rsid w:val="698C50B9"/>
    <w:rsid w:val="698E1753"/>
    <w:rsid w:val="69983F39"/>
    <w:rsid w:val="69CA10DE"/>
    <w:rsid w:val="69CE3E97"/>
    <w:rsid w:val="69D47128"/>
    <w:rsid w:val="69F07ED0"/>
    <w:rsid w:val="69FE3890"/>
    <w:rsid w:val="6A10379F"/>
    <w:rsid w:val="6A7A0A2B"/>
    <w:rsid w:val="6A7F636D"/>
    <w:rsid w:val="6A8A71EB"/>
    <w:rsid w:val="6AB5137F"/>
    <w:rsid w:val="6ACA4D44"/>
    <w:rsid w:val="6ADE7537"/>
    <w:rsid w:val="6AF05382"/>
    <w:rsid w:val="6B133F99"/>
    <w:rsid w:val="6B221B0E"/>
    <w:rsid w:val="6B426B13"/>
    <w:rsid w:val="6B6E6411"/>
    <w:rsid w:val="6B9419A4"/>
    <w:rsid w:val="6BC4672D"/>
    <w:rsid w:val="6BFA2464"/>
    <w:rsid w:val="6C2B6E1F"/>
    <w:rsid w:val="6C364F34"/>
    <w:rsid w:val="6C3A4520"/>
    <w:rsid w:val="6C3C213A"/>
    <w:rsid w:val="6C4038DA"/>
    <w:rsid w:val="6C501D6F"/>
    <w:rsid w:val="6C565BAA"/>
    <w:rsid w:val="6C6204DD"/>
    <w:rsid w:val="6C7543E1"/>
    <w:rsid w:val="6C764B1B"/>
    <w:rsid w:val="6C7D42B4"/>
    <w:rsid w:val="6C8203EB"/>
    <w:rsid w:val="6C8A3E98"/>
    <w:rsid w:val="6C963837"/>
    <w:rsid w:val="6C963B87"/>
    <w:rsid w:val="6CA96079"/>
    <w:rsid w:val="6CAC1F8A"/>
    <w:rsid w:val="6CAD0F6F"/>
    <w:rsid w:val="6CC81EA4"/>
    <w:rsid w:val="6D03681A"/>
    <w:rsid w:val="6D37776E"/>
    <w:rsid w:val="6D433529"/>
    <w:rsid w:val="6D69517B"/>
    <w:rsid w:val="6D69756C"/>
    <w:rsid w:val="6D741A8D"/>
    <w:rsid w:val="6DA73C10"/>
    <w:rsid w:val="6DD644F6"/>
    <w:rsid w:val="6DDA65C4"/>
    <w:rsid w:val="6E3B07FD"/>
    <w:rsid w:val="6E3F02ED"/>
    <w:rsid w:val="6E6D4CF7"/>
    <w:rsid w:val="6E920594"/>
    <w:rsid w:val="6EC8214A"/>
    <w:rsid w:val="6F1976C8"/>
    <w:rsid w:val="6FDE3B35"/>
    <w:rsid w:val="6FE07FF9"/>
    <w:rsid w:val="6FFC5967"/>
    <w:rsid w:val="70021CEB"/>
    <w:rsid w:val="703412AA"/>
    <w:rsid w:val="704838FD"/>
    <w:rsid w:val="706C5C60"/>
    <w:rsid w:val="707462C2"/>
    <w:rsid w:val="707F6878"/>
    <w:rsid w:val="709119F6"/>
    <w:rsid w:val="70AF7F0C"/>
    <w:rsid w:val="70C63A92"/>
    <w:rsid w:val="70D16063"/>
    <w:rsid w:val="70F562D7"/>
    <w:rsid w:val="713D64DC"/>
    <w:rsid w:val="71941D4C"/>
    <w:rsid w:val="719D6554"/>
    <w:rsid w:val="71B92164"/>
    <w:rsid w:val="71F7318A"/>
    <w:rsid w:val="721A3870"/>
    <w:rsid w:val="7231619E"/>
    <w:rsid w:val="72795F5D"/>
    <w:rsid w:val="72873F22"/>
    <w:rsid w:val="728E35F1"/>
    <w:rsid w:val="72DB435C"/>
    <w:rsid w:val="72E96A79"/>
    <w:rsid w:val="731750C1"/>
    <w:rsid w:val="737C6513"/>
    <w:rsid w:val="739641CD"/>
    <w:rsid w:val="73B344DE"/>
    <w:rsid w:val="73F76C73"/>
    <w:rsid w:val="73F84687"/>
    <w:rsid w:val="7423015F"/>
    <w:rsid w:val="742D0A23"/>
    <w:rsid w:val="746135D3"/>
    <w:rsid w:val="74B54B5C"/>
    <w:rsid w:val="74DD43BC"/>
    <w:rsid w:val="75156F04"/>
    <w:rsid w:val="75293576"/>
    <w:rsid w:val="752F4542"/>
    <w:rsid w:val="753541F8"/>
    <w:rsid w:val="75781DD0"/>
    <w:rsid w:val="75824D9D"/>
    <w:rsid w:val="759224B5"/>
    <w:rsid w:val="75A1363B"/>
    <w:rsid w:val="75AB1C93"/>
    <w:rsid w:val="75B92046"/>
    <w:rsid w:val="75D069B4"/>
    <w:rsid w:val="75F96FD3"/>
    <w:rsid w:val="76096CF6"/>
    <w:rsid w:val="761B163F"/>
    <w:rsid w:val="761F3505"/>
    <w:rsid w:val="763639D5"/>
    <w:rsid w:val="763E3663"/>
    <w:rsid w:val="76486327"/>
    <w:rsid w:val="766D176F"/>
    <w:rsid w:val="7671126A"/>
    <w:rsid w:val="76810114"/>
    <w:rsid w:val="76B36B7D"/>
    <w:rsid w:val="76C77A80"/>
    <w:rsid w:val="76E41762"/>
    <w:rsid w:val="76E46ECE"/>
    <w:rsid w:val="76F123A0"/>
    <w:rsid w:val="7717316E"/>
    <w:rsid w:val="774D2101"/>
    <w:rsid w:val="77603777"/>
    <w:rsid w:val="777D58A9"/>
    <w:rsid w:val="77901BB9"/>
    <w:rsid w:val="779B3C6B"/>
    <w:rsid w:val="77AB5706"/>
    <w:rsid w:val="77C7479C"/>
    <w:rsid w:val="78626435"/>
    <w:rsid w:val="78626A84"/>
    <w:rsid w:val="787B3EF7"/>
    <w:rsid w:val="787D26D8"/>
    <w:rsid w:val="788E3223"/>
    <w:rsid w:val="78A13AF5"/>
    <w:rsid w:val="78B05110"/>
    <w:rsid w:val="78BB0EB8"/>
    <w:rsid w:val="78C41E55"/>
    <w:rsid w:val="78E06AB0"/>
    <w:rsid w:val="78FE2B52"/>
    <w:rsid w:val="790B4090"/>
    <w:rsid w:val="79643504"/>
    <w:rsid w:val="79864C1B"/>
    <w:rsid w:val="798E0318"/>
    <w:rsid w:val="79A619F0"/>
    <w:rsid w:val="79AF62F8"/>
    <w:rsid w:val="79D7692E"/>
    <w:rsid w:val="79E25FFC"/>
    <w:rsid w:val="7A09540F"/>
    <w:rsid w:val="7A1F0FD2"/>
    <w:rsid w:val="7A313682"/>
    <w:rsid w:val="7A326EC1"/>
    <w:rsid w:val="7A376EBB"/>
    <w:rsid w:val="7A471B74"/>
    <w:rsid w:val="7A7C3EBE"/>
    <w:rsid w:val="7AC415A1"/>
    <w:rsid w:val="7AD93877"/>
    <w:rsid w:val="7AD973D3"/>
    <w:rsid w:val="7BA87505"/>
    <w:rsid w:val="7BF53DED"/>
    <w:rsid w:val="7BFC0690"/>
    <w:rsid w:val="7C1D50F5"/>
    <w:rsid w:val="7C1E3C95"/>
    <w:rsid w:val="7C51106A"/>
    <w:rsid w:val="7C531F86"/>
    <w:rsid w:val="7C6106D5"/>
    <w:rsid w:val="7C6151AF"/>
    <w:rsid w:val="7C727ADF"/>
    <w:rsid w:val="7CA462E1"/>
    <w:rsid w:val="7CC540BD"/>
    <w:rsid w:val="7CF120A2"/>
    <w:rsid w:val="7D423759"/>
    <w:rsid w:val="7D43322A"/>
    <w:rsid w:val="7D695F1A"/>
    <w:rsid w:val="7D8C4BD1"/>
    <w:rsid w:val="7DA8304D"/>
    <w:rsid w:val="7DC13F0D"/>
    <w:rsid w:val="7DD956AA"/>
    <w:rsid w:val="7E064983"/>
    <w:rsid w:val="7E2D5B39"/>
    <w:rsid w:val="7E42351F"/>
    <w:rsid w:val="7E525E1A"/>
    <w:rsid w:val="7E7713DD"/>
    <w:rsid w:val="7EBB39C0"/>
    <w:rsid w:val="7ED160D1"/>
    <w:rsid w:val="7EDB5E10"/>
    <w:rsid w:val="7F035695"/>
    <w:rsid w:val="7F2B4D67"/>
    <w:rsid w:val="7F3B7B06"/>
    <w:rsid w:val="7F7359D0"/>
    <w:rsid w:val="7F9F5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pPr>
    <w:rPr>
      <w:rFonts w:ascii="宋体"/>
      <w:szCs w:val="20"/>
    </w:rPr>
  </w:style>
  <w:style w:type="paragraph" w:styleId="6">
    <w:name w:val="toa heading"/>
    <w:basedOn w:val="1"/>
    <w:next w:val="1"/>
    <w:qFormat/>
    <w:uiPriority w:val="0"/>
    <w:pPr>
      <w:spacing w:before="120"/>
    </w:pPr>
    <w:rPr>
      <w:rFonts w:ascii="Cambria" w:hAnsi="Cambria"/>
      <w:szCs w:val="20"/>
    </w:rPr>
  </w:style>
  <w:style w:type="paragraph" w:styleId="7">
    <w:name w:val="Body Text 3"/>
    <w:basedOn w:val="1"/>
    <w:next w:val="1"/>
    <w:qFormat/>
    <w:uiPriority w:val="0"/>
    <w:pPr>
      <w:spacing w:after="120"/>
    </w:pPr>
    <w:rPr>
      <w:sz w:val="16"/>
      <w:szCs w:val="16"/>
    </w:rPr>
  </w:style>
  <w:style w:type="paragraph" w:styleId="8">
    <w:name w:val="Body Text"/>
    <w:basedOn w:val="1"/>
    <w:next w:val="9"/>
    <w:qFormat/>
    <w:uiPriority w:val="99"/>
    <w:pPr>
      <w:numPr>
        <w:ilvl w:val="0"/>
        <w:numId w:val="1"/>
      </w:numPr>
      <w:ind w:left="0" w:firstLine="0"/>
    </w:pPr>
    <w:rPr>
      <w:rFonts w:ascii="黑体" w:eastAsia="黑体"/>
      <w:sz w:val="22"/>
    </w:rPr>
  </w:style>
  <w:style w:type="paragraph" w:customStyle="1" w:styleId="9">
    <w:name w:val="Quote"/>
    <w:basedOn w:val="1"/>
    <w:next w:val="1"/>
    <w:qFormat/>
    <w:uiPriority w:val="99"/>
    <w:rPr>
      <w:rFonts w:ascii="Calibri" w:hAnsi="Calibri" w:cs="Calibri"/>
      <w:i/>
      <w:iCs/>
      <w:color w:val="000000"/>
      <w:sz w:val="22"/>
      <w:szCs w:val="22"/>
    </w:rPr>
  </w:style>
  <w:style w:type="paragraph" w:styleId="10">
    <w:name w:val="Body Text Indent"/>
    <w:basedOn w:val="1"/>
    <w:next w:val="1"/>
    <w:qFormat/>
    <w:uiPriority w:val="0"/>
    <w:pPr>
      <w:spacing w:after="120"/>
      <w:ind w:left="200" w:leftChars="200"/>
    </w:pPr>
  </w:style>
  <w:style w:type="paragraph" w:styleId="11">
    <w:name w:val="Plain Text"/>
    <w:basedOn w:val="1"/>
    <w:next w:val="12"/>
    <w:qFormat/>
    <w:uiPriority w:val="0"/>
    <w:rPr>
      <w:rFonts w:ascii="宋体"/>
      <w:szCs w:val="20"/>
      <w:u w:color="000000"/>
    </w:rPr>
  </w:style>
  <w:style w:type="paragraph" w:styleId="12">
    <w:name w:val="index 7"/>
    <w:basedOn w:val="1"/>
    <w:next w:val="1"/>
    <w:qFormat/>
    <w:uiPriority w:val="0"/>
    <w:pPr>
      <w:ind w:left="1200" w:leftChars="1200"/>
    </w:pPr>
    <w:rPr>
      <w:color w:val="auto"/>
      <w:kern w:val="2"/>
    </w:rPr>
  </w:style>
  <w:style w:type="paragraph" w:styleId="13">
    <w:name w:val="Date"/>
    <w:basedOn w:val="1"/>
    <w:next w:val="1"/>
    <w:qFormat/>
    <w:uiPriority w:val="0"/>
    <w:rPr>
      <w:rFonts w:ascii="Arial" w:hAnsi="Arial" w:eastAsia="仿宋_GB2312"/>
      <w:sz w:val="32"/>
      <w:szCs w:val="20"/>
      <w:u w:color="000000"/>
    </w:rPr>
  </w:style>
  <w:style w:type="paragraph" w:styleId="14">
    <w:name w:val="Body Text Indent 2"/>
    <w:basedOn w:val="1"/>
    <w:qFormat/>
    <w:uiPriority w:val="0"/>
    <w:pPr>
      <w:ind w:firstLine="630"/>
    </w:pPr>
    <w:rPr>
      <w:sz w:val="32"/>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footnote text"/>
    <w:basedOn w:val="1"/>
    <w:unhideWhenUsed/>
    <w:qFormat/>
    <w:uiPriority w:val="99"/>
    <w:pPr>
      <w:snapToGrid w:val="0"/>
    </w:pPr>
    <w:rPr>
      <w:sz w:val="18"/>
      <w:szCs w:val="18"/>
    </w:rPr>
  </w:style>
  <w:style w:type="paragraph" w:styleId="19">
    <w:name w:val="Body Text 2"/>
    <w:basedOn w:val="1"/>
    <w:qFormat/>
    <w:uiPriority w:val="0"/>
    <w:pPr>
      <w:tabs>
        <w:tab w:val="left" w:pos="0"/>
      </w:tabs>
      <w:spacing w:line="400" w:lineRule="atLeast"/>
    </w:pPr>
    <w:rPr>
      <w:rFonts w:ascii="Arial" w:hAnsi="Arial"/>
    </w:rPr>
  </w:style>
  <w:style w:type="paragraph" w:styleId="20">
    <w:name w:val="Normal (Web)"/>
    <w:basedOn w:val="1"/>
    <w:next w:val="21"/>
    <w:qFormat/>
    <w:uiPriority w:val="99"/>
    <w:pPr>
      <w:widowControl/>
    </w:pPr>
    <w:rPr>
      <w:rFonts w:ascii="宋体" w:hAnsi="宋体" w:eastAsia="宋体" w:cs="宋体"/>
    </w:rPr>
  </w:style>
  <w:style w:type="paragraph" w:customStyle="1" w:styleId="21">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2">
    <w:name w:val="Title"/>
    <w:basedOn w:val="1"/>
    <w:qFormat/>
    <w:uiPriority w:val="0"/>
    <w:pPr>
      <w:spacing w:before="240" w:after="60"/>
      <w:jc w:val="center"/>
      <w:outlineLvl w:val="0"/>
    </w:pPr>
    <w:rPr>
      <w:rFonts w:ascii="Cambria" w:hAnsi="Cambria"/>
      <w:b/>
      <w:bCs/>
      <w:sz w:val="32"/>
      <w:szCs w:val="32"/>
    </w:rPr>
  </w:style>
  <w:style w:type="paragraph" w:styleId="23">
    <w:name w:val="Body Text First Indent"/>
    <w:basedOn w:val="8"/>
    <w:next w:val="1"/>
    <w:semiHidden/>
    <w:qFormat/>
    <w:uiPriority w:val="0"/>
    <w:pPr>
      <w:spacing w:line="400" w:lineRule="atLeast"/>
      <w:ind w:firstLine="426"/>
    </w:pPr>
    <w:rPr>
      <w:sz w:val="24"/>
    </w:rPr>
  </w:style>
  <w:style w:type="paragraph" w:styleId="24">
    <w:name w:val="Body Text First Indent 2"/>
    <w:basedOn w:val="10"/>
    <w:next w:val="5"/>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Hyperlink"/>
    <w:basedOn w:val="27"/>
    <w:qFormat/>
    <w:uiPriority w:val="99"/>
    <w:rPr>
      <w:color w:val="0000FF"/>
      <w:u w:val="single"/>
    </w:rPr>
  </w:style>
  <w:style w:type="character" w:styleId="30">
    <w:name w:val="footnote reference"/>
    <w:basedOn w:val="27"/>
    <w:unhideWhenUsed/>
    <w:qFormat/>
    <w:uiPriority w:val="99"/>
    <w:rPr>
      <w:vertAlign w:val="superscript"/>
    </w:rPr>
  </w:style>
  <w:style w:type="character" w:styleId="31">
    <w:name w:val="HTML Sample"/>
    <w:basedOn w:val="27"/>
    <w:qFormat/>
    <w:uiPriority w:val="0"/>
    <w:rPr>
      <w:rFonts w:ascii="Courier New" w:hAnsi="Courier New"/>
    </w:rPr>
  </w:style>
  <w:style w:type="paragraph" w:customStyle="1" w:styleId="32">
    <w:name w:val="一级条标题"/>
    <w:basedOn w:val="33"/>
    <w:next w:val="1"/>
    <w:qFormat/>
    <w:uiPriority w:val="99"/>
    <w:pPr>
      <w:ind w:left="420"/>
      <w:outlineLvl w:val="2"/>
    </w:pPr>
  </w:style>
  <w:style w:type="paragraph" w:customStyle="1" w:styleId="33">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5">
    <w:name w:val="No Spacing"/>
    <w:basedOn w:val="1"/>
    <w:qFormat/>
    <w:uiPriority w:val="1"/>
    <w:pPr>
      <w:adjustRightInd w:val="0"/>
      <w:snapToGrid w:val="0"/>
    </w:pPr>
    <w:rPr>
      <w:rFonts w:ascii="Tahoma" w:hAnsi="Tahoma" w:eastAsia="宋体" w:cs="Times New Roman"/>
      <w:sz w:val="22"/>
      <w:szCs w:val="22"/>
      <w:lang w:val="en-US" w:eastAsia="zh-CN" w:bidi="ar-SA"/>
    </w:rPr>
  </w:style>
  <w:style w:type="paragraph" w:customStyle="1" w:styleId="36">
    <w:name w:val="正文格式"/>
    <w:basedOn w:val="1"/>
    <w:qFormat/>
    <w:uiPriority w:val="99"/>
    <w:pPr>
      <w:widowControl/>
      <w:adjustRightInd w:val="0"/>
      <w:snapToGrid w:val="0"/>
      <w:spacing w:line="400" w:lineRule="atLeast"/>
      <w:ind w:firstLine="482"/>
      <w:textAlignment w:val="baseline"/>
    </w:pPr>
  </w:style>
  <w:style w:type="paragraph" w:customStyle="1" w:styleId="37">
    <w:name w:val="样式 样式 左侧:  2 字符 + 左侧:  0.85 厘米 首行缩进:  2 字符1"/>
    <w:basedOn w:val="1"/>
    <w:qFormat/>
    <w:uiPriority w:val="0"/>
    <w:pPr>
      <w:ind w:left="482" w:firstLine="200" w:firstLineChars="200"/>
    </w:pPr>
    <w:rPr>
      <w:rFonts w:cs="宋体"/>
      <w:szCs w:val="20"/>
    </w:rPr>
  </w:style>
  <w:style w:type="paragraph" w:customStyle="1" w:styleId="38">
    <w:name w:val="文档正文"/>
    <w:basedOn w:val="5"/>
    <w:qFormat/>
    <w:uiPriority w:val="0"/>
    <w:pPr>
      <w:spacing w:line="360" w:lineRule="auto"/>
    </w:pPr>
    <w:rPr>
      <w:rFonts w:hAnsi="宋体"/>
      <w:b/>
      <w:bCs/>
    </w:rPr>
  </w:style>
  <w:style w:type="paragraph" w:customStyle="1" w:styleId="39">
    <w:name w:val="_Style 2"/>
    <w:basedOn w:val="2"/>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40">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41">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42">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3">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4">
    <w:name w:val="Table caption|1"/>
    <w:basedOn w:val="1"/>
    <w:qFormat/>
    <w:uiPriority w:val="0"/>
    <w:rPr>
      <w:rFonts w:ascii="宋体" w:hAnsi="宋体" w:eastAsia="宋体" w:cs="宋体"/>
      <w:sz w:val="22"/>
      <w:szCs w:val="22"/>
      <w:lang w:val="zh-TW" w:eastAsia="zh-TW" w:bidi="zh-TW"/>
    </w:rPr>
  </w:style>
  <w:style w:type="paragraph" w:customStyle="1" w:styleId="45">
    <w:name w:val="Table Paragraph"/>
    <w:basedOn w:val="1"/>
    <w:qFormat/>
    <w:uiPriority w:val="1"/>
    <w:pPr>
      <w:autoSpaceDE w:val="0"/>
      <w:autoSpaceDN w:val="0"/>
      <w:adjustRightInd w:val="0"/>
    </w:pPr>
    <w:rPr>
      <w:rFonts w:eastAsia="宋体"/>
    </w:rPr>
  </w:style>
  <w:style w:type="paragraph" w:customStyle="1" w:styleId="46">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7">
    <w:name w:val="图例"/>
    <w:basedOn w:val="1"/>
    <w:qFormat/>
    <w:uiPriority w:val="0"/>
    <w:pPr>
      <w:spacing w:before="120" w:after="120" w:line="360" w:lineRule="auto"/>
      <w:jc w:val="center"/>
    </w:pPr>
    <w:rPr>
      <w:rFonts w:eastAsia="仿宋_GB2312"/>
      <w:b/>
    </w:rPr>
  </w:style>
  <w:style w:type="paragraph" w:customStyle="1" w:styleId="48">
    <w:name w:val="WPS Plain"/>
    <w:qFormat/>
    <w:uiPriority w:val="0"/>
    <w:rPr>
      <w:rFonts w:ascii="Times New Roman" w:hAnsi="Times New Roman" w:eastAsia="宋体" w:cs="Times New Roman"/>
      <w:lang w:val="en-US" w:eastAsia="zh-CN" w:bidi="ar-SA"/>
    </w:rPr>
  </w:style>
  <w:style w:type="paragraph" w:customStyle="1" w:styleId="49">
    <w:name w:val="样式 左侧:  0 厘米 悬挂缩进: 2.5 字符"/>
    <w:basedOn w:val="1"/>
    <w:qFormat/>
    <w:uiPriority w:val="0"/>
    <w:pPr>
      <w:ind w:left="525" w:hanging="525" w:hangingChars="250"/>
    </w:pPr>
    <w:rPr>
      <w:szCs w:val="20"/>
    </w:rPr>
  </w:style>
  <w:style w:type="character" w:customStyle="1" w:styleId="50">
    <w:name w:val="font11"/>
    <w:basedOn w:val="27"/>
    <w:qFormat/>
    <w:uiPriority w:val="0"/>
    <w:rPr>
      <w:rFonts w:ascii="Calibri" w:hAnsi="Calibri" w:cs="Calibri"/>
      <w:color w:val="000000"/>
      <w:sz w:val="20"/>
      <w:szCs w:val="20"/>
      <w:u w:val="none"/>
    </w:rPr>
  </w:style>
  <w:style w:type="paragraph" w:customStyle="1" w:styleId="51">
    <w:name w:val="List Paragraph"/>
    <w:basedOn w:val="1"/>
    <w:qFormat/>
    <w:uiPriority w:val="0"/>
    <w:pPr>
      <w:widowControl/>
      <w:ind w:firstLine="420" w:firstLineChars="200"/>
    </w:pPr>
  </w:style>
  <w:style w:type="paragraph" w:customStyle="1" w:styleId="52">
    <w:name w:val="列出段落1"/>
    <w:basedOn w:val="1"/>
    <w:qFormat/>
    <w:uiPriority w:val="34"/>
    <w:pPr>
      <w:ind w:firstLine="420" w:firstLineChars="200"/>
    </w:pPr>
  </w:style>
  <w:style w:type="table" w:customStyle="1" w:styleId="53">
    <w:name w:val="Table Normal"/>
    <w:unhideWhenUsed/>
    <w:qFormat/>
    <w:uiPriority w:val="0"/>
    <w:tblPr>
      <w:tblCellMar>
        <w:top w:w="0" w:type="dxa"/>
        <w:left w:w="0" w:type="dxa"/>
        <w:bottom w:w="0" w:type="dxa"/>
        <w:right w:w="0" w:type="dxa"/>
      </w:tblCellMar>
    </w:tblPr>
  </w:style>
  <w:style w:type="paragraph" w:customStyle="1" w:styleId="54">
    <w:name w:val="p15"/>
    <w:basedOn w:val="1"/>
    <w:qFormat/>
    <w:uiPriority w:val="0"/>
    <w:rPr>
      <w:rFonts w:ascii="Arial Unicode MS" w:hAnsi="Arial Unicode MS" w:eastAsia="宋体" w:cs="宋体"/>
    </w:rPr>
  </w:style>
  <w:style w:type="paragraph" w:customStyle="1" w:styleId="55">
    <w:name w:val="Body text|4"/>
    <w:basedOn w:val="1"/>
    <w:qFormat/>
    <w:uiPriority w:val="0"/>
    <w:pPr>
      <w:spacing w:after="580"/>
    </w:pPr>
    <w:rPr>
      <w:rFonts w:ascii="MingLiU" w:hAnsi="MingLiU" w:eastAsia="MingLiU" w:cs="MingLiU"/>
      <w:color w:val="00005D"/>
      <w:sz w:val="56"/>
      <w:szCs w:val="56"/>
      <w:lang w:val="zh-TW" w:eastAsia="zh-TW" w:bidi="zh-TW"/>
    </w:rPr>
  </w:style>
  <w:style w:type="paragraph" w:customStyle="1" w:styleId="56">
    <w:name w:val="BodyText"/>
    <w:basedOn w:val="1"/>
    <w:next w:val="1"/>
    <w:qFormat/>
    <w:uiPriority w:val="0"/>
    <w:pPr>
      <w:tabs>
        <w:tab w:val="left" w:pos="780"/>
      </w:tabs>
    </w:pPr>
    <w:rPr>
      <w:rFonts w:ascii="黑体" w:eastAsia="黑体"/>
      <w:sz w:val="22"/>
    </w:rPr>
  </w:style>
  <w:style w:type="character" w:customStyle="1" w:styleId="57">
    <w:name w:val="font31"/>
    <w:basedOn w:val="27"/>
    <w:qFormat/>
    <w:uiPriority w:val="0"/>
    <w:rPr>
      <w:rFonts w:hint="eastAsia" w:ascii="宋体" w:hAnsi="宋体" w:eastAsia="宋体" w:cs="宋体"/>
      <w:color w:val="000000"/>
      <w:sz w:val="21"/>
      <w:szCs w:val="21"/>
      <w:u w:val="none"/>
    </w:rPr>
  </w:style>
  <w:style w:type="character" w:customStyle="1" w:styleId="58">
    <w:name w:val="font21"/>
    <w:basedOn w:val="27"/>
    <w:qFormat/>
    <w:uiPriority w:val="0"/>
    <w:rPr>
      <w:rFonts w:hint="eastAsia" w:ascii="宋体" w:hAnsi="宋体" w:eastAsia="宋体" w:cs="宋体"/>
      <w:b/>
      <w:bCs/>
      <w:color w:val="000000"/>
      <w:sz w:val="21"/>
      <w:szCs w:val="21"/>
      <w:u w:val="none"/>
    </w:rPr>
  </w:style>
  <w:style w:type="paragraph" w:customStyle="1" w:styleId="59">
    <w:name w:val="wdcj_7_p"/>
    <w:basedOn w:val="1"/>
    <w:qFormat/>
    <w:uiPriority w:val="0"/>
    <w:pPr>
      <w:widowControl/>
      <w:spacing w:line="360" w:lineRule="auto"/>
      <w:ind w:firstLine="480"/>
      <w:jc w:val="left"/>
    </w:pPr>
    <w:rPr>
      <w:rFonts w:ascii="宋体" w:hAnsi="宋体" w:eastAsia="宋体" w:cs="宋体"/>
      <w:kern w:val="0"/>
      <w:sz w:val="24"/>
      <w:szCs w:val="24"/>
    </w:rPr>
  </w:style>
  <w:style w:type="paragraph" w:customStyle="1" w:styleId="60">
    <w:name w:val="wdcj_5_p"/>
    <w:basedOn w:val="1"/>
    <w:qFormat/>
    <w:uiPriority w:val="0"/>
    <w:pPr>
      <w:widowControl/>
      <w:spacing w:line="360" w:lineRule="auto"/>
      <w:jc w:val="left"/>
    </w:pPr>
    <w:rPr>
      <w:rFonts w:ascii="宋体" w:hAnsi="宋体" w:eastAsia="宋体" w:cs="宋体"/>
      <w:b/>
      <w:bCs/>
      <w:kern w:val="0"/>
      <w:sz w:val="24"/>
      <w:szCs w:val="24"/>
    </w:rPr>
  </w:style>
  <w:style w:type="paragraph" w:customStyle="1" w:styleId="61">
    <w:name w:val="wdcj_6_p"/>
    <w:basedOn w:val="1"/>
    <w:qFormat/>
    <w:uiPriority w:val="0"/>
    <w:pPr>
      <w:widowControl/>
      <w:spacing w:line="360" w:lineRule="auto"/>
      <w:jc w:val="left"/>
    </w:pPr>
    <w:rPr>
      <w:rFonts w:ascii="宋体" w:hAnsi="宋体" w:eastAsia="宋体" w:cs="宋体"/>
      <w:kern w:val="0"/>
      <w:sz w:val="24"/>
      <w:szCs w:val="24"/>
    </w:rPr>
  </w:style>
  <w:style w:type="paragraph" w:customStyle="1" w:styleId="62">
    <w:name w:val="Table Text"/>
    <w:basedOn w:val="1"/>
    <w:semiHidden/>
    <w:qFormat/>
    <w:uiPriority w:val="0"/>
    <w:rPr>
      <w:rFonts w:ascii="仿宋" w:hAnsi="仿宋" w:eastAsia="仿宋" w:cs="仿宋"/>
      <w:sz w:val="23"/>
      <w:szCs w:val="23"/>
      <w:lang w:bidi="ar-SA"/>
    </w:rPr>
  </w:style>
  <w:style w:type="paragraph" w:customStyle="1" w:styleId="63">
    <w:name w:val="正文1"/>
    <w:basedOn w:val="1"/>
    <w:next w:val="1"/>
    <w:qFormat/>
    <w:uiPriority w:val="0"/>
    <w:pPr>
      <w:ind w:firstLine="880"/>
      <w:jc w:val="left"/>
    </w:pPr>
    <w:rPr>
      <w:kern w:val="0"/>
      <w:szCs w:val="20"/>
    </w:rPr>
  </w:style>
  <w:style w:type="character" w:customStyle="1" w:styleId="64">
    <w:name w:val="font61"/>
    <w:basedOn w:val="27"/>
    <w:qFormat/>
    <w:uiPriority w:val="0"/>
    <w:rPr>
      <w:rFonts w:hint="eastAsia" w:ascii="仿宋" w:hAnsi="仿宋" w:eastAsia="仿宋" w:cs="仿宋"/>
      <w:color w:val="000000"/>
      <w:sz w:val="16"/>
      <w:szCs w:val="16"/>
      <w:u w:val="none"/>
    </w:rPr>
  </w:style>
  <w:style w:type="character" w:customStyle="1" w:styleId="65">
    <w:name w:val="font131"/>
    <w:basedOn w:val="27"/>
    <w:qFormat/>
    <w:uiPriority w:val="0"/>
    <w:rPr>
      <w:rFonts w:hint="eastAsia" w:ascii="宋体" w:hAnsi="宋体" w:eastAsia="宋体" w:cs="宋体"/>
      <w:b/>
      <w:bCs/>
      <w:color w:val="000000"/>
      <w:sz w:val="28"/>
      <w:szCs w:val="28"/>
      <w:u w:val="none"/>
    </w:rPr>
  </w:style>
  <w:style w:type="character" w:customStyle="1" w:styleId="66">
    <w:name w:val="font151"/>
    <w:basedOn w:val="27"/>
    <w:qFormat/>
    <w:uiPriority w:val="0"/>
    <w:rPr>
      <w:rFonts w:hint="eastAsia" w:ascii="宋体" w:hAnsi="宋体" w:eastAsia="宋体" w:cs="宋体"/>
      <w:b/>
      <w:bCs/>
      <w:color w:val="FF0000"/>
      <w:sz w:val="18"/>
      <w:szCs w:val="18"/>
      <w:u w:val="none"/>
    </w:rPr>
  </w:style>
  <w:style w:type="character" w:customStyle="1" w:styleId="67">
    <w:name w:val="font161"/>
    <w:basedOn w:val="27"/>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207" textRotate="1"/>
    <customShpInfo spid="_x0000_s2055"/>
    <customShpInfo spid="_x0000_s2209" textRotate="1"/>
    <customShpInfo spid="_x0000_s2054"/>
    <customShpInfo spid="_x0000_s2213" textRotate="1"/>
    <customShpInfo spid="_x0000_s2214" textRotate="1"/>
    <customShpInfo spid="_x0000_s2135"/>
    <customShpInfo spid="_x0000_s2215" textRotate="1"/>
    <customShpInfo spid="_x0000_s2216" textRotate="1"/>
    <customShpInfo spid="_x0000_s2217" textRotate="1"/>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99</Pages>
  <Words>6330</Words>
  <Characters>7177</Characters>
  <Lines>69</Lines>
  <Paragraphs>101</Paragraphs>
  <TotalTime>21</TotalTime>
  <ScaleCrop>false</ScaleCrop>
  <LinksUpToDate>false</LinksUpToDate>
  <CharactersWithSpaces>7396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꧁梦꧂</cp:lastModifiedBy>
  <cp:lastPrinted>2024-07-29T08:36:00Z</cp:lastPrinted>
  <dcterms:modified xsi:type="dcterms:W3CDTF">2025-07-15T09:14:04Z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94C51C96D3E7441A86BCA96E7DAD6431</vt:lpwstr>
  </property>
  <property fmtid="{D5CDD505-2E9C-101B-9397-08002B2CF9AE}" pid="4" name="KSOTemplateDocerSaveRecord">
    <vt:lpwstr>eyJoZGlkIjoiYzI5ZjNhMjRiZjllNGEyMWY1ZGY5YjdlNzc3ZDMxZmEiLCJ1c2VySWQiOiIzMjM1MzI3MjgifQ==</vt:lpwstr>
  </property>
</Properties>
</file>