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41209">
      <w:pPr>
        <w:pageBreakBefore w:val="0"/>
        <w:wordWrap/>
        <w:topLinePunct w:val="0"/>
        <w:bidi w:val="0"/>
        <w:spacing w:line="480" w:lineRule="exact"/>
        <w:rPr>
          <w:rFonts w:hint="eastAsia" w:ascii="仿宋" w:hAnsi="仿宋" w:eastAsia="仿宋" w:cs="仿宋"/>
          <w:color w:val="auto"/>
          <w:sz w:val="24"/>
          <w:szCs w:val="24"/>
        </w:rPr>
      </w:pPr>
    </w:p>
    <w:p w14:paraId="4FCFDA9A">
      <w:pPr>
        <w:pageBreakBefore w:val="0"/>
        <w:wordWrap/>
        <w:topLinePunct w:val="0"/>
        <w:bidi w:val="0"/>
        <w:spacing w:line="480" w:lineRule="exact"/>
        <w:rPr>
          <w:rFonts w:hint="eastAsia" w:ascii="仿宋" w:hAnsi="仿宋" w:eastAsia="仿宋" w:cs="仿宋"/>
          <w:color w:val="auto"/>
          <w:sz w:val="24"/>
          <w:szCs w:val="24"/>
        </w:rPr>
      </w:pPr>
    </w:p>
    <w:p w14:paraId="4E86839F">
      <w:pPr>
        <w:pageBreakBefore w:val="0"/>
        <w:wordWrap/>
        <w:topLinePunct w:val="0"/>
        <w:bidi w:val="0"/>
        <w:spacing w:line="480" w:lineRule="exact"/>
        <w:rPr>
          <w:rFonts w:hint="eastAsia" w:ascii="仿宋" w:hAnsi="仿宋" w:eastAsia="仿宋" w:cs="仿宋"/>
          <w:color w:val="auto"/>
          <w:sz w:val="24"/>
          <w:szCs w:val="24"/>
        </w:rPr>
      </w:pPr>
    </w:p>
    <w:p w14:paraId="249FD23C">
      <w:pPr>
        <w:widowControl w:val="0"/>
        <w:kinsoku/>
        <w:autoSpaceDE/>
        <w:autoSpaceDN/>
        <w:adjustRightInd/>
        <w:snapToGrid/>
        <w:spacing w:line="360" w:lineRule="auto"/>
        <w:jc w:val="center"/>
        <w:textAlignment w:val="auto"/>
        <w:rPr>
          <w:rFonts w:hint="eastAsia" w:ascii="宋体" w:hAnsi="宋体" w:eastAsia="宋体" w:cs="宋体-18030"/>
          <w:b/>
          <w:bCs/>
          <w:snapToGrid/>
          <w:color w:val="auto"/>
          <w:kern w:val="0"/>
          <w:sz w:val="52"/>
          <w:szCs w:val="52"/>
          <w:lang w:eastAsia="zh-CN"/>
        </w:rPr>
      </w:pPr>
      <w:r>
        <w:rPr>
          <w:rFonts w:hint="eastAsia" w:ascii="宋体" w:hAnsi="宋体" w:eastAsia="宋体" w:cs="宋体-18030"/>
          <w:b/>
          <w:bCs/>
          <w:snapToGrid/>
          <w:color w:val="auto"/>
          <w:kern w:val="0"/>
          <w:sz w:val="52"/>
          <w:szCs w:val="52"/>
          <w:lang w:eastAsia="zh-CN"/>
        </w:rPr>
        <w:t>昌吉市公园游园整治提升项目</w:t>
      </w:r>
    </w:p>
    <w:p w14:paraId="33259102">
      <w:pPr>
        <w:pageBreakBefore w:val="0"/>
        <w:wordWrap/>
        <w:topLinePunct w:val="0"/>
        <w:bidi w:val="0"/>
        <w:spacing w:line="480" w:lineRule="exact"/>
        <w:jc w:val="center"/>
        <w:rPr>
          <w:rFonts w:hint="eastAsia" w:ascii="仿宋" w:hAnsi="仿宋" w:eastAsia="仿宋" w:cs="仿宋"/>
          <w:b/>
          <w:bCs/>
          <w:color w:val="auto"/>
          <w:sz w:val="52"/>
          <w:szCs w:val="52"/>
        </w:rPr>
      </w:pPr>
    </w:p>
    <w:p w14:paraId="62693466">
      <w:pPr>
        <w:pageBreakBefore w:val="0"/>
        <w:wordWrap/>
        <w:topLinePunct w:val="0"/>
        <w:bidi w:val="0"/>
        <w:spacing w:line="480" w:lineRule="exact"/>
        <w:jc w:val="both"/>
        <w:rPr>
          <w:rFonts w:hint="eastAsia" w:ascii="仿宋" w:hAnsi="仿宋" w:eastAsia="仿宋" w:cs="仿宋"/>
          <w:b/>
          <w:bCs/>
          <w:color w:val="auto"/>
          <w:sz w:val="52"/>
          <w:szCs w:val="52"/>
        </w:rPr>
      </w:pPr>
    </w:p>
    <w:p w14:paraId="32790A46">
      <w:pPr>
        <w:pageBreakBefore w:val="0"/>
        <w:wordWrap/>
        <w:topLinePunct w:val="0"/>
        <w:bidi w:val="0"/>
        <w:spacing w:line="480" w:lineRule="exact"/>
        <w:jc w:val="center"/>
        <w:rPr>
          <w:rFonts w:hint="eastAsia" w:ascii="仿宋" w:hAnsi="仿宋" w:eastAsia="仿宋" w:cs="仿宋"/>
          <w:b/>
          <w:bCs/>
          <w:color w:val="auto"/>
          <w:sz w:val="52"/>
          <w:szCs w:val="52"/>
        </w:rPr>
      </w:pPr>
    </w:p>
    <w:p w14:paraId="1A482ACB">
      <w:pPr>
        <w:pageBreakBefore w:val="0"/>
        <w:wordWrap/>
        <w:topLinePunct w:val="0"/>
        <w:bidi w:val="0"/>
        <w:spacing w:line="480" w:lineRule="exact"/>
        <w:jc w:val="center"/>
        <w:rPr>
          <w:rFonts w:hint="eastAsia" w:ascii="仿宋" w:hAnsi="仿宋" w:eastAsia="仿宋" w:cs="仿宋"/>
          <w:b/>
          <w:bCs/>
          <w:color w:val="auto"/>
          <w:sz w:val="52"/>
          <w:szCs w:val="52"/>
        </w:rPr>
      </w:pPr>
    </w:p>
    <w:p w14:paraId="4428C295">
      <w:pPr>
        <w:widowControl w:val="0"/>
        <w:kinsoku/>
        <w:autoSpaceDE/>
        <w:autoSpaceDN/>
        <w:adjustRightInd/>
        <w:snapToGrid/>
        <w:spacing w:line="360" w:lineRule="auto"/>
        <w:jc w:val="center"/>
        <w:textAlignment w:val="auto"/>
        <w:rPr>
          <w:rFonts w:hint="eastAsia" w:ascii="宋体" w:hAnsi="宋体" w:eastAsia="宋体" w:cs="宋体-18030"/>
          <w:b/>
          <w:bCs/>
          <w:snapToGrid/>
          <w:color w:val="auto"/>
          <w:kern w:val="0"/>
          <w:sz w:val="52"/>
          <w:szCs w:val="52"/>
          <w:lang w:eastAsia="zh-CN"/>
        </w:rPr>
      </w:pPr>
      <w:bookmarkStart w:id="0" w:name="_Toc8290"/>
      <w:r>
        <w:rPr>
          <w:rFonts w:hint="eastAsia" w:ascii="宋体" w:hAnsi="宋体" w:eastAsia="宋体" w:cs="宋体-18030"/>
          <w:b/>
          <w:bCs/>
          <w:snapToGrid/>
          <w:color w:val="auto"/>
          <w:kern w:val="0"/>
          <w:sz w:val="52"/>
          <w:szCs w:val="52"/>
          <w:lang w:eastAsia="zh-CN"/>
        </w:rPr>
        <w:t>竞争性磋商文件</w:t>
      </w:r>
      <w:bookmarkEnd w:id="0"/>
    </w:p>
    <w:p w14:paraId="241A279A">
      <w:pPr>
        <w:pageBreakBefore w:val="0"/>
        <w:wordWrap/>
        <w:topLinePunct w:val="0"/>
        <w:bidi w:val="0"/>
        <w:spacing w:line="480" w:lineRule="exact"/>
        <w:rPr>
          <w:rFonts w:hint="eastAsia" w:ascii="仿宋" w:hAnsi="仿宋" w:eastAsia="仿宋" w:cs="仿宋"/>
          <w:color w:val="auto"/>
          <w:sz w:val="52"/>
          <w:szCs w:val="52"/>
        </w:rPr>
      </w:pPr>
    </w:p>
    <w:p w14:paraId="6515119D">
      <w:pPr>
        <w:pageBreakBefore w:val="0"/>
        <w:wordWrap/>
        <w:topLinePunct w:val="0"/>
        <w:bidi w:val="0"/>
        <w:spacing w:line="480" w:lineRule="exact"/>
        <w:rPr>
          <w:rFonts w:hint="eastAsia" w:ascii="仿宋" w:hAnsi="仿宋" w:eastAsia="仿宋" w:cs="仿宋"/>
          <w:color w:val="auto"/>
          <w:sz w:val="24"/>
          <w:szCs w:val="24"/>
        </w:rPr>
      </w:pPr>
    </w:p>
    <w:p w14:paraId="048C673A">
      <w:pPr>
        <w:pageBreakBefore w:val="0"/>
        <w:wordWrap/>
        <w:topLinePunct w:val="0"/>
        <w:bidi w:val="0"/>
        <w:spacing w:line="480" w:lineRule="exact"/>
        <w:rPr>
          <w:rFonts w:hint="eastAsia" w:ascii="仿宋" w:hAnsi="仿宋" w:eastAsia="仿宋" w:cs="仿宋"/>
          <w:color w:val="auto"/>
          <w:sz w:val="24"/>
          <w:szCs w:val="24"/>
        </w:rPr>
      </w:pPr>
    </w:p>
    <w:p w14:paraId="09907BE3">
      <w:pPr>
        <w:pageBreakBefore w:val="0"/>
        <w:wordWrap/>
        <w:topLinePunct w:val="0"/>
        <w:bidi w:val="0"/>
        <w:spacing w:line="480" w:lineRule="exact"/>
        <w:rPr>
          <w:rFonts w:hint="eastAsia" w:ascii="仿宋" w:hAnsi="仿宋" w:eastAsia="仿宋" w:cs="仿宋"/>
          <w:color w:val="auto"/>
          <w:sz w:val="24"/>
          <w:szCs w:val="24"/>
        </w:rPr>
      </w:pPr>
    </w:p>
    <w:p w14:paraId="7CEB037F">
      <w:pPr>
        <w:pageBreakBefore w:val="0"/>
        <w:wordWrap/>
        <w:topLinePunct w:val="0"/>
        <w:bidi w:val="0"/>
        <w:spacing w:line="480" w:lineRule="exact"/>
        <w:rPr>
          <w:rFonts w:hint="eastAsia" w:ascii="仿宋" w:hAnsi="仿宋" w:eastAsia="仿宋" w:cs="仿宋"/>
          <w:color w:val="auto"/>
          <w:sz w:val="24"/>
          <w:szCs w:val="24"/>
        </w:rPr>
      </w:pPr>
    </w:p>
    <w:p w14:paraId="4D7DFDBC">
      <w:pPr>
        <w:pageBreakBefore w:val="0"/>
        <w:wordWrap/>
        <w:topLinePunct w:val="0"/>
        <w:bidi w:val="0"/>
        <w:spacing w:line="480" w:lineRule="exact"/>
        <w:rPr>
          <w:rFonts w:hint="eastAsia" w:ascii="仿宋" w:hAnsi="仿宋" w:eastAsia="仿宋" w:cs="仿宋"/>
          <w:color w:val="auto"/>
          <w:sz w:val="24"/>
          <w:szCs w:val="24"/>
        </w:rPr>
      </w:pPr>
    </w:p>
    <w:p w14:paraId="1BA54D75">
      <w:pPr>
        <w:pageBreakBefore w:val="0"/>
        <w:wordWrap/>
        <w:topLinePunct w:val="0"/>
        <w:bidi w:val="0"/>
        <w:spacing w:line="480" w:lineRule="exact"/>
        <w:rPr>
          <w:rFonts w:hint="eastAsia" w:ascii="仿宋" w:hAnsi="仿宋" w:eastAsia="仿宋" w:cs="仿宋"/>
          <w:color w:val="auto"/>
          <w:sz w:val="24"/>
          <w:szCs w:val="24"/>
        </w:rPr>
      </w:pPr>
    </w:p>
    <w:p w14:paraId="724980BB">
      <w:pPr>
        <w:pageBreakBefore w:val="0"/>
        <w:wordWrap/>
        <w:topLinePunct w:val="0"/>
        <w:bidi w:val="0"/>
        <w:spacing w:line="480" w:lineRule="exact"/>
        <w:rPr>
          <w:rFonts w:hint="eastAsia" w:ascii="仿宋" w:hAnsi="仿宋" w:eastAsia="仿宋" w:cs="仿宋"/>
          <w:color w:val="auto"/>
          <w:sz w:val="28"/>
          <w:szCs w:val="28"/>
        </w:rPr>
      </w:pPr>
    </w:p>
    <w:p w14:paraId="5A19522A">
      <w:pPr>
        <w:pageBreakBefore w:val="0"/>
        <w:wordWrap/>
        <w:topLinePunct w:val="0"/>
        <w:bidi w:val="0"/>
        <w:spacing w:line="480" w:lineRule="exact"/>
        <w:rPr>
          <w:rFonts w:hint="eastAsia" w:ascii="仿宋" w:hAnsi="仿宋" w:eastAsia="仿宋" w:cs="仿宋"/>
          <w:color w:val="auto"/>
          <w:sz w:val="24"/>
          <w:szCs w:val="24"/>
        </w:rPr>
      </w:pPr>
    </w:p>
    <w:tbl>
      <w:tblPr>
        <w:tblStyle w:val="20"/>
        <w:tblpPr w:leftFromText="180" w:rightFromText="180" w:vertAnchor="text" w:horzAnchor="page" w:tblpX="1736" w:tblpY="169"/>
        <w:tblOverlap w:val="never"/>
        <w:tblW w:w="8421" w:type="dxa"/>
        <w:tblInd w:w="0" w:type="dxa"/>
        <w:tblLayout w:type="fixed"/>
        <w:tblCellMar>
          <w:top w:w="0" w:type="dxa"/>
          <w:left w:w="10" w:type="dxa"/>
          <w:bottom w:w="0" w:type="dxa"/>
          <w:right w:w="10" w:type="dxa"/>
        </w:tblCellMar>
      </w:tblPr>
      <w:tblGrid>
        <w:gridCol w:w="3183"/>
        <w:gridCol w:w="5238"/>
      </w:tblGrid>
      <w:tr w14:paraId="01AB475D">
        <w:tblPrEx>
          <w:tblCellMar>
            <w:top w:w="0" w:type="dxa"/>
            <w:left w:w="10" w:type="dxa"/>
            <w:bottom w:w="0" w:type="dxa"/>
            <w:right w:w="10" w:type="dxa"/>
          </w:tblCellMar>
        </w:tblPrEx>
        <w:trPr>
          <w:trHeight w:val="559" w:hRule="atLeast"/>
        </w:trPr>
        <w:tc>
          <w:tcPr>
            <w:tcW w:w="3183" w:type="dxa"/>
            <w:noWrap w:val="0"/>
            <w:vAlign w:val="center"/>
          </w:tcPr>
          <w:p w14:paraId="0763F5C7">
            <w:pPr>
              <w:spacing w:line="360" w:lineRule="auto"/>
              <w:jc w:val="distribute"/>
              <w:rPr>
                <w:b/>
                <w:color w:val="auto"/>
                <w:sz w:val="30"/>
                <w:szCs w:val="30"/>
              </w:rPr>
            </w:pPr>
            <w:r>
              <w:rPr>
                <w:rFonts w:hint="eastAsia"/>
                <w:b/>
                <w:color w:val="auto"/>
                <w:sz w:val="30"/>
                <w:szCs w:val="30"/>
                <w:lang w:eastAsia="zh-CN"/>
              </w:rPr>
              <w:t>采购人</w:t>
            </w:r>
            <w:r>
              <w:rPr>
                <w:b/>
                <w:color w:val="auto"/>
                <w:sz w:val="30"/>
                <w:szCs w:val="30"/>
              </w:rPr>
              <w:t>：</w:t>
            </w:r>
          </w:p>
        </w:tc>
        <w:tc>
          <w:tcPr>
            <w:tcW w:w="5238" w:type="dxa"/>
            <w:noWrap w:val="0"/>
            <w:vAlign w:val="center"/>
          </w:tcPr>
          <w:p w14:paraId="5A45C2C1">
            <w:pPr>
              <w:spacing w:line="360" w:lineRule="auto"/>
              <w:jc w:val="left"/>
              <w:rPr>
                <w:rFonts w:hint="eastAsia" w:eastAsia="宋体"/>
                <w:b/>
                <w:color w:val="auto"/>
                <w:sz w:val="30"/>
                <w:szCs w:val="30"/>
                <w:lang w:eastAsia="zh-CN"/>
              </w:rPr>
            </w:pPr>
            <w:r>
              <w:rPr>
                <w:rFonts w:hint="eastAsia"/>
                <w:b/>
                <w:color w:val="auto"/>
                <w:sz w:val="30"/>
                <w:szCs w:val="30"/>
                <w:lang w:val="en-US" w:eastAsia="zh-CN"/>
              </w:rPr>
              <w:t>昌吉市园林绿化管理中心</w:t>
            </w:r>
          </w:p>
        </w:tc>
      </w:tr>
      <w:tr w14:paraId="52DACB0A">
        <w:tblPrEx>
          <w:tblCellMar>
            <w:top w:w="0" w:type="dxa"/>
            <w:left w:w="10" w:type="dxa"/>
            <w:bottom w:w="0" w:type="dxa"/>
            <w:right w:w="10" w:type="dxa"/>
          </w:tblCellMar>
        </w:tblPrEx>
        <w:trPr>
          <w:trHeight w:val="708" w:hRule="atLeast"/>
        </w:trPr>
        <w:tc>
          <w:tcPr>
            <w:tcW w:w="3183" w:type="dxa"/>
            <w:noWrap w:val="0"/>
            <w:vAlign w:val="center"/>
          </w:tcPr>
          <w:p w14:paraId="00AA0ED4">
            <w:pPr>
              <w:spacing w:line="360" w:lineRule="auto"/>
              <w:rPr>
                <w:color w:val="auto"/>
                <w:sz w:val="30"/>
                <w:szCs w:val="30"/>
              </w:rPr>
            </w:pPr>
            <w:r>
              <w:rPr>
                <w:rFonts w:hint="eastAsia"/>
                <w:b/>
                <w:color w:val="auto"/>
                <w:sz w:val="30"/>
                <w:szCs w:val="30"/>
                <w:lang w:eastAsia="zh-CN"/>
              </w:rPr>
              <w:t>采</w:t>
            </w:r>
            <w:r>
              <w:rPr>
                <w:rFonts w:hint="eastAsia"/>
                <w:b/>
                <w:color w:val="auto"/>
                <w:sz w:val="30"/>
                <w:szCs w:val="30"/>
                <w:lang w:val="en-US" w:eastAsia="zh-CN"/>
              </w:rPr>
              <w:t xml:space="preserve"> </w:t>
            </w:r>
            <w:r>
              <w:rPr>
                <w:rFonts w:hint="eastAsia"/>
                <w:b/>
                <w:color w:val="auto"/>
                <w:sz w:val="30"/>
                <w:szCs w:val="30"/>
                <w:lang w:eastAsia="zh-CN"/>
              </w:rPr>
              <w:t>购</w:t>
            </w:r>
            <w:r>
              <w:rPr>
                <w:rFonts w:hint="eastAsia"/>
                <w:b/>
                <w:color w:val="auto"/>
                <w:sz w:val="30"/>
                <w:szCs w:val="30"/>
                <w:lang w:val="en-US" w:eastAsia="zh-CN"/>
              </w:rPr>
              <w:t xml:space="preserve"> </w:t>
            </w:r>
            <w:r>
              <w:rPr>
                <w:rFonts w:hint="eastAsia"/>
                <w:b/>
                <w:color w:val="auto"/>
                <w:sz w:val="30"/>
                <w:szCs w:val="30"/>
              </w:rPr>
              <w:t>代</w:t>
            </w:r>
            <w:r>
              <w:rPr>
                <w:rFonts w:hint="eastAsia" w:eastAsia="宋体"/>
                <w:b/>
                <w:color w:val="auto"/>
                <w:sz w:val="30"/>
                <w:szCs w:val="30"/>
                <w:lang w:val="en-US" w:eastAsia="zh-CN"/>
              </w:rPr>
              <w:t xml:space="preserve"> </w:t>
            </w:r>
            <w:r>
              <w:rPr>
                <w:rFonts w:hint="eastAsia"/>
                <w:b/>
                <w:color w:val="auto"/>
                <w:sz w:val="30"/>
                <w:szCs w:val="30"/>
              </w:rPr>
              <w:t>理</w:t>
            </w:r>
            <w:r>
              <w:rPr>
                <w:rFonts w:hint="eastAsia" w:eastAsia="宋体"/>
                <w:b/>
                <w:color w:val="auto"/>
                <w:sz w:val="30"/>
                <w:szCs w:val="30"/>
                <w:lang w:val="en-US" w:eastAsia="zh-CN"/>
              </w:rPr>
              <w:t xml:space="preserve"> </w:t>
            </w:r>
            <w:r>
              <w:rPr>
                <w:rFonts w:hint="eastAsia"/>
                <w:b/>
                <w:color w:val="auto"/>
                <w:sz w:val="30"/>
                <w:szCs w:val="30"/>
              </w:rPr>
              <w:t>机</w:t>
            </w:r>
            <w:r>
              <w:rPr>
                <w:rFonts w:hint="eastAsia" w:eastAsia="宋体"/>
                <w:b/>
                <w:color w:val="auto"/>
                <w:sz w:val="30"/>
                <w:szCs w:val="30"/>
                <w:lang w:val="en-US" w:eastAsia="zh-CN"/>
              </w:rPr>
              <w:t xml:space="preserve"> </w:t>
            </w:r>
            <w:r>
              <w:rPr>
                <w:rFonts w:hint="eastAsia"/>
                <w:b/>
                <w:color w:val="auto"/>
                <w:sz w:val="30"/>
                <w:szCs w:val="30"/>
              </w:rPr>
              <w:t>构</w:t>
            </w:r>
            <w:r>
              <w:rPr>
                <w:rFonts w:hint="eastAsia" w:eastAsia="宋体"/>
                <w:b/>
                <w:color w:val="auto"/>
                <w:sz w:val="30"/>
                <w:szCs w:val="30"/>
                <w:lang w:val="en-US" w:eastAsia="zh-CN"/>
              </w:rPr>
              <w:t xml:space="preserve">  </w:t>
            </w:r>
            <w:r>
              <w:rPr>
                <w:b/>
                <w:color w:val="auto"/>
                <w:sz w:val="30"/>
                <w:szCs w:val="30"/>
              </w:rPr>
              <w:t>：</w:t>
            </w:r>
          </w:p>
        </w:tc>
        <w:tc>
          <w:tcPr>
            <w:tcW w:w="5238" w:type="dxa"/>
            <w:noWrap w:val="0"/>
            <w:vAlign w:val="center"/>
          </w:tcPr>
          <w:p w14:paraId="509E210F">
            <w:pPr>
              <w:spacing w:line="360" w:lineRule="auto"/>
              <w:rPr>
                <w:rFonts w:hint="eastAsia"/>
                <w:b/>
                <w:color w:val="auto"/>
                <w:sz w:val="30"/>
                <w:szCs w:val="30"/>
              </w:rPr>
            </w:pPr>
            <w:r>
              <w:rPr>
                <w:rFonts w:hint="eastAsia"/>
                <w:b/>
                <w:color w:val="auto"/>
                <w:sz w:val="30"/>
                <w:szCs w:val="30"/>
              </w:rPr>
              <w:t>新疆昌盛方略项目管理有限公司</w:t>
            </w:r>
          </w:p>
        </w:tc>
      </w:tr>
      <w:tr w14:paraId="69F40FDA">
        <w:tblPrEx>
          <w:tblCellMar>
            <w:top w:w="0" w:type="dxa"/>
            <w:left w:w="10" w:type="dxa"/>
            <w:bottom w:w="0" w:type="dxa"/>
            <w:right w:w="10" w:type="dxa"/>
          </w:tblCellMar>
        </w:tblPrEx>
        <w:trPr>
          <w:trHeight w:val="708" w:hRule="atLeast"/>
        </w:trPr>
        <w:tc>
          <w:tcPr>
            <w:tcW w:w="3183" w:type="dxa"/>
            <w:noWrap w:val="0"/>
            <w:vAlign w:val="center"/>
          </w:tcPr>
          <w:p w14:paraId="720E231C">
            <w:pPr>
              <w:spacing w:line="360" w:lineRule="auto"/>
              <w:rPr>
                <w:rFonts w:hint="eastAsia"/>
                <w:b/>
                <w:color w:val="auto"/>
                <w:sz w:val="30"/>
                <w:szCs w:val="30"/>
                <w:lang w:eastAsia="zh-CN"/>
              </w:rPr>
            </w:pPr>
            <w:r>
              <w:rPr>
                <w:rFonts w:hint="eastAsia"/>
                <w:b/>
                <w:color w:val="auto"/>
                <w:sz w:val="30"/>
                <w:szCs w:val="30"/>
                <w:lang w:eastAsia="zh-CN"/>
              </w:rPr>
              <w:t>项</w:t>
            </w:r>
            <w:r>
              <w:rPr>
                <w:rFonts w:hint="eastAsia"/>
                <w:b/>
                <w:color w:val="auto"/>
                <w:sz w:val="30"/>
                <w:szCs w:val="30"/>
                <w:lang w:val="en-US" w:eastAsia="zh-CN"/>
              </w:rPr>
              <w:t xml:space="preserve">   </w:t>
            </w:r>
            <w:r>
              <w:rPr>
                <w:rFonts w:hint="eastAsia"/>
                <w:b/>
                <w:color w:val="auto"/>
                <w:sz w:val="30"/>
                <w:szCs w:val="30"/>
                <w:lang w:eastAsia="zh-CN"/>
              </w:rPr>
              <w:t>目</w:t>
            </w:r>
            <w:r>
              <w:rPr>
                <w:rFonts w:hint="eastAsia"/>
                <w:b/>
                <w:color w:val="auto"/>
                <w:sz w:val="30"/>
                <w:szCs w:val="30"/>
                <w:lang w:val="en-US" w:eastAsia="zh-CN"/>
              </w:rPr>
              <w:t xml:space="preserve">   </w:t>
            </w:r>
            <w:r>
              <w:rPr>
                <w:rFonts w:hint="eastAsia"/>
                <w:b/>
                <w:color w:val="auto"/>
                <w:sz w:val="30"/>
                <w:szCs w:val="30"/>
                <w:lang w:eastAsia="zh-CN"/>
              </w:rPr>
              <w:t>编</w:t>
            </w:r>
            <w:r>
              <w:rPr>
                <w:rFonts w:hint="eastAsia"/>
                <w:b/>
                <w:color w:val="auto"/>
                <w:sz w:val="30"/>
                <w:szCs w:val="30"/>
                <w:lang w:val="en-US" w:eastAsia="zh-CN"/>
              </w:rPr>
              <w:t xml:space="preserve">   </w:t>
            </w:r>
            <w:r>
              <w:rPr>
                <w:rFonts w:hint="eastAsia"/>
                <w:b/>
                <w:color w:val="auto"/>
                <w:sz w:val="30"/>
                <w:szCs w:val="30"/>
                <w:lang w:eastAsia="zh-CN"/>
              </w:rPr>
              <w:t>号</w:t>
            </w:r>
            <w:r>
              <w:rPr>
                <w:rFonts w:hint="eastAsia"/>
                <w:b/>
                <w:color w:val="auto"/>
                <w:sz w:val="30"/>
                <w:szCs w:val="30"/>
                <w:lang w:val="en-US" w:eastAsia="zh-CN"/>
              </w:rPr>
              <w:t xml:space="preserve">  </w:t>
            </w:r>
            <w:r>
              <w:rPr>
                <w:rFonts w:hint="eastAsia"/>
                <w:b/>
                <w:color w:val="auto"/>
                <w:sz w:val="30"/>
                <w:szCs w:val="30"/>
                <w:lang w:eastAsia="zh-CN"/>
              </w:rPr>
              <w:t>：</w:t>
            </w:r>
          </w:p>
        </w:tc>
        <w:tc>
          <w:tcPr>
            <w:tcW w:w="5238" w:type="dxa"/>
            <w:noWrap w:val="0"/>
            <w:vAlign w:val="center"/>
          </w:tcPr>
          <w:p w14:paraId="46D60AC1">
            <w:pPr>
              <w:spacing w:line="360" w:lineRule="auto"/>
              <w:rPr>
                <w:rFonts w:hint="eastAsia" w:eastAsia="宋体"/>
                <w:b/>
                <w:color w:val="auto"/>
                <w:sz w:val="30"/>
                <w:szCs w:val="30"/>
                <w:lang w:val="en-US" w:eastAsia="zh-CN"/>
              </w:rPr>
            </w:pPr>
            <w:r>
              <w:rPr>
                <w:rFonts w:hint="eastAsia" w:eastAsia="宋体"/>
                <w:b/>
                <w:color w:val="auto"/>
                <w:sz w:val="30"/>
                <w:szCs w:val="30"/>
                <w:lang w:eastAsia="zh-CN"/>
              </w:rPr>
              <w:t>CSFLZB-2025-158-SG</w:t>
            </w:r>
          </w:p>
        </w:tc>
      </w:tr>
    </w:tbl>
    <w:p w14:paraId="221FE32F">
      <w:pPr>
        <w:pageBreakBefore w:val="0"/>
        <w:wordWrap/>
        <w:topLinePunct w:val="0"/>
        <w:bidi w:val="0"/>
        <w:spacing w:line="480" w:lineRule="exact"/>
        <w:jc w:val="both"/>
        <w:rPr>
          <w:rFonts w:hint="eastAsia" w:ascii="仿宋" w:hAnsi="仿宋" w:eastAsia="仿宋" w:cs="仿宋"/>
          <w:b/>
          <w:bCs/>
          <w:color w:val="auto"/>
          <w:sz w:val="40"/>
          <w:szCs w:val="40"/>
        </w:rPr>
      </w:pPr>
    </w:p>
    <w:p w14:paraId="20B0EAEE">
      <w:pPr>
        <w:pageBreakBefore w:val="0"/>
        <w:wordWrap/>
        <w:topLinePunct w:val="0"/>
        <w:bidi w:val="0"/>
        <w:spacing w:line="480" w:lineRule="exact"/>
        <w:jc w:val="center"/>
        <w:rPr>
          <w:rFonts w:hint="eastAsia" w:ascii="仿宋" w:hAnsi="仿宋" w:eastAsia="仿宋" w:cs="仿宋"/>
          <w:b/>
          <w:bCs/>
          <w:color w:val="auto"/>
          <w:sz w:val="40"/>
          <w:szCs w:val="40"/>
        </w:rPr>
      </w:pPr>
    </w:p>
    <w:p w14:paraId="1F0D0B9F">
      <w:pPr>
        <w:pageBreakBefore w:val="0"/>
        <w:wordWrap/>
        <w:topLinePunct w:val="0"/>
        <w:bidi w:val="0"/>
        <w:spacing w:line="480" w:lineRule="exact"/>
        <w:jc w:val="center"/>
        <w:rPr>
          <w:rFonts w:hint="eastAsia" w:ascii="仿宋" w:hAnsi="仿宋" w:eastAsia="仿宋" w:cs="仿宋"/>
          <w:b/>
          <w:bCs/>
          <w:color w:val="auto"/>
          <w:sz w:val="40"/>
          <w:szCs w:val="40"/>
        </w:rPr>
      </w:pPr>
    </w:p>
    <w:p w14:paraId="564DEE21">
      <w:pPr>
        <w:pageBreakBefore w:val="0"/>
        <w:wordWrap/>
        <w:topLinePunct w:val="0"/>
        <w:bidi w:val="0"/>
        <w:spacing w:line="480" w:lineRule="exact"/>
        <w:jc w:val="center"/>
        <w:rPr>
          <w:rFonts w:hint="eastAsia" w:ascii="仿宋" w:hAnsi="仿宋" w:eastAsia="仿宋" w:cs="仿宋"/>
          <w:b/>
          <w:bCs/>
          <w:color w:val="auto"/>
          <w:sz w:val="40"/>
          <w:szCs w:val="40"/>
        </w:rPr>
      </w:pPr>
    </w:p>
    <w:p w14:paraId="17F802D2">
      <w:pPr>
        <w:pageBreakBefore w:val="0"/>
        <w:wordWrap/>
        <w:topLinePunct w:val="0"/>
        <w:bidi w:val="0"/>
        <w:spacing w:line="480" w:lineRule="exact"/>
        <w:jc w:val="center"/>
        <w:outlineLvl w:val="0"/>
        <w:rPr>
          <w:rFonts w:hint="eastAsia" w:ascii="仿宋" w:hAnsi="仿宋" w:eastAsia="仿宋" w:cs="仿宋"/>
          <w:b/>
          <w:bCs/>
          <w:color w:val="auto"/>
          <w:sz w:val="40"/>
          <w:szCs w:val="40"/>
          <w:lang w:eastAsia="zh-CN"/>
        </w:rPr>
      </w:pPr>
    </w:p>
    <w:p w14:paraId="25559DF6">
      <w:pPr>
        <w:pageBreakBefore w:val="0"/>
        <w:wordWrap/>
        <w:topLinePunct w:val="0"/>
        <w:bidi w:val="0"/>
        <w:spacing w:line="480" w:lineRule="exact"/>
        <w:jc w:val="center"/>
        <w:outlineLvl w:val="0"/>
        <w:rPr>
          <w:rFonts w:hint="eastAsia" w:ascii="仿宋" w:hAnsi="仿宋" w:eastAsia="仿宋" w:cs="仿宋"/>
          <w:b/>
          <w:bCs/>
          <w:color w:val="auto"/>
          <w:sz w:val="40"/>
          <w:szCs w:val="40"/>
          <w:lang w:eastAsia="zh-CN"/>
        </w:rPr>
      </w:pPr>
    </w:p>
    <w:p w14:paraId="450658F2">
      <w:pPr>
        <w:widowControl w:val="0"/>
        <w:kinsoku/>
        <w:autoSpaceDE/>
        <w:autoSpaceDN/>
        <w:adjustRightInd/>
        <w:snapToGrid/>
        <w:spacing w:line="360" w:lineRule="auto"/>
        <w:jc w:val="center"/>
        <w:textAlignment w:val="auto"/>
        <w:rPr>
          <w:rFonts w:hint="eastAsia" w:ascii="宋体" w:hAnsi="宋体" w:eastAsia="宋体" w:cs="宋体-18030"/>
          <w:b/>
          <w:bCs/>
          <w:snapToGrid/>
          <w:color w:val="auto"/>
          <w:kern w:val="0"/>
          <w:sz w:val="52"/>
          <w:szCs w:val="52"/>
          <w:lang w:eastAsia="zh-CN"/>
        </w:rPr>
      </w:pPr>
    </w:p>
    <w:p w14:paraId="30E57EFC">
      <w:pPr>
        <w:widowControl w:val="0"/>
        <w:kinsoku/>
        <w:autoSpaceDE/>
        <w:autoSpaceDN/>
        <w:adjustRightInd/>
        <w:snapToGrid/>
        <w:spacing w:line="240" w:lineRule="auto"/>
        <w:jc w:val="center"/>
        <w:textAlignment w:val="auto"/>
        <w:rPr>
          <w:rFonts w:hint="eastAsia" w:ascii="宋体" w:hAnsi="宋体" w:eastAsia="宋体" w:cs="宋体-18030"/>
          <w:b/>
          <w:bCs/>
          <w:snapToGrid/>
          <w:color w:val="auto"/>
          <w:kern w:val="0"/>
          <w:sz w:val="52"/>
          <w:szCs w:val="52"/>
          <w:lang w:eastAsia="zh-CN"/>
        </w:rPr>
      </w:pPr>
    </w:p>
    <w:p w14:paraId="5D086302">
      <w:pPr>
        <w:widowControl w:val="0"/>
        <w:kinsoku/>
        <w:autoSpaceDE/>
        <w:autoSpaceDN/>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18030"/>
          <w:b/>
          <w:bCs/>
          <w:snapToGrid/>
          <w:color w:val="auto"/>
          <w:kern w:val="0"/>
          <w:sz w:val="52"/>
          <w:szCs w:val="52"/>
          <w:lang w:eastAsia="zh-CN"/>
        </w:rPr>
        <w:t>昌吉市公园游园整治提升项目</w:t>
      </w:r>
    </w:p>
    <w:p w14:paraId="340B3FB8">
      <w:pPr>
        <w:spacing w:line="240" w:lineRule="auto"/>
        <w:rPr>
          <w:rFonts w:hint="eastAsia" w:ascii="宋体" w:hAnsi="宋体" w:eastAsia="宋体" w:cs="宋体"/>
          <w:color w:val="auto"/>
          <w:sz w:val="24"/>
          <w:highlight w:val="none"/>
        </w:rPr>
      </w:pPr>
    </w:p>
    <w:p w14:paraId="34D7FFE6">
      <w:pPr>
        <w:spacing w:line="240" w:lineRule="auto"/>
        <w:rPr>
          <w:rFonts w:hint="eastAsia" w:ascii="宋体" w:hAnsi="宋体" w:eastAsia="宋体" w:cs="宋体"/>
          <w:color w:val="auto"/>
          <w:sz w:val="24"/>
          <w:highlight w:val="none"/>
        </w:rPr>
      </w:pPr>
    </w:p>
    <w:p w14:paraId="571B1267">
      <w:pPr>
        <w:widowControl w:val="0"/>
        <w:kinsoku/>
        <w:autoSpaceDE/>
        <w:autoSpaceDN/>
        <w:adjustRightInd/>
        <w:snapToGrid/>
        <w:spacing w:line="240" w:lineRule="auto"/>
        <w:jc w:val="center"/>
        <w:textAlignment w:val="auto"/>
        <w:rPr>
          <w:rFonts w:hint="eastAsia" w:ascii="宋体" w:hAnsi="宋体" w:eastAsia="宋体" w:cs="宋体-18030"/>
          <w:b/>
          <w:bCs/>
          <w:snapToGrid/>
          <w:color w:val="auto"/>
          <w:kern w:val="0"/>
          <w:sz w:val="52"/>
          <w:szCs w:val="52"/>
          <w:lang w:eastAsia="zh-CN"/>
        </w:rPr>
      </w:pPr>
    </w:p>
    <w:p w14:paraId="4D315627">
      <w:pPr>
        <w:widowControl w:val="0"/>
        <w:kinsoku/>
        <w:autoSpaceDE/>
        <w:autoSpaceDN/>
        <w:adjustRightInd/>
        <w:snapToGrid/>
        <w:spacing w:line="240" w:lineRule="auto"/>
        <w:jc w:val="center"/>
        <w:textAlignment w:val="auto"/>
        <w:rPr>
          <w:rFonts w:hint="eastAsia" w:ascii="宋体" w:hAnsi="宋体" w:eastAsia="宋体" w:cs="宋体"/>
          <w:b/>
          <w:color w:val="auto"/>
          <w:sz w:val="30"/>
          <w:szCs w:val="30"/>
          <w:highlight w:val="none"/>
          <w:lang w:val="en-US" w:eastAsia="zh-CN"/>
        </w:rPr>
      </w:pPr>
      <w:r>
        <w:rPr>
          <w:rFonts w:hint="eastAsia" w:ascii="宋体" w:hAnsi="宋体" w:eastAsia="宋体" w:cs="宋体-18030"/>
          <w:b/>
          <w:bCs/>
          <w:snapToGrid/>
          <w:color w:val="auto"/>
          <w:kern w:val="0"/>
          <w:sz w:val="52"/>
          <w:szCs w:val="52"/>
          <w:lang w:eastAsia="zh-CN"/>
        </w:rPr>
        <w:t>竞争性磋商文件</w:t>
      </w:r>
    </w:p>
    <w:p w14:paraId="35F00D48">
      <w:pPr>
        <w:widowControl w:val="0"/>
        <w:autoSpaceDE w:val="0"/>
        <w:autoSpaceDN w:val="0"/>
        <w:adjustRightInd w:val="0"/>
        <w:spacing w:line="600" w:lineRule="auto"/>
        <w:ind w:firstLine="602" w:firstLineChars="200"/>
        <w:jc w:val="both"/>
        <w:rPr>
          <w:rFonts w:hint="eastAsia" w:ascii="宋体" w:hAnsi="宋体" w:eastAsia="宋体" w:cs="宋体"/>
          <w:b/>
          <w:color w:val="auto"/>
          <w:sz w:val="30"/>
          <w:szCs w:val="30"/>
          <w:highlight w:val="none"/>
          <w:lang w:val="en-US" w:eastAsia="zh-CN"/>
        </w:rPr>
      </w:pPr>
    </w:p>
    <w:p w14:paraId="59A4AAB1">
      <w:pPr>
        <w:pStyle w:val="2"/>
        <w:rPr>
          <w:rFonts w:hint="eastAsia" w:ascii="宋体" w:hAnsi="宋体" w:eastAsia="宋体" w:cs="宋体"/>
          <w:b/>
          <w:color w:val="auto"/>
          <w:sz w:val="30"/>
          <w:szCs w:val="30"/>
          <w:highlight w:val="none"/>
          <w:lang w:val="en-US" w:eastAsia="zh-CN"/>
        </w:rPr>
      </w:pPr>
    </w:p>
    <w:p w14:paraId="5546C958">
      <w:pPr>
        <w:pStyle w:val="2"/>
        <w:rPr>
          <w:rFonts w:hint="eastAsia" w:ascii="宋体" w:hAnsi="宋体" w:eastAsia="宋体" w:cs="宋体"/>
          <w:b/>
          <w:color w:val="auto"/>
          <w:sz w:val="30"/>
          <w:szCs w:val="30"/>
          <w:highlight w:val="none"/>
          <w:lang w:val="en-US" w:eastAsia="zh-CN"/>
        </w:rPr>
      </w:pPr>
    </w:p>
    <w:p w14:paraId="3BD4C251">
      <w:pPr>
        <w:widowControl w:val="0"/>
        <w:autoSpaceDE w:val="0"/>
        <w:autoSpaceDN w:val="0"/>
        <w:adjustRightInd w:val="0"/>
        <w:spacing w:line="600" w:lineRule="auto"/>
        <w:ind w:firstLine="602" w:firstLineChars="200"/>
        <w:jc w:val="both"/>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采购</w:t>
      </w:r>
      <w:r>
        <w:rPr>
          <w:rFonts w:hint="eastAsia" w:ascii="宋体" w:hAnsi="宋体" w:eastAsia="宋体" w:cs="宋体"/>
          <w:b/>
          <w:color w:val="auto"/>
          <w:sz w:val="30"/>
          <w:szCs w:val="30"/>
          <w:highlight w:val="none"/>
        </w:rPr>
        <w:t>人：</w:t>
      </w:r>
      <w:r>
        <w:rPr>
          <w:rFonts w:hint="eastAsia" w:ascii="宋体" w:hAnsi="宋体" w:eastAsia="宋体" w:cs="宋体"/>
          <w:b/>
          <w:color w:val="auto"/>
          <w:sz w:val="30"/>
          <w:szCs w:val="30"/>
          <w:highlight w:val="none"/>
          <w:lang w:eastAsia="zh-CN"/>
        </w:rPr>
        <w:t>昌吉市园林绿化管理中心</w:t>
      </w:r>
      <w:r>
        <w:rPr>
          <w:rFonts w:hint="eastAsia" w:ascii="宋体" w:hAnsi="宋体" w:eastAsia="宋体" w:cs="宋体"/>
          <w:b/>
          <w:color w:val="auto"/>
          <w:sz w:val="30"/>
          <w:szCs w:val="30"/>
          <w:highlight w:val="none"/>
        </w:rPr>
        <w:t>（盖章）</w:t>
      </w:r>
    </w:p>
    <w:p w14:paraId="041E4FAB">
      <w:pPr>
        <w:widowControl w:val="0"/>
        <w:autoSpaceDE w:val="0"/>
        <w:autoSpaceDN w:val="0"/>
        <w:adjustRightInd w:val="0"/>
        <w:spacing w:line="600" w:lineRule="auto"/>
        <w:ind w:firstLine="602" w:firstLineChars="200"/>
        <w:jc w:val="both"/>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项目联系人：马先生      </w:t>
      </w:r>
    </w:p>
    <w:p w14:paraId="7A6344C9">
      <w:pPr>
        <w:widowControl w:val="0"/>
        <w:autoSpaceDE w:val="0"/>
        <w:autoSpaceDN w:val="0"/>
        <w:adjustRightInd w:val="0"/>
        <w:spacing w:line="600" w:lineRule="auto"/>
        <w:ind w:firstLine="602" w:firstLineChars="200"/>
        <w:jc w:val="both"/>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联系电话：13565646836</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 xml:space="preserve">       </w:t>
      </w:r>
    </w:p>
    <w:p w14:paraId="18BB54F6">
      <w:pPr>
        <w:widowControl w:val="0"/>
        <w:autoSpaceDE w:val="0"/>
        <w:autoSpaceDN w:val="0"/>
        <w:adjustRightInd w:val="0"/>
        <w:spacing w:line="600" w:lineRule="auto"/>
        <w:ind w:firstLine="602" w:firstLineChars="200"/>
        <w:jc w:val="both"/>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采购</w:t>
      </w:r>
      <w:r>
        <w:rPr>
          <w:rFonts w:hint="eastAsia" w:ascii="宋体" w:hAnsi="宋体" w:eastAsia="宋体" w:cs="宋体"/>
          <w:b/>
          <w:color w:val="auto"/>
          <w:sz w:val="30"/>
          <w:szCs w:val="30"/>
          <w:highlight w:val="none"/>
        </w:rPr>
        <w:t>代理机构：</w:t>
      </w:r>
      <w:r>
        <w:rPr>
          <w:rFonts w:hint="eastAsia" w:ascii="宋体" w:hAnsi="宋体" w:eastAsia="宋体" w:cs="宋体"/>
          <w:b/>
          <w:color w:val="auto"/>
          <w:sz w:val="30"/>
          <w:szCs w:val="30"/>
          <w:highlight w:val="none"/>
          <w:lang w:eastAsia="zh-CN"/>
        </w:rPr>
        <w:t>新疆昌盛方略项目管理有限公司</w:t>
      </w:r>
      <w:r>
        <w:rPr>
          <w:rFonts w:hint="eastAsia" w:ascii="宋体" w:hAnsi="宋体" w:eastAsia="宋体" w:cs="宋体"/>
          <w:b/>
          <w:color w:val="auto"/>
          <w:sz w:val="30"/>
          <w:szCs w:val="30"/>
          <w:highlight w:val="none"/>
        </w:rPr>
        <w:t>（盖章）</w:t>
      </w:r>
    </w:p>
    <w:p w14:paraId="694D4FA8">
      <w:pPr>
        <w:widowControl w:val="0"/>
        <w:autoSpaceDE w:val="0"/>
        <w:autoSpaceDN w:val="0"/>
        <w:adjustRightInd w:val="0"/>
        <w:spacing w:line="600" w:lineRule="auto"/>
        <w:ind w:firstLine="602" w:firstLineChars="200"/>
        <w:jc w:val="both"/>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项目联系人：</w:t>
      </w:r>
      <w:r>
        <w:rPr>
          <w:rFonts w:hint="eastAsia" w:ascii="宋体" w:hAnsi="宋体" w:eastAsia="宋体" w:cs="宋体"/>
          <w:b/>
          <w:color w:val="auto"/>
          <w:sz w:val="30"/>
          <w:szCs w:val="30"/>
          <w:highlight w:val="none"/>
          <w:lang w:eastAsia="zh-CN"/>
        </w:rPr>
        <w:t>努女士</w:t>
      </w:r>
      <w:r>
        <w:rPr>
          <w:rFonts w:hint="eastAsia" w:ascii="宋体" w:hAnsi="宋体" w:eastAsia="宋体" w:cs="宋体"/>
          <w:b/>
          <w:color w:val="auto"/>
          <w:sz w:val="30"/>
          <w:szCs w:val="30"/>
          <w:highlight w:val="none"/>
        </w:rPr>
        <w:t xml:space="preserve">、蔚女士             </w:t>
      </w:r>
    </w:p>
    <w:p w14:paraId="58C1121C">
      <w:pPr>
        <w:widowControl w:val="0"/>
        <w:autoSpaceDE w:val="0"/>
        <w:autoSpaceDN w:val="0"/>
        <w:adjustRightInd w:val="0"/>
        <w:spacing w:line="600" w:lineRule="auto"/>
        <w:ind w:firstLine="602" w:firstLineChars="200"/>
        <w:jc w:val="both"/>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联系电话：0994-8165002</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lang w:val="en-US" w:eastAsia="zh-CN"/>
        </w:rPr>
        <w:t>18699479057</w:t>
      </w:r>
    </w:p>
    <w:p w14:paraId="2A4FC0CF">
      <w:pPr>
        <w:widowControl w:val="0"/>
        <w:autoSpaceDE w:val="0"/>
        <w:autoSpaceDN w:val="0"/>
        <w:adjustRightInd w:val="0"/>
        <w:spacing w:line="600" w:lineRule="auto"/>
        <w:ind w:firstLine="602" w:firstLineChars="200"/>
        <w:jc w:val="both"/>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联系地址：新疆昌吉回族自治州昌吉市南公园西路融投小镇1号楼A座</w:t>
      </w:r>
    </w:p>
    <w:p w14:paraId="484089BF">
      <w:pPr>
        <w:widowControl w:val="0"/>
        <w:autoSpaceDE w:val="0"/>
        <w:autoSpaceDN w:val="0"/>
        <w:adjustRightInd w:val="0"/>
        <w:spacing w:line="600" w:lineRule="auto"/>
        <w:ind w:firstLine="602" w:firstLineChars="200"/>
        <w:jc w:val="both"/>
        <w:rPr>
          <w:rFonts w:hint="eastAsia" w:ascii="宋体" w:hAnsi="宋体" w:eastAsia="宋体" w:cs="宋体"/>
          <w:b/>
          <w:color w:val="auto"/>
          <w:sz w:val="32"/>
          <w:szCs w:val="32"/>
          <w:highlight w:val="none"/>
        </w:rPr>
      </w:pPr>
      <w:r>
        <w:rPr>
          <w:rFonts w:hint="eastAsia" w:ascii="宋体" w:hAnsi="宋体" w:eastAsia="宋体" w:cs="宋体"/>
          <w:b/>
          <w:color w:val="auto"/>
          <w:sz w:val="30"/>
          <w:szCs w:val="30"/>
          <w:highlight w:val="none"/>
        </w:rPr>
        <w:t xml:space="preserve">14层（昌吉州国投大厦1幢14楼1419）   </w:t>
      </w:r>
      <w:r>
        <w:rPr>
          <w:rFonts w:hint="eastAsia" w:ascii="宋体" w:hAnsi="宋体" w:eastAsia="宋体" w:cs="宋体"/>
          <w:b/>
          <w:color w:val="auto"/>
          <w:sz w:val="32"/>
          <w:szCs w:val="32"/>
          <w:highlight w:val="none"/>
        </w:rPr>
        <w:t xml:space="preserve">   </w:t>
      </w:r>
    </w:p>
    <w:p w14:paraId="3A29A9AF">
      <w:pPr>
        <w:rPr>
          <w:rFonts w:hint="eastAsia"/>
          <w:color w:val="auto"/>
          <w:highlight w:val="none"/>
        </w:rPr>
      </w:pPr>
    </w:p>
    <w:p w14:paraId="1176ED0D">
      <w:pPr>
        <w:widowControl w:val="0"/>
        <w:autoSpaceDE w:val="0"/>
        <w:autoSpaceDN w:val="0"/>
        <w:adjustRightInd w:val="0"/>
        <w:spacing w:line="600" w:lineRule="auto"/>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二0二五年</w:t>
      </w:r>
      <w:r>
        <w:rPr>
          <w:rFonts w:hint="eastAsia" w:ascii="宋体" w:hAnsi="宋体" w:eastAsia="宋体" w:cs="宋体"/>
          <w:b/>
          <w:color w:val="auto"/>
          <w:sz w:val="30"/>
          <w:szCs w:val="30"/>
          <w:highlight w:val="none"/>
          <w:lang w:val="en-US" w:eastAsia="zh-CN"/>
        </w:rPr>
        <w:t>六</w:t>
      </w:r>
      <w:r>
        <w:rPr>
          <w:rFonts w:hint="eastAsia" w:ascii="宋体" w:hAnsi="宋体" w:eastAsia="宋体" w:cs="宋体"/>
          <w:b/>
          <w:color w:val="auto"/>
          <w:sz w:val="30"/>
          <w:szCs w:val="30"/>
          <w:highlight w:val="none"/>
        </w:rPr>
        <w:t>月</w:t>
      </w:r>
    </w:p>
    <w:p w14:paraId="35496E93">
      <w:pPr>
        <w:pStyle w:val="3"/>
        <w:pageBreakBefore w:val="0"/>
        <w:wordWrap/>
        <w:topLinePunct w:val="0"/>
        <w:bidi w:val="0"/>
        <w:spacing w:line="480" w:lineRule="exact"/>
        <w:jc w:val="both"/>
        <w:outlineLvl w:val="9"/>
        <w:rPr>
          <w:rFonts w:hint="eastAsia" w:ascii="仿宋" w:hAnsi="仿宋" w:eastAsia="仿宋" w:cs="仿宋"/>
          <w:color w:val="auto"/>
          <w:sz w:val="28"/>
          <w:szCs w:val="28"/>
        </w:rPr>
        <w:sectPr>
          <w:headerReference r:id="rId6" w:type="first"/>
          <w:headerReference r:id="rId5" w:type="default"/>
          <w:footerReference r:id="rId7" w:type="default"/>
          <w:pgSz w:w="11906" w:h="16839"/>
          <w:pgMar w:top="1166" w:right="1023" w:bottom="1315" w:left="1023" w:header="829" w:footer="1047" w:gutter="0"/>
          <w:cols w:space="720" w:num="1"/>
        </w:sectPr>
      </w:pPr>
    </w:p>
    <w:sdt>
      <w:sdtPr>
        <w:rPr>
          <w:rFonts w:ascii="宋体" w:hAnsi="宋体" w:eastAsia="宋体" w:cs="Arial"/>
          <w:snapToGrid w:val="0"/>
          <w:color w:val="auto"/>
          <w:kern w:val="0"/>
          <w:sz w:val="21"/>
          <w:szCs w:val="21"/>
          <w:lang w:val="en-US" w:eastAsia="en-US" w:bidi="ar-SA"/>
        </w:rPr>
        <w:id w:val="147464776"/>
        <w15:color w:val="DBDBDB"/>
        <w:docPartObj>
          <w:docPartGallery w:val="Table of Contents"/>
          <w:docPartUnique/>
        </w:docPartObj>
      </w:sdtPr>
      <w:sdtEndPr>
        <w:rPr>
          <w:rFonts w:hint="eastAsia" w:ascii="仿宋" w:hAnsi="仿宋" w:eastAsia="仿宋" w:cs="仿宋"/>
          <w:b/>
          <w:snapToGrid w:val="0"/>
          <w:color w:val="auto"/>
          <w:kern w:val="44"/>
          <w:sz w:val="44"/>
          <w:szCs w:val="28"/>
          <w:lang w:val="en-US" w:eastAsia="en-US" w:bidi="ar-SA"/>
        </w:rPr>
      </w:sdtEndPr>
      <w:sdtContent>
        <w:p w14:paraId="60516E5E">
          <w:pPr>
            <w:spacing w:before="0" w:beforeLines="0" w:after="0" w:afterLines="0" w:line="480" w:lineRule="auto"/>
            <w:ind w:left="0" w:leftChars="0" w:right="0" w:rightChars="0" w:firstLine="0" w:firstLineChars="0"/>
            <w:jc w:val="center"/>
            <w:rPr>
              <w:rFonts w:ascii="宋体" w:hAnsi="宋体" w:eastAsia="宋体" w:cs="Arial"/>
              <w:snapToGrid w:val="0"/>
              <w:color w:val="auto"/>
              <w:kern w:val="0"/>
              <w:sz w:val="21"/>
              <w:szCs w:val="21"/>
              <w:lang w:val="en-US" w:eastAsia="en-US" w:bidi="ar-SA"/>
            </w:rPr>
          </w:pPr>
        </w:p>
        <w:p w14:paraId="29429658">
          <w:pPr>
            <w:spacing w:before="0" w:beforeLines="0" w:after="0" w:afterLines="0" w:line="480" w:lineRule="auto"/>
            <w:ind w:left="0" w:leftChars="0" w:right="0" w:rightChars="0" w:firstLine="0" w:firstLineChars="0"/>
            <w:jc w:val="center"/>
            <w:rPr>
              <w:rFonts w:ascii="宋体" w:hAnsi="宋体" w:eastAsia="宋体" w:cs="Arial"/>
              <w:snapToGrid w:val="0"/>
              <w:color w:val="auto"/>
              <w:kern w:val="0"/>
              <w:sz w:val="21"/>
              <w:szCs w:val="21"/>
              <w:lang w:val="en-US" w:eastAsia="en-US" w:bidi="ar-SA"/>
            </w:rPr>
          </w:pPr>
        </w:p>
        <w:p w14:paraId="3202B305">
          <w:pPr>
            <w:spacing w:before="0" w:beforeLines="0" w:after="0" w:afterLines="0" w:line="480" w:lineRule="auto"/>
            <w:ind w:left="0" w:leftChars="0" w:right="0" w:rightChars="0" w:firstLine="0" w:firstLineChars="0"/>
            <w:jc w:val="center"/>
            <w:rPr>
              <w:rFonts w:hint="eastAsia" w:ascii="仿宋" w:hAnsi="仿宋" w:eastAsia="仿宋" w:cs="仿宋"/>
              <w:color w:val="auto"/>
              <w:sz w:val="36"/>
              <w:szCs w:val="36"/>
            </w:rPr>
          </w:pPr>
          <w:r>
            <w:rPr>
              <w:rFonts w:hint="eastAsia" w:ascii="仿宋" w:hAnsi="仿宋" w:eastAsia="仿宋" w:cs="仿宋"/>
              <w:color w:val="auto"/>
              <w:sz w:val="36"/>
              <w:szCs w:val="36"/>
            </w:rPr>
            <w:t>目录</w:t>
          </w:r>
        </w:p>
        <w:p w14:paraId="27B3614E">
          <w:pPr>
            <w:pStyle w:val="33"/>
            <w:tabs>
              <w:tab w:val="right" w:leader="dot" w:pos="9860"/>
            </w:tabs>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TOC \o "1-1" \h \u </w:instrText>
          </w:r>
          <w:r>
            <w:rPr>
              <w:rFonts w:hint="eastAsia" w:ascii="仿宋" w:hAnsi="仿宋" w:eastAsia="仿宋" w:cs="仿宋"/>
              <w:color w:val="auto"/>
              <w:sz w:val="24"/>
              <w:szCs w:val="24"/>
            </w:rPr>
            <w:fldChar w:fldCharType="separate"/>
          </w:r>
        </w:p>
        <w:p w14:paraId="7B65A860">
          <w:pPr>
            <w:pStyle w:val="33"/>
            <w:tabs>
              <w:tab w:val="right" w:leader="dot" w:pos="9860"/>
            </w:tabs>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_Toc14363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第一章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竞争性磋商公告</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_Toc14363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40BAC0B6">
          <w:pPr>
            <w:pStyle w:val="33"/>
            <w:tabs>
              <w:tab w:val="right" w:leader="dot" w:pos="9860"/>
            </w:tabs>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_Toc5126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第二章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供应商须知</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_Toc5126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5</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636FE029">
          <w:pPr>
            <w:pStyle w:val="33"/>
            <w:tabs>
              <w:tab w:val="right" w:leader="dot" w:pos="9860"/>
            </w:tabs>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_Toc18175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lang w:val="en-US" w:eastAsia="zh-CN"/>
            </w:rPr>
            <w:t xml:space="preserve">第三章 </w:t>
          </w:r>
          <w:r>
            <w:rPr>
              <w:rFonts w:hint="eastAsia" w:ascii="仿宋" w:hAnsi="仿宋" w:eastAsia="仿宋" w:cs="仿宋"/>
              <w:color w:val="auto"/>
              <w:sz w:val="24"/>
              <w:szCs w:val="24"/>
            </w:rPr>
            <w:t>项目采购需求</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_Toc18175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1A460331">
          <w:pPr>
            <w:pStyle w:val="33"/>
            <w:tabs>
              <w:tab w:val="right" w:leader="dot" w:pos="9860"/>
            </w:tabs>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_Toc8153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第四章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评审方法及标准</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_Toc8153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34</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3A62662A">
          <w:pPr>
            <w:pStyle w:val="33"/>
            <w:tabs>
              <w:tab w:val="right" w:leader="dot" w:pos="9860"/>
            </w:tabs>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_Toc11818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第五章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合同</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_Toc11818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45</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17CA585C">
          <w:pPr>
            <w:pStyle w:val="33"/>
            <w:tabs>
              <w:tab w:val="right" w:leader="dot" w:pos="9860"/>
            </w:tabs>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_Toc11788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第六章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响应文件的格式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_Toc11788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148</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726186E6">
          <w:pPr>
            <w:pStyle w:val="33"/>
            <w:tabs>
              <w:tab w:val="right" w:leader="dot" w:pos="9860"/>
            </w:tabs>
            <w:spacing w:line="480" w:lineRule="auto"/>
            <w:rPr>
              <w:rFonts w:hint="eastAsia" w:ascii="仿宋" w:hAnsi="仿宋" w:eastAsia="仿宋" w:cs="仿宋"/>
              <w:color w:val="auto"/>
              <w:sz w:val="24"/>
              <w:szCs w:val="24"/>
            </w:rPr>
          </w:pPr>
        </w:p>
        <w:p w14:paraId="079DC410">
          <w:pPr>
            <w:pStyle w:val="3"/>
            <w:pageBreakBefore w:val="0"/>
            <w:wordWrap/>
            <w:topLinePunct w:val="0"/>
            <w:bidi w:val="0"/>
            <w:spacing w:line="480" w:lineRule="auto"/>
            <w:jc w:val="center"/>
            <w:outlineLvl w:val="9"/>
            <w:rPr>
              <w:rFonts w:hint="eastAsia" w:ascii="仿宋" w:hAnsi="仿宋" w:eastAsia="仿宋" w:cs="仿宋"/>
              <w:b/>
              <w:snapToGrid w:val="0"/>
              <w:color w:val="auto"/>
              <w:kern w:val="44"/>
              <w:sz w:val="44"/>
              <w:szCs w:val="28"/>
              <w:lang w:val="en-US" w:eastAsia="en-US" w:bidi="ar-SA"/>
            </w:rPr>
          </w:pPr>
          <w:r>
            <w:rPr>
              <w:rFonts w:hint="eastAsia" w:ascii="仿宋" w:hAnsi="仿宋" w:eastAsia="仿宋" w:cs="仿宋"/>
              <w:color w:val="auto"/>
              <w:sz w:val="24"/>
              <w:szCs w:val="24"/>
            </w:rPr>
            <w:fldChar w:fldCharType="end"/>
          </w:r>
        </w:p>
      </w:sdtContent>
    </w:sdt>
    <w:p w14:paraId="0854A0E8">
      <w:pPr>
        <w:rPr>
          <w:rFonts w:hint="eastAsia"/>
          <w:color w:val="auto"/>
        </w:rPr>
      </w:pPr>
    </w:p>
    <w:p w14:paraId="674222E3">
      <w:pPr>
        <w:pStyle w:val="3"/>
        <w:pageBreakBefore w:val="0"/>
        <w:wordWrap/>
        <w:topLinePunct w:val="0"/>
        <w:bidi w:val="0"/>
        <w:spacing w:line="480" w:lineRule="exact"/>
        <w:jc w:val="center"/>
        <w:outlineLvl w:val="9"/>
        <w:rPr>
          <w:rFonts w:hint="eastAsia" w:ascii="仿宋" w:hAnsi="仿宋" w:eastAsia="仿宋" w:cs="仿宋"/>
          <w:color w:val="auto"/>
          <w:sz w:val="28"/>
          <w:szCs w:val="28"/>
        </w:rPr>
      </w:pPr>
    </w:p>
    <w:p w14:paraId="043A546A">
      <w:pPr>
        <w:rPr>
          <w:rFonts w:hint="eastAsia" w:ascii="仿宋" w:hAnsi="仿宋" w:eastAsia="仿宋" w:cs="仿宋"/>
          <w:color w:val="auto"/>
          <w:sz w:val="28"/>
          <w:szCs w:val="28"/>
        </w:rPr>
      </w:pPr>
    </w:p>
    <w:p w14:paraId="781E9411">
      <w:pPr>
        <w:pStyle w:val="2"/>
        <w:rPr>
          <w:rFonts w:hint="eastAsia" w:ascii="仿宋" w:hAnsi="仿宋" w:eastAsia="仿宋" w:cs="仿宋"/>
          <w:color w:val="auto"/>
          <w:sz w:val="28"/>
          <w:szCs w:val="28"/>
        </w:rPr>
      </w:pPr>
    </w:p>
    <w:p w14:paraId="20FEC5B5">
      <w:pPr>
        <w:pStyle w:val="2"/>
        <w:rPr>
          <w:rFonts w:hint="eastAsia" w:ascii="仿宋" w:hAnsi="仿宋" w:eastAsia="仿宋" w:cs="仿宋"/>
          <w:color w:val="auto"/>
          <w:sz w:val="28"/>
          <w:szCs w:val="28"/>
        </w:rPr>
      </w:pPr>
    </w:p>
    <w:p w14:paraId="67000B29">
      <w:pPr>
        <w:pStyle w:val="2"/>
        <w:rPr>
          <w:rFonts w:hint="eastAsia" w:ascii="仿宋" w:hAnsi="仿宋" w:eastAsia="仿宋" w:cs="仿宋"/>
          <w:color w:val="auto"/>
          <w:sz w:val="28"/>
          <w:szCs w:val="28"/>
        </w:rPr>
      </w:pPr>
    </w:p>
    <w:p w14:paraId="7966C246">
      <w:pPr>
        <w:rPr>
          <w:rFonts w:hint="eastAsia"/>
          <w:color w:val="auto"/>
        </w:rPr>
      </w:pPr>
    </w:p>
    <w:p w14:paraId="65D64615">
      <w:pPr>
        <w:pStyle w:val="3"/>
        <w:pageBreakBefore w:val="0"/>
        <w:wordWrap/>
        <w:topLinePunct w:val="0"/>
        <w:bidi w:val="0"/>
        <w:spacing w:line="480" w:lineRule="exact"/>
        <w:jc w:val="center"/>
        <w:rPr>
          <w:rFonts w:hint="eastAsia" w:ascii="仿宋" w:hAnsi="仿宋" w:eastAsia="仿宋" w:cs="仿宋"/>
          <w:color w:val="auto"/>
          <w:sz w:val="28"/>
          <w:szCs w:val="28"/>
        </w:rPr>
        <w:sectPr>
          <w:footerReference r:id="rId8" w:type="default"/>
          <w:pgSz w:w="11906" w:h="16839"/>
          <w:pgMar w:top="1166" w:right="1023" w:bottom="1315" w:left="1023" w:header="829" w:footer="1047" w:gutter="0"/>
          <w:pgNumType w:fmt="decimal" w:start="1"/>
          <w:cols w:space="720" w:num="1"/>
        </w:sectPr>
      </w:pPr>
      <w:bookmarkStart w:id="1" w:name="_Toc14363"/>
    </w:p>
    <w:p w14:paraId="09D8B5EE">
      <w:pPr>
        <w:pStyle w:val="3"/>
        <w:pageBreakBefore w:val="0"/>
        <w:wordWrap/>
        <w:topLinePunct w:val="0"/>
        <w:bidi w:val="0"/>
        <w:spacing w:line="4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第一章</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竞争性磋商公告</w:t>
      </w:r>
      <w:bookmarkEnd w:id="1"/>
    </w:p>
    <w:tbl>
      <w:tblPr>
        <w:tblStyle w:val="26"/>
        <w:tblW w:w="902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20"/>
      </w:tblGrid>
      <w:tr w14:paraId="3182C5F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03" w:hRule="atLeast"/>
          <w:jc w:val="center"/>
        </w:trPr>
        <w:tc>
          <w:tcPr>
            <w:tcW w:w="9020" w:type="dxa"/>
            <w:vAlign w:val="top"/>
          </w:tcPr>
          <w:p w14:paraId="1159D34E">
            <w:pPr>
              <w:pageBreakBefore w:val="0"/>
              <w:wordWrap/>
              <w:topLinePunct w:val="0"/>
              <w:bidi w:val="0"/>
              <w:spacing w:line="48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14:paraId="7AB78803">
            <w:pPr>
              <w:pageBreakBefore w:val="0"/>
              <w:wordWrap/>
              <w:topLinePunct w:val="0"/>
              <w:bidi w:val="0"/>
              <w:spacing w:line="480" w:lineRule="exact"/>
              <w:rPr>
                <w:rFonts w:hint="eastAsia" w:ascii="仿宋" w:hAnsi="仿宋" w:eastAsia="仿宋" w:cs="仿宋"/>
                <w:color w:val="auto"/>
                <w:sz w:val="24"/>
                <w:szCs w:val="24"/>
              </w:rPr>
            </w:pPr>
            <w:r>
              <w:rPr>
                <w:rFonts w:hint="eastAsia" w:ascii="仿宋" w:hAnsi="仿宋" w:eastAsia="仿宋" w:cs="仿宋"/>
                <w:color w:val="auto"/>
                <w:sz w:val="24"/>
                <w:szCs w:val="24"/>
              </w:rPr>
              <w:tab/>
            </w:r>
            <w:r>
              <w:rPr>
                <w:rFonts w:hint="eastAsia" w:ascii="仿宋" w:hAnsi="仿宋" w:eastAsia="仿宋" w:cs="仿宋"/>
                <w:color w:val="auto"/>
                <w:sz w:val="24"/>
                <w:szCs w:val="24"/>
                <w:lang w:eastAsia="zh-CN"/>
              </w:rPr>
              <w:t>昌吉市公园游园整治提升项目</w:t>
            </w:r>
            <w:r>
              <w:rPr>
                <w:rFonts w:hint="eastAsia" w:ascii="仿宋" w:hAnsi="仿宋" w:eastAsia="仿宋" w:cs="仿宋"/>
                <w:color w:val="auto"/>
                <w:sz w:val="24"/>
                <w:szCs w:val="24"/>
              </w:rPr>
              <w:t>的潜在供应商应在</w:t>
            </w:r>
            <w:r>
              <w:rPr>
                <w:rFonts w:hint="eastAsia" w:ascii="仿宋" w:hAnsi="仿宋" w:eastAsia="仿宋" w:cs="仿宋"/>
                <w:color w:val="auto"/>
                <w:sz w:val="24"/>
                <w:szCs w:val="24"/>
                <w:lang w:eastAsia="zh-CN"/>
              </w:rPr>
              <w:t>新疆政府采购网</w:t>
            </w:r>
            <w:r>
              <w:rPr>
                <w:rFonts w:hint="eastAsia" w:ascii="仿宋" w:hAnsi="仿宋" w:eastAsia="仿宋" w:cs="仿宋"/>
                <w:color w:val="auto"/>
                <w:sz w:val="24"/>
                <w:szCs w:val="24"/>
              </w:rPr>
              <w:t>政采云平台（https://www.zcygov.cn/）获取采购文件，并于</w:t>
            </w:r>
            <w:r>
              <w:rPr>
                <w:rFonts w:hint="eastAsia" w:ascii="仿宋" w:hAnsi="仿宋" w:eastAsia="仿宋" w:cs="仿宋"/>
                <w:color w:val="0000FF"/>
                <w:sz w:val="24"/>
                <w:szCs w:val="24"/>
              </w:rPr>
              <w:t>2025年</w:t>
            </w:r>
            <w:r>
              <w:rPr>
                <w:rFonts w:hint="eastAsia" w:ascii="仿宋" w:hAnsi="仿宋" w:eastAsia="仿宋" w:cs="仿宋"/>
                <w:color w:val="0000FF"/>
                <w:sz w:val="24"/>
                <w:szCs w:val="24"/>
                <w:lang w:eastAsia="zh-CN"/>
              </w:rPr>
              <w:t>0</w:t>
            </w:r>
            <w:r>
              <w:rPr>
                <w:rFonts w:hint="eastAsia" w:ascii="仿宋" w:hAnsi="仿宋" w:eastAsia="仿宋" w:cs="仿宋"/>
                <w:color w:val="0000FF"/>
                <w:sz w:val="24"/>
                <w:szCs w:val="24"/>
                <w:lang w:val="en-US" w:eastAsia="zh-CN"/>
              </w:rPr>
              <w:t>6</w:t>
            </w:r>
            <w:r>
              <w:rPr>
                <w:rFonts w:hint="eastAsia" w:ascii="仿宋" w:hAnsi="仿宋" w:eastAsia="仿宋" w:cs="仿宋"/>
                <w:color w:val="0000FF"/>
                <w:sz w:val="24"/>
                <w:szCs w:val="24"/>
                <w:lang w:eastAsia="zh-CN"/>
              </w:rPr>
              <w:t>月</w:t>
            </w:r>
            <w:r>
              <w:rPr>
                <w:rFonts w:hint="eastAsia" w:ascii="仿宋" w:hAnsi="仿宋" w:eastAsia="仿宋" w:cs="仿宋"/>
                <w:color w:val="0000FF"/>
                <w:sz w:val="24"/>
                <w:szCs w:val="24"/>
                <w:lang w:val="en-US" w:eastAsia="zh-CN"/>
              </w:rPr>
              <w:t>30</w:t>
            </w:r>
            <w:r>
              <w:rPr>
                <w:rFonts w:hint="eastAsia" w:ascii="仿宋" w:hAnsi="仿宋" w:eastAsia="仿宋" w:cs="仿宋"/>
                <w:color w:val="0000FF"/>
                <w:sz w:val="24"/>
                <w:szCs w:val="24"/>
                <w:lang w:eastAsia="zh-CN"/>
              </w:rPr>
              <w:t>日</w:t>
            </w:r>
            <w:r>
              <w:rPr>
                <w:rFonts w:hint="eastAsia" w:ascii="仿宋" w:hAnsi="仿宋" w:eastAsia="仿宋" w:cs="仿宋"/>
                <w:color w:val="0000FF"/>
                <w:sz w:val="24"/>
                <w:szCs w:val="24"/>
              </w:rPr>
              <w:t>1</w:t>
            </w:r>
            <w:r>
              <w:rPr>
                <w:rFonts w:hint="eastAsia" w:ascii="仿宋" w:hAnsi="仿宋" w:eastAsia="仿宋" w:cs="仿宋"/>
                <w:color w:val="0000FF"/>
                <w:sz w:val="24"/>
                <w:szCs w:val="24"/>
                <w:lang w:val="en-US" w:eastAsia="zh-CN"/>
              </w:rPr>
              <w:t>0</w:t>
            </w:r>
            <w:r>
              <w:rPr>
                <w:rFonts w:hint="eastAsia" w:ascii="仿宋" w:hAnsi="仿宋" w:eastAsia="仿宋" w:cs="仿宋"/>
                <w:color w:val="0000FF"/>
                <w:sz w:val="24"/>
                <w:szCs w:val="24"/>
              </w:rPr>
              <w:t>时</w:t>
            </w:r>
            <w:r>
              <w:rPr>
                <w:rFonts w:hint="eastAsia" w:ascii="仿宋" w:hAnsi="仿宋" w:eastAsia="仿宋" w:cs="仿宋"/>
                <w:color w:val="0000FF"/>
                <w:sz w:val="24"/>
                <w:szCs w:val="24"/>
                <w:lang w:val="en-US" w:eastAsia="zh-CN"/>
              </w:rPr>
              <w:t>3</w:t>
            </w:r>
            <w:r>
              <w:rPr>
                <w:rFonts w:hint="eastAsia" w:ascii="仿宋" w:hAnsi="仿宋" w:eastAsia="仿宋" w:cs="仿宋"/>
                <w:color w:val="0000FF"/>
                <w:sz w:val="24"/>
                <w:szCs w:val="24"/>
              </w:rPr>
              <w:t>0分</w:t>
            </w:r>
            <w:r>
              <w:rPr>
                <w:rFonts w:hint="eastAsia" w:ascii="仿宋" w:hAnsi="仿宋" w:eastAsia="仿宋" w:cs="仿宋"/>
                <w:color w:val="auto"/>
                <w:sz w:val="24"/>
                <w:szCs w:val="24"/>
              </w:rPr>
              <w:t>（北京时间）前递交投标文件。</w:t>
            </w:r>
          </w:p>
        </w:tc>
      </w:tr>
    </w:tbl>
    <w:p w14:paraId="26F79097">
      <w:pPr>
        <w:keepNext w:val="0"/>
        <w:keepLines w:val="0"/>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一、项目基本情况</w:t>
      </w:r>
    </w:p>
    <w:p w14:paraId="574F357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1.项目编号：</w:t>
      </w:r>
      <w:r>
        <w:rPr>
          <w:rFonts w:hint="eastAsia" w:ascii="仿宋" w:hAnsi="仿宋" w:eastAsia="仿宋" w:cs="仿宋"/>
          <w:color w:val="auto"/>
          <w:sz w:val="24"/>
          <w:szCs w:val="24"/>
          <w:lang w:eastAsia="zh-CN"/>
        </w:rPr>
        <w:t>CSFLZB-2025-158-SG</w:t>
      </w:r>
    </w:p>
    <w:p w14:paraId="4CEC4DC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2.项目名称：</w:t>
      </w:r>
      <w:r>
        <w:rPr>
          <w:rFonts w:hint="eastAsia" w:ascii="仿宋" w:hAnsi="仿宋" w:eastAsia="仿宋" w:cs="仿宋"/>
          <w:color w:val="auto"/>
          <w:sz w:val="24"/>
          <w:szCs w:val="24"/>
          <w:lang w:eastAsia="zh-CN"/>
        </w:rPr>
        <w:t>昌吉市公园游园整治提升项目</w:t>
      </w:r>
    </w:p>
    <w:p w14:paraId="7B6326C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3.采购方式：竞争性磋商</w:t>
      </w:r>
    </w:p>
    <w:p w14:paraId="4981083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4.预算金额：</w:t>
      </w:r>
      <w:r>
        <w:rPr>
          <w:rFonts w:hint="eastAsia" w:ascii="仿宋" w:hAnsi="仿宋" w:eastAsia="仿宋" w:cs="仿宋"/>
          <w:color w:val="auto"/>
          <w:sz w:val="24"/>
          <w:szCs w:val="24"/>
          <w:lang w:val="en-US" w:eastAsia="zh-CN"/>
        </w:rPr>
        <w:t>3130000</w:t>
      </w:r>
      <w:r>
        <w:rPr>
          <w:rFonts w:hint="eastAsia" w:ascii="仿宋" w:hAnsi="仿宋" w:eastAsia="仿宋" w:cs="仿宋"/>
          <w:color w:val="auto"/>
          <w:sz w:val="24"/>
          <w:szCs w:val="24"/>
        </w:rPr>
        <w:t>元</w:t>
      </w:r>
    </w:p>
    <w:p w14:paraId="6FF32C6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5.最高限价：3129101.82元</w:t>
      </w:r>
    </w:p>
    <w:p w14:paraId="5D2BDD1C">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6.采购需求：</w:t>
      </w:r>
      <w:r>
        <w:rPr>
          <w:rFonts w:hint="eastAsia" w:ascii="仿宋" w:hAnsi="仿宋" w:eastAsia="仿宋" w:cs="仿宋"/>
          <w:color w:val="auto"/>
          <w:sz w:val="24"/>
          <w:szCs w:val="24"/>
          <w:lang w:val="en-US" w:eastAsia="zh-CN"/>
        </w:rPr>
        <w:t>昌吉市公园、游园健身设施、体育器材维修、游园整治提升；公园、游园附属设施更新，包括灌溉设施、座椅、果皮箱、建筑小品等</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具体内容详见工程量清单</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p>
    <w:p w14:paraId="3B8BAB6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rPr>
        <w:t>7.合同履行期限：</w:t>
      </w:r>
      <w:r>
        <w:rPr>
          <w:rFonts w:hint="eastAsia" w:ascii="仿宋" w:hAnsi="仿宋" w:eastAsia="仿宋" w:cs="仿宋"/>
          <w:color w:val="auto"/>
          <w:sz w:val="24"/>
          <w:szCs w:val="24"/>
          <w:highlight w:val="none"/>
          <w:lang w:val="en-US" w:eastAsia="zh-CN"/>
        </w:rPr>
        <w:t>2025年07月03日开工，2025年10月30日竣工，总工期120天（日历日）。</w:t>
      </w:r>
    </w:p>
    <w:p w14:paraId="7FB4BC0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8.本项目是否接受联合体响应：否</w:t>
      </w:r>
    </w:p>
    <w:p w14:paraId="0388D92E">
      <w:pPr>
        <w:keepNext w:val="0"/>
        <w:keepLines w:val="0"/>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二、申请人的资格要求</w:t>
      </w:r>
    </w:p>
    <w:p w14:paraId="6B705F5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7FF61D2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2.落实政府采购政策需满足的资格要求：本项目为专门面向中小企业采购的项目。</w:t>
      </w:r>
    </w:p>
    <w:p w14:paraId="2987965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3.本项目的特定资格要求：</w:t>
      </w:r>
    </w:p>
    <w:p w14:paraId="03FAFB1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项目负责人须具备市政公用工程专业二级及以上建造师注册证书，注册单位名称与投标人名称一致，具备有效的安全生产考核合格证书（B类），未在其他建设工程项目任职，并提供无在建项目的承诺书（无在建承诺书承诺时间须在开标截止时间前）；</w:t>
      </w:r>
    </w:p>
    <w:p w14:paraId="3AD5A2B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2）具有履行合同所必需的设备和专业技术能</w:t>
      </w:r>
      <w:r>
        <w:rPr>
          <w:rFonts w:hint="eastAsia" w:ascii="仿宋" w:hAnsi="仿宋" w:eastAsia="仿宋" w:cs="仿宋"/>
          <w:b w:val="0"/>
          <w:bCs w:val="0"/>
          <w:color w:val="auto"/>
          <w:sz w:val="24"/>
          <w:szCs w:val="24"/>
          <w:lang w:val="en-US" w:eastAsia="zh-CN"/>
        </w:rPr>
        <w:t>力（提供声明函格式自拟）即</w:t>
      </w:r>
      <w:r>
        <w:rPr>
          <w:rFonts w:hint="eastAsia" w:ascii="仿宋" w:hAnsi="仿宋" w:eastAsia="仿宋" w:cs="仿宋"/>
          <w:color w:val="auto"/>
          <w:sz w:val="24"/>
          <w:szCs w:val="24"/>
          <w:lang w:val="en-US" w:eastAsia="zh-CN"/>
        </w:rPr>
        <w:t>具有完成本项目采购能力；</w:t>
      </w:r>
    </w:p>
    <w:p w14:paraId="3B3B538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highlight w:val="none"/>
          <w:lang w:val="en-US" w:eastAsia="zh-CN"/>
        </w:rPr>
        <w:t>具有依法缴纳税收和社会保障资金的良好记录（提供本单位近三个月内任意一个月的依法缴纳税收和社会保障资金的相关材料）</w:t>
      </w:r>
      <w:r>
        <w:rPr>
          <w:rFonts w:hint="eastAsia" w:ascii="仿宋" w:hAnsi="仿宋" w:eastAsia="仿宋" w:cs="仿宋"/>
          <w:color w:val="auto"/>
          <w:sz w:val="24"/>
          <w:szCs w:val="24"/>
          <w:lang w:val="en-US" w:eastAsia="zh-CN"/>
        </w:rPr>
        <w:t>；</w:t>
      </w:r>
    </w:p>
    <w:p w14:paraId="08A5A6E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（4）单位负责人为同一人或者存在直接控股、管理关系的不同供应商，不得参加同一合同项下的政府采购</w:t>
      </w:r>
      <w:r>
        <w:rPr>
          <w:rFonts w:hint="eastAsia" w:ascii="仿宋" w:hAnsi="仿宋" w:eastAsia="仿宋" w:cs="仿宋"/>
          <w:b w:val="0"/>
          <w:bCs w:val="0"/>
          <w:color w:val="auto"/>
          <w:sz w:val="24"/>
          <w:szCs w:val="24"/>
          <w:lang w:val="en-US" w:eastAsia="zh-CN"/>
        </w:rPr>
        <w:t>活动（提供声明函格式自拟）；</w:t>
      </w:r>
    </w:p>
    <w:p w14:paraId="16DD67A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供应商参加政府采购活动前三年内，在经营活动中没有重大违法记录，在“信用中国”网站（www.creditchina.gov.cn）、中国政府采购网（www.ccgp.gov.cn）没有被列入失信被执行人、重大税收违法失信主体名单、政府采购严重违法失信行为记录名单及其他不符合规定条件；</w:t>
      </w:r>
    </w:p>
    <w:p w14:paraId="62DF55A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（6）本项目不接受联合体投标。</w:t>
      </w:r>
    </w:p>
    <w:p w14:paraId="47505B54">
      <w:pPr>
        <w:keepNext w:val="0"/>
        <w:keepLines w:val="0"/>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三、获取采购文件</w:t>
      </w:r>
    </w:p>
    <w:p w14:paraId="21DF0A5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1.时间：</w:t>
      </w:r>
      <w:r>
        <w:rPr>
          <w:rFonts w:hint="eastAsia" w:ascii="仿宋" w:hAnsi="仿宋" w:eastAsia="仿宋" w:cs="仿宋"/>
          <w:color w:val="0000FF"/>
          <w:sz w:val="24"/>
          <w:szCs w:val="24"/>
        </w:rPr>
        <w:t>2025年</w:t>
      </w:r>
      <w:r>
        <w:rPr>
          <w:rFonts w:hint="eastAsia" w:ascii="仿宋" w:hAnsi="仿宋" w:eastAsia="仿宋" w:cs="仿宋"/>
          <w:color w:val="0000FF"/>
          <w:sz w:val="24"/>
          <w:szCs w:val="24"/>
          <w:lang w:val="en-US" w:eastAsia="zh-CN"/>
        </w:rPr>
        <w:t>06</w:t>
      </w:r>
      <w:r>
        <w:rPr>
          <w:rFonts w:hint="eastAsia" w:ascii="仿宋" w:hAnsi="仿宋" w:eastAsia="仿宋" w:cs="仿宋"/>
          <w:color w:val="0000FF"/>
          <w:sz w:val="24"/>
          <w:szCs w:val="24"/>
        </w:rPr>
        <w:t>月</w:t>
      </w:r>
      <w:r>
        <w:rPr>
          <w:rFonts w:hint="eastAsia" w:ascii="仿宋" w:hAnsi="仿宋" w:eastAsia="仿宋" w:cs="仿宋"/>
          <w:color w:val="0000FF"/>
          <w:sz w:val="24"/>
          <w:szCs w:val="24"/>
          <w:lang w:val="en-US" w:eastAsia="zh-CN"/>
        </w:rPr>
        <w:t>19</w:t>
      </w:r>
      <w:r>
        <w:rPr>
          <w:rFonts w:hint="eastAsia" w:ascii="仿宋" w:hAnsi="仿宋" w:eastAsia="仿宋" w:cs="仿宋"/>
          <w:color w:val="0000FF"/>
          <w:sz w:val="24"/>
          <w:szCs w:val="24"/>
        </w:rPr>
        <w:t>日至2025年</w:t>
      </w:r>
      <w:r>
        <w:rPr>
          <w:rFonts w:hint="eastAsia" w:ascii="仿宋" w:hAnsi="仿宋" w:eastAsia="仿宋" w:cs="仿宋"/>
          <w:color w:val="0000FF"/>
          <w:sz w:val="24"/>
          <w:szCs w:val="24"/>
          <w:lang w:val="en-US" w:eastAsia="zh-CN"/>
        </w:rPr>
        <w:t>06</w:t>
      </w:r>
      <w:r>
        <w:rPr>
          <w:rFonts w:hint="eastAsia" w:ascii="仿宋" w:hAnsi="仿宋" w:eastAsia="仿宋" w:cs="仿宋"/>
          <w:color w:val="0000FF"/>
          <w:sz w:val="24"/>
          <w:szCs w:val="24"/>
        </w:rPr>
        <w:t>月</w:t>
      </w:r>
      <w:r>
        <w:rPr>
          <w:rFonts w:hint="eastAsia" w:ascii="仿宋" w:hAnsi="仿宋" w:eastAsia="仿宋" w:cs="仿宋"/>
          <w:color w:val="0000FF"/>
          <w:sz w:val="24"/>
          <w:szCs w:val="24"/>
          <w:lang w:val="en-US" w:eastAsia="zh-CN"/>
        </w:rPr>
        <w:t>26</w:t>
      </w:r>
      <w:r>
        <w:rPr>
          <w:rFonts w:hint="eastAsia" w:ascii="仿宋" w:hAnsi="仿宋" w:eastAsia="仿宋" w:cs="仿宋"/>
          <w:color w:val="0000FF"/>
          <w:sz w:val="24"/>
          <w:szCs w:val="24"/>
        </w:rPr>
        <w:t>日</w:t>
      </w:r>
      <w:r>
        <w:rPr>
          <w:rFonts w:hint="eastAsia" w:ascii="仿宋" w:hAnsi="仿宋" w:eastAsia="仿宋" w:cs="仿宋"/>
          <w:color w:val="auto"/>
          <w:sz w:val="24"/>
          <w:szCs w:val="24"/>
        </w:rPr>
        <w:t>，每天上午00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00至1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00，下午1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00至23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59（北京时间，法定节假日除外）。</w:t>
      </w:r>
    </w:p>
    <w:p w14:paraId="723E3A1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2.地点：</w:t>
      </w:r>
      <w:r>
        <w:rPr>
          <w:rFonts w:hint="eastAsia" w:ascii="仿宋" w:hAnsi="仿宋" w:eastAsia="仿宋" w:cs="仿宋"/>
          <w:color w:val="auto"/>
          <w:sz w:val="24"/>
          <w:szCs w:val="24"/>
          <w:lang w:eastAsia="zh-CN"/>
        </w:rPr>
        <w:t>供应商登陆政采云平台（https://www.zcygov.cn/），在线申请获取招标文件（登录政府采购云平台 → 项目采购 → 获取招标文件→申请，审核通过后可下载招标文件，如有操作性问题，可与政采云在线客服进行咨询，咨询电话：95763）。</w:t>
      </w:r>
    </w:p>
    <w:p w14:paraId="3123FCE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3.方式：</w:t>
      </w:r>
      <w:r>
        <w:rPr>
          <w:rFonts w:hint="eastAsia" w:ascii="仿宋" w:hAnsi="仿宋" w:eastAsia="仿宋" w:cs="仿宋"/>
          <w:color w:val="auto"/>
          <w:sz w:val="24"/>
          <w:szCs w:val="24"/>
          <w:lang w:eastAsia="zh-CN"/>
        </w:rPr>
        <w:t>（1）线上获取（登录政府采购云平台 → 项目采购 → 获取招标文件→ 申请，审核通过后可下载招标文件）。本次招标不提供纸质版招标文件。（2）供应商获取招标文件前应注册成为政府采购云平台正式供应商。</w:t>
      </w:r>
    </w:p>
    <w:p w14:paraId="7BB1BD5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4.售价：0元</w:t>
      </w:r>
    </w:p>
    <w:p w14:paraId="5FAD93FF">
      <w:pPr>
        <w:keepNext w:val="0"/>
        <w:keepLines w:val="0"/>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四、响应文件提交</w:t>
      </w:r>
    </w:p>
    <w:p w14:paraId="49758C0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1.截止时间：</w:t>
      </w:r>
      <w:r>
        <w:rPr>
          <w:rFonts w:hint="eastAsia" w:ascii="仿宋" w:hAnsi="仿宋" w:eastAsia="仿宋" w:cs="仿宋"/>
          <w:color w:val="0000FF"/>
          <w:sz w:val="24"/>
          <w:szCs w:val="24"/>
        </w:rPr>
        <w:t>2025年</w:t>
      </w:r>
      <w:r>
        <w:rPr>
          <w:rFonts w:hint="eastAsia" w:ascii="仿宋" w:hAnsi="仿宋" w:eastAsia="仿宋" w:cs="仿宋"/>
          <w:color w:val="0000FF"/>
          <w:sz w:val="24"/>
          <w:szCs w:val="24"/>
          <w:lang w:eastAsia="zh-CN"/>
        </w:rPr>
        <w:t>0</w:t>
      </w:r>
      <w:r>
        <w:rPr>
          <w:rFonts w:hint="eastAsia" w:ascii="仿宋" w:hAnsi="仿宋" w:eastAsia="仿宋" w:cs="仿宋"/>
          <w:color w:val="0000FF"/>
          <w:sz w:val="24"/>
          <w:szCs w:val="24"/>
          <w:lang w:val="en-US" w:eastAsia="zh-CN"/>
        </w:rPr>
        <w:t>6</w:t>
      </w:r>
      <w:r>
        <w:rPr>
          <w:rFonts w:hint="eastAsia" w:ascii="仿宋" w:hAnsi="仿宋" w:eastAsia="仿宋" w:cs="仿宋"/>
          <w:color w:val="0000FF"/>
          <w:sz w:val="24"/>
          <w:szCs w:val="24"/>
          <w:lang w:eastAsia="zh-CN"/>
        </w:rPr>
        <w:t>月</w:t>
      </w:r>
      <w:r>
        <w:rPr>
          <w:rFonts w:hint="eastAsia" w:ascii="仿宋" w:hAnsi="仿宋" w:eastAsia="仿宋" w:cs="仿宋"/>
          <w:color w:val="0000FF"/>
          <w:sz w:val="24"/>
          <w:szCs w:val="24"/>
          <w:lang w:val="en-US" w:eastAsia="zh-CN"/>
        </w:rPr>
        <w:t>30</w:t>
      </w:r>
      <w:r>
        <w:rPr>
          <w:rFonts w:hint="eastAsia" w:ascii="仿宋" w:hAnsi="仿宋" w:eastAsia="仿宋" w:cs="仿宋"/>
          <w:color w:val="0000FF"/>
          <w:sz w:val="24"/>
          <w:szCs w:val="24"/>
          <w:lang w:eastAsia="zh-CN"/>
        </w:rPr>
        <w:t>日</w:t>
      </w:r>
      <w:r>
        <w:rPr>
          <w:rFonts w:hint="eastAsia" w:ascii="仿宋" w:hAnsi="仿宋" w:eastAsia="仿宋" w:cs="仿宋"/>
          <w:color w:val="0000FF"/>
          <w:sz w:val="24"/>
          <w:szCs w:val="24"/>
        </w:rPr>
        <w:t>1</w:t>
      </w:r>
      <w:r>
        <w:rPr>
          <w:rFonts w:hint="eastAsia" w:ascii="仿宋" w:hAnsi="仿宋" w:eastAsia="仿宋" w:cs="仿宋"/>
          <w:color w:val="0000FF"/>
          <w:sz w:val="24"/>
          <w:szCs w:val="24"/>
          <w:lang w:val="en-US" w:eastAsia="zh-CN"/>
        </w:rPr>
        <w:t>0</w:t>
      </w:r>
      <w:r>
        <w:rPr>
          <w:rFonts w:hint="eastAsia" w:ascii="仿宋" w:hAnsi="仿宋" w:eastAsia="仿宋" w:cs="仿宋"/>
          <w:color w:val="0000FF"/>
          <w:sz w:val="24"/>
          <w:szCs w:val="24"/>
        </w:rPr>
        <w:t>时</w:t>
      </w:r>
      <w:r>
        <w:rPr>
          <w:rFonts w:hint="eastAsia" w:ascii="仿宋" w:hAnsi="仿宋" w:eastAsia="仿宋" w:cs="仿宋"/>
          <w:color w:val="0000FF"/>
          <w:sz w:val="24"/>
          <w:szCs w:val="24"/>
          <w:lang w:val="en-US" w:eastAsia="zh-CN"/>
        </w:rPr>
        <w:t>3</w:t>
      </w:r>
      <w:r>
        <w:rPr>
          <w:rFonts w:hint="eastAsia" w:ascii="仿宋" w:hAnsi="仿宋" w:eastAsia="仿宋" w:cs="仿宋"/>
          <w:color w:val="0000FF"/>
          <w:sz w:val="24"/>
          <w:szCs w:val="24"/>
        </w:rPr>
        <w:t>0分</w:t>
      </w:r>
      <w:r>
        <w:rPr>
          <w:rFonts w:hint="eastAsia" w:ascii="仿宋" w:hAnsi="仿宋" w:eastAsia="仿宋" w:cs="仿宋"/>
          <w:color w:val="auto"/>
          <w:sz w:val="24"/>
          <w:szCs w:val="24"/>
        </w:rPr>
        <w:t>（北京时间）。</w:t>
      </w:r>
    </w:p>
    <w:p w14:paraId="757F5FB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2.地点：</w:t>
      </w:r>
      <w:r>
        <w:rPr>
          <w:rFonts w:hint="eastAsia" w:ascii="仿宋" w:hAnsi="仿宋" w:eastAsia="仿宋" w:cs="仿宋"/>
          <w:color w:val="auto"/>
          <w:sz w:val="24"/>
          <w:szCs w:val="24"/>
          <w:lang w:eastAsia="zh-CN"/>
        </w:rPr>
        <w:t>政府采购云平台（https://www.zcygov.cn/）</w:t>
      </w:r>
    </w:p>
    <w:p w14:paraId="12C2078F">
      <w:pPr>
        <w:keepNext w:val="0"/>
        <w:keepLines w:val="0"/>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五、</w:t>
      </w:r>
      <w:r>
        <w:rPr>
          <w:rFonts w:hint="eastAsia" w:ascii="仿宋" w:hAnsi="仿宋" w:eastAsia="仿宋" w:cs="仿宋"/>
          <w:b/>
          <w:bCs/>
          <w:color w:val="auto"/>
          <w:sz w:val="24"/>
          <w:szCs w:val="24"/>
          <w:lang w:val="en-US" w:eastAsia="zh-CN"/>
        </w:rPr>
        <w:t>响应文件</w:t>
      </w:r>
      <w:r>
        <w:rPr>
          <w:rFonts w:hint="eastAsia" w:ascii="仿宋" w:hAnsi="仿宋" w:eastAsia="仿宋" w:cs="仿宋"/>
          <w:b/>
          <w:bCs/>
          <w:color w:val="auto"/>
          <w:sz w:val="24"/>
          <w:szCs w:val="24"/>
        </w:rPr>
        <w:t>开启</w:t>
      </w:r>
    </w:p>
    <w:p w14:paraId="2C5DF95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1.时间：</w:t>
      </w:r>
      <w:r>
        <w:rPr>
          <w:rFonts w:hint="eastAsia" w:ascii="仿宋" w:hAnsi="仿宋" w:eastAsia="仿宋" w:cs="仿宋"/>
          <w:color w:val="0000FF"/>
          <w:sz w:val="24"/>
          <w:szCs w:val="24"/>
        </w:rPr>
        <w:t>2025年</w:t>
      </w:r>
      <w:r>
        <w:rPr>
          <w:rFonts w:hint="eastAsia" w:ascii="仿宋" w:hAnsi="仿宋" w:eastAsia="仿宋" w:cs="仿宋"/>
          <w:color w:val="0000FF"/>
          <w:sz w:val="24"/>
          <w:szCs w:val="24"/>
          <w:lang w:val="en-US" w:eastAsia="zh-CN"/>
        </w:rPr>
        <w:t>06</w:t>
      </w:r>
      <w:r>
        <w:rPr>
          <w:rFonts w:hint="eastAsia" w:ascii="仿宋" w:hAnsi="仿宋" w:eastAsia="仿宋" w:cs="仿宋"/>
          <w:color w:val="0000FF"/>
          <w:sz w:val="24"/>
          <w:szCs w:val="24"/>
          <w:lang w:eastAsia="zh-CN"/>
        </w:rPr>
        <w:t>月</w:t>
      </w:r>
      <w:r>
        <w:rPr>
          <w:rFonts w:hint="eastAsia" w:ascii="仿宋" w:hAnsi="仿宋" w:eastAsia="仿宋" w:cs="仿宋"/>
          <w:color w:val="0000FF"/>
          <w:sz w:val="24"/>
          <w:szCs w:val="24"/>
          <w:lang w:val="en-US" w:eastAsia="zh-CN"/>
        </w:rPr>
        <w:t>30</w:t>
      </w:r>
      <w:r>
        <w:rPr>
          <w:rFonts w:hint="eastAsia" w:ascii="仿宋" w:hAnsi="仿宋" w:eastAsia="仿宋" w:cs="仿宋"/>
          <w:color w:val="0000FF"/>
          <w:sz w:val="24"/>
          <w:szCs w:val="24"/>
          <w:lang w:eastAsia="zh-CN"/>
        </w:rPr>
        <w:t>日</w:t>
      </w:r>
      <w:r>
        <w:rPr>
          <w:rFonts w:hint="eastAsia" w:ascii="仿宋" w:hAnsi="仿宋" w:eastAsia="仿宋" w:cs="仿宋"/>
          <w:color w:val="0000FF"/>
          <w:sz w:val="24"/>
          <w:szCs w:val="24"/>
        </w:rPr>
        <w:t>1</w:t>
      </w:r>
      <w:r>
        <w:rPr>
          <w:rFonts w:hint="eastAsia" w:ascii="仿宋" w:hAnsi="仿宋" w:eastAsia="仿宋" w:cs="仿宋"/>
          <w:color w:val="0000FF"/>
          <w:sz w:val="24"/>
          <w:szCs w:val="24"/>
          <w:lang w:val="en-US" w:eastAsia="zh-CN"/>
        </w:rPr>
        <w:t>0</w:t>
      </w:r>
      <w:r>
        <w:rPr>
          <w:rFonts w:hint="eastAsia" w:ascii="仿宋" w:hAnsi="仿宋" w:eastAsia="仿宋" w:cs="仿宋"/>
          <w:color w:val="0000FF"/>
          <w:sz w:val="24"/>
          <w:szCs w:val="24"/>
        </w:rPr>
        <w:t>时</w:t>
      </w:r>
      <w:r>
        <w:rPr>
          <w:rFonts w:hint="eastAsia" w:ascii="仿宋" w:hAnsi="仿宋" w:eastAsia="仿宋" w:cs="仿宋"/>
          <w:color w:val="0000FF"/>
          <w:sz w:val="24"/>
          <w:szCs w:val="24"/>
          <w:lang w:val="en-US" w:eastAsia="zh-CN"/>
        </w:rPr>
        <w:t>3</w:t>
      </w:r>
      <w:r>
        <w:rPr>
          <w:rFonts w:hint="eastAsia" w:ascii="仿宋" w:hAnsi="仿宋" w:eastAsia="仿宋" w:cs="仿宋"/>
          <w:color w:val="0000FF"/>
          <w:sz w:val="24"/>
          <w:szCs w:val="24"/>
        </w:rPr>
        <w:t>0分</w:t>
      </w:r>
      <w:r>
        <w:rPr>
          <w:rFonts w:hint="eastAsia" w:ascii="仿宋" w:hAnsi="仿宋" w:eastAsia="仿宋" w:cs="仿宋"/>
          <w:color w:val="auto"/>
          <w:sz w:val="24"/>
          <w:szCs w:val="24"/>
        </w:rPr>
        <w:t>（北京时间）。</w:t>
      </w:r>
    </w:p>
    <w:p w14:paraId="6BCED20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2.地点：</w:t>
      </w:r>
      <w:r>
        <w:rPr>
          <w:rFonts w:hint="eastAsia" w:ascii="仿宋" w:hAnsi="仿宋" w:eastAsia="仿宋" w:cs="仿宋"/>
          <w:color w:val="auto"/>
          <w:sz w:val="24"/>
          <w:szCs w:val="24"/>
          <w:lang w:eastAsia="zh-CN"/>
        </w:rPr>
        <w:t>在政府采购云平台（https://www.zcygov.cn/）上开启投标文件，开标时间后，待采购组织机构发出解密通知后30分钟内，供应商须登录“政采云”平台，用“项目采购-开标评标”功能解密投标文件。</w:t>
      </w:r>
    </w:p>
    <w:p w14:paraId="0846C2DE">
      <w:pPr>
        <w:keepNext w:val="0"/>
        <w:keepLines w:val="0"/>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六、公告期限</w:t>
      </w:r>
    </w:p>
    <w:p w14:paraId="0F61A3D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自本公告发布之日起3个工作日。</w:t>
      </w:r>
    </w:p>
    <w:p w14:paraId="0928109B">
      <w:pPr>
        <w:keepNext w:val="0"/>
        <w:keepLines w:val="0"/>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七、其他补充事宜</w:t>
      </w:r>
    </w:p>
    <w:p w14:paraId="14BB765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eastAsia="zh-CN"/>
        </w:rPr>
        <w:t>1.本项目采用全流程不见面电子开评标，投标供应商需要使用CA加密设备，供应商可通过新疆数字证书认证中心官网（https://www.xjca.com.cn/）或下载“新疆政务通”APP自行进行申领。</w:t>
      </w:r>
    </w:p>
    <w:p w14:paraId="09078EE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2.本项目实行网上投标，采用加密电子投标文件(供应商须使用CA加密设备通过政采云电子投标客户端制作投标文件)。若供应商参与投标，自行承担投标一切费用。</w:t>
      </w:r>
    </w:p>
    <w:p w14:paraId="1DB48F3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0BC6024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364FCB0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5.供应商在开标时须使用制作加密电子投标文件所使用的CA锁及电脑，电脑须提前配置好浏览器（建议使用谷歌浏览器），以便开标时解锁。</w:t>
      </w:r>
    </w:p>
    <w:p w14:paraId="5110BA5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二十群：35547618、二十一群：44303812，钉钉工具软件具有回放功能，直播培训结束后可在钉钉群中回放观看学习。</w:t>
      </w:r>
    </w:p>
    <w:p w14:paraId="08A8DED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7.为了保证开评标顺利进行，政采云线上开标功能完全实现，供应商开标所使用的电脑设备须具有视频及语音功能。</w:t>
      </w:r>
    </w:p>
    <w:p w14:paraId="26EB9530">
      <w:pPr>
        <w:keepNext w:val="0"/>
        <w:keepLines w:val="0"/>
        <w:pageBreakBefore w:val="0"/>
        <w:widowControl/>
        <w:kinsoku w:val="0"/>
        <w:wordWrap/>
        <w:overflowPunct/>
        <w:topLinePunct w:val="0"/>
        <w:autoSpaceDE w:val="0"/>
        <w:autoSpaceDN w:val="0"/>
        <w:bidi w:val="0"/>
        <w:adjustRightInd w:val="0"/>
        <w:snapToGrid w:val="0"/>
        <w:spacing w:line="480" w:lineRule="exact"/>
        <w:ind w:firstLine="240" w:firstLineChars="100"/>
        <w:textAlignment w:val="baseline"/>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 8、本项目为专门面向中小企业（含中型、小型、微型企业）采购项目，根据《政府采购促进中小企业发展管理办法》（财库</w:t>
      </w:r>
      <w:r>
        <w:rPr>
          <w:rFonts w:hint="eastAsia" w:ascii="仿宋" w:hAnsi="仿宋" w:eastAsia="仿宋" w:cs="仿宋"/>
          <w:color w:val="auto"/>
          <w:sz w:val="24"/>
          <w:szCs w:val="24"/>
          <w:lang w:eastAsia="zh-CN"/>
        </w:rPr>
        <w:t>〔2020〕46号</w:t>
      </w:r>
      <w:r>
        <w:rPr>
          <w:rFonts w:hint="eastAsia" w:ascii="仿宋" w:hAnsi="仿宋" w:eastAsia="仿宋" w:cs="仿宋"/>
          <w:color w:val="auto"/>
          <w:sz w:val="24"/>
          <w:szCs w:val="24"/>
        </w:rPr>
        <w:t>）的规定，不再执行价格评审优惠的扶持政策。注：中小企业划分标准依据《工业和信息化部、国家统计局、国家发展和改革委员会、财政部关于印发中小企业划型标准规定的通知》（工信部联企业〔2011〕300号）规定。</w:t>
      </w:r>
      <w:r>
        <w:rPr>
          <w:rFonts w:hint="eastAsia" w:ascii="仿宋" w:hAnsi="仿宋" w:eastAsia="仿宋" w:cs="仿宋"/>
          <w:b/>
          <w:bCs/>
          <w:color w:val="auto"/>
          <w:sz w:val="24"/>
          <w:szCs w:val="24"/>
        </w:rPr>
        <w:t>本项目采购标的对应的中小企业划分标准所属行业为建筑业。</w:t>
      </w:r>
    </w:p>
    <w:p w14:paraId="4576C28C">
      <w:pPr>
        <w:keepNext w:val="0"/>
        <w:keepLines w:val="0"/>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八、凡对本次采购提出询问，请按以下方式联系</w:t>
      </w:r>
    </w:p>
    <w:p w14:paraId="01CAB5D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1.采购人信息</w:t>
      </w:r>
    </w:p>
    <w:p w14:paraId="080C7A4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名称：昌吉市园林绿化管理中心</w:t>
      </w:r>
    </w:p>
    <w:p w14:paraId="67B3F88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地址：</w:t>
      </w:r>
      <w:r>
        <w:rPr>
          <w:rFonts w:hint="eastAsia" w:ascii="仿宋" w:hAnsi="仿宋" w:eastAsia="仿宋" w:cs="仿宋"/>
          <w:color w:val="auto"/>
          <w:sz w:val="24"/>
          <w:szCs w:val="24"/>
          <w:lang w:val="en-US" w:eastAsia="zh-CN"/>
        </w:rPr>
        <w:t>昌吉市</w:t>
      </w:r>
    </w:p>
    <w:p w14:paraId="035C3EB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联系方式：</w:t>
      </w:r>
      <w:r>
        <w:rPr>
          <w:rFonts w:hint="eastAsia" w:ascii="仿宋" w:hAnsi="仿宋" w:eastAsia="仿宋" w:cs="仿宋"/>
          <w:color w:val="auto"/>
          <w:sz w:val="24"/>
          <w:szCs w:val="24"/>
          <w:lang w:val="en-US" w:eastAsia="zh-CN"/>
        </w:rPr>
        <w:t>马先生 13565646836</w:t>
      </w:r>
    </w:p>
    <w:p w14:paraId="3E5FDA9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2.采购代理机构信息</w:t>
      </w:r>
    </w:p>
    <w:p w14:paraId="7EEFCAD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名称：新疆昌盛方略项目管理有限公司</w:t>
      </w:r>
    </w:p>
    <w:p w14:paraId="7F5AE7B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地址：新疆昌吉回族自治州昌吉市南公园西路融投小镇1号楼A座14层（昌吉州国投大厦1幢14楼1419）</w:t>
      </w:r>
    </w:p>
    <w:p w14:paraId="334F17D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联系方式：0994-8165002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18699479057</w:t>
      </w:r>
    </w:p>
    <w:p w14:paraId="1835ADA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3.项目联系方式</w:t>
      </w:r>
    </w:p>
    <w:p w14:paraId="0137D82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项目联系人：</w:t>
      </w:r>
      <w:r>
        <w:rPr>
          <w:rFonts w:hint="eastAsia" w:ascii="仿宋" w:hAnsi="仿宋" w:eastAsia="仿宋" w:cs="仿宋"/>
          <w:color w:val="auto"/>
          <w:sz w:val="24"/>
          <w:szCs w:val="24"/>
          <w:lang w:val="en-US" w:eastAsia="zh-CN"/>
        </w:rPr>
        <w:t>努女士、蔚女士</w:t>
      </w:r>
    </w:p>
    <w:p w14:paraId="0430FD1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电话：0994-8165002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18699479057</w:t>
      </w:r>
    </w:p>
    <w:p w14:paraId="2B3E2304">
      <w:pPr>
        <w:pageBreakBefore w:val="0"/>
        <w:wordWrap/>
        <w:topLinePunct w:val="0"/>
        <w:bidi w:val="0"/>
        <w:spacing w:line="480" w:lineRule="exact"/>
        <w:rPr>
          <w:rFonts w:hint="eastAsia" w:ascii="仿宋" w:hAnsi="仿宋" w:eastAsia="仿宋" w:cs="仿宋"/>
          <w:color w:val="auto"/>
          <w:sz w:val="24"/>
          <w:szCs w:val="24"/>
        </w:rPr>
      </w:pPr>
    </w:p>
    <w:p w14:paraId="6E1C1C44">
      <w:pPr>
        <w:pageBreakBefore w:val="0"/>
        <w:wordWrap/>
        <w:topLinePunct w:val="0"/>
        <w:bidi w:val="0"/>
        <w:spacing w:line="480" w:lineRule="exact"/>
        <w:rPr>
          <w:rFonts w:hint="eastAsia" w:ascii="仿宋" w:hAnsi="仿宋" w:eastAsia="仿宋" w:cs="仿宋"/>
          <w:color w:val="auto"/>
          <w:sz w:val="24"/>
          <w:szCs w:val="24"/>
        </w:rPr>
      </w:pPr>
    </w:p>
    <w:p w14:paraId="35552E61">
      <w:pPr>
        <w:pageBreakBefore w:val="0"/>
        <w:wordWrap/>
        <w:topLinePunct w:val="0"/>
        <w:bidi w:val="0"/>
        <w:spacing w:line="480" w:lineRule="exact"/>
        <w:rPr>
          <w:rFonts w:hint="eastAsia" w:ascii="仿宋" w:hAnsi="仿宋" w:eastAsia="仿宋" w:cs="仿宋"/>
          <w:color w:val="auto"/>
          <w:sz w:val="24"/>
          <w:szCs w:val="24"/>
        </w:rPr>
      </w:pPr>
    </w:p>
    <w:p w14:paraId="33EFACFC">
      <w:pPr>
        <w:pageBreakBefore w:val="0"/>
        <w:wordWrap/>
        <w:topLinePunct w:val="0"/>
        <w:bidi w:val="0"/>
        <w:spacing w:line="480" w:lineRule="exact"/>
        <w:rPr>
          <w:rFonts w:hint="eastAsia" w:ascii="仿宋" w:hAnsi="仿宋" w:eastAsia="仿宋" w:cs="仿宋"/>
          <w:color w:val="auto"/>
          <w:sz w:val="24"/>
          <w:szCs w:val="24"/>
        </w:rPr>
      </w:pPr>
    </w:p>
    <w:p w14:paraId="1CDA1547">
      <w:pPr>
        <w:pageBreakBefore w:val="0"/>
        <w:wordWrap/>
        <w:topLinePunct w:val="0"/>
        <w:bidi w:val="0"/>
        <w:spacing w:line="480" w:lineRule="exact"/>
        <w:rPr>
          <w:rFonts w:hint="eastAsia" w:ascii="仿宋" w:hAnsi="仿宋" w:eastAsia="仿宋" w:cs="仿宋"/>
          <w:color w:val="auto"/>
          <w:sz w:val="24"/>
          <w:szCs w:val="24"/>
        </w:rPr>
      </w:pPr>
    </w:p>
    <w:p w14:paraId="45B10D04">
      <w:pPr>
        <w:pageBreakBefore w:val="0"/>
        <w:wordWrap/>
        <w:topLinePunct w:val="0"/>
        <w:bidi w:val="0"/>
        <w:spacing w:line="480" w:lineRule="exact"/>
        <w:rPr>
          <w:rFonts w:hint="eastAsia" w:ascii="仿宋" w:hAnsi="仿宋" w:eastAsia="仿宋" w:cs="仿宋"/>
          <w:color w:val="auto"/>
          <w:sz w:val="24"/>
          <w:szCs w:val="24"/>
        </w:rPr>
      </w:pPr>
    </w:p>
    <w:p w14:paraId="7A24BE6E">
      <w:pPr>
        <w:pageBreakBefore w:val="0"/>
        <w:wordWrap/>
        <w:topLinePunct w:val="0"/>
        <w:bidi w:val="0"/>
        <w:spacing w:line="480" w:lineRule="exact"/>
        <w:rPr>
          <w:rFonts w:hint="eastAsia" w:ascii="仿宋" w:hAnsi="仿宋" w:eastAsia="仿宋" w:cs="仿宋"/>
          <w:color w:val="auto"/>
          <w:sz w:val="24"/>
          <w:szCs w:val="24"/>
        </w:rPr>
      </w:pPr>
    </w:p>
    <w:p w14:paraId="41C93185">
      <w:pPr>
        <w:pageBreakBefore w:val="0"/>
        <w:wordWrap/>
        <w:topLinePunct w:val="0"/>
        <w:bidi w:val="0"/>
        <w:spacing w:line="480" w:lineRule="exact"/>
        <w:rPr>
          <w:rFonts w:hint="eastAsia" w:ascii="仿宋" w:hAnsi="仿宋" w:eastAsia="仿宋" w:cs="仿宋"/>
          <w:color w:val="auto"/>
          <w:sz w:val="24"/>
          <w:szCs w:val="24"/>
        </w:rPr>
      </w:pPr>
    </w:p>
    <w:p w14:paraId="34797550">
      <w:pPr>
        <w:pageBreakBefore w:val="0"/>
        <w:wordWrap/>
        <w:topLinePunct w:val="0"/>
        <w:bidi w:val="0"/>
        <w:spacing w:line="480" w:lineRule="exact"/>
        <w:rPr>
          <w:rFonts w:hint="eastAsia" w:ascii="仿宋" w:hAnsi="仿宋" w:eastAsia="仿宋" w:cs="仿宋"/>
          <w:color w:val="auto"/>
          <w:sz w:val="24"/>
          <w:szCs w:val="24"/>
        </w:rPr>
      </w:pPr>
    </w:p>
    <w:p w14:paraId="08C902A0">
      <w:pPr>
        <w:pageBreakBefore w:val="0"/>
        <w:wordWrap/>
        <w:topLinePunct w:val="0"/>
        <w:bidi w:val="0"/>
        <w:spacing w:line="480" w:lineRule="exact"/>
        <w:rPr>
          <w:rFonts w:hint="eastAsia" w:ascii="仿宋" w:hAnsi="仿宋" w:eastAsia="仿宋" w:cs="仿宋"/>
          <w:color w:val="auto"/>
          <w:sz w:val="24"/>
          <w:szCs w:val="24"/>
        </w:rPr>
      </w:pPr>
    </w:p>
    <w:p w14:paraId="2357EE65">
      <w:pPr>
        <w:pageBreakBefore w:val="0"/>
        <w:wordWrap/>
        <w:topLinePunct w:val="0"/>
        <w:bidi w:val="0"/>
        <w:spacing w:line="480" w:lineRule="exact"/>
        <w:rPr>
          <w:rFonts w:hint="eastAsia" w:ascii="仿宋" w:hAnsi="仿宋" w:eastAsia="仿宋" w:cs="仿宋"/>
          <w:color w:val="auto"/>
          <w:sz w:val="24"/>
          <w:szCs w:val="24"/>
        </w:rPr>
      </w:pPr>
    </w:p>
    <w:p w14:paraId="718D4737">
      <w:pPr>
        <w:pageBreakBefore w:val="0"/>
        <w:wordWrap/>
        <w:topLinePunct w:val="0"/>
        <w:bidi w:val="0"/>
        <w:spacing w:line="480" w:lineRule="exact"/>
        <w:rPr>
          <w:rFonts w:hint="eastAsia" w:ascii="仿宋" w:hAnsi="仿宋" w:eastAsia="仿宋" w:cs="仿宋"/>
          <w:color w:val="auto"/>
          <w:sz w:val="24"/>
          <w:szCs w:val="24"/>
        </w:rPr>
      </w:pPr>
    </w:p>
    <w:p w14:paraId="119355FD">
      <w:pPr>
        <w:pageBreakBefore w:val="0"/>
        <w:wordWrap/>
        <w:topLinePunct w:val="0"/>
        <w:bidi w:val="0"/>
        <w:spacing w:line="480" w:lineRule="exact"/>
        <w:rPr>
          <w:rFonts w:hint="eastAsia" w:ascii="仿宋" w:hAnsi="仿宋" w:eastAsia="仿宋" w:cs="仿宋"/>
          <w:color w:val="auto"/>
          <w:sz w:val="24"/>
          <w:szCs w:val="24"/>
        </w:rPr>
      </w:pPr>
    </w:p>
    <w:p w14:paraId="6260B6DF">
      <w:pPr>
        <w:pageBreakBefore w:val="0"/>
        <w:wordWrap/>
        <w:topLinePunct w:val="0"/>
        <w:bidi w:val="0"/>
        <w:spacing w:line="480" w:lineRule="exact"/>
        <w:rPr>
          <w:rFonts w:hint="eastAsia" w:ascii="仿宋" w:hAnsi="仿宋" w:eastAsia="仿宋" w:cs="仿宋"/>
          <w:color w:val="auto"/>
          <w:sz w:val="24"/>
          <w:szCs w:val="24"/>
        </w:rPr>
      </w:pPr>
    </w:p>
    <w:p w14:paraId="797C5954">
      <w:pPr>
        <w:pageBreakBefore w:val="0"/>
        <w:wordWrap/>
        <w:topLinePunct w:val="0"/>
        <w:bidi w:val="0"/>
        <w:spacing w:line="480" w:lineRule="exact"/>
        <w:rPr>
          <w:rFonts w:hint="eastAsia" w:ascii="仿宋" w:hAnsi="仿宋" w:eastAsia="仿宋" w:cs="仿宋"/>
          <w:color w:val="auto"/>
          <w:sz w:val="24"/>
          <w:szCs w:val="24"/>
        </w:rPr>
      </w:pPr>
    </w:p>
    <w:p w14:paraId="7C174FF4">
      <w:pPr>
        <w:pageBreakBefore w:val="0"/>
        <w:wordWrap/>
        <w:topLinePunct w:val="0"/>
        <w:bidi w:val="0"/>
        <w:spacing w:line="480" w:lineRule="exact"/>
        <w:rPr>
          <w:rFonts w:hint="eastAsia" w:ascii="仿宋" w:hAnsi="仿宋" w:eastAsia="仿宋" w:cs="仿宋"/>
          <w:color w:val="auto"/>
          <w:sz w:val="24"/>
          <w:szCs w:val="24"/>
        </w:rPr>
      </w:pPr>
    </w:p>
    <w:p w14:paraId="1AA25AE4">
      <w:pPr>
        <w:pStyle w:val="2"/>
        <w:rPr>
          <w:rFonts w:hint="eastAsia" w:ascii="仿宋" w:hAnsi="仿宋" w:eastAsia="仿宋" w:cs="仿宋"/>
          <w:color w:val="auto"/>
          <w:sz w:val="24"/>
          <w:szCs w:val="24"/>
        </w:rPr>
      </w:pPr>
    </w:p>
    <w:p w14:paraId="0CB9EF52">
      <w:pPr>
        <w:pStyle w:val="2"/>
        <w:rPr>
          <w:rFonts w:hint="eastAsia" w:ascii="仿宋" w:hAnsi="仿宋" w:eastAsia="仿宋" w:cs="仿宋"/>
          <w:color w:val="auto"/>
          <w:sz w:val="24"/>
          <w:szCs w:val="24"/>
        </w:rPr>
      </w:pPr>
    </w:p>
    <w:p w14:paraId="253B8954">
      <w:pPr>
        <w:pStyle w:val="2"/>
        <w:rPr>
          <w:rFonts w:hint="eastAsia" w:ascii="仿宋" w:hAnsi="仿宋" w:eastAsia="仿宋" w:cs="仿宋"/>
          <w:color w:val="auto"/>
          <w:sz w:val="24"/>
          <w:szCs w:val="24"/>
        </w:rPr>
      </w:pPr>
    </w:p>
    <w:p w14:paraId="099D550F">
      <w:pPr>
        <w:pStyle w:val="3"/>
        <w:pageBreakBefore w:val="0"/>
        <w:wordWrap/>
        <w:topLinePunct w:val="0"/>
        <w:bidi w:val="0"/>
        <w:spacing w:line="480" w:lineRule="exact"/>
        <w:jc w:val="center"/>
        <w:rPr>
          <w:rFonts w:hint="eastAsia" w:ascii="仿宋" w:hAnsi="仿宋" w:eastAsia="仿宋" w:cs="仿宋"/>
          <w:color w:val="auto"/>
          <w:sz w:val="24"/>
          <w:szCs w:val="24"/>
        </w:rPr>
      </w:pPr>
      <w:bookmarkStart w:id="2" w:name="_Toc5126"/>
      <w:r>
        <w:rPr>
          <w:rFonts w:hint="eastAsia" w:ascii="仿宋" w:hAnsi="仿宋" w:eastAsia="仿宋" w:cs="仿宋"/>
          <w:color w:val="auto"/>
          <w:sz w:val="28"/>
          <w:szCs w:val="28"/>
        </w:rPr>
        <w:t>第二章</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供应商须知</w:t>
      </w:r>
      <w:bookmarkEnd w:id="2"/>
    </w:p>
    <w:p w14:paraId="3379A4CA">
      <w:pPr>
        <w:pageBreakBefore w:val="0"/>
        <w:wordWrap/>
        <w:topLinePunct w:val="0"/>
        <w:bidi w:val="0"/>
        <w:spacing w:line="480" w:lineRule="exact"/>
        <w:rPr>
          <w:rFonts w:hint="eastAsia" w:ascii="仿宋" w:hAnsi="仿宋" w:eastAsia="仿宋" w:cs="仿宋"/>
          <w:color w:val="auto"/>
          <w:sz w:val="24"/>
          <w:szCs w:val="24"/>
        </w:rPr>
      </w:pPr>
      <w:r>
        <w:rPr>
          <w:rFonts w:hint="eastAsia" w:ascii="仿宋" w:hAnsi="仿宋" w:eastAsia="仿宋" w:cs="仿宋"/>
          <w:color w:val="auto"/>
          <w:sz w:val="24"/>
          <w:szCs w:val="24"/>
        </w:rPr>
        <w:t>一、供应商须知前附表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9"/>
        <w:gridCol w:w="1250"/>
        <w:gridCol w:w="7290"/>
      </w:tblGrid>
      <w:tr w14:paraId="7533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6" w:hRule="atLeast"/>
          <w:jc w:val="center"/>
        </w:trPr>
        <w:tc>
          <w:tcPr>
            <w:tcW w:w="879" w:type="dxa"/>
            <w:shd w:val="clear" w:color="auto" w:fill="auto"/>
            <w:vAlign w:val="center"/>
          </w:tcPr>
          <w:p w14:paraId="20364F71">
            <w:pPr>
              <w:pStyle w:val="25"/>
              <w:keepNext w:val="0"/>
              <w:keepLines w:val="0"/>
              <w:pageBreakBefore w:val="0"/>
              <w:widowControl/>
              <w:kinsoku w:val="0"/>
              <w:wordWrap/>
              <w:overflowPunct/>
              <w:topLinePunct w:val="0"/>
              <w:autoSpaceDE w:val="0"/>
              <w:autoSpaceDN w:val="0"/>
              <w:bidi w:val="0"/>
              <w:adjustRightInd w:val="0"/>
              <w:snapToGrid w:val="0"/>
              <w:spacing w:before="199" w:line="360" w:lineRule="exact"/>
              <w:jc w:val="center"/>
              <w:textAlignment w:val="baseline"/>
              <w:rPr>
                <w:rFonts w:hint="eastAsia" w:ascii="仿宋" w:hAnsi="仿宋" w:eastAsia="仿宋" w:cs="仿宋"/>
                <w:b/>
                <w:bCs/>
                <w:snapToGrid w:val="0"/>
                <w:color w:val="auto"/>
                <w:kern w:val="0"/>
                <w:sz w:val="24"/>
                <w:szCs w:val="24"/>
                <w:lang w:val="en-US" w:eastAsia="zh-CN" w:bidi="ar-SA"/>
              </w:rPr>
            </w:pPr>
            <w:r>
              <w:rPr>
                <w:rFonts w:hint="eastAsia" w:ascii="仿宋" w:hAnsi="仿宋" w:eastAsia="仿宋" w:cs="仿宋"/>
                <w:b/>
                <w:bCs/>
                <w:snapToGrid w:val="0"/>
                <w:color w:val="auto"/>
                <w:kern w:val="0"/>
                <w:sz w:val="24"/>
                <w:szCs w:val="24"/>
                <w:lang w:val="en-US" w:eastAsia="zh-CN" w:bidi="ar-SA"/>
              </w:rPr>
              <w:t>序号</w:t>
            </w:r>
          </w:p>
        </w:tc>
        <w:tc>
          <w:tcPr>
            <w:tcW w:w="1250" w:type="dxa"/>
            <w:shd w:val="clear" w:color="auto" w:fill="auto"/>
            <w:vAlign w:val="center"/>
          </w:tcPr>
          <w:p w14:paraId="23A36A85">
            <w:pPr>
              <w:pStyle w:val="25"/>
              <w:keepNext w:val="0"/>
              <w:keepLines w:val="0"/>
              <w:pageBreakBefore w:val="0"/>
              <w:widowControl/>
              <w:kinsoku w:val="0"/>
              <w:wordWrap/>
              <w:overflowPunct/>
              <w:topLinePunct w:val="0"/>
              <w:autoSpaceDE w:val="0"/>
              <w:autoSpaceDN w:val="0"/>
              <w:bidi w:val="0"/>
              <w:adjustRightInd w:val="0"/>
              <w:snapToGrid w:val="0"/>
              <w:spacing w:before="199" w:line="360" w:lineRule="exact"/>
              <w:jc w:val="center"/>
              <w:textAlignment w:val="baseline"/>
              <w:rPr>
                <w:rFonts w:hint="eastAsia" w:ascii="仿宋" w:hAnsi="仿宋" w:eastAsia="仿宋" w:cs="仿宋"/>
                <w:b/>
                <w:bCs/>
                <w:snapToGrid w:val="0"/>
                <w:color w:val="auto"/>
                <w:kern w:val="0"/>
                <w:sz w:val="24"/>
                <w:szCs w:val="24"/>
                <w:lang w:val="en-US" w:eastAsia="en-US" w:bidi="ar-SA"/>
              </w:rPr>
            </w:pPr>
            <w:r>
              <w:rPr>
                <w:rFonts w:hint="eastAsia" w:ascii="仿宋" w:hAnsi="仿宋" w:eastAsia="仿宋" w:cs="仿宋"/>
                <w:b/>
                <w:bCs/>
                <w:color w:val="auto"/>
                <w:spacing w:val="-5"/>
                <w:sz w:val="24"/>
                <w:szCs w:val="24"/>
              </w:rPr>
              <w:t>名称</w:t>
            </w:r>
          </w:p>
        </w:tc>
        <w:tc>
          <w:tcPr>
            <w:tcW w:w="7290" w:type="dxa"/>
            <w:shd w:val="clear" w:color="auto" w:fill="auto"/>
            <w:vAlign w:val="center"/>
          </w:tcPr>
          <w:p w14:paraId="1C4B7393">
            <w:pPr>
              <w:pStyle w:val="25"/>
              <w:keepNext w:val="0"/>
              <w:keepLines w:val="0"/>
              <w:pageBreakBefore w:val="0"/>
              <w:widowControl/>
              <w:kinsoku w:val="0"/>
              <w:wordWrap/>
              <w:overflowPunct/>
              <w:topLinePunct w:val="0"/>
              <w:autoSpaceDE w:val="0"/>
              <w:autoSpaceDN w:val="0"/>
              <w:bidi w:val="0"/>
              <w:adjustRightInd w:val="0"/>
              <w:snapToGrid w:val="0"/>
              <w:spacing w:before="199" w:line="360" w:lineRule="exact"/>
              <w:jc w:val="center"/>
              <w:textAlignment w:val="baseline"/>
              <w:rPr>
                <w:rFonts w:hint="eastAsia" w:ascii="仿宋" w:hAnsi="仿宋" w:eastAsia="仿宋" w:cs="仿宋"/>
                <w:b/>
                <w:bCs/>
                <w:snapToGrid w:val="0"/>
                <w:color w:val="auto"/>
                <w:kern w:val="0"/>
                <w:sz w:val="24"/>
                <w:szCs w:val="24"/>
                <w:lang w:val="en-US" w:eastAsia="en-US" w:bidi="ar-SA"/>
              </w:rPr>
            </w:pPr>
            <w:r>
              <w:rPr>
                <w:rFonts w:hint="eastAsia" w:ascii="仿宋" w:hAnsi="仿宋" w:eastAsia="仿宋" w:cs="仿宋"/>
                <w:b/>
                <w:bCs/>
                <w:color w:val="auto"/>
                <w:spacing w:val="-22"/>
                <w:sz w:val="24"/>
                <w:szCs w:val="24"/>
              </w:rPr>
              <w:t>内容</w:t>
            </w:r>
          </w:p>
        </w:tc>
      </w:tr>
      <w:tr w14:paraId="2F84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8" w:hRule="atLeast"/>
          <w:jc w:val="center"/>
        </w:trPr>
        <w:tc>
          <w:tcPr>
            <w:tcW w:w="879" w:type="dxa"/>
            <w:shd w:val="clear" w:color="auto" w:fill="auto"/>
            <w:vAlign w:val="center"/>
          </w:tcPr>
          <w:p w14:paraId="6E5AF405">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1</w:t>
            </w:r>
          </w:p>
        </w:tc>
        <w:tc>
          <w:tcPr>
            <w:tcW w:w="1250" w:type="dxa"/>
            <w:shd w:val="clear" w:color="auto" w:fill="auto"/>
            <w:vAlign w:val="center"/>
          </w:tcPr>
          <w:p w14:paraId="7C32BF7C">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w:t>
            </w:r>
          </w:p>
        </w:tc>
        <w:tc>
          <w:tcPr>
            <w:tcW w:w="7290" w:type="dxa"/>
            <w:shd w:val="clear" w:color="auto" w:fill="auto"/>
            <w:vAlign w:val="center"/>
          </w:tcPr>
          <w:p w14:paraId="4F5C93B7">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rPr>
              <w:t>昌吉市园林绿化管理中心</w:t>
            </w:r>
          </w:p>
          <w:p w14:paraId="705884B6">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 系 人：马先生</w:t>
            </w:r>
          </w:p>
          <w:p w14:paraId="09E7A638">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z w:val="24"/>
                <w:szCs w:val="24"/>
                <w:highlight w:val="none"/>
                <w:lang w:val="en-US" w:eastAsia="zh-CN"/>
              </w:rPr>
              <w:t>联系电话：</w:t>
            </w:r>
            <w:r>
              <w:rPr>
                <w:rFonts w:hint="eastAsia" w:ascii="仿宋" w:hAnsi="仿宋" w:eastAsia="仿宋" w:cs="仿宋"/>
                <w:color w:val="auto"/>
                <w:sz w:val="24"/>
                <w:szCs w:val="24"/>
                <w:lang w:val="en-US" w:eastAsia="zh-CN"/>
              </w:rPr>
              <w:t>13565646836</w:t>
            </w:r>
          </w:p>
        </w:tc>
      </w:tr>
      <w:tr w14:paraId="278B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3" w:hRule="atLeast"/>
          <w:jc w:val="center"/>
        </w:trPr>
        <w:tc>
          <w:tcPr>
            <w:tcW w:w="879" w:type="dxa"/>
            <w:shd w:val="clear" w:color="auto" w:fill="auto"/>
            <w:vAlign w:val="center"/>
          </w:tcPr>
          <w:p w14:paraId="28958E3C">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2</w:t>
            </w:r>
          </w:p>
        </w:tc>
        <w:tc>
          <w:tcPr>
            <w:tcW w:w="1250" w:type="dxa"/>
            <w:shd w:val="clear" w:color="auto" w:fill="auto"/>
            <w:vAlign w:val="center"/>
          </w:tcPr>
          <w:p w14:paraId="61288D84">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采购代理机构</w:t>
            </w:r>
          </w:p>
        </w:tc>
        <w:tc>
          <w:tcPr>
            <w:tcW w:w="7290" w:type="dxa"/>
            <w:shd w:val="clear" w:color="auto" w:fill="auto"/>
            <w:vAlign w:val="center"/>
          </w:tcPr>
          <w:p w14:paraId="27854CAE">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名称：新疆昌盛方略项目管理有限公司</w:t>
            </w:r>
          </w:p>
          <w:p w14:paraId="6CE00467">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地址：</w:t>
            </w:r>
            <w:r>
              <w:rPr>
                <w:rFonts w:hint="eastAsia" w:ascii="仿宋" w:hAnsi="仿宋" w:eastAsia="仿宋" w:cs="仿宋"/>
                <w:color w:val="auto"/>
                <w:sz w:val="24"/>
                <w:szCs w:val="24"/>
              </w:rPr>
              <w:t>新疆昌吉回族自治州昌吉市南公园西路融投小镇1号楼A座14层（昌吉州国投大厦1幢14楼1419）</w:t>
            </w:r>
          </w:p>
          <w:p w14:paraId="40644E09">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联系人：努女士、蔚女士</w:t>
            </w:r>
          </w:p>
          <w:p w14:paraId="691D7B18">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联系方式：0994-8165002、18699479057</w:t>
            </w:r>
          </w:p>
          <w:p w14:paraId="31246238">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邮箱：1024878179@qq.com</w:t>
            </w:r>
          </w:p>
        </w:tc>
      </w:tr>
      <w:tr w14:paraId="52EA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3" w:hRule="atLeast"/>
          <w:jc w:val="center"/>
        </w:trPr>
        <w:tc>
          <w:tcPr>
            <w:tcW w:w="879" w:type="dxa"/>
            <w:shd w:val="clear" w:color="auto" w:fill="auto"/>
            <w:vAlign w:val="center"/>
          </w:tcPr>
          <w:p w14:paraId="6C01BE9E">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3</w:t>
            </w:r>
          </w:p>
        </w:tc>
        <w:tc>
          <w:tcPr>
            <w:tcW w:w="1250" w:type="dxa"/>
            <w:shd w:val="clear" w:color="auto" w:fill="auto"/>
            <w:vAlign w:val="center"/>
          </w:tcPr>
          <w:p w14:paraId="1C9F50F5">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color w:val="auto"/>
                <w:spacing w:val="-3"/>
                <w:sz w:val="24"/>
                <w:szCs w:val="24"/>
                <w:lang w:val="en-US" w:eastAsia="zh-CN"/>
              </w:rPr>
            </w:pPr>
            <w:r>
              <w:rPr>
                <w:rFonts w:hint="eastAsia" w:ascii="仿宋" w:hAnsi="仿宋" w:eastAsia="仿宋" w:cs="仿宋"/>
                <w:color w:val="auto"/>
                <w:spacing w:val="-3"/>
                <w:sz w:val="24"/>
                <w:szCs w:val="24"/>
                <w:lang w:val="en-US" w:eastAsia="zh-CN"/>
              </w:rPr>
              <w:t>项目名称</w:t>
            </w:r>
          </w:p>
        </w:tc>
        <w:tc>
          <w:tcPr>
            <w:tcW w:w="7290" w:type="dxa"/>
            <w:shd w:val="clear" w:color="auto" w:fill="auto"/>
            <w:vAlign w:val="center"/>
          </w:tcPr>
          <w:p w14:paraId="348D2AC8">
            <w:pPr>
              <w:pStyle w:val="25"/>
              <w:keepNext w:val="0"/>
              <w:keepLines w:val="0"/>
              <w:pageBreakBefore w:val="0"/>
              <w:widowControl/>
              <w:kinsoku w:val="0"/>
              <w:wordWrap/>
              <w:overflowPunct/>
              <w:topLinePunct w:val="0"/>
              <w:autoSpaceDE w:val="0"/>
              <w:autoSpaceDN w:val="0"/>
              <w:bidi w:val="0"/>
              <w:adjustRightInd w:val="0"/>
              <w:snapToGrid w:val="0"/>
              <w:spacing w:before="23" w:line="360" w:lineRule="exact"/>
              <w:jc w:val="left"/>
              <w:textAlignment w:val="baseline"/>
              <w:rPr>
                <w:rFonts w:hint="eastAsia" w:ascii="仿宋" w:hAnsi="仿宋" w:eastAsia="仿宋" w:cs="仿宋"/>
                <w:color w:val="auto"/>
                <w:spacing w:val="-4"/>
                <w:sz w:val="24"/>
                <w:szCs w:val="24"/>
                <w:lang w:eastAsia="zh-CN"/>
              </w:rPr>
            </w:pPr>
            <w:r>
              <w:rPr>
                <w:rFonts w:hint="eastAsia" w:ascii="仿宋" w:hAnsi="仿宋" w:eastAsia="仿宋" w:cs="仿宋"/>
                <w:b w:val="0"/>
                <w:bCs w:val="0"/>
                <w:color w:val="auto"/>
                <w:sz w:val="24"/>
                <w:szCs w:val="24"/>
                <w:lang w:eastAsia="zh-CN"/>
              </w:rPr>
              <w:t>昌吉市公园游园整治提升项目</w:t>
            </w:r>
          </w:p>
        </w:tc>
      </w:tr>
      <w:tr w14:paraId="4F16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9" w:hRule="atLeast"/>
          <w:jc w:val="center"/>
        </w:trPr>
        <w:tc>
          <w:tcPr>
            <w:tcW w:w="879" w:type="dxa"/>
            <w:shd w:val="clear" w:color="auto" w:fill="auto"/>
            <w:vAlign w:val="center"/>
          </w:tcPr>
          <w:p w14:paraId="4861D8B6">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4</w:t>
            </w:r>
          </w:p>
        </w:tc>
        <w:tc>
          <w:tcPr>
            <w:tcW w:w="1250" w:type="dxa"/>
            <w:shd w:val="clear" w:color="auto" w:fill="auto"/>
            <w:vAlign w:val="center"/>
          </w:tcPr>
          <w:p w14:paraId="1469A21F">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color w:val="auto"/>
                <w:spacing w:val="-3"/>
                <w:sz w:val="24"/>
                <w:szCs w:val="24"/>
                <w:lang w:val="en-US" w:eastAsia="zh-CN"/>
              </w:rPr>
            </w:pPr>
            <w:r>
              <w:rPr>
                <w:rFonts w:hint="eastAsia" w:ascii="仿宋" w:hAnsi="仿宋" w:eastAsia="仿宋" w:cs="仿宋"/>
                <w:color w:val="auto"/>
                <w:spacing w:val="-3"/>
                <w:sz w:val="24"/>
                <w:szCs w:val="24"/>
                <w:lang w:val="en-US" w:eastAsia="zh-CN"/>
              </w:rPr>
              <w:t>采购需求</w:t>
            </w:r>
          </w:p>
        </w:tc>
        <w:tc>
          <w:tcPr>
            <w:tcW w:w="7290" w:type="dxa"/>
            <w:shd w:val="clear" w:color="auto" w:fill="auto"/>
            <w:vAlign w:val="center"/>
          </w:tcPr>
          <w:p w14:paraId="7B48D845">
            <w:pPr>
              <w:pStyle w:val="25"/>
              <w:keepNext w:val="0"/>
              <w:keepLines w:val="0"/>
              <w:pageBreakBefore w:val="0"/>
              <w:widowControl/>
              <w:kinsoku w:val="0"/>
              <w:wordWrap/>
              <w:overflowPunct/>
              <w:topLinePunct w:val="0"/>
              <w:autoSpaceDE w:val="0"/>
              <w:autoSpaceDN w:val="0"/>
              <w:bidi w:val="0"/>
              <w:adjustRightInd w:val="0"/>
              <w:snapToGrid w:val="0"/>
              <w:spacing w:before="23" w:line="360" w:lineRule="exact"/>
              <w:jc w:val="left"/>
              <w:textAlignment w:val="baseline"/>
              <w:rPr>
                <w:rFonts w:hint="eastAsia" w:ascii="仿宋" w:hAnsi="仿宋" w:eastAsia="仿宋" w:cs="仿宋"/>
                <w:color w:val="auto"/>
                <w:spacing w:val="-4"/>
                <w:sz w:val="24"/>
                <w:szCs w:val="24"/>
              </w:rPr>
            </w:pPr>
            <w:r>
              <w:rPr>
                <w:rFonts w:hint="eastAsia" w:ascii="仿宋" w:hAnsi="仿宋" w:eastAsia="仿宋" w:cs="仿宋"/>
                <w:color w:val="auto"/>
                <w:sz w:val="24"/>
                <w:szCs w:val="24"/>
                <w:lang w:val="en-US" w:eastAsia="zh-CN"/>
              </w:rPr>
              <w:t>昌吉市公园、游园健身设施、体育器材维修、游园整治提升；公园、游园附属设施更新，包括灌溉设施、座椅、果皮箱、建筑小品等</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具体内容详见工程量清单</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p>
        </w:tc>
      </w:tr>
      <w:tr w14:paraId="1EA4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8" w:hRule="atLeast"/>
          <w:jc w:val="center"/>
        </w:trPr>
        <w:tc>
          <w:tcPr>
            <w:tcW w:w="879" w:type="dxa"/>
            <w:shd w:val="clear" w:color="auto" w:fill="auto"/>
            <w:vAlign w:val="center"/>
          </w:tcPr>
          <w:p w14:paraId="4D252AA5">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5</w:t>
            </w:r>
          </w:p>
        </w:tc>
        <w:tc>
          <w:tcPr>
            <w:tcW w:w="1250" w:type="dxa"/>
            <w:shd w:val="clear" w:color="auto" w:fill="auto"/>
            <w:vAlign w:val="center"/>
          </w:tcPr>
          <w:p w14:paraId="15DC21B7">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z w:val="24"/>
                <w:szCs w:val="24"/>
                <w:highlight w:val="none"/>
              </w:rPr>
              <w:t>招标范围</w:t>
            </w:r>
          </w:p>
        </w:tc>
        <w:tc>
          <w:tcPr>
            <w:tcW w:w="7290" w:type="dxa"/>
            <w:shd w:val="clear" w:color="auto" w:fill="auto"/>
            <w:vAlign w:val="center"/>
          </w:tcPr>
          <w:p w14:paraId="5B84F055">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竞争性磋商文件</w:t>
            </w:r>
            <w:r>
              <w:rPr>
                <w:rFonts w:hint="eastAsia" w:ascii="仿宋" w:hAnsi="仿宋" w:eastAsia="仿宋" w:cs="仿宋"/>
                <w:color w:val="auto"/>
                <w:sz w:val="24"/>
                <w:szCs w:val="24"/>
                <w:highlight w:val="none"/>
              </w:rPr>
              <w:t>及工程量清单范围内的全部工作内容（包括文件变更、答疑及补充等内容）</w:t>
            </w:r>
          </w:p>
        </w:tc>
      </w:tr>
      <w:tr w14:paraId="0150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8" w:hRule="atLeast"/>
          <w:jc w:val="center"/>
        </w:trPr>
        <w:tc>
          <w:tcPr>
            <w:tcW w:w="879" w:type="dxa"/>
            <w:shd w:val="clear" w:color="auto" w:fill="auto"/>
            <w:vAlign w:val="center"/>
          </w:tcPr>
          <w:p w14:paraId="1F5288CD">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6</w:t>
            </w:r>
          </w:p>
        </w:tc>
        <w:tc>
          <w:tcPr>
            <w:tcW w:w="1250" w:type="dxa"/>
            <w:shd w:val="clear" w:color="auto" w:fill="auto"/>
            <w:vAlign w:val="center"/>
          </w:tcPr>
          <w:p w14:paraId="0D5D327E">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工期要求</w:t>
            </w:r>
          </w:p>
        </w:tc>
        <w:tc>
          <w:tcPr>
            <w:tcW w:w="7290" w:type="dxa"/>
            <w:shd w:val="clear" w:color="auto" w:fill="auto"/>
            <w:vAlign w:val="center"/>
          </w:tcPr>
          <w:p w14:paraId="6E5C4A94">
            <w:pPr>
              <w:pStyle w:val="11"/>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snapToGrid w:val="0"/>
                <w:color w:val="auto"/>
                <w:kern w:val="0"/>
                <w:sz w:val="24"/>
                <w:szCs w:val="24"/>
                <w:highlight w:val="none"/>
                <w:shd w:val="clear" w:color="auto" w:fill="auto"/>
                <w:lang w:val="en-US" w:eastAsia="zh-CN" w:bidi="ar-SA"/>
              </w:rPr>
            </w:pPr>
            <w:r>
              <w:rPr>
                <w:rFonts w:hint="eastAsia" w:ascii="仿宋" w:hAnsi="仿宋" w:eastAsia="仿宋" w:cs="仿宋"/>
                <w:snapToGrid w:val="0"/>
                <w:color w:val="0000FF"/>
                <w:kern w:val="0"/>
                <w:sz w:val="24"/>
                <w:szCs w:val="24"/>
                <w:highlight w:val="none"/>
                <w:shd w:val="clear" w:color="auto" w:fill="auto"/>
                <w:lang w:val="en-US" w:eastAsia="zh-CN" w:bidi="ar-SA"/>
              </w:rPr>
              <w:t>2025年07月03日开工，2025年10月30日竣工，总工期120天</w:t>
            </w:r>
            <w:r>
              <w:rPr>
                <w:rFonts w:hint="eastAsia" w:ascii="仿宋" w:hAnsi="仿宋" w:eastAsia="仿宋" w:cs="仿宋"/>
                <w:snapToGrid w:val="0"/>
                <w:color w:val="auto"/>
                <w:kern w:val="0"/>
                <w:sz w:val="24"/>
                <w:szCs w:val="24"/>
                <w:highlight w:val="none"/>
                <w:shd w:val="clear" w:color="auto" w:fill="auto"/>
                <w:lang w:val="en-US" w:eastAsia="zh-CN" w:bidi="ar-SA"/>
              </w:rPr>
              <w:t>（日历日）。</w:t>
            </w:r>
          </w:p>
        </w:tc>
      </w:tr>
      <w:tr w14:paraId="59F3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3" w:hRule="atLeast"/>
          <w:jc w:val="center"/>
        </w:trPr>
        <w:tc>
          <w:tcPr>
            <w:tcW w:w="879" w:type="dxa"/>
            <w:shd w:val="clear" w:color="auto" w:fill="auto"/>
            <w:vAlign w:val="center"/>
          </w:tcPr>
          <w:p w14:paraId="01BDDC66">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7</w:t>
            </w:r>
          </w:p>
        </w:tc>
        <w:tc>
          <w:tcPr>
            <w:tcW w:w="1250" w:type="dxa"/>
            <w:shd w:val="clear" w:color="auto" w:fill="auto"/>
            <w:vAlign w:val="center"/>
          </w:tcPr>
          <w:p w14:paraId="1FDCBC85">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质量要求</w:t>
            </w:r>
          </w:p>
        </w:tc>
        <w:tc>
          <w:tcPr>
            <w:tcW w:w="7290" w:type="dxa"/>
            <w:shd w:val="clear" w:color="auto" w:fill="auto"/>
            <w:vAlign w:val="center"/>
          </w:tcPr>
          <w:p w14:paraId="10BC9B37">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rPr>
              <w:t>质量标准：</w:t>
            </w:r>
            <w:r>
              <w:rPr>
                <w:rFonts w:hint="eastAsia" w:ascii="仿宋" w:hAnsi="仿宋" w:eastAsia="仿宋" w:cs="仿宋"/>
                <w:color w:val="auto"/>
                <w:sz w:val="24"/>
                <w:szCs w:val="24"/>
                <w:highlight w:val="none"/>
                <w:lang w:val="en-US" w:eastAsia="zh-CN"/>
              </w:rPr>
              <w:t>合格</w:t>
            </w:r>
          </w:p>
        </w:tc>
      </w:tr>
      <w:tr w14:paraId="3672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4" w:hRule="atLeast"/>
          <w:jc w:val="center"/>
        </w:trPr>
        <w:tc>
          <w:tcPr>
            <w:tcW w:w="879" w:type="dxa"/>
            <w:shd w:val="clear" w:color="auto" w:fill="auto"/>
            <w:vAlign w:val="center"/>
          </w:tcPr>
          <w:p w14:paraId="2153B4CA">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8</w:t>
            </w:r>
          </w:p>
        </w:tc>
        <w:tc>
          <w:tcPr>
            <w:tcW w:w="1250" w:type="dxa"/>
            <w:shd w:val="clear" w:color="auto" w:fill="auto"/>
            <w:vAlign w:val="center"/>
          </w:tcPr>
          <w:p w14:paraId="644C758E">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eastAsia" w:ascii="仿宋" w:hAnsi="仿宋" w:eastAsia="仿宋" w:cs="仿宋"/>
                <w:color w:val="auto"/>
                <w:spacing w:val="-3"/>
                <w:sz w:val="24"/>
                <w:szCs w:val="24"/>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资格要求</w:t>
            </w:r>
          </w:p>
        </w:tc>
        <w:tc>
          <w:tcPr>
            <w:tcW w:w="7290" w:type="dxa"/>
            <w:shd w:val="clear" w:color="auto" w:fill="auto"/>
            <w:vAlign w:val="center"/>
          </w:tcPr>
          <w:p w14:paraId="245335B5">
            <w:pPr>
              <w:pStyle w:val="25"/>
              <w:keepNext w:val="0"/>
              <w:keepLines w:val="0"/>
              <w:pageBreakBefore w:val="0"/>
              <w:widowControl/>
              <w:kinsoku w:val="0"/>
              <w:wordWrap/>
              <w:overflowPunct/>
              <w:topLinePunct w:val="0"/>
              <w:autoSpaceDE w:val="0"/>
              <w:autoSpaceDN w:val="0"/>
              <w:bidi w:val="0"/>
              <w:adjustRightInd w:val="0"/>
              <w:snapToGrid w:val="0"/>
              <w:spacing w:before="23" w:line="360" w:lineRule="exact"/>
              <w:jc w:val="left"/>
              <w:textAlignment w:val="baseline"/>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1.满足《中华人民共和国政府采购法》第二十二条规定；</w:t>
            </w:r>
          </w:p>
          <w:p w14:paraId="66A796D7">
            <w:pPr>
              <w:pStyle w:val="25"/>
              <w:keepNext w:val="0"/>
              <w:keepLines w:val="0"/>
              <w:pageBreakBefore w:val="0"/>
              <w:widowControl/>
              <w:kinsoku w:val="0"/>
              <w:wordWrap/>
              <w:overflowPunct/>
              <w:topLinePunct w:val="0"/>
              <w:autoSpaceDE w:val="0"/>
              <w:autoSpaceDN w:val="0"/>
              <w:bidi w:val="0"/>
              <w:adjustRightInd w:val="0"/>
              <w:snapToGrid w:val="0"/>
              <w:spacing w:before="23" w:line="360" w:lineRule="exact"/>
              <w:jc w:val="left"/>
              <w:textAlignment w:val="baseline"/>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2.落实政府采购政策需满足的资格要求：本项目为专门面向中小企业采购的项目。</w:t>
            </w:r>
          </w:p>
          <w:p w14:paraId="6FC56157">
            <w:pPr>
              <w:pStyle w:val="25"/>
              <w:keepNext w:val="0"/>
              <w:keepLines w:val="0"/>
              <w:pageBreakBefore w:val="0"/>
              <w:widowControl/>
              <w:kinsoku w:val="0"/>
              <w:wordWrap/>
              <w:overflowPunct/>
              <w:topLinePunct w:val="0"/>
              <w:autoSpaceDE w:val="0"/>
              <w:autoSpaceDN w:val="0"/>
              <w:bidi w:val="0"/>
              <w:adjustRightInd w:val="0"/>
              <w:snapToGrid w:val="0"/>
              <w:spacing w:before="23" w:line="360" w:lineRule="exact"/>
              <w:jc w:val="left"/>
              <w:textAlignment w:val="baseline"/>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3.本项目的特定资格要求：</w:t>
            </w:r>
          </w:p>
          <w:p w14:paraId="0B5EB003">
            <w:pPr>
              <w:pStyle w:val="25"/>
              <w:keepNext w:val="0"/>
              <w:keepLines w:val="0"/>
              <w:pageBreakBefore w:val="0"/>
              <w:widowControl/>
              <w:kinsoku w:val="0"/>
              <w:wordWrap/>
              <w:overflowPunct/>
              <w:topLinePunct w:val="0"/>
              <w:autoSpaceDE w:val="0"/>
              <w:autoSpaceDN w:val="0"/>
              <w:bidi w:val="0"/>
              <w:adjustRightInd w:val="0"/>
              <w:snapToGrid w:val="0"/>
              <w:spacing w:before="23" w:line="360" w:lineRule="exact"/>
              <w:ind w:firstLine="464" w:firstLineChars="200"/>
              <w:jc w:val="left"/>
              <w:textAlignment w:val="baseline"/>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1）项目负责人须具备市政公用工程专业二级及以上建造师注册证书，注册单位名称与投标人名称一致，具备有效的安全生产考核合格证书（B类），未在其他建设工程项目任职，并提供无在建项目的承诺书（无在建承诺书承诺时间须在开标截止时间前）；</w:t>
            </w:r>
          </w:p>
          <w:p w14:paraId="1070CDFC">
            <w:pPr>
              <w:pStyle w:val="25"/>
              <w:keepNext w:val="0"/>
              <w:keepLines w:val="0"/>
              <w:pageBreakBefore w:val="0"/>
              <w:widowControl/>
              <w:kinsoku w:val="0"/>
              <w:wordWrap/>
              <w:overflowPunct/>
              <w:topLinePunct w:val="0"/>
              <w:autoSpaceDE w:val="0"/>
              <w:autoSpaceDN w:val="0"/>
              <w:bidi w:val="0"/>
              <w:adjustRightInd w:val="0"/>
              <w:snapToGrid w:val="0"/>
              <w:spacing w:before="23" w:line="360" w:lineRule="exact"/>
              <w:ind w:firstLine="464" w:firstLineChars="200"/>
              <w:jc w:val="left"/>
              <w:textAlignment w:val="baseline"/>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eastAsia="zh-CN"/>
              </w:rPr>
              <w:t>（</w:t>
            </w:r>
            <w:r>
              <w:rPr>
                <w:rFonts w:hint="eastAsia" w:ascii="仿宋" w:hAnsi="仿宋" w:eastAsia="仿宋" w:cs="仿宋"/>
                <w:color w:val="auto"/>
                <w:spacing w:val="-4"/>
                <w:sz w:val="24"/>
                <w:szCs w:val="24"/>
                <w:lang w:val="en-US" w:eastAsia="zh-CN"/>
              </w:rPr>
              <w:t>2）具有履行合同所必需的设备和专业技术能力（提供声明函格式自拟）即具有完成本项目采购能力；</w:t>
            </w:r>
          </w:p>
          <w:p w14:paraId="6C2E0105">
            <w:pPr>
              <w:pStyle w:val="25"/>
              <w:keepNext w:val="0"/>
              <w:keepLines w:val="0"/>
              <w:pageBreakBefore w:val="0"/>
              <w:widowControl/>
              <w:kinsoku w:val="0"/>
              <w:wordWrap/>
              <w:overflowPunct/>
              <w:topLinePunct w:val="0"/>
              <w:autoSpaceDE w:val="0"/>
              <w:autoSpaceDN w:val="0"/>
              <w:bidi w:val="0"/>
              <w:adjustRightInd w:val="0"/>
              <w:snapToGrid w:val="0"/>
              <w:spacing w:before="23" w:line="360" w:lineRule="exact"/>
              <w:ind w:firstLine="464" w:firstLineChars="200"/>
              <w:jc w:val="left"/>
              <w:textAlignment w:val="baseline"/>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（3）具有依法缴纳税收和社会保障资金的良好记录（提供本单位近三个月内任意一个月的依法缴纳税收和社会保障资金的相关材料）；</w:t>
            </w:r>
          </w:p>
          <w:p w14:paraId="502BDE50">
            <w:pPr>
              <w:pStyle w:val="25"/>
              <w:keepNext w:val="0"/>
              <w:keepLines w:val="0"/>
              <w:pageBreakBefore w:val="0"/>
              <w:widowControl/>
              <w:kinsoku w:val="0"/>
              <w:wordWrap/>
              <w:overflowPunct/>
              <w:topLinePunct w:val="0"/>
              <w:autoSpaceDE w:val="0"/>
              <w:autoSpaceDN w:val="0"/>
              <w:bidi w:val="0"/>
              <w:adjustRightInd w:val="0"/>
              <w:snapToGrid w:val="0"/>
              <w:spacing w:before="23" w:line="360" w:lineRule="exact"/>
              <w:ind w:firstLine="464" w:firstLineChars="200"/>
              <w:jc w:val="left"/>
              <w:textAlignment w:val="baseline"/>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（4）单位负责人为同一人或者存在直接控股、管理关系的不同供应商，不得参加同一合同项下的政府采购活动（提供声明函格式自拟）；</w:t>
            </w:r>
          </w:p>
          <w:p w14:paraId="41A8EA09">
            <w:pPr>
              <w:pStyle w:val="25"/>
              <w:keepNext w:val="0"/>
              <w:keepLines w:val="0"/>
              <w:pageBreakBefore w:val="0"/>
              <w:widowControl/>
              <w:kinsoku w:val="0"/>
              <w:wordWrap/>
              <w:overflowPunct/>
              <w:topLinePunct w:val="0"/>
              <w:autoSpaceDE w:val="0"/>
              <w:autoSpaceDN w:val="0"/>
              <w:bidi w:val="0"/>
              <w:adjustRightInd w:val="0"/>
              <w:snapToGrid w:val="0"/>
              <w:spacing w:before="23" w:line="360" w:lineRule="exact"/>
              <w:ind w:firstLine="464" w:firstLineChars="200"/>
              <w:jc w:val="left"/>
              <w:textAlignment w:val="baseline"/>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5）供应商参加政府采购活动前三年内，在经营活动中没有重大违法记录，在“信用中国”网站（www.creditchina.gov.cn）、中国政府采购网（www.ccgp.gov.cn）没有被列入失信被执行人、重大税收违法失信主体名单、政府采购严重违法失信行为记录名单及其他不符合规定条件；</w:t>
            </w:r>
          </w:p>
          <w:p w14:paraId="4621FB1E">
            <w:pPr>
              <w:pStyle w:val="25"/>
              <w:keepNext w:val="0"/>
              <w:keepLines w:val="0"/>
              <w:pageBreakBefore w:val="0"/>
              <w:widowControl/>
              <w:kinsoku w:val="0"/>
              <w:wordWrap/>
              <w:overflowPunct/>
              <w:topLinePunct w:val="0"/>
              <w:autoSpaceDE w:val="0"/>
              <w:autoSpaceDN w:val="0"/>
              <w:bidi w:val="0"/>
              <w:adjustRightInd w:val="0"/>
              <w:snapToGrid w:val="0"/>
              <w:spacing w:before="23" w:line="360" w:lineRule="exact"/>
              <w:ind w:firstLine="464" w:firstLineChars="200"/>
              <w:jc w:val="left"/>
              <w:textAlignment w:val="baseline"/>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（6）本项目不接受联合体投标。</w:t>
            </w:r>
          </w:p>
        </w:tc>
      </w:tr>
      <w:tr w14:paraId="2B46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71" w:hRule="atLeast"/>
          <w:jc w:val="center"/>
        </w:trPr>
        <w:tc>
          <w:tcPr>
            <w:tcW w:w="879" w:type="dxa"/>
            <w:shd w:val="clear" w:color="auto" w:fill="auto"/>
            <w:vAlign w:val="center"/>
          </w:tcPr>
          <w:p w14:paraId="48546B29">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spacing w:val="-4"/>
                <w:sz w:val="24"/>
                <w:szCs w:val="24"/>
                <w:lang w:val="en-US" w:eastAsia="zh-CN"/>
              </w:rPr>
              <w:t>9</w:t>
            </w:r>
          </w:p>
        </w:tc>
        <w:tc>
          <w:tcPr>
            <w:tcW w:w="1250" w:type="dxa"/>
            <w:shd w:val="clear" w:color="auto" w:fill="auto"/>
            <w:vAlign w:val="center"/>
          </w:tcPr>
          <w:p w14:paraId="56481B47">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z w:val="24"/>
                <w:szCs w:val="24"/>
                <w:highlight w:val="none"/>
              </w:rPr>
              <w:t>踏勘现场</w:t>
            </w:r>
          </w:p>
        </w:tc>
        <w:tc>
          <w:tcPr>
            <w:tcW w:w="7290" w:type="dxa"/>
            <w:shd w:val="clear" w:color="auto" w:fill="auto"/>
            <w:vAlign w:val="center"/>
          </w:tcPr>
          <w:p w14:paraId="32592DED">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不组织</w:t>
            </w:r>
          </w:p>
          <w:p w14:paraId="1C18E674">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□组织，踏勘时间：</w:t>
            </w:r>
          </w:p>
          <w:p w14:paraId="52D815D7">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z w:val="24"/>
                <w:szCs w:val="24"/>
                <w:highlight w:val="none"/>
              </w:rPr>
              <w:t>踏勘地点：</w:t>
            </w:r>
          </w:p>
        </w:tc>
      </w:tr>
      <w:tr w14:paraId="0E2B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3" w:hRule="atLeast"/>
          <w:jc w:val="center"/>
        </w:trPr>
        <w:tc>
          <w:tcPr>
            <w:tcW w:w="879" w:type="dxa"/>
            <w:shd w:val="clear" w:color="auto" w:fill="auto"/>
            <w:vAlign w:val="center"/>
          </w:tcPr>
          <w:p w14:paraId="57C06D4D">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color w:val="auto"/>
                <w:spacing w:val="-4"/>
                <w:sz w:val="24"/>
                <w:szCs w:val="24"/>
                <w:lang w:val="en-US" w:eastAsia="zh-CN"/>
              </w:rPr>
              <w:t>10</w:t>
            </w:r>
          </w:p>
        </w:tc>
        <w:tc>
          <w:tcPr>
            <w:tcW w:w="1250" w:type="dxa"/>
            <w:shd w:val="clear" w:color="auto" w:fill="auto"/>
            <w:vAlign w:val="center"/>
          </w:tcPr>
          <w:p w14:paraId="75FF0FF3">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4"/>
                <w:sz w:val="24"/>
                <w:szCs w:val="24"/>
              </w:rPr>
              <w:t>答疑会</w:t>
            </w:r>
          </w:p>
        </w:tc>
        <w:tc>
          <w:tcPr>
            <w:tcW w:w="7290" w:type="dxa"/>
            <w:shd w:val="clear" w:color="auto" w:fill="auto"/>
            <w:vAlign w:val="center"/>
          </w:tcPr>
          <w:p w14:paraId="5E227053">
            <w:pPr>
              <w:pStyle w:val="25"/>
              <w:keepNext w:val="0"/>
              <w:keepLines w:val="0"/>
              <w:pageBreakBefore w:val="0"/>
              <w:widowControl/>
              <w:kinsoku w:val="0"/>
              <w:wordWrap/>
              <w:overflowPunct/>
              <w:topLinePunct w:val="0"/>
              <w:autoSpaceDE w:val="0"/>
              <w:autoSpaceDN w:val="0"/>
              <w:bidi w:val="0"/>
              <w:adjustRightInd w:val="0"/>
              <w:snapToGrid w:val="0"/>
              <w:spacing w:before="23" w:line="360" w:lineRule="exact"/>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4"/>
                <w:sz w:val="24"/>
                <w:szCs w:val="24"/>
              </w:rPr>
              <w:t>不组织</w:t>
            </w:r>
          </w:p>
        </w:tc>
      </w:tr>
      <w:tr w14:paraId="09D0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5" w:hRule="atLeast"/>
          <w:jc w:val="center"/>
        </w:trPr>
        <w:tc>
          <w:tcPr>
            <w:tcW w:w="879" w:type="dxa"/>
            <w:shd w:val="clear" w:color="auto" w:fill="auto"/>
            <w:vAlign w:val="center"/>
          </w:tcPr>
          <w:p w14:paraId="6D366BF2">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11</w:t>
            </w:r>
          </w:p>
        </w:tc>
        <w:tc>
          <w:tcPr>
            <w:tcW w:w="1250" w:type="dxa"/>
            <w:shd w:val="clear" w:color="auto" w:fill="auto"/>
            <w:vAlign w:val="center"/>
          </w:tcPr>
          <w:p w14:paraId="7F6DBFA5">
            <w:pPr>
              <w:keepNext w:val="0"/>
              <w:keepLines w:val="0"/>
              <w:pageBreakBefore w:val="0"/>
              <w:widowControl w:val="0"/>
              <w:kinsoku/>
              <w:wordWrap/>
              <w:overflowPunct/>
              <w:topLinePunct w:val="0"/>
              <w:bidi w:val="0"/>
              <w:spacing w:line="360" w:lineRule="exact"/>
              <w:ind w:firstLine="0" w:firstLineChars="0"/>
              <w:jc w:val="center"/>
              <w:textAlignment w:val="auto"/>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z w:val="24"/>
                <w:szCs w:val="24"/>
                <w:highlight w:val="none"/>
              </w:rPr>
              <w:t>分 包</w:t>
            </w:r>
          </w:p>
        </w:tc>
        <w:tc>
          <w:tcPr>
            <w:tcW w:w="7290" w:type="dxa"/>
            <w:shd w:val="clear" w:color="auto" w:fill="auto"/>
            <w:vAlign w:val="center"/>
          </w:tcPr>
          <w:p w14:paraId="64107C72">
            <w:pPr>
              <w:keepNext w:val="0"/>
              <w:keepLines w:val="0"/>
              <w:pageBreakBefore w:val="0"/>
              <w:widowControl w:val="0"/>
              <w:kinsoku/>
              <w:wordWrap/>
              <w:overflowPunct/>
              <w:topLinePunct w:val="0"/>
              <w:bidi w:val="0"/>
              <w:spacing w:line="3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不允许分包</w:t>
            </w:r>
          </w:p>
          <w:p w14:paraId="7516791F">
            <w:pPr>
              <w:keepNext w:val="0"/>
              <w:keepLines w:val="0"/>
              <w:pageBreakBefore w:val="0"/>
              <w:widowControl w:val="0"/>
              <w:kinsoku/>
              <w:wordWrap/>
              <w:overflowPunct/>
              <w:topLinePunct w:val="0"/>
              <w:bidi w:val="0"/>
              <w:spacing w:line="3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□允许分包，分包</w:t>
            </w:r>
            <w:r>
              <w:rPr>
                <w:rFonts w:hint="eastAsia" w:ascii="仿宋" w:hAnsi="仿宋" w:eastAsia="仿宋" w:cs="仿宋"/>
                <w:color w:val="auto"/>
                <w:sz w:val="24"/>
                <w:szCs w:val="24"/>
                <w:highlight w:val="none"/>
                <w:lang w:val="en-US" w:eastAsia="zh-CN"/>
              </w:rPr>
              <w:t>内容</w:t>
            </w:r>
            <w:r>
              <w:rPr>
                <w:rFonts w:hint="eastAsia" w:ascii="仿宋" w:hAnsi="仿宋" w:eastAsia="仿宋" w:cs="仿宋"/>
                <w:color w:val="auto"/>
                <w:sz w:val="24"/>
                <w:szCs w:val="24"/>
                <w:highlight w:val="none"/>
              </w:rPr>
              <w:t>要求：</w:t>
            </w:r>
          </w:p>
          <w:p w14:paraId="77610CEF">
            <w:pPr>
              <w:keepNext w:val="0"/>
              <w:keepLines w:val="0"/>
              <w:pageBreakBefore w:val="0"/>
              <w:widowControl w:val="0"/>
              <w:kinsoku/>
              <w:wordWrap/>
              <w:overflowPunct/>
              <w:topLinePunct w:val="0"/>
              <w:bidi w:val="0"/>
              <w:spacing w:line="3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分包金额要求：</w:t>
            </w:r>
          </w:p>
          <w:p w14:paraId="5DFFC013">
            <w:pPr>
              <w:keepNext w:val="0"/>
              <w:keepLines w:val="0"/>
              <w:pageBreakBefore w:val="0"/>
              <w:widowControl w:val="0"/>
              <w:kinsoku/>
              <w:wordWrap/>
              <w:overflowPunct/>
              <w:topLinePunct w:val="0"/>
              <w:bidi w:val="0"/>
              <w:spacing w:line="360" w:lineRule="exact"/>
              <w:ind w:firstLine="0" w:firstLineChars="0"/>
              <w:jc w:val="left"/>
              <w:textAlignment w:val="auto"/>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z w:val="24"/>
                <w:szCs w:val="24"/>
                <w:highlight w:val="none"/>
              </w:rPr>
              <w:t>接受分包的第三人资质要求：</w:t>
            </w:r>
          </w:p>
        </w:tc>
      </w:tr>
      <w:tr w14:paraId="4660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8" w:hRule="atLeast"/>
          <w:jc w:val="center"/>
        </w:trPr>
        <w:tc>
          <w:tcPr>
            <w:tcW w:w="879" w:type="dxa"/>
            <w:shd w:val="clear" w:color="auto" w:fill="auto"/>
            <w:vAlign w:val="center"/>
          </w:tcPr>
          <w:p w14:paraId="5AE71BFE">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color w:val="auto"/>
                <w:spacing w:val="-14"/>
                <w:sz w:val="24"/>
                <w:szCs w:val="24"/>
                <w:lang w:val="en-US" w:eastAsia="zh-CN"/>
              </w:rPr>
            </w:pPr>
            <w:r>
              <w:rPr>
                <w:rFonts w:hint="eastAsia" w:ascii="仿宋" w:hAnsi="仿宋" w:eastAsia="仿宋" w:cs="仿宋"/>
                <w:color w:val="auto"/>
                <w:spacing w:val="-14"/>
                <w:sz w:val="24"/>
                <w:szCs w:val="24"/>
                <w:lang w:val="en-US" w:eastAsia="zh-CN"/>
              </w:rPr>
              <w:t>12</w:t>
            </w:r>
          </w:p>
        </w:tc>
        <w:tc>
          <w:tcPr>
            <w:tcW w:w="1250" w:type="dxa"/>
            <w:shd w:val="clear" w:color="auto" w:fill="auto"/>
            <w:vAlign w:val="center"/>
          </w:tcPr>
          <w:p w14:paraId="21546552">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z w:val="24"/>
                <w:szCs w:val="24"/>
                <w:highlight w:val="none"/>
              </w:rPr>
              <w:t>偏 离</w:t>
            </w:r>
          </w:p>
        </w:tc>
        <w:tc>
          <w:tcPr>
            <w:tcW w:w="7290" w:type="dxa"/>
            <w:shd w:val="clear" w:color="auto" w:fill="auto"/>
            <w:vAlign w:val="center"/>
          </w:tcPr>
          <w:p w14:paraId="27159439">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不允许</w:t>
            </w:r>
          </w:p>
          <w:p w14:paraId="24C62661">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z w:val="24"/>
                <w:szCs w:val="24"/>
                <w:highlight w:val="none"/>
              </w:rPr>
              <w:t>□允许，允许偏离的内容、偏离范围和幅度：</w:t>
            </w:r>
          </w:p>
        </w:tc>
      </w:tr>
      <w:tr w14:paraId="46C5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8" w:hRule="atLeast"/>
          <w:jc w:val="center"/>
        </w:trPr>
        <w:tc>
          <w:tcPr>
            <w:tcW w:w="879" w:type="dxa"/>
            <w:shd w:val="clear" w:color="auto" w:fill="auto"/>
            <w:vAlign w:val="center"/>
          </w:tcPr>
          <w:p w14:paraId="4CF75CFD">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color w:val="auto"/>
                <w:spacing w:val="-14"/>
                <w:sz w:val="24"/>
                <w:szCs w:val="24"/>
                <w:lang w:val="en-US" w:eastAsia="zh-CN"/>
              </w:rPr>
              <w:t>13</w:t>
            </w:r>
          </w:p>
        </w:tc>
        <w:tc>
          <w:tcPr>
            <w:tcW w:w="1250" w:type="dxa"/>
            <w:shd w:val="clear" w:color="auto" w:fill="auto"/>
            <w:vAlign w:val="center"/>
          </w:tcPr>
          <w:p w14:paraId="6445C159">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3"/>
                <w:sz w:val="24"/>
                <w:szCs w:val="24"/>
              </w:rPr>
              <w:t>磋商报价</w:t>
            </w:r>
          </w:p>
        </w:tc>
        <w:tc>
          <w:tcPr>
            <w:tcW w:w="7290" w:type="dxa"/>
            <w:shd w:val="clear" w:color="auto" w:fill="auto"/>
            <w:vAlign w:val="center"/>
          </w:tcPr>
          <w:p w14:paraId="599AD340">
            <w:pPr>
              <w:pStyle w:val="25"/>
              <w:keepNext w:val="0"/>
              <w:keepLines w:val="0"/>
              <w:pageBreakBefore w:val="0"/>
              <w:widowControl/>
              <w:kinsoku w:val="0"/>
              <w:wordWrap/>
              <w:overflowPunct/>
              <w:topLinePunct w:val="0"/>
              <w:autoSpaceDE w:val="0"/>
              <w:autoSpaceDN w:val="0"/>
              <w:bidi w:val="0"/>
              <w:adjustRightInd w:val="0"/>
              <w:snapToGrid w:val="0"/>
              <w:spacing w:before="28" w:line="360" w:lineRule="exact"/>
              <w:ind w:right="9"/>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b/>
                <w:bCs/>
                <w:color w:val="auto"/>
                <w:spacing w:val="-4"/>
                <w:sz w:val="24"/>
                <w:szCs w:val="24"/>
              </w:rPr>
              <w:t>1、本项目最高限价：</w:t>
            </w:r>
            <w:r>
              <w:rPr>
                <w:rFonts w:hint="eastAsia" w:ascii="仿宋" w:hAnsi="仿宋" w:eastAsia="仿宋" w:cs="仿宋"/>
                <w:b/>
                <w:bCs/>
                <w:color w:val="auto"/>
                <w:spacing w:val="-4"/>
                <w:sz w:val="24"/>
                <w:szCs w:val="24"/>
                <w:lang w:val="en-US" w:eastAsia="zh-CN"/>
              </w:rPr>
              <w:t>3129101.82</w:t>
            </w:r>
            <w:r>
              <w:rPr>
                <w:rFonts w:hint="eastAsia" w:ascii="仿宋" w:hAnsi="仿宋" w:eastAsia="仿宋" w:cs="仿宋"/>
                <w:b/>
                <w:bCs/>
                <w:color w:val="auto"/>
                <w:spacing w:val="-4"/>
                <w:sz w:val="24"/>
                <w:szCs w:val="24"/>
              </w:rPr>
              <w:t>元，大写：</w:t>
            </w:r>
            <w:r>
              <w:rPr>
                <w:rFonts w:hint="eastAsia" w:ascii="仿宋" w:hAnsi="仿宋" w:eastAsia="仿宋" w:cs="仿宋"/>
                <w:b/>
                <w:bCs/>
                <w:color w:val="auto"/>
                <w:spacing w:val="-4"/>
                <w:sz w:val="24"/>
                <w:szCs w:val="24"/>
                <w:lang w:val="en-US" w:eastAsia="zh-CN"/>
              </w:rPr>
              <w:t>叁佰壹拾贰万玖仟壹佰零壹元捌角贰分。</w:t>
            </w:r>
          </w:p>
          <w:p w14:paraId="5E10E4DB">
            <w:pPr>
              <w:pStyle w:val="25"/>
              <w:keepNext w:val="0"/>
              <w:keepLines w:val="0"/>
              <w:pageBreakBefore w:val="0"/>
              <w:widowControl/>
              <w:kinsoku w:val="0"/>
              <w:wordWrap/>
              <w:overflowPunct/>
              <w:topLinePunct w:val="0"/>
              <w:autoSpaceDE w:val="0"/>
              <w:autoSpaceDN w:val="0"/>
              <w:bidi w:val="0"/>
              <w:adjustRightInd w:val="0"/>
              <w:snapToGrid w:val="0"/>
              <w:spacing w:before="1" w:line="36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供应商响应报价超过预算金额或最高限价的按无效响应处理。</w:t>
            </w:r>
          </w:p>
          <w:p w14:paraId="77CFEB7F">
            <w:pPr>
              <w:pStyle w:val="25"/>
              <w:keepNext w:val="0"/>
              <w:keepLines w:val="0"/>
              <w:pageBreakBefore w:val="0"/>
              <w:widowControl/>
              <w:kinsoku w:val="0"/>
              <w:wordWrap/>
              <w:overflowPunct/>
              <w:topLinePunct w:val="0"/>
              <w:autoSpaceDE w:val="0"/>
              <w:autoSpaceDN w:val="0"/>
              <w:bidi w:val="0"/>
              <w:adjustRightInd w:val="0"/>
              <w:snapToGrid w:val="0"/>
              <w:spacing w:before="27" w:line="360" w:lineRule="exact"/>
              <w:ind w:right="95"/>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1"/>
                <w:sz w:val="24"/>
                <w:szCs w:val="24"/>
                <w:lang w:val="en-US" w:eastAsia="zh-CN"/>
              </w:rPr>
              <w:t>2</w:t>
            </w:r>
            <w:r>
              <w:rPr>
                <w:rFonts w:hint="eastAsia" w:ascii="仿宋" w:hAnsi="仿宋" w:eastAsia="仿宋" w:cs="仿宋"/>
                <w:color w:val="auto"/>
                <w:spacing w:val="-1"/>
                <w:sz w:val="24"/>
                <w:szCs w:val="24"/>
              </w:rPr>
              <w:t>、本项目总价为供应商在响应文件中提出的各项支付金额的总和，包括实施、完成采购内容并修补缺陷以及履行采购文</w:t>
            </w:r>
            <w:r>
              <w:rPr>
                <w:rFonts w:hint="eastAsia" w:ascii="仿宋" w:hAnsi="仿宋" w:eastAsia="仿宋" w:cs="仿宋"/>
                <w:color w:val="auto"/>
                <w:spacing w:val="-2"/>
                <w:sz w:val="24"/>
                <w:szCs w:val="24"/>
              </w:rPr>
              <w:t>件中约定的风险范围内的所有责任和义务所发生的全部费</w:t>
            </w:r>
            <w:r>
              <w:rPr>
                <w:rFonts w:hint="eastAsia" w:ascii="仿宋" w:hAnsi="仿宋" w:eastAsia="仿宋" w:cs="仿宋"/>
                <w:color w:val="auto"/>
                <w:spacing w:val="-6"/>
                <w:sz w:val="24"/>
                <w:szCs w:val="24"/>
              </w:rPr>
              <w:t>用。</w:t>
            </w:r>
          </w:p>
        </w:tc>
      </w:tr>
      <w:tr w14:paraId="52C8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7" w:hRule="atLeast"/>
          <w:jc w:val="center"/>
        </w:trPr>
        <w:tc>
          <w:tcPr>
            <w:tcW w:w="879" w:type="dxa"/>
            <w:shd w:val="clear" w:color="auto" w:fill="auto"/>
            <w:vAlign w:val="center"/>
          </w:tcPr>
          <w:p w14:paraId="7C6EB412">
            <w:pPr>
              <w:pStyle w:val="25"/>
              <w:keepNext w:val="0"/>
              <w:keepLines w:val="0"/>
              <w:pageBreakBefore w:val="0"/>
              <w:widowControl/>
              <w:kinsoku w:val="0"/>
              <w:wordWrap/>
              <w:overflowPunct/>
              <w:topLinePunct w:val="0"/>
              <w:autoSpaceDE w:val="0"/>
              <w:autoSpaceDN w:val="0"/>
              <w:bidi w:val="0"/>
              <w:adjustRightInd w:val="0"/>
              <w:snapToGrid w:val="0"/>
              <w:spacing w:before="245" w:line="360" w:lineRule="exact"/>
              <w:ind w:left="271" w:leftChars="0"/>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14</w:t>
            </w:r>
          </w:p>
        </w:tc>
        <w:tc>
          <w:tcPr>
            <w:tcW w:w="1250" w:type="dxa"/>
            <w:shd w:val="clear" w:color="auto" w:fill="auto"/>
            <w:vAlign w:val="center"/>
          </w:tcPr>
          <w:p w14:paraId="1741E992">
            <w:pPr>
              <w:pStyle w:val="25"/>
              <w:keepNext w:val="0"/>
              <w:keepLines w:val="0"/>
              <w:pageBreakBefore w:val="0"/>
              <w:widowControl/>
              <w:kinsoku w:val="0"/>
              <w:wordWrap/>
              <w:overflowPunct/>
              <w:topLinePunct w:val="0"/>
              <w:autoSpaceDE w:val="0"/>
              <w:autoSpaceDN w:val="0"/>
              <w:bidi w:val="0"/>
              <w:adjustRightInd w:val="0"/>
              <w:snapToGrid w:val="0"/>
              <w:spacing w:before="89" w:line="360" w:lineRule="exact"/>
              <w:ind w:left="125" w:leftChars="0" w:right="142" w:rightChars="0" w:firstLine="9" w:firstLineChars="0"/>
              <w:jc w:val="center"/>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4"/>
                <w:sz w:val="24"/>
                <w:szCs w:val="24"/>
              </w:rPr>
              <w:t>响应文件有效</w:t>
            </w:r>
            <w:r>
              <w:rPr>
                <w:rFonts w:hint="eastAsia" w:ascii="仿宋" w:hAnsi="仿宋" w:eastAsia="仿宋" w:cs="仿宋"/>
                <w:color w:val="auto"/>
                <w:sz w:val="24"/>
                <w:szCs w:val="24"/>
              </w:rPr>
              <w:t>期</w:t>
            </w:r>
          </w:p>
        </w:tc>
        <w:tc>
          <w:tcPr>
            <w:tcW w:w="7290" w:type="dxa"/>
            <w:shd w:val="clear" w:color="auto" w:fill="auto"/>
            <w:vAlign w:val="center"/>
          </w:tcPr>
          <w:p w14:paraId="01C68FF1">
            <w:pPr>
              <w:pStyle w:val="25"/>
              <w:keepNext w:val="0"/>
              <w:keepLines w:val="0"/>
              <w:pageBreakBefore w:val="0"/>
              <w:widowControl/>
              <w:kinsoku w:val="0"/>
              <w:wordWrap/>
              <w:overflowPunct/>
              <w:topLinePunct w:val="0"/>
              <w:autoSpaceDE w:val="0"/>
              <w:autoSpaceDN w:val="0"/>
              <w:bidi w:val="0"/>
              <w:adjustRightInd w:val="0"/>
              <w:snapToGrid w:val="0"/>
              <w:spacing w:before="246" w:line="360" w:lineRule="exact"/>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1"/>
                <w:sz w:val="24"/>
                <w:szCs w:val="24"/>
              </w:rPr>
              <w:t>响应文件递交截止日期后</w:t>
            </w:r>
            <w:r>
              <w:rPr>
                <w:rFonts w:hint="eastAsia" w:ascii="仿宋" w:hAnsi="仿宋" w:eastAsia="仿宋" w:cs="仿宋"/>
                <w:color w:val="auto"/>
                <w:spacing w:val="-1"/>
                <w:sz w:val="24"/>
                <w:szCs w:val="24"/>
                <w:u w:val="single" w:color="auto"/>
              </w:rPr>
              <w:t>90</w:t>
            </w:r>
            <w:r>
              <w:rPr>
                <w:rFonts w:hint="eastAsia" w:ascii="仿宋" w:hAnsi="仿宋" w:eastAsia="仿宋" w:cs="仿宋"/>
                <w:color w:val="auto"/>
                <w:spacing w:val="-1"/>
                <w:sz w:val="24"/>
                <w:szCs w:val="24"/>
              </w:rPr>
              <w:t>日历日。</w:t>
            </w:r>
          </w:p>
        </w:tc>
      </w:tr>
      <w:tr w14:paraId="6163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49" w:hRule="atLeast"/>
          <w:jc w:val="center"/>
        </w:trPr>
        <w:tc>
          <w:tcPr>
            <w:tcW w:w="879" w:type="dxa"/>
            <w:shd w:val="clear" w:color="auto" w:fill="auto"/>
            <w:vAlign w:val="center"/>
          </w:tcPr>
          <w:p w14:paraId="7D06EE4A">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71" w:leftChars="0"/>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15</w:t>
            </w:r>
          </w:p>
        </w:tc>
        <w:tc>
          <w:tcPr>
            <w:tcW w:w="1250" w:type="dxa"/>
            <w:shd w:val="clear" w:color="auto" w:fill="auto"/>
            <w:vAlign w:val="center"/>
          </w:tcPr>
          <w:p w14:paraId="56C2467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74C5C75E">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2"/>
                <w:sz w:val="24"/>
                <w:szCs w:val="24"/>
              </w:rPr>
              <w:t>磋商保证金</w:t>
            </w:r>
          </w:p>
        </w:tc>
        <w:tc>
          <w:tcPr>
            <w:tcW w:w="7290" w:type="dxa"/>
            <w:shd w:val="clear" w:color="auto" w:fill="auto"/>
            <w:vAlign w:val="center"/>
          </w:tcPr>
          <w:p w14:paraId="52A5DFE2">
            <w:pPr>
              <w:pStyle w:val="25"/>
              <w:keepNext w:val="0"/>
              <w:keepLines w:val="0"/>
              <w:pageBreakBefore w:val="0"/>
              <w:widowControl/>
              <w:kinsoku w:val="0"/>
              <w:wordWrap/>
              <w:overflowPunct/>
              <w:topLinePunct w:val="0"/>
              <w:autoSpaceDE w:val="0"/>
              <w:autoSpaceDN w:val="0"/>
              <w:bidi w:val="0"/>
              <w:adjustRightInd w:val="0"/>
              <w:snapToGrid w:val="0"/>
              <w:spacing w:before="57" w:line="360" w:lineRule="exact"/>
              <w:ind w:right="3" w:rightChars="0"/>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en-US" w:bidi="ar-SA"/>
              </w:rPr>
              <w:t>投标保证金的金额：</w:t>
            </w:r>
            <w:r>
              <w:rPr>
                <w:rFonts w:hint="eastAsia" w:ascii="仿宋" w:hAnsi="仿宋" w:eastAsia="仿宋" w:cs="仿宋"/>
                <w:snapToGrid w:val="0"/>
                <w:color w:val="auto"/>
                <w:kern w:val="0"/>
                <w:sz w:val="24"/>
                <w:szCs w:val="24"/>
                <w:lang w:val="en-US" w:eastAsia="zh-CN" w:bidi="ar-SA"/>
              </w:rPr>
              <w:t>62000.00</w:t>
            </w:r>
            <w:r>
              <w:rPr>
                <w:rFonts w:hint="eastAsia" w:ascii="仿宋" w:hAnsi="仿宋" w:eastAsia="仿宋" w:cs="仿宋"/>
                <w:snapToGrid w:val="0"/>
                <w:color w:val="auto"/>
                <w:kern w:val="0"/>
                <w:sz w:val="24"/>
                <w:szCs w:val="24"/>
                <w:lang w:val="en-US" w:eastAsia="en-US" w:bidi="ar-SA"/>
              </w:rPr>
              <w:t>元（</w:t>
            </w:r>
            <w:r>
              <w:rPr>
                <w:rFonts w:hint="eastAsia" w:ascii="仿宋" w:hAnsi="仿宋" w:eastAsia="仿宋" w:cs="仿宋"/>
                <w:snapToGrid w:val="0"/>
                <w:color w:val="auto"/>
                <w:kern w:val="0"/>
                <w:sz w:val="24"/>
                <w:szCs w:val="24"/>
                <w:lang w:val="en-US" w:eastAsia="zh-CN" w:bidi="ar-SA"/>
              </w:rPr>
              <w:t>陆万贰仟</w:t>
            </w:r>
            <w:r>
              <w:rPr>
                <w:rFonts w:hint="eastAsia" w:ascii="仿宋" w:hAnsi="仿宋" w:eastAsia="仿宋" w:cs="仿宋"/>
                <w:snapToGrid w:val="0"/>
                <w:color w:val="auto"/>
                <w:kern w:val="0"/>
                <w:sz w:val="24"/>
                <w:szCs w:val="24"/>
                <w:lang w:val="en-US" w:eastAsia="en-US" w:bidi="ar-SA"/>
              </w:rPr>
              <w:t>元整）</w:t>
            </w:r>
          </w:p>
          <w:p w14:paraId="6DD2C72E">
            <w:pPr>
              <w:pStyle w:val="25"/>
              <w:keepNext w:val="0"/>
              <w:keepLines w:val="0"/>
              <w:pageBreakBefore w:val="0"/>
              <w:widowControl/>
              <w:kinsoku w:val="0"/>
              <w:wordWrap/>
              <w:overflowPunct/>
              <w:topLinePunct w:val="0"/>
              <w:autoSpaceDE w:val="0"/>
              <w:autoSpaceDN w:val="0"/>
              <w:bidi w:val="0"/>
              <w:adjustRightInd w:val="0"/>
              <w:snapToGrid w:val="0"/>
              <w:spacing w:before="57" w:line="360" w:lineRule="exact"/>
              <w:ind w:right="3" w:rightChars="0"/>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en-US" w:bidi="ar-SA"/>
              </w:rPr>
              <w:t>到账截止时间：</w:t>
            </w:r>
            <w:r>
              <w:rPr>
                <w:rFonts w:hint="eastAsia" w:ascii="仿宋" w:hAnsi="仿宋" w:eastAsia="仿宋" w:cs="仿宋"/>
                <w:color w:val="0000FF"/>
                <w:sz w:val="24"/>
                <w:szCs w:val="24"/>
              </w:rPr>
              <w:t>2025年</w:t>
            </w:r>
            <w:r>
              <w:rPr>
                <w:rFonts w:hint="eastAsia" w:ascii="仿宋" w:hAnsi="仿宋" w:eastAsia="仿宋" w:cs="仿宋"/>
                <w:color w:val="0000FF"/>
                <w:sz w:val="24"/>
                <w:szCs w:val="24"/>
                <w:lang w:eastAsia="zh-CN"/>
              </w:rPr>
              <w:t>0</w:t>
            </w:r>
            <w:r>
              <w:rPr>
                <w:rFonts w:hint="eastAsia" w:ascii="仿宋" w:hAnsi="仿宋" w:eastAsia="仿宋" w:cs="仿宋"/>
                <w:color w:val="0000FF"/>
                <w:sz w:val="24"/>
                <w:szCs w:val="24"/>
                <w:lang w:val="en-US" w:eastAsia="zh-CN"/>
              </w:rPr>
              <w:t>6</w:t>
            </w:r>
            <w:r>
              <w:rPr>
                <w:rFonts w:hint="eastAsia" w:ascii="仿宋" w:hAnsi="仿宋" w:eastAsia="仿宋" w:cs="仿宋"/>
                <w:color w:val="0000FF"/>
                <w:sz w:val="24"/>
                <w:szCs w:val="24"/>
                <w:lang w:eastAsia="zh-CN"/>
              </w:rPr>
              <w:t>月</w:t>
            </w:r>
            <w:r>
              <w:rPr>
                <w:rFonts w:hint="eastAsia" w:ascii="仿宋" w:hAnsi="仿宋" w:eastAsia="仿宋" w:cs="仿宋"/>
                <w:color w:val="0000FF"/>
                <w:sz w:val="24"/>
                <w:szCs w:val="24"/>
                <w:lang w:val="en-US" w:eastAsia="zh-CN"/>
              </w:rPr>
              <w:t>30</w:t>
            </w:r>
            <w:r>
              <w:rPr>
                <w:rFonts w:hint="eastAsia" w:ascii="仿宋" w:hAnsi="仿宋" w:eastAsia="仿宋" w:cs="仿宋"/>
                <w:color w:val="0000FF"/>
                <w:sz w:val="24"/>
                <w:szCs w:val="24"/>
                <w:lang w:eastAsia="zh-CN"/>
              </w:rPr>
              <w:t>日</w:t>
            </w:r>
            <w:r>
              <w:rPr>
                <w:rFonts w:hint="eastAsia" w:ascii="仿宋" w:hAnsi="仿宋" w:eastAsia="仿宋" w:cs="仿宋"/>
                <w:color w:val="0000FF"/>
                <w:sz w:val="24"/>
                <w:szCs w:val="24"/>
              </w:rPr>
              <w:t>1</w:t>
            </w:r>
            <w:r>
              <w:rPr>
                <w:rFonts w:hint="eastAsia" w:ascii="仿宋" w:hAnsi="仿宋" w:eastAsia="仿宋" w:cs="仿宋"/>
                <w:color w:val="0000FF"/>
                <w:sz w:val="24"/>
                <w:szCs w:val="24"/>
                <w:lang w:val="en-US" w:eastAsia="zh-CN"/>
              </w:rPr>
              <w:t>0</w:t>
            </w:r>
            <w:r>
              <w:rPr>
                <w:rFonts w:hint="eastAsia" w:ascii="仿宋" w:hAnsi="仿宋" w:eastAsia="仿宋" w:cs="仿宋"/>
                <w:color w:val="0000FF"/>
                <w:sz w:val="24"/>
                <w:szCs w:val="24"/>
              </w:rPr>
              <w:t>时</w:t>
            </w:r>
            <w:r>
              <w:rPr>
                <w:rFonts w:hint="eastAsia" w:ascii="仿宋" w:hAnsi="仿宋" w:eastAsia="仿宋" w:cs="仿宋"/>
                <w:color w:val="0000FF"/>
                <w:sz w:val="24"/>
                <w:szCs w:val="24"/>
                <w:lang w:val="en-US" w:eastAsia="zh-CN"/>
              </w:rPr>
              <w:t>3</w:t>
            </w:r>
            <w:r>
              <w:rPr>
                <w:rFonts w:hint="eastAsia" w:ascii="仿宋" w:hAnsi="仿宋" w:eastAsia="仿宋" w:cs="仿宋"/>
                <w:color w:val="0000FF"/>
                <w:sz w:val="24"/>
                <w:szCs w:val="24"/>
              </w:rPr>
              <w:t>0分</w:t>
            </w:r>
            <w:r>
              <w:rPr>
                <w:rFonts w:hint="eastAsia" w:ascii="仿宋" w:hAnsi="仿宋" w:eastAsia="仿宋" w:cs="仿宋"/>
                <w:color w:val="auto"/>
                <w:sz w:val="24"/>
                <w:szCs w:val="24"/>
              </w:rPr>
              <w:t>（北京时间）</w:t>
            </w:r>
          </w:p>
          <w:p w14:paraId="7822C869">
            <w:pPr>
              <w:pStyle w:val="25"/>
              <w:keepNext w:val="0"/>
              <w:keepLines w:val="0"/>
              <w:pageBreakBefore w:val="0"/>
              <w:widowControl/>
              <w:kinsoku w:val="0"/>
              <w:wordWrap/>
              <w:overflowPunct/>
              <w:topLinePunct w:val="0"/>
              <w:autoSpaceDE w:val="0"/>
              <w:autoSpaceDN w:val="0"/>
              <w:bidi w:val="0"/>
              <w:adjustRightInd w:val="0"/>
              <w:snapToGrid w:val="0"/>
              <w:spacing w:before="57" w:line="360" w:lineRule="exact"/>
              <w:ind w:right="3" w:rightChars="0"/>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en-US" w:bidi="ar-SA"/>
              </w:rPr>
              <w:t>保证金的提交：投标保证金的形式：投标保证金需以电汇、转账、支票、汇票、本票或者金融机构、担保机构出具的保函等非现金形式提交。投标保证金于投标截止时间（开标时间）之前缴纳并到账，必须从供应商基本账户支出。</w:t>
            </w:r>
          </w:p>
          <w:p w14:paraId="11ECBAFD">
            <w:pPr>
              <w:pStyle w:val="25"/>
              <w:keepNext w:val="0"/>
              <w:keepLines w:val="0"/>
              <w:pageBreakBefore w:val="0"/>
              <w:widowControl/>
              <w:kinsoku w:val="0"/>
              <w:wordWrap/>
              <w:overflowPunct/>
              <w:topLinePunct w:val="0"/>
              <w:autoSpaceDE w:val="0"/>
              <w:autoSpaceDN w:val="0"/>
              <w:bidi w:val="0"/>
              <w:adjustRightInd w:val="0"/>
              <w:snapToGrid w:val="0"/>
              <w:spacing w:before="57" w:line="360" w:lineRule="exact"/>
              <w:ind w:right="3" w:rightChars="0"/>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en-US" w:bidi="ar-SA"/>
              </w:rPr>
              <w:t>投标保证金采用银行转账方式的应从供应商的基本账户汇入下面采购人指定的开户银行账户。供应商应充分考虑资金到账时间，在规定的时限前自行办妥投标保证金缴纳手续，投标保证金的缴付时间以电汇凭证和网银对账单上的时间为准，超过缴纳的时限缴纳投标保证金视为报名无效。投标保证金采用电汇或网银</w:t>
            </w:r>
            <w:r>
              <w:rPr>
                <w:rFonts w:hint="eastAsia" w:ascii="仿宋" w:hAnsi="仿宋" w:eastAsia="仿宋" w:cs="仿宋"/>
                <w:snapToGrid w:val="0"/>
                <w:color w:val="auto"/>
                <w:kern w:val="0"/>
                <w:sz w:val="24"/>
                <w:szCs w:val="24"/>
                <w:lang w:val="en-US" w:eastAsia="zh-CN" w:bidi="ar-SA"/>
              </w:rPr>
              <w:t>转账的</w:t>
            </w:r>
            <w:r>
              <w:rPr>
                <w:rFonts w:hint="eastAsia" w:ascii="仿宋" w:hAnsi="仿宋" w:eastAsia="仿宋" w:cs="仿宋"/>
                <w:snapToGrid w:val="0"/>
                <w:color w:val="auto"/>
                <w:kern w:val="0"/>
                <w:sz w:val="24"/>
                <w:szCs w:val="24"/>
                <w:lang w:val="en-US" w:eastAsia="en-US" w:bidi="ar-SA"/>
              </w:rPr>
              <w:t>方式，由供应商基本</w:t>
            </w:r>
            <w:r>
              <w:rPr>
                <w:rFonts w:hint="eastAsia" w:ascii="仿宋" w:hAnsi="仿宋" w:eastAsia="仿宋" w:cs="仿宋"/>
                <w:snapToGrid w:val="0"/>
                <w:color w:val="auto"/>
                <w:kern w:val="0"/>
                <w:sz w:val="24"/>
                <w:szCs w:val="24"/>
                <w:lang w:val="en-US" w:eastAsia="zh-CN" w:bidi="ar-SA"/>
              </w:rPr>
              <w:t>账户</w:t>
            </w:r>
            <w:r>
              <w:rPr>
                <w:rFonts w:hint="eastAsia" w:ascii="仿宋" w:hAnsi="仿宋" w:eastAsia="仿宋" w:cs="仿宋"/>
                <w:snapToGrid w:val="0"/>
                <w:color w:val="auto"/>
                <w:kern w:val="0"/>
                <w:sz w:val="24"/>
                <w:szCs w:val="24"/>
                <w:lang w:val="en-US" w:eastAsia="en-US" w:bidi="ar-SA"/>
              </w:rPr>
              <w:t>汇至新疆昌盛方略项目管理有限公司（账户单位:新疆昌盛方略项目管理有限公司；开户行名称</w:t>
            </w:r>
            <w:r>
              <w:rPr>
                <w:rFonts w:hint="eastAsia" w:ascii="仿宋" w:hAnsi="仿宋" w:eastAsia="仿宋" w:cs="仿宋"/>
                <w:snapToGrid w:val="0"/>
                <w:color w:val="auto"/>
                <w:kern w:val="0"/>
                <w:sz w:val="24"/>
                <w:szCs w:val="24"/>
                <w:lang w:val="en-US" w:eastAsia="zh-CN" w:bidi="ar-SA"/>
              </w:rPr>
              <w:t>：</w:t>
            </w:r>
            <w:r>
              <w:rPr>
                <w:rFonts w:hint="eastAsia" w:ascii="仿宋" w:hAnsi="仿宋" w:eastAsia="仿宋" w:cs="仿宋"/>
                <w:snapToGrid w:val="0"/>
                <w:color w:val="auto"/>
                <w:kern w:val="0"/>
                <w:sz w:val="24"/>
                <w:szCs w:val="24"/>
                <w:lang w:val="en-US" w:eastAsia="en-US" w:bidi="ar-SA"/>
              </w:rPr>
              <w:t>交通银行昌吉北京南路支行；账号</w:t>
            </w:r>
            <w:r>
              <w:rPr>
                <w:rFonts w:hint="eastAsia" w:ascii="仿宋" w:hAnsi="仿宋" w:eastAsia="仿宋" w:cs="仿宋"/>
                <w:snapToGrid w:val="0"/>
                <w:color w:val="auto"/>
                <w:kern w:val="0"/>
                <w:sz w:val="24"/>
                <w:szCs w:val="24"/>
                <w:lang w:val="en-US" w:eastAsia="zh-CN" w:bidi="ar-SA"/>
              </w:rPr>
              <w:t>：</w:t>
            </w:r>
            <w:r>
              <w:rPr>
                <w:rFonts w:hint="eastAsia" w:ascii="仿宋" w:hAnsi="仿宋" w:eastAsia="仿宋" w:cs="仿宋"/>
                <w:snapToGrid w:val="0"/>
                <w:color w:val="auto"/>
                <w:kern w:val="0"/>
                <w:sz w:val="24"/>
                <w:szCs w:val="24"/>
                <w:lang w:val="en-US" w:eastAsia="en-US" w:bidi="ar-SA"/>
              </w:rPr>
              <w:t xml:space="preserve"> 728728038013000134671；开户行行号: 301885000031），不得以现金和其他形式缴纳，不得以分公司、办事处或其他机构名义缴纳，供应商在缴纳投标保证金时，需在</w:t>
            </w:r>
            <w:r>
              <w:rPr>
                <w:rFonts w:hint="eastAsia" w:ascii="仿宋" w:hAnsi="仿宋" w:eastAsia="仿宋" w:cs="仿宋"/>
                <w:snapToGrid w:val="0"/>
                <w:color w:val="auto"/>
                <w:kern w:val="0"/>
                <w:sz w:val="24"/>
                <w:szCs w:val="24"/>
                <w:lang w:val="en-US" w:eastAsia="zh-CN" w:bidi="ar-SA"/>
              </w:rPr>
              <w:t>进账凭证</w:t>
            </w:r>
            <w:r>
              <w:rPr>
                <w:rFonts w:hint="eastAsia" w:ascii="仿宋" w:hAnsi="仿宋" w:eastAsia="仿宋" w:cs="仿宋"/>
                <w:snapToGrid w:val="0"/>
                <w:color w:val="auto"/>
                <w:kern w:val="0"/>
                <w:sz w:val="24"/>
                <w:szCs w:val="24"/>
                <w:lang w:val="en-US" w:eastAsia="en-US" w:bidi="ar-SA"/>
              </w:rPr>
              <w:t>上明确资金用途和投标项目名称，并注明联系人及电话，以便查对核实。</w:t>
            </w:r>
          </w:p>
          <w:p w14:paraId="2D5E458F">
            <w:pPr>
              <w:pStyle w:val="25"/>
              <w:keepNext w:val="0"/>
              <w:keepLines w:val="0"/>
              <w:pageBreakBefore w:val="0"/>
              <w:widowControl/>
              <w:kinsoku w:val="0"/>
              <w:wordWrap/>
              <w:overflowPunct/>
              <w:topLinePunct w:val="0"/>
              <w:autoSpaceDE w:val="0"/>
              <w:autoSpaceDN w:val="0"/>
              <w:bidi w:val="0"/>
              <w:adjustRightInd w:val="0"/>
              <w:snapToGrid w:val="0"/>
              <w:spacing w:before="57" w:line="360" w:lineRule="exact"/>
              <w:ind w:right="3" w:rightChars="0"/>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en-US" w:bidi="ar-SA"/>
              </w:rPr>
              <w:t>在退还保证金时需携带以下资料：</w:t>
            </w:r>
          </w:p>
          <w:p w14:paraId="435DA03B">
            <w:pPr>
              <w:pStyle w:val="25"/>
              <w:keepNext w:val="0"/>
              <w:keepLines w:val="0"/>
              <w:pageBreakBefore w:val="0"/>
              <w:widowControl/>
              <w:kinsoku w:val="0"/>
              <w:wordWrap/>
              <w:overflowPunct/>
              <w:topLinePunct w:val="0"/>
              <w:autoSpaceDE w:val="0"/>
              <w:autoSpaceDN w:val="0"/>
              <w:bidi w:val="0"/>
              <w:adjustRightInd w:val="0"/>
              <w:snapToGrid w:val="0"/>
              <w:spacing w:before="57" w:line="360" w:lineRule="exact"/>
              <w:ind w:right="3" w:rightChars="0"/>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en-US" w:bidi="ar-SA"/>
              </w:rPr>
              <w:t>①请贵公司开具对开收据（原件），内容为：收到新疆昌盛方略项目管理有限公司XXXXXXXX项目保证金，金额写清楚，并加盖财务章；②贵公司营业执照（复印件盖公章）；③贵公司开户许可证（复印件盖公章）；④日期请落款在公示期结束后。</w:t>
            </w:r>
          </w:p>
          <w:p w14:paraId="53800A9E">
            <w:pPr>
              <w:pStyle w:val="25"/>
              <w:keepNext w:val="0"/>
              <w:keepLines w:val="0"/>
              <w:pageBreakBefore w:val="0"/>
              <w:widowControl/>
              <w:kinsoku w:val="0"/>
              <w:wordWrap/>
              <w:overflowPunct/>
              <w:topLinePunct w:val="0"/>
              <w:autoSpaceDE w:val="0"/>
              <w:autoSpaceDN w:val="0"/>
              <w:bidi w:val="0"/>
              <w:adjustRightInd w:val="0"/>
              <w:snapToGrid w:val="0"/>
              <w:spacing w:before="57" w:line="360" w:lineRule="exact"/>
              <w:ind w:right="3" w:rightChars="0"/>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en-US" w:bidi="ar-SA"/>
              </w:rPr>
              <w:t>金融机构、担保机构出具的保函，供应商在开具保函时，保函需注明项目名称及单位名称，保函的有效期不得少于投标有效期，担保金额不得少于投标保证金金额。</w:t>
            </w:r>
          </w:p>
          <w:p w14:paraId="01986D58">
            <w:pPr>
              <w:pStyle w:val="25"/>
              <w:keepNext w:val="0"/>
              <w:keepLines w:val="0"/>
              <w:pageBreakBefore w:val="0"/>
              <w:widowControl/>
              <w:kinsoku w:val="0"/>
              <w:wordWrap/>
              <w:overflowPunct/>
              <w:topLinePunct w:val="0"/>
              <w:autoSpaceDE w:val="0"/>
              <w:autoSpaceDN w:val="0"/>
              <w:bidi w:val="0"/>
              <w:adjustRightInd w:val="0"/>
              <w:snapToGrid w:val="0"/>
              <w:spacing w:before="57" w:line="360" w:lineRule="exact"/>
              <w:ind w:right="3" w:rightChars="0"/>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en-US" w:bidi="ar-SA"/>
              </w:rPr>
              <w:t>银行保函、保险保函形式缴纳的投标保证金按协议执行，无需办理退款手续。</w:t>
            </w:r>
          </w:p>
        </w:tc>
      </w:tr>
      <w:tr w14:paraId="22B7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1" w:hRule="atLeast"/>
          <w:jc w:val="center"/>
        </w:trPr>
        <w:tc>
          <w:tcPr>
            <w:tcW w:w="879" w:type="dxa"/>
            <w:shd w:val="clear" w:color="auto" w:fill="auto"/>
            <w:vAlign w:val="center"/>
          </w:tcPr>
          <w:p w14:paraId="224759AD">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6" w:leftChars="0"/>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16</w:t>
            </w:r>
          </w:p>
        </w:tc>
        <w:tc>
          <w:tcPr>
            <w:tcW w:w="1250" w:type="dxa"/>
            <w:shd w:val="clear" w:color="auto" w:fill="auto"/>
            <w:vAlign w:val="center"/>
          </w:tcPr>
          <w:p w14:paraId="080F1F75">
            <w:pPr>
              <w:pStyle w:val="25"/>
              <w:keepNext w:val="0"/>
              <w:keepLines w:val="0"/>
              <w:pageBreakBefore w:val="0"/>
              <w:widowControl/>
              <w:kinsoku w:val="0"/>
              <w:wordWrap/>
              <w:overflowPunct/>
              <w:topLinePunct w:val="0"/>
              <w:autoSpaceDE w:val="0"/>
              <w:autoSpaceDN w:val="0"/>
              <w:bidi w:val="0"/>
              <w:adjustRightInd w:val="0"/>
              <w:snapToGrid w:val="0"/>
              <w:spacing w:before="246" w:line="360" w:lineRule="exact"/>
              <w:ind w:left="141" w:leftChars="0" w:right="142" w:rightChars="0" w:hanging="20" w:firstLineChars="0"/>
              <w:jc w:val="center"/>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2"/>
                <w:sz w:val="24"/>
                <w:szCs w:val="24"/>
              </w:rPr>
              <w:t>解密响应文件</w:t>
            </w:r>
            <w:r>
              <w:rPr>
                <w:rFonts w:hint="eastAsia" w:ascii="仿宋" w:hAnsi="仿宋" w:eastAsia="仿宋" w:cs="仿宋"/>
                <w:color w:val="auto"/>
                <w:spacing w:val="-10"/>
                <w:sz w:val="24"/>
                <w:szCs w:val="24"/>
              </w:rPr>
              <w:t>的时限</w:t>
            </w:r>
          </w:p>
        </w:tc>
        <w:tc>
          <w:tcPr>
            <w:tcW w:w="7290" w:type="dxa"/>
            <w:shd w:val="clear" w:color="auto" w:fill="auto"/>
            <w:vAlign w:val="center"/>
          </w:tcPr>
          <w:p w14:paraId="726125FD">
            <w:pPr>
              <w:pStyle w:val="25"/>
              <w:keepNext w:val="0"/>
              <w:keepLines w:val="0"/>
              <w:pageBreakBefore w:val="0"/>
              <w:widowControl/>
              <w:kinsoku w:val="0"/>
              <w:wordWrap/>
              <w:overflowPunct/>
              <w:topLinePunct w:val="0"/>
              <w:autoSpaceDE w:val="0"/>
              <w:autoSpaceDN w:val="0"/>
              <w:bidi w:val="0"/>
              <w:adjustRightInd w:val="0"/>
              <w:snapToGrid w:val="0"/>
              <w:spacing w:before="89" w:line="36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rPr>
              <w:t>不见面开标默认解密时长：</w:t>
            </w:r>
            <w:r>
              <w:rPr>
                <w:rFonts w:hint="eastAsia" w:ascii="仿宋" w:hAnsi="仿宋" w:eastAsia="仿宋" w:cs="仿宋"/>
                <w:color w:val="auto"/>
                <w:spacing w:val="-1"/>
                <w:sz w:val="24"/>
                <w:szCs w:val="24"/>
                <w:u w:val="single" w:color="auto"/>
                <w:lang w:val="en-US" w:eastAsia="zh-CN"/>
              </w:rPr>
              <w:t>3</w:t>
            </w:r>
            <w:r>
              <w:rPr>
                <w:rFonts w:hint="eastAsia" w:ascii="仿宋" w:hAnsi="仿宋" w:eastAsia="仿宋" w:cs="仿宋"/>
                <w:color w:val="auto"/>
                <w:spacing w:val="-1"/>
                <w:sz w:val="24"/>
                <w:szCs w:val="24"/>
                <w:u w:val="single" w:color="auto"/>
              </w:rPr>
              <w:t>0</w:t>
            </w:r>
            <w:r>
              <w:rPr>
                <w:rFonts w:hint="eastAsia" w:ascii="仿宋" w:hAnsi="仿宋" w:eastAsia="仿宋" w:cs="仿宋"/>
                <w:color w:val="auto"/>
                <w:spacing w:val="-1"/>
                <w:sz w:val="24"/>
                <w:szCs w:val="24"/>
              </w:rPr>
              <w:t>分钟</w:t>
            </w:r>
          </w:p>
          <w:p w14:paraId="49E74960">
            <w:pPr>
              <w:pStyle w:val="25"/>
              <w:keepNext w:val="0"/>
              <w:keepLines w:val="0"/>
              <w:pageBreakBefore w:val="0"/>
              <w:widowControl/>
              <w:kinsoku w:val="0"/>
              <w:wordWrap/>
              <w:overflowPunct/>
              <w:topLinePunct w:val="0"/>
              <w:autoSpaceDE w:val="0"/>
              <w:autoSpaceDN w:val="0"/>
              <w:bidi w:val="0"/>
              <w:adjustRightInd w:val="0"/>
              <w:snapToGrid w:val="0"/>
              <w:spacing w:before="27" w:line="360" w:lineRule="exact"/>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5"/>
                <w:sz w:val="24"/>
                <w:szCs w:val="24"/>
              </w:rPr>
              <w:t>注：除因平台发生故障导致响应文件无法按时解密外，响</w:t>
            </w:r>
            <w:r>
              <w:rPr>
                <w:rFonts w:hint="eastAsia" w:ascii="仿宋" w:hAnsi="仿宋" w:eastAsia="仿宋" w:cs="仿宋"/>
                <w:color w:val="auto"/>
                <w:spacing w:val="-10"/>
                <w:sz w:val="24"/>
                <w:szCs w:val="24"/>
              </w:rPr>
              <w:t>应文件未按时解密的，视为未按规定提交响应文件，响应无效。</w:t>
            </w:r>
          </w:p>
        </w:tc>
      </w:tr>
      <w:tr w14:paraId="46DD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5" w:hRule="atLeast"/>
          <w:jc w:val="center"/>
        </w:trPr>
        <w:tc>
          <w:tcPr>
            <w:tcW w:w="879" w:type="dxa"/>
            <w:shd w:val="clear" w:color="auto" w:fill="auto"/>
            <w:vAlign w:val="center"/>
          </w:tcPr>
          <w:p w14:paraId="62ACA205">
            <w:pPr>
              <w:pStyle w:val="25"/>
              <w:keepNext w:val="0"/>
              <w:keepLines w:val="0"/>
              <w:pageBreakBefore w:val="0"/>
              <w:widowControl/>
              <w:kinsoku w:val="0"/>
              <w:wordWrap/>
              <w:overflowPunct/>
              <w:topLinePunct w:val="0"/>
              <w:autoSpaceDE w:val="0"/>
              <w:autoSpaceDN w:val="0"/>
              <w:bidi w:val="0"/>
              <w:adjustRightInd w:val="0"/>
              <w:snapToGrid w:val="0"/>
              <w:spacing w:before="271" w:line="360" w:lineRule="exact"/>
              <w:ind w:left="256" w:leftChars="0"/>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17</w:t>
            </w:r>
          </w:p>
        </w:tc>
        <w:tc>
          <w:tcPr>
            <w:tcW w:w="1250" w:type="dxa"/>
            <w:shd w:val="clear" w:color="auto" w:fill="auto"/>
            <w:vAlign w:val="center"/>
          </w:tcPr>
          <w:p w14:paraId="271932F9">
            <w:pPr>
              <w:pStyle w:val="25"/>
              <w:keepNext w:val="0"/>
              <w:keepLines w:val="0"/>
              <w:pageBreakBefore w:val="0"/>
              <w:widowControl/>
              <w:kinsoku w:val="0"/>
              <w:wordWrap/>
              <w:overflowPunct/>
              <w:topLinePunct w:val="0"/>
              <w:autoSpaceDE w:val="0"/>
              <w:autoSpaceDN w:val="0"/>
              <w:bidi w:val="0"/>
              <w:adjustRightInd w:val="0"/>
              <w:snapToGrid w:val="0"/>
              <w:spacing w:before="27" w:line="360" w:lineRule="exact"/>
              <w:ind w:left="142" w:leftChars="0"/>
              <w:jc w:val="center"/>
              <w:textAlignment w:val="baseline"/>
              <w:rPr>
                <w:rFonts w:hint="eastAsia" w:ascii="仿宋" w:hAnsi="仿宋" w:eastAsia="仿宋" w:cs="仿宋"/>
                <w:color w:val="auto"/>
                <w:spacing w:val="-5"/>
                <w:sz w:val="24"/>
                <w:szCs w:val="24"/>
                <w:lang w:val="en-US" w:eastAsia="en-US"/>
              </w:rPr>
            </w:pPr>
            <w:r>
              <w:rPr>
                <w:rFonts w:hint="eastAsia" w:ascii="仿宋" w:hAnsi="仿宋" w:eastAsia="仿宋" w:cs="仿宋"/>
                <w:color w:val="auto"/>
                <w:spacing w:val="-5"/>
                <w:sz w:val="24"/>
                <w:szCs w:val="24"/>
              </w:rPr>
              <w:t>推荐成交候选供应商</w:t>
            </w:r>
          </w:p>
        </w:tc>
        <w:tc>
          <w:tcPr>
            <w:tcW w:w="7290" w:type="dxa"/>
            <w:shd w:val="clear" w:color="auto" w:fill="auto"/>
            <w:vAlign w:val="center"/>
          </w:tcPr>
          <w:p w14:paraId="305B2AE3">
            <w:pPr>
              <w:pStyle w:val="25"/>
              <w:keepNext w:val="0"/>
              <w:keepLines w:val="0"/>
              <w:pageBreakBefore w:val="0"/>
              <w:widowControl/>
              <w:kinsoku w:val="0"/>
              <w:wordWrap/>
              <w:overflowPunct/>
              <w:topLinePunct w:val="0"/>
              <w:autoSpaceDE w:val="0"/>
              <w:autoSpaceDN w:val="0"/>
              <w:bidi w:val="0"/>
              <w:adjustRightInd w:val="0"/>
              <w:snapToGrid w:val="0"/>
              <w:spacing w:before="27" w:line="360" w:lineRule="exact"/>
              <w:jc w:val="left"/>
              <w:textAlignment w:val="baseline"/>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rPr>
              <w:t>成交候选供应商数量</w:t>
            </w:r>
            <w:r>
              <w:rPr>
                <w:rFonts w:hint="eastAsia" w:ascii="仿宋" w:hAnsi="仿宋" w:eastAsia="仿宋" w:cs="仿宋"/>
                <w:color w:val="auto"/>
                <w:spacing w:val="-5"/>
                <w:sz w:val="24"/>
                <w:szCs w:val="24"/>
                <w:lang w:val="en-US" w:eastAsia="zh-CN"/>
              </w:rPr>
              <w:t>1</w:t>
            </w:r>
            <w:r>
              <w:rPr>
                <w:rFonts w:hint="eastAsia" w:ascii="仿宋" w:hAnsi="仿宋" w:eastAsia="仿宋" w:cs="仿宋"/>
                <w:color w:val="auto"/>
                <w:spacing w:val="-5"/>
                <w:sz w:val="24"/>
                <w:szCs w:val="24"/>
              </w:rPr>
              <w:t>家</w:t>
            </w:r>
          </w:p>
        </w:tc>
      </w:tr>
      <w:tr w14:paraId="0D03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2" w:hRule="atLeast"/>
          <w:jc w:val="center"/>
        </w:trPr>
        <w:tc>
          <w:tcPr>
            <w:tcW w:w="879" w:type="dxa"/>
            <w:shd w:val="clear" w:color="auto" w:fill="auto"/>
            <w:vAlign w:val="center"/>
          </w:tcPr>
          <w:p w14:paraId="15130C59">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6" w:leftChars="0"/>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18</w:t>
            </w:r>
          </w:p>
        </w:tc>
        <w:tc>
          <w:tcPr>
            <w:tcW w:w="1250" w:type="dxa"/>
            <w:shd w:val="clear" w:color="auto" w:fill="auto"/>
            <w:vAlign w:val="center"/>
          </w:tcPr>
          <w:p w14:paraId="12A7DE5F">
            <w:pPr>
              <w:pStyle w:val="25"/>
              <w:keepNext w:val="0"/>
              <w:keepLines w:val="0"/>
              <w:pageBreakBefore w:val="0"/>
              <w:widowControl/>
              <w:kinsoku w:val="0"/>
              <w:wordWrap/>
              <w:overflowPunct/>
              <w:topLinePunct w:val="0"/>
              <w:autoSpaceDE w:val="0"/>
              <w:autoSpaceDN w:val="0"/>
              <w:bidi w:val="0"/>
              <w:adjustRightInd w:val="0"/>
              <w:snapToGrid w:val="0"/>
              <w:spacing w:before="278" w:line="360" w:lineRule="exact"/>
              <w:ind w:right="142" w:rightChars="0"/>
              <w:jc w:val="center"/>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2"/>
                <w:sz w:val="24"/>
                <w:szCs w:val="24"/>
              </w:rPr>
              <w:t>确定成交供应</w:t>
            </w:r>
            <w:r>
              <w:rPr>
                <w:rFonts w:hint="eastAsia" w:ascii="仿宋" w:hAnsi="仿宋" w:eastAsia="仿宋" w:cs="仿宋"/>
                <w:color w:val="auto"/>
                <w:sz w:val="24"/>
                <w:szCs w:val="24"/>
              </w:rPr>
              <w:t>商</w:t>
            </w:r>
          </w:p>
        </w:tc>
        <w:tc>
          <w:tcPr>
            <w:tcW w:w="7290" w:type="dxa"/>
            <w:shd w:val="clear" w:color="auto" w:fill="auto"/>
            <w:vAlign w:val="center"/>
          </w:tcPr>
          <w:p w14:paraId="06982BDA">
            <w:pPr>
              <w:pStyle w:val="25"/>
              <w:keepNext w:val="0"/>
              <w:keepLines w:val="0"/>
              <w:pageBreakBefore w:val="0"/>
              <w:widowControl/>
              <w:kinsoku w:val="0"/>
              <w:wordWrap/>
              <w:overflowPunct/>
              <w:topLinePunct w:val="0"/>
              <w:autoSpaceDE w:val="0"/>
              <w:autoSpaceDN w:val="0"/>
              <w:bidi w:val="0"/>
              <w:adjustRightInd w:val="0"/>
              <w:snapToGrid w:val="0"/>
              <w:spacing w:before="122" w:line="360" w:lineRule="exact"/>
              <w:ind w:right="3"/>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1"/>
                <w:sz w:val="24"/>
                <w:szCs w:val="24"/>
              </w:rPr>
              <w:t>采购人在收到评审报告后5个工作日内，按评</w:t>
            </w:r>
            <w:r>
              <w:rPr>
                <w:rFonts w:hint="eastAsia" w:ascii="仿宋" w:hAnsi="仿宋" w:eastAsia="仿宋" w:cs="仿宋"/>
                <w:color w:val="auto"/>
                <w:spacing w:val="-2"/>
                <w:sz w:val="24"/>
                <w:szCs w:val="24"/>
              </w:rPr>
              <w:t>审报告中推荐的成交候选人排序确定成交供应商。</w:t>
            </w:r>
          </w:p>
        </w:tc>
      </w:tr>
      <w:tr w14:paraId="5EBD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41" w:hRule="atLeast"/>
          <w:jc w:val="center"/>
        </w:trPr>
        <w:tc>
          <w:tcPr>
            <w:tcW w:w="879" w:type="dxa"/>
            <w:shd w:val="clear" w:color="auto" w:fill="auto"/>
            <w:vAlign w:val="center"/>
          </w:tcPr>
          <w:p w14:paraId="715BC4B5">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6" w:leftChars="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19</w:t>
            </w:r>
          </w:p>
        </w:tc>
        <w:tc>
          <w:tcPr>
            <w:tcW w:w="1250" w:type="dxa"/>
            <w:shd w:val="clear" w:color="auto" w:fill="auto"/>
            <w:vAlign w:val="center"/>
          </w:tcPr>
          <w:p w14:paraId="5F23232C">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3"/>
                <w:sz w:val="24"/>
                <w:szCs w:val="24"/>
              </w:rPr>
              <w:t>评标方法</w:t>
            </w:r>
          </w:p>
        </w:tc>
        <w:tc>
          <w:tcPr>
            <w:tcW w:w="7290" w:type="dxa"/>
            <w:shd w:val="clear" w:color="auto" w:fill="auto"/>
            <w:vAlign w:val="center"/>
          </w:tcPr>
          <w:p w14:paraId="05010EA9">
            <w:pPr>
              <w:pStyle w:val="25"/>
              <w:keepNext w:val="0"/>
              <w:keepLines w:val="0"/>
              <w:pageBreakBefore w:val="0"/>
              <w:widowControl/>
              <w:kinsoku w:val="0"/>
              <w:wordWrap/>
              <w:overflowPunct/>
              <w:topLinePunct w:val="0"/>
              <w:autoSpaceDE w:val="0"/>
              <w:autoSpaceDN w:val="0"/>
              <w:bidi w:val="0"/>
              <w:adjustRightInd w:val="0"/>
              <w:snapToGrid w:val="0"/>
              <w:spacing w:before="117" w:line="36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sym w:font="Wingdings 2" w:char="0052"/>
            </w:r>
            <w:r>
              <w:rPr>
                <w:rFonts w:hint="eastAsia" w:ascii="仿宋" w:hAnsi="仿宋" w:eastAsia="仿宋" w:cs="仿宋"/>
                <w:color w:val="auto"/>
                <w:spacing w:val="-1"/>
                <w:sz w:val="24"/>
                <w:szCs w:val="24"/>
              </w:rPr>
              <w:t>综合评分法</w:t>
            </w:r>
          </w:p>
          <w:p w14:paraId="4C3367DE">
            <w:pPr>
              <w:pStyle w:val="25"/>
              <w:keepNext w:val="0"/>
              <w:keepLines w:val="0"/>
              <w:pageBreakBefore w:val="0"/>
              <w:widowControl/>
              <w:kinsoku w:val="0"/>
              <w:wordWrap/>
              <w:overflowPunct/>
              <w:topLinePunct w:val="0"/>
              <w:autoSpaceDE w:val="0"/>
              <w:autoSpaceDN w:val="0"/>
              <w:bidi w:val="0"/>
              <w:adjustRightInd w:val="0"/>
              <w:snapToGrid w:val="0"/>
              <w:spacing w:before="14" w:line="36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sym w:font="Wingdings 2" w:char="00A3"/>
            </w:r>
            <w:r>
              <w:rPr>
                <w:rFonts w:hint="eastAsia" w:ascii="仿宋" w:hAnsi="仿宋" w:eastAsia="仿宋" w:cs="仿宋"/>
                <w:color w:val="auto"/>
                <w:spacing w:val="-3"/>
                <w:sz w:val="24"/>
                <w:szCs w:val="24"/>
              </w:rPr>
              <w:t>最低评标价法</w:t>
            </w:r>
          </w:p>
          <w:p w14:paraId="1B97D287">
            <w:pPr>
              <w:pStyle w:val="25"/>
              <w:keepNext w:val="0"/>
              <w:keepLines w:val="0"/>
              <w:pageBreakBefore w:val="0"/>
              <w:widowControl/>
              <w:kinsoku w:val="0"/>
              <w:wordWrap/>
              <w:overflowPunct/>
              <w:topLinePunct w:val="0"/>
              <w:autoSpaceDE w:val="0"/>
              <w:autoSpaceDN w:val="0"/>
              <w:bidi w:val="0"/>
              <w:adjustRightInd w:val="0"/>
              <w:snapToGrid w:val="0"/>
              <w:spacing w:before="13" w:line="360" w:lineRule="exact"/>
              <w:ind w:right="3"/>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2"/>
                <w:sz w:val="24"/>
                <w:szCs w:val="24"/>
              </w:rPr>
              <w:t>1.最低评标价法</w:t>
            </w:r>
            <w:r>
              <w:rPr>
                <w:rFonts w:hint="eastAsia" w:ascii="仿宋" w:hAnsi="仿宋" w:eastAsia="仿宋" w:cs="仿宋"/>
                <w:color w:val="auto"/>
                <w:spacing w:val="-2"/>
                <w:sz w:val="24"/>
                <w:szCs w:val="24"/>
                <w:lang w:eastAsia="zh-CN"/>
              </w:rPr>
              <w:t>：</w:t>
            </w:r>
            <w:r>
              <w:rPr>
                <w:rFonts w:hint="eastAsia" w:ascii="仿宋" w:hAnsi="仿宋" w:eastAsia="仿宋" w:cs="仿宋"/>
                <w:color w:val="auto"/>
                <w:spacing w:val="-2"/>
                <w:sz w:val="24"/>
                <w:szCs w:val="24"/>
              </w:rPr>
              <w:t>是指以价格为主要因素确定</w:t>
            </w:r>
            <w:r>
              <w:rPr>
                <w:rFonts w:hint="eastAsia" w:ascii="仿宋" w:hAnsi="仿宋" w:eastAsia="仿宋" w:cs="仿宋"/>
                <w:color w:val="auto"/>
                <w:spacing w:val="-2"/>
                <w:sz w:val="24"/>
                <w:szCs w:val="24"/>
                <w:lang w:eastAsia="zh-CN"/>
              </w:rPr>
              <w:t>成交</w:t>
            </w:r>
            <w:r>
              <w:rPr>
                <w:rFonts w:hint="eastAsia" w:ascii="仿宋" w:hAnsi="仿宋" w:eastAsia="仿宋" w:cs="仿宋"/>
                <w:color w:val="auto"/>
                <w:spacing w:val="-3"/>
                <w:sz w:val="24"/>
                <w:szCs w:val="24"/>
              </w:rPr>
              <w:t>供应商的评</w:t>
            </w:r>
            <w:r>
              <w:rPr>
                <w:rFonts w:hint="eastAsia" w:ascii="仿宋" w:hAnsi="仿宋" w:eastAsia="仿宋" w:cs="仿宋"/>
                <w:color w:val="auto"/>
                <w:spacing w:val="-2"/>
                <w:sz w:val="24"/>
                <w:szCs w:val="24"/>
              </w:rPr>
              <w:t>标方法，即在全部满足采购文件实质性要求前提下，依据统一的价格要素评定最低报价，以提出最低报价的供应商作为</w:t>
            </w:r>
            <w:r>
              <w:rPr>
                <w:rFonts w:hint="eastAsia" w:ascii="仿宋" w:hAnsi="仿宋" w:eastAsia="仿宋" w:cs="仿宋"/>
                <w:color w:val="auto"/>
                <w:spacing w:val="-2"/>
                <w:sz w:val="24"/>
                <w:szCs w:val="24"/>
                <w:lang w:eastAsia="zh-CN"/>
              </w:rPr>
              <w:t>成交</w:t>
            </w:r>
            <w:r>
              <w:rPr>
                <w:rFonts w:hint="eastAsia" w:ascii="仿宋" w:hAnsi="仿宋" w:eastAsia="仿宋" w:cs="仿宋"/>
                <w:color w:val="auto"/>
                <w:spacing w:val="-2"/>
                <w:sz w:val="24"/>
                <w:szCs w:val="24"/>
              </w:rPr>
              <w:t>候选供应商或者</w:t>
            </w:r>
            <w:r>
              <w:rPr>
                <w:rFonts w:hint="eastAsia" w:ascii="仿宋" w:hAnsi="仿宋" w:eastAsia="仿宋" w:cs="仿宋"/>
                <w:color w:val="auto"/>
                <w:spacing w:val="-2"/>
                <w:sz w:val="24"/>
                <w:szCs w:val="24"/>
                <w:lang w:eastAsia="zh-CN"/>
              </w:rPr>
              <w:t>成交</w:t>
            </w:r>
            <w:r>
              <w:rPr>
                <w:rFonts w:hint="eastAsia" w:ascii="仿宋" w:hAnsi="仿宋" w:eastAsia="仿宋" w:cs="仿宋"/>
                <w:color w:val="auto"/>
                <w:spacing w:val="-2"/>
                <w:sz w:val="24"/>
                <w:szCs w:val="24"/>
              </w:rPr>
              <w:t>供应商的评标方法。响应报价相同的，按</w:t>
            </w:r>
            <w:r>
              <w:rPr>
                <w:rFonts w:hint="eastAsia" w:ascii="仿宋" w:hAnsi="仿宋" w:eastAsia="仿宋" w:cs="仿宋"/>
                <w:color w:val="auto"/>
                <w:spacing w:val="-1"/>
                <w:sz w:val="24"/>
                <w:szCs w:val="24"/>
              </w:rPr>
              <w:t>技术指标优劣顺序排列，技术指标较优的一方为</w:t>
            </w:r>
            <w:r>
              <w:rPr>
                <w:rFonts w:hint="eastAsia" w:ascii="仿宋" w:hAnsi="仿宋" w:eastAsia="仿宋" w:cs="仿宋"/>
                <w:color w:val="auto"/>
                <w:spacing w:val="-1"/>
                <w:sz w:val="24"/>
                <w:szCs w:val="24"/>
                <w:lang w:eastAsia="zh-CN"/>
              </w:rPr>
              <w:t>成交</w:t>
            </w:r>
            <w:r>
              <w:rPr>
                <w:rFonts w:hint="eastAsia" w:ascii="仿宋" w:hAnsi="仿宋" w:eastAsia="仿宋" w:cs="仿宋"/>
                <w:color w:val="auto"/>
                <w:spacing w:val="-1"/>
                <w:sz w:val="24"/>
                <w:szCs w:val="24"/>
              </w:rPr>
              <w:t>人。</w:t>
            </w:r>
          </w:p>
          <w:p w14:paraId="1CB3BB3E">
            <w:pPr>
              <w:pStyle w:val="25"/>
              <w:keepNext w:val="0"/>
              <w:keepLines w:val="0"/>
              <w:pageBreakBefore w:val="0"/>
              <w:widowControl/>
              <w:kinsoku w:val="0"/>
              <w:wordWrap/>
              <w:overflowPunct/>
              <w:topLinePunct w:val="0"/>
              <w:autoSpaceDE w:val="0"/>
              <w:autoSpaceDN w:val="0"/>
              <w:bidi w:val="0"/>
              <w:adjustRightInd w:val="0"/>
              <w:snapToGrid w:val="0"/>
              <w:spacing w:before="24" w:line="360" w:lineRule="exact"/>
              <w:ind w:right="3" w:rightChars="0"/>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1"/>
                <w:sz w:val="24"/>
                <w:szCs w:val="24"/>
              </w:rPr>
              <w:t>2.综合评分法</w:t>
            </w: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rPr>
              <w:t>是指在最大限度地满足采购文件实质性要求的</w:t>
            </w:r>
            <w:r>
              <w:rPr>
                <w:rFonts w:hint="eastAsia" w:ascii="仿宋" w:hAnsi="仿宋" w:eastAsia="仿宋" w:cs="仿宋"/>
                <w:color w:val="auto"/>
                <w:spacing w:val="-2"/>
                <w:sz w:val="24"/>
                <w:szCs w:val="24"/>
              </w:rPr>
              <w:t>前提下，按照采购文件中规定的评分细则评审后，以评标最终得分最高的供应商作为</w:t>
            </w:r>
            <w:r>
              <w:rPr>
                <w:rFonts w:hint="eastAsia" w:ascii="仿宋" w:hAnsi="仿宋" w:eastAsia="仿宋" w:cs="仿宋"/>
                <w:color w:val="auto"/>
                <w:spacing w:val="-2"/>
                <w:sz w:val="24"/>
                <w:szCs w:val="24"/>
                <w:lang w:eastAsia="zh-CN"/>
              </w:rPr>
              <w:t>成交</w:t>
            </w:r>
            <w:r>
              <w:rPr>
                <w:rFonts w:hint="eastAsia" w:ascii="仿宋" w:hAnsi="仿宋" w:eastAsia="仿宋" w:cs="仿宋"/>
                <w:color w:val="auto"/>
                <w:spacing w:val="-2"/>
                <w:sz w:val="24"/>
                <w:szCs w:val="24"/>
              </w:rPr>
              <w:t>人的评标方法。供应商的最终得分为所有评委评分的算术平均值。得分相同的，报价较低的一方为</w:t>
            </w:r>
            <w:r>
              <w:rPr>
                <w:rFonts w:hint="eastAsia" w:ascii="仿宋" w:hAnsi="仿宋" w:eastAsia="仿宋" w:cs="仿宋"/>
                <w:color w:val="auto"/>
                <w:spacing w:val="-2"/>
                <w:sz w:val="24"/>
                <w:szCs w:val="24"/>
                <w:lang w:eastAsia="zh-CN"/>
              </w:rPr>
              <w:t>成交</w:t>
            </w:r>
            <w:r>
              <w:rPr>
                <w:rFonts w:hint="eastAsia" w:ascii="仿宋" w:hAnsi="仿宋" w:eastAsia="仿宋" w:cs="仿宋"/>
                <w:color w:val="auto"/>
                <w:spacing w:val="-2"/>
                <w:sz w:val="24"/>
                <w:szCs w:val="24"/>
              </w:rPr>
              <w:t>人，响应报价相同的，技术指标较优的一方为</w:t>
            </w:r>
            <w:r>
              <w:rPr>
                <w:rFonts w:hint="eastAsia" w:ascii="仿宋" w:hAnsi="仿宋" w:eastAsia="仿宋" w:cs="仿宋"/>
                <w:color w:val="auto"/>
                <w:spacing w:val="-2"/>
                <w:sz w:val="24"/>
                <w:szCs w:val="24"/>
                <w:lang w:eastAsia="zh-CN"/>
              </w:rPr>
              <w:t>成交</w:t>
            </w:r>
            <w:r>
              <w:rPr>
                <w:rFonts w:hint="eastAsia" w:ascii="仿宋" w:hAnsi="仿宋" w:eastAsia="仿宋" w:cs="仿宋"/>
                <w:color w:val="auto"/>
                <w:spacing w:val="-2"/>
                <w:sz w:val="24"/>
                <w:szCs w:val="24"/>
              </w:rPr>
              <w:t>人。</w:t>
            </w:r>
          </w:p>
        </w:tc>
      </w:tr>
      <w:tr w14:paraId="094D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5" w:hRule="atLeast"/>
          <w:jc w:val="center"/>
        </w:trPr>
        <w:tc>
          <w:tcPr>
            <w:tcW w:w="879" w:type="dxa"/>
            <w:shd w:val="clear" w:color="auto" w:fill="auto"/>
            <w:vAlign w:val="center"/>
          </w:tcPr>
          <w:p w14:paraId="3A8C900A">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8" w:leftChars="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20</w:t>
            </w:r>
          </w:p>
        </w:tc>
        <w:tc>
          <w:tcPr>
            <w:tcW w:w="1250" w:type="dxa"/>
            <w:shd w:val="clear" w:color="auto" w:fill="auto"/>
            <w:vAlign w:val="center"/>
          </w:tcPr>
          <w:p w14:paraId="68009A1A">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3"/>
                <w:sz w:val="24"/>
                <w:szCs w:val="24"/>
              </w:rPr>
              <w:t>履约保证金</w:t>
            </w:r>
          </w:p>
        </w:tc>
        <w:tc>
          <w:tcPr>
            <w:tcW w:w="7290" w:type="dxa"/>
            <w:shd w:val="clear" w:color="auto" w:fill="auto"/>
            <w:vAlign w:val="center"/>
          </w:tcPr>
          <w:p w14:paraId="53D339C9">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履约保证金的形式：</w:t>
            </w:r>
            <w:r>
              <w:rPr>
                <w:rFonts w:hint="eastAsia" w:ascii="仿宋" w:hAnsi="仿宋" w:eastAsia="仿宋" w:cs="仿宋"/>
                <w:color w:val="auto"/>
                <w:sz w:val="24"/>
                <w:szCs w:val="24"/>
                <w:highlight w:val="none"/>
                <w:u w:val="single"/>
              </w:rPr>
              <w:t>银行转账支票、银行电汇、银行保函的形式</w:t>
            </w:r>
            <w:r>
              <w:rPr>
                <w:rFonts w:hint="eastAsia" w:ascii="仿宋" w:hAnsi="仿宋" w:eastAsia="仿宋" w:cs="仿宋"/>
                <w:color w:val="auto"/>
                <w:sz w:val="24"/>
                <w:szCs w:val="24"/>
                <w:highlight w:val="none"/>
                <w:u w:val="single"/>
                <w:lang w:eastAsia="zh-CN"/>
              </w:rPr>
              <w:t>。</w:t>
            </w:r>
          </w:p>
          <w:p w14:paraId="4D776895">
            <w:pPr>
              <w:pStyle w:val="25"/>
              <w:keepNext w:val="0"/>
              <w:keepLines w:val="0"/>
              <w:pageBreakBefore w:val="0"/>
              <w:widowControl/>
              <w:kinsoku w:val="0"/>
              <w:wordWrap/>
              <w:overflowPunct/>
              <w:topLinePunct w:val="0"/>
              <w:autoSpaceDE w:val="0"/>
              <w:autoSpaceDN w:val="0"/>
              <w:bidi w:val="0"/>
              <w:adjustRightInd w:val="0"/>
              <w:snapToGrid w:val="0"/>
              <w:spacing w:before="28" w:line="360" w:lineRule="exact"/>
              <w:ind w:right="9" w:rightChars="0"/>
              <w:jc w:val="left"/>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z w:val="24"/>
                <w:szCs w:val="24"/>
                <w:highlight w:val="none"/>
              </w:rPr>
              <w:t>履约保证金的金额：中标金额的</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投标人在收到中标通知书后，须</w:t>
            </w:r>
            <w:r>
              <w:rPr>
                <w:rFonts w:hint="eastAsia" w:ascii="仿宋" w:hAnsi="仿宋" w:eastAsia="仿宋" w:cs="仿宋"/>
                <w:color w:val="auto"/>
                <w:sz w:val="24"/>
                <w:szCs w:val="24"/>
                <w:highlight w:val="none"/>
                <w:lang w:val="en-US" w:eastAsia="zh-CN"/>
              </w:rPr>
              <w:t>在合同签订前</w:t>
            </w:r>
            <w:r>
              <w:rPr>
                <w:rFonts w:hint="eastAsia" w:ascii="仿宋" w:hAnsi="仿宋" w:eastAsia="仿宋" w:cs="仿宋"/>
                <w:color w:val="auto"/>
                <w:sz w:val="24"/>
                <w:szCs w:val="24"/>
                <w:highlight w:val="none"/>
              </w:rPr>
              <w:t>向招标人足额提交履约保证金</w:t>
            </w:r>
            <w:r>
              <w:rPr>
                <w:rFonts w:hint="eastAsia" w:ascii="仿宋" w:hAnsi="仿宋" w:eastAsia="仿宋" w:cs="仿宋"/>
                <w:color w:val="auto"/>
                <w:sz w:val="24"/>
                <w:szCs w:val="24"/>
                <w:highlight w:val="none"/>
                <w:lang w:eastAsia="zh-CN"/>
              </w:rPr>
              <w:t>。</w:t>
            </w:r>
          </w:p>
        </w:tc>
      </w:tr>
      <w:tr w14:paraId="4AA7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51" w:hRule="atLeast"/>
          <w:jc w:val="center"/>
        </w:trPr>
        <w:tc>
          <w:tcPr>
            <w:tcW w:w="879" w:type="dxa"/>
            <w:shd w:val="clear" w:color="auto" w:fill="auto"/>
            <w:vAlign w:val="center"/>
          </w:tcPr>
          <w:p w14:paraId="53C1C2E7">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8" w:leftChars="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21</w:t>
            </w:r>
          </w:p>
        </w:tc>
        <w:tc>
          <w:tcPr>
            <w:tcW w:w="1250" w:type="dxa"/>
            <w:shd w:val="clear" w:color="auto" w:fill="auto"/>
            <w:vAlign w:val="center"/>
          </w:tcPr>
          <w:p w14:paraId="76FAF3D5">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z w:val="24"/>
                <w:szCs w:val="24"/>
                <w:highlight w:val="none"/>
              </w:rPr>
              <w:t>评标委员会的组建</w:t>
            </w:r>
          </w:p>
        </w:tc>
        <w:tc>
          <w:tcPr>
            <w:tcW w:w="7290" w:type="dxa"/>
            <w:shd w:val="clear" w:color="auto" w:fill="auto"/>
            <w:vAlign w:val="center"/>
          </w:tcPr>
          <w:p w14:paraId="143E150F">
            <w:pPr>
              <w:keepNext w:val="0"/>
              <w:keepLines w:val="0"/>
              <w:pageBreakBefore w:val="0"/>
              <w:widowControl w:val="0"/>
              <w:kinsoku/>
              <w:wordWrap/>
              <w:overflowPunct/>
              <w:topLinePunct w:val="0"/>
              <w:bidi w:val="0"/>
              <w:spacing w:line="36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1、评标委员会构成：</w:t>
            </w:r>
            <w:r>
              <w:rPr>
                <w:rFonts w:hint="eastAsia" w:ascii="仿宋" w:hAnsi="仿宋" w:eastAsia="仿宋" w:cs="仿宋"/>
                <w:color w:val="auto"/>
                <w:sz w:val="24"/>
                <w:szCs w:val="24"/>
                <w:highlight w:val="none"/>
                <w:u w:val="single"/>
              </w:rPr>
              <w:t>3人</w:t>
            </w:r>
            <w:r>
              <w:rPr>
                <w:rFonts w:hint="eastAsia" w:ascii="仿宋" w:hAnsi="仿宋" w:eastAsia="仿宋" w:cs="仿宋"/>
                <w:color w:val="auto"/>
                <w:sz w:val="24"/>
                <w:szCs w:val="24"/>
                <w:highlight w:val="none"/>
                <w:u w:val="single"/>
                <w:lang w:val="en-US" w:eastAsia="zh-CN"/>
              </w:rPr>
              <w:t>及</w:t>
            </w:r>
            <w:r>
              <w:rPr>
                <w:rFonts w:hint="eastAsia" w:ascii="仿宋" w:hAnsi="仿宋" w:eastAsia="仿宋" w:cs="仿宋"/>
                <w:color w:val="auto"/>
                <w:sz w:val="24"/>
                <w:szCs w:val="24"/>
                <w:highlight w:val="none"/>
                <w:u w:val="single"/>
              </w:rPr>
              <w:t>以上单数</w:t>
            </w:r>
            <w:r>
              <w:rPr>
                <w:rFonts w:hint="eastAsia" w:ascii="仿宋" w:hAnsi="仿宋" w:eastAsia="仿宋" w:cs="仿宋"/>
                <w:color w:val="auto"/>
                <w:sz w:val="24"/>
                <w:szCs w:val="24"/>
                <w:highlight w:val="none"/>
                <w:u w:val="single"/>
                <w:lang w:eastAsia="zh-CN"/>
              </w:rPr>
              <w:t>；若采购人代表参与评审，采购人代表不能超过评审委员会人数的1/3人，其余评审委员会成员依法从</w:t>
            </w:r>
            <w:r>
              <w:rPr>
                <w:rFonts w:hint="eastAsia" w:ascii="仿宋" w:hAnsi="仿宋" w:eastAsia="仿宋" w:cs="仿宋"/>
                <w:color w:val="auto"/>
                <w:sz w:val="24"/>
                <w:szCs w:val="24"/>
                <w:highlight w:val="none"/>
                <w:u w:val="single"/>
                <w:lang w:val="en-US" w:eastAsia="zh-CN"/>
              </w:rPr>
              <w:t>政采云</w:t>
            </w:r>
            <w:r>
              <w:rPr>
                <w:rFonts w:hint="eastAsia" w:ascii="仿宋" w:hAnsi="仿宋" w:eastAsia="仿宋" w:cs="仿宋"/>
                <w:color w:val="auto"/>
                <w:sz w:val="24"/>
                <w:szCs w:val="24"/>
                <w:highlight w:val="none"/>
                <w:u w:val="single"/>
                <w:lang w:eastAsia="zh-CN"/>
              </w:rPr>
              <w:t>专家库随机抽取评审专家；若采购人代表不参与评审，全部在</w:t>
            </w:r>
            <w:r>
              <w:rPr>
                <w:rFonts w:hint="eastAsia" w:ascii="仿宋" w:hAnsi="仿宋" w:eastAsia="仿宋" w:cs="仿宋"/>
                <w:color w:val="auto"/>
                <w:sz w:val="24"/>
                <w:szCs w:val="24"/>
                <w:highlight w:val="none"/>
                <w:u w:val="single"/>
                <w:lang w:val="en-US" w:eastAsia="zh-CN"/>
              </w:rPr>
              <w:t>政采云</w:t>
            </w:r>
            <w:r>
              <w:rPr>
                <w:rFonts w:hint="eastAsia" w:ascii="仿宋" w:hAnsi="仿宋" w:eastAsia="仿宋" w:cs="仿宋"/>
                <w:color w:val="auto"/>
                <w:sz w:val="24"/>
                <w:szCs w:val="24"/>
                <w:highlight w:val="none"/>
                <w:u w:val="single"/>
                <w:lang w:eastAsia="zh-CN"/>
              </w:rPr>
              <w:t>专家库随机抽取评审专家。</w:t>
            </w:r>
          </w:p>
          <w:p w14:paraId="4680E557">
            <w:pPr>
              <w:keepNext w:val="0"/>
              <w:keepLines w:val="0"/>
              <w:pageBreakBefore w:val="0"/>
              <w:widowControl w:val="0"/>
              <w:numPr>
                <w:ilvl w:val="0"/>
                <w:numId w:val="3"/>
              </w:numPr>
              <w:kinsoku/>
              <w:wordWrap/>
              <w:overflowPunct/>
              <w:topLinePunct w:val="0"/>
              <w:bidi w:val="0"/>
              <w:spacing w:line="360" w:lineRule="exact"/>
              <w:ind w:firstLine="0" w:firstLineChars="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评审专家确定方式：</w:t>
            </w:r>
            <w:r>
              <w:rPr>
                <w:rFonts w:hint="eastAsia" w:ascii="仿宋" w:hAnsi="仿宋" w:eastAsia="仿宋" w:cs="仿宋"/>
                <w:color w:val="auto"/>
                <w:sz w:val="24"/>
                <w:szCs w:val="24"/>
                <w:highlight w:val="none"/>
                <w:u w:val="single"/>
                <w:lang w:val="en-US" w:eastAsia="zh-CN"/>
              </w:rPr>
              <w:t xml:space="preserve"> 随机抽取</w:t>
            </w:r>
          </w:p>
          <w:p w14:paraId="4949D552">
            <w:pPr>
              <w:keepNext w:val="0"/>
              <w:keepLines w:val="0"/>
              <w:pageBreakBefore w:val="0"/>
              <w:widowControl w:val="0"/>
              <w:numPr>
                <w:ilvl w:val="0"/>
                <w:numId w:val="3"/>
              </w:numPr>
              <w:kinsoku/>
              <w:wordWrap/>
              <w:overflowPunct/>
              <w:topLinePunct w:val="0"/>
              <w:bidi w:val="0"/>
              <w:spacing w:line="360" w:lineRule="exact"/>
              <w:ind w:firstLine="0" w:firstLineChars="0"/>
              <w:jc w:val="left"/>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rPr>
              <w:t>评审专家分类：</w:t>
            </w:r>
            <w:r>
              <w:rPr>
                <w:rFonts w:hint="eastAsia" w:ascii="仿宋" w:hAnsi="仿宋" w:eastAsia="仿宋" w:cs="仿宋"/>
                <w:color w:val="auto"/>
                <w:sz w:val="24"/>
                <w:szCs w:val="24"/>
                <w:highlight w:val="none"/>
                <w:lang w:val="en-US" w:eastAsia="zh-CN"/>
              </w:rPr>
              <w:t>包括但不限于</w:t>
            </w:r>
            <w:r>
              <w:rPr>
                <w:rFonts w:hint="eastAsia" w:ascii="仿宋" w:hAnsi="仿宋" w:eastAsia="仿宋" w:cs="仿宋"/>
                <w:color w:val="auto"/>
                <w:sz w:val="24"/>
                <w:szCs w:val="24"/>
                <w:highlight w:val="none"/>
                <w:u w:val="single"/>
                <w:lang w:val="en-US" w:eastAsia="zh-CN"/>
              </w:rPr>
              <w:t>市政公用</w:t>
            </w:r>
            <w:r>
              <w:rPr>
                <w:rFonts w:hint="eastAsia" w:ascii="仿宋" w:hAnsi="仿宋" w:eastAsia="仿宋" w:cs="仿宋"/>
                <w:color w:val="auto"/>
                <w:sz w:val="24"/>
                <w:szCs w:val="24"/>
                <w:highlight w:val="none"/>
                <w:u w:val="single"/>
                <w:lang w:eastAsia="zh-CN"/>
              </w:rPr>
              <w:t>工程</w:t>
            </w:r>
          </w:p>
        </w:tc>
      </w:tr>
      <w:tr w14:paraId="23E8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66" w:hRule="atLeast"/>
          <w:jc w:val="center"/>
        </w:trPr>
        <w:tc>
          <w:tcPr>
            <w:tcW w:w="879" w:type="dxa"/>
            <w:shd w:val="clear" w:color="auto" w:fill="auto"/>
            <w:vAlign w:val="center"/>
          </w:tcPr>
          <w:p w14:paraId="33253F63">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8" w:leftChars="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22</w:t>
            </w:r>
          </w:p>
        </w:tc>
        <w:tc>
          <w:tcPr>
            <w:tcW w:w="1250" w:type="dxa"/>
            <w:shd w:val="clear" w:color="auto" w:fill="auto"/>
            <w:vAlign w:val="center"/>
          </w:tcPr>
          <w:p w14:paraId="7D766857">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仿宋" w:hAnsi="仿宋" w:eastAsia="仿宋" w:cs="仿宋"/>
                <w:color w:val="auto"/>
                <w:sz w:val="24"/>
                <w:szCs w:val="24"/>
                <w:highlight w:val="none"/>
                <w:lang w:val="en-US" w:eastAsia="zh-CN"/>
              </w:rPr>
            </w:pPr>
          </w:p>
          <w:p w14:paraId="00180B2D">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响应文件份数</w:t>
            </w:r>
          </w:p>
        </w:tc>
        <w:tc>
          <w:tcPr>
            <w:tcW w:w="7290" w:type="dxa"/>
            <w:shd w:val="clear" w:color="auto" w:fill="auto"/>
            <w:vAlign w:val="center"/>
          </w:tcPr>
          <w:p w14:paraId="1E51196B">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响应文件份数：采用不见面开标：</w:t>
            </w:r>
          </w:p>
          <w:p w14:paraId="3427CFC3">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1．本项目采用不见面开标、供应商需要递交电子响应文件，加密的电子响应文件，在投标截止时间前通过政采云平台（https://www.zcygov.cn/）上传到指定位置。</w:t>
            </w:r>
          </w:p>
          <w:p w14:paraId="03013C7E">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采用远程不见面交易的模式。开标当日，供应商无需到达开标现场，仅需在任意地点通过政采云平台（https://www.zcygov.cn/）完成远程解密、提疑澄清、开标唱标、结果公布等交互环节。供应商必须使用能正确解密响应文件的“CA锁”在规定的时间内完成远程解密，因供应商原因未能解密、解密失败或解密超时，视为供应商撤销其响应文件，系统内响应文件将被退回；因采购人原因或网上招投标平台发生故障，导致无法按时完成响应文件解密或开、评标工作无法进行的，可根据实际情况相应延迟解密时间或调整开、评标时间（友情提示：若供应商已领取副锁（含多把副锁）请注意正副锁的使用差别，务必使用生成响应文件的那把锁解密）。</w:t>
            </w:r>
          </w:p>
          <w:p w14:paraId="306298CE">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3.远程开标前，供应商务必在政采云平台（https://www.zcygov.cn/）响应文件上传模块中使用“模拟解密”功能，验证本机远程自助解密环境。</w:t>
            </w:r>
          </w:p>
          <w:p w14:paraId="3597467D">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4.本项目需进行二次报价，开标时请保持电话畅通。因通讯原因造成投标单位未及时报价的，由供应商自行承担责任。</w:t>
            </w:r>
          </w:p>
          <w:p w14:paraId="775BC1BD">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注意事项：开标结束后成交单位须按照此磋商文件格式要求提供纸质版响应文件两份（一正一副），递交至新疆昌盛方略项目管理有限公司（新疆昌吉回族自治州昌吉市南公园西路融投小镇1号楼A座</w:t>
            </w:r>
          </w:p>
          <w:p w14:paraId="1BBC2418">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14层（昌吉州国投大厦1幢14楼1419））</w:t>
            </w:r>
          </w:p>
          <w:p w14:paraId="7F72E942">
            <w:pPr>
              <w:keepNext w:val="0"/>
              <w:keepLines w:val="0"/>
              <w:pageBreakBefore w:val="0"/>
              <w:widowControl w:val="0"/>
              <w:kinsoku/>
              <w:wordWrap/>
              <w:overflowPunct/>
              <w:topLinePunct w:val="0"/>
              <w:bidi w:val="0"/>
              <w:adjustRightInd w:val="0"/>
              <w:snapToGrid w:val="0"/>
              <w:spacing w:line="360" w:lineRule="exact"/>
              <w:ind w:firstLine="0" w:firstLineChars="0"/>
              <w:jc w:val="left"/>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装订形式：不得采用活页、拉杆等形式，必须采用胶装</w:t>
            </w:r>
          </w:p>
        </w:tc>
      </w:tr>
      <w:tr w14:paraId="10A8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5" w:hRule="atLeast"/>
          <w:jc w:val="center"/>
        </w:trPr>
        <w:tc>
          <w:tcPr>
            <w:tcW w:w="879" w:type="dxa"/>
            <w:shd w:val="clear" w:color="auto" w:fill="auto"/>
            <w:vAlign w:val="center"/>
          </w:tcPr>
          <w:p w14:paraId="44A380C3">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8" w:leftChars="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23</w:t>
            </w:r>
          </w:p>
        </w:tc>
        <w:tc>
          <w:tcPr>
            <w:tcW w:w="1250" w:type="dxa"/>
            <w:shd w:val="clear" w:color="auto" w:fill="auto"/>
            <w:vAlign w:val="center"/>
          </w:tcPr>
          <w:p w14:paraId="6C8E83D2">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pacing w:val="-6"/>
                <w:sz w:val="24"/>
                <w:szCs w:val="24"/>
                <w:highlight w:val="none"/>
              </w:rPr>
              <w:t>质疑</w:t>
            </w:r>
          </w:p>
        </w:tc>
        <w:tc>
          <w:tcPr>
            <w:tcW w:w="7290" w:type="dxa"/>
            <w:shd w:val="clear" w:color="auto" w:fill="auto"/>
            <w:vAlign w:val="center"/>
          </w:tcPr>
          <w:p w14:paraId="0E40A808">
            <w:pPr>
              <w:pStyle w:val="25"/>
              <w:keepNext w:val="0"/>
              <w:keepLines w:val="0"/>
              <w:pageBreakBefore w:val="0"/>
              <w:widowControl/>
              <w:kinsoku w:val="0"/>
              <w:wordWrap/>
              <w:overflowPunct/>
              <w:topLinePunct w:val="0"/>
              <w:autoSpaceDE w:val="0"/>
              <w:autoSpaceDN w:val="0"/>
              <w:bidi w:val="0"/>
              <w:adjustRightInd w:val="0"/>
              <w:snapToGrid w:val="0"/>
              <w:spacing w:before="118" w:line="360" w:lineRule="exact"/>
              <w:ind w:right="7"/>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1.递交方式</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1）对</w:t>
            </w:r>
            <w:r>
              <w:rPr>
                <w:rFonts w:hint="eastAsia" w:ascii="仿宋" w:hAnsi="仿宋" w:eastAsia="仿宋" w:cs="仿宋"/>
                <w:color w:val="auto"/>
                <w:spacing w:val="3"/>
                <w:sz w:val="24"/>
                <w:szCs w:val="24"/>
                <w:highlight w:val="none"/>
              </w:rPr>
              <w:t>采购文</w:t>
            </w:r>
            <w:r>
              <w:rPr>
                <w:rFonts w:hint="eastAsia" w:ascii="仿宋" w:hAnsi="仿宋" w:eastAsia="仿宋" w:cs="仿宋"/>
                <w:color w:val="auto"/>
                <w:spacing w:val="-1"/>
                <w:sz w:val="24"/>
                <w:szCs w:val="24"/>
                <w:highlight w:val="none"/>
              </w:rPr>
              <w:t>件提出质疑的，应当在获取采购文</w:t>
            </w:r>
            <w:r>
              <w:rPr>
                <w:rFonts w:hint="eastAsia" w:ascii="仿宋" w:hAnsi="仿宋" w:eastAsia="仿宋" w:cs="仿宋"/>
                <w:color w:val="auto"/>
                <w:spacing w:val="3"/>
                <w:sz w:val="24"/>
                <w:szCs w:val="24"/>
                <w:highlight w:val="none"/>
              </w:rPr>
              <w:t>件或者采购文件公告期限届满之日起7个工作日内提出，</w:t>
            </w:r>
            <w:r>
              <w:rPr>
                <w:rFonts w:hint="eastAsia" w:ascii="仿宋" w:hAnsi="仿宋" w:eastAsia="仿宋" w:cs="仿宋"/>
                <w:color w:val="auto"/>
                <w:spacing w:val="2"/>
                <w:sz w:val="24"/>
                <w:szCs w:val="24"/>
                <w:highlight w:val="none"/>
              </w:rPr>
              <w:t>供应</w:t>
            </w:r>
            <w:r>
              <w:rPr>
                <w:rFonts w:hint="eastAsia" w:ascii="仿宋" w:hAnsi="仿宋" w:eastAsia="仿宋" w:cs="仿宋"/>
                <w:color w:val="auto"/>
                <w:spacing w:val="-6"/>
                <w:sz w:val="24"/>
                <w:szCs w:val="24"/>
                <w:highlight w:val="none"/>
              </w:rPr>
              <w:t>商应在法定质疑期内一次性提出所有质疑事项。（2）质疑函应</w:t>
            </w:r>
            <w:r>
              <w:rPr>
                <w:rFonts w:hint="eastAsia" w:ascii="仿宋" w:hAnsi="仿宋" w:eastAsia="仿宋" w:cs="仿宋"/>
                <w:color w:val="auto"/>
                <w:spacing w:val="-2"/>
                <w:sz w:val="24"/>
                <w:szCs w:val="24"/>
                <w:highlight w:val="none"/>
              </w:rPr>
              <w:t>以书面形式(按照财政部94号令要求)通知采购代理机构。采购</w:t>
            </w:r>
            <w:r>
              <w:rPr>
                <w:rFonts w:hint="eastAsia" w:ascii="仿宋" w:hAnsi="仿宋" w:eastAsia="仿宋" w:cs="仿宋"/>
                <w:color w:val="auto"/>
                <w:spacing w:val="3"/>
                <w:sz w:val="24"/>
                <w:szCs w:val="24"/>
                <w:highlight w:val="none"/>
              </w:rPr>
              <w:t>代理机构将在收到质疑函后7个工作日内作出答复</w:t>
            </w:r>
            <w:r>
              <w:rPr>
                <w:rFonts w:hint="eastAsia" w:ascii="仿宋" w:hAnsi="仿宋" w:eastAsia="仿宋" w:cs="仿宋"/>
                <w:color w:val="auto"/>
                <w:spacing w:val="2"/>
                <w:sz w:val="24"/>
                <w:szCs w:val="24"/>
                <w:highlight w:val="none"/>
              </w:rPr>
              <w:t>，并以书面</w:t>
            </w:r>
            <w:r>
              <w:rPr>
                <w:rFonts w:hint="eastAsia" w:ascii="仿宋" w:hAnsi="仿宋" w:eastAsia="仿宋" w:cs="仿宋"/>
                <w:color w:val="auto"/>
                <w:spacing w:val="-2"/>
                <w:sz w:val="24"/>
                <w:szCs w:val="24"/>
                <w:highlight w:val="none"/>
              </w:rPr>
              <w:t>形式通知质疑供应商。（注：供应商在法定质疑期内必须一次</w:t>
            </w:r>
            <w:r>
              <w:rPr>
                <w:rFonts w:hint="eastAsia" w:ascii="仿宋" w:hAnsi="仿宋" w:eastAsia="仿宋" w:cs="仿宋"/>
                <w:color w:val="auto"/>
                <w:spacing w:val="-1"/>
                <w:sz w:val="24"/>
                <w:szCs w:val="24"/>
                <w:highlight w:val="none"/>
              </w:rPr>
              <w:t>性提出针对同一采购程序环节的质疑）</w:t>
            </w:r>
          </w:p>
          <w:p w14:paraId="4E711DF9">
            <w:pPr>
              <w:pStyle w:val="25"/>
              <w:keepNext w:val="0"/>
              <w:keepLines w:val="0"/>
              <w:pageBreakBefore w:val="0"/>
              <w:widowControl/>
              <w:kinsoku w:val="0"/>
              <w:wordWrap/>
              <w:overflowPunct/>
              <w:topLinePunct w:val="0"/>
              <w:autoSpaceDE w:val="0"/>
              <w:autoSpaceDN w:val="0"/>
              <w:bidi w:val="0"/>
              <w:adjustRightInd w:val="0"/>
              <w:snapToGrid w:val="0"/>
              <w:spacing w:before="28" w:line="360" w:lineRule="exact"/>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2.接收部门：</w:t>
            </w:r>
            <w:r>
              <w:rPr>
                <w:rFonts w:hint="eastAsia" w:ascii="仿宋" w:hAnsi="仿宋" w:eastAsia="仿宋" w:cs="仿宋"/>
                <w:color w:val="auto"/>
                <w:spacing w:val="-1"/>
                <w:sz w:val="24"/>
                <w:szCs w:val="24"/>
                <w:highlight w:val="none"/>
                <w:lang w:eastAsia="zh-CN"/>
              </w:rPr>
              <w:t>新疆昌盛方略项目管理有限公司</w:t>
            </w:r>
            <w:r>
              <w:rPr>
                <w:rFonts w:hint="eastAsia" w:ascii="仿宋" w:hAnsi="仿宋" w:eastAsia="仿宋" w:cs="仿宋"/>
                <w:color w:val="auto"/>
                <w:spacing w:val="-1"/>
                <w:sz w:val="24"/>
                <w:szCs w:val="24"/>
                <w:highlight w:val="none"/>
              </w:rPr>
              <w:t>。</w:t>
            </w:r>
          </w:p>
          <w:p w14:paraId="73F529B3">
            <w:pPr>
              <w:pStyle w:val="25"/>
              <w:keepNext w:val="0"/>
              <w:keepLines w:val="0"/>
              <w:pageBreakBefore w:val="0"/>
              <w:widowControl/>
              <w:kinsoku w:val="0"/>
              <w:wordWrap/>
              <w:overflowPunct/>
              <w:topLinePunct w:val="0"/>
              <w:autoSpaceDE w:val="0"/>
              <w:autoSpaceDN w:val="0"/>
              <w:bidi w:val="0"/>
              <w:adjustRightInd w:val="0"/>
              <w:snapToGrid w:val="0"/>
              <w:spacing w:before="27" w:line="360" w:lineRule="exact"/>
              <w:jc w:val="left"/>
              <w:textAlignment w:val="baseline"/>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rPr>
              <w:t>3.联系电话：</w:t>
            </w:r>
            <w:r>
              <w:rPr>
                <w:rFonts w:hint="eastAsia" w:ascii="仿宋" w:hAnsi="仿宋" w:eastAsia="仿宋" w:cs="仿宋"/>
                <w:color w:val="auto"/>
                <w:spacing w:val="-1"/>
                <w:sz w:val="24"/>
                <w:szCs w:val="24"/>
                <w:highlight w:val="none"/>
                <w:lang w:val="en-US" w:eastAsia="zh-CN"/>
              </w:rPr>
              <w:t>0994-8165002、18699479057</w:t>
            </w:r>
          </w:p>
          <w:p w14:paraId="53977E42">
            <w:pPr>
              <w:pStyle w:val="25"/>
              <w:keepNext w:val="0"/>
              <w:keepLines w:val="0"/>
              <w:pageBreakBefore w:val="0"/>
              <w:widowControl/>
              <w:kinsoku w:val="0"/>
              <w:wordWrap/>
              <w:overflowPunct/>
              <w:topLinePunct w:val="0"/>
              <w:autoSpaceDE w:val="0"/>
              <w:autoSpaceDN w:val="0"/>
              <w:bidi w:val="0"/>
              <w:adjustRightInd w:val="0"/>
              <w:snapToGrid w:val="0"/>
              <w:spacing w:before="24" w:line="360" w:lineRule="exact"/>
              <w:jc w:val="left"/>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4.通讯地址：新疆昌吉回族自治州昌吉市南公园西路融投小镇1号楼A座14层（昌吉州国投大厦1幢14楼1419）</w:t>
            </w:r>
          </w:p>
          <w:p w14:paraId="020BACD3">
            <w:pPr>
              <w:pStyle w:val="25"/>
              <w:keepNext w:val="0"/>
              <w:keepLines w:val="0"/>
              <w:pageBreakBefore w:val="0"/>
              <w:widowControl/>
              <w:kinsoku w:val="0"/>
              <w:wordWrap/>
              <w:overflowPunct/>
              <w:topLinePunct w:val="0"/>
              <w:autoSpaceDE w:val="0"/>
              <w:autoSpaceDN w:val="0"/>
              <w:bidi w:val="0"/>
              <w:adjustRightInd w:val="0"/>
              <w:snapToGrid w:val="0"/>
              <w:spacing w:before="24" w:line="360" w:lineRule="exact"/>
              <w:jc w:val="left"/>
              <w:textAlignment w:val="baseline"/>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5.邮箱：1024878179@qq.com</w:t>
            </w:r>
          </w:p>
        </w:tc>
      </w:tr>
      <w:tr w14:paraId="6678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24" w:hRule="atLeast"/>
          <w:jc w:val="center"/>
        </w:trPr>
        <w:tc>
          <w:tcPr>
            <w:tcW w:w="879" w:type="dxa"/>
            <w:shd w:val="clear" w:color="auto" w:fill="auto"/>
            <w:vAlign w:val="center"/>
          </w:tcPr>
          <w:p w14:paraId="021806E8">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8" w:leftChars="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24</w:t>
            </w:r>
          </w:p>
        </w:tc>
        <w:tc>
          <w:tcPr>
            <w:tcW w:w="1250" w:type="dxa"/>
            <w:shd w:val="clear" w:color="auto" w:fill="auto"/>
            <w:vAlign w:val="center"/>
          </w:tcPr>
          <w:p w14:paraId="5599C829">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right="144" w:rightChars="0"/>
              <w:jc w:val="center"/>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pacing w:val="-2"/>
                <w:sz w:val="24"/>
                <w:szCs w:val="24"/>
              </w:rPr>
              <w:t>采购代理服务费收取方式和</w:t>
            </w:r>
            <w:r>
              <w:rPr>
                <w:rFonts w:hint="eastAsia" w:ascii="仿宋" w:hAnsi="仿宋" w:eastAsia="仿宋" w:cs="仿宋"/>
                <w:color w:val="auto"/>
                <w:spacing w:val="-6"/>
                <w:sz w:val="24"/>
                <w:szCs w:val="24"/>
              </w:rPr>
              <w:t>标准</w:t>
            </w:r>
          </w:p>
        </w:tc>
        <w:tc>
          <w:tcPr>
            <w:tcW w:w="7290" w:type="dxa"/>
            <w:shd w:val="clear" w:color="auto" w:fill="auto"/>
            <w:vAlign w:val="center"/>
          </w:tcPr>
          <w:p w14:paraId="21961B72">
            <w:pPr>
              <w:pStyle w:val="25"/>
              <w:keepNext w:val="0"/>
              <w:keepLines w:val="0"/>
              <w:pageBreakBefore w:val="0"/>
              <w:widowControl/>
              <w:tabs>
                <w:tab w:val="left" w:pos="267"/>
              </w:tabs>
              <w:kinsoku w:val="0"/>
              <w:wordWrap/>
              <w:overflowPunct/>
              <w:topLinePunct w:val="0"/>
              <w:autoSpaceDE w:val="0"/>
              <w:autoSpaceDN w:val="0"/>
              <w:bidi w:val="0"/>
              <w:adjustRightInd w:val="0"/>
              <w:snapToGrid w:val="0"/>
              <w:spacing w:before="27" w:line="360" w:lineRule="exact"/>
              <w:ind w:right="95" w:rightChars="0"/>
              <w:jc w:val="left"/>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4"/>
                <w:sz w:val="24"/>
                <w:szCs w:val="24"/>
                <w:lang w:val="en-US" w:eastAsia="en-US"/>
              </w:rPr>
              <w:t>招标代理服务费：</w:t>
            </w:r>
            <w:r>
              <w:rPr>
                <w:rFonts w:hint="eastAsia" w:ascii="仿宋" w:hAnsi="仿宋" w:eastAsia="仿宋" w:cs="仿宋"/>
                <w:color w:val="auto"/>
                <w:highlight w:val="none"/>
                <w:lang w:val="en-US" w:eastAsia="zh-CN"/>
              </w:rPr>
              <w:t>参照</w:t>
            </w:r>
            <w:r>
              <w:rPr>
                <w:rFonts w:hint="eastAsia" w:ascii="仿宋" w:hAnsi="仿宋" w:eastAsia="仿宋" w:cs="仿宋"/>
                <w:color w:val="auto"/>
                <w:highlight w:val="none"/>
                <w:lang w:eastAsia="zh-CN"/>
              </w:rPr>
              <w:t>“计价格〔2002〕1980号”、“发改价格〔2011〕534号”文件所列的“工程类”收费标准按差额累进方式计算后</w:t>
            </w:r>
            <w:r>
              <w:rPr>
                <w:rFonts w:hint="eastAsia" w:ascii="仿宋" w:hAnsi="仿宋" w:eastAsia="仿宋" w:cs="仿宋"/>
                <w:color w:val="auto"/>
                <w:highlight w:val="none"/>
                <w:lang w:val="en-US" w:eastAsia="zh-CN"/>
              </w:rPr>
              <w:t>下浮50</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向成交人收取</w:t>
            </w:r>
            <w:r>
              <w:rPr>
                <w:rFonts w:hint="eastAsia" w:ascii="仿宋" w:hAnsi="仿宋" w:eastAsia="仿宋" w:cs="仿宋"/>
                <w:color w:val="auto"/>
                <w:highlight w:val="none"/>
                <w:lang w:eastAsia="zh-CN"/>
              </w:rPr>
              <w:t>。</w:t>
            </w:r>
          </w:p>
          <w:p w14:paraId="28DB562D">
            <w:pPr>
              <w:pStyle w:val="25"/>
              <w:keepNext w:val="0"/>
              <w:keepLines w:val="0"/>
              <w:pageBreakBefore w:val="0"/>
              <w:widowControl/>
              <w:tabs>
                <w:tab w:val="left" w:pos="267"/>
              </w:tabs>
              <w:kinsoku w:val="0"/>
              <w:wordWrap/>
              <w:overflowPunct/>
              <w:topLinePunct w:val="0"/>
              <w:autoSpaceDE w:val="0"/>
              <w:autoSpaceDN w:val="0"/>
              <w:bidi w:val="0"/>
              <w:adjustRightInd w:val="0"/>
              <w:snapToGrid w:val="0"/>
              <w:spacing w:before="27" w:line="360" w:lineRule="exact"/>
              <w:ind w:right="95" w:rightChars="0"/>
              <w:jc w:val="left"/>
              <w:textAlignment w:val="baseline"/>
              <w:rPr>
                <w:rFonts w:hint="eastAsia" w:ascii="仿宋" w:hAnsi="仿宋" w:eastAsia="仿宋" w:cs="仿宋"/>
                <w:color w:val="auto"/>
                <w:spacing w:val="-4"/>
                <w:sz w:val="24"/>
                <w:szCs w:val="24"/>
                <w:lang w:val="en-US" w:eastAsia="en-US"/>
              </w:rPr>
            </w:pPr>
            <w:r>
              <w:rPr>
                <w:rFonts w:hint="eastAsia" w:ascii="仿宋" w:hAnsi="仿宋" w:eastAsia="仿宋" w:cs="仿宋"/>
                <w:color w:val="auto"/>
                <w:spacing w:val="-4"/>
                <w:sz w:val="24"/>
                <w:szCs w:val="24"/>
                <w:lang w:val="en-US" w:eastAsia="en-US"/>
              </w:rPr>
              <w:t>招标代理服务费的交纳方式：在领取</w:t>
            </w:r>
            <w:r>
              <w:rPr>
                <w:rFonts w:hint="eastAsia" w:ascii="仿宋" w:hAnsi="仿宋" w:eastAsia="仿宋" w:cs="仿宋"/>
                <w:color w:val="auto"/>
                <w:spacing w:val="-4"/>
                <w:sz w:val="24"/>
                <w:szCs w:val="24"/>
                <w:lang w:val="en-US" w:eastAsia="zh-CN"/>
              </w:rPr>
              <w:t>成交</w:t>
            </w:r>
            <w:r>
              <w:rPr>
                <w:rFonts w:hint="eastAsia" w:ascii="仿宋" w:hAnsi="仿宋" w:eastAsia="仿宋" w:cs="仿宋"/>
                <w:color w:val="auto"/>
                <w:spacing w:val="-4"/>
                <w:sz w:val="24"/>
                <w:szCs w:val="24"/>
                <w:lang w:val="en-US" w:eastAsia="en-US"/>
              </w:rPr>
              <w:t>通知书前向招标代理机构交纳服务费，可用电汇、现金等形式一次缴清。</w:t>
            </w:r>
          </w:p>
          <w:p w14:paraId="6ED8A03E">
            <w:pPr>
              <w:pStyle w:val="25"/>
              <w:keepNext w:val="0"/>
              <w:keepLines w:val="0"/>
              <w:pageBreakBefore w:val="0"/>
              <w:widowControl/>
              <w:tabs>
                <w:tab w:val="left" w:pos="267"/>
              </w:tabs>
              <w:kinsoku w:val="0"/>
              <w:wordWrap/>
              <w:overflowPunct/>
              <w:topLinePunct w:val="0"/>
              <w:autoSpaceDE w:val="0"/>
              <w:autoSpaceDN w:val="0"/>
              <w:bidi w:val="0"/>
              <w:adjustRightInd w:val="0"/>
              <w:snapToGrid w:val="0"/>
              <w:spacing w:before="27" w:line="360" w:lineRule="exact"/>
              <w:ind w:right="95" w:rightChars="0"/>
              <w:jc w:val="left"/>
              <w:textAlignment w:val="baseline"/>
              <w:rPr>
                <w:rFonts w:hint="eastAsia" w:ascii="仿宋" w:hAnsi="仿宋" w:eastAsia="仿宋" w:cs="仿宋"/>
                <w:color w:val="auto"/>
                <w:spacing w:val="-4"/>
                <w:sz w:val="24"/>
                <w:szCs w:val="24"/>
                <w:lang w:val="en-US" w:eastAsia="en-US"/>
              </w:rPr>
            </w:pPr>
            <w:r>
              <w:rPr>
                <w:rFonts w:hint="eastAsia" w:ascii="仿宋" w:hAnsi="仿宋" w:eastAsia="仿宋" w:cs="仿宋"/>
                <w:color w:val="auto"/>
                <w:spacing w:val="-4"/>
                <w:sz w:val="24"/>
                <w:szCs w:val="24"/>
                <w:lang w:val="en-US" w:eastAsia="en-US"/>
              </w:rPr>
              <w:t>缴纳招标代理服务费账号：</w:t>
            </w:r>
          </w:p>
          <w:p w14:paraId="1A96782F">
            <w:pPr>
              <w:pStyle w:val="25"/>
              <w:keepNext w:val="0"/>
              <w:keepLines w:val="0"/>
              <w:pageBreakBefore w:val="0"/>
              <w:widowControl/>
              <w:tabs>
                <w:tab w:val="left" w:pos="267"/>
              </w:tabs>
              <w:kinsoku w:val="0"/>
              <w:wordWrap/>
              <w:overflowPunct/>
              <w:topLinePunct w:val="0"/>
              <w:autoSpaceDE w:val="0"/>
              <w:autoSpaceDN w:val="0"/>
              <w:bidi w:val="0"/>
              <w:adjustRightInd w:val="0"/>
              <w:snapToGrid w:val="0"/>
              <w:spacing w:before="27" w:line="360" w:lineRule="exact"/>
              <w:ind w:right="95" w:rightChars="0"/>
              <w:jc w:val="left"/>
              <w:textAlignment w:val="baseline"/>
              <w:rPr>
                <w:rFonts w:hint="eastAsia" w:ascii="仿宋" w:hAnsi="仿宋" w:eastAsia="仿宋" w:cs="仿宋"/>
                <w:color w:val="auto"/>
                <w:spacing w:val="-4"/>
                <w:sz w:val="24"/>
                <w:szCs w:val="24"/>
                <w:lang w:val="en-US" w:eastAsia="en-US"/>
              </w:rPr>
            </w:pPr>
            <w:r>
              <w:rPr>
                <w:rFonts w:hint="eastAsia" w:ascii="仿宋" w:hAnsi="仿宋" w:eastAsia="仿宋" w:cs="仿宋"/>
                <w:color w:val="auto"/>
                <w:spacing w:val="-4"/>
                <w:sz w:val="24"/>
                <w:szCs w:val="24"/>
                <w:lang w:val="en-US" w:eastAsia="en-US"/>
              </w:rPr>
              <w:t>账户名称：新疆昌盛方略项目管理有限公司</w:t>
            </w:r>
          </w:p>
          <w:p w14:paraId="40F60FB3">
            <w:pPr>
              <w:pStyle w:val="25"/>
              <w:keepNext w:val="0"/>
              <w:keepLines w:val="0"/>
              <w:pageBreakBefore w:val="0"/>
              <w:widowControl/>
              <w:tabs>
                <w:tab w:val="left" w:pos="267"/>
              </w:tabs>
              <w:kinsoku w:val="0"/>
              <w:wordWrap/>
              <w:overflowPunct/>
              <w:topLinePunct w:val="0"/>
              <w:autoSpaceDE w:val="0"/>
              <w:autoSpaceDN w:val="0"/>
              <w:bidi w:val="0"/>
              <w:adjustRightInd w:val="0"/>
              <w:snapToGrid w:val="0"/>
              <w:spacing w:before="27" w:line="360" w:lineRule="exact"/>
              <w:ind w:right="95" w:rightChars="0"/>
              <w:jc w:val="left"/>
              <w:textAlignment w:val="baseline"/>
              <w:rPr>
                <w:rFonts w:hint="eastAsia" w:ascii="仿宋" w:hAnsi="仿宋" w:eastAsia="仿宋" w:cs="仿宋"/>
                <w:color w:val="auto"/>
                <w:spacing w:val="-4"/>
                <w:sz w:val="24"/>
                <w:szCs w:val="24"/>
                <w:lang w:val="en-US" w:eastAsia="en-US"/>
              </w:rPr>
            </w:pPr>
            <w:r>
              <w:rPr>
                <w:rFonts w:hint="eastAsia" w:ascii="仿宋" w:hAnsi="仿宋" w:eastAsia="仿宋" w:cs="仿宋"/>
                <w:color w:val="auto"/>
                <w:spacing w:val="-4"/>
                <w:sz w:val="24"/>
                <w:szCs w:val="24"/>
                <w:lang w:val="en-US" w:eastAsia="en-US"/>
              </w:rPr>
              <w:t>开 户 行：新疆昌吉农村商业银行股份有限公司天山北路支行</w:t>
            </w:r>
          </w:p>
          <w:p w14:paraId="22774034">
            <w:pPr>
              <w:pStyle w:val="25"/>
              <w:keepNext w:val="0"/>
              <w:keepLines w:val="0"/>
              <w:pageBreakBefore w:val="0"/>
              <w:widowControl/>
              <w:tabs>
                <w:tab w:val="left" w:pos="267"/>
              </w:tabs>
              <w:kinsoku w:val="0"/>
              <w:wordWrap/>
              <w:overflowPunct/>
              <w:topLinePunct w:val="0"/>
              <w:autoSpaceDE w:val="0"/>
              <w:autoSpaceDN w:val="0"/>
              <w:bidi w:val="0"/>
              <w:adjustRightInd w:val="0"/>
              <w:snapToGrid w:val="0"/>
              <w:spacing w:before="27" w:line="360" w:lineRule="exact"/>
              <w:ind w:right="95" w:rightChars="0"/>
              <w:jc w:val="left"/>
              <w:textAlignment w:val="baseline"/>
              <w:rPr>
                <w:rFonts w:hint="eastAsia" w:ascii="仿宋" w:hAnsi="仿宋" w:eastAsia="仿宋" w:cs="仿宋"/>
                <w:color w:val="auto"/>
                <w:spacing w:val="-4"/>
                <w:sz w:val="24"/>
                <w:szCs w:val="24"/>
                <w:lang w:val="en-US" w:eastAsia="en-US"/>
              </w:rPr>
            </w:pPr>
            <w:r>
              <w:rPr>
                <w:rFonts w:hint="eastAsia" w:ascii="仿宋" w:hAnsi="仿宋" w:eastAsia="仿宋" w:cs="仿宋"/>
                <w:color w:val="auto"/>
                <w:spacing w:val="-4"/>
                <w:sz w:val="24"/>
                <w:szCs w:val="24"/>
                <w:lang w:val="en-US" w:eastAsia="en-US"/>
              </w:rPr>
              <w:t>账    号：806010012010110433857</w:t>
            </w:r>
          </w:p>
          <w:p w14:paraId="31CCB77E">
            <w:pPr>
              <w:pStyle w:val="25"/>
              <w:keepNext w:val="0"/>
              <w:keepLines w:val="0"/>
              <w:pageBreakBefore w:val="0"/>
              <w:widowControl/>
              <w:tabs>
                <w:tab w:val="left" w:pos="267"/>
              </w:tabs>
              <w:kinsoku w:val="0"/>
              <w:wordWrap/>
              <w:overflowPunct/>
              <w:topLinePunct w:val="0"/>
              <w:autoSpaceDE w:val="0"/>
              <w:autoSpaceDN w:val="0"/>
              <w:bidi w:val="0"/>
              <w:adjustRightInd w:val="0"/>
              <w:snapToGrid w:val="0"/>
              <w:spacing w:before="27" w:line="360" w:lineRule="exact"/>
              <w:ind w:right="95" w:rightChars="0"/>
              <w:jc w:val="left"/>
              <w:textAlignment w:val="baseline"/>
              <w:rPr>
                <w:rFonts w:hint="eastAsia" w:ascii="仿宋" w:hAnsi="仿宋" w:eastAsia="仿宋" w:cs="仿宋"/>
                <w:color w:val="auto"/>
                <w:spacing w:val="-4"/>
                <w:sz w:val="24"/>
                <w:szCs w:val="24"/>
                <w:lang w:val="en-US" w:eastAsia="en-US"/>
              </w:rPr>
            </w:pPr>
            <w:r>
              <w:rPr>
                <w:rFonts w:hint="eastAsia" w:ascii="仿宋" w:hAnsi="仿宋" w:eastAsia="仿宋" w:cs="仿宋"/>
                <w:color w:val="auto"/>
                <w:spacing w:val="-4"/>
                <w:sz w:val="24"/>
                <w:szCs w:val="24"/>
                <w:lang w:val="en-US" w:eastAsia="en-US"/>
              </w:rPr>
              <w:t>行    号：402885000459</w:t>
            </w:r>
          </w:p>
          <w:p w14:paraId="04565508">
            <w:pPr>
              <w:pStyle w:val="25"/>
              <w:keepNext w:val="0"/>
              <w:keepLines w:val="0"/>
              <w:pageBreakBefore w:val="0"/>
              <w:widowControl/>
              <w:tabs>
                <w:tab w:val="left" w:pos="267"/>
              </w:tabs>
              <w:kinsoku w:val="0"/>
              <w:wordWrap/>
              <w:overflowPunct/>
              <w:topLinePunct w:val="0"/>
              <w:autoSpaceDE w:val="0"/>
              <w:autoSpaceDN w:val="0"/>
              <w:bidi w:val="0"/>
              <w:adjustRightInd w:val="0"/>
              <w:snapToGrid w:val="0"/>
              <w:spacing w:before="27" w:line="360" w:lineRule="exact"/>
              <w:ind w:right="95" w:rightChars="0"/>
              <w:jc w:val="left"/>
              <w:textAlignment w:val="baseline"/>
              <w:rPr>
                <w:rFonts w:hint="eastAsia" w:ascii="仿宋" w:hAnsi="仿宋" w:eastAsia="仿宋" w:cs="仿宋"/>
                <w:color w:val="auto"/>
                <w:spacing w:val="-4"/>
                <w:sz w:val="24"/>
                <w:szCs w:val="24"/>
                <w:lang w:val="en-US" w:eastAsia="en-US"/>
              </w:rPr>
            </w:pPr>
            <w:r>
              <w:rPr>
                <w:rFonts w:hint="eastAsia" w:ascii="仿宋" w:hAnsi="仿宋" w:eastAsia="仿宋" w:cs="仿宋"/>
                <w:color w:val="auto"/>
                <w:spacing w:val="-4"/>
                <w:sz w:val="24"/>
                <w:szCs w:val="24"/>
                <w:lang w:val="en-US" w:eastAsia="en-US"/>
              </w:rPr>
              <w:t>打款时请备注（招标编号或项目名称简称+代理费）</w:t>
            </w:r>
          </w:p>
        </w:tc>
      </w:tr>
      <w:tr w14:paraId="6A4E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0" w:hRule="atLeast"/>
          <w:jc w:val="center"/>
        </w:trPr>
        <w:tc>
          <w:tcPr>
            <w:tcW w:w="879" w:type="dxa"/>
            <w:vMerge w:val="restart"/>
            <w:shd w:val="clear" w:color="auto" w:fill="auto"/>
            <w:vAlign w:val="center"/>
          </w:tcPr>
          <w:p w14:paraId="2B8CEAAB">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8" w:leftChars="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25</w:t>
            </w:r>
          </w:p>
        </w:tc>
        <w:tc>
          <w:tcPr>
            <w:tcW w:w="1250" w:type="dxa"/>
            <w:vMerge w:val="restart"/>
            <w:shd w:val="clear" w:color="auto" w:fill="auto"/>
            <w:vAlign w:val="center"/>
          </w:tcPr>
          <w:p w14:paraId="44FC381E">
            <w:pPr>
              <w:pStyle w:val="25"/>
              <w:keepNext w:val="0"/>
              <w:keepLines w:val="0"/>
              <w:pageBreakBefore w:val="0"/>
              <w:widowControl/>
              <w:kinsoku w:val="0"/>
              <w:wordWrap/>
              <w:overflowPunct/>
              <w:topLinePunct w:val="0"/>
              <w:autoSpaceDE w:val="0"/>
              <w:autoSpaceDN w:val="0"/>
              <w:bidi w:val="0"/>
              <w:adjustRightInd w:val="0"/>
              <w:snapToGrid w:val="0"/>
              <w:spacing w:before="1" w:line="360" w:lineRule="exact"/>
              <w:jc w:val="center"/>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highlight w:val="none"/>
              </w:rPr>
              <w:t>中小微企业政策文件</w:t>
            </w:r>
          </w:p>
        </w:tc>
        <w:tc>
          <w:tcPr>
            <w:tcW w:w="7290" w:type="dxa"/>
            <w:shd w:val="clear" w:color="auto" w:fill="auto"/>
            <w:vAlign w:val="center"/>
          </w:tcPr>
          <w:p w14:paraId="71177F63">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z w:val="24"/>
                <w:szCs w:val="24"/>
                <w:highlight w:val="none"/>
                <w:lang w:eastAsia="zh-CN"/>
              </w:rPr>
              <w:t>（1）根据财政部、工业和信息化部关于印发《政府采购促进中小企业发展管理办法》的通知（财库〔2020〕46号）和（财库〔2020〕19号），供应商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tc>
      </w:tr>
      <w:tr w14:paraId="0F1F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4" w:hRule="atLeast"/>
          <w:jc w:val="center"/>
        </w:trPr>
        <w:tc>
          <w:tcPr>
            <w:tcW w:w="879" w:type="dxa"/>
            <w:vMerge w:val="continue"/>
            <w:shd w:val="clear" w:color="auto" w:fill="auto"/>
            <w:vAlign w:val="center"/>
          </w:tcPr>
          <w:p w14:paraId="3BE7C33D">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8" w:leftChars="0"/>
              <w:jc w:val="center"/>
              <w:textAlignment w:val="baseline"/>
              <w:rPr>
                <w:rFonts w:hint="eastAsia" w:ascii="仿宋" w:hAnsi="仿宋" w:eastAsia="仿宋" w:cs="仿宋"/>
                <w:snapToGrid w:val="0"/>
                <w:color w:val="auto"/>
                <w:kern w:val="0"/>
                <w:sz w:val="24"/>
                <w:szCs w:val="24"/>
                <w:lang w:val="en-US" w:eastAsia="zh-CN" w:bidi="ar-SA"/>
              </w:rPr>
            </w:pPr>
          </w:p>
        </w:tc>
        <w:tc>
          <w:tcPr>
            <w:tcW w:w="1250" w:type="dxa"/>
            <w:vMerge w:val="continue"/>
            <w:shd w:val="clear" w:color="auto" w:fill="auto"/>
            <w:vAlign w:val="center"/>
          </w:tcPr>
          <w:p w14:paraId="1CF9423E">
            <w:pPr>
              <w:pStyle w:val="25"/>
              <w:keepNext w:val="0"/>
              <w:keepLines w:val="0"/>
              <w:pageBreakBefore w:val="0"/>
              <w:widowControl/>
              <w:kinsoku w:val="0"/>
              <w:wordWrap/>
              <w:overflowPunct/>
              <w:topLinePunct w:val="0"/>
              <w:autoSpaceDE w:val="0"/>
              <w:autoSpaceDN w:val="0"/>
              <w:bidi w:val="0"/>
              <w:adjustRightInd w:val="0"/>
              <w:snapToGrid w:val="0"/>
              <w:spacing w:before="1" w:line="360" w:lineRule="exact"/>
              <w:jc w:val="center"/>
              <w:textAlignment w:val="baseline"/>
              <w:rPr>
                <w:rFonts w:hint="eastAsia" w:ascii="仿宋" w:hAnsi="仿宋" w:eastAsia="仿宋" w:cs="仿宋"/>
                <w:color w:val="auto"/>
                <w:highlight w:val="none"/>
              </w:rPr>
            </w:pPr>
          </w:p>
        </w:tc>
        <w:tc>
          <w:tcPr>
            <w:tcW w:w="7290" w:type="dxa"/>
            <w:shd w:val="clear" w:color="auto" w:fill="auto"/>
            <w:vAlign w:val="center"/>
          </w:tcPr>
          <w:p w14:paraId="27DFEA04">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z w:val="24"/>
                <w:szCs w:val="24"/>
                <w:highlight w:val="none"/>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w:t>
            </w:r>
            <w:r>
              <w:rPr>
                <w:rFonts w:hint="eastAsia" w:ascii="仿宋" w:hAnsi="仿宋" w:eastAsia="仿宋" w:cs="仿宋"/>
                <w:color w:val="auto"/>
                <w:sz w:val="24"/>
                <w:szCs w:val="24"/>
                <w:highlight w:val="none"/>
              </w:rPr>
              <w:t>监狱企业视同小型、微型企业。</w:t>
            </w:r>
          </w:p>
        </w:tc>
      </w:tr>
      <w:tr w14:paraId="24AA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0" w:hRule="atLeast"/>
          <w:jc w:val="center"/>
        </w:trPr>
        <w:tc>
          <w:tcPr>
            <w:tcW w:w="879" w:type="dxa"/>
            <w:vMerge w:val="continue"/>
            <w:shd w:val="clear" w:color="auto" w:fill="auto"/>
            <w:vAlign w:val="center"/>
          </w:tcPr>
          <w:p w14:paraId="18B69A48">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8" w:leftChars="0"/>
              <w:jc w:val="center"/>
              <w:textAlignment w:val="baseline"/>
              <w:rPr>
                <w:rFonts w:hint="eastAsia" w:ascii="仿宋" w:hAnsi="仿宋" w:eastAsia="仿宋" w:cs="仿宋"/>
                <w:snapToGrid w:val="0"/>
                <w:color w:val="auto"/>
                <w:kern w:val="0"/>
                <w:sz w:val="24"/>
                <w:szCs w:val="24"/>
                <w:lang w:val="en-US" w:eastAsia="zh-CN" w:bidi="ar-SA"/>
              </w:rPr>
            </w:pPr>
          </w:p>
        </w:tc>
        <w:tc>
          <w:tcPr>
            <w:tcW w:w="1250" w:type="dxa"/>
            <w:vMerge w:val="continue"/>
            <w:shd w:val="clear" w:color="auto" w:fill="auto"/>
            <w:vAlign w:val="center"/>
          </w:tcPr>
          <w:p w14:paraId="41A7B636">
            <w:pPr>
              <w:pStyle w:val="25"/>
              <w:keepNext w:val="0"/>
              <w:keepLines w:val="0"/>
              <w:pageBreakBefore w:val="0"/>
              <w:widowControl/>
              <w:kinsoku w:val="0"/>
              <w:wordWrap/>
              <w:overflowPunct/>
              <w:topLinePunct w:val="0"/>
              <w:autoSpaceDE w:val="0"/>
              <w:autoSpaceDN w:val="0"/>
              <w:bidi w:val="0"/>
              <w:adjustRightInd w:val="0"/>
              <w:snapToGrid w:val="0"/>
              <w:spacing w:before="1" w:line="360" w:lineRule="exact"/>
              <w:jc w:val="center"/>
              <w:textAlignment w:val="baseline"/>
              <w:rPr>
                <w:rFonts w:hint="eastAsia" w:ascii="仿宋" w:hAnsi="仿宋" w:eastAsia="仿宋" w:cs="仿宋"/>
                <w:color w:val="auto"/>
                <w:highlight w:val="none"/>
              </w:rPr>
            </w:pPr>
          </w:p>
        </w:tc>
        <w:tc>
          <w:tcPr>
            <w:tcW w:w="7290" w:type="dxa"/>
            <w:shd w:val="clear" w:color="auto" w:fill="auto"/>
            <w:vAlign w:val="center"/>
          </w:tcPr>
          <w:p w14:paraId="4671299C">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sz w:val="24"/>
                <w:szCs w:val="24"/>
                <w:highlight w:val="none"/>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2380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7" w:hRule="atLeast"/>
          <w:jc w:val="center"/>
        </w:trPr>
        <w:tc>
          <w:tcPr>
            <w:tcW w:w="879" w:type="dxa"/>
            <w:shd w:val="clear" w:color="auto" w:fill="auto"/>
            <w:vAlign w:val="center"/>
          </w:tcPr>
          <w:p w14:paraId="648A368D">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8" w:leftChars="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26</w:t>
            </w:r>
          </w:p>
        </w:tc>
        <w:tc>
          <w:tcPr>
            <w:tcW w:w="1250" w:type="dxa"/>
            <w:vMerge w:val="restart"/>
            <w:shd w:val="clear" w:color="auto" w:fill="auto"/>
            <w:vAlign w:val="center"/>
          </w:tcPr>
          <w:p w14:paraId="3D1B3743">
            <w:pPr>
              <w:pStyle w:val="25"/>
              <w:keepNext w:val="0"/>
              <w:keepLines w:val="0"/>
              <w:pageBreakBefore w:val="0"/>
              <w:widowControl/>
              <w:kinsoku w:val="0"/>
              <w:wordWrap/>
              <w:overflowPunct/>
              <w:topLinePunct w:val="0"/>
              <w:autoSpaceDE w:val="0"/>
              <w:autoSpaceDN w:val="0"/>
              <w:bidi w:val="0"/>
              <w:adjustRightInd w:val="0"/>
              <w:snapToGrid w:val="0"/>
              <w:spacing w:before="263" w:line="360" w:lineRule="exact"/>
              <w:ind w:left="122" w:right="143"/>
              <w:jc w:val="center"/>
              <w:textAlignment w:val="baseline"/>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color w:val="auto"/>
                <w:highlight w:val="none"/>
                <w:lang w:eastAsia="zh-CN"/>
              </w:rPr>
              <w:t>重要说明</w:t>
            </w:r>
          </w:p>
        </w:tc>
        <w:tc>
          <w:tcPr>
            <w:tcW w:w="7290" w:type="dxa"/>
            <w:shd w:val="clear" w:color="auto" w:fill="auto"/>
            <w:vAlign w:val="center"/>
          </w:tcPr>
          <w:p w14:paraId="19EE78B5">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1.本项目采用全流程不见面电子开评标，投标供应商需要使用CA加密设备，供应商可通过新疆数字证书认证中心官网（https://www.xjca.com.cn/）或下载“新疆政务通”APP自行进行申领。</w:t>
            </w:r>
          </w:p>
          <w:p w14:paraId="5BC8D1C4">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2.本项目实行网上投标，采用加密电子投标文件(供应商须使用CA加密设备通过政采云电子投标客户端制作投标文件)。若供应商参与投标，自行承担投标一切费用。</w:t>
            </w:r>
          </w:p>
          <w:p w14:paraId="1E7C3E68">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7CF65D5B">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576FD401">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5.供应商在开标时须使用制作加密电子投标文件所使用的CA锁及电脑，电脑须提前配置好浏览器（建议使用谷歌浏览器），以便开标时解锁。</w:t>
            </w:r>
          </w:p>
          <w:p w14:paraId="5C9D8E93">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02511A6B">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snapToGrid w:val="0"/>
                <w:color w:val="auto"/>
                <w:kern w:val="0"/>
                <w:sz w:val="21"/>
                <w:szCs w:val="21"/>
                <w:highlight w:val="none"/>
                <w:lang w:val="en-US" w:eastAsia="zh-CN" w:bidi="ar-SA"/>
              </w:rPr>
            </w:pPr>
            <w:r>
              <w:rPr>
                <w:rFonts w:hint="eastAsia" w:ascii="仿宋" w:hAnsi="仿宋" w:eastAsia="仿宋" w:cs="仿宋"/>
                <w:color w:val="auto"/>
                <w:sz w:val="24"/>
                <w:szCs w:val="24"/>
                <w:highlight w:val="none"/>
                <w:lang w:eastAsia="zh-CN"/>
              </w:rPr>
              <w:t>7.为了保证开评标顺利进行，政采云线上开标功能完全实现，供应商开标所使用的电脑设备须具有视频及语音功能。</w:t>
            </w:r>
          </w:p>
        </w:tc>
      </w:tr>
      <w:tr w14:paraId="2709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03" w:hRule="atLeast"/>
          <w:jc w:val="center"/>
        </w:trPr>
        <w:tc>
          <w:tcPr>
            <w:tcW w:w="879" w:type="dxa"/>
            <w:shd w:val="clear" w:color="auto" w:fill="auto"/>
            <w:vAlign w:val="center"/>
          </w:tcPr>
          <w:p w14:paraId="7D59C219">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3" w:leftChars="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27</w:t>
            </w:r>
          </w:p>
        </w:tc>
        <w:tc>
          <w:tcPr>
            <w:tcW w:w="1250" w:type="dxa"/>
            <w:vMerge w:val="continue"/>
            <w:shd w:val="clear" w:color="auto" w:fill="auto"/>
            <w:vAlign w:val="center"/>
          </w:tcPr>
          <w:p w14:paraId="72278817">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right="143" w:rightChars="0"/>
              <w:jc w:val="center"/>
              <w:textAlignment w:val="baseline"/>
              <w:rPr>
                <w:rFonts w:hint="eastAsia" w:ascii="仿宋" w:hAnsi="仿宋" w:eastAsia="仿宋" w:cs="仿宋"/>
                <w:snapToGrid w:val="0"/>
                <w:color w:val="auto"/>
                <w:kern w:val="0"/>
                <w:sz w:val="24"/>
                <w:szCs w:val="24"/>
                <w:lang w:val="en-US" w:eastAsia="en-US" w:bidi="ar-SA"/>
              </w:rPr>
            </w:pPr>
          </w:p>
        </w:tc>
        <w:tc>
          <w:tcPr>
            <w:tcW w:w="7290" w:type="dxa"/>
            <w:shd w:val="clear" w:color="auto" w:fill="auto"/>
            <w:vAlign w:val="center"/>
          </w:tcPr>
          <w:p w14:paraId="3E87980B">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1、电子招投标情况说明：</w:t>
            </w:r>
          </w:p>
          <w:p w14:paraId="32A09F98">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（1）电子招投标：本项目以数据电文形式，依托“政府采购云平台（www.zcygov.cn）”进行招投标活动。</w:t>
            </w:r>
          </w:p>
          <w:p w14:paraId="2133D58A">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3CD4647D">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（3）招标文件的获取：使用账号登录或者短信验证码或者使用CA登录政采云平台；进入“项目采购”应用，在获取招标文件 菜单中选择项目，获取招标文件</w:t>
            </w:r>
          </w:p>
          <w:p w14:paraId="6CFD207A">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03A377F0">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（5）具体操作指南：详见政采云平台“服务中心-帮助文档-项目采购-操作流程-电子招投标-政府采购项目电子交易管理操作指南-供应商”。</w:t>
            </w:r>
          </w:p>
          <w:p w14:paraId="37E9B1DF">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（6）供应商在进行上述操作时，如遇技术问题可登录政采云（https://</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"http://www.zcygov.cn/"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www.zcygov.cn/</w:t>
            </w:r>
            <w:r>
              <w:rPr>
                <w:rFonts w:hint="eastAsia" w:ascii="仿宋" w:hAnsi="仿宋" w:eastAsia="仿宋" w:cs="仿宋"/>
                <w:color w:val="auto"/>
                <w:sz w:val="24"/>
                <w:szCs w:val="24"/>
                <w:highlight w:val="none"/>
                <w:lang w:eastAsia="zh-CN"/>
              </w:rPr>
              <w:fldChar w:fldCharType="end"/>
            </w:r>
            <w:r>
              <w:rPr>
                <w:rFonts w:hint="eastAsia" w:ascii="仿宋" w:hAnsi="仿宋" w:eastAsia="仿宋" w:cs="仿宋"/>
                <w:color w:val="auto"/>
                <w:sz w:val="24"/>
                <w:szCs w:val="24"/>
                <w:highlight w:val="none"/>
                <w:lang w:eastAsia="zh-CN"/>
              </w:rPr>
              <w:t>），点击右侧咨询小采，获取采小蜜智能服务管家帮助，或拨打政采云服务热线95763获取热线服务帮助。</w:t>
            </w:r>
          </w:p>
          <w:p w14:paraId="4481BD79">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温馨提醒：供应商应提前上传，以便在上传时遇到技术问题，有充足的时间请教平台的技术人员。</w:t>
            </w:r>
          </w:p>
          <w:p w14:paraId="1B8099D5">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snapToGrid w:val="0"/>
                <w:color w:val="auto"/>
                <w:kern w:val="0"/>
                <w:sz w:val="21"/>
                <w:szCs w:val="21"/>
                <w:highlight w:val="none"/>
                <w:lang w:val="en-US" w:eastAsia="en-US" w:bidi="ar-SA"/>
              </w:rPr>
            </w:pPr>
            <w:r>
              <w:rPr>
                <w:rFonts w:hint="eastAsia" w:ascii="仿宋" w:hAnsi="仿宋" w:eastAsia="仿宋" w:cs="仿宋"/>
                <w:color w:val="auto"/>
                <w:sz w:val="24"/>
                <w:szCs w:val="24"/>
                <w:highlight w:val="none"/>
                <w:lang w:eastAsia="zh-CN"/>
              </w:rPr>
              <w:t>2、供应商认为招标文件使自己的权益受到损害的，可以自收到招标文件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w:t>
            </w:r>
          </w:p>
        </w:tc>
      </w:tr>
      <w:tr w14:paraId="1638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52" w:hRule="atLeast"/>
          <w:jc w:val="center"/>
        </w:trPr>
        <w:tc>
          <w:tcPr>
            <w:tcW w:w="879" w:type="dxa"/>
            <w:shd w:val="clear" w:color="auto" w:fill="auto"/>
            <w:vAlign w:val="center"/>
          </w:tcPr>
          <w:p w14:paraId="776A52BC">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0171113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299BDD7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2EC8B443">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00CF6DC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68458F7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lang w:val="en-US" w:eastAsia="zh-CN"/>
              </w:rPr>
            </w:pPr>
          </w:p>
          <w:p w14:paraId="74320D88">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lang w:val="en-US" w:eastAsia="zh-CN"/>
              </w:rPr>
            </w:pPr>
          </w:p>
          <w:p w14:paraId="1D572BB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lang w:val="en-US" w:eastAsia="zh-CN"/>
              </w:rPr>
            </w:pPr>
          </w:p>
          <w:p w14:paraId="632119E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28</w:t>
            </w:r>
          </w:p>
          <w:p w14:paraId="346714AB">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0DDA583C">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3341B5CC">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090FF3A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19B8699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71B5FEA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505EAC7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 w:hAnsi="仿宋" w:eastAsia="仿宋" w:cs="仿宋"/>
                <w:color w:val="auto"/>
                <w:sz w:val="24"/>
                <w:szCs w:val="24"/>
              </w:rPr>
            </w:pPr>
          </w:p>
          <w:p w14:paraId="03E68746">
            <w:pPr>
              <w:pStyle w:val="25"/>
              <w:keepNext w:val="0"/>
              <w:keepLines w:val="0"/>
              <w:pageBreakBefore w:val="0"/>
              <w:widowControl/>
              <w:kinsoku w:val="0"/>
              <w:wordWrap/>
              <w:overflowPunct/>
              <w:topLinePunct w:val="0"/>
              <w:autoSpaceDE w:val="0"/>
              <w:autoSpaceDN w:val="0"/>
              <w:bidi w:val="0"/>
              <w:adjustRightInd w:val="0"/>
              <w:snapToGrid w:val="0"/>
              <w:spacing w:before="78" w:line="360" w:lineRule="exact"/>
              <w:ind w:left="253" w:leftChars="0"/>
              <w:jc w:val="center"/>
              <w:textAlignment w:val="baseline"/>
              <w:rPr>
                <w:rFonts w:hint="eastAsia" w:ascii="仿宋" w:hAnsi="仿宋" w:eastAsia="仿宋" w:cs="仿宋"/>
                <w:snapToGrid w:val="0"/>
                <w:color w:val="auto"/>
                <w:kern w:val="0"/>
                <w:sz w:val="24"/>
                <w:szCs w:val="24"/>
                <w:lang w:val="en-US" w:eastAsia="en-US" w:bidi="ar-SA"/>
              </w:rPr>
            </w:pPr>
          </w:p>
        </w:tc>
        <w:tc>
          <w:tcPr>
            <w:tcW w:w="1250" w:type="dxa"/>
            <w:shd w:val="clear" w:color="auto" w:fill="auto"/>
            <w:vAlign w:val="center"/>
          </w:tcPr>
          <w:p w14:paraId="1F53D2E9">
            <w:pPr>
              <w:keepNext w:val="0"/>
              <w:keepLines w:val="0"/>
              <w:pageBreakBefore w:val="0"/>
              <w:widowControl w:val="0"/>
              <w:shd w:val="clear"/>
              <w:wordWrap/>
              <w:overflowPunct/>
              <w:topLinePunct w:val="0"/>
              <w:bidi w:val="0"/>
              <w:spacing w:line="360" w:lineRule="exact"/>
              <w:ind w:firstLine="211" w:firstLineChars="100"/>
              <w:jc w:val="both"/>
              <w:rPr>
                <w:rFonts w:hint="eastAsia" w:ascii="仿宋" w:hAnsi="仿宋" w:eastAsia="仿宋" w:cs="仿宋"/>
                <w:snapToGrid w:val="0"/>
                <w:color w:val="auto"/>
                <w:kern w:val="0"/>
                <w:sz w:val="21"/>
                <w:szCs w:val="21"/>
                <w:highlight w:val="none"/>
                <w:lang w:val="en-US" w:eastAsia="en-US" w:bidi="ar-SA"/>
              </w:rPr>
            </w:pPr>
            <w:r>
              <w:rPr>
                <w:rFonts w:hint="eastAsia" w:ascii="仿宋" w:hAnsi="仿宋" w:eastAsia="仿宋" w:cs="仿宋"/>
                <w:b/>
                <w:bCs/>
                <w:color w:val="auto"/>
                <w:highlight w:val="none"/>
              </w:rPr>
              <w:t>备注</w:t>
            </w:r>
          </w:p>
        </w:tc>
        <w:tc>
          <w:tcPr>
            <w:tcW w:w="7290" w:type="dxa"/>
            <w:shd w:val="clear" w:color="auto" w:fill="auto"/>
            <w:vAlign w:val="center"/>
          </w:tcPr>
          <w:p w14:paraId="25DDCAD8">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b/>
                <w:bCs/>
                <w:color w:val="auto"/>
                <w:sz w:val="24"/>
                <w:szCs w:val="24"/>
                <w:highlight w:val="none"/>
                <w:lang w:eastAsia="zh-CN"/>
              </w:rPr>
              <w:t>着重提醒各供应商注意，并认真查看招标文件中的每一个条款及要求，因误读招标文件而造成的后果，采购人概不负责。</w:t>
            </w:r>
          </w:p>
          <w:p w14:paraId="05DA0962">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2、供应商使用相同IP地址的，一经发现，相关部门将进一步核实，查实后按串通投标处理。</w:t>
            </w:r>
          </w:p>
          <w:p w14:paraId="2504E4B6">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3、为保证本项目质量，良好的售后服务，最低报价不作为中标的唯一依据。</w:t>
            </w:r>
          </w:p>
          <w:p w14:paraId="6B348141">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4E300415">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5、其他：</w:t>
            </w:r>
          </w:p>
          <w:p w14:paraId="15E2AA70">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（1）投标企业严格遵守国家的法律法规及招标纪律，无违法违纪及商业贿赂行为。</w:t>
            </w:r>
          </w:p>
          <w:p w14:paraId="76FDBD98">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（2）不管投标结果如何，供应商均应自行承担投标所需一切费用。</w:t>
            </w:r>
          </w:p>
          <w:p w14:paraId="57EF29EA">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（3）供应商应以书面形式保证中标后由本公司组织实施，不得以任何理由将项目转包给其他机构。</w:t>
            </w:r>
          </w:p>
          <w:p w14:paraId="68BC67A0">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（4）招标文件中如出现前后不一致情况，均以前附表内容为准。</w:t>
            </w:r>
          </w:p>
          <w:p w14:paraId="4EFE8890">
            <w:pPr>
              <w:keepNext w:val="0"/>
              <w:keepLines w:val="0"/>
              <w:pageBreakBefore w:val="0"/>
              <w:widowControl w:val="0"/>
              <w:shd w:val="clear"/>
              <w:wordWrap/>
              <w:overflowPunct/>
              <w:topLinePunct w:val="0"/>
              <w:bidi w:val="0"/>
              <w:spacing w:line="360" w:lineRule="exact"/>
              <w:jc w:val="left"/>
              <w:rPr>
                <w:rFonts w:hint="eastAsia" w:ascii="仿宋" w:hAnsi="仿宋" w:eastAsia="仿宋" w:cs="仿宋"/>
                <w:snapToGrid w:val="0"/>
                <w:color w:val="auto"/>
                <w:kern w:val="0"/>
                <w:sz w:val="21"/>
                <w:szCs w:val="21"/>
                <w:highlight w:val="none"/>
                <w:lang w:val="en-US" w:eastAsia="en-US" w:bidi="ar-SA"/>
              </w:rPr>
            </w:pPr>
            <w:r>
              <w:rPr>
                <w:rFonts w:hint="eastAsia" w:ascii="仿宋" w:hAnsi="仿宋" w:eastAsia="仿宋" w:cs="仿宋"/>
                <w:color w:val="auto"/>
                <w:sz w:val="24"/>
                <w:szCs w:val="24"/>
                <w:highlight w:val="none"/>
                <w:lang w:eastAsia="zh-CN"/>
              </w:rPr>
              <w:t>6、本项目为专门面向中小企业（含中型、小型、微型企业）采购项目，根据《政府采购促进中小企业发展管理办法》（财库〔2020〕46号）的规定，不再执行价格评审优惠的扶持政策。注：中小企业划分标准依据《工业和信息化部、国家统计局、国家发展和改革委员会、财政部关于印发中小企业划型标准规定的通知》（工信部联企业〔2011〕300号）规定。</w:t>
            </w:r>
            <w:r>
              <w:rPr>
                <w:rFonts w:hint="eastAsia" w:ascii="仿宋" w:hAnsi="仿宋" w:eastAsia="仿宋" w:cs="仿宋"/>
                <w:b/>
                <w:bCs/>
                <w:color w:val="auto"/>
                <w:sz w:val="24"/>
                <w:szCs w:val="24"/>
                <w:highlight w:val="none"/>
                <w:lang w:eastAsia="zh-CN"/>
              </w:rPr>
              <w:t>本项目采购标的对应的中小企业划分标准所属行业为建筑业。</w:t>
            </w:r>
          </w:p>
        </w:tc>
      </w:tr>
    </w:tbl>
    <w:p w14:paraId="67452F59">
      <w:pPr>
        <w:pageBreakBefore w:val="0"/>
        <w:wordWrap/>
        <w:topLinePunct w:val="0"/>
        <w:bidi w:val="0"/>
        <w:spacing w:line="480" w:lineRule="exact"/>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磋商供应商应仔细阅读本磋商文件的第二章“供应商须知”，下面所列资料是对“供应商须知”的具体补充和说明。如有矛盾，应以本表为准。标记“☑”的选项意为适用于本项目，标记“□”的选项意为不适用于本项目。</w:t>
      </w:r>
    </w:p>
    <w:p w14:paraId="10DD3B0E">
      <w:pPr>
        <w:pageBreakBefore w:val="0"/>
        <w:wordWrap/>
        <w:topLinePunct w:val="0"/>
        <w:bidi w:val="0"/>
        <w:spacing w:line="480" w:lineRule="exact"/>
        <w:rPr>
          <w:rFonts w:hint="eastAsia" w:ascii="仿宋" w:hAnsi="仿宋" w:eastAsia="仿宋" w:cs="仿宋"/>
          <w:color w:val="auto"/>
          <w:sz w:val="24"/>
          <w:szCs w:val="24"/>
        </w:rPr>
      </w:pPr>
    </w:p>
    <w:p w14:paraId="52A489AE">
      <w:pPr>
        <w:pageBreakBefore w:val="0"/>
        <w:wordWrap/>
        <w:topLinePunct w:val="0"/>
        <w:bidi w:val="0"/>
        <w:spacing w:line="480" w:lineRule="exact"/>
        <w:rPr>
          <w:rFonts w:hint="eastAsia" w:ascii="仿宋" w:hAnsi="仿宋" w:eastAsia="仿宋" w:cs="仿宋"/>
          <w:color w:val="auto"/>
          <w:sz w:val="24"/>
          <w:szCs w:val="24"/>
        </w:rPr>
      </w:pPr>
    </w:p>
    <w:p w14:paraId="2E5B27CB">
      <w:pPr>
        <w:pageBreakBefore w:val="0"/>
        <w:wordWrap/>
        <w:topLinePunct w:val="0"/>
        <w:bidi w:val="0"/>
        <w:spacing w:line="480" w:lineRule="exact"/>
        <w:rPr>
          <w:rFonts w:hint="eastAsia" w:ascii="仿宋" w:hAnsi="仿宋" w:eastAsia="仿宋" w:cs="仿宋"/>
          <w:color w:val="auto"/>
          <w:sz w:val="24"/>
          <w:szCs w:val="24"/>
        </w:rPr>
      </w:pPr>
    </w:p>
    <w:p w14:paraId="298E8FB9">
      <w:pPr>
        <w:pageBreakBefore w:val="0"/>
        <w:wordWrap/>
        <w:topLinePunct w:val="0"/>
        <w:bidi w:val="0"/>
        <w:spacing w:line="480" w:lineRule="exact"/>
        <w:rPr>
          <w:rFonts w:hint="eastAsia" w:ascii="仿宋" w:hAnsi="仿宋" w:eastAsia="仿宋" w:cs="仿宋"/>
          <w:color w:val="auto"/>
          <w:sz w:val="24"/>
          <w:szCs w:val="24"/>
        </w:rPr>
      </w:pPr>
    </w:p>
    <w:p w14:paraId="1900A3E8">
      <w:pPr>
        <w:pageBreakBefore w:val="0"/>
        <w:wordWrap/>
        <w:topLinePunct w:val="0"/>
        <w:bidi w:val="0"/>
        <w:spacing w:line="480" w:lineRule="exact"/>
        <w:rPr>
          <w:rFonts w:hint="eastAsia" w:ascii="仿宋" w:hAnsi="仿宋" w:eastAsia="仿宋" w:cs="仿宋"/>
          <w:color w:val="auto"/>
          <w:sz w:val="24"/>
          <w:szCs w:val="24"/>
        </w:rPr>
      </w:pPr>
    </w:p>
    <w:p w14:paraId="60BE7388">
      <w:pPr>
        <w:pageBreakBefore w:val="0"/>
        <w:wordWrap/>
        <w:topLinePunct w:val="0"/>
        <w:bidi w:val="0"/>
        <w:spacing w:line="480" w:lineRule="exact"/>
        <w:rPr>
          <w:rFonts w:hint="eastAsia" w:ascii="仿宋" w:hAnsi="仿宋" w:eastAsia="仿宋" w:cs="仿宋"/>
          <w:color w:val="auto"/>
          <w:sz w:val="24"/>
          <w:szCs w:val="24"/>
        </w:rPr>
      </w:pPr>
    </w:p>
    <w:p w14:paraId="63905A77">
      <w:pPr>
        <w:pageBreakBefore w:val="0"/>
        <w:wordWrap/>
        <w:topLinePunct w:val="0"/>
        <w:bidi w:val="0"/>
        <w:spacing w:line="480" w:lineRule="exact"/>
        <w:rPr>
          <w:rFonts w:hint="eastAsia" w:ascii="仿宋" w:hAnsi="仿宋" w:eastAsia="仿宋" w:cs="仿宋"/>
          <w:color w:val="auto"/>
          <w:sz w:val="24"/>
          <w:szCs w:val="24"/>
        </w:rPr>
      </w:pPr>
    </w:p>
    <w:p w14:paraId="56CD5F89">
      <w:pPr>
        <w:pageBreakBefore w:val="0"/>
        <w:wordWrap/>
        <w:topLinePunct w:val="0"/>
        <w:bidi w:val="0"/>
        <w:spacing w:line="480" w:lineRule="exact"/>
        <w:rPr>
          <w:rFonts w:hint="eastAsia" w:ascii="仿宋" w:hAnsi="仿宋" w:eastAsia="仿宋" w:cs="仿宋"/>
          <w:color w:val="auto"/>
          <w:sz w:val="24"/>
          <w:szCs w:val="24"/>
        </w:rPr>
      </w:pPr>
    </w:p>
    <w:p w14:paraId="3F73B3A8">
      <w:pPr>
        <w:keepNext w:val="0"/>
        <w:keepLines w:val="0"/>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二、供应商须知</w:t>
      </w:r>
    </w:p>
    <w:p w14:paraId="20F4A93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（一）总则</w:t>
      </w:r>
    </w:p>
    <w:p w14:paraId="46E47B9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1.适用范围</w:t>
      </w:r>
    </w:p>
    <w:p w14:paraId="5210169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1.1本竞争性磋商文件（也称磋商文件或采购文件）仅适用于本次竞争性磋商中所述项目的采购活动。</w:t>
      </w:r>
    </w:p>
    <w:p w14:paraId="46F9AE5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2.基本定义</w:t>
      </w:r>
    </w:p>
    <w:p w14:paraId="4473221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2.1根据《中华人民共和国政府采购法》及其实施条例等有关法律、法规和规章的规定，制定本竞争性磋商文件。</w:t>
      </w:r>
    </w:p>
    <w:p w14:paraId="30AED6B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2.2采购人：指依法进行政府采购的国家机关、事业单位、团体组织。</w:t>
      </w:r>
    </w:p>
    <w:p w14:paraId="5D037D7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2.3采购代理机构：指依法进行政府采购的国家机关、事业单位、团体组织委托的采购代理机构。</w:t>
      </w:r>
    </w:p>
    <w:p w14:paraId="75C464B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58326AF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2.5供应商（也称“申请人”）：指向采购人提供货物、工程或者服务的法人、其他组织或者自然人。分支机构不得参加政府采购活动，但银行、保险、石油石化、电力、电信等有行业特殊情况的除外。本项目的供应商须满足以下条件：</w:t>
      </w:r>
    </w:p>
    <w:p w14:paraId="7A4F622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2.5.1具备《中华人民共和国政府采购法》第二十二条规定的条件，遵守本项目采购人本级和上级财政部门政府采购的有关规定。</w:t>
      </w:r>
    </w:p>
    <w:p w14:paraId="2ADB6BD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2.5.2以竞争性磋商公告中发布的方式依法获得了本项目的竞争性磋商文件。</w:t>
      </w:r>
    </w:p>
    <w:p w14:paraId="4FB089F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2.5.3符合本磋商文件规定并参加磋商的供应商。</w:t>
      </w:r>
    </w:p>
    <w:p w14:paraId="42A7539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2.6潜在供应商：指符合本磋商文件规定的供应商。</w:t>
      </w:r>
    </w:p>
    <w:p w14:paraId="06C0B25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3.资金来源</w:t>
      </w:r>
    </w:p>
    <w:p w14:paraId="4AE8A8D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3.1资金来源：见“</w:t>
      </w:r>
      <w:r>
        <w:rPr>
          <w:rFonts w:hint="eastAsia" w:ascii="仿宋" w:hAnsi="仿宋" w:eastAsia="仿宋" w:cs="仿宋"/>
          <w:color w:val="auto"/>
          <w:sz w:val="24"/>
          <w:szCs w:val="24"/>
          <w:lang w:val="en-US" w:eastAsia="zh-CN"/>
        </w:rPr>
        <w:t>第二章 供应商须知前附表”</w:t>
      </w:r>
      <w:r>
        <w:rPr>
          <w:rFonts w:hint="eastAsia" w:ascii="仿宋" w:hAnsi="仿宋" w:eastAsia="仿宋" w:cs="仿宋"/>
          <w:color w:val="auto"/>
          <w:sz w:val="24"/>
          <w:szCs w:val="24"/>
        </w:rPr>
        <w:t>。</w:t>
      </w:r>
    </w:p>
    <w:p w14:paraId="18FED80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4.供应商资格要求</w:t>
      </w:r>
    </w:p>
    <w:p w14:paraId="3617BC6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4.1供应商资格要求：见“第一章竞争性磋商公告”；</w:t>
      </w:r>
    </w:p>
    <w:p w14:paraId="6F82D5B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4.2“第一章竞争性磋商公告”规定接受联合体磋商的，还应遵守以下规定：</w:t>
      </w:r>
    </w:p>
    <w:p w14:paraId="074E617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4.2.1两个以上的自然人、法人或者其他组织可以组成一个联合体，以一个供应商的身份共同参加政府采购。以联合体形式进行政府采购的，参加联合体的供应商均应当具备《政府采购法》第二十二条规定的条件。</w:t>
      </w:r>
    </w:p>
    <w:p w14:paraId="3D1C2F3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4.2.2联合体各方应按竞争性磋商文件提供的格式签订联合体协议书，明确约定联合体各方承担的工作和相应的责任，并将联合体协议书作为响应文件的一部分提交，该协议书对联合体所有成员均具有法律约束力。</w:t>
      </w:r>
    </w:p>
    <w:p w14:paraId="76D4822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4.2.3联合体中有同类资质的供应商按照联合体分工承担相同工作的，应当按照资质等级较低的供应商确定资质等级。</w:t>
      </w:r>
    </w:p>
    <w:p w14:paraId="4376E8F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4.2.4以联合体形式参加政府采购活动的，联合体各方不得再单独参加或者与其他供应商另外组成联合体参加同一合同项下的磋商，否则相关响应将被认定为响应无效。</w:t>
      </w:r>
    </w:p>
    <w:p w14:paraId="361B179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4.2.5大中型企业、其他自然人、法人或者非法人组织与小型、微型企业组成联合体共同参加磋商的，联合体协议书中应写明小型、微型企业的合同金额</w:t>
      </w:r>
      <w:r>
        <w:rPr>
          <w:rFonts w:hint="eastAsia" w:ascii="仿宋" w:hAnsi="仿宋" w:eastAsia="仿宋" w:cs="仿宋"/>
          <w:color w:val="auto"/>
          <w:sz w:val="24"/>
          <w:szCs w:val="24"/>
          <w:lang w:eastAsia="zh-CN"/>
        </w:rPr>
        <w:t>占</w:t>
      </w:r>
      <w:r>
        <w:rPr>
          <w:rFonts w:hint="eastAsia" w:ascii="仿宋" w:hAnsi="仿宋" w:eastAsia="仿宋" w:cs="仿宋"/>
          <w:color w:val="auto"/>
          <w:sz w:val="24"/>
          <w:szCs w:val="24"/>
        </w:rPr>
        <w:t>联合体磋商合同总金额的比例。</w:t>
      </w:r>
    </w:p>
    <w:p w14:paraId="7FECDB8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4.2.6联合体成交的，采购合同应由联合体各成员的合法授权代表签字及加盖联合体各成员公章，并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032E0ED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4.2.7联合体或其成员不得将其在合同项下的权利或义务全部或部分转让给第三人，有关分包事项须事先取得采购人书面同意并且须遵守相关法律、法规、本次磋商的全部相关规定。</w:t>
      </w:r>
    </w:p>
    <w:p w14:paraId="2996FC4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4.2.8对联合体磋商的其他资格要求见“第一章竞争性磋商公告”中的“二、供应商的资格要求”。</w:t>
      </w:r>
    </w:p>
    <w:p w14:paraId="1D02DE4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5.费用承担</w:t>
      </w:r>
    </w:p>
    <w:p w14:paraId="0DE97C1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5.1不论磋商的结果如何，供应商应承担所有与准备和参加磋商有关的费用。</w:t>
      </w:r>
    </w:p>
    <w:p w14:paraId="49E5DCE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6.保密</w:t>
      </w:r>
    </w:p>
    <w:p w14:paraId="6405CAA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6.1参与磋商活动的各方应对竞争性磋商文件和响应文件中的商业和技术等秘密保密，否则应承担相应的法律责任。</w:t>
      </w:r>
    </w:p>
    <w:p w14:paraId="5F53B1F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6.2供应商自领取竞争性磋商文件之日起，须承担本竞争性磋商项目保密义务，不得将因本次竞争性磋商获得的信息向第三人外传。由采购人向供应商提供的图纸、详细资料、样品、模型、模件和所有</w:t>
      </w:r>
      <w:r>
        <w:rPr>
          <w:rFonts w:hint="eastAsia" w:ascii="仿宋" w:hAnsi="仿宋" w:eastAsia="仿宋" w:cs="仿宋"/>
          <w:color w:val="auto"/>
          <w:sz w:val="24"/>
          <w:szCs w:val="24"/>
          <w:lang w:eastAsia="zh-CN"/>
        </w:rPr>
        <w:t>其他</w:t>
      </w:r>
      <w:r>
        <w:rPr>
          <w:rFonts w:hint="eastAsia" w:ascii="仿宋" w:hAnsi="仿宋" w:eastAsia="仿宋" w:cs="仿宋"/>
          <w:color w:val="auto"/>
          <w:sz w:val="24"/>
          <w:szCs w:val="24"/>
        </w:rPr>
        <w:t>资料，被视为保密资料，仅被用于它所规定的用途。除非得到采购人的同意，不能向任何第三方透露。竞争性磋商结束后，应采购人要求，供应商应归还所有从采购人处获得的保密资料。</w:t>
      </w:r>
    </w:p>
    <w:p w14:paraId="1BC59C5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6.3采购代理机构有权将供应商提供的所有资料向有关政府部门或竞争性磋商的有关人员披露。</w:t>
      </w:r>
    </w:p>
    <w:p w14:paraId="161985C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6.4各级人民政府财政部门对政府采购活动进行监督检查，有权查阅、复制有关文件、资料，相关单位和人员应当予以配合。</w:t>
      </w:r>
    </w:p>
    <w:p w14:paraId="397B0E4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7.语言文字</w:t>
      </w:r>
    </w:p>
    <w:p w14:paraId="45D72BF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7.1竞争性磋商文件及响应文件使用的语言文字为中文。专用术语使用外文的，应附有中文注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CA3CDF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8.计量单位</w:t>
      </w:r>
    </w:p>
    <w:p w14:paraId="2019F50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8.1所有计量均采用中华人民共和国法定计量单位。</w:t>
      </w:r>
    </w:p>
    <w:p w14:paraId="59EBD8C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9.现场考察和答疑会</w:t>
      </w:r>
    </w:p>
    <w:p w14:paraId="70C343D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9.1“供应商须知前附表”规定组织现场考察的，采购代理机构按“供应商须知前附表”规定的时间、地点组织供应商项目现场考察。</w:t>
      </w:r>
    </w:p>
    <w:p w14:paraId="15BC68B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9.2供应商现场考察发生的费用自理。</w:t>
      </w:r>
    </w:p>
    <w:p w14:paraId="65C86AC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9.3在现场考察中，因供应商自身原因发生的人员伤亡和财产损失，由供应商自行负责。</w:t>
      </w:r>
    </w:p>
    <w:p w14:paraId="39F5127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9.4采购人在现场考察中介绍的项目场地和相关的周边环境情况，仅供供应商在编制响应文件时参考，采购人和采购代理机构不对供应商据此作出的判断和决策负责。</w:t>
      </w:r>
    </w:p>
    <w:p w14:paraId="3C7DEBA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9.5“供应商须知前附表”规定召开答疑会的，采购代理机构按“供应商须知前附表”规定的时间和地点召开答疑会，澄清供应商提出的问题。</w:t>
      </w:r>
    </w:p>
    <w:p w14:paraId="32C54F9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9.6由于未参加现场考察或未参加答疑会而导致对项目实际情况不了解，影响响应文件编制、磋商报价准确性、综合因素响应不全面等问题的，由供应商自行承担不利评审后果。</w:t>
      </w:r>
    </w:p>
    <w:p w14:paraId="62FE03C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10.电子标说明</w:t>
      </w:r>
    </w:p>
    <w:p w14:paraId="5D6D31C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10.1本次采购采用电子交易方式，电子交易平台为</w:t>
      </w:r>
      <w:r>
        <w:rPr>
          <w:rFonts w:hint="eastAsia" w:ascii="仿宋" w:hAnsi="仿宋" w:eastAsia="仿宋" w:cs="仿宋"/>
          <w:color w:val="auto"/>
          <w:sz w:val="24"/>
          <w:szCs w:val="24"/>
          <w:lang w:eastAsia="zh-CN"/>
        </w:rPr>
        <w:t>政采云平台（http：//www.zcygov.cn/）</w:t>
      </w:r>
      <w:r>
        <w:rPr>
          <w:rFonts w:hint="eastAsia" w:ascii="仿宋" w:hAnsi="仿宋" w:eastAsia="仿宋" w:cs="仿宋"/>
          <w:color w:val="auto"/>
          <w:sz w:val="24"/>
          <w:szCs w:val="24"/>
        </w:rPr>
        <w:t>。供应商参与本项目电子交易活动前，应在政采云平台上注册供应商账号。编制电子响应文件前还需申领CA证书并绑定</w:t>
      </w:r>
      <w:r>
        <w:rPr>
          <w:rFonts w:hint="eastAsia" w:ascii="仿宋" w:hAnsi="仿宋" w:eastAsia="仿宋" w:cs="仿宋"/>
          <w:color w:val="auto"/>
          <w:sz w:val="24"/>
          <w:szCs w:val="24"/>
          <w:lang w:eastAsia="zh-CN"/>
        </w:rPr>
        <w:t>账号</w:t>
      </w:r>
      <w:r>
        <w:rPr>
          <w:rFonts w:hint="eastAsia" w:ascii="仿宋" w:hAnsi="仿宋" w:eastAsia="仿宋" w:cs="仿宋"/>
          <w:color w:val="auto"/>
          <w:sz w:val="24"/>
          <w:szCs w:val="24"/>
        </w:rPr>
        <w:t>。供应商应充分考虑完成平台注册、申领CA证书等所需的时间。潜在供应商领取文件须提前完成注册、CA证书和电子签章申领和绑定、下载投标客户端。因未办理CA数字证书、CA证书故障、操作不当等原因造成无法磋商或磋商失败等后果由供应商自行承担。供应商登录</w:t>
      </w:r>
      <w:r>
        <w:rPr>
          <w:rFonts w:hint="eastAsia" w:ascii="仿宋" w:hAnsi="仿宋" w:eastAsia="仿宋" w:cs="仿宋"/>
          <w:color w:val="auto"/>
          <w:sz w:val="24"/>
          <w:szCs w:val="24"/>
          <w:lang w:eastAsia="zh-CN"/>
        </w:rPr>
        <w:t>新疆政府采购网</w:t>
      </w:r>
      <w:r>
        <w:rPr>
          <w:rFonts w:hint="eastAsia" w:ascii="仿宋" w:hAnsi="仿宋" w:eastAsia="仿宋" w:cs="仿宋"/>
          <w:color w:val="auto"/>
          <w:sz w:val="24"/>
          <w:szCs w:val="24"/>
        </w:rPr>
        <w:t>“供应商注册”—“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政府采购供应商入驻登记”—“立即登记”进行自助注册绑定。</w:t>
      </w:r>
    </w:p>
    <w:p w14:paraId="1CAF8AC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10.2供应商将</w:t>
      </w:r>
      <w:r>
        <w:rPr>
          <w:rFonts w:hint="eastAsia" w:ascii="仿宋" w:hAnsi="仿宋" w:eastAsia="仿宋" w:cs="仿宋"/>
          <w:color w:val="auto"/>
          <w:sz w:val="24"/>
          <w:szCs w:val="24"/>
          <w:lang w:eastAsia="zh-CN"/>
        </w:rPr>
        <w:t>新疆政府采购</w:t>
      </w:r>
      <w:r>
        <w:rPr>
          <w:rFonts w:hint="eastAsia" w:ascii="仿宋" w:hAnsi="仿宋" w:eastAsia="仿宋" w:cs="仿宋"/>
          <w:color w:val="auto"/>
          <w:sz w:val="24"/>
          <w:szCs w:val="24"/>
        </w:rPr>
        <w:t>电子交易云平台电子交易客户端下载、安装完成后，可通过账号密码或CA登录客户端进行响应文件制作。在使用政采云投标客户端时，建议使用</w:t>
      </w:r>
      <w:r>
        <w:rPr>
          <w:rFonts w:hint="eastAsia" w:ascii="仿宋" w:hAnsi="仿宋" w:eastAsia="仿宋" w:cs="仿宋"/>
          <w:color w:val="auto"/>
          <w:sz w:val="24"/>
          <w:szCs w:val="24"/>
          <w:lang w:eastAsia="zh-CN"/>
        </w:rPr>
        <w:t>WIN7+64位及以上操作系统</w:t>
      </w:r>
      <w:r>
        <w:rPr>
          <w:rFonts w:hint="eastAsia" w:ascii="仿宋" w:hAnsi="仿宋" w:eastAsia="仿宋" w:cs="仿宋"/>
          <w:color w:val="auto"/>
          <w:sz w:val="24"/>
          <w:szCs w:val="24"/>
        </w:rPr>
        <w:t>。供应商登录</w:t>
      </w:r>
      <w:r>
        <w:rPr>
          <w:rFonts w:hint="eastAsia" w:ascii="仿宋" w:hAnsi="仿宋" w:eastAsia="仿宋" w:cs="仿宋"/>
          <w:color w:val="auto"/>
          <w:sz w:val="24"/>
          <w:szCs w:val="24"/>
          <w:lang w:eastAsia="zh-CN"/>
        </w:rPr>
        <w:t>新疆政府采购网</w:t>
      </w:r>
      <w:r>
        <w:rPr>
          <w:rFonts w:hint="eastAsia" w:ascii="仿宋" w:hAnsi="仿宋" w:eastAsia="仿宋" w:cs="仿宋"/>
          <w:color w:val="auto"/>
          <w:sz w:val="24"/>
          <w:szCs w:val="24"/>
        </w:rPr>
        <w:t>“下载专区”—“电子招投标客户端下载”下载相关客户端，如有问题可拨打政采云客户服务热线95763进行咨询。</w:t>
      </w:r>
    </w:p>
    <w:p w14:paraId="492FD7E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10.3加密的电子响应文件应在响应文件递交截止时间前通过政采云平台上传完成。逾期上传或者未上传指定地点的响应文件，不予受理。</w:t>
      </w:r>
    </w:p>
    <w:p w14:paraId="2F7F59D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10.4供应商在磋商前须提前配置好电脑及浏览器，磋商时请使用制作加密电子响应文件的CA锁进行解密及报价确认。本项目响应文件解密时间</w:t>
      </w:r>
      <w:r>
        <w:rPr>
          <w:rFonts w:hint="eastAsia" w:ascii="仿宋" w:hAnsi="仿宋" w:eastAsia="仿宋" w:cs="仿宋"/>
          <w:color w:val="auto"/>
          <w:sz w:val="24"/>
          <w:szCs w:val="24"/>
          <w:lang w:eastAsia="zh-CN"/>
        </w:rPr>
        <w:t>详见</w:t>
      </w:r>
      <w:r>
        <w:rPr>
          <w:rFonts w:hint="eastAsia" w:ascii="仿宋" w:hAnsi="仿宋" w:eastAsia="仿宋" w:cs="仿宋"/>
          <w:color w:val="auto"/>
          <w:sz w:val="24"/>
          <w:szCs w:val="24"/>
        </w:rPr>
        <w:t>“供应商须知前附表”，如因自身原因导致无法正常解密，后果由供应商自行承担。</w:t>
      </w:r>
    </w:p>
    <w:p w14:paraId="3B62A87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10.5如遇“</w:t>
      </w:r>
      <w:r>
        <w:rPr>
          <w:rFonts w:hint="eastAsia" w:ascii="仿宋" w:hAnsi="仿宋" w:eastAsia="仿宋" w:cs="仿宋"/>
          <w:color w:val="auto"/>
          <w:sz w:val="24"/>
          <w:szCs w:val="24"/>
          <w:lang w:eastAsia="zh-CN"/>
        </w:rPr>
        <w:t>政采云平台（http：//www.zcygov.cn/）</w:t>
      </w:r>
      <w:r>
        <w:rPr>
          <w:rFonts w:hint="eastAsia" w:ascii="仿宋" w:hAnsi="仿宋" w:eastAsia="仿宋" w:cs="仿宋"/>
          <w:color w:val="auto"/>
          <w:sz w:val="24"/>
          <w:szCs w:val="24"/>
        </w:rPr>
        <w:t>”电子交易规则调整，以最新要求为准。</w:t>
      </w:r>
    </w:p>
    <w:p w14:paraId="5CC7E08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10.6电子交易系统咨询：供应商应当充分考虑到电子响应可能会发生的各种问题和风险，特别是响应文件签署、提交等问题，可按照“第一章竞争性磋商公告”的联系方式咨询相关人员。</w:t>
      </w:r>
    </w:p>
    <w:p w14:paraId="019B030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10.7由于本项目采用电子磋商方式，潜在供应商的名单将在递交响应文件截止时间后才会解密。因此，采购人或采购代理机构无法通过传统的传真或邮件方式，将竞争性磋商文件的澄清或修改内容逐一通知到每位已获取竞争性磋商文件的潜在供应商。为确保信息的及时性和准确性，澄清或修改的内容将仅在政采云平台以更正公告的形式发布。潜在供应商需密切关注该网站，及时查看并下载相关更正公告。若因潜在供应商未能及时查看或下载相关更正公告，而导致的一切后果，将由潜在供应商自行承担。</w:t>
      </w:r>
    </w:p>
    <w:p w14:paraId="76BA5FB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（二）磋商文件</w:t>
      </w:r>
    </w:p>
    <w:p w14:paraId="31455CB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11.磋商文件的构成</w:t>
      </w:r>
    </w:p>
    <w:p w14:paraId="5863581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第一章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竞争性磋商公告</w:t>
      </w:r>
    </w:p>
    <w:p w14:paraId="785287A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第二章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供应商须知</w:t>
      </w:r>
    </w:p>
    <w:p w14:paraId="4B6E532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第三章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项目采购需求</w:t>
      </w:r>
    </w:p>
    <w:p w14:paraId="55A2D8D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第四章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评审方法及标准</w:t>
      </w:r>
    </w:p>
    <w:p w14:paraId="45CB6AD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第五章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合同</w:t>
      </w:r>
    </w:p>
    <w:p w14:paraId="133EF08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第六章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响应文件的格式</w:t>
      </w:r>
    </w:p>
    <w:p w14:paraId="1DBEC1A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12.磋商文件的澄清或修改</w:t>
      </w:r>
    </w:p>
    <w:p w14:paraId="3C10B79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12.1供应商对采购项目有疑问的，可以按照“供应商须知前附表”中的规定提出询问。提出后，请供应商及时通过交易平台“答疑文件下载”栏目查看答疑文件或澄清文件。必要时，采购代理机构将组织相关专家召开答疑会，如召开，答疑会安排另行通知。采购人或采购代理机构将在收到询问后依法予以答复。对竞争性磋商文件询问的答复，在必要时将以澄清形式推送给每个获取竞争性磋商文件的潜在供应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答复中不包括问题的来源</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6631EDF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供应商在规定的时间内未对竞争性磋商文件提出疑问或要求澄清的，采购代理机构将视其为同意，对在“供应商须知前附表”中“提出询问的时间要求”之后就竞争性磋商文件内容提出的疑问及澄清要求将不予受理。</w:t>
      </w:r>
    </w:p>
    <w:p w14:paraId="6AA8159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12.2采购人或者采购代理机构可以对已发出的竞争性磋商文件进行必要的澄清或者修改。澄清或修改的内容为竞争性磋商文件的组成部分，并对所有获取竞争性磋商文件的潜在供应商具有约束力。</w:t>
      </w:r>
    </w:p>
    <w:p w14:paraId="4AEABE6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12.3竞争性磋商文件的澄清或者修改以当面交接、邮寄、传真或电子邮件、网站披露等其中至少一种方式，发给所有领取竞争性磋商文件的供应商，但不包括问题的来源。对磋商文件澄清或者修改的内容可能影响响应文件编制的，采购人、采购代理机构或者磋商小组应当在提交首次响应文件截止之日5日前，以书面形式通知所有接收竞争性磋商文件的供应商，不足5日的，应当顺延提交首次响应文件的截止时间。</w:t>
      </w:r>
    </w:p>
    <w:p w14:paraId="33BA057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12.4“供应商须知”所称“书面形式”包括系统消息、政府采购云平台发布的公告。</w:t>
      </w:r>
    </w:p>
    <w:p w14:paraId="60D653B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12.5采购代理机构一旦对竞争性磋商文件作出了澄清、修改，即刻发生效力，采购代理机构有关的澄清、修改文件，将作为竞争性磋商文件的组成部分，对所有现实的或潜在的供应商均具有约束力，而无论是否已经实际收到上述文件。同时，采购代理机构和供应商的权利及义务将受到新的截止期的约束。</w:t>
      </w:r>
    </w:p>
    <w:p w14:paraId="654FF75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12.6采购代理机构对竞争性磋商文件作出的澄清、修改在平台内进行披露，请供应商及时关注并获取相关资料。因登记有误、线路故障或</w:t>
      </w:r>
      <w:r>
        <w:rPr>
          <w:rFonts w:hint="eastAsia" w:ascii="仿宋" w:hAnsi="仿宋" w:eastAsia="仿宋" w:cs="仿宋"/>
          <w:color w:val="auto"/>
          <w:sz w:val="24"/>
          <w:szCs w:val="24"/>
          <w:lang w:eastAsia="zh-CN"/>
        </w:rPr>
        <w:t>其他</w:t>
      </w:r>
      <w:r>
        <w:rPr>
          <w:rFonts w:hint="eastAsia" w:ascii="仿宋" w:hAnsi="仿宋" w:eastAsia="仿宋" w:cs="仿宋"/>
          <w:color w:val="auto"/>
          <w:sz w:val="24"/>
          <w:szCs w:val="24"/>
        </w:rPr>
        <w:t>任何意外情形，导致供应商未及时获取的，采购代理机构不因此承担任何责任，且有关的磋商活动继续有效地进行。当竞争性磋商文件的澄清、修改及进行其他答复等就同一内容的表述不一致时，以最后发布的内容为准。</w:t>
      </w:r>
    </w:p>
    <w:p w14:paraId="180CDD5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（三）响应文件</w:t>
      </w:r>
    </w:p>
    <w:p w14:paraId="3552DEF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13.响应文件的组成</w:t>
      </w:r>
    </w:p>
    <w:p w14:paraId="2F8C106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13.1供应商应完整地按竞争性磋商文件提供的响应文件格式及要求编写响应文件，具体内容详见“第六章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响应文件的格式”的相关内容。</w:t>
      </w:r>
    </w:p>
    <w:p w14:paraId="4FF9AAA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13.2供应商应提交竞争性磋商文件要求的证明文件，证明其响应内容符合竞争性磋商文件规定，该证明文件是响应文件的一部分。证明文件形式可以是文字资料、图纸和数据等。</w:t>
      </w:r>
    </w:p>
    <w:p w14:paraId="3E7EDB8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13.3为保证公平公正，除非本磋商文件另有规定或说明，供应商对同一项目响应时，不得同时提供备选响应方案。</w:t>
      </w:r>
    </w:p>
    <w:p w14:paraId="6D47816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14.磋商报价</w:t>
      </w:r>
    </w:p>
    <w:p w14:paraId="16A2702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14.1磋商供应商的报价均应以人民币报价。磋商报价包括磋商供应商在首次提交的响应文件中的报价、磋商过程中的报价和最后报价，且均不得超过“第一章竞争性磋商公告”中规定的最高限价或者预算金额，否则其响应文件将被视为无效文件。</w:t>
      </w:r>
    </w:p>
    <w:p w14:paraId="72C54D1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14.2供应商应按照本磋商文件规定的采购需求及合同条款进行报价，并按磋商文件确定的格式报出。报价中不得包含磋商文件要求以外的内容，否则，在评审时不予核减。报价中也不得缺漏磋商文件所要求的内容，否则，其响应文件将被视为无效文件。</w:t>
      </w:r>
    </w:p>
    <w:p w14:paraId="004B562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供应商的报价应包括为完成本项目所发生的一切费用和税费，采购人将不再支付报价以外的任何费用。只要投报了一个确定数额的总价，无论分项价格是否全部填报了相应的金额或免费字样，报价应被视为已经包含了但并不限于各分项工程费用及购买货物及其运送、安装、调试、验收、保险和相关服务等的费用和所需缴纳的所有价格、税、费。在其他情况下，由于已标价工程量清单填报不完整、不清楚或存在其他任何失误，所导致的任何不利后果均应当由供应商自行承担。</w:t>
      </w:r>
    </w:p>
    <w:p w14:paraId="06BBC22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供应商的报价应包括但不限于下列内容：</w:t>
      </w:r>
    </w:p>
    <w:p w14:paraId="6DBD3AB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14.2.1磋商工程费用及相关货物（含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B3F144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14.2.2按照磋商文件要求完成本项目的全部相关费用。</w:t>
      </w:r>
    </w:p>
    <w:p w14:paraId="30181A1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14.3供应商须严格按照工程量清单规定的内容填写单价、合价以及其他事项。供应商应根据本磋商文件的规定和要求、市场价格水平及其走势、磋商供应商的管理水平、磋商供应商的方案和由这些因素决定的磋商供应商之于本项目的成本水平等提出自己的报价。报价应合理，并包含完成本磋商文件采购需求全部内容的所有费用，所有根据本磋商文件或</w:t>
      </w:r>
      <w:r>
        <w:rPr>
          <w:rFonts w:hint="eastAsia" w:ascii="仿宋" w:hAnsi="仿宋" w:eastAsia="仿宋" w:cs="仿宋"/>
          <w:color w:val="auto"/>
          <w:sz w:val="24"/>
          <w:szCs w:val="24"/>
          <w:lang w:eastAsia="zh-CN"/>
        </w:rPr>
        <w:t>其他</w:t>
      </w:r>
      <w:r>
        <w:rPr>
          <w:rFonts w:hint="eastAsia" w:ascii="仿宋" w:hAnsi="仿宋" w:eastAsia="仿宋" w:cs="仿宋"/>
          <w:color w:val="auto"/>
          <w:sz w:val="24"/>
          <w:szCs w:val="24"/>
        </w:rPr>
        <w:t>原因应由磋商供应商支付的税款和其他应</w:t>
      </w:r>
      <w:r>
        <w:rPr>
          <w:rFonts w:hint="eastAsia" w:ascii="仿宋" w:hAnsi="仿宋" w:eastAsia="仿宋" w:cs="仿宋"/>
          <w:color w:val="auto"/>
          <w:sz w:val="24"/>
          <w:szCs w:val="24"/>
          <w:lang w:eastAsia="zh-CN"/>
        </w:rPr>
        <w:t>缴纳</w:t>
      </w:r>
      <w:r>
        <w:rPr>
          <w:rFonts w:hint="eastAsia" w:ascii="仿宋" w:hAnsi="仿宋" w:eastAsia="仿宋" w:cs="仿宋"/>
          <w:color w:val="auto"/>
          <w:sz w:val="24"/>
          <w:szCs w:val="24"/>
        </w:rPr>
        <w:t>的费用都应包括在报价中。</w:t>
      </w:r>
    </w:p>
    <w:p w14:paraId="514730F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14.4供应商在响应文件中注明免费的项目将视为包含在报价中。</w:t>
      </w:r>
    </w:p>
    <w:p w14:paraId="493176A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14.5每一种采购内容只允许有一个报价，否则其响应文件将被视为无效文件。除非磋商文件另有规定，不接受可选择或可调整的磋商方案和报价，任何有选择的或可调整的磋商方案和报价将被视为非响应性磋商而被拒绝。</w:t>
      </w:r>
    </w:p>
    <w:p w14:paraId="27456C6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14.6供应商对磋商报价若有说明应在响应文件中显著处注明。</w:t>
      </w:r>
    </w:p>
    <w:p w14:paraId="6516916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除政策性文件规定以外，供应商所报价格在合同实施期间不因市场变化因素而变动。</w:t>
      </w:r>
    </w:p>
    <w:p w14:paraId="45F30AF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14.7对于有配件、耗材、选件、备件和特殊工具的货物，还应填报磋商货物配件、耗材、选件表和备件及特殊工具清单，注明品牌、型号、产地、功能、单价、批量折扣等内容，该表格格式由供应商自行设计。供应商按照上述要求分类报价，其目的是便于评审，但在任何情况下并不限制采购人以其他条款签订合同的权利。</w:t>
      </w:r>
    </w:p>
    <w:p w14:paraId="48B5119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14.8最低报价不能作为成交的保证。</w:t>
      </w:r>
    </w:p>
    <w:p w14:paraId="49B6AC5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14.9供应商不能提供任何有选择性或可调整的报价（磋商文件另有规定的除外），否则其响应无效。</w:t>
      </w:r>
    </w:p>
    <w:p w14:paraId="6F80E9D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14.10采购人不得向供应商索要或者接受其给予的赠品、回扣或者与采购无关的其他商品、服务。</w:t>
      </w:r>
    </w:p>
    <w:p w14:paraId="302C8FA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15.响应文件有效期</w:t>
      </w:r>
    </w:p>
    <w:p w14:paraId="2F02992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15.1供应商提交的响应文件有效期见“供应商须知前附表”，磋商供应商承诺的响应文件有效期少于磋商文件规定期限的，其响应无效。</w:t>
      </w:r>
    </w:p>
    <w:p w14:paraId="1E91260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15.2响应文件有效期从递交响应文件的截止之日起算。响应文件中承诺的有效期应当不少于竞争性磋商文件中载明的响应文件有效期。响应文件有效期内供应商撤销响应文件的，采购人或者采购代理机构可以不退还磋商保证金。</w:t>
      </w:r>
    </w:p>
    <w:p w14:paraId="6C6E29D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15.3特殊情况下，在原响应文件有效期截止之前，采购代理机构或采购人可要求供应商延长响应文件有效期。需要延长响应文件有效期时，采购代理机构或采购人将以书面形式通知所有磋商供应商，供应商应以书面形式答复是否同意延长响应文件有效期。</w:t>
      </w:r>
    </w:p>
    <w:p w14:paraId="45D0560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15.4供应商同意延长的，其磋商保证金的有效期也相应延长，不得要求或被允许修改或撤销其响应文件；供应商拒绝延长的，其响应文件在原响应文件有效期满后将不再有效，但其提交的磋商保证金可予以退还。</w:t>
      </w:r>
    </w:p>
    <w:p w14:paraId="2DE7687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16.响应文件的编制</w:t>
      </w:r>
    </w:p>
    <w:p w14:paraId="1F24535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16.1响应文件应在供应商客户端中进行编制，在响应文件中要求加盖印章的，除有特殊说明之外，可使用电子签章签署。</w:t>
      </w:r>
    </w:p>
    <w:p w14:paraId="5F9CF5A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16.2供应商在供应商客户端中按照供应商客户端中的格式要求填写响应内容后，生成响应文件。供应商须按照竞争性磋商文件的要求对要求加盖印章的部分逐一进行签章。</w:t>
      </w:r>
    </w:p>
    <w:p w14:paraId="698B554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16.3供应商应详细阅读竞争性磋商文件的全部内容。响应文件须对竞争性磋商文件中的内容作出实质性和完整的响应，如果响应文件填报的内容不详，或没有提供竞争性磋商文件中所要求的全部资料及数据，将可能导致其响应无效。</w:t>
      </w:r>
    </w:p>
    <w:p w14:paraId="3FA7A55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16.4响应文件须严格按照本竞争性磋商文件第六章规定的格式提交，并按规定的统一格式逐项填写，不准有空项；无相应内容可填的项，应填写“无”、“未测试”、“没有相应指标”等明确的回答文字。由于编排混乱导致响应文件被误读或查找不到，其责任由供应商承担。</w:t>
      </w:r>
    </w:p>
    <w:p w14:paraId="22EB69B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16.5供应商须注意：为合理节约政府采购评审成本，提倡诚实信用的磋商行为，特别要求供应商应本着诚信精神，在本次响应文件的偏离表中，均以审慎的态度明确、清楚地披露各项偏离。若供应商对某一事项是否存在或是否属于偏离不能确定，亦必须在偏离表中清楚地</w:t>
      </w:r>
      <w:r>
        <w:rPr>
          <w:rFonts w:hint="eastAsia" w:ascii="仿宋" w:hAnsi="仿宋" w:eastAsia="仿宋" w:cs="仿宋"/>
          <w:color w:val="auto"/>
          <w:sz w:val="24"/>
          <w:szCs w:val="24"/>
          <w:lang w:eastAsia="zh-CN"/>
        </w:rPr>
        <w:t>标明</w:t>
      </w:r>
      <w:r>
        <w:rPr>
          <w:rFonts w:hint="eastAsia" w:ascii="仿宋" w:hAnsi="仿宋" w:eastAsia="仿宋" w:cs="仿宋"/>
          <w:color w:val="auto"/>
          <w:sz w:val="24"/>
          <w:szCs w:val="24"/>
        </w:rPr>
        <w:t>该偏离事项，并可以注明不能确定的字样。任何情况下，对于供应商没有在偏离表中明确、清楚地披露的事项，包括可能属于被供应商在偏离表中遗漏披露的事项，一旦在评审中被发现存在偏离或被认定为属于偏离，则评审委员会有权视具体情形评审时予以处理，将可能导致响应无效。</w:t>
      </w:r>
    </w:p>
    <w:p w14:paraId="226226A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16.6供应商必须保证响应文件所提供的全部资料合法、真实可靠，并接受采购人、采购代理机构或评审委员会对其中任何资料进一步审查的要求。</w:t>
      </w:r>
    </w:p>
    <w:p w14:paraId="4DF0726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16.7供应商在响应文件及相关文件的签订、履行、通知等事项的文件中的单位盖章、印章、公章等处均指与当事人全称相一致的标准公章，不得使用其他形式（如带有“专用章”等字样的印章）。不符合本条规定的按无效响应处理。</w:t>
      </w:r>
    </w:p>
    <w:p w14:paraId="476CBE8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16.8电子响应文件的编制</w:t>
      </w:r>
    </w:p>
    <w:p w14:paraId="355F328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16.8.1电子响应文件需按竞争性磋商文件要求进行制作编制。响应文件制作时，不同内容按标签提示制作导入，按照竞争性磋商文件中明确的响应文件目录和格式进行编制，保证目录清晰、内容完整。</w:t>
      </w:r>
    </w:p>
    <w:p w14:paraId="6B37A80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16.8.2电子磋商文件及响应文件具有法律效力，与其他形式的磋商文件及响应文件在内容和格式上等同，若响应文件与竞争性磋商文件要求不一致，其内容影响成交结果时，责任由供应商自行承担。供应商递交的电子响应文件因供应商自身原因而导致无法导入电子辅助评标系统，该响应文件被视为无效响应文件，其响应无效。</w:t>
      </w:r>
    </w:p>
    <w:p w14:paraId="07E0420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（四）响应文件的递交</w:t>
      </w:r>
    </w:p>
    <w:p w14:paraId="44D8664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17.磋商保证金</w:t>
      </w:r>
    </w:p>
    <w:p w14:paraId="7379B9D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17.1供应商应按照竞争性磋商文件“供应商须知前附表”规定的金额及要求</w:t>
      </w:r>
      <w:r>
        <w:rPr>
          <w:rFonts w:hint="eastAsia" w:ascii="仿宋" w:hAnsi="仿宋" w:eastAsia="仿宋" w:cs="仿宋"/>
          <w:color w:val="auto"/>
          <w:sz w:val="24"/>
          <w:szCs w:val="24"/>
          <w:lang w:eastAsia="zh-CN"/>
        </w:rPr>
        <w:t>缴纳</w:t>
      </w:r>
      <w:r>
        <w:rPr>
          <w:rFonts w:hint="eastAsia" w:ascii="仿宋" w:hAnsi="仿宋" w:eastAsia="仿宋" w:cs="仿宋"/>
          <w:color w:val="auto"/>
          <w:sz w:val="24"/>
          <w:szCs w:val="24"/>
        </w:rPr>
        <w:t>磋商保证金。供应商自愿超额缴纳磋商保证金的，响应文件不</w:t>
      </w:r>
      <w:r>
        <w:rPr>
          <w:rFonts w:hint="eastAsia" w:ascii="仿宋" w:hAnsi="仿宋" w:eastAsia="仿宋" w:cs="仿宋"/>
          <w:color w:val="auto"/>
          <w:sz w:val="24"/>
          <w:szCs w:val="24"/>
          <w:lang w:eastAsia="zh-CN"/>
        </w:rPr>
        <w:t>作</w:t>
      </w:r>
      <w:r>
        <w:rPr>
          <w:rFonts w:hint="eastAsia" w:ascii="仿宋" w:hAnsi="仿宋" w:eastAsia="仿宋" w:cs="仿宋"/>
          <w:color w:val="auto"/>
          <w:sz w:val="24"/>
          <w:szCs w:val="24"/>
        </w:rPr>
        <w:t>无效处理。</w:t>
      </w:r>
    </w:p>
    <w:p w14:paraId="05DD4F8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17.2交纳磋商保证金可采用的形式：政府采购法律法规接受的支票、汇票、本票、网上银行支付或者金融机构、担保机构出具的保函等非现金形式。未按磋商文件要求提交磋商保证金的，其响应无效。磋商保证金有效期同响应文件有效期。</w:t>
      </w:r>
    </w:p>
    <w:p w14:paraId="0B242D6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17.3磋商保证金到账（保函提交）截止时间同响应文件递交截止时间。以支票、汇票、本票、网上银行支付等形式提交磋商保证金的，应在响应文件递交截止时间前到账；以金融机构、担保机构出具的保函等形式提交磋商保证金的，应在响应文件递交截止时间前将磋商保证金支付件扫描后作为响应文件的组成部分与响应文件一起上传。由于到账时间晚于响应文件递交截止时间，或者票据错误、印鉴不清等原因导致不能到账的，其响应无效。</w:t>
      </w:r>
    </w:p>
    <w:p w14:paraId="16B9055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17.4供应商为联合体的，可以由联合体中的一方或者多方共同交纳磋商保证金，其交纳的磋商保证金对联合体各方均具有约束力。</w:t>
      </w:r>
    </w:p>
    <w:p w14:paraId="77D12B6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17.5采购人或者采购代理机构应当在采购活动结束后及时退还供应商的磋商保证金，采用银行保函、担保机构担保函等形式递交的磋商保证金，经供应商同意后采购人、采购代理机构可以不再退还，但因供应商自身原因导致无法及时退还的除外。未成交供应商的磋商保证金应当自成交通知书发出之日起5个工作日内退还，成交供应商的磋商保证金应当自采购合同签订之日起5个工作日内退还。</w:t>
      </w:r>
    </w:p>
    <w:p w14:paraId="534FB40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17.6供应商在响应文件递交截止时间前撤回已提交的响应文件的，自收到供应商书面撤回通知之日起5个工作日内，退还已收取的磋商保证金，但因供应商自身原因导致无法及时退还的除外。</w:t>
      </w:r>
    </w:p>
    <w:p w14:paraId="68265F3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17.7终止磋商的项目已经收取磋商保证金的，自终止采购活动后5个工作日内退还已收取的磋商保证金及其在银行产生的孳息。</w:t>
      </w:r>
    </w:p>
    <w:p w14:paraId="5AC74BD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17.8有下列情形之一的，磋商保证金不予退还,情节严重的将其列入不良记录名单：</w:t>
      </w:r>
    </w:p>
    <w:p w14:paraId="1640754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17.8.1供应商在提交响应文件截止时间后撤回响应文件的；</w:t>
      </w:r>
    </w:p>
    <w:p w14:paraId="7743239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17.8.2供应商在响应文件中提供虚假材料的；</w:t>
      </w:r>
    </w:p>
    <w:p w14:paraId="1CE0F26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17.8.3除因不可抗力或磋商文件认可的情形以外，成交供应商不与采购人签订合同的；</w:t>
      </w:r>
    </w:p>
    <w:p w14:paraId="77EA7EC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17.8.4供应商与采购人、其他供应商或者采购代理机构恶意串通的；</w:t>
      </w:r>
    </w:p>
    <w:p w14:paraId="225117C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17.8.5磋商文件规定的其他情形。</w:t>
      </w:r>
    </w:p>
    <w:p w14:paraId="1B63F7C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18.响应文件的加密</w:t>
      </w:r>
    </w:p>
    <w:p w14:paraId="5F7F5A5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18.1供应商在供应商客户端中生成响应文件并完成签章之后，使用CA证书在供应商客户端中对响应文件进行加密。</w:t>
      </w:r>
    </w:p>
    <w:p w14:paraId="3F9CF75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18.2供应商应在供应商客户端中对加密的响应文件进行解密验证，以防止响应文件加密异常，在开启时无法解密。</w:t>
      </w:r>
    </w:p>
    <w:p w14:paraId="79AD3A1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18.3供应商应保证加密响应文件的CA证书有效期在开启时间之前。若CA证书有效期临近开启时间，建议供应商提前办理CA证书续期，以免开启时无法进行解密。</w:t>
      </w:r>
    </w:p>
    <w:p w14:paraId="6F63D78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18.4供应商在响应文件递交截止时间前通过</w:t>
      </w:r>
      <w:r>
        <w:rPr>
          <w:rFonts w:hint="eastAsia" w:ascii="仿宋" w:hAnsi="仿宋" w:eastAsia="仿宋" w:cs="仿宋"/>
          <w:color w:val="auto"/>
          <w:sz w:val="24"/>
          <w:szCs w:val="24"/>
          <w:lang w:eastAsia="zh-CN"/>
        </w:rPr>
        <w:t>新疆政府采购网</w:t>
      </w:r>
      <w:r>
        <w:rPr>
          <w:rFonts w:hint="eastAsia" w:ascii="仿宋" w:hAnsi="仿宋" w:eastAsia="仿宋" w:cs="仿宋"/>
          <w:color w:val="auto"/>
          <w:sz w:val="24"/>
          <w:szCs w:val="24"/>
        </w:rPr>
        <w:t>（https://www.zcygov.cn/）的”政采云登录入口”登录后，将加密电子响应文件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上传到对应项目的指定位置，供应商认为有必要提交的其他资料请于响应文件递交截止时间前一并提交。</w:t>
      </w:r>
    </w:p>
    <w:p w14:paraId="0068CB2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18.5如果供应商未按上述要求加密并上传，采购代理机构对响应文件的误投、无法解密、传输错误等问题概不负责。对由此造成无法正常开启的响应文件，采购代理机构有权予以拒绝，并退回供应商。</w:t>
      </w:r>
    </w:p>
    <w:p w14:paraId="038DE22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18.6本项目采用不见面开启方式，无需提供电子响应文件U盘。</w:t>
      </w:r>
    </w:p>
    <w:p w14:paraId="4C8BA76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19.响应文件的递交（上传）</w:t>
      </w:r>
    </w:p>
    <w:p w14:paraId="6DA382A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19.1供应商应在“第一章竞争性磋商公告”规定的响应文件递交截止时间前递交（上传）响应文件。</w:t>
      </w:r>
    </w:p>
    <w:p w14:paraId="371FBD5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19.2供应商递交（上传）响应文件的地点见“第一章竞争性磋商公告”。</w:t>
      </w:r>
    </w:p>
    <w:p w14:paraId="78AB454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19.3供应商应充分评估集中同时递交响应文件带来的网络影响，尽量避开递交响应文件高峰时间，错峰进行递交。供应商递交全部的响应文件后可在政采云平台（项目采购—投标文件上传）中获取响应文件递交回执单。</w:t>
      </w:r>
    </w:p>
    <w:p w14:paraId="02B50C3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19.4供应商应在供应商客户端中下载未加密且完成签章的响应文件妥善保存，以便启动应急开启程序时使用。</w:t>
      </w:r>
    </w:p>
    <w:p w14:paraId="48D3BA8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19.5供应商所递交的响应文件不予退还。</w:t>
      </w:r>
    </w:p>
    <w:p w14:paraId="306DB95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20.拒收</w:t>
      </w:r>
    </w:p>
    <w:p w14:paraId="698B150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20.1超过递交响应文件的截止时间或者不按照本章要求加密的响应文件，交易系统应当拒收。</w:t>
      </w:r>
    </w:p>
    <w:p w14:paraId="609B28D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21.响应文件的修改与撤回</w:t>
      </w:r>
    </w:p>
    <w:p w14:paraId="25F845D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21.1供应商在“第一章竞争性磋商公告”规定的响应文件递交截止时间之前，可在</w:t>
      </w:r>
      <w:r>
        <w:rPr>
          <w:rFonts w:hint="eastAsia" w:ascii="仿宋" w:hAnsi="仿宋" w:eastAsia="仿宋" w:cs="仿宋"/>
          <w:color w:val="auto"/>
          <w:sz w:val="24"/>
          <w:szCs w:val="24"/>
          <w:lang w:eastAsia="zh-CN"/>
        </w:rPr>
        <w:t>新疆政府采购</w:t>
      </w:r>
      <w:r>
        <w:rPr>
          <w:rFonts w:hint="eastAsia" w:ascii="仿宋" w:hAnsi="仿宋" w:eastAsia="仿宋" w:cs="仿宋"/>
          <w:color w:val="auto"/>
          <w:sz w:val="24"/>
          <w:szCs w:val="24"/>
        </w:rPr>
        <w:t>电子交易云平台上随时撤回已上传的电子响应文件，将修改好的电子响应文件在响应文件递交截止时间前重新上传到</w:t>
      </w:r>
      <w:r>
        <w:rPr>
          <w:rFonts w:hint="eastAsia" w:ascii="仿宋" w:hAnsi="仿宋" w:eastAsia="仿宋" w:cs="仿宋"/>
          <w:color w:val="auto"/>
          <w:sz w:val="24"/>
          <w:szCs w:val="24"/>
          <w:lang w:eastAsia="zh-CN"/>
        </w:rPr>
        <w:t>新疆政府采购</w:t>
      </w:r>
      <w:r>
        <w:rPr>
          <w:rFonts w:hint="eastAsia" w:ascii="仿宋" w:hAnsi="仿宋" w:eastAsia="仿宋" w:cs="仿宋"/>
          <w:color w:val="auto"/>
          <w:sz w:val="24"/>
          <w:szCs w:val="24"/>
        </w:rPr>
        <w:t>电子交易云平台的指定位置。</w:t>
      </w:r>
    </w:p>
    <w:p w14:paraId="10BFA12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（五）响应文件开启</w:t>
      </w:r>
    </w:p>
    <w:p w14:paraId="34CB1BD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22.响应文件开启</w:t>
      </w:r>
    </w:p>
    <w:p w14:paraId="5FAFC11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22.1供应商应按照“第一章竞争性磋商公告”中的要求参与开启。</w:t>
      </w:r>
    </w:p>
    <w:p w14:paraId="22ABFB7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23.开启时间和地点</w:t>
      </w:r>
    </w:p>
    <w:p w14:paraId="433C496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23.1开启时间和地点</w:t>
      </w:r>
    </w:p>
    <w:p w14:paraId="402D520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（1）递交响应文件截止时间前，供应商登录供应商客户端，通过供应商客户端进入交易系统“开标大厅”选择所投项目（或采购包）完成项目签到工作。</w:t>
      </w:r>
    </w:p>
    <w:p w14:paraId="7997EC5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（2）在“第一章竞争性磋商公告”规定的递交响应文件截止时间、开启时间及地点，采购代理机构通过</w:t>
      </w:r>
      <w:r>
        <w:rPr>
          <w:rFonts w:hint="eastAsia" w:ascii="仿宋" w:hAnsi="仿宋" w:eastAsia="仿宋" w:cs="仿宋"/>
          <w:color w:val="auto"/>
          <w:sz w:val="24"/>
          <w:szCs w:val="24"/>
          <w:lang w:val="en-US" w:eastAsia="zh-CN"/>
        </w:rPr>
        <w:t>新疆</w:t>
      </w:r>
      <w:r>
        <w:rPr>
          <w:rFonts w:hint="eastAsia" w:ascii="仿宋" w:hAnsi="仿宋" w:eastAsia="仿宋" w:cs="仿宋"/>
          <w:color w:val="auto"/>
          <w:sz w:val="24"/>
          <w:szCs w:val="24"/>
        </w:rPr>
        <w:t>政府采购电子交易云平台的“政采云远程开标大厅”组织响应文件开启工作。</w:t>
      </w:r>
    </w:p>
    <w:p w14:paraId="4923EC0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23.2响应文件开启：递交响应文件截止时间到后，工作人员启动开始解密指令，供应商应当按照“供应商须知前附表”规定及时进行响应文件解密，完成响应文件开启工作。</w:t>
      </w:r>
    </w:p>
    <w:p w14:paraId="6800AC6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23.3规定的时间内，非因</w:t>
      </w:r>
      <w:r>
        <w:rPr>
          <w:rFonts w:hint="eastAsia" w:ascii="仿宋" w:hAnsi="仿宋" w:eastAsia="仿宋" w:cs="仿宋"/>
          <w:color w:val="auto"/>
          <w:sz w:val="24"/>
          <w:szCs w:val="24"/>
          <w:lang w:eastAsia="zh-CN"/>
        </w:rPr>
        <w:t>新疆政府采购</w:t>
      </w:r>
      <w:r>
        <w:rPr>
          <w:rFonts w:hint="eastAsia" w:ascii="仿宋" w:hAnsi="仿宋" w:eastAsia="仿宋" w:cs="仿宋"/>
          <w:color w:val="auto"/>
          <w:sz w:val="24"/>
          <w:szCs w:val="24"/>
        </w:rPr>
        <w:t>电子交易云平台原因造成响应文件未解密的，视为供应商撤回响应文件。停止解密后，已解密开启的响应文件不足3家的，应当终止采购活动。</w:t>
      </w:r>
    </w:p>
    <w:p w14:paraId="137622F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23.4供应商或其授权代表对响应文件开启过程有疑义的，以及认为采购人、采购代理机构相关工作人员有需要回避的情形的，应在开启会议中提出询问或者回避申请。采购人、采购代理机构对供应商授权代表提出的询问或者回避申请应当及时处理。</w:t>
      </w:r>
    </w:p>
    <w:p w14:paraId="70BEBF9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23.5供应商未参加开启的，视同认可开启结果。</w:t>
      </w:r>
    </w:p>
    <w:p w14:paraId="3AF6991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（六）资格审查</w:t>
      </w:r>
    </w:p>
    <w:p w14:paraId="02D02EE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24.资格审查及审查主体</w:t>
      </w:r>
    </w:p>
    <w:p w14:paraId="7B79F54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24.1开启结束后，磋商小组依据法律法规和本竞争性磋商文件的规定，依法对供应商资格进行审查，以确定供应商是否具备磋商资格。</w:t>
      </w:r>
    </w:p>
    <w:p w14:paraId="6EAF49A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24.2资格审查按“第四章评审方法及标准”的规定进行。</w:t>
      </w:r>
    </w:p>
    <w:p w14:paraId="5D76CFB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24.3资格审查结束后，应及时对资格审查结果进行复核，对资格审查错误进行及时纠正并记录。</w:t>
      </w:r>
    </w:p>
    <w:p w14:paraId="1F598B9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24.4资格审查合格供应商不足3家的，不得评审。</w:t>
      </w:r>
    </w:p>
    <w:p w14:paraId="3B89F43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（七）项目评审</w:t>
      </w:r>
    </w:p>
    <w:p w14:paraId="0196C04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25.评审方法、程序及标准</w:t>
      </w:r>
    </w:p>
    <w:p w14:paraId="5179C63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25.1评审方法：综合评分法。</w:t>
      </w:r>
    </w:p>
    <w:p w14:paraId="7D7C60A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综合评分法，是指响应文件满足磋商文件全部实质性要求且按评审因素的量化指标评审得分最高的供应商为成交候选供应商的评审方法。</w:t>
      </w:r>
    </w:p>
    <w:p w14:paraId="6A00768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本项目评审方法、程序及标准详见“第四章评审方法及标准”。</w:t>
      </w:r>
    </w:p>
    <w:p w14:paraId="04778F6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25.2磋商准备：供应商应当按照“第二章供应商须知”的要求提前准备好磋商所需的设备，确保设备稳定可靠、互联网畅通。供应商登录供应商客户端，通过供应商客户端进入交易系统“开标大厅”，准时参加在线磋商，按照工作人员提示进行相关操作。未按上述要求进行的，导致的后果由供应商自行承担。</w:t>
      </w:r>
    </w:p>
    <w:p w14:paraId="7B6D8F1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26.磋商小组</w:t>
      </w:r>
    </w:p>
    <w:p w14:paraId="2E40C56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26.1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BCAC1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26.2磋商小组成员有下列情形之一的，应当回避：</w:t>
      </w:r>
    </w:p>
    <w:p w14:paraId="66E96AE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（1）参加采购活动前3年内与磋商供应商存在劳动关系；</w:t>
      </w:r>
    </w:p>
    <w:p w14:paraId="6184440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（2）参加采购活动前3年内担任磋商供应商的董事、监事；</w:t>
      </w:r>
    </w:p>
    <w:p w14:paraId="00809A6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（3）参加采购活动前3年内是磋商供应商的控股股东或者实际控制人；</w:t>
      </w:r>
    </w:p>
    <w:p w14:paraId="1BA1470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（4）与磋商供应商的法定代表人或者负责人有夫妻、直系血亲、三代以内旁系血亲或者近姻亲关系；</w:t>
      </w:r>
    </w:p>
    <w:p w14:paraId="680819C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（5）与磋商供应商有其他可能影响采购活动公平、公正进行的关系。</w:t>
      </w:r>
    </w:p>
    <w:p w14:paraId="1AE3053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27.评审</w:t>
      </w:r>
    </w:p>
    <w:p w14:paraId="1B253B5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27.1磋商小组按照“第四章评审方法及标准”的规定对响应文件进行评审。“第四章评审方法及标准”没有规定的方法、评审因素和标准，不作为评审依据。</w:t>
      </w:r>
    </w:p>
    <w:p w14:paraId="6C58EFB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27.2磋商小组按“供应商须知前附表”规定的成交候选人数量在评审报告中向采购人推荐成交候选人。</w:t>
      </w:r>
    </w:p>
    <w:p w14:paraId="30E7505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27.3开启之后，直到签订合同止，凡是属于审查、澄清、评价和比较磋商的有关资料以及确定成交意向等，均不得向供应商或者其他与评审无关的人员透露。</w:t>
      </w:r>
    </w:p>
    <w:p w14:paraId="2A2B4AC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27.4在确定成交人之前，供应商试图在响应文件审查、澄清、比较和评审时对磋商小组、采购人和采购代理机构施加任何影响都可能导致其响应无效。</w:t>
      </w:r>
    </w:p>
    <w:p w14:paraId="1DC4687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27.5电子招投标的应急措施</w:t>
      </w:r>
    </w:p>
    <w:p w14:paraId="4342D0A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27.5.1电子开启、评审如出现下列原因，导致系统无法正常运行或无法正常评审时，应采取应急措施。</w:t>
      </w:r>
    </w:p>
    <w:p w14:paraId="2D92855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（1）系统服务器发生故障，无法访问或无法使用系统；</w:t>
      </w:r>
    </w:p>
    <w:p w14:paraId="3D1CFFF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（2）系统的软件或数据库出现错误，不能进行正常操作；</w:t>
      </w:r>
    </w:p>
    <w:p w14:paraId="0FD76DB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（3）系统发现有安全漏洞，有潜在的泄密危险；</w:t>
      </w:r>
    </w:p>
    <w:p w14:paraId="31E02B7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（4）病毒发作或受到外来病毒的攻击；</w:t>
      </w:r>
    </w:p>
    <w:p w14:paraId="76CCF7C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（5）出现其他不可抗拒的客观原因造成开评标系统无法正常使用。</w:t>
      </w:r>
    </w:p>
    <w:p w14:paraId="264083D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出现上述情况时，应对未开启的暂停开启。已在系统内开启、评审的立即停止。采取应急措施时，必须对原有资料及信息</w:t>
      </w:r>
      <w:r>
        <w:rPr>
          <w:rFonts w:hint="eastAsia" w:ascii="仿宋" w:hAnsi="仿宋" w:eastAsia="仿宋" w:cs="仿宋"/>
          <w:color w:val="auto"/>
          <w:sz w:val="24"/>
          <w:szCs w:val="24"/>
          <w:lang w:eastAsia="zh-CN"/>
        </w:rPr>
        <w:t>做出</w:t>
      </w:r>
      <w:r>
        <w:rPr>
          <w:rFonts w:hint="eastAsia" w:ascii="仿宋" w:hAnsi="仿宋" w:eastAsia="仿宋" w:cs="仿宋"/>
          <w:color w:val="auto"/>
          <w:sz w:val="24"/>
          <w:szCs w:val="24"/>
        </w:rPr>
        <w:t>妥善保密处理。</w:t>
      </w:r>
    </w:p>
    <w:p w14:paraId="05CF791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27.5.2因系统原因导致供应商均无法解密电子响应文件时，采购代理机构可在开启现场直接导入供应商在递交响应文件截止时间前递交的未加密的电子响应文件进行开启、评审。</w:t>
      </w:r>
    </w:p>
    <w:p w14:paraId="5DA4098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27.6供应商瑕疵滞后发现的处理规则</w:t>
      </w:r>
    </w:p>
    <w:p w14:paraId="2E3F8CD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27.6.1无论基于何种原因，各项本应作拒绝处理的情形即便未被及时发现而使该供应商进入初审、综合评审或其他后续程序，包括已经签订合同的情形，一旦供应商被拒绝或该供应商的此前评议结果被取消，其现有的位置将被其他供应商依序替代，相关的一切损失均由该供应商承担。</w:t>
      </w:r>
    </w:p>
    <w:p w14:paraId="298D6F6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（八）成交</w:t>
      </w:r>
    </w:p>
    <w:p w14:paraId="6D1138C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28.确定成交供应商</w:t>
      </w:r>
    </w:p>
    <w:p w14:paraId="440EC1E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28.1确定成交供应商详见“供应商须知前附表”。</w:t>
      </w:r>
    </w:p>
    <w:p w14:paraId="0E81123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29.成交结果公告</w:t>
      </w:r>
    </w:p>
    <w:p w14:paraId="5AAA0A8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29.1采购人或者采购代理机构应当在成交供应商确定后2个工作日内，在省级以上财政部门指定的政府采购信息发布媒体上公告成交结果，磋商文件、成交供应商的评审总得分随成交结果同时公告。</w:t>
      </w:r>
    </w:p>
    <w:p w14:paraId="50F3D11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29.2成交人为中小企业享受中小企业扶持政策的，其“中小企业声明函”随成交结果同时公告。</w:t>
      </w:r>
    </w:p>
    <w:p w14:paraId="1D3CD4F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30.成交通知书</w:t>
      </w:r>
    </w:p>
    <w:p w14:paraId="325BAD5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30.1发布成交结果公告同时向成交供应商发出成交通知书。成交通知书是合同的组成部分,对成交供应商和采购人具有同等法律效力。</w:t>
      </w:r>
    </w:p>
    <w:p w14:paraId="7853A28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（九）签订合同</w:t>
      </w:r>
    </w:p>
    <w:p w14:paraId="37EB37F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31.履约保证金</w:t>
      </w:r>
    </w:p>
    <w:p w14:paraId="7C892DE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31.1在签订合同前，成交供应商应按“供应商须知前附表”规定的金额、担保形式和采购人认可的履约担保格式向采购人提交履约保证金。</w:t>
      </w:r>
    </w:p>
    <w:p w14:paraId="60C7CA4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31.2成交供应商不能按本章第31.1项要求提交履约担保的，视为放弃成交，给采购人造成损失的，成交供应商还应当承担民事责任。</w:t>
      </w:r>
    </w:p>
    <w:p w14:paraId="28D793B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32.签订合同</w:t>
      </w:r>
    </w:p>
    <w:p w14:paraId="0E14084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32.1采购人与成交供应商应当在成交通知书发出之日起</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日内，按照磋商文件确定的合同文本以及采购标的、规格型号、采购金额、采购数量、技术和服务要求等事项签订政府采购合同。采购人因不可抗力原因迟延签订合同的，应当自不可抗力事由消除之日起7日内完成合同签订事宜。所签订的合同不得对磋商文件和成交供应商响应文件作实质性修改。成交人无正当理由拒签合同，给采购人造成损失的，成交人还应当承担民事责任。</w:t>
      </w:r>
    </w:p>
    <w:p w14:paraId="08CB9CC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32.2成交供应商拒绝签订政府采购合同的，采购人可以按照《政府采购竞争性磋商采购方式管理暂行办法》（财库〔2014〕214号）第二十八条第二款的规定确定其他供应商作为成交供应商并签订政府采购合同，也可以重新开展采购活动。拒绝签订政府采购合同的成交供应商不得参加对该项目重新开展的采购活动。</w:t>
      </w:r>
    </w:p>
    <w:p w14:paraId="6681FAB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32.3采购人和成交供应商不得向对方提出任何不合理的要求，作为签订合同的条件，双方不得私下订立背离合同实质性内容的协议。</w:t>
      </w:r>
    </w:p>
    <w:p w14:paraId="4B86BA0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32.4联合体成交的，联合体各方应当共同与采购人签订合同，就采购合同约定的事项向采购人承担连带责任。</w:t>
      </w:r>
    </w:p>
    <w:p w14:paraId="11C0E36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32.5本项目的非主体、非关键性工作是否允许分包，见“供应商须知前附表”。供应商未遵守竞争性磋商文件分包规定的，其响应无效。采购人允许采用分包方式履行合同的，成交供应商可以依法在成交后将成交项目的非主体、非关键性工作采取分包方式履行合同。政府采购合同分包履行的，应当在响应文件中载明分包承担主体，分包承担主体应当具备相应资质条件且不得再次分包，否则成交无效。成交供应商就采购项目和分包项目向采购人负责，分包供应商就分包项目承担责任。政府采购合同不能转包。</w:t>
      </w:r>
    </w:p>
    <w:p w14:paraId="79B9D60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32.6采购合同履行中，采购人需追加与合同标的相同的货物、工程或者服务的，在不改变合同其他条款的前提下，可以与成交供应商协商签订补充合同，但所有补充合同的采购金额不得超过原合同采购金额的</w:t>
      </w:r>
      <w:r>
        <w:rPr>
          <w:rFonts w:hint="eastAsia" w:ascii="仿宋" w:hAnsi="仿宋" w:eastAsia="仿宋" w:cs="仿宋"/>
          <w:color w:val="auto"/>
          <w:sz w:val="24"/>
          <w:szCs w:val="24"/>
          <w:lang w:eastAsia="zh-CN"/>
        </w:rPr>
        <w:t>10%</w:t>
      </w:r>
      <w:r>
        <w:rPr>
          <w:rFonts w:hint="eastAsia" w:ascii="仿宋" w:hAnsi="仿宋" w:eastAsia="仿宋" w:cs="仿宋"/>
          <w:color w:val="auto"/>
          <w:sz w:val="24"/>
          <w:szCs w:val="24"/>
        </w:rPr>
        <w:t>。</w:t>
      </w:r>
    </w:p>
    <w:p w14:paraId="7E37408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32.7采购人应于签订合同之日起2个工作日内在政采云平台备案公示。</w:t>
      </w:r>
    </w:p>
    <w:p w14:paraId="4B3F69C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（十）质疑和投诉</w:t>
      </w:r>
    </w:p>
    <w:p w14:paraId="3E78905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33.质疑</w:t>
      </w:r>
    </w:p>
    <w:p w14:paraId="22F5A2C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33.1供应商认为磋商文件、评审过程、成交结果使自己的权益受到损害的，可以在知道或者应知其权益受到损害之日起7个工作日内，以书面形式向采购人、采购代理机构提出质疑，详见“供应商须知前附表”。供应商在法定质疑期内一次性提出针对同一采购程序环节的质疑。</w:t>
      </w:r>
    </w:p>
    <w:p w14:paraId="30833FE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33.2提出质疑的供应商（以下简称质疑供应商）应当是参与所质疑项目采购活动的供应商。</w:t>
      </w:r>
    </w:p>
    <w:p w14:paraId="735D4E3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33.3潜在供应商已依法获取其可质疑的磋商文件的，可以对该文件提出质疑。对磋商文件提出质疑的，应当在获取磋商文件或者磋商文件公告期限届满之日起7个工作日内提出。</w:t>
      </w:r>
    </w:p>
    <w:p w14:paraId="19567C2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33.4供应商提出质疑应当提交质疑函和必要的证明材料。质疑函应当包括下列内容：</w:t>
      </w:r>
    </w:p>
    <w:p w14:paraId="13685F3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（1）供应商的姓名或者名称、地址、邮编、联系人及联系电话；</w:t>
      </w:r>
    </w:p>
    <w:p w14:paraId="2A31462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（2）质疑项目的名称、编号；</w:t>
      </w:r>
    </w:p>
    <w:p w14:paraId="5C6F8BD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（3）具体、明确的质疑事项和与质疑事项相关的请求；</w:t>
      </w:r>
    </w:p>
    <w:p w14:paraId="376F8F8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（4）事实依据；</w:t>
      </w:r>
    </w:p>
    <w:p w14:paraId="64FA902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（5）必要的法律依据；</w:t>
      </w:r>
    </w:p>
    <w:p w14:paraId="036C442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（6）提出质疑的日期。</w:t>
      </w:r>
    </w:p>
    <w:p w14:paraId="0AD9A20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供应商为自然人的，应当由本人签字；供应商为法人或者其他组织的，应当由法定代表人、主要负责人，或者其授权代表签字或者盖章，并加盖公章。</w:t>
      </w:r>
    </w:p>
    <w:p w14:paraId="75B3338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33.5质疑函不符合上述要求的，采购人或代理机构应书面告知具体事项，质疑人应当按要求进行修改或补充，并在质疑有效期限内提交。</w:t>
      </w:r>
    </w:p>
    <w:p w14:paraId="42AE15E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33.6供应商进行虚假和恶意质疑投诉的，采购代理机构将提请有关部门将其列入不良记录名单，在一至三年内禁止参加政府采购活动，并将处理决定在相关政府采购媒体上公布。</w:t>
      </w:r>
    </w:p>
    <w:p w14:paraId="38B13B8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33.7质疑函应当使用中文，并采用财政部门制定的范本。</w:t>
      </w:r>
    </w:p>
    <w:p w14:paraId="6D22C83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34.质疑答复</w:t>
      </w:r>
    </w:p>
    <w:p w14:paraId="075E06E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34.1采购人、采购代理机构不得拒收质疑供应商在法定质疑期内发出的质疑函，应当在收到质疑函后7个工作日内作出答复，并以书面形式通知质疑供应商和其他有关供应商。</w:t>
      </w:r>
    </w:p>
    <w:p w14:paraId="74CB6A9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34.2供应商对评审过程、成交结果提出质疑的，采购人、采购代理机构可以组织原竞争性磋商小组协助答复质疑。</w:t>
      </w:r>
    </w:p>
    <w:p w14:paraId="2CC1CE9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质疑答复应当包括下列内容：</w:t>
      </w:r>
    </w:p>
    <w:p w14:paraId="6069272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（1）质疑供应商的姓名或者名称；</w:t>
      </w:r>
    </w:p>
    <w:p w14:paraId="471435B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（2）收到质疑函的日期、质疑项目名称及编号；</w:t>
      </w:r>
    </w:p>
    <w:p w14:paraId="6E34E09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（3）质疑事项、质疑答复的具体内容、事实依据和法律依据；</w:t>
      </w:r>
    </w:p>
    <w:p w14:paraId="48021CB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（4）告知质疑供应商依法投诉的权利；</w:t>
      </w:r>
    </w:p>
    <w:p w14:paraId="6934D66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（5）质疑答复人名称；</w:t>
      </w:r>
    </w:p>
    <w:p w14:paraId="062D9F0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（6）答复质疑的日期。</w:t>
      </w:r>
    </w:p>
    <w:p w14:paraId="12BD4AC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34.3质疑答复的内容不得涉及商业秘密。</w:t>
      </w:r>
    </w:p>
    <w:p w14:paraId="3C4AD78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35.投诉</w:t>
      </w:r>
    </w:p>
    <w:p w14:paraId="5B058D4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35.1质疑供应商对采购人、采购代理机构的答复不满意，或者采购人、采购代理机构未在规定时间内作出答复的，可以在答复期满后15个工作日内向同级政府采购监督管理部门提起投诉。</w:t>
      </w:r>
    </w:p>
    <w:p w14:paraId="15F6D02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35.2投诉人投诉时,应当提交投诉书和必要的证明材料，并按照被投诉采购人、采购代理机构（以下简称被投诉人）和与投诉事项有关的供应商数量提供投诉书的副本。投诉书应当包括下列内容：</w:t>
      </w:r>
    </w:p>
    <w:p w14:paraId="59886ED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（1）投诉人和被投诉人的姓名或者名称、通讯地址、邮编、联系人及联系电话；</w:t>
      </w:r>
    </w:p>
    <w:p w14:paraId="30727E7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（2）质疑和质疑答复情况说明及相关证明材料；</w:t>
      </w:r>
    </w:p>
    <w:p w14:paraId="710A4C2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（3）具体、明确的投诉事项和与投诉事项相关的投诉请求；</w:t>
      </w:r>
    </w:p>
    <w:p w14:paraId="1F5A980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（4）事实依据；</w:t>
      </w:r>
    </w:p>
    <w:p w14:paraId="1F6A5D7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（5）法律依据；</w:t>
      </w:r>
    </w:p>
    <w:p w14:paraId="6328807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（6）提起投诉的日期。</w:t>
      </w:r>
    </w:p>
    <w:p w14:paraId="50733E5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投诉人为自然人的，应当由本人签字；投诉人为法人或者其他组织的，应当由法定代表人、主要负责人，或者其授权代表签字或者盖章，并加盖公章。</w:t>
      </w:r>
    </w:p>
    <w:p w14:paraId="20B3692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35.3供应商质疑、投诉应当有明确的请求和必要的证明材料。供应商投诉的事项不得超出已质疑事项的范围，但基于质疑答复内容提出的投诉事项除外。</w:t>
      </w:r>
    </w:p>
    <w:p w14:paraId="08A9A35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35.4投诉书应当使用中文，并采用财政部门制定的范本。</w:t>
      </w:r>
    </w:p>
    <w:p w14:paraId="08C0CA8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（十一）采购代理服务费</w:t>
      </w:r>
    </w:p>
    <w:p w14:paraId="6F05D68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36.收取方式和标准</w:t>
      </w:r>
    </w:p>
    <w:p w14:paraId="04F8D91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36.1采购代理机构按“供应商须知前附表”规定的方式和标准收取采购代理服务费。</w:t>
      </w:r>
    </w:p>
    <w:p w14:paraId="6EDAD7D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（十二）无效响应和终止采购活动</w:t>
      </w:r>
    </w:p>
    <w:p w14:paraId="1653F09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37.无效响应</w:t>
      </w:r>
    </w:p>
    <w:p w14:paraId="32FF019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37.1响应文件存在“第四章评审方法及标准”规定的响应无效情形的，</w:t>
      </w:r>
      <w:r>
        <w:rPr>
          <w:rFonts w:hint="eastAsia" w:ascii="仿宋" w:hAnsi="仿宋" w:eastAsia="仿宋" w:cs="仿宋"/>
          <w:color w:val="auto"/>
          <w:sz w:val="24"/>
          <w:szCs w:val="24"/>
          <w:lang w:eastAsia="zh-CN"/>
        </w:rPr>
        <w:t>作</w:t>
      </w:r>
      <w:r>
        <w:rPr>
          <w:rFonts w:hint="eastAsia" w:ascii="仿宋" w:hAnsi="仿宋" w:eastAsia="仿宋" w:cs="仿宋"/>
          <w:color w:val="auto"/>
          <w:sz w:val="24"/>
          <w:szCs w:val="24"/>
        </w:rPr>
        <w:t>无效响应处理。</w:t>
      </w:r>
    </w:p>
    <w:p w14:paraId="70332CE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38.终止采购活动</w:t>
      </w:r>
    </w:p>
    <w:p w14:paraId="753C0FA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38.1出现下列情形之一的，应当终止竞争性磋商采购活动，发布项目终止公告并说明原因，重新开展采购活动：</w:t>
      </w:r>
    </w:p>
    <w:p w14:paraId="7D9EE03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（1）因情况变化，不再符合规定的竞争性磋商采购方式适用情形的；</w:t>
      </w:r>
    </w:p>
    <w:p w14:paraId="7FF5163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（2）出现影响采购公正的违法、违规行为的；</w:t>
      </w:r>
    </w:p>
    <w:p w14:paraId="48E88BF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（3）在采购过程中符合要求的供应商或者报价未超过采购预算的供应商不足3家的（市场竞争不充分的科研项目、需要扶持的科技成果转化项目提交最后报价的供应商可以为2家）。</w:t>
      </w:r>
    </w:p>
    <w:p w14:paraId="34E5BBD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38.2在采购活动中因重大变故，采购任务取消的，采购人或者采购代理机构应当终止采购活动，通知所有参加采购活动的供应商，并将项目实施情况和采购任务取消原因报送本级财政部门。</w:t>
      </w:r>
    </w:p>
    <w:p w14:paraId="5644C0E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（十三）落实政府采购政策（包括但不限于下列具体政策要求）</w:t>
      </w:r>
    </w:p>
    <w:p w14:paraId="6A96670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39.中小企业、监狱企业及残疾人福利性单位</w:t>
      </w:r>
    </w:p>
    <w:p w14:paraId="4F95492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金融业企业划型标准规定》（〔2015〕309号）等国务院批准的中小企业划分标准执行。</w:t>
      </w:r>
    </w:p>
    <w:p w14:paraId="23708AE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39.2为促进中小企业发展，依据《关于印发&lt;政府采购促进中小企业发展管理办法&gt;的通知》（财库〔2020〕46号）、《财政部司法部关于政府采购支持监狱企业发展有关问题的通知》（财库〔2014〕68号）、《关于促进残疾人就业政府采购政策的通知》（财库〔2017〕141号）的规定，本项目供应商如需享受中小企业相关政策的，且符合上述文件规定的，应按本磋商文件规定格式提供“中小企业声明函”或“监狱企业证明文件”或“残疾人福利性单位声明函”，评审时，磋商小组将依据本磋商文件“供应商须知前附表”规定的报价扣除比例，对供应商报价进行价格扣除，用扣除后的价格参与评审；磋商公告中明确项目专门面向中小企业采购的，“中小企业声明函”为资格要求文件，供应商参与磋商须按本磋商文件规定格式提供“中小企业声明函”或“监狱企业证明文件”或“残疾人福利性单位声明函”等作为资格证明文件。</w:t>
      </w:r>
    </w:p>
    <w:p w14:paraId="75559A4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39.3供应商提供的货物、工程或者服务符合下列情形的，享受中小企业扶持政策：</w:t>
      </w:r>
    </w:p>
    <w:p w14:paraId="1B688EA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39.3.1在货物采购项目中，货物由中小企业制造，即货物由中小企业生产且使用该中小企业商号或者注册商标；</w:t>
      </w:r>
    </w:p>
    <w:p w14:paraId="51E44B5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39.3.2在工程采购项目中，工程由中小企业承建，即工程施工单位为中小企业；</w:t>
      </w:r>
    </w:p>
    <w:p w14:paraId="16D8DFD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39.3.3在服务采购项目中，服务由中小企业承接，即提供服务的人员为中小企业依照《中华人民共和国劳动</w:t>
      </w:r>
      <w:r>
        <w:rPr>
          <w:rFonts w:hint="eastAsia" w:ascii="仿宋" w:hAnsi="仿宋" w:eastAsia="仿宋" w:cs="仿宋"/>
          <w:color w:val="auto"/>
          <w:sz w:val="24"/>
          <w:szCs w:val="24"/>
          <w:lang w:eastAsia="zh-CN"/>
        </w:rPr>
        <w:t>民法典</w:t>
      </w:r>
      <w:r>
        <w:rPr>
          <w:rFonts w:hint="eastAsia" w:ascii="仿宋" w:hAnsi="仿宋" w:eastAsia="仿宋" w:cs="仿宋"/>
          <w:color w:val="auto"/>
          <w:sz w:val="24"/>
          <w:szCs w:val="24"/>
        </w:rPr>
        <w:t>》订立劳动合同的从业人员。</w:t>
      </w:r>
    </w:p>
    <w:p w14:paraId="37BDA55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39.4在货物采购项目中，供应商提供的货物既有中小企业制造货物，也有大型企业制造货物的，不享受中小企业扶持政策。</w:t>
      </w:r>
    </w:p>
    <w:p w14:paraId="42E0272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39.5以联合体形式参加政府采购活动，联合体各方均为中小企业的，联合体视同中小企业。其中，联合体各方均为小微企业的，联合体视同小微企业。</w:t>
      </w:r>
    </w:p>
    <w:p w14:paraId="4E3B48E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39.6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监狱管理局、戒毒管理局的企业。</w:t>
      </w:r>
    </w:p>
    <w:p w14:paraId="0913FC9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本项目是否专门面向中小企业预留采购份额见“第一章竞争性磋商</w:t>
      </w:r>
      <w:r>
        <w:rPr>
          <w:rFonts w:hint="eastAsia" w:ascii="仿宋" w:hAnsi="仿宋" w:eastAsia="仿宋" w:cs="仿宋"/>
          <w:color w:val="auto"/>
          <w:sz w:val="24"/>
          <w:szCs w:val="24"/>
          <w:lang w:val="en-US" w:eastAsia="zh-CN"/>
        </w:rPr>
        <w:t>公告</w:t>
      </w:r>
      <w:r>
        <w:rPr>
          <w:rFonts w:hint="eastAsia" w:ascii="仿宋" w:hAnsi="仿宋" w:eastAsia="仿宋" w:cs="仿宋"/>
          <w:color w:val="auto"/>
          <w:sz w:val="24"/>
          <w:szCs w:val="24"/>
        </w:rPr>
        <w:t>”。</w:t>
      </w:r>
    </w:p>
    <w:p w14:paraId="618B27B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39.9采购标的对应的中小企业划分标准所属行业见“供应商须知前附表”。</w:t>
      </w:r>
    </w:p>
    <w:p w14:paraId="570B0FE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39.10小微企业价格评审优惠的政策调整：见“第四章评审方法及标准”。</w:t>
      </w:r>
    </w:p>
    <w:p w14:paraId="143B013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.需要补充的其他内容</w:t>
      </w:r>
    </w:p>
    <w:p w14:paraId="49C8222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.1需要补充的其他内容：见供应商须知前附表。</w:t>
      </w:r>
    </w:p>
    <w:p w14:paraId="51F0D11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.适用法律</w:t>
      </w:r>
    </w:p>
    <w:p w14:paraId="5C4CFB9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1采购人、采购代理机构及供应商的一切采购活动均适用《中华人民共和国政府采购法》、《中华人民共和国政府采购法实施条例》、《政府采购竞争性磋商采购方式管理暂行办法》（财库〔2014〕214号）及相关法律法规。</w:t>
      </w:r>
    </w:p>
    <w:p w14:paraId="1A34802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.2政府采购合同的履行、违约责任和解决争议的方法等适用《中华人民共和国民法典》。</w:t>
      </w:r>
    </w:p>
    <w:p w14:paraId="21A32D3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.解释权</w:t>
      </w:r>
    </w:p>
    <w:p w14:paraId="49FAA4E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.1本竞争性磋商文件最终解释权归采购人或采购代理机构所有。</w:t>
      </w:r>
    </w:p>
    <w:p w14:paraId="449372B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1FE739A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6CDD2119">
      <w:pPr>
        <w:pageBreakBefore w:val="0"/>
        <w:wordWrap/>
        <w:topLinePunct w:val="0"/>
        <w:bidi w:val="0"/>
        <w:spacing w:line="480" w:lineRule="exact"/>
        <w:rPr>
          <w:rFonts w:hint="eastAsia" w:ascii="仿宋" w:hAnsi="仿宋" w:eastAsia="仿宋" w:cs="仿宋"/>
          <w:color w:val="auto"/>
          <w:sz w:val="24"/>
          <w:szCs w:val="24"/>
        </w:rPr>
      </w:pPr>
    </w:p>
    <w:p w14:paraId="04621BE8">
      <w:pPr>
        <w:pStyle w:val="3"/>
        <w:pageBreakBefore w:val="0"/>
        <w:wordWrap/>
        <w:topLinePunct w:val="0"/>
        <w:bidi w:val="0"/>
        <w:spacing w:line="480" w:lineRule="exact"/>
        <w:jc w:val="center"/>
        <w:outlineLvl w:val="9"/>
        <w:rPr>
          <w:rFonts w:hint="eastAsia" w:ascii="仿宋" w:hAnsi="仿宋" w:eastAsia="仿宋" w:cs="仿宋"/>
          <w:color w:val="auto"/>
          <w:sz w:val="28"/>
          <w:szCs w:val="28"/>
        </w:rPr>
      </w:pPr>
    </w:p>
    <w:p w14:paraId="5E2B2C45">
      <w:pPr>
        <w:pageBreakBefore w:val="0"/>
        <w:wordWrap/>
        <w:topLinePunct w:val="0"/>
        <w:bidi w:val="0"/>
        <w:spacing w:line="480" w:lineRule="exact"/>
        <w:rPr>
          <w:rFonts w:hint="eastAsia" w:ascii="仿宋" w:hAnsi="仿宋" w:eastAsia="仿宋" w:cs="仿宋"/>
          <w:color w:val="auto"/>
          <w:sz w:val="28"/>
          <w:szCs w:val="28"/>
        </w:rPr>
      </w:pPr>
    </w:p>
    <w:p w14:paraId="79C6F33E">
      <w:pPr>
        <w:pageBreakBefore w:val="0"/>
        <w:wordWrap/>
        <w:topLinePunct w:val="0"/>
        <w:bidi w:val="0"/>
        <w:spacing w:line="480" w:lineRule="exact"/>
        <w:rPr>
          <w:rFonts w:hint="eastAsia" w:ascii="仿宋" w:hAnsi="仿宋" w:eastAsia="仿宋" w:cs="仿宋"/>
          <w:color w:val="auto"/>
          <w:sz w:val="28"/>
          <w:szCs w:val="28"/>
        </w:rPr>
      </w:pPr>
    </w:p>
    <w:p w14:paraId="3C6C1077">
      <w:pPr>
        <w:pageBreakBefore w:val="0"/>
        <w:wordWrap/>
        <w:topLinePunct w:val="0"/>
        <w:bidi w:val="0"/>
        <w:spacing w:line="480" w:lineRule="exact"/>
        <w:rPr>
          <w:rFonts w:hint="eastAsia" w:ascii="仿宋" w:hAnsi="仿宋" w:eastAsia="仿宋" w:cs="仿宋"/>
          <w:color w:val="auto"/>
          <w:sz w:val="28"/>
          <w:szCs w:val="28"/>
        </w:rPr>
      </w:pPr>
    </w:p>
    <w:p w14:paraId="179FAC4D">
      <w:pPr>
        <w:pageBreakBefore w:val="0"/>
        <w:wordWrap/>
        <w:topLinePunct w:val="0"/>
        <w:bidi w:val="0"/>
        <w:spacing w:line="480" w:lineRule="exact"/>
        <w:rPr>
          <w:rFonts w:hint="eastAsia" w:ascii="仿宋" w:hAnsi="仿宋" w:eastAsia="仿宋" w:cs="仿宋"/>
          <w:color w:val="auto"/>
          <w:sz w:val="28"/>
          <w:szCs w:val="28"/>
        </w:rPr>
      </w:pPr>
    </w:p>
    <w:p w14:paraId="7C419BF7">
      <w:pPr>
        <w:pageBreakBefore w:val="0"/>
        <w:wordWrap/>
        <w:topLinePunct w:val="0"/>
        <w:bidi w:val="0"/>
        <w:spacing w:line="480" w:lineRule="exact"/>
        <w:rPr>
          <w:rFonts w:hint="eastAsia" w:ascii="仿宋" w:hAnsi="仿宋" w:eastAsia="仿宋" w:cs="仿宋"/>
          <w:color w:val="auto"/>
          <w:sz w:val="28"/>
          <w:szCs w:val="28"/>
        </w:rPr>
      </w:pPr>
    </w:p>
    <w:p w14:paraId="342169F9">
      <w:pPr>
        <w:pageBreakBefore w:val="0"/>
        <w:wordWrap/>
        <w:topLinePunct w:val="0"/>
        <w:bidi w:val="0"/>
        <w:spacing w:line="480" w:lineRule="exact"/>
        <w:rPr>
          <w:rFonts w:hint="eastAsia" w:ascii="仿宋" w:hAnsi="仿宋" w:eastAsia="仿宋" w:cs="仿宋"/>
          <w:color w:val="auto"/>
          <w:sz w:val="28"/>
          <w:szCs w:val="28"/>
        </w:rPr>
      </w:pPr>
    </w:p>
    <w:p w14:paraId="21E1A002">
      <w:pPr>
        <w:pageBreakBefore w:val="0"/>
        <w:wordWrap/>
        <w:topLinePunct w:val="0"/>
        <w:bidi w:val="0"/>
        <w:spacing w:line="480" w:lineRule="exact"/>
        <w:rPr>
          <w:rFonts w:hint="eastAsia" w:ascii="仿宋" w:hAnsi="仿宋" w:eastAsia="仿宋" w:cs="仿宋"/>
          <w:color w:val="auto"/>
          <w:sz w:val="28"/>
          <w:szCs w:val="28"/>
        </w:rPr>
      </w:pPr>
    </w:p>
    <w:p w14:paraId="576AC778">
      <w:pPr>
        <w:pageBreakBefore w:val="0"/>
        <w:wordWrap/>
        <w:topLinePunct w:val="0"/>
        <w:bidi w:val="0"/>
        <w:spacing w:line="480" w:lineRule="exact"/>
        <w:rPr>
          <w:rFonts w:hint="eastAsia" w:ascii="仿宋" w:hAnsi="仿宋" w:eastAsia="仿宋" w:cs="仿宋"/>
          <w:color w:val="auto"/>
          <w:sz w:val="28"/>
          <w:szCs w:val="28"/>
        </w:rPr>
      </w:pPr>
    </w:p>
    <w:p w14:paraId="3A2DED6A">
      <w:pPr>
        <w:pageBreakBefore w:val="0"/>
        <w:wordWrap/>
        <w:topLinePunct w:val="0"/>
        <w:bidi w:val="0"/>
        <w:spacing w:line="480" w:lineRule="exact"/>
        <w:rPr>
          <w:rFonts w:hint="eastAsia" w:ascii="仿宋" w:hAnsi="仿宋" w:eastAsia="仿宋" w:cs="仿宋"/>
          <w:color w:val="auto"/>
          <w:sz w:val="28"/>
          <w:szCs w:val="28"/>
        </w:rPr>
      </w:pPr>
    </w:p>
    <w:p w14:paraId="2DDEBD48">
      <w:pPr>
        <w:pageBreakBefore w:val="0"/>
        <w:wordWrap/>
        <w:topLinePunct w:val="0"/>
        <w:bidi w:val="0"/>
        <w:spacing w:line="480" w:lineRule="exact"/>
        <w:rPr>
          <w:rFonts w:hint="eastAsia" w:ascii="仿宋" w:hAnsi="仿宋" w:eastAsia="仿宋" w:cs="仿宋"/>
          <w:color w:val="auto"/>
          <w:sz w:val="28"/>
          <w:szCs w:val="28"/>
        </w:rPr>
      </w:pPr>
    </w:p>
    <w:p w14:paraId="138ABD3D">
      <w:pPr>
        <w:pageBreakBefore w:val="0"/>
        <w:wordWrap/>
        <w:topLinePunct w:val="0"/>
        <w:bidi w:val="0"/>
        <w:spacing w:line="480" w:lineRule="exact"/>
        <w:rPr>
          <w:rFonts w:hint="eastAsia" w:ascii="仿宋" w:hAnsi="仿宋" w:eastAsia="仿宋" w:cs="仿宋"/>
          <w:color w:val="auto"/>
          <w:sz w:val="28"/>
          <w:szCs w:val="28"/>
        </w:rPr>
      </w:pPr>
    </w:p>
    <w:p w14:paraId="7B4BC228">
      <w:pPr>
        <w:pageBreakBefore w:val="0"/>
        <w:wordWrap/>
        <w:topLinePunct w:val="0"/>
        <w:bidi w:val="0"/>
        <w:spacing w:line="480" w:lineRule="exact"/>
        <w:rPr>
          <w:rFonts w:hint="eastAsia" w:ascii="仿宋" w:hAnsi="仿宋" w:eastAsia="仿宋" w:cs="仿宋"/>
          <w:color w:val="auto"/>
          <w:sz w:val="28"/>
          <w:szCs w:val="28"/>
        </w:rPr>
      </w:pPr>
    </w:p>
    <w:p w14:paraId="450B5985">
      <w:pPr>
        <w:pageBreakBefore w:val="0"/>
        <w:wordWrap/>
        <w:topLinePunct w:val="0"/>
        <w:bidi w:val="0"/>
        <w:spacing w:line="480" w:lineRule="exact"/>
        <w:rPr>
          <w:rFonts w:hint="eastAsia" w:ascii="仿宋" w:hAnsi="仿宋" w:eastAsia="仿宋" w:cs="仿宋"/>
          <w:color w:val="auto"/>
          <w:sz w:val="28"/>
          <w:szCs w:val="28"/>
        </w:rPr>
      </w:pPr>
    </w:p>
    <w:p w14:paraId="342FC1CC">
      <w:pPr>
        <w:pStyle w:val="3"/>
        <w:pageBreakBefore w:val="0"/>
        <w:wordWrap/>
        <w:topLinePunct w:val="0"/>
        <w:bidi w:val="0"/>
        <w:spacing w:line="480" w:lineRule="exact"/>
        <w:jc w:val="center"/>
        <w:rPr>
          <w:rFonts w:hint="eastAsia" w:ascii="仿宋" w:hAnsi="仿宋" w:eastAsia="仿宋" w:cs="仿宋"/>
          <w:color w:val="auto"/>
          <w:sz w:val="24"/>
          <w:szCs w:val="24"/>
        </w:rPr>
      </w:pPr>
      <w:bookmarkStart w:id="3" w:name="_Toc18175"/>
      <w:r>
        <w:rPr>
          <w:rFonts w:hint="eastAsia" w:ascii="仿宋" w:hAnsi="仿宋" w:eastAsia="仿宋" w:cs="仿宋"/>
          <w:color w:val="auto"/>
          <w:sz w:val="28"/>
          <w:szCs w:val="28"/>
          <w:lang w:val="en-US" w:eastAsia="zh-CN"/>
        </w:rPr>
        <w:t xml:space="preserve">第三章 </w:t>
      </w:r>
      <w:r>
        <w:rPr>
          <w:rFonts w:hint="eastAsia" w:ascii="仿宋" w:hAnsi="仿宋" w:eastAsia="仿宋" w:cs="仿宋"/>
          <w:color w:val="auto"/>
          <w:sz w:val="28"/>
          <w:szCs w:val="28"/>
        </w:rPr>
        <w:t>项目采购需求</w:t>
      </w:r>
      <w:bookmarkEnd w:id="3"/>
    </w:p>
    <w:p w14:paraId="4B533D26">
      <w:pPr>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项目名称：</w:t>
      </w:r>
      <w:r>
        <w:rPr>
          <w:rFonts w:hint="eastAsia" w:ascii="仿宋" w:hAnsi="仿宋" w:eastAsia="仿宋" w:cs="仿宋"/>
          <w:color w:val="auto"/>
          <w:sz w:val="24"/>
          <w:szCs w:val="24"/>
          <w:lang w:eastAsia="zh-CN"/>
        </w:rPr>
        <w:t>昌吉市公园游园整治提升项目</w:t>
      </w:r>
    </w:p>
    <w:p w14:paraId="28F6AA1E">
      <w:pPr>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val="en-US" w:eastAsia="zh-CN"/>
        </w:rPr>
        <w:t>工程</w:t>
      </w:r>
      <w:r>
        <w:rPr>
          <w:rFonts w:hint="eastAsia" w:ascii="仿宋" w:hAnsi="仿宋" w:eastAsia="仿宋" w:cs="仿宋"/>
          <w:b/>
          <w:bCs/>
          <w:color w:val="auto"/>
          <w:sz w:val="24"/>
          <w:szCs w:val="24"/>
        </w:rPr>
        <w:t>地点：</w:t>
      </w:r>
      <w:r>
        <w:rPr>
          <w:rFonts w:hint="eastAsia" w:ascii="仿宋" w:hAnsi="仿宋" w:eastAsia="仿宋" w:cs="仿宋"/>
          <w:color w:val="auto"/>
          <w:sz w:val="24"/>
          <w:szCs w:val="24"/>
          <w:lang w:val="en-US" w:eastAsia="zh-CN"/>
        </w:rPr>
        <w:t>昌吉市</w:t>
      </w:r>
    </w:p>
    <w:p w14:paraId="6BE0D160">
      <w:pPr>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rPr>
        <w:t>合同履行期限：</w:t>
      </w:r>
      <w:r>
        <w:rPr>
          <w:rFonts w:hint="eastAsia" w:ascii="仿宋" w:hAnsi="仿宋" w:eastAsia="仿宋" w:cs="仿宋"/>
          <w:color w:val="auto"/>
          <w:sz w:val="24"/>
          <w:szCs w:val="24"/>
          <w:highlight w:val="none"/>
          <w:lang w:val="en-US" w:eastAsia="zh-CN"/>
        </w:rPr>
        <w:t>2025年07月03日开工，2025年10月30日竣工，总工期120天（日历日）。</w:t>
      </w:r>
    </w:p>
    <w:p w14:paraId="38208557">
      <w:pPr>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报价要求</w:t>
      </w:r>
    </w:p>
    <w:p w14:paraId="260AED6E">
      <w:pPr>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（1）供应商的投标报价不得超出预算金额，如超出，视为无效投标处理。</w:t>
      </w:r>
    </w:p>
    <w:p w14:paraId="6137C405">
      <w:pPr>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highlight w:val="yellow"/>
        </w:rPr>
      </w:pPr>
      <w:r>
        <w:rPr>
          <w:rFonts w:hint="eastAsia" w:ascii="仿宋" w:hAnsi="仿宋" w:eastAsia="仿宋" w:cs="仿宋"/>
          <w:b w:val="0"/>
          <w:bCs w:val="0"/>
          <w:color w:val="auto"/>
          <w:sz w:val="24"/>
          <w:szCs w:val="24"/>
          <w:highlight w:val="none"/>
          <w:lang w:eastAsia="zh-CN"/>
        </w:rPr>
        <w:t>（2）已标价工程量清单说明文字与招标文件规定一致，未进行实质性修改和删减；供应商必须按招标工程量清单填报价格。项目编码、项目名称、项目特征、计量单位、工程量必须与招标工程量清单一致。</w:t>
      </w:r>
    </w:p>
    <w:p w14:paraId="49792B54">
      <w:pPr>
        <w:pageBreakBefore w:val="0"/>
        <w:widowControl/>
        <w:kinsoku w:val="0"/>
        <w:wordWrap/>
        <w:overflowPunct/>
        <w:topLinePunct w:val="0"/>
        <w:autoSpaceDE w:val="0"/>
        <w:autoSpaceDN w:val="0"/>
        <w:bidi w:val="0"/>
        <w:adjustRightInd w:val="0"/>
        <w:snapToGrid w:val="0"/>
        <w:spacing w:line="480" w:lineRule="exact"/>
        <w:ind w:firstLine="482"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工程量清单</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工程量清单详见采购文件附件</w:t>
      </w:r>
      <w:r>
        <w:rPr>
          <w:rFonts w:hint="eastAsia" w:ascii="仿宋" w:hAnsi="仿宋" w:eastAsia="仿宋" w:cs="仿宋"/>
          <w:color w:val="auto"/>
          <w:sz w:val="24"/>
          <w:szCs w:val="24"/>
          <w:lang w:eastAsia="zh-CN"/>
        </w:rPr>
        <w:t>）</w:t>
      </w:r>
    </w:p>
    <w:p w14:paraId="5A2AD762">
      <w:pPr>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20FFD1B8">
      <w:pPr>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0587CB9B">
      <w:pPr>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36E87B00">
      <w:pPr>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6182696B">
      <w:pPr>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5148F012">
      <w:pPr>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18DFB912">
      <w:pPr>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34B6EEB2">
      <w:pPr>
        <w:pStyle w:val="2"/>
        <w:rPr>
          <w:rFonts w:hint="eastAsia" w:ascii="仿宋" w:hAnsi="仿宋" w:eastAsia="仿宋" w:cs="仿宋"/>
          <w:color w:val="auto"/>
          <w:sz w:val="24"/>
          <w:szCs w:val="24"/>
        </w:rPr>
      </w:pPr>
    </w:p>
    <w:p w14:paraId="15B3A4BF">
      <w:pPr>
        <w:pStyle w:val="2"/>
        <w:rPr>
          <w:rFonts w:hint="eastAsia" w:ascii="仿宋" w:hAnsi="仿宋" w:eastAsia="仿宋" w:cs="仿宋"/>
          <w:color w:val="auto"/>
          <w:sz w:val="24"/>
          <w:szCs w:val="24"/>
        </w:rPr>
      </w:pPr>
    </w:p>
    <w:p w14:paraId="53286AB0">
      <w:pPr>
        <w:pStyle w:val="2"/>
        <w:rPr>
          <w:rFonts w:hint="eastAsia" w:ascii="仿宋" w:hAnsi="仿宋" w:eastAsia="仿宋" w:cs="仿宋"/>
          <w:color w:val="auto"/>
          <w:sz w:val="24"/>
          <w:szCs w:val="24"/>
        </w:rPr>
      </w:pPr>
    </w:p>
    <w:p w14:paraId="32ADC4C6">
      <w:pPr>
        <w:pStyle w:val="2"/>
        <w:rPr>
          <w:rFonts w:hint="eastAsia" w:ascii="仿宋" w:hAnsi="仿宋" w:eastAsia="仿宋" w:cs="仿宋"/>
          <w:color w:val="auto"/>
          <w:sz w:val="24"/>
          <w:szCs w:val="24"/>
        </w:rPr>
      </w:pPr>
    </w:p>
    <w:p w14:paraId="6C0B49A4">
      <w:pPr>
        <w:pStyle w:val="2"/>
        <w:rPr>
          <w:rFonts w:hint="eastAsia" w:ascii="仿宋" w:hAnsi="仿宋" w:eastAsia="仿宋" w:cs="仿宋"/>
          <w:color w:val="auto"/>
          <w:sz w:val="24"/>
          <w:szCs w:val="24"/>
        </w:rPr>
      </w:pPr>
    </w:p>
    <w:p w14:paraId="47084C03">
      <w:pPr>
        <w:pStyle w:val="2"/>
        <w:rPr>
          <w:rFonts w:hint="eastAsia" w:ascii="仿宋" w:hAnsi="仿宋" w:eastAsia="仿宋" w:cs="仿宋"/>
          <w:color w:val="auto"/>
          <w:sz w:val="24"/>
          <w:szCs w:val="24"/>
        </w:rPr>
      </w:pPr>
    </w:p>
    <w:p w14:paraId="1EF01263">
      <w:pPr>
        <w:pStyle w:val="2"/>
        <w:rPr>
          <w:rFonts w:hint="eastAsia" w:ascii="仿宋" w:hAnsi="仿宋" w:eastAsia="仿宋" w:cs="仿宋"/>
          <w:color w:val="auto"/>
          <w:sz w:val="24"/>
          <w:szCs w:val="24"/>
        </w:rPr>
      </w:pPr>
    </w:p>
    <w:p w14:paraId="423756F5">
      <w:pPr>
        <w:pStyle w:val="2"/>
        <w:rPr>
          <w:rFonts w:hint="eastAsia" w:ascii="仿宋" w:hAnsi="仿宋" w:eastAsia="仿宋" w:cs="仿宋"/>
          <w:color w:val="auto"/>
          <w:sz w:val="24"/>
          <w:szCs w:val="24"/>
        </w:rPr>
      </w:pPr>
    </w:p>
    <w:p w14:paraId="0A859E8F">
      <w:pPr>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18C397F5">
      <w:pPr>
        <w:pStyle w:val="3"/>
        <w:pageBreakBefore w:val="0"/>
        <w:widowControl/>
        <w:kinsoku w:val="0"/>
        <w:wordWrap/>
        <w:overflowPunct/>
        <w:topLinePunct w:val="0"/>
        <w:autoSpaceDE w:val="0"/>
        <w:autoSpaceDN w:val="0"/>
        <w:bidi w:val="0"/>
        <w:adjustRightInd w:val="0"/>
        <w:snapToGrid w:val="0"/>
        <w:spacing w:line="480" w:lineRule="exact"/>
        <w:ind w:firstLine="562" w:firstLineChars="200"/>
        <w:jc w:val="center"/>
        <w:textAlignment w:val="baseline"/>
        <w:outlineLvl w:val="9"/>
        <w:rPr>
          <w:rFonts w:hint="eastAsia" w:ascii="仿宋" w:hAnsi="仿宋" w:eastAsia="仿宋" w:cs="仿宋"/>
          <w:color w:val="auto"/>
          <w:sz w:val="28"/>
          <w:szCs w:val="28"/>
        </w:rPr>
      </w:pPr>
    </w:p>
    <w:p w14:paraId="4D138CC2">
      <w:pPr>
        <w:pageBreakBefore w:val="0"/>
        <w:widowControl/>
        <w:kinsoku w:val="0"/>
        <w:wordWrap/>
        <w:overflowPunct/>
        <w:topLinePunct w:val="0"/>
        <w:autoSpaceDE w:val="0"/>
        <w:autoSpaceDN w:val="0"/>
        <w:bidi w:val="0"/>
        <w:adjustRightInd w:val="0"/>
        <w:snapToGrid w:val="0"/>
        <w:spacing w:line="480" w:lineRule="exact"/>
        <w:ind w:firstLine="560" w:firstLineChars="200"/>
        <w:textAlignment w:val="baseline"/>
        <w:rPr>
          <w:rFonts w:hint="eastAsia" w:ascii="仿宋" w:hAnsi="仿宋" w:eastAsia="仿宋" w:cs="仿宋"/>
          <w:color w:val="auto"/>
          <w:sz w:val="28"/>
          <w:szCs w:val="28"/>
        </w:rPr>
      </w:pPr>
    </w:p>
    <w:p w14:paraId="791946E4">
      <w:pPr>
        <w:pStyle w:val="3"/>
        <w:pageBreakBefore w:val="0"/>
        <w:wordWrap/>
        <w:topLinePunct w:val="0"/>
        <w:bidi w:val="0"/>
        <w:spacing w:line="480" w:lineRule="exact"/>
        <w:jc w:val="center"/>
        <w:rPr>
          <w:rFonts w:hint="eastAsia" w:ascii="仿宋" w:hAnsi="仿宋" w:eastAsia="仿宋" w:cs="仿宋"/>
          <w:color w:val="auto"/>
          <w:sz w:val="28"/>
          <w:szCs w:val="28"/>
        </w:rPr>
      </w:pPr>
      <w:bookmarkStart w:id="4" w:name="_Toc8153"/>
      <w:r>
        <w:rPr>
          <w:rFonts w:hint="eastAsia" w:ascii="仿宋" w:hAnsi="仿宋" w:eastAsia="仿宋" w:cs="仿宋"/>
          <w:color w:val="auto"/>
          <w:sz w:val="28"/>
          <w:szCs w:val="28"/>
        </w:rPr>
        <w:t>第四章</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评审方法及标准</w:t>
      </w:r>
      <w:bookmarkEnd w:id="4"/>
    </w:p>
    <w:p w14:paraId="3C50A17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一、评审方法</w:t>
      </w:r>
    </w:p>
    <w:p w14:paraId="737E422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本项目采用综合评分法。综合评分法是指经磋商确定最终采购需求和提交最后报价（因落实政府采购政策进行价格调整的，以调整后的价格计算）的供应商的响应文件满足磋商文件全部实质性要求且按评审因素的量化指标评审得分最高的供应商为成交候选供应商的评审方法。</w:t>
      </w:r>
    </w:p>
    <w:p w14:paraId="4403445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二、评审程序</w:t>
      </w:r>
    </w:p>
    <w:p w14:paraId="5FDBCB9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（一）资格审查和符合性审查</w:t>
      </w:r>
    </w:p>
    <w:p w14:paraId="0CE3F96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磋商小组根据磋商文件规定的供应商资格条件、评审成交的标准等事项，对供应商的响应文件进行评审。资格审查和符合性审查不符合磋商文件要求的响应文件，按无效文件处理，不进入磋商，并告知有关供应商。</w:t>
      </w:r>
    </w:p>
    <w:p w14:paraId="66B5CB5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2.通过资格性审查和符合性审查的有效供应商不足3家的应当终止竞争性磋商采购活动，发布项目终止公告并说明原因，重新开展采购活动。</w:t>
      </w:r>
    </w:p>
    <w:p w14:paraId="571C72A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（二）响应文件澄清</w:t>
      </w:r>
    </w:p>
    <w:p w14:paraId="009A9FA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EB86CB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AD2904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（三）磋商程序</w:t>
      </w:r>
    </w:p>
    <w:p w14:paraId="25E99DC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磋商小组应当依据磋商文件规定的程序、评审成交的标准等事项与实质性响应磋商文件要求的供应商进行磋商。</w:t>
      </w:r>
    </w:p>
    <w:p w14:paraId="467B96D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1.第一轮磋商</w:t>
      </w:r>
    </w:p>
    <w:p w14:paraId="45AA94D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1.1磋商小组将按照系统随机的顺序决定供应商的磋商顺序，并集中与单一供应商分别进行磋商。</w:t>
      </w:r>
    </w:p>
    <w:p w14:paraId="01CC1BB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1.2磋商小组所有成员应当对照磋商文件和响应文件就采购需求、质量和服务等内容集中与单一供应商分别进行磋商，并给予所有参加磋商的供应商平等的磋商机会。在磋商中，磋商的任何一方不得透露与磋商有关的其他供应商的技术资料、价格和其他信息。</w:t>
      </w:r>
    </w:p>
    <w:p w14:paraId="3A23113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1.3磋商过程中，磋商小组可以根据磋商文件和磋商情况实质性变动采购需求中的技术、服务要求以及合同条款，但不得变动磋商文件中的其他内容。实质性变动的内容，须经采购人代表确认。</w:t>
      </w:r>
    </w:p>
    <w:p w14:paraId="627371B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1.4对磋商文件作出的实质性变动的内容是磋商文件的有效组成部分。磋商小组应将磋商文件的变动情况以书面形式通知所有参加磋商的供应商。</w:t>
      </w:r>
    </w:p>
    <w:p w14:paraId="44DCB47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1.5供应商应当按照磋商文件的变动情况和磋商小组的要求在规定的时间内重新提交响应文件，并由其法定代表人或授权代表签字或者加盖公章。由授权代表签字的，应当附法定代表人授权书。供应商为自然人的，应当由本人签字并附身份证明。逾时不提交的，视同退出磋商。</w:t>
      </w:r>
    </w:p>
    <w:p w14:paraId="4E94D61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2.多轮磋商</w:t>
      </w:r>
    </w:p>
    <w:p w14:paraId="5AE5771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2.1磋商文件中不能详细列明采购标的的技术、服务要求，需经磋商由供应商提供最终设计方案或解决方案的项目，磋商小组可以根据采购人对采购需求的确认情况，进行多轮磋商，直到采购人代表最终确认采购需求为止。</w:t>
      </w:r>
    </w:p>
    <w:p w14:paraId="5BB62F4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2.3磋商程序同第一轮磋商。</w:t>
      </w:r>
    </w:p>
    <w:p w14:paraId="6B2EFF7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3.最后报价</w:t>
      </w:r>
    </w:p>
    <w:p w14:paraId="4A570FF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3.1磋商文件中能够详细列明采购标的的技术、服务要求的，磋商结束后，磋商小组应当要求所有实质性响应的供应商，在规定时间内，以书面的方式经授权代表签字（或加盖公章）后提交最后报价，提交最后报价的供应商不得少于3家（市场竞争不充分的科研项目，以及需要扶持的科技成果转化项目可以为2家）。</w:t>
      </w:r>
    </w:p>
    <w:p w14:paraId="622FCD1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3.2磋商文件中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DB057C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3.3最后报价是供应商响应文件的有效组成部分。逾时不提交的，视同退出磋商。</w:t>
      </w:r>
    </w:p>
    <w:p w14:paraId="55F5082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最后报价出现前后不一致的，按照下列规定修正：</w:t>
      </w:r>
    </w:p>
    <w:p w14:paraId="222DEDF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（1）大写金额和小写金额不一致的，以大写金额为准；</w:t>
      </w:r>
    </w:p>
    <w:p w14:paraId="0378AAF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（2）单价金额小数点或百分比有明显错位的，以最后报价表的总价为准，并修改单价；</w:t>
      </w:r>
    </w:p>
    <w:p w14:paraId="30E5AC0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（3）总价金额与按单价汇总金额不一致的，以单价金额计算结果为准；</w:t>
      </w:r>
    </w:p>
    <w:p w14:paraId="4D8AD63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（4）同时出现两种以上不一致的，按照前款规定的顺序修正；</w:t>
      </w:r>
    </w:p>
    <w:p w14:paraId="1850ED4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修正后的报价应通过书面方式通知供应商，由供应商授权代表签字（或加盖公章）确认后产生约束力，供应商不确认的，按照无效响应处理。</w:t>
      </w:r>
    </w:p>
    <w:p w14:paraId="6C83F9F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4.商务技术评审</w:t>
      </w:r>
    </w:p>
    <w:p w14:paraId="7657139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4.1经磋商确定最终采购需求和提交最后报价的供应商后，由磋商小组采用综合评分法对提交最后报价的供应商的响应文件和最后报价进行综合评分。</w:t>
      </w:r>
    </w:p>
    <w:p w14:paraId="7791D63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5.报价评审</w:t>
      </w:r>
    </w:p>
    <w:p w14:paraId="7203DD1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5.1报价合理性说明：磋商小组认为供应商的最后报价明显低于其他供应商最后报价，有可能影响工程质量或者不能诚信履约的，应当要求其在合理的时间内提供说明，必要时提交相关证明材料；供应商不能证明其最后报价合理性的，磋商小组应当将其作无效响应处理。</w:t>
      </w:r>
    </w:p>
    <w:p w14:paraId="7A17CBE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5.1.1供应商应根据答疑内容在规定的时间内提供说明和相关证明材料，磋商小组认定相关证明材料对此报价的说明或者证明材料可以佐证此报价的工程质量和具有诚信履约能力，予以通过审查；</w:t>
      </w:r>
    </w:p>
    <w:p w14:paraId="7A57CFC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5.1.2供应商提供的说明或者证明材料必须按照国家相关规定，逐项对其报价作详细陈述，并由法定代表人或者其授权代表签字确认并加盖公章；</w:t>
      </w:r>
    </w:p>
    <w:p w14:paraId="0BAFD72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5.1.3供应商不能合理说明或者不能提供相关证明材料的，由磋商小组认定该供应商以低于成本报价竞标，有可能影响工程质量或者不能诚信履约，应当将其作为无效响应处理；</w:t>
      </w:r>
    </w:p>
    <w:p w14:paraId="2BAC6F0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5.1.4供应商也可以有预见性地准备好上述要求的书面说明和相关证明材料并加盖公章。</w:t>
      </w:r>
    </w:p>
    <w:p w14:paraId="597A71E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5.2价格扣除：</w:t>
      </w:r>
    </w:p>
    <w:p w14:paraId="5D778D4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非专门面向中小企业的采购项目或采购包，对符合规定的小微企业（监狱企业、残疾人福利性单位、联合体各方均为小微企业的联合体、符合小微企业划分标准的个体工商户视同小微企业）报价按照竞争性磋商文件“供应商须知前附表”中的规定扣除，对小微企业中的监狱企业、残疾人福利性单位、采购产品纳入创新产品应用示范推荐目录内企业、采购产品获得节能产品或环境标志产品认证证书的企业报价按照本竞争性磋商文件“供应商须知前附表”中的规定扣除，用扣除后的价格计算评审基准价。</w:t>
      </w:r>
    </w:p>
    <w:p w14:paraId="4A59AEA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p>
    <w:p w14:paraId="1D6A881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（3）组成联合体或者接受分包的小微企业与联合体内其他企业、分包企业之间存在直接控股、管理关系的，不享受价格扣除优惠政策。</w:t>
      </w:r>
    </w:p>
    <w:p w14:paraId="36891CE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（4）价格扣除比例对小型企业和微型企业同等对待，不作区分。</w:t>
      </w:r>
    </w:p>
    <w:p w14:paraId="36AA7AF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b w:val="0"/>
          <w:bCs w:val="0"/>
          <w:color w:val="auto"/>
          <w:sz w:val="24"/>
          <w:szCs w:val="24"/>
        </w:rPr>
        <w:t>专门面向中小企业、预留部分采购份额面向中小企业采购的项目或采购包，评审时不再进行价格扣除。</w:t>
      </w:r>
    </w:p>
    <w:p w14:paraId="3FB4C8B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（6）若供应商同时属于小型或微型企业、监狱企业、残疾人福利性单位中的两种及以上，将不重复享受小微企业价格扣减的优惠政策。</w:t>
      </w:r>
    </w:p>
    <w:p w14:paraId="440B5F7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5.3价格分采用低价优先法计算，即满足磋商文件要求且最后报价最低的供应商的价格为磋商基准价，其价格分为满分。其他供应商的价格分统一按照下列公式计算：</w:t>
      </w:r>
    </w:p>
    <w:p w14:paraId="111D190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磋商报价得分=（磋商基准价/最后磋商报价）×价格分值</w:t>
      </w:r>
    </w:p>
    <w:p w14:paraId="3F7FF43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项目评审过程中，不得去掉最后报价中的最高报价和最低报价。计算方法详见本章“三、评审标准”中的具体计算公式。</w:t>
      </w:r>
    </w:p>
    <w:p w14:paraId="5B2578D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6.计分办法及复核</w:t>
      </w:r>
    </w:p>
    <w:p w14:paraId="6F63ACC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6.1评审过程中，各项分值一般精确到小数点后两位，评审得分应当为商务评分、技术评分、报价评分之和。磋商小组各成员应当汇总每个供应商的得分。</w:t>
      </w:r>
    </w:p>
    <w:p w14:paraId="124E169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6.2评审结果汇总完成后，采购代理机构应当对评审结果进行复核。经复核发现存在以下情形之一的，磋商小组应当当场修改评审结果，并在评审报告中记载：</w:t>
      </w:r>
    </w:p>
    <w:p w14:paraId="009762A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（1）资格性检查认定错误的；</w:t>
      </w:r>
    </w:p>
    <w:p w14:paraId="794A803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（2）分值汇总计算错误的；</w:t>
      </w:r>
    </w:p>
    <w:p w14:paraId="28D1945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（3）分项评分超出评分标准范围的；</w:t>
      </w:r>
    </w:p>
    <w:p w14:paraId="1352548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（4）磋商小组成员对客观分评分不一致的；</w:t>
      </w:r>
    </w:p>
    <w:p w14:paraId="53DDDFD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（5）经磋商小组一致认定评分畸高、畸低的。</w:t>
      </w:r>
    </w:p>
    <w:p w14:paraId="0A34D37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6.3各供应商的最终得分为磋商小组所有成员对各供应商评审得分汇总后的算术平均值。</w:t>
      </w:r>
    </w:p>
    <w:p w14:paraId="7811D9F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6.4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0F2F7AE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6.5采购人或者采购代理机构不得通过对供应商进行考察等方式改变评审结果。</w:t>
      </w:r>
    </w:p>
    <w:p w14:paraId="39CC0D0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7.评审报告</w:t>
      </w:r>
    </w:p>
    <w:p w14:paraId="57A27AF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7.1磋商小组从质量和服务均能满足磋商文件实质性要求的供应商中，按照综合得分由高到低的顺序推荐3名（市场竞争不充分的科研项目，以及需要扶持的科技成果转化项目可以为2家）以上成交候选供应商。评审得分相同的，磋商小组按照最后报价由低到高的顺序推荐；得分相同且最后报价相同的，按照技术指标优劣顺序推荐。响应文件满足磋商文件全部实质性要求且评审得分最高的供应商为排名第一的成交候选供应商。磋商小组依据评审结果形成评审报告。</w:t>
      </w:r>
    </w:p>
    <w:p w14:paraId="01B6B32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7.2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FD2764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8.响应无效的情形</w:t>
      </w:r>
    </w:p>
    <w:p w14:paraId="01D6C35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8.1供应商存在下列情况之一的，其响应无效：</w:t>
      </w:r>
    </w:p>
    <w:p w14:paraId="607A6B0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（1）不同供应商的响应文件由同一单位或者个人编制；</w:t>
      </w:r>
    </w:p>
    <w:p w14:paraId="2A3598C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（2）不同供应商委托同一单位或者个人办理磋商响应事宜；</w:t>
      </w:r>
    </w:p>
    <w:p w14:paraId="6CD6156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（3）不同供应商的响应文件载明的项目管理成员或者联系人员为同一人；</w:t>
      </w:r>
    </w:p>
    <w:p w14:paraId="2779DA7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（4）不同供应商的响应文件异常一致或者磋商报价呈规律性差异；</w:t>
      </w:r>
    </w:p>
    <w:p w14:paraId="604D607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（5）不同供应商的响应文件相互混装；</w:t>
      </w:r>
    </w:p>
    <w:p w14:paraId="05793D0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（6）不同供应商的磋商保证金从同一单位或者个人的账户转出；</w:t>
      </w:r>
    </w:p>
    <w:p w14:paraId="7B74074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（7）不同供应商使用同一电脑（机器特征值一致：如MAC地址等）或使用同一电子密钥，编制或上传电子响应文件；</w:t>
      </w:r>
    </w:p>
    <w:p w14:paraId="46849D9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（8）法律、法规、规章和竞争性磋商文件规定的其他响应无效的情形。</w:t>
      </w:r>
    </w:p>
    <w:p w14:paraId="0406B2C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8.2磋商小组应当审查所有供应商的响应文件是否对竞争性磋商文件提出的所有实质性要求和条件做出响应。未能在实质上响应的供应商，其响应无效。</w:t>
      </w:r>
    </w:p>
    <w:p w14:paraId="567CAC4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8.3供应商不得误导、干扰磋商小组的评审活动，否则其响应无效。</w:t>
      </w:r>
    </w:p>
    <w:p w14:paraId="3F5F3A6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9.停止评审的情形</w:t>
      </w:r>
    </w:p>
    <w:p w14:paraId="169096E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9.1磋商小组在评审过程中发现供应商有行贿、提供虚假材料或者串通等违法行为的，应当及时向财政部门报告。</w:t>
      </w:r>
    </w:p>
    <w:p w14:paraId="7156514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9.2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14:paraId="051C4C44">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三、评审标准</w:t>
      </w:r>
    </w:p>
    <w:p w14:paraId="0196CAF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（一）资格审查表</w:t>
      </w:r>
    </w:p>
    <w:tbl>
      <w:tblPr>
        <w:tblStyle w:val="26"/>
        <w:tblW w:w="94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728"/>
        <w:gridCol w:w="7284"/>
        <w:gridCol w:w="1406"/>
      </w:tblGrid>
      <w:tr w14:paraId="7FF99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54" w:hRule="atLeast"/>
          <w:jc w:val="center"/>
        </w:trPr>
        <w:tc>
          <w:tcPr>
            <w:tcW w:w="728" w:type="dxa"/>
            <w:shd w:val="clear" w:color="auto" w:fill="auto"/>
            <w:vAlign w:val="center"/>
          </w:tcPr>
          <w:p w14:paraId="0FCF43A2">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7284" w:type="dxa"/>
            <w:shd w:val="clear" w:color="auto" w:fill="auto"/>
            <w:vAlign w:val="center"/>
          </w:tcPr>
          <w:p w14:paraId="28334171">
            <w:pPr>
              <w:keepNext w:val="0"/>
              <w:keepLines w:val="0"/>
              <w:pageBreakBefore w:val="0"/>
              <w:widowControl/>
              <w:kinsoku w:val="0"/>
              <w:wordWrap/>
              <w:overflowPunct/>
              <w:topLinePunct w:val="0"/>
              <w:autoSpaceDE w:val="0"/>
              <w:autoSpaceDN w:val="0"/>
              <w:bidi w:val="0"/>
              <w:adjustRightInd w:val="0"/>
              <w:snapToGrid w:val="0"/>
              <w:spacing w:line="480" w:lineRule="exact"/>
              <w:ind w:firstLine="482" w:firstLineChars="200"/>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审查内容</w:t>
            </w:r>
          </w:p>
        </w:tc>
        <w:tc>
          <w:tcPr>
            <w:tcW w:w="1406" w:type="dxa"/>
            <w:shd w:val="clear" w:color="auto" w:fill="auto"/>
            <w:vAlign w:val="center"/>
          </w:tcPr>
          <w:p w14:paraId="4A933060">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default" w:ascii="仿宋" w:hAnsi="仿宋" w:eastAsia="仿宋" w:cs="仿宋"/>
                <w:b/>
                <w:bCs/>
                <w:color w:val="auto"/>
                <w:sz w:val="24"/>
                <w:szCs w:val="24"/>
                <w:lang w:val="en-US" w:eastAsia="zh-CN"/>
              </w:rPr>
            </w:pPr>
            <w:r>
              <w:rPr>
                <w:rFonts w:hint="eastAsia" w:ascii="仿宋" w:hAnsi="仿宋" w:eastAsia="仿宋" w:cs="仿宋"/>
                <w:b/>
                <w:bCs/>
                <w:color w:val="auto"/>
                <w:highlight w:val="none"/>
                <w:lang w:val="en-US" w:eastAsia="zh-CN"/>
              </w:rPr>
              <w:t>审查结果</w:t>
            </w:r>
          </w:p>
        </w:tc>
      </w:tr>
      <w:tr w14:paraId="5B3B0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46" w:hRule="atLeast"/>
          <w:jc w:val="center"/>
        </w:trPr>
        <w:tc>
          <w:tcPr>
            <w:tcW w:w="728" w:type="dxa"/>
            <w:shd w:val="clear" w:color="auto" w:fill="auto"/>
            <w:vAlign w:val="center"/>
          </w:tcPr>
          <w:p w14:paraId="617E8795">
            <w:pPr>
              <w:keepNext w:val="0"/>
              <w:keepLines w:val="0"/>
              <w:pageBreakBefore w:val="0"/>
              <w:widowControl/>
              <w:kinsoku w:val="0"/>
              <w:wordWrap/>
              <w:overflowPunct/>
              <w:topLinePunct w:val="0"/>
              <w:autoSpaceDE w:val="0"/>
              <w:autoSpaceDN w:val="0"/>
              <w:bidi w:val="0"/>
              <w:adjustRightInd w:val="0"/>
              <w:snapToGrid w:val="0"/>
              <w:spacing w:line="480" w:lineRule="exact"/>
              <w:ind w:firstLine="240" w:firstLineChars="100"/>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7284" w:type="dxa"/>
            <w:shd w:val="clear" w:color="auto" w:fill="auto"/>
            <w:vAlign w:val="center"/>
          </w:tcPr>
          <w:p w14:paraId="184BEFC3">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供应商名称与营业执照一致（符合法定工商变更程序除外）</w:t>
            </w:r>
          </w:p>
        </w:tc>
        <w:tc>
          <w:tcPr>
            <w:tcW w:w="1406" w:type="dxa"/>
            <w:shd w:val="clear" w:color="auto" w:fill="auto"/>
            <w:vAlign w:val="center"/>
          </w:tcPr>
          <w:p w14:paraId="2407766C">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p>
        </w:tc>
      </w:tr>
      <w:tr w14:paraId="24C30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2250" w:hRule="atLeast"/>
          <w:jc w:val="center"/>
        </w:trPr>
        <w:tc>
          <w:tcPr>
            <w:tcW w:w="728" w:type="dxa"/>
            <w:shd w:val="clear" w:color="auto" w:fill="auto"/>
            <w:vAlign w:val="center"/>
          </w:tcPr>
          <w:p w14:paraId="78176426">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7284" w:type="dxa"/>
            <w:shd w:val="clear" w:color="auto" w:fill="auto"/>
            <w:vAlign w:val="center"/>
          </w:tcPr>
          <w:p w14:paraId="07DAA16D">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项目负责人须具备市政公用工程专业二级及以上建造师注册证书，注册单位名称与投标人名称一致，具备有效的安全生产考核合格证书（B类），未在其他建设工程项目任职，并提供无在建项目的承诺书（无在建承诺书承诺时间须在开标截止时间前）；</w:t>
            </w:r>
          </w:p>
        </w:tc>
        <w:tc>
          <w:tcPr>
            <w:tcW w:w="1406" w:type="dxa"/>
            <w:shd w:val="clear" w:color="auto" w:fill="auto"/>
            <w:vAlign w:val="center"/>
          </w:tcPr>
          <w:p w14:paraId="6D0C2D00">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p>
        </w:tc>
      </w:tr>
      <w:tr w14:paraId="67820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03" w:hRule="atLeast"/>
          <w:jc w:val="center"/>
        </w:trPr>
        <w:tc>
          <w:tcPr>
            <w:tcW w:w="728" w:type="dxa"/>
            <w:shd w:val="clear" w:color="auto" w:fill="auto"/>
            <w:vAlign w:val="center"/>
          </w:tcPr>
          <w:p w14:paraId="0712DBC6">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7284" w:type="dxa"/>
            <w:shd w:val="clear" w:color="auto" w:fill="auto"/>
            <w:vAlign w:val="center"/>
          </w:tcPr>
          <w:p w14:paraId="70ABB331">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具有履行合同所必需的设备和专业技术能力（提供声明函格式自拟）即具有完成本项目采购能力；</w:t>
            </w:r>
          </w:p>
        </w:tc>
        <w:tc>
          <w:tcPr>
            <w:tcW w:w="1406" w:type="dxa"/>
            <w:shd w:val="clear" w:color="auto" w:fill="auto"/>
            <w:vAlign w:val="center"/>
          </w:tcPr>
          <w:p w14:paraId="473D5C5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19F86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03" w:hRule="atLeast"/>
          <w:jc w:val="center"/>
        </w:trPr>
        <w:tc>
          <w:tcPr>
            <w:tcW w:w="728" w:type="dxa"/>
            <w:shd w:val="clear" w:color="auto" w:fill="auto"/>
            <w:vAlign w:val="center"/>
          </w:tcPr>
          <w:p w14:paraId="6A62F76D">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7284" w:type="dxa"/>
            <w:shd w:val="clear" w:color="auto" w:fill="auto"/>
            <w:vAlign w:val="center"/>
          </w:tcPr>
          <w:p w14:paraId="05513E48">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具有依法缴纳税收和社会保障资金的良好记录（提供本单位近三个月内任意一个月的依法缴纳税收和社会保障资金的相关材料）</w:t>
            </w:r>
            <w:r>
              <w:rPr>
                <w:rFonts w:hint="eastAsia" w:ascii="仿宋" w:hAnsi="仿宋" w:eastAsia="仿宋" w:cs="仿宋"/>
                <w:color w:val="auto"/>
                <w:sz w:val="24"/>
                <w:szCs w:val="24"/>
                <w:lang w:val="en-US" w:eastAsia="zh-CN"/>
              </w:rPr>
              <w:t>；</w:t>
            </w:r>
          </w:p>
        </w:tc>
        <w:tc>
          <w:tcPr>
            <w:tcW w:w="1406" w:type="dxa"/>
            <w:shd w:val="clear" w:color="auto" w:fill="auto"/>
            <w:vAlign w:val="center"/>
          </w:tcPr>
          <w:p w14:paraId="4D79086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208B9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352" w:hRule="atLeast"/>
          <w:jc w:val="center"/>
        </w:trPr>
        <w:tc>
          <w:tcPr>
            <w:tcW w:w="728" w:type="dxa"/>
            <w:shd w:val="clear" w:color="auto" w:fill="auto"/>
            <w:vAlign w:val="center"/>
          </w:tcPr>
          <w:p w14:paraId="044F537A">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284" w:type="dxa"/>
            <w:shd w:val="clear" w:color="auto" w:fill="auto"/>
            <w:vAlign w:val="center"/>
          </w:tcPr>
          <w:p w14:paraId="3891A575">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单位负责人为同一人或者存在直接控股、管理关系的不同供应商，不得参加同一合同项下的政府采购活动（提供声明函格式自拟）；</w:t>
            </w:r>
          </w:p>
        </w:tc>
        <w:tc>
          <w:tcPr>
            <w:tcW w:w="1406" w:type="dxa"/>
            <w:shd w:val="clear" w:color="auto" w:fill="auto"/>
            <w:vAlign w:val="center"/>
          </w:tcPr>
          <w:p w14:paraId="42A0608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0AA33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2375" w:hRule="atLeast"/>
          <w:jc w:val="center"/>
        </w:trPr>
        <w:tc>
          <w:tcPr>
            <w:tcW w:w="728" w:type="dxa"/>
            <w:shd w:val="clear" w:color="auto" w:fill="auto"/>
            <w:vAlign w:val="center"/>
          </w:tcPr>
          <w:p w14:paraId="3C0EBFAA">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284" w:type="dxa"/>
            <w:shd w:val="clear" w:color="auto" w:fill="auto"/>
            <w:vAlign w:val="center"/>
          </w:tcPr>
          <w:p w14:paraId="17DF44E1">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参加政府采购活动前三年内，在经营活动中没有重大违法记录，在“信用中国”网站（www.creditchina.gov.cn）、中国政府采购网（www.ccgp.gov.cn）没有被列入失信被执行人、重大税收违法失信主体名单、政府采购严重违法失信行为记录名单及其他不符合规定条件；</w:t>
            </w:r>
          </w:p>
        </w:tc>
        <w:tc>
          <w:tcPr>
            <w:tcW w:w="1406" w:type="dxa"/>
            <w:shd w:val="clear" w:color="auto" w:fill="auto"/>
            <w:vAlign w:val="center"/>
          </w:tcPr>
          <w:p w14:paraId="43C5709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78F7A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357" w:hRule="atLeast"/>
          <w:jc w:val="center"/>
        </w:trPr>
        <w:tc>
          <w:tcPr>
            <w:tcW w:w="728" w:type="dxa"/>
            <w:shd w:val="clear" w:color="auto" w:fill="auto"/>
            <w:vAlign w:val="center"/>
          </w:tcPr>
          <w:p w14:paraId="79401687">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7284" w:type="dxa"/>
            <w:shd w:val="clear" w:color="auto" w:fill="auto"/>
            <w:vAlign w:val="center"/>
          </w:tcPr>
          <w:p w14:paraId="202BC51A">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落实政府采购政策需满足的资格要求：本项目为专门面向中小企业采购的项目，</w:t>
            </w:r>
            <w:bookmarkStart w:id="5" w:name="OLE_LINK6"/>
            <w:r>
              <w:rPr>
                <w:rFonts w:hint="eastAsia" w:ascii="仿宋" w:hAnsi="仿宋" w:eastAsia="仿宋" w:cs="仿宋"/>
                <w:color w:val="auto"/>
                <w:sz w:val="24"/>
                <w:szCs w:val="24"/>
                <w:lang w:val="en-US" w:eastAsia="zh-CN"/>
              </w:rPr>
              <w:t>供应商应出具中小企业声明函或证明材料</w:t>
            </w:r>
            <w:bookmarkEnd w:id="5"/>
            <w:r>
              <w:rPr>
                <w:rFonts w:hint="eastAsia" w:ascii="仿宋" w:hAnsi="仿宋" w:eastAsia="仿宋" w:cs="仿宋"/>
                <w:color w:val="auto"/>
                <w:sz w:val="24"/>
                <w:szCs w:val="24"/>
                <w:lang w:val="en-US" w:eastAsia="zh-CN"/>
              </w:rPr>
              <w:t>；</w:t>
            </w:r>
          </w:p>
        </w:tc>
        <w:tc>
          <w:tcPr>
            <w:tcW w:w="1406" w:type="dxa"/>
            <w:shd w:val="clear" w:color="auto" w:fill="auto"/>
            <w:vAlign w:val="center"/>
          </w:tcPr>
          <w:p w14:paraId="7355DD8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bl>
    <w:p w14:paraId="2CA1C01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备注：</w:t>
      </w:r>
    </w:p>
    <w:p w14:paraId="32BAA03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1.供应商须按上表格式要求提供相关证明文件，响应文件中须编入清晰的扫描件或网页截图。所有证明材料须清晰可辨认，如因证明材料模糊无法辨认，缺页、漏页导致无法进行评审认定的，责任由供应商承担。</w:t>
      </w:r>
    </w:p>
    <w:p w14:paraId="66373B4B">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2.信用信息核查</w:t>
      </w:r>
    </w:p>
    <w:p w14:paraId="49CA617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2.1资格审查阶段应当核查供应商信用记录，供应商被列入失信被执行人、重大税收违法失信主体、政府采购严重违法失信行为记录名单的，采购人拒绝其参与政府采购活动。</w:t>
      </w:r>
    </w:p>
    <w:p w14:paraId="249B4E8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3.对于响应文件中有任意一条不满足上表要求的，将导致其响应无效，不得进入下一项评审。</w:t>
      </w:r>
    </w:p>
    <w:p w14:paraId="7B9FF46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sectPr>
          <w:footerReference r:id="rId9" w:type="default"/>
          <w:pgSz w:w="11906" w:h="16839"/>
          <w:pgMar w:top="1166" w:right="1023" w:bottom="1315" w:left="1023" w:header="829" w:footer="1047" w:gutter="0"/>
          <w:pgNumType w:fmt="decimal" w:start="1"/>
          <w:cols w:space="720" w:num="1"/>
        </w:sectPr>
      </w:pPr>
    </w:p>
    <w:p w14:paraId="21A1021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（二）符合性审查表</w:t>
      </w:r>
    </w:p>
    <w:tbl>
      <w:tblPr>
        <w:tblStyle w:val="26"/>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06"/>
        <w:gridCol w:w="1825"/>
        <w:gridCol w:w="5534"/>
        <w:gridCol w:w="1384"/>
      </w:tblGrid>
      <w:tr w14:paraId="72CB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80" w:hRule="atLeast"/>
          <w:jc w:val="center"/>
        </w:trPr>
        <w:tc>
          <w:tcPr>
            <w:tcW w:w="506" w:type="dxa"/>
            <w:shd w:val="clear" w:color="auto" w:fill="auto"/>
            <w:textDirection w:val="tbRlV"/>
            <w:vAlign w:val="center"/>
          </w:tcPr>
          <w:p w14:paraId="38B0E755">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825" w:type="dxa"/>
            <w:shd w:val="clear" w:color="auto" w:fill="auto"/>
            <w:vAlign w:val="center"/>
          </w:tcPr>
          <w:p w14:paraId="7120E76C">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审查项名称</w:t>
            </w:r>
          </w:p>
        </w:tc>
        <w:tc>
          <w:tcPr>
            <w:tcW w:w="5534" w:type="dxa"/>
            <w:shd w:val="clear" w:color="auto" w:fill="auto"/>
            <w:vAlign w:val="center"/>
          </w:tcPr>
          <w:p w14:paraId="673DB43C">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审查内容</w:t>
            </w:r>
          </w:p>
        </w:tc>
        <w:tc>
          <w:tcPr>
            <w:tcW w:w="1384" w:type="dxa"/>
            <w:shd w:val="clear" w:color="auto" w:fill="auto"/>
            <w:vAlign w:val="center"/>
          </w:tcPr>
          <w:p w14:paraId="5F8488BD">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审查结果</w:t>
            </w:r>
          </w:p>
        </w:tc>
      </w:tr>
      <w:tr w14:paraId="51EC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9" w:hRule="atLeast"/>
          <w:jc w:val="center"/>
        </w:trPr>
        <w:tc>
          <w:tcPr>
            <w:tcW w:w="506" w:type="dxa"/>
            <w:shd w:val="clear" w:color="auto" w:fill="auto"/>
            <w:vAlign w:val="center"/>
          </w:tcPr>
          <w:p w14:paraId="689358CE">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825" w:type="dxa"/>
            <w:shd w:val="clear" w:color="auto" w:fill="auto"/>
            <w:vAlign w:val="center"/>
          </w:tcPr>
          <w:p w14:paraId="3F780EDE">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响应文件签署</w:t>
            </w:r>
          </w:p>
        </w:tc>
        <w:tc>
          <w:tcPr>
            <w:tcW w:w="5534" w:type="dxa"/>
            <w:shd w:val="clear" w:color="auto" w:fill="auto"/>
            <w:vAlign w:val="center"/>
          </w:tcPr>
          <w:p w14:paraId="53F3BC5E">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响应文件按磋商文件要求签署、盖章的</w:t>
            </w:r>
            <w:r>
              <w:rPr>
                <w:rFonts w:hint="eastAsia" w:ascii="仿宋" w:hAnsi="仿宋" w:eastAsia="仿宋" w:cs="仿宋"/>
                <w:color w:val="auto"/>
                <w:sz w:val="24"/>
                <w:szCs w:val="24"/>
                <w:lang w:eastAsia="zh-CN"/>
              </w:rPr>
              <w:t>。</w:t>
            </w:r>
          </w:p>
        </w:tc>
        <w:tc>
          <w:tcPr>
            <w:tcW w:w="1384" w:type="dxa"/>
            <w:shd w:val="clear" w:color="auto" w:fill="auto"/>
            <w:vAlign w:val="center"/>
          </w:tcPr>
          <w:p w14:paraId="4F4E026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2B6D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8" w:hRule="atLeast"/>
          <w:jc w:val="center"/>
        </w:trPr>
        <w:tc>
          <w:tcPr>
            <w:tcW w:w="506" w:type="dxa"/>
            <w:shd w:val="clear" w:color="auto" w:fill="auto"/>
            <w:vAlign w:val="center"/>
          </w:tcPr>
          <w:p w14:paraId="7479831F">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825" w:type="dxa"/>
            <w:shd w:val="clear" w:color="auto" w:fill="auto"/>
            <w:vAlign w:val="center"/>
          </w:tcPr>
          <w:p w14:paraId="3812F1EB">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磋商保证金</w:t>
            </w:r>
          </w:p>
        </w:tc>
        <w:tc>
          <w:tcPr>
            <w:tcW w:w="5534" w:type="dxa"/>
            <w:shd w:val="clear" w:color="auto" w:fill="auto"/>
            <w:vAlign w:val="center"/>
          </w:tcPr>
          <w:p w14:paraId="030A3126">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供应商按照</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lang w:eastAsia="zh-CN"/>
              </w:rPr>
              <w:t>文件的规定提交</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lang w:eastAsia="zh-CN"/>
              </w:rPr>
              <w:t>保证金</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lang w:eastAsia="zh-CN"/>
              </w:rPr>
              <w:t>。</w:t>
            </w:r>
          </w:p>
        </w:tc>
        <w:tc>
          <w:tcPr>
            <w:tcW w:w="1384" w:type="dxa"/>
            <w:shd w:val="clear" w:color="auto" w:fill="auto"/>
            <w:vAlign w:val="center"/>
          </w:tcPr>
          <w:p w14:paraId="59C1D54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1CB0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506" w:type="dxa"/>
            <w:shd w:val="clear" w:color="auto" w:fill="auto"/>
            <w:vAlign w:val="center"/>
          </w:tcPr>
          <w:p w14:paraId="07F375B4">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825" w:type="dxa"/>
            <w:shd w:val="clear" w:color="auto" w:fill="auto"/>
            <w:vAlign w:val="center"/>
          </w:tcPr>
          <w:p w14:paraId="502C2596">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磋商响应性报价</w:t>
            </w:r>
          </w:p>
        </w:tc>
        <w:tc>
          <w:tcPr>
            <w:tcW w:w="5534" w:type="dxa"/>
            <w:shd w:val="clear" w:color="auto" w:fill="auto"/>
            <w:vAlign w:val="center"/>
          </w:tcPr>
          <w:p w14:paraId="27B01EBB">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供应商报价未超过磋商文件中规定的最高限价或者预算金额的</w:t>
            </w:r>
            <w:r>
              <w:rPr>
                <w:rFonts w:hint="eastAsia" w:ascii="仿宋" w:hAnsi="仿宋" w:eastAsia="仿宋" w:cs="仿宋"/>
                <w:color w:val="auto"/>
                <w:sz w:val="24"/>
                <w:szCs w:val="24"/>
                <w:lang w:eastAsia="zh-CN"/>
              </w:rPr>
              <w:t>。</w:t>
            </w:r>
          </w:p>
        </w:tc>
        <w:tc>
          <w:tcPr>
            <w:tcW w:w="1384" w:type="dxa"/>
            <w:shd w:val="clear" w:color="auto" w:fill="auto"/>
            <w:vAlign w:val="center"/>
          </w:tcPr>
          <w:p w14:paraId="68F749E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7C8E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9" w:hRule="atLeast"/>
          <w:jc w:val="center"/>
        </w:trPr>
        <w:tc>
          <w:tcPr>
            <w:tcW w:w="506" w:type="dxa"/>
            <w:shd w:val="clear" w:color="auto" w:fill="auto"/>
            <w:vAlign w:val="center"/>
          </w:tcPr>
          <w:p w14:paraId="2D222C74">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825" w:type="dxa"/>
            <w:shd w:val="clear" w:color="auto" w:fill="auto"/>
            <w:vAlign w:val="center"/>
          </w:tcPr>
          <w:p w14:paraId="6C66A637">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虚假材料</w:t>
            </w:r>
          </w:p>
        </w:tc>
        <w:tc>
          <w:tcPr>
            <w:tcW w:w="5534" w:type="dxa"/>
            <w:shd w:val="clear" w:color="auto" w:fill="auto"/>
            <w:vAlign w:val="center"/>
          </w:tcPr>
          <w:p w14:paraId="66BD927B">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响应文件未提供虚假材料的</w:t>
            </w:r>
            <w:r>
              <w:rPr>
                <w:rFonts w:hint="eastAsia" w:ascii="仿宋" w:hAnsi="仿宋" w:eastAsia="仿宋" w:cs="仿宋"/>
                <w:color w:val="auto"/>
                <w:sz w:val="24"/>
                <w:szCs w:val="24"/>
                <w:lang w:eastAsia="zh-CN"/>
              </w:rPr>
              <w:t>。</w:t>
            </w:r>
          </w:p>
        </w:tc>
        <w:tc>
          <w:tcPr>
            <w:tcW w:w="1384" w:type="dxa"/>
            <w:shd w:val="clear" w:color="auto" w:fill="auto"/>
            <w:vAlign w:val="center"/>
          </w:tcPr>
          <w:p w14:paraId="1895717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6B58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06" w:type="dxa"/>
            <w:shd w:val="clear" w:color="auto" w:fill="auto"/>
            <w:vAlign w:val="center"/>
          </w:tcPr>
          <w:p w14:paraId="527EE7E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p w14:paraId="692278F7">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825" w:type="dxa"/>
            <w:shd w:val="clear" w:color="auto" w:fill="auto"/>
            <w:vAlign w:val="center"/>
          </w:tcPr>
          <w:p w14:paraId="5A57E4EC">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报价修正</w:t>
            </w:r>
          </w:p>
        </w:tc>
        <w:tc>
          <w:tcPr>
            <w:tcW w:w="5534" w:type="dxa"/>
            <w:shd w:val="clear" w:color="auto" w:fill="auto"/>
            <w:vAlign w:val="center"/>
          </w:tcPr>
          <w:p w14:paraId="00E20613">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报价出现前后不一致时，供应商按照</w:t>
            </w:r>
            <w:r>
              <w:rPr>
                <w:rFonts w:hint="eastAsia" w:ascii="仿宋" w:hAnsi="仿宋" w:eastAsia="仿宋" w:cs="仿宋"/>
                <w:color w:val="auto"/>
                <w:sz w:val="24"/>
                <w:szCs w:val="24"/>
              </w:rPr>
              <w:t>磋商文件</w:t>
            </w:r>
            <w:r>
              <w:rPr>
                <w:rFonts w:hint="eastAsia" w:ascii="仿宋" w:hAnsi="仿宋" w:eastAsia="仿宋" w:cs="仿宋"/>
                <w:color w:val="auto"/>
                <w:sz w:val="24"/>
                <w:szCs w:val="24"/>
                <w:lang w:eastAsia="zh-CN"/>
              </w:rPr>
              <w:t>评标办法要求确认修正后的报价。</w:t>
            </w:r>
          </w:p>
        </w:tc>
        <w:tc>
          <w:tcPr>
            <w:tcW w:w="1384" w:type="dxa"/>
            <w:shd w:val="clear" w:color="auto" w:fill="auto"/>
            <w:vAlign w:val="center"/>
          </w:tcPr>
          <w:p w14:paraId="0E2E5AE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7474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15" w:hRule="atLeast"/>
          <w:jc w:val="center"/>
        </w:trPr>
        <w:tc>
          <w:tcPr>
            <w:tcW w:w="506" w:type="dxa"/>
            <w:shd w:val="clear" w:color="auto" w:fill="auto"/>
            <w:vAlign w:val="center"/>
          </w:tcPr>
          <w:p w14:paraId="3F0F6AF7">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825" w:type="dxa"/>
            <w:shd w:val="clear" w:color="auto" w:fill="auto"/>
            <w:vAlign w:val="center"/>
          </w:tcPr>
          <w:p w14:paraId="1D371488">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default" w:ascii="仿宋" w:hAnsi="仿宋" w:eastAsia="仿宋" w:cs="仿宋"/>
                <w:color w:val="auto"/>
                <w:sz w:val="24"/>
                <w:szCs w:val="24"/>
                <w:lang w:val="en-US"/>
              </w:rPr>
            </w:pPr>
            <w:r>
              <w:rPr>
                <w:rFonts w:hint="eastAsia" w:ascii="仿宋" w:hAnsi="仿宋" w:eastAsia="仿宋" w:cs="仿宋"/>
                <w:color w:val="auto"/>
                <w:sz w:val="24"/>
                <w:szCs w:val="24"/>
                <w:lang w:eastAsia="zh-CN"/>
              </w:rPr>
              <w:t>投标有效期、</w:t>
            </w:r>
            <w:r>
              <w:rPr>
                <w:rFonts w:hint="eastAsia" w:ascii="仿宋" w:hAnsi="仿宋" w:eastAsia="仿宋" w:cs="仿宋"/>
                <w:color w:val="auto"/>
                <w:sz w:val="24"/>
                <w:szCs w:val="24"/>
                <w:lang w:val="en-US" w:eastAsia="zh-CN"/>
              </w:rPr>
              <w:t>质量标准、合同履行期限</w:t>
            </w:r>
          </w:p>
        </w:tc>
        <w:tc>
          <w:tcPr>
            <w:tcW w:w="5534" w:type="dxa"/>
            <w:shd w:val="clear" w:color="auto" w:fill="auto"/>
            <w:vAlign w:val="center"/>
          </w:tcPr>
          <w:p w14:paraId="30DA8130">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投标有效期、</w:t>
            </w:r>
            <w:r>
              <w:rPr>
                <w:rFonts w:hint="eastAsia" w:ascii="仿宋" w:hAnsi="仿宋" w:eastAsia="仿宋" w:cs="仿宋"/>
                <w:color w:val="auto"/>
                <w:sz w:val="24"/>
                <w:szCs w:val="24"/>
                <w:lang w:val="en-US" w:eastAsia="zh-CN"/>
              </w:rPr>
              <w:t>质量标准、合同履行期限</w:t>
            </w:r>
            <w:r>
              <w:rPr>
                <w:rFonts w:hint="eastAsia" w:ascii="仿宋" w:hAnsi="仿宋" w:eastAsia="仿宋" w:cs="仿宋"/>
                <w:color w:val="auto"/>
                <w:sz w:val="24"/>
                <w:szCs w:val="24"/>
                <w:lang w:eastAsia="zh-CN"/>
              </w:rPr>
              <w:t>满足</w:t>
            </w:r>
            <w:r>
              <w:rPr>
                <w:rFonts w:hint="eastAsia" w:ascii="仿宋" w:hAnsi="仿宋" w:eastAsia="仿宋" w:cs="仿宋"/>
                <w:color w:val="auto"/>
                <w:sz w:val="24"/>
                <w:szCs w:val="24"/>
              </w:rPr>
              <w:t>磋商文件</w:t>
            </w:r>
            <w:r>
              <w:rPr>
                <w:rFonts w:hint="eastAsia" w:ascii="仿宋" w:hAnsi="仿宋" w:eastAsia="仿宋" w:cs="仿宋"/>
                <w:color w:val="auto"/>
                <w:sz w:val="24"/>
                <w:szCs w:val="24"/>
                <w:lang w:eastAsia="zh-CN"/>
              </w:rPr>
              <w:t>要求的。</w:t>
            </w:r>
          </w:p>
        </w:tc>
        <w:tc>
          <w:tcPr>
            <w:tcW w:w="1384" w:type="dxa"/>
            <w:shd w:val="clear" w:color="auto" w:fill="auto"/>
            <w:vAlign w:val="center"/>
          </w:tcPr>
          <w:p w14:paraId="0A01038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4A1C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06" w:type="dxa"/>
            <w:shd w:val="clear" w:color="auto" w:fill="auto"/>
            <w:vAlign w:val="center"/>
          </w:tcPr>
          <w:p w14:paraId="534D58B0">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825" w:type="dxa"/>
            <w:shd w:val="clear" w:color="auto" w:fill="auto"/>
            <w:vAlign w:val="center"/>
          </w:tcPr>
          <w:p w14:paraId="7A497914">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附加条件</w:t>
            </w:r>
          </w:p>
        </w:tc>
        <w:tc>
          <w:tcPr>
            <w:tcW w:w="5534" w:type="dxa"/>
            <w:shd w:val="clear" w:color="auto" w:fill="auto"/>
            <w:vAlign w:val="center"/>
          </w:tcPr>
          <w:p w14:paraId="4A1FEC4F">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响应文件没有采购人不能接受的附加条件的</w:t>
            </w:r>
            <w:r>
              <w:rPr>
                <w:rFonts w:hint="eastAsia" w:ascii="仿宋" w:hAnsi="仿宋" w:eastAsia="仿宋" w:cs="仿宋"/>
                <w:color w:val="auto"/>
                <w:sz w:val="24"/>
                <w:szCs w:val="24"/>
                <w:lang w:eastAsia="zh-CN"/>
              </w:rPr>
              <w:t>。</w:t>
            </w:r>
          </w:p>
        </w:tc>
        <w:tc>
          <w:tcPr>
            <w:tcW w:w="1384" w:type="dxa"/>
            <w:shd w:val="clear" w:color="auto" w:fill="auto"/>
            <w:vAlign w:val="center"/>
          </w:tcPr>
          <w:p w14:paraId="290ED138">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3E9B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9" w:hRule="atLeast"/>
          <w:jc w:val="center"/>
        </w:trPr>
        <w:tc>
          <w:tcPr>
            <w:tcW w:w="506" w:type="dxa"/>
            <w:shd w:val="clear" w:color="auto" w:fill="auto"/>
            <w:vAlign w:val="center"/>
          </w:tcPr>
          <w:p w14:paraId="14884B54">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825" w:type="dxa"/>
            <w:shd w:val="clear" w:color="auto" w:fill="auto"/>
            <w:vAlign w:val="center"/>
          </w:tcPr>
          <w:p w14:paraId="59109CC2">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工程量清单</w:t>
            </w:r>
          </w:p>
        </w:tc>
        <w:tc>
          <w:tcPr>
            <w:tcW w:w="5534" w:type="dxa"/>
            <w:shd w:val="clear" w:color="auto" w:fill="auto"/>
            <w:vAlign w:val="center"/>
          </w:tcPr>
          <w:p w14:paraId="384C81BD">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未改变磋商文件提供工程量清单中的项目编码、项目名称、项目特征、计量单位和工程量的</w:t>
            </w:r>
            <w:r>
              <w:rPr>
                <w:rFonts w:hint="eastAsia" w:ascii="仿宋" w:hAnsi="仿宋" w:eastAsia="仿宋" w:cs="仿宋"/>
                <w:color w:val="auto"/>
                <w:sz w:val="24"/>
                <w:szCs w:val="24"/>
                <w:lang w:eastAsia="zh-CN"/>
              </w:rPr>
              <w:t>。</w:t>
            </w:r>
          </w:p>
        </w:tc>
        <w:tc>
          <w:tcPr>
            <w:tcW w:w="1384" w:type="dxa"/>
            <w:shd w:val="clear" w:color="auto" w:fill="auto"/>
            <w:vAlign w:val="center"/>
          </w:tcPr>
          <w:p w14:paraId="3D280C4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7AE6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06" w:type="dxa"/>
            <w:shd w:val="clear" w:color="auto" w:fill="auto"/>
            <w:vAlign w:val="center"/>
          </w:tcPr>
          <w:p w14:paraId="1A45BA3D">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825" w:type="dxa"/>
            <w:shd w:val="clear" w:color="auto" w:fill="auto"/>
            <w:vAlign w:val="center"/>
          </w:tcPr>
          <w:p w14:paraId="46108F3B">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不可竞争费</w:t>
            </w:r>
          </w:p>
        </w:tc>
        <w:tc>
          <w:tcPr>
            <w:tcW w:w="5534" w:type="dxa"/>
            <w:shd w:val="clear" w:color="auto" w:fill="auto"/>
            <w:vAlign w:val="center"/>
          </w:tcPr>
          <w:p w14:paraId="5B70FD30">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未改动规费、税金及安全文明施工费中“环境保护费、文明施工费、安全施工费”等不可竞争费的计费基础和费率的</w:t>
            </w:r>
            <w:r>
              <w:rPr>
                <w:rFonts w:hint="eastAsia" w:ascii="仿宋" w:hAnsi="仿宋" w:eastAsia="仿宋" w:cs="仿宋"/>
                <w:color w:val="auto"/>
                <w:sz w:val="24"/>
                <w:szCs w:val="24"/>
                <w:lang w:eastAsia="zh-CN"/>
              </w:rPr>
              <w:t>。</w:t>
            </w:r>
          </w:p>
        </w:tc>
        <w:tc>
          <w:tcPr>
            <w:tcW w:w="1384" w:type="dxa"/>
            <w:shd w:val="clear" w:color="auto" w:fill="auto"/>
            <w:vAlign w:val="center"/>
          </w:tcPr>
          <w:p w14:paraId="6FD08FD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4D48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3" w:hRule="atLeast"/>
          <w:jc w:val="center"/>
        </w:trPr>
        <w:tc>
          <w:tcPr>
            <w:tcW w:w="506" w:type="dxa"/>
            <w:shd w:val="clear" w:color="auto" w:fill="auto"/>
            <w:vAlign w:val="center"/>
          </w:tcPr>
          <w:p w14:paraId="11F0B4C0">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825" w:type="dxa"/>
            <w:shd w:val="clear" w:color="auto" w:fill="auto"/>
            <w:vAlign w:val="center"/>
          </w:tcPr>
          <w:p w14:paraId="50D4A6BB">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暂估价</w:t>
            </w:r>
          </w:p>
        </w:tc>
        <w:tc>
          <w:tcPr>
            <w:tcW w:w="5534" w:type="dxa"/>
            <w:shd w:val="clear" w:color="auto" w:fill="auto"/>
            <w:vAlign w:val="center"/>
          </w:tcPr>
          <w:p w14:paraId="460937C8">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未改动暂列金、专业工程暂估价的；未改动材料、设备等暂估单价的</w:t>
            </w:r>
            <w:r>
              <w:rPr>
                <w:rFonts w:hint="eastAsia" w:ascii="仿宋" w:hAnsi="仿宋" w:eastAsia="仿宋" w:cs="仿宋"/>
                <w:color w:val="auto"/>
                <w:sz w:val="24"/>
                <w:szCs w:val="24"/>
                <w:lang w:eastAsia="zh-CN"/>
              </w:rPr>
              <w:t>。</w:t>
            </w:r>
          </w:p>
        </w:tc>
        <w:tc>
          <w:tcPr>
            <w:tcW w:w="1384" w:type="dxa"/>
            <w:shd w:val="clear" w:color="auto" w:fill="auto"/>
            <w:vAlign w:val="center"/>
          </w:tcPr>
          <w:p w14:paraId="2547A2D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r w14:paraId="6E8C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506" w:type="dxa"/>
            <w:shd w:val="clear" w:color="auto" w:fill="auto"/>
            <w:vAlign w:val="center"/>
          </w:tcPr>
          <w:p w14:paraId="025BB082">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825" w:type="dxa"/>
            <w:shd w:val="clear" w:color="auto" w:fill="auto"/>
            <w:vAlign w:val="center"/>
          </w:tcPr>
          <w:p w14:paraId="2DD8419D">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其他无效情形</w:t>
            </w:r>
          </w:p>
        </w:tc>
        <w:tc>
          <w:tcPr>
            <w:tcW w:w="5534" w:type="dxa"/>
            <w:shd w:val="clear" w:color="auto" w:fill="auto"/>
            <w:vAlign w:val="center"/>
          </w:tcPr>
          <w:p w14:paraId="04B7200B">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未出现法律、法规、规章以及本磋商文件规定属于响应无效的其他情形。</w:t>
            </w:r>
          </w:p>
        </w:tc>
        <w:tc>
          <w:tcPr>
            <w:tcW w:w="1384" w:type="dxa"/>
            <w:shd w:val="clear" w:color="auto" w:fill="auto"/>
            <w:vAlign w:val="center"/>
          </w:tcPr>
          <w:p w14:paraId="6477F6A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center"/>
              <w:textAlignment w:val="baseline"/>
              <w:rPr>
                <w:rFonts w:hint="eastAsia" w:ascii="仿宋" w:hAnsi="仿宋" w:eastAsia="仿宋" w:cs="仿宋"/>
                <w:color w:val="auto"/>
                <w:sz w:val="24"/>
                <w:szCs w:val="24"/>
              </w:rPr>
            </w:pPr>
          </w:p>
        </w:tc>
      </w:tr>
    </w:tbl>
    <w:p w14:paraId="66F5E07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1F0F4C4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sectPr>
          <w:headerReference r:id="rId10" w:type="default"/>
          <w:footerReference r:id="rId11" w:type="default"/>
          <w:pgSz w:w="11906" w:h="16839"/>
          <w:pgMar w:top="1166" w:right="1313" w:bottom="1315" w:left="1338" w:header="829" w:footer="1047" w:gutter="0"/>
          <w:pgNumType w:fmt="decimal"/>
          <w:cols w:space="720" w:num="1"/>
        </w:sectPr>
      </w:pPr>
    </w:p>
    <w:p w14:paraId="334BB64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（三）评分标准</w:t>
      </w:r>
    </w:p>
    <w:tbl>
      <w:tblPr>
        <w:tblStyle w:val="26"/>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1"/>
        <w:gridCol w:w="1189"/>
        <w:gridCol w:w="771"/>
        <w:gridCol w:w="6309"/>
      </w:tblGrid>
      <w:tr w14:paraId="4F61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1171" w:type="dxa"/>
            <w:vAlign w:val="center"/>
          </w:tcPr>
          <w:p w14:paraId="1D750F5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评标项目</w:t>
            </w:r>
          </w:p>
        </w:tc>
        <w:tc>
          <w:tcPr>
            <w:tcW w:w="1189" w:type="dxa"/>
            <w:vAlign w:val="center"/>
          </w:tcPr>
          <w:p w14:paraId="36492626">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评标分项</w:t>
            </w:r>
          </w:p>
        </w:tc>
        <w:tc>
          <w:tcPr>
            <w:tcW w:w="771" w:type="dxa"/>
            <w:vAlign w:val="center"/>
          </w:tcPr>
          <w:p w14:paraId="0E5B8CE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c>
          <w:tcPr>
            <w:tcW w:w="6309" w:type="dxa"/>
            <w:vAlign w:val="center"/>
          </w:tcPr>
          <w:p w14:paraId="2DB99E0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子项目及分值</w:t>
            </w:r>
          </w:p>
        </w:tc>
      </w:tr>
      <w:tr w14:paraId="384E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8" w:hRule="atLeast"/>
          <w:jc w:val="center"/>
        </w:trPr>
        <w:tc>
          <w:tcPr>
            <w:tcW w:w="1171" w:type="dxa"/>
            <w:vAlign w:val="center"/>
          </w:tcPr>
          <w:p w14:paraId="509C76F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价格部分</w:t>
            </w:r>
          </w:p>
          <w:p w14:paraId="5BE4DD8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0分）</w:t>
            </w:r>
          </w:p>
        </w:tc>
        <w:tc>
          <w:tcPr>
            <w:tcW w:w="1189" w:type="dxa"/>
            <w:vAlign w:val="center"/>
          </w:tcPr>
          <w:p w14:paraId="5A35CDB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响应报价</w:t>
            </w:r>
          </w:p>
        </w:tc>
        <w:tc>
          <w:tcPr>
            <w:tcW w:w="771" w:type="dxa"/>
            <w:vAlign w:val="center"/>
          </w:tcPr>
          <w:p w14:paraId="26DDBF8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0分</w:t>
            </w:r>
          </w:p>
        </w:tc>
        <w:tc>
          <w:tcPr>
            <w:tcW w:w="6309" w:type="dxa"/>
            <w:vAlign w:val="center"/>
          </w:tcPr>
          <w:p w14:paraId="5F51348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满足采购文件要求且投标价格最低的最终响应报价为评标基准价，其价格分为满分。其他供应商的价格分统一按照下列公式计算：</w:t>
            </w:r>
          </w:p>
          <w:p w14:paraId="0177A51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响应报价得分=（评标基准价／最终响应报价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×价格分值</w:t>
            </w:r>
          </w:p>
        </w:tc>
      </w:tr>
      <w:tr w14:paraId="0AE3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5" w:hRule="atLeast"/>
          <w:jc w:val="center"/>
        </w:trPr>
        <w:tc>
          <w:tcPr>
            <w:tcW w:w="1171" w:type="dxa"/>
            <w:vMerge w:val="restart"/>
            <w:vAlign w:val="center"/>
          </w:tcPr>
          <w:p w14:paraId="4A9C13E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商务部分</w:t>
            </w:r>
          </w:p>
          <w:p w14:paraId="103E07FC">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分）</w:t>
            </w:r>
          </w:p>
        </w:tc>
        <w:tc>
          <w:tcPr>
            <w:tcW w:w="1189" w:type="dxa"/>
            <w:vAlign w:val="center"/>
          </w:tcPr>
          <w:p w14:paraId="03CFDE4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类似业绩</w:t>
            </w:r>
          </w:p>
        </w:tc>
        <w:tc>
          <w:tcPr>
            <w:tcW w:w="771" w:type="dxa"/>
            <w:vAlign w:val="center"/>
          </w:tcPr>
          <w:p w14:paraId="125A54B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分</w:t>
            </w:r>
          </w:p>
        </w:tc>
        <w:tc>
          <w:tcPr>
            <w:tcW w:w="6309" w:type="dxa"/>
            <w:vAlign w:val="center"/>
          </w:tcPr>
          <w:p w14:paraId="1FF9EB34">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供应商提供类似项目业绩，每提供一个得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分，满分</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分。</w:t>
            </w:r>
          </w:p>
          <w:p w14:paraId="7DE18BE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注：业绩证明材料须提供</w:t>
            </w:r>
            <w:r>
              <w:rPr>
                <w:rFonts w:hint="eastAsia" w:ascii="仿宋" w:hAnsi="仿宋" w:eastAsia="仿宋" w:cs="仿宋"/>
                <w:color w:val="auto"/>
                <w:sz w:val="24"/>
                <w:szCs w:val="24"/>
                <w:lang w:val="en-US" w:eastAsia="zh-CN"/>
              </w:rPr>
              <w:t>中标（</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通知书</w:t>
            </w:r>
            <w:r>
              <w:rPr>
                <w:rFonts w:hint="eastAsia" w:ascii="仿宋" w:hAnsi="仿宋" w:eastAsia="仿宋" w:cs="仿宋"/>
                <w:color w:val="auto"/>
                <w:sz w:val="24"/>
                <w:szCs w:val="24"/>
                <w:lang w:val="en-US" w:eastAsia="zh-CN"/>
              </w:rPr>
              <w:t>和</w:t>
            </w:r>
            <w:r>
              <w:rPr>
                <w:rFonts w:hint="eastAsia" w:ascii="仿宋" w:hAnsi="仿宋" w:eastAsia="仿宋" w:cs="仿宋"/>
                <w:color w:val="auto"/>
                <w:sz w:val="24"/>
                <w:szCs w:val="24"/>
              </w:rPr>
              <w:t>合同原件扫描件加盖供应商公章。</w:t>
            </w:r>
          </w:p>
        </w:tc>
      </w:tr>
      <w:tr w14:paraId="594F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3" w:hRule="atLeast"/>
          <w:jc w:val="center"/>
        </w:trPr>
        <w:tc>
          <w:tcPr>
            <w:tcW w:w="1171" w:type="dxa"/>
            <w:vMerge w:val="continue"/>
            <w:vAlign w:val="center"/>
          </w:tcPr>
          <w:p w14:paraId="125F65F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center"/>
              <w:textAlignment w:val="baseline"/>
              <w:rPr>
                <w:rFonts w:hint="eastAsia" w:ascii="仿宋" w:hAnsi="仿宋" w:eastAsia="仿宋" w:cs="仿宋"/>
                <w:color w:val="auto"/>
                <w:sz w:val="24"/>
                <w:szCs w:val="24"/>
              </w:rPr>
            </w:pPr>
          </w:p>
        </w:tc>
        <w:tc>
          <w:tcPr>
            <w:tcW w:w="1189" w:type="dxa"/>
            <w:vAlign w:val="center"/>
          </w:tcPr>
          <w:p w14:paraId="010E9E1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项目负责人</w:t>
            </w:r>
          </w:p>
        </w:tc>
        <w:tc>
          <w:tcPr>
            <w:tcW w:w="771" w:type="dxa"/>
            <w:vAlign w:val="center"/>
          </w:tcPr>
          <w:p w14:paraId="616D6F8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8分</w:t>
            </w:r>
          </w:p>
        </w:tc>
        <w:tc>
          <w:tcPr>
            <w:tcW w:w="6309" w:type="dxa"/>
            <w:vAlign w:val="center"/>
          </w:tcPr>
          <w:p w14:paraId="222FF96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①项目负责人</w:t>
            </w:r>
            <w:r>
              <w:rPr>
                <w:rFonts w:hint="eastAsia" w:ascii="仿宋" w:hAnsi="仿宋" w:eastAsia="仿宋" w:cs="仿宋"/>
                <w:color w:val="auto"/>
                <w:sz w:val="24"/>
                <w:szCs w:val="24"/>
              </w:rPr>
              <w:t>具备相关专业中级及以上职称，得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p w14:paraId="06BBA11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②项目负责人</w:t>
            </w: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rPr>
              <w:t>类似项目业绩</w:t>
            </w:r>
            <w:r>
              <w:rPr>
                <w:rFonts w:hint="eastAsia" w:ascii="仿宋" w:hAnsi="仿宋" w:eastAsia="仿宋" w:cs="仿宋"/>
                <w:color w:val="auto"/>
                <w:sz w:val="24"/>
                <w:szCs w:val="24"/>
                <w:lang w:eastAsia="zh-CN"/>
              </w:rPr>
              <w:t>，每</w:t>
            </w: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个得4</w:t>
            </w:r>
            <w:r>
              <w:rPr>
                <w:rFonts w:hint="eastAsia" w:ascii="仿宋" w:hAnsi="仿宋" w:eastAsia="仿宋" w:cs="仿宋"/>
                <w:color w:val="auto"/>
                <w:sz w:val="24"/>
                <w:szCs w:val="24"/>
                <w:lang w:eastAsia="zh-CN"/>
              </w:rPr>
              <w:t>分，</w:t>
            </w:r>
            <w:r>
              <w:rPr>
                <w:rFonts w:hint="eastAsia" w:ascii="仿宋" w:hAnsi="仿宋" w:eastAsia="仿宋" w:cs="仿宋"/>
                <w:color w:val="auto"/>
                <w:sz w:val="24"/>
                <w:szCs w:val="24"/>
                <w:lang w:val="en-US" w:eastAsia="zh-CN"/>
              </w:rPr>
              <w:t>满分4分</w:t>
            </w:r>
            <w:r>
              <w:rPr>
                <w:rFonts w:hint="eastAsia" w:ascii="仿宋" w:hAnsi="仿宋" w:eastAsia="仿宋" w:cs="仿宋"/>
                <w:color w:val="auto"/>
                <w:sz w:val="24"/>
                <w:szCs w:val="24"/>
                <w:lang w:eastAsia="zh-CN"/>
              </w:rPr>
              <w:t>。</w:t>
            </w:r>
          </w:p>
          <w:p w14:paraId="36C1519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注：业绩证明材料须提供</w:t>
            </w:r>
            <w:r>
              <w:rPr>
                <w:rFonts w:hint="eastAsia" w:ascii="仿宋" w:hAnsi="仿宋" w:eastAsia="仿宋" w:cs="仿宋"/>
                <w:color w:val="auto"/>
                <w:sz w:val="24"/>
                <w:szCs w:val="24"/>
                <w:lang w:val="en-US" w:eastAsia="zh-CN"/>
              </w:rPr>
              <w:t>中标（</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通知书</w:t>
            </w:r>
            <w:r>
              <w:rPr>
                <w:rFonts w:hint="eastAsia" w:ascii="仿宋" w:hAnsi="仿宋" w:eastAsia="仿宋" w:cs="仿宋"/>
                <w:color w:val="auto"/>
                <w:sz w:val="24"/>
                <w:szCs w:val="24"/>
                <w:lang w:val="en-US" w:eastAsia="zh-CN"/>
              </w:rPr>
              <w:t>和</w:t>
            </w:r>
            <w:r>
              <w:rPr>
                <w:rFonts w:hint="eastAsia" w:ascii="仿宋" w:hAnsi="仿宋" w:eastAsia="仿宋" w:cs="仿宋"/>
                <w:color w:val="auto"/>
                <w:sz w:val="24"/>
                <w:szCs w:val="24"/>
              </w:rPr>
              <w:t>合同原件扫描件加盖供应商公章。</w:t>
            </w:r>
          </w:p>
        </w:tc>
      </w:tr>
      <w:tr w14:paraId="31BB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8" w:hRule="atLeast"/>
          <w:jc w:val="center"/>
        </w:trPr>
        <w:tc>
          <w:tcPr>
            <w:tcW w:w="1171" w:type="dxa"/>
            <w:vMerge w:val="continue"/>
            <w:vAlign w:val="center"/>
          </w:tcPr>
          <w:p w14:paraId="2BB872F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center"/>
              <w:textAlignment w:val="baseline"/>
              <w:rPr>
                <w:rFonts w:hint="eastAsia" w:ascii="仿宋" w:hAnsi="仿宋" w:eastAsia="仿宋" w:cs="仿宋"/>
                <w:color w:val="auto"/>
                <w:sz w:val="24"/>
                <w:szCs w:val="24"/>
              </w:rPr>
            </w:pPr>
          </w:p>
        </w:tc>
        <w:tc>
          <w:tcPr>
            <w:tcW w:w="1189" w:type="dxa"/>
            <w:shd w:val="clear" w:color="auto" w:fill="auto"/>
            <w:vAlign w:val="top"/>
          </w:tcPr>
          <w:p w14:paraId="25C7B23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p>
          <w:p w14:paraId="47547B0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p>
          <w:p w14:paraId="1883076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p>
          <w:p w14:paraId="5652C5B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p>
          <w:p w14:paraId="025BF28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p>
          <w:p w14:paraId="5C753EB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项目管理</w:t>
            </w:r>
          </w:p>
          <w:p w14:paraId="3B957E4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人员</w:t>
            </w:r>
          </w:p>
        </w:tc>
        <w:tc>
          <w:tcPr>
            <w:tcW w:w="771" w:type="dxa"/>
            <w:shd w:val="clear" w:color="auto" w:fill="auto"/>
            <w:vAlign w:val="top"/>
          </w:tcPr>
          <w:p w14:paraId="5DA4333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p>
          <w:p w14:paraId="6841581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p>
          <w:p w14:paraId="2B33770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p>
          <w:p w14:paraId="4446116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p>
          <w:p w14:paraId="15813E8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p>
          <w:p w14:paraId="1105926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tc>
        <w:tc>
          <w:tcPr>
            <w:tcW w:w="6309" w:type="dxa"/>
            <w:shd w:val="clear" w:color="auto" w:fill="auto"/>
            <w:vAlign w:val="top"/>
          </w:tcPr>
          <w:p w14:paraId="2B4C04F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①技术负责人具备相关专业</w:t>
            </w:r>
            <w:r>
              <w:rPr>
                <w:rFonts w:hint="eastAsia" w:ascii="仿宋" w:hAnsi="仿宋" w:eastAsia="仿宋" w:cs="仿宋"/>
                <w:color w:val="auto"/>
                <w:sz w:val="24"/>
                <w:szCs w:val="24"/>
                <w:lang w:val="en-US" w:eastAsia="zh-CN"/>
              </w:rPr>
              <w:t>中级</w:t>
            </w:r>
            <w:r>
              <w:rPr>
                <w:rFonts w:hint="eastAsia" w:ascii="仿宋" w:hAnsi="仿宋" w:eastAsia="仿宋" w:cs="仿宋"/>
                <w:color w:val="auto"/>
                <w:sz w:val="24"/>
                <w:szCs w:val="24"/>
              </w:rPr>
              <w:t>及以上职称，得2分；</w:t>
            </w:r>
          </w:p>
          <w:p w14:paraId="5C2C302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r>
              <w:rPr>
                <w:rFonts w:hint="default" w:ascii="仿宋" w:hAnsi="仿宋" w:eastAsia="仿宋" w:cs="仿宋"/>
                <w:color w:val="auto"/>
                <w:sz w:val="24"/>
                <w:szCs w:val="24"/>
              </w:rPr>
              <w:t>②</w:t>
            </w:r>
            <w:r>
              <w:rPr>
                <w:rFonts w:hint="eastAsia" w:ascii="仿宋" w:hAnsi="仿宋" w:eastAsia="仿宋" w:cs="仿宋"/>
                <w:color w:val="auto"/>
                <w:sz w:val="24"/>
                <w:szCs w:val="24"/>
              </w:rPr>
              <w:t>项目管理机构关键岗位人员</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除项目负责人、技术负责人外</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具有相关专业中级及以上职称的，每一人得1分，最多得4分；</w:t>
            </w:r>
          </w:p>
          <w:p w14:paraId="6C048E5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r>
              <w:rPr>
                <w:rFonts w:hint="default" w:ascii="仿宋" w:hAnsi="仿宋" w:eastAsia="仿宋" w:cs="仿宋"/>
                <w:color w:val="auto"/>
                <w:sz w:val="24"/>
                <w:szCs w:val="24"/>
              </w:rPr>
              <w:t>③</w:t>
            </w:r>
            <w:r>
              <w:rPr>
                <w:rFonts w:hint="eastAsia" w:ascii="仿宋" w:hAnsi="仿宋" w:eastAsia="仿宋" w:cs="仿宋"/>
                <w:color w:val="auto"/>
                <w:sz w:val="24"/>
                <w:szCs w:val="24"/>
              </w:rPr>
              <w:t>关键岗位人员：施工员（1名）、质量员（1名）、安全员（1名）、造价人员（1名）、资料员（1名），以上有效人员配备齐全的得5分；每缺少一名以上有效人员的，</w:t>
            </w:r>
            <w:r>
              <w:rPr>
                <w:rFonts w:hint="eastAsia" w:ascii="仿宋" w:hAnsi="仿宋" w:eastAsia="仿宋" w:cs="仿宋"/>
                <w:color w:val="auto"/>
                <w:sz w:val="24"/>
                <w:szCs w:val="24"/>
                <w:highlight w:val="none"/>
              </w:rPr>
              <w:t>扣2分</w:t>
            </w:r>
            <w:r>
              <w:rPr>
                <w:rFonts w:hint="eastAsia" w:ascii="仿宋" w:hAnsi="仿宋" w:eastAsia="仿宋" w:cs="仿宋"/>
                <w:color w:val="auto"/>
                <w:sz w:val="24"/>
                <w:szCs w:val="24"/>
              </w:rPr>
              <w:t>，扣完为止。</w:t>
            </w:r>
          </w:p>
          <w:p w14:paraId="7A0289D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注：需提供拟投入人员基本信息的名单，安全员须具有有效的安全生产考核合格证，造价人员须具有有效的</w:t>
            </w:r>
            <w:r>
              <w:rPr>
                <w:rFonts w:hint="eastAsia" w:ascii="仿宋" w:hAnsi="仿宋" w:eastAsia="仿宋" w:cs="仿宋"/>
                <w:color w:val="auto"/>
                <w:sz w:val="24"/>
                <w:szCs w:val="24"/>
                <w:lang w:val="en-US" w:eastAsia="zh-CN"/>
              </w:rPr>
              <w:t>二级及以上</w:t>
            </w:r>
            <w:r>
              <w:rPr>
                <w:rFonts w:hint="eastAsia" w:ascii="仿宋" w:hAnsi="仿宋" w:eastAsia="仿宋" w:cs="仿宋"/>
                <w:color w:val="auto"/>
                <w:sz w:val="24"/>
                <w:szCs w:val="24"/>
              </w:rPr>
              <w:t>注册造价工程师执业资格；上述人员未按要求提供证明材料的不得分。</w:t>
            </w:r>
          </w:p>
        </w:tc>
      </w:tr>
      <w:tr w14:paraId="1B2F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9" w:hRule="atLeast"/>
          <w:jc w:val="center"/>
        </w:trPr>
        <w:tc>
          <w:tcPr>
            <w:tcW w:w="1171" w:type="dxa"/>
            <w:vMerge w:val="continue"/>
            <w:vAlign w:val="center"/>
          </w:tcPr>
          <w:p w14:paraId="3BFD39C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center"/>
              <w:textAlignment w:val="baseline"/>
              <w:rPr>
                <w:rFonts w:hint="eastAsia" w:ascii="仿宋" w:hAnsi="仿宋" w:eastAsia="仿宋" w:cs="仿宋"/>
                <w:color w:val="auto"/>
                <w:sz w:val="24"/>
                <w:szCs w:val="24"/>
              </w:rPr>
            </w:pPr>
          </w:p>
        </w:tc>
        <w:tc>
          <w:tcPr>
            <w:tcW w:w="1189" w:type="dxa"/>
            <w:shd w:val="clear" w:color="auto" w:fill="auto"/>
            <w:vAlign w:val="top"/>
          </w:tcPr>
          <w:p w14:paraId="36668CA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p>
          <w:p w14:paraId="7C86369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z w:val="24"/>
                <w:szCs w:val="24"/>
              </w:rPr>
            </w:pPr>
          </w:p>
          <w:p w14:paraId="714A26F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不随意更</w:t>
            </w:r>
          </w:p>
          <w:p w14:paraId="5D5831A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换人员承</w:t>
            </w:r>
          </w:p>
          <w:p w14:paraId="35BDA4F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诺</w:t>
            </w:r>
          </w:p>
        </w:tc>
        <w:tc>
          <w:tcPr>
            <w:tcW w:w="771" w:type="dxa"/>
            <w:shd w:val="clear" w:color="auto" w:fill="auto"/>
            <w:vAlign w:val="top"/>
          </w:tcPr>
          <w:p w14:paraId="473C7D1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p>
          <w:p w14:paraId="56F17AA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p>
          <w:p w14:paraId="63269FF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2分</w:t>
            </w:r>
          </w:p>
        </w:tc>
        <w:tc>
          <w:tcPr>
            <w:tcW w:w="6309" w:type="dxa"/>
            <w:shd w:val="clear" w:color="auto" w:fill="auto"/>
            <w:vAlign w:val="top"/>
          </w:tcPr>
          <w:p w14:paraId="4603561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①有不随意更换项目负责人、技术负责人及“五大员”的承诺，得1分；未提供不得分。</w:t>
            </w:r>
          </w:p>
          <w:p w14:paraId="0AF3D56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②承诺若出现随意更换项目负责人、技术负责人及“五大员”的情况，有具体经济处罚措施的，得1分。（描述简单，内容不合理或有缺失的，每有一处扣0.5分；未提供不得分）</w:t>
            </w:r>
          </w:p>
        </w:tc>
      </w:tr>
      <w:tr w14:paraId="022D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71" w:type="dxa"/>
            <w:vMerge w:val="restart"/>
            <w:vAlign w:val="center"/>
          </w:tcPr>
          <w:p w14:paraId="230CBF52">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技术部分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40分）</w:t>
            </w:r>
          </w:p>
        </w:tc>
        <w:tc>
          <w:tcPr>
            <w:tcW w:w="1189" w:type="dxa"/>
            <w:shd w:val="clear" w:color="auto" w:fill="auto"/>
            <w:vAlign w:val="center"/>
          </w:tcPr>
          <w:p w14:paraId="25AF7BDA">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施工方案</w:t>
            </w:r>
          </w:p>
        </w:tc>
        <w:tc>
          <w:tcPr>
            <w:tcW w:w="771" w:type="dxa"/>
            <w:shd w:val="clear" w:color="auto" w:fill="auto"/>
            <w:vAlign w:val="center"/>
          </w:tcPr>
          <w:p w14:paraId="702D4919">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7分</w:t>
            </w:r>
          </w:p>
        </w:tc>
        <w:tc>
          <w:tcPr>
            <w:tcW w:w="6309" w:type="dxa"/>
            <w:shd w:val="clear" w:color="auto" w:fill="auto"/>
            <w:vAlign w:val="center"/>
          </w:tcPr>
          <w:p w14:paraId="4B2F73BA">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投标单位根据</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lang w:eastAsia="zh-CN"/>
              </w:rPr>
              <w:t>情况制定施工方案与技术保证措施；</w:t>
            </w:r>
          </w:p>
          <w:p w14:paraId="07C8444A">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施工方案、技术保证措施完整、内容详实，统筹部署安排完善，各项措施</w:t>
            </w:r>
            <w:r>
              <w:rPr>
                <w:rFonts w:hint="eastAsia" w:ascii="仿宋" w:hAnsi="仿宋" w:eastAsia="仿宋" w:cs="仿宋"/>
                <w:color w:val="auto"/>
                <w:sz w:val="24"/>
                <w:szCs w:val="24"/>
                <w:highlight w:val="none"/>
                <w:lang w:val="en-US" w:eastAsia="zh-CN"/>
              </w:rPr>
              <w:t>十分</w:t>
            </w:r>
            <w:r>
              <w:rPr>
                <w:rFonts w:hint="eastAsia" w:ascii="仿宋" w:hAnsi="仿宋" w:eastAsia="仿宋" w:cs="仿宋"/>
                <w:color w:val="auto"/>
                <w:sz w:val="24"/>
                <w:szCs w:val="24"/>
                <w:highlight w:val="none"/>
                <w:lang w:eastAsia="zh-CN"/>
              </w:rPr>
              <w:t>先进、合理且能保证工程质量的得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分；</w:t>
            </w:r>
          </w:p>
          <w:p w14:paraId="7C74C47C">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内容完整，主要措施</w:t>
            </w:r>
            <w:r>
              <w:rPr>
                <w:rFonts w:hint="eastAsia" w:ascii="仿宋" w:hAnsi="仿宋" w:eastAsia="仿宋" w:cs="仿宋"/>
                <w:color w:val="auto"/>
                <w:sz w:val="24"/>
                <w:szCs w:val="24"/>
                <w:highlight w:val="none"/>
                <w:lang w:val="en-US" w:eastAsia="zh-CN"/>
              </w:rPr>
              <w:t>比较</w:t>
            </w:r>
            <w:r>
              <w:rPr>
                <w:rFonts w:hint="eastAsia" w:ascii="仿宋" w:hAnsi="仿宋" w:eastAsia="仿宋" w:cs="仿宋"/>
                <w:color w:val="auto"/>
                <w:sz w:val="24"/>
                <w:szCs w:val="24"/>
                <w:highlight w:val="none"/>
                <w:lang w:eastAsia="zh-CN"/>
              </w:rPr>
              <w:t>合理、可行的得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分；</w:t>
            </w:r>
          </w:p>
          <w:p w14:paraId="42761DBC">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内容基本完整，主要措施基本合理的得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p>
          <w:p w14:paraId="12A680E2">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内容和主要措施仅能满足基本需求的得1分；</w:t>
            </w:r>
          </w:p>
          <w:p w14:paraId="6B497FEC">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color w:val="auto"/>
                <w:lang w:val="en-US" w:eastAsia="zh-CN"/>
              </w:rPr>
            </w:pPr>
            <w:r>
              <w:rPr>
                <w:rFonts w:hint="eastAsia" w:ascii="仿宋" w:hAnsi="仿宋" w:eastAsia="仿宋" w:cs="仿宋"/>
                <w:color w:val="auto"/>
                <w:sz w:val="24"/>
                <w:szCs w:val="24"/>
                <w:highlight w:val="none"/>
                <w:lang w:eastAsia="zh-CN"/>
              </w:rPr>
              <w:t>缺项或保证措施不可行的得0分。</w:t>
            </w:r>
          </w:p>
        </w:tc>
      </w:tr>
      <w:tr w14:paraId="0324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8" w:hRule="atLeast"/>
          <w:jc w:val="center"/>
        </w:trPr>
        <w:tc>
          <w:tcPr>
            <w:tcW w:w="1171" w:type="dxa"/>
            <w:vMerge w:val="continue"/>
            <w:vAlign w:val="center"/>
          </w:tcPr>
          <w:p w14:paraId="4D6625F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lang w:val="en-US" w:eastAsia="zh-CN"/>
              </w:rPr>
            </w:pPr>
          </w:p>
        </w:tc>
        <w:tc>
          <w:tcPr>
            <w:tcW w:w="1189" w:type="dxa"/>
            <w:shd w:val="clear" w:color="auto" w:fill="auto"/>
            <w:vAlign w:val="center"/>
          </w:tcPr>
          <w:p w14:paraId="212F3BCB">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施工总进度及保证措施</w:t>
            </w:r>
          </w:p>
        </w:tc>
        <w:tc>
          <w:tcPr>
            <w:tcW w:w="771" w:type="dxa"/>
            <w:shd w:val="clear" w:color="auto" w:fill="auto"/>
            <w:vAlign w:val="center"/>
          </w:tcPr>
          <w:p w14:paraId="2933FBA9">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tc>
        <w:tc>
          <w:tcPr>
            <w:tcW w:w="6309" w:type="dxa"/>
            <w:shd w:val="clear" w:color="auto" w:fill="auto"/>
            <w:vAlign w:val="center"/>
          </w:tcPr>
          <w:p w14:paraId="384AC39A">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施工方案及进度安排科学高效，能在</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lang w:eastAsia="zh-CN"/>
              </w:rPr>
              <w:t>保证工程优质优量的情况下，计划利于工程进度且能在工期内完工的得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分；</w:t>
            </w:r>
          </w:p>
          <w:p w14:paraId="29E49260">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施工方案及进度安排合理有效，能在保证工程质量的情况下，不影响计划工程进度及工期的得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分；</w:t>
            </w:r>
          </w:p>
          <w:p w14:paraId="5D38563B">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施工方案及进度安排有效，满足采购人的工期及质量要求的得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p>
          <w:p w14:paraId="54E4F96E">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施工方案及进度安排基本合理</w:t>
            </w:r>
            <w:r>
              <w:rPr>
                <w:rFonts w:hint="eastAsia" w:ascii="仿宋" w:hAnsi="仿宋" w:eastAsia="仿宋" w:cs="仿宋"/>
                <w:color w:val="auto"/>
                <w:sz w:val="24"/>
                <w:szCs w:val="24"/>
                <w:highlight w:val="none"/>
                <w:lang w:eastAsia="zh-CN"/>
              </w:rPr>
              <w:t>，勉强满足采购人的工期及要求的得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w:t>
            </w:r>
          </w:p>
          <w:p w14:paraId="5203615E">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无方案计划或进度安排</w:t>
            </w:r>
            <w:r>
              <w:rPr>
                <w:rFonts w:hint="eastAsia" w:ascii="仿宋" w:hAnsi="仿宋" w:eastAsia="仿宋" w:cs="仿宋"/>
                <w:color w:val="auto"/>
                <w:sz w:val="24"/>
                <w:szCs w:val="24"/>
                <w:highlight w:val="none"/>
                <w:lang w:eastAsia="zh-CN"/>
              </w:rPr>
              <w:t>不合理，可能导致工程延误及其他情形的得0</w:t>
            </w:r>
            <w:r>
              <w:rPr>
                <w:rFonts w:hint="eastAsia" w:ascii="仿宋" w:hAnsi="仿宋" w:eastAsia="仿宋" w:cs="仿宋"/>
                <w:color w:val="auto"/>
                <w:sz w:val="24"/>
                <w:szCs w:val="24"/>
                <w:highlight w:val="none"/>
                <w:lang w:val="en-US" w:eastAsia="zh-CN"/>
              </w:rPr>
              <w:t>分。</w:t>
            </w:r>
          </w:p>
        </w:tc>
      </w:tr>
      <w:tr w14:paraId="7370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6" w:hRule="atLeast"/>
          <w:jc w:val="center"/>
        </w:trPr>
        <w:tc>
          <w:tcPr>
            <w:tcW w:w="1171" w:type="dxa"/>
            <w:vMerge w:val="continue"/>
            <w:vAlign w:val="center"/>
          </w:tcPr>
          <w:p w14:paraId="72561C6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p>
        </w:tc>
        <w:tc>
          <w:tcPr>
            <w:tcW w:w="1189" w:type="dxa"/>
            <w:shd w:val="clear" w:color="auto" w:fill="auto"/>
            <w:vAlign w:val="center"/>
          </w:tcPr>
          <w:p w14:paraId="09432E17">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施工安全措施计划</w:t>
            </w:r>
          </w:p>
        </w:tc>
        <w:tc>
          <w:tcPr>
            <w:tcW w:w="771" w:type="dxa"/>
            <w:shd w:val="clear" w:color="auto" w:fill="auto"/>
            <w:vAlign w:val="center"/>
          </w:tcPr>
          <w:p w14:paraId="6188E534">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tc>
        <w:tc>
          <w:tcPr>
            <w:tcW w:w="6309" w:type="dxa"/>
            <w:shd w:val="clear" w:color="auto" w:fill="auto"/>
            <w:vAlign w:val="center"/>
          </w:tcPr>
          <w:p w14:paraId="76F4DD21">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施工安全措施计划编制详细、科学、完善，十分利于保证施工安全的得7分；</w:t>
            </w:r>
          </w:p>
          <w:p w14:paraId="44ACDE2C">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default"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施工安全措施计划编制详细、完善，</w:t>
            </w:r>
            <w:r>
              <w:rPr>
                <w:rFonts w:hint="eastAsia" w:ascii="仿宋" w:hAnsi="仿宋" w:eastAsia="仿宋" w:cs="仿宋"/>
                <w:color w:val="auto"/>
                <w:kern w:val="0"/>
                <w:sz w:val="24"/>
                <w:szCs w:val="24"/>
                <w:highlight w:val="none"/>
                <w:lang w:val="en-US" w:eastAsia="zh-CN" w:bidi="ar-SA"/>
              </w:rPr>
              <w:t>比较</w:t>
            </w:r>
            <w:r>
              <w:rPr>
                <w:rFonts w:hint="default" w:ascii="仿宋" w:hAnsi="仿宋" w:eastAsia="仿宋" w:cs="仿宋"/>
                <w:color w:val="auto"/>
                <w:kern w:val="0"/>
                <w:sz w:val="24"/>
                <w:szCs w:val="24"/>
                <w:highlight w:val="none"/>
                <w:lang w:val="en-US" w:eastAsia="zh-CN" w:bidi="ar-SA"/>
              </w:rPr>
              <w:t>利于施工安全的得</w:t>
            </w:r>
            <w:r>
              <w:rPr>
                <w:rFonts w:hint="eastAsia" w:ascii="仿宋" w:hAnsi="仿宋" w:eastAsia="仿宋" w:cs="仿宋"/>
                <w:color w:val="auto"/>
                <w:kern w:val="0"/>
                <w:sz w:val="24"/>
                <w:szCs w:val="24"/>
                <w:highlight w:val="none"/>
                <w:lang w:val="en-US" w:eastAsia="zh-CN" w:bidi="ar-SA"/>
              </w:rPr>
              <w:t>5</w:t>
            </w:r>
            <w:r>
              <w:rPr>
                <w:rFonts w:hint="default" w:ascii="仿宋" w:hAnsi="仿宋" w:eastAsia="仿宋" w:cs="仿宋"/>
                <w:color w:val="auto"/>
                <w:kern w:val="0"/>
                <w:sz w:val="24"/>
                <w:szCs w:val="24"/>
                <w:highlight w:val="none"/>
                <w:lang w:val="en-US" w:eastAsia="zh-CN" w:bidi="ar-SA"/>
              </w:rPr>
              <w:t xml:space="preserve">分； </w:t>
            </w:r>
          </w:p>
          <w:p w14:paraId="3B5ADCA2">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default"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施工安全措施计划编制详细合理，满足施工安全要求的得</w:t>
            </w:r>
            <w:r>
              <w:rPr>
                <w:rFonts w:hint="eastAsia" w:ascii="仿宋" w:hAnsi="仿宋" w:eastAsia="仿宋" w:cs="仿宋"/>
                <w:color w:val="auto"/>
                <w:kern w:val="0"/>
                <w:sz w:val="24"/>
                <w:szCs w:val="24"/>
                <w:highlight w:val="none"/>
                <w:lang w:val="en-US" w:eastAsia="zh-CN" w:bidi="ar-SA"/>
              </w:rPr>
              <w:t>3</w:t>
            </w:r>
            <w:r>
              <w:rPr>
                <w:rFonts w:hint="default" w:ascii="仿宋" w:hAnsi="仿宋" w:eastAsia="仿宋" w:cs="仿宋"/>
                <w:color w:val="auto"/>
                <w:kern w:val="0"/>
                <w:sz w:val="24"/>
                <w:szCs w:val="24"/>
                <w:highlight w:val="none"/>
                <w:lang w:val="en-US" w:eastAsia="zh-CN" w:bidi="ar-SA"/>
              </w:rPr>
              <w:t xml:space="preserve">分； </w:t>
            </w:r>
          </w:p>
          <w:p w14:paraId="0E9E52AF">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default"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 xml:space="preserve">安全措施满足基本需求的得1分； </w:t>
            </w:r>
          </w:p>
          <w:p w14:paraId="7F38534C">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default"/>
                <w:lang w:val="en-US" w:eastAsia="zh-CN"/>
              </w:rPr>
            </w:pPr>
            <w:r>
              <w:rPr>
                <w:rFonts w:hint="default" w:ascii="仿宋" w:hAnsi="仿宋" w:eastAsia="仿宋" w:cs="仿宋"/>
                <w:color w:val="auto"/>
                <w:kern w:val="0"/>
                <w:sz w:val="24"/>
                <w:szCs w:val="24"/>
                <w:highlight w:val="none"/>
                <w:lang w:val="en-US" w:eastAsia="zh-CN" w:bidi="ar-SA"/>
              </w:rPr>
              <w:t>安全措施不满足实际需要</w:t>
            </w:r>
            <w:r>
              <w:rPr>
                <w:rFonts w:hint="eastAsia" w:ascii="仿宋" w:hAnsi="仿宋" w:eastAsia="仿宋" w:cs="仿宋"/>
                <w:color w:val="auto"/>
                <w:kern w:val="0"/>
                <w:sz w:val="24"/>
                <w:szCs w:val="24"/>
                <w:highlight w:val="none"/>
                <w:lang w:val="en-US" w:eastAsia="zh-CN" w:bidi="ar-SA"/>
              </w:rPr>
              <w:t>，</w:t>
            </w:r>
            <w:r>
              <w:rPr>
                <w:rFonts w:hint="default" w:ascii="仿宋" w:hAnsi="仿宋" w:eastAsia="仿宋" w:cs="仿宋"/>
                <w:color w:val="auto"/>
                <w:kern w:val="0"/>
                <w:sz w:val="24"/>
                <w:szCs w:val="24"/>
                <w:highlight w:val="none"/>
                <w:lang w:val="en-US" w:eastAsia="zh-CN" w:bidi="ar-SA"/>
              </w:rPr>
              <w:t xml:space="preserve">不可行得0分。 </w:t>
            </w:r>
          </w:p>
        </w:tc>
      </w:tr>
      <w:tr w14:paraId="356E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1171" w:type="dxa"/>
            <w:vMerge w:val="continue"/>
            <w:vAlign w:val="center"/>
          </w:tcPr>
          <w:p w14:paraId="48FD32C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p>
        </w:tc>
        <w:tc>
          <w:tcPr>
            <w:tcW w:w="1189" w:type="dxa"/>
            <w:shd w:val="clear" w:color="auto" w:fill="auto"/>
            <w:vAlign w:val="center"/>
          </w:tcPr>
          <w:p w14:paraId="450972DC">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质量保证措施</w:t>
            </w:r>
          </w:p>
        </w:tc>
        <w:tc>
          <w:tcPr>
            <w:tcW w:w="771" w:type="dxa"/>
            <w:shd w:val="clear" w:color="auto" w:fill="auto"/>
            <w:vAlign w:val="center"/>
          </w:tcPr>
          <w:p w14:paraId="04227440">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7分</w:t>
            </w:r>
          </w:p>
        </w:tc>
        <w:tc>
          <w:tcPr>
            <w:tcW w:w="6309" w:type="dxa"/>
            <w:shd w:val="clear" w:color="auto" w:fill="auto"/>
            <w:vAlign w:val="center"/>
          </w:tcPr>
          <w:p w14:paraId="1125B905">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内容详实、完整，各项措施先进、合理，对项目实际情况有较强的针对性，得7分； </w:t>
            </w:r>
          </w:p>
          <w:p w14:paraId="7CBE413E">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内容完整，主要措施合理、可行的得5分；</w:t>
            </w:r>
          </w:p>
          <w:p w14:paraId="58A2A1C2">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内容基本完整，主要措施基本合理的得3分； </w:t>
            </w:r>
          </w:p>
          <w:p w14:paraId="6ECE6E23">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内容较完整或主要措施有缺陷的得1分； </w:t>
            </w:r>
          </w:p>
          <w:p w14:paraId="022ED2ED">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SA"/>
              </w:rPr>
              <w:t>没有质量保证措施或质量保证措施不可行的得0分</w:t>
            </w:r>
          </w:p>
        </w:tc>
      </w:tr>
      <w:tr w14:paraId="2A7F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1171" w:type="dxa"/>
            <w:vMerge w:val="continue"/>
            <w:vAlign w:val="center"/>
          </w:tcPr>
          <w:p w14:paraId="11E05E0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p>
        </w:tc>
        <w:tc>
          <w:tcPr>
            <w:tcW w:w="1189" w:type="dxa"/>
            <w:shd w:val="clear" w:color="auto" w:fill="auto"/>
            <w:vAlign w:val="center"/>
          </w:tcPr>
          <w:p w14:paraId="2CE4458F">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施工环保措施</w:t>
            </w:r>
          </w:p>
        </w:tc>
        <w:tc>
          <w:tcPr>
            <w:tcW w:w="771" w:type="dxa"/>
            <w:shd w:val="clear" w:color="auto" w:fill="auto"/>
            <w:vAlign w:val="center"/>
          </w:tcPr>
          <w:p w14:paraId="43C10D38">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6309" w:type="dxa"/>
            <w:shd w:val="clear" w:color="auto" w:fill="auto"/>
            <w:vAlign w:val="center"/>
          </w:tcPr>
          <w:p w14:paraId="2D55CBAE">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 xml:space="preserve">对该项目施工场地特殊性及周边人员安全、距离控制、环境卫生、扬尘、施工噪声防护措施等各项措施安排非常详细、科学、完善、有利于治安管理的得6分； </w:t>
            </w:r>
          </w:p>
          <w:p w14:paraId="645D211B">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 xml:space="preserve">对该项目施工场地特殊性及周边人员安全、距离控制、环境卫生、扬尘、施工噪声防护措施等各项措施安排较详细、完善、利于治安管理的得4分； </w:t>
            </w:r>
          </w:p>
          <w:p w14:paraId="15021D01">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 xml:space="preserve">对该项目施工场地特殊性及周边人员安全、距离控制、环境卫生、扬尘、施工噪声防护措施等各项措施安排详细合理、满足治安管理要求的得2分； </w:t>
            </w:r>
          </w:p>
          <w:p w14:paraId="1210AA39">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 xml:space="preserve">施工场地治安保卫管理措施基本完整、可行的得1.5分； </w:t>
            </w:r>
          </w:p>
          <w:p w14:paraId="1484B606">
            <w:pPr>
              <w:pStyle w:val="11"/>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snapToGrid w:val="0"/>
                <w:color w:val="auto"/>
                <w:kern w:val="0"/>
                <w:sz w:val="24"/>
                <w:szCs w:val="24"/>
                <w:highlight w:val="none"/>
                <w:lang w:val="en-US" w:eastAsia="zh-CN" w:bidi="ar-SA"/>
              </w:rPr>
              <w:t>没有防护措施或防护措施不可行的得 0 分。</w:t>
            </w:r>
          </w:p>
        </w:tc>
      </w:tr>
      <w:tr w14:paraId="1CB7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1171" w:type="dxa"/>
            <w:vMerge w:val="continue"/>
            <w:vAlign w:val="center"/>
          </w:tcPr>
          <w:p w14:paraId="4E813AE6">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sz w:val="24"/>
                <w:szCs w:val="24"/>
              </w:rPr>
            </w:pPr>
          </w:p>
        </w:tc>
        <w:tc>
          <w:tcPr>
            <w:tcW w:w="1189" w:type="dxa"/>
            <w:shd w:val="clear" w:color="auto" w:fill="auto"/>
            <w:vAlign w:val="center"/>
          </w:tcPr>
          <w:p w14:paraId="12F7CE79">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工作重点、难点分析及合理化建议</w:t>
            </w:r>
          </w:p>
        </w:tc>
        <w:tc>
          <w:tcPr>
            <w:tcW w:w="771" w:type="dxa"/>
            <w:shd w:val="clear" w:color="auto" w:fill="auto"/>
            <w:vAlign w:val="center"/>
          </w:tcPr>
          <w:p w14:paraId="46528D45">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6309" w:type="dxa"/>
            <w:shd w:val="clear" w:color="auto" w:fill="auto"/>
            <w:vAlign w:val="center"/>
          </w:tcPr>
          <w:p w14:paraId="14189BBC">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针对项目实施过程中的工作重点、难点分析，并提出切实可行的合理化建议，整体分析合理、可操作性强的，得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p>
          <w:p w14:paraId="097226BD">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对项目实施过程中的工作重点、难点分析进行简要分析，具有适当合理化建议，整体分析基本全面合理、具备一定操作性的，得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w:t>
            </w:r>
          </w:p>
          <w:p w14:paraId="535794CD">
            <w:pPr>
              <w:keepNext w:val="0"/>
              <w:keepLines w:val="0"/>
              <w:pageBreakBefore w:val="0"/>
              <w:widowControl/>
              <w:shd w:val="clear"/>
              <w:kinsoku w:val="0"/>
              <w:wordWrap/>
              <w:overflowPunct/>
              <w:topLinePunct w:val="0"/>
              <w:autoSpaceDE w:val="0"/>
              <w:autoSpaceDN w:val="0"/>
              <w:bidi w:val="0"/>
              <w:adjustRightInd w:val="0"/>
              <w:snapToGrid w:val="0"/>
              <w:spacing w:line="440" w:lineRule="exact"/>
              <w:jc w:val="left"/>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eastAsia="zh-CN"/>
              </w:rPr>
              <w:t>对项目实施过程中的工作重点、难点分析</w:t>
            </w:r>
            <w:r>
              <w:rPr>
                <w:rFonts w:hint="eastAsia" w:ascii="仿宋" w:hAnsi="仿宋" w:eastAsia="仿宋" w:cs="仿宋"/>
                <w:color w:val="auto"/>
                <w:sz w:val="24"/>
                <w:szCs w:val="24"/>
                <w:highlight w:val="none"/>
                <w:lang w:val="en-US" w:eastAsia="zh-CN"/>
              </w:rPr>
              <w:t>不全面、不合理，不具备操作性的，得2</w:t>
            </w:r>
            <w:r>
              <w:rPr>
                <w:rFonts w:hint="eastAsia" w:ascii="仿宋" w:hAnsi="仿宋" w:eastAsia="仿宋" w:cs="仿宋"/>
                <w:color w:val="auto"/>
                <w:sz w:val="24"/>
                <w:szCs w:val="24"/>
                <w:highlight w:val="none"/>
                <w:lang w:eastAsia="zh-CN"/>
              </w:rPr>
              <w:t>分。</w:t>
            </w:r>
          </w:p>
        </w:tc>
      </w:tr>
    </w:tbl>
    <w:p w14:paraId="3782138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7D392A9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263B4A5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2E1E07E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37D9540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4D47595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p w14:paraId="66B3637C">
      <w:pPr>
        <w:pStyle w:val="3"/>
        <w:pageBreakBefore w:val="0"/>
        <w:wordWrap/>
        <w:topLinePunct w:val="0"/>
        <w:bidi w:val="0"/>
        <w:spacing w:line="480" w:lineRule="exact"/>
        <w:jc w:val="center"/>
        <w:rPr>
          <w:rFonts w:hint="eastAsia" w:ascii="仿宋" w:hAnsi="仿宋" w:eastAsia="仿宋" w:cs="仿宋"/>
          <w:color w:val="auto"/>
          <w:sz w:val="28"/>
          <w:szCs w:val="28"/>
        </w:rPr>
      </w:pPr>
      <w:bookmarkStart w:id="6" w:name="_Toc11818"/>
      <w:r>
        <w:rPr>
          <w:rFonts w:hint="eastAsia" w:ascii="仿宋" w:hAnsi="仿宋" w:eastAsia="仿宋" w:cs="仿宋"/>
          <w:color w:val="auto"/>
          <w:sz w:val="28"/>
          <w:szCs w:val="28"/>
        </w:rPr>
        <w:t>第五章</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合同</w:t>
      </w:r>
      <w:bookmarkEnd w:id="6"/>
    </w:p>
    <w:p w14:paraId="73B04631">
      <w:pPr>
        <w:pageBreakBefore w:val="0"/>
        <w:kinsoku/>
        <w:overflowPunct/>
        <w:topLinePunct w:val="0"/>
        <w:bidi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本合同仅供参考，具体合同条款甲乙双方自行约定</w:t>
      </w:r>
      <w:r>
        <w:rPr>
          <w:rFonts w:hint="eastAsia" w:ascii="仿宋" w:hAnsi="仿宋" w:eastAsia="仿宋" w:cs="仿宋"/>
          <w:b w:val="0"/>
          <w:bCs w:val="0"/>
          <w:color w:val="auto"/>
          <w:sz w:val="24"/>
          <w:szCs w:val="24"/>
          <w:highlight w:val="none"/>
          <w:lang w:val="en-US" w:eastAsia="zh-CN"/>
        </w:rPr>
        <w:t>）</w:t>
      </w:r>
    </w:p>
    <w:p w14:paraId="106D4162">
      <w:pPr>
        <w:pageBreakBefore w:val="0"/>
        <w:kinsoku/>
        <w:overflowPunct/>
        <w:topLinePunct w:val="0"/>
        <w:bidi w:val="0"/>
        <w:spacing w:line="440" w:lineRule="exact"/>
        <w:ind w:firstLine="0" w:firstLineChars="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（GF—2017—0201）</w:t>
      </w:r>
    </w:p>
    <w:p w14:paraId="4E7E3BB8">
      <w:pPr>
        <w:pageBreakBefore w:val="0"/>
        <w:kinsoku/>
        <w:overflowPunct/>
        <w:topLinePunct w:val="0"/>
        <w:bidi w:val="0"/>
        <w:spacing w:line="440" w:lineRule="exact"/>
        <w:ind w:firstLine="0" w:firstLineChars="0"/>
        <w:jc w:val="center"/>
        <w:rPr>
          <w:rFonts w:hint="eastAsia" w:ascii="仿宋" w:hAnsi="仿宋" w:eastAsia="仿宋" w:cs="仿宋"/>
          <w:b/>
          <w:color w:val="auto"/>
          <w:sz w:val="24"/>
          <w:szCs w:val="24"/>
          <w:highlight w:val="none"/>
        </w:rPr>
      </w:pPr>
    </w:p>
    <w:p w14:paraId="39A17A30">
      <w:pPr>
        <w:pageBreakBefore w:val="0"/>
        <w:kinsoku/>
        <w:overflowPunct/>
        <w:topLinePunct w:val="0"/>
        <w:bidi w:val="0"/>
        <w:spacing w:line="440" w:lineRule="exact"/>
        <w:ind w:firstLine="0" w:firstLineChars="0"/>
        <w:jc w:val="center"/>
        <w:rPr>
          <w:rFonts w:hint="eastAsia" w:ascii="仿宋" w:hAnsi="仿宋" w:eastAsia="仿宋" w:cs="仿宋"/>
          <w:b/>
          <w:color w:val="auto"/>
          <w:sz w:val="24"/>
          <w:szCs w:val="24"/>
          <w:highlight w:val="none"/>
        </w:rPr>
      </w:pPr>
    </w:p>
    <w:p w14:paraId="555B7185">
      <w:pPr>
        <w:pageBreakBefore w:val="0"/>
        <w:kinsoku/>
        <w:overflowPunct/>
        <w:topLinePunct w:val="0"/>
        <w:bidi w:val="0"/>
        <w:spacing w:line="440" w:lineRule="exact"/>
        <w:ind w:firstLine="0" w:firstLineChars="0"/>
        <w:jc w:val="center"/>
        <w:rPr>
          <w:rFonts w:hint="eastAsia" w:ascii="仿宋" w:hAnsi="仿宋" w:eastAsia="仿宋" w:cs="仿宋"/>
          <w:b/>
          <w:color w:val="auto"/>
          <w:sz w:val="24"/>
          <w:szCs w:val="24"/>
          <w:highlight w:val="none"/>
        </w:rPr>
      </w:pPr>
    </w:p>
    <w:p w14:paraId="3BBE2748">
      <w:pPr>
        <w:pageBreakBefore w:val="0"/>
        <w:kinsoku/>
        <w:overflowPunct/>
        <w:topLinePunct w:val="0"/>
        <w:bidi w:val="0"/>
        <w:spacing w:line="440" w:lineRule="exact"/>
        <w:ind w:firstLine="0" w:firstLineChars="0"/>
        <w:jc w:val="center"/>
        <w:rPr>
          <w:rFonts w:hint="eastAsia" w:ascii="仿宋" w:hAnsi="仿宋" w:eastAsia="仿宋" w:cs="仿宋"/>
          <w:b/>
          <w:color w:val="auto"/>
          <w:sz w:val="24"/>
          <w:szCs w:val="24"/>
          <w:highlight w:val="none"/>
        </w:rPr>
      </w:pPr>
    </w:p>
    <w:p w14:paraId="1C5E21FF">
      <w:pPr>
        <w:pageBreakBefore w:val="0"/>
        <w:kinsoku/>
        <w:overflowPunct/>
        <w:topLinePunct w:val="0"/>
        <w:bidi w:val="0"/>
        <w:spacing w:line="440" w:lineRule="exact"/>
        <w:ind w:firstLine="0" w:firstLineChars="0"/>
        <w:jc w:val="center"/>
        <w:rPr>
          <w:rFonts w:hint="eastAsia" w:ascii="仿宋" w:hAnsi="仿宋" w:eastAsia="仿宋" w:cs="仿宋"/>
          <w:b/>
          <w:color w:val="auto"/>
          <w:sz w:val="24"/>
          <w:szCs w:val="24"/>
          <w:highlight w:val="none"/>
        </w:rPr>
      </w:pPr>
    </w:p>
    <w:p w14:paraId="3F2DDA53">
      <w:pPr>
        <w:pageBreakBefore w:val="0"/>
        <w:kinsoku/>
        <w:overflowPunct/>
        <w:topLinePunct w:val="0"/>
        <w:bidi w:val="0"/>
        <w:spacing w:line="440" w:lineRule="exact"/>
        <w:ind w:firstLine="0" w:firstLineChars="0"/>
        <w:jc w:val="center"/>
        <w:rPr>
          <w:rFonts w:hint="eastAsia" w:ascii="仿宋" w:hAnsi="仿宋" w:eastAsia="仿宋" w:cs="仿宋"/>
          <w:b/>
          <w:color w:val="auto"/>
          <w:sz w:val="24"/>
          <w:szCs w:val="24"/>
          <w:highlight w:val="none"/>
        </w:rPr>
      </w:pPr>
    </w:p>
    <w:p w14:paraId="26DA2574">
      <w:pPr>
        <w:pageBreakBefore w:val="0"/>
        <w:kinsoku/>
        <w:overflowPunct/>
        <w:topLinePunct w:val="0"/>
        <w:bidi w:val="0"/>
        <w:spacing w:line="440" w:lineRule="exact"/>
        <w:ind w:firstLine="0" w:firstLineChars="0"/>
        <w:jc w:val="center"/>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建设工程施工合同</w:t>
      </w:r>
    </w:p>
    <w:p w14:paraId="118A8E94">
      <w:pPr>
        <w:pageBreakBefore w:val="0"/>
        <w:kinsoku/>
        <w:overflowPunct/>
        <w:topLinePunct w:val="0"/>
        <w:bidi w:val="0"/>
        <w:spacing w:line="440" w:lineRule="exact"/>
        <w:ind w:firstLine="0" w:firstLineChars="0"/>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（示范文本）</w:t>
      </w:r>
    </w:p>
    <w:p w14:paraId="71872128">
      <w:pPr>
        <w:pageBreakBefore w:val="0"/>
        <w:kinsoku/>
        <w:overflowPunct/>
        <w:topLinePunct w:val="0"/>
        <w:bidi w:val="0"/>
        <w:spacing w:line="440" w:lineRule="exact"/>
        <w:ind w:firstLine="0" w:firstLineChars="0"/>
        <w:jc w:val="both"/>
        <w:rPr>
          <w:rFonts w:hint="eastAsia" w:ascii="仿宋" w:hAnsi="仿宋" w:eastAsia="仿宋" w:cs="仿宋"/>
          <w:b/>
          <w:color w:val="auto"/>
          <w:sz w:val="24"/>
          <w:szCs w:val="24"/>
          <w:highlight w:val="none"/>
        </w:rPr>
      </w:pPr>
    </w:p>
    <w:p w14:paraId="67FF454E">
      <w:pPr>
        <w:pageBreakBefore w:val="0"/>
        <w:kinsoku/>
        <w:overflowPunct/>
        <w:topLinePunct w:val="0"/>
        <w:bidi w:val="0"/>
        <w:spacing w:line="440" w:lineRule="exact"/>
        <w:ind w:firstLine="0" w:firstLineChars="0"/>
        <w:rPr>
          <w:rFonts w:hint="eastAsia" w:ascii="仿宋" w:hAnsi="仿宋" w:eastAsia="仿宋" w:cs="仿宋"/>
          <w:b/>
          <w:color w:val="auto"/>
          <w:sz w:val="24"/>
          <w:szCs w:val="24"/>
          <w:highlight w:val="none"/>
        </w:rPr>
      </w:pPr>
    </w:p>
    <w:p w14:paraId="101F9892">
      <w:pPr>
        <w:pageBreakBefore w:val="0"/>
        <w:kinsoku/>
        <w:overflowPunct/>
        <w:topLinePunct w:val="0"/>
        <w:bidi w:val="0"/>
        <w:spacing w:line="440" w:lineRule="exact"/>
        <w:ind w:firstLine="0" w:firstLineChars="0"/>
        <w:rPr>
          <w:rFonts w:hint="eastAsia" w:ascii="仿宋" w:hAnsi="仿宋" w:eastAsia="仿宋" w:cs="仿宋"/>
          <w:b/>
          <w:color w:val="auto"/>
          <w:sz w:val="24"/>
          <w:szCs w:val="24"/>
          <w:highlight w:val="none"/>
        </w:rPr>
      </w:pPr>
    </w:p>
    <w:p w14:paraId="49E4E46C">
      <w:pPr>
        <w:pageBreakBefore w:val="0"/>
        <w:kinsoku/>
        <w:overflowPunct/>
        <w:topLinePunct w:val="0"/>
        <w:bidi w:val="0"/>
        <w:spacing w:line="440" w:lineRule="exact"/>
        <w:ind w:firstLine="0" w:firstLineChars="0"/>
        <w:rPr>
          <w:rFonts w:hint="eastAsia" w:ascii="仿宋" w:hAnsi="仿宋" w:eastAsia="仿宋" w:cs="仿宋"/>
          <w:b/>
          <w:color w:val="auto"/>
          <w:sz w:val="24"/>
          <w:szCs w:val="24"/>
          <w:highlight w:val="none"/>
        </w:rPr>
      </w:pPr>
    </w:p>
    <w:p w14:paraId="2C54C651">
      <w:pPr>
        <w:pageBreakBefore w:val="0"/>
        <w:kinsoku/>
        <w:overflowPunct/>
        <w:topLinePunct w:val="0"/>
        <w:bidi w:val="0"/>
        <w:spacing w:line="440" w:lineRule="exact"/>
        <w:ind w:firstLine="0" w:firstLineChars="0"/>
        <w:rPr>
          <w:rFonts w:hint="eastAsia" w:ascii="仿宋" w:hAnsi="仿宋" w:eastAsia="仿宋" w:cs="仿宋"/>
          <w:b/>
          <w:color w:val="auto"/>
          <w:sz w:val="24"/>
          <w:szCs w:val="24"/>
          <w:highlight w:val="none"/>
        </w:rPr>
      </w:pPr>
    </w:p>
    <w:p w14:paraId="49AAD71A">
      <w:pPr>
        <w:pageBreakBefore w:val="0"/>
        <w:kinsoku/>
        <w:overflowPunct/>
        <w:topLinePunct w:val="0"/>
        <w:bidi w:val="0"/>
        <w:spacing w:line="440" w:lineRule="exact"/>
        <w:ind w:right="2719" w:rightChars="1295" w:firstLine="0" w:firstLineChars="0"/>
        <w:jc w:val="distribute"/>
        <w:rPr>
          <w:rFonts w:hint="eastAsia" w:ascii="仿宋" w:hAnsi="仿宋" w:eastAsia="仿宋" w:cs="仿宋"/>
          <w:b/>
          <w:color w:val="auto"/>
          <w:sz w:val="24"/>
          <w:szCs w:val="24"/>
          <w:highlight w:val="none"/>
        </w:rPr>
      </w:pPr>
    </w:p>
    <w:p w14:paraId="5D6029E1">
      <w:pPr>
        <w:pStyle w:val="19"/>
        <w:pageBreakBefore w:val="0"/>
        <w:kinsoku/>
        <w:overflowPunct/>
        <w:topLinePunct w:val="0"/>
        <w:bidi w:val="0"/>
        <w:spacing w:line="440" w:lineRule="exact"/>
        <w:ind w:firstLine="0" w:firstLineChars="0"/>
        <w:rPr>
          <w:rFonts w:hint="eastAsia" w:ascii="仿宋" w:hAnsi="仿宋" w:eastAsia="仿宋" w:cs="仿宋"/>
          <w:b/>
          <w:color w:val="auto"/>
          <w:sz w:val="24"/>
          <w:szCs w:val="24"/>
          <w:highlight w:val="none"/>
        </w:rPr>
      </w:pPr>
    </w:p>
    <w:p w14:paraId="5541A574">
      <w:pPr>
        <w:pStyle w:val="19"/>
        <w:pageBreakBefore w:val="0"/>
        <w:kinsoku/>
        <w:overflowPunct/>
        <w:topLinePunct w:val="0"/>
        <w:bidi w:val="0"/>
        <w:spacing w:line="440" w:lineRule="exact"/>
        <w:ind w:firstLine="0" w:firstLineChars="0"/>
        <w:rPr>
          <w:rFonts w:hint="eastAsia" w:ascii="仿宋" w:hAnsi="仿宋" w:eastAsia="仿宋" w:cs="仿宋"/>
          <w:b/>
          <w:color w:val="auto"/>
          <w:sz w:val="24"/>
          <w:szCs w:val="24"/>
          <w:highlight w:val="none"/>
        </w:rPr>
      </w:pPr>
    </w:p>
    <w:p w14:paraId="14A28B3C">
      <w:pPr>
        <w:pStyle w:val="19"/>
        <w:pageBreakBefore w:val="0"/>
        <w:kinsoku/>
        <w:overflowPunct/>
        <w:topLinePunct w:val="0"/>
        <w:bidi w:val="0"/>
        <w:spacing w:line="440" w:lineRule="exact"/>
        <w:ind w:firstLine="0" w:firstLineChars="0"/>
        <w:rPr>
          <w:rFonts w:hint="eastAsia" w:ascii="仿宋" w:hAnsi="仿宋" w:eastAsia="仿宋" w:cs="仿宋"/>
          <w:b/>
          <w:color w:val="auto"/>
          <w:sz w:val="24"/>
          <w:szCs w:val="24"/>
          <w:highlight w:val="none"/>
        </w:rPr>
      </w:pPr>
    </w:p>
    <w:p w14:paraId="11042063">
      <w:pPr>
        <w:pStyle w:val="19"/>
        <w:pageBreakBefore w:val="0"/>
        <w:kinsoku/>
        <w:overflowPunct/>
        <w:topLinePunct w:val="0"/>
        <w:bidi w:val="0"/>
        <w:spacing w:line="440" w:lineRule="exact"/>
        <w:ind w:firstLine="0" w:firstLineChars="0"/>
        <w:rPr>
          <w:rFonts w:hint="eastAsia" w:ascii="仿宋" w:hAnsi="仿宋" w:eastAsia="仿宋" w:cs="仿宋"/>
          <w:b/>
          <w:color w:val="auto"/>
          <w:sz w:val="24"/>
          <w:szCs w:val="24"/>
          <w:highlight w:val="none"/>
        </w:rPr>
      </w:pPr>
    </w:p>
    <w:p w14:paraId="01917A33">
      <w:pPr>
        <w:pStyle w:val="19"/>
        <w:pageBreakBefore w:val="0"/>
        <w:kinsoku/>
        <w:overflowPunct/>
        <w:topLinePunct w:val="0"/>
        <w:bidi w:val="0"/>
        <w:spacing w:line="440" w:lineRule="exact"/>
        <w:ind w:firstLine="0" w:firstLineChars="0"/>
        <w:rPr>
          <w:rFonts w:hint="eastAsia" w:ascii="仿宋" w:hAnsi="仿宋" w:eastAsia="仿宋" w:cs="仿宋"/>
          <w:b/>
          <w:color w:val="auto"/>
          <w:sz w:val="24"/>
          <w:szCs w:val="24"/>
          <w:highlight w:val="none"/>
        </w:rPr>
      </w:pPr>
    </w:p>
    <w:p w14:paraId="3E9315D0">
      <w:pPr>
        <w:pageBreakBefore w:val="0"/>
        <w:kinsoku/>
        <w:overflowPunct/>
        <w:topLinePunct w:val="0"/>
        <w:bidi w:val="0"/>
        <w:spacing w:line="440" w:lineRule="exact"/>
        <w:ind w:right="2719" w:rightChars="1295" w:firstLine="0" w:firstLineChars="0"/>
        <w:jc w:val="distribute"/>
        <w:rPr>
          <w:rFonts w:hint="eastAsia" w:ascii="仿宋" w:hAnsi="仿宋" w:eastAsia="仿宋" w:cs="仿宋"/>
          <w:b/>
          <w:color w:val="auto"/>
          <w:sz w:val="24"/>
          <w:szCs w:val="24"/>
          <w:highlight w:val="none"/>
        </w:rPr>
      </w:pPr>
    </w:p>
    <w:p w14:paraId="5FA202A9">
      <w:pPr>
        <w:pageBreakBefore w:val="0"/>
        <w:kinsoku/>
        <w:overflowPunct/>
        <w:topLinePunct w:val="0"/>
        <w:bidi w:val="0"/>
        <w:spacing w:line="440" w:lineRule="exact"/>
        <w:ind w:right="2719" w:rightChars="1295"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3945890</wp:posOffset>
                </wp:positionH>
                <wp:positionV relativeFrom="paragraph">
                  <wp:posOffset>71120</wp:posOffset>
                </wp:positionV>
                <wp:extent cx="675005" cy="457200"/>
                <wp:effectExtent l="4445" t="4445" r="635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675005" cy="457200"/>
                        </a:xfrm>
                        <a:prstGeom prst="rect">
                          <a:avLst/>
                        </a:prstGeom>
                        <a:noFill/>
                        <a:ln w="9525" cmpd="sng">
                          <a:solidFill>
                            <a:srgbClr val="FFFFFF"/>
                          </a:solidFill>
                          <a:miter lim="800000"/>
                        </a:ln>
                        <a:effectLst/>
                      </wps:spPr>
                      <wps:txbx>
                        <w:txbxContent>
                          <w:p w14:paraId="1954D3AD">
                            <w:pPr>
                              <w:rPr>
                                <w:rFonts w:hint="eastAsia" w:ascii="仿宋_GB2312" w:hAnsi="仿宋_GB2312" w:eastAsia="仿宋_GB2312" w:cs="仿宋_GB2312"/>
                                <w:b/>
                                <w:bCs/>
                                <w:sz w:val="32"/>
                              </w:rPr>
                            </w:pPr>
                            <w:r>
                              <w:rPr>
                                <w:rFonts w:hint="eastAsia" w:ascii="仿宋_GB2312" w:hAnsi="仿宋_GB2312" w:eastAsia="仿宋_GB2312" w:cs="仿宋_GB2312"/>
                                <w:b/>
                                <w:bCs/>
                                <w:sz w:val="32"/>
                              </w:rPr>
                              <w:t>制定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0.7pt;margin-top:5.6pt;height:36pt;width:53.15pt;z-index:251659264;mso-width-relative:page;mso-height-relative:page;" filled="f" stroked="t" coordsize="21600,21600" o:gfxdata="UEsDBAoAAAAAAIdO4kAAAAAAAAAAAAAAAAAEAAAAZHJzL1BLAwQUAAAACACHTuJAsZ1d2NgAAAAJ&#10;AQAADwAAAGRycy9kb3ducmV2LnhtbE2PQU7DMBBF90jcwRokNhV1YqokSuN0gcSCRYGWHsCNTZJi&#10;j6PYScrtGVawHP2n/99Uu6uzbDZj6D1KSNcJMION1z22Ek4fzw8FsBAVamU9GgnfJsCuvr2pVKn9&#10;ggczH2PLqARDqSR0MQ4l56HpjFNh7QeDlH360alI59hyPaqFyp3lIkky7lSPtNCpwTx1pvk6Tk7C&#10;4aV7X+Fmv7eaz9nl9Dq9LcVKyvu7NNkCi+Ya/2D41Sd1qMnp7CfUgVkJmUg3hFKQCmAE5CLPgZ0l&#10;FI8CeF3x/x/UP1BLAwQUAAAACACHTuJAkmhEGUkCAAB2BAAADgAAAGRycy9lMm9Eb2MueG1srVTN&#10;btQwEL4j8Q6W7zTZqtulUbNVaVWEVH6kwgN4HSexsD1m7N2kPAC8AScu3HmuPgdjJy2rcumBHCI7&#10;M/7mm28+5/RstIbtFAYNruaLg5Iz5SQ02nU1//Tx6sVLzkIUrhEGnKr5rQr8bP382engK3UIPZhG&#10;ISMQF6rB17yP0VdFEWSvrAgH4JWjYAtoRaQtdkWDYiB0a4rDsjwuBsDGI0gVAn29nIJ8RsSnAELb&#10;aqkuQW6tcnFCRWVEpJZCr33g68y2bZWM79s2qMhMzanTmN9UhNab9C7Wp6LqUPhey5mCeAqFRz1Z&#10;oR0VfYC6FFGwLep/oKyWCAHaeCDBFlMjWRHqYlE+0uamF17lXkjq4B9ED/8PVr7bfUCmm5qvOHPC&#10;0sDvfny/+/n77tc3tkryDD5UlHXjKS+Or2Ak0+RWg78G+TkwBxe9cJ06R4ShV6Iheot0stg7OuGE&#10;BLIZ3kJDdcQ2QgYaW7RJO1KDETqN5vZhNGqMTNLH49WyLJecSQodLVdkpFxBVPeHPYb4WoFlaVFz&#10;pMlncLG7DjGREdV9Sqrl4Eobk6dvHBtqfrI8TPDWkxTBdVOHYHST8tKJgN3mwiDbCbLSVX5mCmE/&#10;zepI18NoW/OXZXrmJOMSiMqWnBkleZIikzZx3Iyz3BtobkkohMmudFlp0QN+5WwgqxLBL1uBijPz&#10;xpHYJ4ujo+TtvMnicIb7kc1+RDhJUDWPnE3Lizjdh61H3fVUaRqvg3MaUKuzeInqxGoeK9kxazpf&#10;neT3/X3O+vu7WP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Z1d2NgAAAAJAQAADwAAAAAAAAAB&#10;ACAAAAAiAAAAZHJzL2Rvd25yZXYueG1sUEsBAhQAFAAAAAgAh07iQJJoRBlJAgAAdgQAAA4AAAAA&#10;AAAAAQAgAAAAJwEAAGRycy9lMm9Eb2MueG1sUEsFBgAAAAAGAAYAWQEAAOIFAAAAAA==&#10;">
                <v:fill on="f" focussize="0,0"/>
                <v:stroke color="#FFFFFF" miterlimit="8" joinstyle="miter"/>
                <v:imagedata o:title=""/>
                <o:lock v:ext="edit" aspectratio="f"/>
                <v:textbox>
                  <w:txbxContent>
                    <w:p w14:paraId="1954D3AD">
                      <w:pPr>
                        <w:rPr>
                          <w:rFonts w:hint="eastAsia" w:ascii="仿宋_GB2312" w:hAnsi="仿宋_GB2312" w:eastAsia="仿宋_GB2312" w:cs="仿宋_GB2312"/>
                          <w:b/>
                          <w:bCs/>
                          <w:sz w:val="32"/>
                        </w:rPr>
                      </w:pPr>
                      <w:r>
                        <w:rPr>
                          <w:rFonts w:hint="eastAsia" w:ascii="仿宋_GB2312" w:hAnsi="仿宋_GB2312" w:eastAsia="仿宋_GB2312" w:cs="仿宋_GB2312"/>
                          <w:b/>
                          <w:bCs/>
                          <w:sz w:val="32"/>
                        </w:rPr>
                        <w:t>制定</w:t>
                      </w:r>
                    </w:p>
                  </w:txbxContent>
                </v:textbox>
              </v:shape>
            </w:pict>
          </mc:Fallback>
        </mc:AlternateContent>
      </w:r>
      <w:r>
        <w:rPr>
          <w:rFonts w:hint="eastAsia" w:ascii="仿宋" w:hAnsi="仿宋" w:eastAsia="仿宋" w:cs="仿宋"/>
          <w:b/>
          <w:color w:val="auto"/>
          <w:sz w:val="24"/>
          <w:szCs w:val="24"/>
          <w:highlight w:val="none"/>
        </w:rPr>
        <w:t>住房城</w:t>
      </w:r>
      <w:r>
        <w:rPr>
          <w:rFonts w:hint="eastAsia" w:ascii="仿宋" w:hAnsi="仿宋" w:eastAsia="仿宋" w:cs="仿宋"/>
          <w:b/>
          <w:color w:val="auto"/>
          <w:sz w:val="24"/>
          <w:szCs w:val="24"/>
          <w:highlight w:val="none"/>
          <w:lang w:eastAsia="zh-CN"/>
        </w:rPr>
        <w:t>和城</w:t>
      </w:r>
      <w:r>
        <w:rPr>
          <w:rFonts w:hint="eastAsia" w:ascii="仿宋" w:hAnsi="仿宋" w:eastAsia="仿宋" w:cs="仿宋"/>
          <w:b/>
          <w:color w:val="auto"/>
          <w:sz w:val="24"/>
          <w:szCs w:val="24"/>
          <w:highlight w:val="none"/>
        </w:rPr>
        <w:t>乡建设部</w:t>
      </w:r>
    </w:p>
    <w:p w14:paraId="1FF5E90C">
      <w:pPr>
        <w:pageBreakBefore w:val="0"/>
        <w:kinsoku/>
        <w:overflowPunct/>
        <w:topLinePunct w:val="0"/>
        <w:bidi w:val="0"/>
        <w:spacing w:line="440" w:lineRule="exact"/>
        <w:ind w:right="2719" w:rightChars="1295"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国家工商行政管理总局</w:t>
      </w:r>
    </w:p>
    <w:p w14:paraId="27A436E7">
      <w:pPr>
        <w:pageBreakBefore w:val="0"/>
        <w:widowControl/>
        <w:kinsoku/>
        <w:overflowPunct/>
        <w:topLinePunct w:val="0"/>
        <w:bidi w:val="0"/>
        <w:spacing w:line="440" w:lineRule="exact"/>
        <w:ind w:firstLine="0" w:firstLineChars="0"/>
        <w:jc w:val="center"/>
        <w:rPr>
          <w:rFonts w:hint="eastAsia" w:ascii="仿宋" w:hAnsi="仿宋" w:eastAsia="仿宋" w:cs="仿宋"/>
          <w:color w:val="auto"/>
          <w:kern w:val="0"/>
          <w:sz w:val="24"/>
          <w:szCs w:val="24"/>
          <w:highlight w:val="none"/>
        </w:rPr>
      </w:pPr>
    </w:p>
    <w:p w14:paraId="4A25EAA4">
      <w:pPr>
        <w:pageBreakBefore w:val="0"/>
        <w:kinsoku/>
        <w:overflowPunct/>
        <w:topLinePunct w:val="0"/>
        <w:bidi w:val="0"/>
        <w:spacing w:line="440" w:lineRule="exact"/>
        <w:ind w:firstLine="0" w:firstLineChars="0"/>
        <w:rPr>
          <w:rFonts w:hint="eastAsia" w:ascii="仿宋" w:hAnsi="仿宋" w:eastAsia="仿宋" w:cs="仿宋"/>
          <w:color w:val="auto"/>
          <w:sz w:val="24"/>
          <w:szCs w:val="24"/>
          <w:highlight w:val="none"/>
          <w:lang w:val="zh-CN"/>
        </w:rPr>
      </w:pPr>
      <w:bookmarkStart w:id="7" w:name="_Toc14338"/>
      <w:bookmarkStart w:id="8" w:name="_Toc296503025"/>
      <w:bookmarkStart w:id="9" w:name="_Toc296890982"/>
    </w:p>
    <w:p w14:paraId="490EE4B0">
      <w:pPr>
        <w:pageBreakBefore w:val="0"/>
        <w:kinsoku/>
        <w:overflowPunct/>
        <w:topLinePunct w:val="0"/>
        <w:bidi w:val="0"/>
        <w:spacing w:line="440" w:lineRule="exact"/>
        <w:ind w:firstLine="0" w:firstLineChars="0"/>
        <w:rPr>
          <w:rFonts w:hint="eastAsia" w:ascii="仿宋" w:hAnsi="仿宋" w:eastAsia="仿宋" w:cs="仿宋"/>
          <w:color w:val="auto"/>
          <w:sz w:val="24"/>
          <w:szCs w:val="24"/>
          <w:highlight w:val="none"/>
          <w:lang w:val="zh-CN"/>
        </w:rPr>
      </w:pPr>
    </w:p>
    <w:p w14:paraId="280B3456">
      <w:pPr>
        <w:pageBreakBefore w:val="0"/>
        <w:kinsoku/>
        <w:overflowPunct/>
        <w:topLinePunct w:val="0"/>
        <w:bidi w:val="0"/>
        <w:spacing w:line="440" w:lineRule="exact"/>
        <w:ind w:firstLine="0" w:firstLineChars="0"/>
        <w:rPr>
          <w:rFonts w:hint="eastAsia" w:ascii="仿宋" w:hAnsi="仿宋" w:eastAsia="仿宋" w:cs="仿宋"/>
          <w:color w:val="auto"/>
          <w:sz w:val="24"/>
          <w:szCs w:val="24"/>
          <w:highlight w:val="none"/>
          <w:lang w:val="zh-CN"/>
        </w:rPr>
      </w:pPr>
    </w:p>
    <w:p w14:paraId="215B8968">
      <w:pPr>
        <w:pStyle w:val="32"/>
        <w:pageBreakBefore w:val="0"/>
        <w:kinsoku/>
        <w:overflowPunct/>
        <w:topLinePunct w:val="0"/>
        <w:bidi w:val="0"/>
        <w:spacing w:before="0" w:after="0" w:line="440" w:lineRule="exact"/>
        <w:ind w:firstLine="0" w:firstLineChars="0"/>
        <w:jc w:val="center"/>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说  明</w:t>
      </w:r>
      <w:bookmarkEnd w:id="7"/>
    </w:p>
    <w:p w14:paraId="78937B1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w:t>
      </w:r>
      <w:r>
        <w:rPr>
          <w:rFonts w:hint="eastAsia" w:ascii="仿宋" w:hAnsi="仿宋" w:eastAsia="仿宋" w:cs="仿宋"/>
          <w:color w:val="auto"/>
          <w:sz w:val="24"/>
          <w:szCs w:val="24"/>
          <w:highlight w:val="none"/>
          <w:lang w:val="en-US" w:eastAsia="zh-CN"/>
        </w:rPr>
        <w:t>2013</w:t>
      </w:r>
      <w:r>
        <w:rPr>
          <w:rFonts w:hint="eastAsia" w:ascii="仿宋" w:hAnsi="仿宋" w:eastAsia="仿宋" w:cs="仿宋"/>
          <w:color w:val="auto"/>
          <w:sz w:val="24"/>
          <w:szCs w:val="24"/>
          <w:highlight w:val="none"/>
        </w:rPr>
        <w:t>-0201）进行了修订，制定了《建设工程施工合同（示范文本）》（GF-201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-0201）（以下简称《示范文本》）。为了便于合同当事人使用《示范文本》，现就有关问题说明如下：</w:t>
      </w:r>
    </w:p>
    <w:p w14:paraId="7F811DCC">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val="0"/>
          <w:color w:val="auto"/>
          <w:sz w:val="24"/>
          <w:szCs w:val="24"/>
          <w:highlight w:val="none"/>
        </w:rPr>
      </w:pPr>
      <w:bookmarkStart w:id="10" w:name="_Toc25163"/>
      <w:r>
        <w:rPr>
          <w:rFonts w:hint="eastAsia" w:ascii="仿宋" w:hAnsi="仿宋" w:eastAsia="仿宋" w:cs="仿宋"/>
          <w:b/>
          <w:bCs w:val="0"/>
          <w:color w:val="auto"/>
          <w:sz w:val="24"/>
          <w:szCs w:val="24"/>
          <w:highlight w:val="none"/>
        </w:rPr>
        <w:t>一、《示范文本》的组成</w:t>
      </w:r>
      <w:bookmarkEnd w:id="10"/>
    </w:p>
    <w:p w14:paraId="157515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《示范文本》由合同协议书、通用合同条款和专用合同条款三部分组成。</w:t>
      </w:r>
    </w:p>
    <w:p w14:paraId="7E9C8C8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bookmarkStart w:id="11" w:name="_Toc26436"/>
      <w:r>
        <w:rPr>
          <w:rFonts w:hint="eastAsia" w:ascii="仿宋" w:hAnsi="仿宋" w:eastAsia="仿宋" w:cs="仿宋"/>
          <w:color w:val="auto"/>
          <w:sz w:val="24"/>
          <w:szCs w:val="24"/>
          <w:highlight w:val="none"/>
        </w:rPr>
        <w:t>（一）合同协议书</w:t>
      </w:r>
      <w:bookmarkEnd w:id="11"/>
    </w:p>
    <w:p w14:paraId="4761DB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384FA8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bookmarkStart w:id="12" w:name="_Toc16079"/>
      <w:r>
        <w:rPr>
          <w:rFonts w:hint="eastAsia" w:ascii="仿宋" w:hAnsi="仿宋" w:eastAsia="仿宋" w:cs="仿宋"/>
          <w:color w:val="auto"/>
          <w:sz w:val="24"/>
          <w:szCs w:val="24"/>
          <w:highlight w:val="none"/>
        </w:rPr>
        <w:t>（二）通用合同条款</w:t>
      </w:r>
      <w:bookmarkEnd w:id="12"/>
    </w:p>
    <w:p w14:paraId="707608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通用合同条款是合同当事人根据《中华人民共和国民法典》、《中华人民共和国建筑法》等法律法规的规定，就工程建设的实施及相关事项，对合同当事人的权利义务作出的原则性约定。</w:t>
      </w:r>
    </w:p>
    <w:p w14:paraId="07E7CAD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69761E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 w:hAnsi="仿宋" w:eastAsia="仿宋" w:cs="仿宋"/>
          <w:color w:val="auto"/>
          <w:sz w:val="24"/>
          <w:szCs w:val="24"/>
          <w:highlight w:val="none"/>
        </w:rPr>
      </w:pPr>
      <w:bookmarkStart w:id="13" w:name="_Toc28415"/>
      <w:r>
        <w:rPr>
          <w:rFonts w:hint="eastAsia" w:ascii="仿宋" w:hAnsi="仿宋" w:eastAsia="仿宋" w:cs="仿宋"/>
          <w:color w:val="auto"/>
          <w:sz w:val="24"/>
          <w:szCs w:val="24"/>
          <w:highlight w:val="none"/>
        </w:rPr>
        <w:t>（三）专用合同条款</w:t>
      </w:r>
      <w:bookmarkEnd w:id="13"/>
    </w:p>
    <w:p w14:paraId="2275D5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6372E89C">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专用合同条款的编号应与相应的通用合同条款的编号一致；</w:t>
      </w:r>
    </w:p>
    <w:p w14:paraId="4DFD02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合同当事人可以通过对专用合同条款的修改，满足具体建设工程的特殊要求，避免直接修改通用合同条款；</w:t>
      </w:r>
    </w:p>
    <w:p w14:paraId="505B0E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在专用合同条款中有横道线的地方，合同当事人可针对相应的通用合同条款进行细化、完善、补充、修改或另行约定；如无细化、完善、补充、修改或另行约定，则填写“无”或划“/”。</w:t>
      </w:r>
    </w:p>
    <w:p w14:paraId="7140C39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val="0"/>
          <w:color w:val="auto"/>
          <w:sz w:val="24"/>
          <w:szCs w:val="24"/>
          <w:highlight w:val="none"/>
        </w:rPr>
      </w:pPr>
      <w:bookmarkStart w:id="14" w:name="_Toc15208"/>
      <w:r>
        <w:rPr>
          <w:rFonts w:hint="eastAsia" w:ascii="仿宋" w:hAnsi="仿宋" w:eastAsia="仿宋" w:cs="仿宋"/>
          <w:b/>
          <w:bCs w:val="0"/>
          <w:color w:val="auto"/>
          <w:sz w:val="24"/>
          <w:szCs w:val="24"/>
          <w:highlight w:val="none"/>
        </w:rPr>
        <w:t>二、《示范文本》的性质和适用范围</w:t>
      </w:r>
      <w:bookmarkEnd w:id="14"/>
    </w:p>
    <w:p w14:paraId="5136DC6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sectPr>
          <w:footerReference r:id="rId13" w:type="first"/>
          <w:footerReference r:id="rId12" w:type="default"/>
          <w:pgSz w:w="11906" w:h="16838"/>
          <w:pgMar w:top="1440" w:right="1463" w:bottom="1440" w:left="1463"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color w:val="auto"/>
          <w:sz w:val="24"/>
          <w:szCs w:val="24"/>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bookmarkEnd w:id="8"/>
    <w:bookmarkEnd w:id="9"/>
    <w:p w14:paraId="5E8686C4">
      <w:pPr>
        <w:pStyle w:val="4"/>
        <w:pageBreakBefore w:val="0"/>
        <w:kinsoku/>
        <w:overflowPunct/>
        <w:topLinePunct w:val="0"/>
        <w:bidi w:val="0"/>
        <w:spacing w:line="440" w:lineRule="exact"/>
        <w:jc w:val="center"/>
        <w:outlineLvl w:val="1"/>
        <w:rPr>
          <w:rFonts w:hint="eastAsia" w:ascii="仿宋" w:hAnsi="仿宋" w:eastAsia="仿宋" w:cs="仿宋"/>
          <w:b w:val="0"/>
          <w:color w:val="auto"/>
          <w:sz w:val="24"/>
          <w:szCs w:val="24"/>
        </w:rPr>
      </w:pPr>
      <w:bookmarkStart w:id="15" w:name="_Toc7537"/>
      <w:bookmarkStart w:id="16" w:name="_Toc12788"/>
      <w:bookmarkStart w:id="17" w:name="_Toc4960"/>
      <w:r>
        <w:rPr>
          <w:rFonts w:hint="eastAsia" w:ascii="仿宋" w:hAnsi="仿宋" w:eastAsia="仿宋" w:cs="仿宋"/>
          <w:color w:val="auto"/>
          <w:sz w:val="24"/>
          <w:szCs w:val="24"/>
        </w:rPr>
        <w:t>第一部分 合同协议书</w:t>
      </w:r>
      <w:bookmarkEnd w:id="15"/>
      <w:bookmarkEnd w:id="16"/>
      <w:bookmarkEnd w:id="17"/>
    </w:p>
    <w:p w14:paraId="135B2E3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发包人（全称）：</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       </w:t>
      </w:r>
    </w:p>
    <w:p w14:paraId="6B87355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承包人（全称）：</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 xml:space="preserve">        </w:t>
      </w:r>
    </w:p>
    <w:p w14:paraId="63EAA0B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w:t>
      </w:r>
      <w:r>
        <w:rPr>
          <w:rFonts w:hint="eastAsia" w:ascii="仿宋" w:hAnsi="仿宋" w:eastAsia="仿宋" w:cs="仿宋"/>
          <w:color w:val="auto"/>
          <w:sz w:val="24"/>
          <w:szCs w:val="24"/>
          <w:lang w:eastAsia="zh-CN"/>
        </w:rPr>
        <w:t>民法典</w:t>
      </w:r>
      <w:r>
        <w:rPr>
          <w:rFonts w:hint="eastAsia" w:ascii="仿宋" w:hAnsi="仿宋" w:eastAsia="仿宋" w:cs="仿宋"/>
          <w:color w:val="auto"/>
          <w:sz w:val="24"/>
          <w:szCs w:val="24"/>
        </w:rPr>
        <w:t>》、《中华人民共和国建筑法》及有关法律规定，遵循平等、自愿、公平和诚实信用的原则，双方就</w:t>
      </w:r>
      <w:r>
        <w:rPr>
          <w:rFonts w:hint="eastAsia" w:ascii="仿宋" w:hAnsi="仿宋" w:eastAsia="仿宋" w:cs="仿宋"/>
          <w:strike w:val="0"/>
          <w:dstrike w:val="0"/>
          <w:color w:val="auto"/>
          <w:sz w:val="24"/>
          <w:szCs w:val="24"/>
          <w:u w:val="single"/>
        </w:rPr>
        <w:t xml:space="preserve"> </w:t>
      </w:r>
      <w:r>
        <w:rPr>
          <w:rFonts w:hint="eastAsia" w:ascii="仿宋" w:hAnsi="仿宋" w:eastAsia="仿宋" w:cs="仿宋"/>
          <w:strike w:val="0"/>
          <w:dstrike w:val="0"/>
          <w:color w:val="auto"/>
          <w:sz w:val="24"/>
          <w:szCs w:val="24"/>
          <w:u w:val="single"/>
          <w:lang w:val="en-US" w:eastAsia="zh-CN"/>
        </w:rPr>
        <w:t xml:space="preserve">           </w:t>
      </w:r>
      <w:r>
        <w:rPr>
          <w:rFonts w:hint="eastAsia" w:ascii="仿宋" w:hAnsi="仿宋" w:eastAsia="仿宋" w:cs="仿宋"/>
          <w:strike w:val="0"/>
          <w:dstrike w:val="0"/>
          <w:color w:val="auto"/>
          <w:sz w:val="24"/>
          <w:szCs w:val="24"/>
          <w:u w:val="single"/>
        </w:rPr>
        <w:t xml:space="preserve"> </w:t>
      </w:r>
      <w:r>
        <w:rPr>
          <w:rFonts w:hint="eastAsia" w:ascii="仿宋" w:hAnsi="仿宋" w:eastAsia="仿宋" w:cs="仿宋"/>
          <w:color w:val="auto"/>
          <w:sz w:val="24"/>
          <w:szCs w:val="24"/>
        </w:rPr>
        <w:t>工程施工及有关事项协商一致，共同达成如下协议：</w:t>
      </w:r>
    </w:p>
    <w:p w14:paraId="72D2ADA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bookmarkStart w:id="18" w:name="_Toc23342"/>
      <w:bookmarkStart w:id="19" w:name="_Toc1203"/>
      <w:bookmarkStart w:id="20" w:name="_Toc30639"/>
      <w:r>
        <w:rPr>
          <w:rFonts w:hint="eastAsia" w:ascii="仿宋" w:hAnsi="仿宋" w:eastAsia="仿宋" w:cs="仿宋"/>
          <w:color w:val="auto"/>
          <w:sz w:val="24"/>
          <w:szCs w:val="24"/>
        </w:rPr>
        <w:t>一、工程概况</w:t>
      </w:r>
      <w:bookmarkEnd w:id="18"/>
      <w:bookmarkEnd w:id="19"/>
      <w:bookmarkEnd w:id="20"/>
    </w:p>
    <w:p w14:paraId="6CEFF6B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1.工程名称：</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4B36F3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2.工程地点：</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647CEE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3.工程立项批准文号：</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789E6B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4.资金来源：</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66BAF35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5.工程内容：</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4BD835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群体工程应附《承包人承揽工程项目一览表》（附件1）。</w:t>
      </w:r>
    </w:p>
    <w:p w14:paraId="1455BF1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6.工程承包范围：</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w:t>
      </w:r>
    </w:p>
    <w:p w14:paraId="6E084B2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bookmarkStart w:id="21" w:name="_Toc17544"/>
      <w:bookmarkStart w:id="22" w:name="_Toc25264"/>
      <w:bookmarkStart w:id="23" w:name="_Toc24345"/>
      <w:r>
        <w:rPr>
          <w:rFonts w:hint="eastAsia" w:ascii="仿宋" w:hAnsi="仿宋" w:eastAsia="仿宋" w:cs="仿宋"/>
          <w:color w:val="auto"/>
          <w:sz w:val="24"/>
          <w:szCs w:val="24"/>
        </w:rPr>
        <w:t>二、合同工期</w:t>
      </w:r>
      <w:bookmarkEnd w:id="21"/>
      <w:bookmarkEnd w:id="22"/>
      <w:bookmarkEnd w:id="23"/>
    </w:p>
    <w:p w14:paraId="3619A1B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计划开工日期：</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日。</w:t>
      </w:r>
    </w:p>
    <w:p w14:paraId="34621D4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计划竣工日期：</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日。</w:t>
      </w:r>
    </w:p>
    <w:p w14:paraId="76FF599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工期总日历天数：</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天。工期总日历天数与根据前述计划开竣工日期计算的工期天数不一致的，以工期总日历天数为准。</w:t>
      </w:r>
    </w:p>
    <w:p w14:paraId="46A43997">
      <w:pPr>
        <w:pStyle w:val="5"/>
        <w:pageBreakBefore w:val="0"/>
        <w:kinsoku/>
        <w:overflowPunct/>
        <w:topLinePunct w:val="0"/>
        <w:bidi w:val="0"/>
        <w:spacing w:before="120" w:after="120" w:line="440" w:lineRule="exact"/>
        <w:ind w:firstLine="480" w:firstLineChars="200"/>
        <w:outlineLvl w:val="2"/>
        <w:rPr>
          <w:rFonts w:hint="eastAsia" w:ascii="仿宋" w:hAnsi="仿宋" w:eastAsia="仿宋" w:cs="仿宋"/>
          <w:b w:val="0"/>
          <w:color w:val="auto"/>
          <w:sz w:val="24"/>
          <w:szCs w:val="24"/>
        </w:rPr>
      </w:pPr>
      <w:bookmarkStart w:id="24" w:name="_Toc15513"/>
      <w:bookmarkStart w:id="25" w:name="_Toc21472"/>
      <w:bookmarkStart w:id="26" w:name="_Toc9165"/>
      <w:r>
        <w:rPr>
          <w:rFonts w:hint="eastAsia" w:ascii="仿宋" w:hAnsi="仿宋" w:eastAsia="仿宋" w:cs="仿宋"/>
          <w:b w:val="0"/>
          <w:color w:val="auto"/>
          <w:sz w:val="24"/>
          <w:szCs w:val="24"/>
        </w:rPr>
        <w:t>三、质量标准</w:t>
      </w:r>
      <w:bookmarkEnd w:id="24"/>
      <w:bookmarkEnd w:id="25"/>
      <w:bookmarkEnd w:id="26"/>
    </w:p>
    <w:p w14:paraId="2672D0D9">
      <w:pPr>
        <w:pageBreakBefore w:val="0"/>
        <w:kinsoku/>
        <w:overflowPunct/>
        <w:topLinePunct w:val="0"/>
        <w:bidi w:val="0"/>
        <w:spacing w:line="440" w:lineRule="exact"/>
        <w:ind w:firstLine="459"/>
        <w:rPr>
          <w:rFonts w:hint="eastAsia" w:ascii="仿宋" w:hAnsi="仿宋" w:eastAsia="仿宋" w:cs="仿宋"/>
          <w:color w:val="auto"/>
          <w:sz w:val="24"/>
          <w:szCs w:val="24"/>
        </w:rPr>
      </w:pPr>
      <w:r>
        <w:rPr>
          <w:rFonts w:hint="eastAsia" w:ascii="仿宋" w:hAnsi="仿宋" w:eastAsia="仿宋" w:cs="仿宋"/>
          <w:color w:val="auto"/>
          <w:sz w:val="24"/>
          <w:szCs w:val="24"/>
        </w:rPr>
        <w:t>工程质量符合</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标准。</w:t>
      </w:r>
    </w:p>
    <w:p w14:paraId="29388E95">
      <w:pPr>
        <w:pStyle w:val="5"/>
        <w:pageBreakBefore w:val="0"/>
        <w:kinsoku/>
        <w:overflowPunct/>
        <w:topLinePunct w:val="0"/>
        <w:bidi w:val="0"/>
        <w:spacing w:before="120" w:after="120" w:line="440" w:lineRule="exact"/>
        <w:outlineLvl w:val="2"/>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bookmarkStart w:id="27" w:name="_Toc351203484"/>
      <w:bookmarkStart w:id="28" w:name="_Toc29089"/>
      <w:bookmarkStart w:id="29" w:name="_Toc6517"/>
      <w:r>
        <w:rPr>
          <w:rFonts w:hint="eastAsia" w:ascii="仿宋" w:hAnsi="仿宋" w:eastAsia="仿宋" w:cs="仿宋"/>
          <w:b w:val="0"/>
          <w:color w:val="auto"/>
          <w:sz w:val="24"/>
          <w:szCs w:val="24"/>
        </w:rPr>
        <w:t>四、签约合同价与合同价格形式</w:t>
      </w:r>
      <w:bookmarkEnd w:id="27"/>
      <w:bookmarkEnd w:id="28"/>
      <w:bookmarkEnd w:id="29"/>
      <w:r>
        <w:rPr>
          <w:rFonts w:hint="eastAsia" w:ascii="仿宋" w:hAnsi="仿宋" w:eastAsia="仿宋" w:cs="仿宋"/>
          <w:b w:val="0"/>
          <w:color w:val="auto"/>
          <w:sz w:val="24"/>
          <w:szCs w:val="24"/>
        </w:rPr>
        <w:tab/>
      </w:r>
    </w:p>
    <w:p w14:paraId="4C10530A">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1.签约合同价为：</w:t>
      </w:r>
    </w:p>
    <w:p w14:paraId="396F9CAF">
      <w:pPr>
        <w:pageBreakBefore w:val="0"/>
        <w:kinsoku/>
        <w:overflowPunct/>
        <w:topLinePunct w:val="0"/>
        <w:bidi w:val="0"/>
        <w:spacing w:line="440" w:lineRule="exact"/>
        <w:ind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14:paraId="26FF7AB3">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其中：</w:t>
      </w:r>
    </w:p>
    <w:p w14:paraId="2F31BBE6">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（1）安全文明施工费：</w:t>
      </w:r>
    </w:p>
    <w:p w14:paraId="6F06F409">
      <w:pPr>
        <w:pageBreakBefore w:val="0"/>
        <w:kinsoku/>
        <w:overflowPunct/>
        <w:topLinePunct w:val="0"/>
        <w:bidi w:val="0"/>
        <w:spacing w:line="440" w:lineRule="exact"/>
        <w:ind w:firstLine="1080" w:firstLineChars="450"/>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14:paraId="5E08CB9E">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（2）材料和工程设备暂估价金额：</w:t>
      </w:r>
    </w:p>
    <w:p w14:paraId="42F653C5">
      <w:pPr>
        <w:pageBreakBefore w:val="0"/>
        <w:kinsoku/>
        <w:overflowPunct/>
        <w:topLinePunct w:val="0"/>
        <w:bidi w:val="0"/>
        <w:spacing w:line="440" w:lineRule="exact"/>
        <w:ind w:firstLine="1080" w:firstLineChars="450"/>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14:paraId="38C0109C">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（3）专业工程暂估价金额：</w:t>
      </w:r>
    </w:p>
    <w:p w14:paraId="477B4FDE">
      <w:pPr>
        <w:pageBreakBefore w:val="0"/>
        <w:kinsoku/>
        <w:overflowPunct/>
        <w:topLinePunct w:val="0"/>
        <w:bidi w:val="0"/>
        <w:spacing w:line="440" w:lineRule="exact"/>
        <w:ind w:firstLine="1080" w:firstLineChars="450"/>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14:paraId="276336F5">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（4）暂列金额：</w:t>
      </w:r>
    </w:p>
    <w:p w14:paraId="77ED2F90">
      <w:pPr>
        <w:pageBreakBefore w:val="0"/>
        <w:kinsoku/>
        <w:overflowPunct/>
        <w:topLinePunct w:val="0"/>
        <w:bidi w:val="0"/>
        <w:spacing w:line="440" w:lineRule="exact"/>
        <w:ind w:firstLine="1080" w:firstLineChars="450"/>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14:paraId="17ECF4E3">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2.合同价格形式：</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40CBE3E0">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r>
        <w:rPr>
          <w:rFonts w:hint="eastAsia" w:ascii="仿宋" w:hAnsi="仿宋" w:eastAsia="仿宋" w:cs="仿宋"/>
          <w:bCs w:val="0"/>
          <w:color w:val="auto"/>
          <w:sz w:val="24"/>
          <w:szCs w:val="24"/>
        </w:rPr>
        <w:t xml:space="preserve">   </w:t>
      </w:r>
      <w:bookmarkStart w:id="30" w:name="_Toc351203485"/>
      <w:bookmarkStart w:id="31" w:name="_Toc28544"/>
      <w:bookmarkStart w:id="32" w:name="_Toc1945"/>
      <w:r>
        <w:rPr>
          <w:rFonts w:hint="eastAsia" w:ascii="仿宋" w:hAnsi="仿宋" w:eastAsia="仿宋" w:cs="仿宋"/>
          <w:b w:val="0"/>
          <w:color w:val="auto"/>
          <w:sz w:val="24"/>
          <w:szCs w:val="24"/>
        </w:rPr>
        <w:t>五、</w:t>
      </w:r>
      <w:bookmarkEnd w:id="30"/>
      <w:r>
        <w:rPr>
          <w:rFonts w:hint="eastAsia" w:ascii="仿宋" w:hAnsi="仿宋" w:eastAsia="仿宋" w:cs="仿宋"/>
          <w:b w:val="0"/>
          <w:color w:val="auto"/>
          <w:sz w:val="24"/>
          <w:szCs w:val="24"/>
        </w:rPr>
        <w:t>项目经理</w:t>
      </w:r>
      <w:bookmarkEnd w:id="31"/>
      <w:bookmarkEnd w:id="32"/>
    </w:p>
    <w:p w14:paraId="7CD7E12B">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承包人项目经理：</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05472E3E">
      <w:pPr>
        <w:pStyle w:val="5"/>
        <w:pageBreakBefore w:val="0"/>
        <w:kinsoku/>
        <w:overflowPunct/>
        <w:topLinePunct w:val="0"/>
        <w:bidi w:val="0"/>
        <w:spacing w:before="120" w:after="120" w:line="440" w:lineRule="exact"/>
        <w:outlineLvl w:val="2"/>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bookmarkStart w:id="33" w:name="_Toc26911"/>
      <w:bookmarkStart w:id="34" w:name="_Toc4873"/>
      <w:bookmarkStart w:id="35" w:name="_Toc351203486"/>
      <w:r>
        <w:rPr>
          <w:rFonts w:hint="eastAsia" w:ascii="仿宋" w:hAnsi="仿宋" w:eastAsia="仿宋" w:cs="仿宋"/>
          <w:b w:val="0"/>
          <w:color w:val="auto"/>
          <w:sz w:val="24"/>
          <w:szCs w:val="24"/>
        </w:rPr>
        <w:t>六、合同文件构成</w:t>
      </w:r>
      <w:bookmarkEnd w:id="33"/>
      <w:bookmarkEnd w:id="34"/>
      <w:bookmarkEnd w:id="35"/>
    </w:p>
    <w:p w14:paraId="19607A6A">
      <w:pPr>
        <w:pageBreakBefore w:val="0"/>
        <w:kinsoku/>
        <w:overflowPunct/>
        <w:topLinePunct w:val="0"/>
        <w:bidi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本协议书与下列文件一起构成合同文件：</w:t>
      </w:r>
    </w:p>
    <w:p w14:paraId="1CB0F74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（1）中标通知书（如果有）；</w:t>
      </w:r>
    </w:p>
    <w:p w14:paraId="1283DB8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（2）投标函及其附录（如果有）； </w:t>
      </w:r>
    </w:p>
    <w:p w14:paraId="02FF436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（3）专用合同条款及其附件；</w:t>
      </w:r>
    </w:p>
    <w:p w14:paraId="0E0BE06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（4）通用合同条款；</w:t>
      </w:r>
    </w:p>
    <w:p w14:paraId="3366A1D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（5）技术标准和要求；</w:t>
      </w:r>
    </w:p>
    <w:p w14:paraId="2D16C6D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（6）图纸；</w:t>
      </w:r>
    </w:p>
    <w:p w14:paraId="4174743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（7）已标价工程量清单或预算书；</w:t>
      </w:r>
    </w:p>
    <w:p w14:paraId="631F926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（8）其他合同文件。</w:t>
      </w:r>
    </w:p>
    <w:p w14:paraId="41B4874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在合同订立及履行过程中形成的与合同有关的文件均构成合同文件组成部分。</w:t>
      </w:r>
    </w:p>
    <w:p w14:paraId="02737AB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1EA70520">
      <w:pPr>
        <w:pStyle w:val="5"/>
        <w:pageBreakBefore w:val="0"/>
        <w:kinsoku/>
        <w:overflowPunct/>
        <w:topLinePunct w:val="0"/>
        <w:bidi w:val="0"/>
        <w:spacing w:before="120" w:after="120" w:line="440" w:lineRule="exact"/>
        <w:outlineLvl w:val="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w:t>
      </w:r>
      <w:r>
        <w:rPr>
          <w:rFonts w:hint="eastAsia" w:ascii="仿宋" w:hAnsi="仿宋" w:eastAsia="仿宋" w:cs="仿宋"/>
          <w:b w:val="0"/>
          <w:color w:val="auto"/>
          <w:sz w:val="24"/>
          <w:szCs w:val="24"/>
        </w:rPr>
        <w:t xml:space="preserve"> </w:t>
      </w:r>
      <w:bookmarkStart w:id="36" w:name="_Toc30144"/>
      <w:bookmarkStart w:id="37" w:name="_Toc351203487"/>
      <w:bookmarkStart w:id="38" w:name="_Toc32401"/>
      <w:r>
        <w:rPr>
          <w:rFonts w:hint="eastAsia" w:ascii="仿宋" w:hAnsi="仿宋" w:eastAsia="仿宋" w:cs="仿宋"/>
          <w:b w:val="0"/>
          <w:color w:val="auto"/>
          <w:sz w:val="24"/>
          <w:szCs w:val="24"/>
        </w:rPr>
        <w:t>七、承诺</w:t>
      </w:r>
      <w:bookmarkEnd w:id="36"/>
      <w:bookmarkEnd w:id="37"/>
      <w:bookmarkEnd w:id="38"/>
    </w:p>
    <w:p w14:paraId="0D63533B">
      <w:pPr>
        <w:pageBreakBefore w:val="0"/>
        <w:kinsoku/>
        <w:overflowPunct/>
        <w:topLinePunct w:val="0"/>
        <w:bidi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1.发包人承诺按照法律规定履行项目审批手续、筹集工程建设资金并按照合同约定的期限和方式支付合同价款。</w:t>
      </w:r>
    </w:p>
    <w:p w14:paraId="6B6E5A2C">
      <w:pPr>
        <w:pageBreakBefore w:val="0"/>
        <w:kinsoku/>
        <w:overflowPunct/>
        <w:topLinePunct w:val="0"/>
        <w:bidi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2.承包人承诺按照法律规定及合同约定组织完成工程施工，确保工程质量和安全，不进行转包及违法分包，并在缺陷责任期及保修期内承担相应的工程维修责任。</w:t>
      </w:r>
    </w:p>
    <w:p w14:paraId="5A042EAC">
      <w:pPr>
        <w:pageBreakBefore w:val="0"/>
        <w:kinsoku/>
        <w:overflowPunct/>
        <w:topLinePunct w:val="0"/>
        <w:bidi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3.发包人和承包人通过招投标形式签订合同的，双方理解并承诺不再就同一工程另行签订与合同实质性内容相背离的协议。</w:t>
      </w:r>
    </w:p>
    <w:p w14:paraId="741DAAB5">
      <w:pPr>
        <w:pageBreakBefore w:val="0"/>
        <w:kinsoku/>
        <w:overflowPunct/>
        <w:topLinePunct w:val="0"/>
        <w:bidi w:val="0"/>
        <w:spacing w:line="440" w:lineRule="exact"/>
        <w:outlineLvl w:val="2"/>
        <w:rPr>
          <w:rFonts w:hint="eastAsia" w:ascii="仿宋" w:hAnsi="仿宋" w:eastAsia="仿宋" w:cs="仿宋"/>
          <w:bCs/>
          <w:color w:val="auto"/>
          <w:sz w:val="24"/>
          <w:szCs w:val="24"/>
        </w:rPr>
      </w:pPr>
      <w:bookmarkStart w:id="39" w:name="_Toc351203488"/>
      <w:r>
        <w:rPr>
          <w:rFonts w:hint="eastAsia" w:ascii="仿宋" w:hAnsi="仿宋" w:eastAsia="仿宋" w:cs="仿宋"/>
          <w:b/>
          <w:color w:val="auto"/>
          <w:sz w:val="24"/>
          <w:szCs w:val="24"/>
        </w:rPr>
        <w:t xml:space="preserve">   </w:t>
      </w:r>
      <w:bookmarkStart w:id="40" w:name="_Toc9248"/>
      <w:bookmarkStart w:id="41" w:name="_Toc10704"/>
      <w:r>
        <w:rPr>
          <w:rFonts w:hint="eastAsia" w:ascii="仿宋" w:hAnsi="仿宋" w:eastAsia="仿宋" w:cs="仿宋"/>
          <w:b/>
          <w:color w:val="auto"/>
          <w:sz w:val="24"/>
          <w:szCs w:val="24"/>
        </w:rPr>
        <w:t>八、词语含义</w:t>
      </w:r>
      <w:bookmarkEnd w:id="39"/>
      <w:bookmarkEnd w:id="40"/>
      <w:bookmarkEnd w:id="41"/>
    </w:p>
    <w:p w14:paraId="07B7C25D">
      <w:pPr>
        <w:pageBreakBefore w:val="0"/>
        <w:kinsoku/>
        <w:overflowPunct/>
        <w:topLinePunct w:val="0"/>
        <w:bidi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本协议书中词语含义与第二部分通用合同条款中赋予的含义相同。</w:t>
      </w:r>
    </w:p>
    <w:p w14:paraId="3E57894C">
      <w:pPr>
        <w:pStyle w:val="5"/>
        <w:pageBreakBefore w:val="0"/>
        <w:kinsoku/>
        <w:overflowPunct/>
        <w:topLinePunct w:val="0"/>
        <w:bidi w:val="0"/>
        <w:spacing w:before="120" w:after="120" w:line="440" w:lineRule="exact"/>
        <w:outlineLvl w:val="2"/>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r>
        <w:rPr>
          <w:rFonts w:hint="eastAsia" w:ascii="仿宋" w:hAnsi="仿宋" w:eastAsia="仿宋" w:cs="仿宋"/>
          <w:b w:val="0"/>
          <w:color w:val="auto"/>
          <w:sz w:val="24"/>
          <w:szCs w:val="24"/>
        </w:rPr>
        <w:t xml:space="preserve"> </w:t>
      </w:r>
      <w:bookmarkStart w:id="42" w:name="_Toc1520"/>
      <w:bookmarkStart w:id="43" w:name="_Toc351203489"/>
      <w:bookmarkStart w:id="44" w:name="_Toc27766"/>
      <w:r>
        <w:rPr>
          <w:rFonts w:hint="eastAsia" w:ascii="仿宋" w:hAnsi="仿宋" w:eastAsia="仿宋" w:cs="仿宋"/>
          <w:b w:val="0"/>
          <w:color w:val="auto"/>
          <w:sz w:val="24"/>
          <w:szCs w:val="24"/>
        </w:rPr>
        <w:t>九、签订时间</w:t>
      </w:r>
      <w:bookmarkEnd w:id="42"/>
      <w:bookmarkEnd w:id="43"/>
      <w:bookmarkEnd w:id="44"/>
    </w:p>
    <w:p w14:paraId="6C19AC9F">
      <w:pPr>
        <w:pageBreakBefore w:val="0"/>
        <w:kinsoku/>
        <w:overflowPunct/>
        <w:topLinePunct w:val="0"/>
        <w:bidi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本合同于</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日签订。</w:t>
      </w:r>
    </w:p>
    <w:p w14:paraId="1AD540C0">
      <w:pPr>
        <w:pStyle w:val="5"/>
        <w:pageBreakBefore w:val="0"/>
        <w:kinsoku/>
        <w:overflowPunct/>
        <w:topLinePunct w:val="0"/>
        <w:bidi w:val="0"/>
        <w:spacing w:before="120" w:after="120" w:line="440" w:lineRule="exact"/>
        <w:outlineLvl w:val="2"/>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bookmarkStart w:id="45" w:name="_Toc499"/>
      <w:bookmarkStart w:id="46" w:name="_Toc2103"/>
      <w:bookmarkStart w:id="47" w:name="_Toc351203490"/>
      <w:r>
        <w:rPr>
          <w:rFonts w:hint="eastAsia" w:ascii="仿宋" w:hAnsi="仿宋" w:eastAsia="仿宋" w:cs="仿宋"/>
          <w:b w:val="0"/>
          <w:color w:val="auto"/>
          <w:sz w:val="24"/>
          <w:szCs w:val="24"/>
        </w:rPr>
        <w:t>十、签订地点</w:t>
      </w:r>
      <w:bookmarkEnd w:id="45"/>
      <w:bookmarkEnd w:id="46"/>
      <w:bookmarkEnd w:id="47"/>
    </w:p>
    <w:p w14:paraId="40F1BBE8">
      <w:pPr>
        <w:pageBreakBefore w:val="0"/>
        <w:kinsoku/>
        <w:overflowPunct/>
        <w:topLinePunct w:val="0"/>
        <w:bidi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本合同在</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签订。</w:t>
      </w:r>
    </w:p>
    <w:p w14:paraId="3D3C7376">
      <w:pPr>
        <w:pStyle w:val="5"/>
        <w:pageBreakBefore w:val="0"/>
        <w:kinsoku/>
        <w:overflowPunct/>
        <w:topLinePunct w:val="0"/>
        <w:bidi w:val="0"/>
        <w:spacing w:before="120" w:after="120" w:line="440" w:lineRule="exact"/>
        <w:outlineLvl w:val="2"/>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bookmarkStart w:id="48" w:name="_Toc31585"/>
      <w:bookmarkStart w:id="49" w:name="_Toc27822"/>
      <w:bookmarkStart w:id="50" w:name="_Toc351203491"/>
      <w:r>
        <w:rPr>
          <w:rFonts w:hint="eastAsia" w:ascii="仿宋" w:hAnsi="仿宋" w:eastAsia="仿宋" w:cs="仿宋"/>
          <w:b w:val="0"/>
          <w:color w:val="auto"/>
          <w:sz w:val="24"/>
          <w:szCs w:val="24"/>
        </w:rPr>
        <w:t>十一、补充协议</w:t>
      </w:r>
      <w:bookmarkEnd w:id="48"/>
      <w:bookmarkEnd w:id="49"/>
      <w:bookmarkEnd w:id="50"/>
    </w:p>
    <w:p w14:paraId="3866038C">
      <w:pPr>
        <w:pageBreakBefore w:val="0"/>
        <w:kinsoku/>
        <w:overflowPunct/>
        <w:topLinePunct w:val="0"/>
        <w:bidi w:val="0"/>
        <w:spacing w:line="440" w:lineRule="exact"/>
        <w:ind w:firstLine="480" w:firstLineChars="200"/>
        <w:rPr>
          <w:rFonts w:hint="eastAsia" w:ascii="仿宋" w:hAnsi="仿宋" w:eastAsia="仿宋" w:cs="仿宋"/>
          <w:b/>
          <w:bCs/>
          <w:color w:val="auto"/>
          <w:sz w:val="24"/>
          <w:szCs w:val="24"/>
        </w:rPr>
      </w:pPr>
      <w:r>
        <w:rPr>
          <w:rFonts w:hint="eastAsia" w:ascii="仿宋" w:hAnsi="仿宋" w:eastAsia="仿宋" w:cs="仿宋"/>
          <w:bCs/>
          <w:color w:val="auto"/>
          <w:sz w:val="24"/>
          <w:szCs w:val="24"/>
        </w:rPr>
        <w:t>合同未尽事宜，合同当事人另行签订补充协议，补充协议是合同的组成部分。</w:t>
      </w:r>
    </w:p>
    <w:p w14:paraId="50987C7B">
      <w:pPr>
        <w:pStyle w:val="5"/>
        <w:pageBreakBefore w:val="0"/>
        <w:kinsoku/>
        <w:overflowPunct/>
        <w:topLinePunct w:val="0"/>
        <w:bidi w:val="0"/>
        <w:spacing w:before="120" w:after="120" w:line="440" w:lineRule="exact"/>
        <w:outlineLvl w:val="2"/>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bookmarkStart w:id="51" w:name="_Toc10972"/>
      <w:bookmarkStart w:id="52" w:name="_Toc351203492"/>
      <w:bookmarkStart w:id="53" w:name="_Toc5646"/>
      <w:r>
        <w:rPr>
          <w:rFonts w:hint="eastAsia" w:ascii="仿宋" w:hAnsi="仿宋" w:eastAsia="仿宋" w:cs="仿宋"/>
          <w:b w:val="0"/>
          <w:color w:val="auto"/>
          <w:sz w:val="24"/>
          <w:szCs w:val="24"/>
        </w:rPr>
        <w:t>十二、合同生效</w:t>
      </w:r>
      <w:bookmarkEnd w:id="51"/>
      <w:bookmarkEnd w:id="52"/>
      <w:bookmarkEnd w:id="53"/>
    </w:p>
    <w:p w14:paraId="0F541182">
      <w:pPr>
        <w:pageBreakBefore w:val="0"/>
        <w:kinsoku/>
        <w:overflowPunct/>
        <w:topLinePunct w:val="0"/>
        <w:bidi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本合同自</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生效。</w:t>
      </w:r>
    </w:p>
    <w:p w14:paraId="4D3ABE6D">
      <w:pPr>
        <w:pStyle w:val="5"/>
        <w:pageBreakBefore w:val="0"/>
        <w:kinsoku/>
        <w:overflowPunct/>
        <w:topLinePunct w:val="0"/>
        <w:bidi w:val="0"/>
        <w:spacing w:before="120" w:after="120" w:line="440" w:lineRule="exact"/>
        <w:outlineLvl w:val="2"/>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bookmarkStart w:id="54" w:name="_Toc11467"/>
      <w:bookmarkStart w:id="55" w:name="_Toc2961"/>
      <w:bookmarkStart w:id="56" w:name="_Toc351203493"/>
      <w:r>
        <w:rPr>
          <w:rFonts w:hint="eastAsia" w:ascii="仿宋" w:hAnsi="仿宋" w:eastAsia="仿宋" w:cs="仿宋"/>
          <w:b w:val="0"/>
          <w:color w:val="auto"/>
          <w:sz w:val="24"/>
          <w:szCs w:val="24"/>
        </w:rPr>
        <w:t>十三、合同份数</w:t>
      </w:r>
      <w:bookmarkEnd w:id="54"/>
      <w:bookmarkEnd w:id="55"/>
      <w:bookmarkEnd w:id="56"/>
    </w:p>
    <w:p w14:paraId="0B0DE305">
      <w:pPr>
        <w:pageBreakBefore w:val="0"/>
        <w:kinsoku/>
        <w:overflowPunct/>
        <w:topLinePunct w:val="0"/>
        <w:bidi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本合同一式</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份，均具有同等法律效力，发包人执</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份，承包人执</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份。</w:t>
      </w:r>
    </w:p>
    <w:p w14:paraId="7CCF8AAF">
      <w:pPr>
        <w:pageBreakBefore w:val="0"/>
        <w:kinsoku/>
        <w:overflowPunct/>
        <w:topLinePunct w:val="0"/>
        <w:bidi w:val="0"/>
        <w:spacing w:line="440" w:lineRule="exact"/>
        <w:rPr>
          <w:rFonts w:hint="eastAsia" w:ascii="仿宋" w:hAnsi="仿宋" w:eastAsia="仿宋" w:cs="仿宋"/>
          <w:color w:val="auto"/>
          <w:sz w:val="24"/>
          <w:szCs w:val="24"/>
        </w:rPr>
      </w:pPr>
    </w:p>
    <w:p w14:paraId="71FFE5CE">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发包人：  (公章)             承包人：  (公章)</w:t>
      </w:r>
    </w:p>
    <w:p w14:paraId="34FB0578">
      <w:pPr>
        <w:pageBreakBefore w:val="0"/>
        <w:kinsoku/>
        <w:overflowPunct/>
        <w:topLinePunct w:val="0"/>
        <w:bidi w:val="0"/>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w:t>
      </w:r>
    </w:p>
    <w:p w14:paraId="15659BA9">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法定代表人或其委托代理人：</w:t>
      </w:r>
    </w:p>
    <w:p w14:paraId="13ECBFB2">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（签字）                    （签字）</w:t>
      </w:r>
    </w:p>
    <w:p w14:paraId="6385A8EE">
      <w:pPr>
        <w:pageBreakBefore w:val="0"/>
        <w:kinsoku/>
        <w:overflowPunct/>
        <w:topLinePunct w:val="0"/>
        <w:bidi w:val="0"/>
        <w:spacing w:line="440" w:lineRule="exact"/>
        <w:rPr>
          <w:rFonts w:hint="eastAsia" w:ascii="仿宋" w:hAnsi="仿宋" w:eastAsia="仿宋" w:cs="仿宋"/>
          <w:color w:val="auto"/>
          <w:sz w:val="24"/>
          <w:szCs w:val="24"/>
          <w:u w:val="single"/>
        </w:rPr>
      </w:pPr>
    </w:p>
    <w:p w14:paraId="69F7FFAE">
      <w:pPr>
        <w:pageBreakBefore w:val="0"/>
        <w:tabs>
          <w:tab w:val="left" w:pos="4410"/>
        </w:tabs>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组织机构代码：</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组织机构代码：</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w:t>
      </w:r>
    </w:p>
    <w:p w14:paraId="65542F50">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地  址：</w:t>
      </w:r>
      <w:r>
        <w:rPr>
          <w:rFonts w:hint="eastAsia" w:ascii="仿宋" w:hAnsi="仿宋" w:eastAsia="仿宋" w:cs="仿宋"/>
          <w:color w:val="auto"/>
          <w:sz w:val="24"/>
          <w:szCs w:val="24"/>
          <w:u w:val="single"/>
        </w:rPr>
        <w:t xml:space="preserve">        </w:t>
      </w:r>
    </w:p>
    <w:p w14:paraId="38727DD4">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 xml:space="preserve">      </w:t>
      </w:r>
      <w:r>
        <w:rPr>
          <w:rFonts w:hint="eastAsia" w:ascii="仿宋" w:hAnsi="仿宋" w:eastAsia="仿宋" w:cs="仿宋"/>
          <w:color w:val="auto"/>
          <w:sz w:val="24"/>
          <w:szCs w:val="24"/>
        </w:rPr>
        <w:t xml:space="preserve">  邮政编码：</w:t>
      </w:r>
      <w:r>
        <w:rPr>
          <w:rFonts w:hint="eastAsia" w:ascii="仿宋" w:hAnsi="仿宋" w:eastAsia="仿宋" w:cs="仿宋"/>
          <w:color w:val="auto"/>
          <w:sz w:val="24"/>
          <w:szCs w:val="24"/>
          <w:u w:val="single"/>
        </w:rPr>
        <w:t xml:space="preserve">   </w:t>
      </w:r>
    </w:p>
    <w:p w14:paraId="6EF5441C">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u w:val="single"/>
        </w:rPr>
        <w:t xml:space="preserve">             </w:t>
      </w:r>
    </w:p>
    <w:p w14:paraId="7B65CF99">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委托代理人：</w:t>
      </w:r>
      <w:r>
        <w:rPr>
          <w:rFonts w:hint="eastAsia" w:ascii="仿宋" w:hAnsi="仿宋" w:eastAsia="仿宋" w:cs="仿宋"/>
          <w:color w:val="auto"/>
          <w:sz w:val="24"/>
          <w:szCs w:val="24"/>
          <w:u w:val="single"/>
        </w:rPr>
        <w:t xml:space="preserve">             </w:t>
      </w:r>
    </w:p>
    <w:p w14:paraId="3B91BF18">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  话：</w:t>
      </w:r>
      <w:r>
        <w:rPr>
          <w:rFonts w:hint="eastAsia" w:ascii="仿宋" w:hAnsi="仿宋" w:eastAsia="仿宋" w:cs="仿宋"/>
          <w:color w:val="auto"/>
          <w:sz w:val="24"/>
          <w:szCs w:val="24"/>
          <w:u w:val="single"/>
        </w:rPr>
        <w:t xml:space="preserve">     </w:t>
      </w:r>
    </w:p>
    <w:p w14:paraId="466B8FE3">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传  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传  真：</w:t>
      </w:r>
      <w:r>
        <w:rPr>
          <w:rFonts w:hint="eastAsia" w:ascii="仿宋" w:hAnsi="仿宋" w:eastAsia="仿宋" w:cs="仿宋"/>
          <w:color w:val="auto"/>
          <w:sz w:val="24"/>
          <w:szCs w:val="24"/>
          <w:u w:val="single"/>
        </w:rPr>
        <w:t xml:space="preserve">     </w:t>
      </w:r>
    </w:p>
    <w:p w14:paraId="4BEC41E4">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电子信箱：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电子信箱：</w:t>
      </w:r>
      <w:r>
        <w:rPr>
          <w:rFonts w:hint="eastAsia" w:ascii="仿宋" w:hAnsi="仿宋" w:eastAsia="仿宋" w:cs="仿宋"/>
          <w:color w:val="auto"/>
          <w:sz w:val="24"/>
          <w:szCs w:val="24"/>
          <w:u w:val="single"/>
        </w:rPr>
        <w:t xml:space="preserve">   </w:t>
      </w:r>
    </w:p>
    <w:p w14:paraId="30005CFA">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开户银行：</w:t>
      </w:r>
      <w:r>
        <w:rPr>
          <w:rFonts w:hint="eastAsia" w:ascii="仿宋" w:hAnsi="仿宋" w:eastAsia="仿宋" w:cs="仿宋"/>
          <w:color w:val="auto"/>
          <w:sz w:val="24"/>
          <w:szCs w:val="24"/>
          <w:u w:val="single"/>
        </w:rPr>
        <w:t xml:space="preserve">   </w:t>
      </w:r>
    </w:p>
    <w:p w14:paraId="069C55C2">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账  号：</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账  号：</w:t>
      </w:r>
      <w:r>
        <w:rPr>
          <w:rFonts w:hint="eastAsia" w:ascii="仿宋" w:hAnsi="仿宋" w:eastAsia="仿宋" w:cs="仿宋"/>
          <w:color w:val="auto"/>
          <w:sz w:val="24"/>
          <w:szCs w:val="24"/>
          <w:u w:val="single"/>
        </w:rPr>
        <w:t xml:space="preserve">     </w:t>
      </w:r>
    </w:p>
    <w:p w14:paraId="3BCE8332">
      <w:pPr>
        <w:pStyle w:val="4"/>
        <w:pageBreakBefore w:val="0"/>
        <w:kinsoku/>
        <w:overflowPunct/>
        <w:topLinePunct w:val="0"/>
        <w:bidi w:val="0"/>
        <w:spacing w:line="440" w:lineRule="exact"/>
        <w:jc w:val="center"/>
        <w:outlineLvl w:val="1"/>
        <w:rPr>
          <w:rFonts w:hint="eastAsia" w:ascii="仿宋" w:hAnsi="仿宋" w:eastAsia="仿宋" w:cs="仿宋"/>
          <w:color w:val="auto"/>
          <w:sz w:val="24"/>
          <w:szCs w:val="24"/>
        </w:rPr>
      </w:pPr>
      <w:r>
        <w:rPr>
          <w:rFonts w:hint="eastAsia" w:ascii="仿宋" w:hAnsi="仿宋" w:eastAsia="仿宋" w:cs="仿宋"/>
          <w:color w:val="auto"/>
          <w:sz w:val="24"/>
          <w:szCs w:val="24"/>
        </w:rPr>
        <w:br w:type="page"/>
      </w:r>
      <w:bookmarkStart w:id="57" w:name="_Toc18466"/>
      <w:bookmarkStart w:id="58" w:name="_Toc351203494"/>
      <w:bookmarkStart w:id="59" w:name="_Toc2765"/>
      <w:bookmarkStart w:id="60" w:name="_Toc13394"/>
      <w:r>
        <w:rPr>
          <w:rFonts w:hint="eastAsia" w:ascii="仿宋" w:hAnsi="仿宋" w:eastAsia="仿宋" w:cs="仿宋"/>
          <w:color w:val="auto"/>
          <w:sz w:val="24"/>
          <w:szCs w:val="24"/>
        </w:rPr>
        <w:t>第二部分 通用合同条款</w:t>
      </w:r>
      <w:bookmarkEnd w:id="57"/>
      <w:bookmarkEnd w:id="58"/>
      <w:bookmarkEnd w:id="59"/>
      <w:bookmarkEnd w:id="60"/>
      <w:bookmarkStart w:id="61" w:name="_Toc337558727"/>
    </w:p>
    <w:p w14:paraId="10B84269">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62" w:name="_Toc351203495"/>
      <w:bookmarkStart w:id="63" w:name="_Toc17312"/>
      <w:bookmarkStart w:id="64" w:name="_Toc18058"/>
      <w:r>
        <w:rPr>
          <w:rFonts w:hint="eastAsia" w:ascii="仿宋" w:hAnsi="仿宋" w:eastAsia="仿宋" w:cs="仿宋"/>
          <w:b w:val="0"/>
          <w:color w:val="auto"/>
          <w:sz w:val="24"/>
          <w:szCs w:val="24"/>
        </w:rPr>
        <w:t>1.</w:t>
      </w:r>
      <w:bookmarkStart w:id="65" w:name="_Toc303538975"/>
      <w:bookmarkEnd w:id="65"/>
      <w:bookmarkStart w:id="66" w:name="_Toc303538973"/>
      <w:bookmarkEnd w:id="66"/>
      <w:bookmarkStart w:id="67" w:name="_Toc303538976"/>
      <w:bookmarkEnd w:id="67"/>
      <w:bookmarkStart w:id="68" w:name="_Toc303538972"/>
      <w:bookmarkEnd w:id="68"/>
      <w:bookmarkStart w:id="69" w:name="_Toc303538974"/>
      <w:bookmarkEnd w:id="69"/>
      <w:bookmarkStart w:id="70" w:name="_Toc296346528"/>
      <w:bookmarkStart w:id="71" w:name="_Toc296503027"/>
      <w:r>
        <w:rPr>
          <w:rFonts w:hint="eastAsia" w:ascii="仿宋" w:hAnsi="仿宋" w:eastAsia="仿宋" w:cs="仿宋"/>
          <w:b w:val="0"/>
          <w:color w:val="auto"/>
          <w:sz w:val="24"/>
          <w:szCs w:val="24"/>
        </w:rPr>
        <w:t xml:space="preserve"> 一般约定</w:t>
      </w:r>
      <w:bookmarkEnd w:id="61"/>
      <w:bookmarkEnd w:id="62"/>
      <w:bookmarkEnd w:id="63"/>
      <w:bookmarkEnd w:id="64"/>
      <w:bookmarkEnd w:id="70"/>
      <w:bookmarkEnd w:id="71"/>
    </w:p>
    <w:p w14:paraId="6D025DE3">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72" w:name="_Toc296503028"/>
      <w:bookmarkStart w:id="73" w:name="_Toc337558728"/>
      <w:bookmarkStart w:id="74" w:name="_Toc296346529"/>
      <w:bookmarkStart w:id="75" w:name="_Toc351203496"/>
      <w:bookmarkStart w:id="76" w:name="_Toc20087"/>
      <w:bookmarkStart w:id="77" w:name="_Toc18615"/>
      <w:r>
        <w:rPr>
          <w:rFonts w:hint="eastAsia" w:ascii="仿宋" w:hAnsi="仿宋" w:eastAsia="仿宋" w:cs="仿宋"/>
          <w:b w:val="0"/>
          <w:color w:val="auto"/>
          <w:sz w:val="24"/>
          <w:szCs w:val="24"/>
        </w:rPr>
        <w:t>1.1词语定义</w:t>
      </w:r>
      <w:bookmarkEnd w:id="72"/>
      <w:bookmarkEnd w:id="73"/>
      <w:bookmarkEnd w:id="74"/>
      <w:r>
        <w:rPr>
          <w:rFonts w:hint="eastAsia" w:ascii="仿宋" w:hAnsi="仿宋" w:eastAsia="仿宋" w:cs="仿宋"/>
          <w:b w:val="0"/>
          <w:color w:val="auto"/>
          <w:sz w:val="24"/>
          <w:szCs w:val="24"/>
        </w:rPr>
        <w:t>与解释</w:t>
      </w:r>
      <w:bookmarkEnd w:id="75"/>
      <w:bookmarkEnd w:id="76"/>
      <w:bookmarkEnd w:id="77"/>
    </w:p>
    <w:p w14:paraId="5DEA890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合同协议书、通用合同条款、专用合同条款中的下列词语具有本款所赋予的含义：</w:t>
      </w:r>
    </w:p>
    <w:p w14:paraId="46AD825B">
      <w:pPr>
        <w:pageBreakBefore w:val="0"/>
        <w:kinsoku/>
        <w:overflowPunct/>
        <w:topLinePunct w:val="0"/>
        <w:autoSpaceDE w:val="0"/>
        <w:autoSpaceDN w:val="0"/>
        <w:bidi w:val="0"/>
        <w:adjustRightInd w:val="0"/>
        <w:spacing w:line="44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1.1.1 合同</w:t>
      </w:r>
    </w:p>
    <w:p w14:paraId="714FFD9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1.1.1.1 合同：是指根据法律规定和合同当事人约定具有约束力的文件，构成合同的文件包括合同协议书、中标通知书（如果有）、投标函及其附录（如果有）、专用合同条款</w:t>
      </w:r>
      <w:r>
        <w:rPr>
          <w:rFonts w:hint="eastAsia" w:ascii="仿宋" w:hAnsi="仿宋" w:eastAsia="仿宋" w:cs="仿宋"/>
          <w:color w:val="auto"/>
          <w:sz w:val="24"/>
          <w:szCs w:val="24"/>
        </w:rPr>
        <w:t>及其附件</w:t>
      </w:r>
      <w:r>
        <w:rPr>
          <w:rFonts w:hint="eastAsia" w:ascii="仿宋" w:hAnsi="仿宋" w:eastAsia="仿宋" w:cs="仿宋"/>
          <w:color w:val="auto"/>
          <w:kern w:val="0"/>
          <w:sz w:val="24"/>
          <w:szCs w:val="24"/>
        </w:rPr>
        <w:t>、通用合同条款、技术标准和要求、图纸、已标价工程量清单或预算书以及其他合同文件。</w:t>
      </w:r>
    </w:p>
    <w:p w14:paraId="3C623D6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1.1.1.2 合同协议书：是指构成合同的由发包人和承包人共同签署的称为“合同协议书”的书面文件。</w:t>
      </w:r>
    </w:p>
    <w:p w14:paraId="63DB9C9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1.1.1.3 中标通知书：是指构成合同的由发包人通知承包人中标的书面文件。</w:t>
      </w:r>
    </w:p>
    <w:p w14:paraId="37BDBF7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1.1.1.4 投标函：是指构成合同的由承包人填写并签署的用于投标的称为“投标函”的文件。</w:t>
      </w:r>
    </w:p>
    <w:p w14:paraId="369FAE6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1.1.1.5 投标函附录：是指构成合同的附在投标函后的称为“投标函附录”的文件。</w:t>
      </w:r>
    </w:p>
    <w:p w14:paraId="47BF0A6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1.1.1.6 技术标准和要求：是指构成合同的施工应当遵守的或指导施工的国家、行业或地方的技术标准和要求，以及合同约定的技术标准和要求。</w:t>
      </w:r>
    </w:p>
    <w:p w14:paraId="33E4875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14:paraId="229E56B6">
      <w:pPr>
        <w:pageBreakBefore w:val="0"/>
        <w:kinsoku/>
        <w:overflowPunct/>
        <w:topLinePunct w:val="0"/>
        <w:autoSpaceDE w:val="0"/>
        <w:autoSpaceDN w:val="0"/>
        <w:bidi w:val="0"/>
        <w:adjustRightInd w:val="0"/>
        <w:spacing w:line="440" w:lineRule="exact"/>
        <w:ind w:firstLine="468" w:firstLineChars="195"/>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1.1.1.8 已标价工程量清单：是指构成合同的由承包人按照规定的格式和要求填写并标明价格的工程量清单，包括说明和表格。</w:t>
      </w:r>
    </w:p>
    <w:p w14:paraId="65C86811">
      <w:pPr>
        <w:pageBreakBefore w:val="0"/>
        <w:kinsoku/>
        <w:overflowPunct/>
        <w:topLinePunct w:val="0"/>
        <w:autoSpaceDE w:val="0"/>
        <w:autoSpaceDN w:val="0"/>
        <w:bidi w:val="0"/>
        <w:adjustRightInd w:val="0"/>
        <w:spacing w:line="440" w:lineRule="exact"/>
        <w:ind w:firstLine="468" w:firstLineChars="195"/>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1.1.1.9 预算书：是指构成合同的由承包人按照发包人规定的格式和要求编制的工程预算文件。</w:t>
      </w:r>
    </w:p>
    <w:p w14:paraId="3CBCCD0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1.1.1.10 其他合同文件：是指经合同当事人约定的与工程施工有关的具有合同约束力的文件或书面协议。合同当事人可以在专用合同条款中进行约定。</w:t>
      </w:r>
    </w:p>
    <w:p w14:paraId="67EB7BC9">
      <w:pPr>
        <w:pageBreakBefore w:val="0"/>
        <w:kinsoku/>
        <w:overflowPunct/>
        <w:topLinePunct w:val="0"/>
        <w:autoSpaceDE w:val="0"/>
        <w:autoSpaceDN w:val="0"/>
        <w:bidi w:val="0"/>
        <w:adjustRightInd w:val="0"/>
        <w:spacing w:line="44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1.1.2 合同当事人及其他相关方</w:t>
      </w:r>
    </w:p>
    <w:p w14:paraId="290B421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1.1.2.1 合同当事人：是指发包人和（或）承包人。</w:t>
      </w:r>
    </w:p>
    <w:p w14:paraId="648B0F7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1.1.2.2 发包人：是指与承包人签订合同协议书的当事人及取得该当事人资格的合法继承人。</w:t>
      </w:r>
    </w:p>
    <w:p w14:paraId="6F34FC7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1.1.2.3 承包人：是指与发包人签订合同协议书的，具有相应工程施工承包资质的当事人及取得该当事人资格的合法继承人。</w:t>
      </w:r>
    </w:p>
    <w:p w14:paraId="4EF437F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1.1.2.4 监理人：是指在专用合同条款中指明的，受发包人委托按照法律规定进行工程监督管理的法人或其他组织。</w:t>
      </w:r>
    </w:p>
    <w:p w14:paraId="65C0641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1.1.2.5 设计人：是指在专用合同条款中指明的，受发包人委托负责工程设计并具备相应工程设计资质的法人或其他组织。</w:t>
      </w:r>
    </w:p>
    <w:p w14:paraId="7EA1DC3F">
      <w:pPr>
        <w:pageBreakBefore w:val="0"/>
        <w:kinsoku/>
        <w:overflowPunct/>
        <w:topLinePunct w:val="0"/>
        <w:bidi w:val="0"/>
        <w:spacing w:line="440" w:lineRule="exact"/>
        <w:ind w:firstLine="468" w:firstLineChars="195"/>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1.1.2.6 分包人：</w:t>
      </w:r>
      <w:bookmarkStart w:id="78" w:name="#go5"/>
      <w:bookmarkEnd w:id="78"/>
      <w:r>
        <w:rPr>
          <w:rFonts w:hint="eastAsia" w:ascii="仿宋" w:hAnsi="仿宋" w:eastAsia="仿宋" w:cs="仿宋"/>
          <w:color w:val="auto"/>
          <w:kern w:val="0"/>
          <w:sz w:val="24"/>
          <w:szCs w:val="24"/>
        </w:rPr>
        <w:t>是指按照法律规定和合同约定，分包部分工程或工作，并与承包人签订分包合同的具有相应资质的法人。</w:t>
      </w:r>
    </w:p>
    <w:p w14:paraId="1A28C88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1.1.2.7 发包人代表：是指由发包人任命并派驻施工现场在发包人授权范围内行使发包人权利的人。</w:t>
      </w:r>
    </w:p>
    <w:p w14:paraId="43ACA72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1.1.2.8 项目经理：是指由承包人任命并派驻施工现场，在承包人授权范围内负责合同履行，且按照法律规定具有相应资格的项目负责人。</w:t>
      </w:r>
    </w:p>
    <w:p w14:paraId="573346C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1.1.2.9 总监理工程师：是指由监理人任命并派驻施工现场进行工程监理的总负责人。</w:t>
      </w:r>
    </w:p>
    <w:p w14:paraId="7CF25D9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 工程和设备</w:t>
      </w:r>
    </w:p>
    <w:p w14:paraId="5C929007">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1.1.3.1 工程：是指与合同协议书中工程承包范围对应的永久工程和（或）临时工程。</w:t>
      </w:r>
    </w:p>
    <w:p w14:paraId="22FEF3F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1.1.3.2 永久工程：是指按合同约定建造并移交给发包人的工程，包括工程设备。</w:t>
      </w:r>
    </w:p>
    <w:p w14:paraId="28156C2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1.1.3.3 临时工程：是指为完成合同约定的永久工程所修建的各类临时性工程，不包括施工设备。</w:t>
      </w:r>
    </w:p>
    <w:p w14:paraId="18B9F06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1.1.3.4 单位工程：是指在合同协议书中指明的，具备独立施工条件并能形成独立使用功能的永久工程。</w:t>
      </w:r>
    </w:p>
    <w:p w14:paraId="19694EF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1.1.3.5 工程设备：是指构成永久工程的机电设备、金属结构设备、仪器及其他类似的设备和装置。</w:t>
      </w:r>
    </w:p>
    <w:p w14:paraId="12B5D2B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1.1.3.6 施工设备：是指为完成合同约定的各项工作所需的设备、器具和其他物品，但不包括工程设备、临时工程和材料。</w:t>
      </w:r>
    </w:p>
    <w:p w14:paraId="749754B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1.1.3.7 施工现场：是指用于工程施工的场所，以及在专用合同条款中指明作为施工场所组成部分的其他场所，包括永久占地和临时占地。</w:t>
      </w:r>
    </w:p>
    <w:p w14:paraId="107105E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1.1.3.8临时设施：是指为完成合同约定的各项工作所服务的临时性生产和生活设施。</w:t>
      </w:r>
    </w:p>
    <w:p w14:paraId="055624D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1.1.3.9 永久占地：是指专用合同条款中指明为实施工程需永久占用的土地。</w:t>
      </w:r>
    </w:p>
    <w:p w14:paraId="33F83F2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1.1.3.10 临时占地：是指专用合同条款中指明为实施工程需要临时占用的土地。</w:t>
      </w:r>
    </w:p>
    <w:p w14:paraId="0F7D4BB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 日期和期限</w:t>
      </w:r>
    </w:p>
    <w:p w14:paraId="5F4D3057">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06FF571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1.1.4.2 竣工日期：包括计划竣工日期和实际竣工日期。计划竣工日期是指合同协议书约定的竣工日期；实际竣工日期按照第13.2.3项〔竣工日期〕的约定确定。 </w:t>
      </w:r>
    </w:p>
    <w:p w14:paraId="04EA9708">
      <w:pPr>
        <w:pageBreakBefore w:val="0"/>
        <w:kinsoku/>
        <w:overflowPunct/>
        <w:topLinePunct w:val="0"/>
        <w:bidi w:val="0"/>
        <w:spacing w:line="440" w:lineRule="exact"/>
        <w:ind w:firstLine="487" w:firstLineChars="203"/>
        <w:rPr>
          <w:rFonts w:hint="eastAsia" w:ascii="仿宋" w:hAnsi="仿宋" w:eastAsia="仿宋" w:cs="仿宋"/>
          <w:color w:val="auto"/>
          <w:sz w:val="24"/>
          <w:szCs w:val="24"/>
        </w:rPr>
      </w:pPr>
      <w:r>
        <w:rPr>
          <w:rFonts w:hint="eastAsia" w:ascii="仿宋" w:hAnsi="仿宋" w:eastAsia="仿宋" w:cs="仿宋"/>
          <w:color w:val="auto"/>
          <w:kern w:val="0"/>
          <w:sz w:val="24"/>
          <w:szCs w:val="24"/>
        </w:rPr>
        <w:t>1.1.4.3 工期：是指在合同协议书约定的承包人完成工程所需的期限，包括按照合同约定所</w:t>
      </w:r>
      <w:r>
        <w:rPr>
          <w:rFonts w:hint="eastAsia" w:ascii="仿宋" w:hAnsi="仿宋" w:eastAsia="仿宋" w:cs="仿宋"/>
          <w:color w:val="auto"/>
          <w:kern w:val="0"/>
          <w:sz w:val="24"/>
          <w:szCs w:val="24"/>
          <w:lang w:eastAsia="zh-CN"/>
        </w:rPr>
        <w:t>做</w:t>
      </w:r>
      <w:r>
        <w:rPr>
          <w:rFonts w:hint="eastAsia" w:ascii="仿宋" w:hAnsi="仿宋" w:eastAsia="仿宋" w:cs="仿宋"/>
          <w:color w:val="auto"/>
          <w:kern w:val="0"/>
          <w:sz w:val="24"/>
          <w:szCs w:val="24"/>
        </w:rPr>
        <w:t>的期限变更。</w:t>
      </w:r>
    </w:p>
    <w:p w14:paraId="239721B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1.1.4.4 缺陷责任期：是指承包人按照合同约定承担缺陷修复义务，且发包人预留质量保证金</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已缴纳履约保证金的除外</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的期限，自工程实际竣工日期起计算。</w:t>
      </w:r>
    </w:p>
    <w:p w14:paraId="0DBE997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1.1.4.5 保修期：是指承包人按照合同约定对工程承担保修责任的期限，从工程竣工验收合格之日起计算。</w:t>
      </w:r>
    </w:p>
    <w:p w14:paraId="3516625F">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1.1.4.6 基准日期：招标发包的工程以投标截止日前28天的日期为基准日期，直接发包的工程以合同签订日前28天的日期为基准日期。</w:t>
      </w:r>
    </w:p>
    <w:p w14:paraId="6E1B1C8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1.1.4.7 天：除特别指明外，均指日历天。合同中按天计算时间的，开始当天不计入，从次日开始计算，期限最后一天的截止时间为当天24:00时。</w:t>
      </w:r>
    </w:p>
    <w:p w14:paraId="7D9C37B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1.1.5 合同价格和费用</w:t>
      </w:r>
    </w:p>
    <w:p w14:paraId="6A9DB674">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1.1.5.1 签约合同价：是指</w:t>
      </w:r>
      <w:r>
        <w:rPr>
          <w:rFonts w:hint="eastAsia" w:ascii="仿宋" w:hAnsi="仿宋" w:eastAsia="仿宋" w:cs="仿宋"/>
          <w:color w:val="auto"/>
          <w:sz w:val="24"/>
          <w:szCs w:val="24"/>
        </w:rPr>
        <w:t>发包人和承包人在合同协议书中确定的总金额，包括安全文明施工费、暂估价及暂列金额等。</w:t>
      </w:r>
    </w:p>
    <w:p w14:paraId="680B569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1.1.5.2 合同价格：是指发包人用于支付承包人按照合同约定完成承包范围内全部工作的金额，包括合同履行过程中按合同约定发生的价格变化。</w:t>
      </w:r>
    </w:p>
    <w:p w14:paraId="2CBA348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1.1.5.3 费用：是指为履行合同所发生的或将要发生的所有必需的开支，包括管理费和应分摊的其他费用，但不包括利润。</w:t>
      </w:r>
    </w:p>
    <w:p w14:paraId="170A80B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1.1.5.4 暂估价：是指发包人在工程量清单或预算书中提供的用于支付必然发生但暂时不能确定价格的材料、工程设备的单价、专业工程以及服务工作的金额。</w:t>
      </w:r>
    </w:p>
    <w:p w14:paraId="007AEA8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0E0723C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1.1.5.6 计日工：是指合同履行过程中，承包人完成发包人提出的零星工作或需要采用计日工计价的变更工作时，按合同中约定的单价计价的一种方式。</w:t>
      </w:r>
    </w:p>
    <w:p w14:paraId="145CA152">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1.1.5.7 质量保证金</w:t>
      </w:r>
      <w:bookmarkStart w:id="79" w:name="#go2"/>
      <w:bookmarkEnd w:id="79"/>
      <w:r>
        <w:rPr>
          <w:rFonts w:hint="eastAsia" w:ascii="仿宋" w:hAnsi="仿宋" w:eastAsia="仿宋" w:cs="仿宋"/>
          <w:color w:val="auto"/>
          <w:kern w:val="0"/>
          <w:sz w:val="24"/>
          <w:szCs w:val="24"/>
        </w:rPr>
        <w:t>：是指按照第15.3款〔质量保证金〕约定承包人用于保证其在缺陷责任期内履行缺陷修补义务的担保</w:t>
      </w:r>
      <w:r>
        <w:rPr>
          <w:rFonts w:hint="eastAsia" w:ascii="仿宋" w:hAnsi="仿宋" w:eastAsia="仿宋" w:cs="仿宋"/>
          <w:color w:val="auto"/>
          <w:sz w:val="24"/>
          <w:szCs w:val="24"/>
        </w:rPr>
        <w:t>。</w:t>
      </w:r>
    </w:p>
    <w:p w14:paraId="22CBB0D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1.1.5.8 总价项目：是指在现行国家、行业以及地方的计量规则中无工程量计算规则，在已标价工程量清单或预算书中以总价或以费率形式计算的项目。</w:t>
      </w:r>
    </w:p>
    <w:p w14:paraId="303CCE3B">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1.1.6 其他</w:t>
      </w:r>
    </w:p>
    <w:p w14:paraId="1B065D1D">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1.1.6.1 书面形式：是指合同文件、信函、电报、传真等可以有形地表现所载内容的形式。</w:t>
      </w:r>
    </w:p>
    <w:p w14:paraId="7D33ACFB">
      <w:pPr>
        <w:pStyle w:val="6"/>
        <w:pageBreakBefore w:val="0"/>
        <w:numPr>
          <w:ilvl w:val="0"/>
          <w:numId w:val="0"/>
        </w:numPr>
        <w:kinsoku/>
        <w:overflowPunct/>
        <w:topLinePunct w:val="0"/>
        <w:bidi w:val="0"/>
        <w:spacing w:before="120" w:after="120" w:line="440" w:lineRule="exact"/>
        <w:ind w:firstLine="480" w:firstLineChars="200"/>
        <w:outlineLvl w:val="3"/>
        <w:rPr>
          <w:rFonts w:hint="eastAsia" w:ascii="仿宋" w:hAnsi="仿宋" w:eastAsia="仿宋" w:cs="仿宋"/>
          <w:b w:val="0"/>
          <w:color w:val="auto"/>
          <w:sz w:val="24"/>
          <w:szCs w:val="24"/>
        </w:rPr>
      </w:pPr>
      <w:bookmarkStart w:id="80" w:name="_Toc296503029"/>
      <w:bookmarkStart w:id="81" w:name="_Toc4087"/>
      <w:bookmarkStart w:id="82" w:name="_Toc29026"/>
      <w:bookmarkStart w:id="83" w:name="_Toc296346530"/>
      <w:bookmarkStart w:id="84" w:name="_Toc351203497"/>
      <w:bookmarkStart w:id="85" w:name="_Toc337558729"/>
      <w:r>
        <w:rPr>
          <w:rFonts w:hint="eastAsia" w:ascii="仿宋" w:hAnsi="仿宋" w:eastAsia="仿宋" w:cs="仿宋"/>
          <w:b w:val="0"/>
          <w:color w:val="auto"/>
          <w:sz w:val="24"/>
          <w:szCs w:val="24"/>
        </w:rPr>
        <w:t>1.2语言文字</w:t>
      </w:r>
      <w:bookmarkEnd w:id="80"/>
      <w:bookmarkEnd w:id="81"/>
      <w:bookmarkEnd w:id="82"/>
      <w:bookmarkEnd w:id="83"/>
      <w:bookmarkEnd w:id="84"/>
      <w:bookmarkEnd w:id="85"/>
    </w:p>
    <w:p w14:paraId="2FC9510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合同以中国的汉语简体文字编写、解释和说明。合同当事人在专用合同条款中约定使用两种以上语言时，汉语为优先解释和说明合同的语言。</w:t>
      </w:r>
    </w:p>
    <w:p w14:paraId="1D29398C">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86" w:name="_Toc24463"/>
      <w:bookmarkStart w:id="87" w:name="_Toc296346531"/>
      <w:bookmarkStart w:id="88" w:name="_Toc7355"/>
      <w:bookmarkStart w:id="89" w:name="_Toc337558730"/>
      <w:bookmarkStart w:id="90" w:name="_Toc351203498"/>
      <w:bookmarkStart w:id="91" w:name="_Toc296503030"/>
      <w:r>
        <w:rPr>
          <w:rFonts w:hint="eastAsia" w:ascii="仿宋" w:hAnsi="仿宋" w:eastAsia="仿宋" w:cs="仿宋"/>
          <w:b w:val="0"/>
          <w:color w:val="auto"/>
          <w:sz w:val="24"/>
          <w:szCs w:val="24"/>
        </w:rPr>
        <w:t>1.3法律</w:t>
      </w:r>
      <w:bookmarkEnd w:id="86"/>
      <w:bookmarkEnd w:id="87"/>
      <w:bookmarkEnd w:id="88"/>
      <w:bookmarkEnd w:id="89"/>
      <w:bookmarkEnd w:id="90"/>
      <w:bookmarkEnd w:id="91"/>
    </w:p>
    <w:p w14:paraId="26BD8A2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合同所称法律是指中华人民共和国法律、行政法规、部门规章，以及工程所在地的地方性法规、自治条例、单行条例和地方政府规章等。</w:t>
      </w:r>
    </w:p>
    <w:p w14:paraId="51CE155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合同当事人可以在专用合同条款中约定合同适用的其他规范性文件。</w:t>
      </w:r>
    </w:p>
    <w:p w14:paraId="1C91460D">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92" w:name="_Toc351203499"/>
      <w:bookmarkStart w:id="93" w:name="_Toc5289"/>
      <w:bookmarkStart w:id="94" w:name="_Toc783"/>
      <w:r>
        <w:rPr>
          <w:rFonts w:hint="eastAsia" w:ascii="仿宋" w:hAnsi="仿宋" w:eastAsia="仿宋" w:cs="仿宋"/>
          <w:b w:val="0"/>
          <w:color w:val="auto"/>
          <w:sz w:val="24"/>
          <w:szCs w:val="24"/>
        </w:rPr>
        <w:t>1.4 标准和规范</w:t>
      </w:r>
      <w:bookmarkEnd w:id="92"/>
      <w:bookmarkEnd w:id="93"/>
      <w:bookmarkEnd w:id="94"/>
    </w:p>
    <w:p w14:paraId="58B2A19A">
      <w:pPr>
        <w:pageBreakBefore w:val="0"/>
        <w:kinsoku/>
        <w:overflowPunct/>
        <w:topLinePunct w:val="0"/>
        <w:autoSpaceDE w:val="0"/>
        <w:autoSpaceDN w:val="0"/>
        <w:bidi w:val="0"/>
        <w:adjustRightInd w:val="0"/>
        <w:spacing w:line="440" w:lineRule="exact"/>
        <w:ind w:firstLine="64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1.4.1 适用于工程的国家标准、行业标准、工程所在地的地方性标准，以及相应的规范、规程等，合同当事人有特别要求的，应在专用合同条款中约定。</w:t>
      </w:r>
    </w:p>
    <w:p w14:paraId="35804BFB">
      <w:pPr>
        <w:pageBreakBefore w:val="0"/>
        <w:kinsoku/>
        <w:overflowPunct/>
        <w:topLinePunct w:val="0"/>
        <w:autoSpaceDE w:val="0"/>
        <w:autoSpaceDN w:val="0"/>
        <w:bidi w:val="0"/>
        <w:adjustRightInd w:val="0"/>
        <w:spacing w:line="440" w:lineRule="exact"/>
        <w:ind w:firstLine="64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1.4.2 发包人要求使用国外标准、规范的，发包人负责提供原文版本和中文译本，并在专用合同条款中约定提供标准规范的名称、份数和时间。</w:t>
      </w:r>
    </w:p>
    <w:p w14:paraId="2CC34A5D">
      <w:pPr>
        <w:pageBreakBefore w:val="0"/>
        <w:kinsoku/>
        <w:overflowPunct/>
        <w:topLinePunct w:val="0"/>
        <w:autoSpaceDE w:val="0"/>
        <w:autoSpaceDN w:val="0"/>
        <w:bidi w:val="0"/>
        <w:adjustRightInd w:val="0"/>
        <w:spacing w:line="440" w:lineRule="exact"/>
        <w:ind w:firstLine="64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7A0BFD87">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95" w:name="_Toc19882"/>
      <w:bookmarkStart w:id="96" w:name="_Toc351203500"/>
      <w:bookmarkStart w:id="97" w:name="_Toc10537"/>
      <w:r>
        <w:rPr>
          <w:rFonts w:hint="eastAsia" w:ascii="仿宋" w:hAnsi="仿宋" w:eastAsia="仿宋" w:cs="仿宋"/>
          <w:b w:val="0"/>
          <w:color w:val="auto"/>
          <w:sz w:val="24"/>
          <w:szCs w:val="24"/>
        </w:rPr>
        <w:t>1</w:t>
      </w:r>
      <w:bookmarkStart w:id="98" w:name="_Toc337558731"/>
      <w:bookmarkStart w:id="99" w:name="_Toc296503031"/>
      <w:bookmarkStart w:id="100" w:name="_Toc296346532"/>
      <w:r>
        <w:rPr>
          <w:rFonts w:hint="eastAsia" w:ascii="仿宋" w:hAnsi="仿宋" w:eastAsia="仿宋" w:cs="仿宋"/>
          <w:b w:val="0"/>
          <w:color w:val="auto"/>
          <w:sz w:val="24"/>
          <w:szCs w:val="24"/>
        </w:rPr>
        <w:t>.5 合同文件的优先顺序</w:t>
      </w:r>
      <w:bookmarkEnd w:id="95"/>
      <w:bookmarkEnd w:id="96"/>
      <w:bookmarkEnd w:id="97"/>
    </w:p>
    <w:bookmarkEnd w:id="98"/>
    <w:bookmarkEnd w:id="99"/>
    <w:bookmarkEnd w:id="100"/>
    <w:p w14:paraId="3D96D7F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组成合同的各项文件应互相解释，互为说明。除专用合同条款另有约定外，解释合同文件的优先顺序如下：</w:t>
      </w:r>
    </w:p>
    <w:p w14:paraId="2558CBB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（1）合同协议书；</w:t>
      </w:r>
    </w:p>
    <w:p w14:paraId="656AA76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（2）中标通知书（如果有）；</w:t>
      </w:r>
    </w:p>
    <w:p w14:paraId="074A362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（3）投标函及其附录（如果有）；</w:t>
      </w:r>
    </w:p>
    <w:p w14:paraId="4EE0560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（4）专用合同条款</w:t>
      </w:r>
      <w:r>
        <w:rPr>
          <w:rFonts w:hint="eastAsia" w:ascii="仿宋" w:hAnsi="仿宋" w:eastAsia="仿宋" w:cs="仿宋"/>
          <w:color w:val="auto"/>
          <w:sz w:val="24"/>
          <w:szCs w:val="24"/>
        </w:rPr>
        <w:t>及其附件</w:t>
      </w:r>
      <w:r>
        <w:rPr>
          <w:rFonts w:hint="eastAsia" w:ascii="仿宋" w:hAnsi="仿宋" w:eastAsia="仿宋" w:cs="仿宋"/>
          <w:color w:val="auto"/>
          <w:kern w:val="0"/>
          <w:sz w:val="24"/>
          <w:szCs w:val="24"/>
        </w:rPr>
        <w:t>；</w:t>
      </w:r>
    </w:p>
    <w:p w14:paraId="6AE5C69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（5）通用合同条款；</w:t>
      </w:r>
    </w:p>
    <w:p w14:paraId="31304A3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（6）技术标准和要求；</w:t>
      </w:r>
    </w:p>
    <w:p w14:paraId="0CCE2AF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（7）图纸；</w:t>
      </w:r>
    </w:p>
    <w:p w14:paraId="013F5CD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（8）已标价工程量清单或预算书；</w:t>
      </w:r>
    </w:p>
    <w:p w14:paraId="0805024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（9）其他合同文件。</w:t>
      </w:r>
    </w:p>
    <w:p w14:paraId="1AAFA6AF">
      <w:pPr>
        <w:pageBreakBefore w:val="0"/>
        <w:kinsoku/>
        <w:overflowPunct/>
        <w:topLinePunct w:val="0"/>
        <w:bidi w:val="0"/>
        <w:spacing w:line="440" w:lineRule="exact"/>
        <w:ind w:firstLine="511" w:firstLineChars="213"/>
        <w:rPr>
          <w:rFonts w:hint="eastAsia" w:ascii="仿宋" w:hAnsi="仿宋" w:eastAsia="仿宋" w:cs="仿宋"/>
          <w:color w:val="auto"/>
          <w:sz w:val="24"/>
          <w:szCs w:val="24"/>
        </w:rPr>
      </w:pPr>
      <w:r>
        <w:rPr>
          <w:rFonts w:hint="eastAsia" w:ascii="仿宋" w:hAnsi="仿宋" w:eastAsia="仿宋" w:cs="仿宋"/>
          <w:color w:val="auto"/>
          <w:sz w:val="24"/>
          <w:szCs w:val="24"/>
        </w:rPr>
        <w:t>上述各项合同文件包括合同当事人就该项合同文件所作出的补充和修改，属于同一类内容的文件，应以最新签署的为准。</w:t>
      </w:r>
    </w:p>
    <w:p w14:paraId="61FEDCBE">
      <w:pPr>
        <w:pageBreakBefore w:val="0"/>
        <w:kinsoku/>
        <w:overflowPunct/>
        <w:topLinePunct w:val="0"/>
        <w:bidi w:val="0"/>
        <w:spacing w:line="440" w:lineRule="exact"/>
        <w:ind w:firstLine="511" w:firstLineChars="213"/>
        <w:rPr>
          <w:rFonts w:hint="eastAsia" w:ascii="仿宋" w:hAnsi="仿宋" w:eastAsia="仿宋" w:cs="仿宋"/>
          <w:color w:val="auto"/>
          <w:sz w:val="24"/>
          <w:szCs w:val="24"/>
        </w:rPr>
      </w:pPr>
      <w:r>
        <w:rPr>
          <w:rFonts w:hint="eastAsia" w:ascii="仿宋" w:hAnsi="仿宋" w:eastAsia="仿宋" w:cs="仿宋"/>
          <w:color w:val="auto"/>
          <w:sz w:val="24"/>
          <w:szCs w:val="24"/>
        </w:rPr>
        <w:t>在合同订立及履行过程中形成的与合同有关的文件均构成合同文件组成部分，并根据其性质确定优先解释顺序。</w:t>
      </w:r>
    </w:p>
    <w:p w14:paraId="0600BDA0">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01" w:name="_Toc12785"/>
      <w:bookmarkStart w:id="102" w:name="_Toc351203501"/>
      <w:bookmarkStart w:id="103" w:name="_Toc4357"/>
      <w:r>
        <w:rPr>
          <w:rFonts w:hint="eastAsia" w:ascii="仿宋" w:hAnsi="仿宋" w:eastAsia="仿宋" w:cs="仿宋"/>
          <w:b w:val="0"/>
          <w:color w:val="auto"/>
          <w:sz w:val="24"/>
          <w:szCs w:val="24"/>
        </w:rPr>
        <w:t>1</w:t>
      </w:r>
      <w:bookmarkStart w:id="104" w:name="_Toc296503032"/>
      <w:bookmarkStart w:id="105" w:name="_Toc296346533"/>
      <w:bookmarkStart w:id="106" w:name="_Toc337558732"/>
      <w:r>
        <w:rPr>
          <w:rFonts w:hint="eastAsia" w:ascii="仿宋" w:hAnsi="仿宋" w:eastAsia="仿宋" w:cs="仿宋"/>
          <w:b w:val="0"/>
          <w:color w:val="auto"/>
          <w:sz w:val="24"/>
          <w:szCs w:val="24"/>
        </w:rPr>
        <w:t>.6图纸和承包人文件</w:t>
      </w:r>
      <w:bookmarkEnd w:id="101"/>
      <w:bookmarkEnd w:id="102"/>
      <w:bookmarkEnd w:id="103"/>
    </w:p>
    <w:bookmarkEnd w:id="104"/>
    <w:bookmarkEnd w:id="105"/>
    <w:bookmarkEnd w:id="106"/>
    <w:p w14:paraId="4E0B8F5E">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1.6.1 图纸的提供和交底</w:t>
      </w:r>
    </w:p>
    <w:p w14:paraId="63B9C75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3E0D976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因发包人未按合同约定提供图纸导致承包人费用增加和（或）工期延误的，按照第7.5.1项〔因发包人原因导致工期延误〕约定办理。</w:t>
      </w:r>
    </w:p>
    <w:p w14:paraId="315CC74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1.6.2 图纸的错误</w:t>
      </w:r>
    </w:p>
    <w:p w14:paraId="7628198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7C90EE2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1.6.3 图纸的修改和补充</w:t>
      </w:r>
    </w:p>
    <w:p w14:paraId="10F07BAE">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664FEBC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1.6.4 承包人文件</w:t>
      </w:r>
    </w:p>
    <w:p w14:paraId="1856443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承包人应按照专用合同条款的约定提供应当由其编制的与工程施工有关的文件，并按照专用合同条款约定的期限、数量和形式提交监理人，并由监理人报送发包人。</w:t>
      </w:r>
    </w:p>
    <w:p w14:paraId="6F5428A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787C7D9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1.6.5 图纸和承包人文件的保管</w:t>
      </w:r>
    </w:p>
    <w:p w14:paraId="04FE311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除专用合同条款另有约定外，承包人应在施工现场另外保存一套完整的图纸和承包人文件，供发包人、监理人及有关人员进行工程检查时使用。</w:t>
      </w:r>
    </w:p>
    <w:p w14:paraId="0CD01D8A">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07" w:name="_Toc24492"/>
      <w:bookmarkStart w:id="108" w:name="_Toc351203502"/>
      <w:bookmarkStart w:id="109" w:name="_Toc18844"/>
      <w:r>
        <w:rPr>
          <w:rFonts w:hint="eastAsia" w:ascii="仿宋" w:hAnsi="仿宋" w:eastAsia="仿宋" w:cs="仿宋"/>
          <w:b w:val="0"/>
          <w:color w:val="auto"/>
          <w:sz w:val="24"/>
          <w:szCs w:val="24"/>
        </w:rPr>
        <w:t>1</w:t>
      </w:r>
      <w:bookmarkStart w:id="110" w:name="_Toc337558733"/>
      <w:bookmarkStart w:id="111" w:name="_Toc296503033"/>
      <w:bookmarkStart w:id="112" w:name="_Toc296346534"/>
      <w:r>
        <w:rPr>
          <w:rFonts w:hint="eastAsia" w:ascii="仿宋" w:hAnsi="仿宋" w:eastAsia="仿宋" w:cs="仿宋"/>
          <w:b w:val="0"/>
          <w:color w:val="auto"/>
          <w:sz w:val="24"/>
          <w:szCs w:val="24"/>
        </w:rPr>
        <w:t>.7联络</w:t>
      </w:r>
      <w:bookmarkEnd w:id="107"/>
      <w:bookmarkEnd w:id="108"/>
      <w:bookmarkEnd w:id="109"/>
    </w:p>
    <w:bookmarkEnd w:id="110"/>
    <w:bookmarkEnd w:id="111"/>
    <w:bookmarkEnd w:id="112"/>
    <w:p w14:paraId="35FECA8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1.7.1 与合同有关的通知、批准、证明、证书、指示、指令、要求、请求、同意、意见、确定和决定等，均应采用书面形式，并应在合同约定的期限内送达接收人和送达地点。</w:t>
      </w:r>
    </w:p>
    <w:p w14:paraId="70D0184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1.7.2 发包人和承包人应在专用合同条款中约定各自的送达接收人和送达地点。任何一方合同当事人指定的接收人或送达地点发生变动的，应提前3天以书面形式通知对方。</w:t>
      </w:r>
    </w:p>
    <w:p w14:paraId="6C43BC9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1.7.3 发包人和承包人应当及时签收另一方送达至送达地点和指定接收人的来往信函。拒不签收的，由此增加的费用和（或）延误的工期由拒绝接收一方承担。</w:t>
      </w:r>
    </w:p>
    <w:p w14:paraId="13C651B8">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13" w:name="_Toc351203503"/>
      <w:bookmarkStart w:id="114" w:name="_Toc4942"/>
      <w:bookmarkStart w:id="115" w:name="_Toc28022"/>
      <w:r>
        <w:rPr>
          <w:rFonts w:hint="eastAsia" w:ascii="仿宋" w:hAnsi="仿宋" w:eastAsia="仿宋" w:cs="仿宋"/>
          <w:b w:val="0"/>
          <w:color w:val="auto"/>
          <w:sz w:val="24"/>
          <w:szCs w:val="24"/>
        </w:rPr>
        <w:t>1</w:t>
      </w:r>
      <w:bookmarkStart w:id="116" w:name="_Toc296346536"/>
      <w:bookmarkStart w:id="117" w:name="_Toc296503035"/>
      <w:bookmarkStart w:id="118" w:name="_Toc337558734"/>
      <w:r>
        <w:rPr>
          <w:rFonts w:hint="eastAsia" w:ascii="仿宋" w:hAnsi="仿宋" w:eastAsia="仿宋" w:cs="仿宋"/>
          <w:b w:val="0"/>
          <w:color w:val="auto"/>
          <w:sz w:val="24"/>
          <w:szCs w:val="24"/>
        </w:rPr>
        <w:t>.8严禁贿赂</w:t>
      </w:r>
      <w:bookmarkEnd w:id="113"/>
      <w:bookmarkEnd w:id="114"/>
      <w:bookmarkEnd w:id="115"/>
    </w:p>
    <w:bookmarkEnd w:id="116"/>
    <w:bookmarkEnd w:id="117"/>
    <w:bookmarkEnd w:id="118"/>
    <w:p w14:paraId="2052BDC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合同当事人不得以贿赂或变相贿赂的方式，谋取非法利益或损害对方权益。因一方合同当事人的贿赂造成对方损失的，应赔偿损失，并承担相应的法律责任。</w:t>
      </w:r>
    </w:p>
    <w:p w14:paraId="2DAAB63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0F3E136F">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19" w:name="_Toc351203504"/>
      <w:bookmarkStart w:id="120" w:name="_Toc10626"/>
      <w:bookmarkStart w:id="121" w:name="_Toc29080"/>
      <w:r>
        <w:rPr>
          <w:rFonts w:hint="eastAsia" w:ascii="仿宋" w:hAnsi="仿宋" w:eastAsia="仿宋" w:cs="仿宋"/>
          <w:b w:val="0"/>
          <w:color w:val="auto"/>
          <w:sz w:val="24"/>
          <w:szCs w:val="24"/>
        </w:rPr>
        <w:t>1</w:t>
      </w:r>
      <w:bookmarkStart w:id="122" w:name="_Toc337558735"/>
      <w:bookmarkStart w:id="123" w:name="_Toc296503036"/>
      <w:bookmarkStart w:id="124" w:name="_Toc296346537"/>
      <w:r>
        <w:rPr>
          <w:rFonts w:hint="eastAsia" w:ascii="仿宋" w:hAnsi="仿宋" w:eastAsia="仿宋" w:cs="仿宋"/>
          <w:b w:val="0"/>
          <w:color w:val="auto"/>
          <w:sz w:val="24"/>
          <w:szCs w:val="24"/>
        </w:rPr>
        <w:t>.9化石、文物</w:t>
      </w:r>
      <w:bookmarkEnd w:id="119"/>
      <w:bookmarkEnd w:id="120"/>
      <w:bookmarkEnd w:id="121"/>
    </w:p>
    <w:bookmarkEnd w:id="122"/>
    <w:bookmarkEnd w:id="123"/>
    <w:bookmarkEnd w:id="124"/>
    <w:p w14:paraId="30D0864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00146C0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发包人、监理人和承包人应按有关政府行政管理部门要求采取妥善的保护措施，由此增加的费用和（或）延误的工期由发包人承担。</w:t>
      </w:r>
    </w:p>
    <w:p w14:paraId="702733A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承包人发现文物后不及时报告或隐瞒不报，致使文物丢失或损坏的，应赔偿损失，并承担相应的法律责任。</w:t>
      </w:r>
    </w:p>
    <w:p w14:paraId="37DF56AC">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25" w:name="_Toc17755"/>
      <w:bookmarkStart w:id="126" w:name="_Toc351203505"/>
      <w:bookmarkStart w:id="127" w:name="_Toc25597"/>
      <w:r>
        <w:rPr>
          <w:rFonts w:hint="eastAsia" w:ascii="仿宋" w:hAnsi="仿宋" w:eastAsia="仿宋" w:cs="仿宋"/>
          <w:b w:val="0"/>
          <w:color w:val="auto"/>
          <w:sz w:val="24"/>
          <w:szCs w:val="24"/>
        </w:rPr>
        <w:t>1</w:t>
      </w:r>
      <w:bookmarkStart w:id="128" w:name="_Toc337558736"/>
      <w:r>
        <w:rPr>
          <w:rFonts w:hint="eastAsia" w:ascii="仿宋" w:hAnsi="仿宋" w:eastAsia="仿宋" w:cs="仿宋"/>
          <w:b w:val="0"/>
          <w:color w:val="auto"/>
          <w:sz w:val="24"/>
          <w:szCs w:val="24"/>
        </w:rPr>
        <w:t>.10交通运输</w:t>
      </w:r>
      <w:bookmarkEnd w:id="125"/>
      <w:bookmarkEnd w:id="126"/>
      <w:bookmarkEnd w:id="127"/>
    </w:p>
    <w:bookmarkEnd w:id="128"/>
    <w:p w14:paraId="1FE5F6D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1.10.1 出入现场的权利</w:t>
      </w:r>
    </w:p>
    <w:p w14:paraId="671A7AA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381CC117">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413ED4D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1.10.2 场外交通</w:t>
      </w:r>
    </w:p>
    <w:p w14:paraId="7988101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490ADEF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1.10.3场内交通</w:t>
      </w:r>
    </w:p>
    <w:p w14:paraId="6446A31F">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4B77ACE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F90E9C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场外交通和场内交通的边界由合同当事人在专用合同条款中约定。</w:t>
      </w:r>
    </w:p>
    <w:p w14:paraId="5A9900E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1.10.4 超大件和超重件的运输</w:t>
      </w:r>
    </w:p>
    <w:p w14:paraId="65576CB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ADF2BC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1.10.5 道路和桥梁的损坏责任</w:t>
      </w:r>
    </w:p>
    <w:p w14:paraId="198BF7A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因承包人运输造成施工场地内外公共道路和桥梁损坏的，由承包人承担修复损坏的全部费用和可能引起的赔偿。</w:t>
      </w:r>
    </w:p>
    <w:p w14:paraId="1046A1F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1.10.6 水路和航空运输</w:t>
      </w:r>
    </w:p>
    <w:p w14:paraId="5C4BA53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本款前述各项的内容适用于水路运输和航空运输，其中“道路”一词的涵义包括河道、航线、船闸、机场、码头、堤防以及水路或航空运输中其他相似结构物；“车辆”一词的涵义包括船舶和飞机等。</w:t>
      </w:r>
    </w:p>
    <w:p w14:paraId="5D88CFDD">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29" w:name="_Toc12169"/>
      <w:bookmarkStart w:id="130" w:name="_Toc351203506"/>
      <w:bookmarkStart w:id="131" w:name="_Toc30844"/>
      <w:r>
        <w:rPr>
          <w:rFonts w:hint="eastAsia" w:ascii="仿宋" w:hAnsi="仿宋" w:eastAsia="仿宋" w:cs="仿宋"/>
          <w:b w:val="0"/>
          <w:color w:val="auto"/>
          <w:sz w:val="24"/>
          <w:szCs w:val="24"/>
        </w:rPr>
        <w:t>1</w:t>
      </w:r>
      <w:bookmarkStart w:id="132" w:name="_Toc337558737"/>
      <w:bookmarkStart w:id="133" w:name="_Toc296503037"/>
      <w:bookmarkStart w:id="134" w:name="_Toc296346538"/>
      <w:r>
        <w:rPr>
          <w:rFonts w:hint="eastAsia" w:ascii="仿宋" w:hAnsi="仿宋" w:eastAsia="仿宋" w:cs="仿宋"/>
          <w:b w:val="0"/>
          <w:color w:val="auto"/>
          <w:sz w:val="24"/>
          <w:szCs w:val="24"/>
        </w:rPr>
        <w:t>.11知识产权</w:t>
      </w:r>
      <w:bookmarkEnd w:id="129"/>
      <w:bookmarkEnd w:id="130"/>
      <w:bookmarkEnd w:id="131"/>
      <w:r>
        <w:rPr>
          <w:rFonts w:hint="eastAsia" w:ascii="仿宋" w:hAnsi="仿宋" w:eastAsia="仿宋" w:cs="仿宋"/>
          <w:b w:val="0"/>
          <w:color w:val="auto"/>
          <w:sz w:val="24"/>
          <w:szCs w:val="24"/>
        </w:rPr>
        <w:t xml:space="preserve"> </w:t>
      </w:r>
      <w:bookmarkEnd w:id="132"/>
    </w:p>
    <w:bookmarkEnd w:id="133"/>
    <w:bookmarkEnd w:id="134"/>
    <w:p w14:paraId="13714F0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3E03BDA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DC6EE0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7D9BC4D6">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sz w:val="24"/>
          <w:szCs w:val="24"/>
        </w:rPr>
        <w:t>1.11.4 除专用合同条款另有约定外，承包人在合同签订前和签订时已确定采用的专利、专有技术、技术秘密的使用费已包含在签约合同价中。</w:t>
      </w:r>
    </w:p>
    <w:p w14:paraId="7F587509">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35" w:name="_Toc32156"/>
      <w:bookmarkStart w:id="136" w:name="_Toc351203507"/>
      <w:bookmarkStart w:id="137" w:name="_Toc28364"/>
      <w:r>
        <w:rPr>
          <w:rFonts w:hint="eastAsia" w:ascii="仿宋" w:hAnsi="仿宋" w:eastAsia="仿宋" w:cs="仿宋"/>
          <w:b w:val="0"/>
          <w:color w:val="auto"/>
          <w:sz w:val="24"/>
          <w:szCs w:val="24"/>
        </w:rPr>
        <w:t>1</w:t>
      </w:r>
      <w:bookmarkStart w:id="138" w:name="_Toc337558738"/>
      <w:r>
        <w:rPr>
          <w:rFonts w:hint="eastAsia" w:ascii="仿宋" w:hAnsi="仿宋" w:eastAsia="仿宋" w:cs="仿宋"/>
          <w:b w:val="0"/>
          <w:color w:val="auto"/>
          <w:sz w:val="24"/>
          <w:szCs w:val="24"/>
        </w:rPr>
        <w:t>.12保密</w:t>
      </w:r>
      <w:bookmarkEnd w:id="135"/>
      <w:bookmarkEnd w:id="136"/>
      <w:bookmarkEnd w:id="137"/>
    </w:p>
    <w:bookmarkEnd w:id="138"/>
    <w:p w14:paraId="72D6E1D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除法律规定或合同另有约定外，未经发包人同意，承包人不得将发包人提供的图纸、文件以及声明需要保密的资料信息等商业秘密泄露给第三方。</w:t>
      </w:r>
    </w:p>
    <w:p w14:paraId="1F1DDB0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除法律规定或合同另有约定外，未经承包人同意，发包人不得将承包人提供的技术秘密及声明需要保密的资料信息等商业秘密泄露给第三方。</w:t>
      </w:r>
    </w:p>
    <w:p w14:paraId="76A67DDA">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39" w:name="_Toc15125"/>
      <w:bookmarkStart w:id="140" w:name="_Toc27912"/>
      <w:bookmarkStart w:id="141" w:name="_Toc351203508"/>
      <w:r>
        <w:rPr>
          <w:rFonts w:hint="eastAsia" w:ascii="仿宋" w:hAnsi="仿宋" w:eastAsia="仿宋" w:cs="仿宋"/>
          <w:b w:val="0"/>
          <w:color w:val="auto"/>
          <w:sz w:val="24"/>
          <w:szCs w:val="24"/>
        </w:rPr>
        <w:t>1.13工程量清单错误的修正</w:t>
      </w:r>
      <w:bookmarkEnd w:id="139"/>
      <w:bookmarkEnd w:id="140"/>
      <w:bookmarkEnd w:id="141"/>
    </w:p>
    <w:p w14:paraId="2E56ABC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除专用合同条款另有约定外，发包人提供的工程量清单，应被认为是准确的和完整的。出现下列情形之一时，发包人应予以修正，并相应调整合同价格：</w:t>
      </w:r>
    </w:p>
    <w:p w14:paraId="0E9390A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（1）工程量清单存在缺项、漏项的；</w:t>
      </w:r>
    </w:p>
    <w:p w14:paraId="3CBBBA2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（2）工程量清单偏差超出专用合同条款约定的工程量偏差范围的；</w:t>
      </w:r>
    </w:p>
    <w:p w14:paraId="57A9922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（3）未按照国家现行计量规范强制性规定计量的。</w:t>
      </w:r>
    </w:p>
    <w:p w14:paraId="09182D3B">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142" w:name="_Toc351203509"/>
      <w:bookmarkStart w:id="143" w:name="_Toc24057"/>
      <w:bookmarkStart w:id="144" w:name="_Toc7698"/>
      <w:r>
        <w:rPr>
          <w:rFonts w:hint="eastAsia" w:ascii="仿宋" w:hAnsi="仿宋" w:eastAsia="仿宋" w:cs="仿宋"/>
          <w:b w:val="0"/>
          <w:color w:val="auto"/>
          <w:sz w:val="24"/>
          <w:szCs w:val="24"/>
        </w:rPr>
        <w:t>2</w:t>
      </w:r>
      <w:bookmarkStart w:id="145" w:name="_Toc296346539"/>
      <w:bookmarkStart w:id="146" w:name="_Toc337558739"/>
      <w:bookmarkStart w:id="147" w:name="_Toc296503038"/>
      <w:bookmarkStart w:id="148" w:name="OLE_LINK1"/>
      <w:bookmarkStart w:id="149" w:name="OLE_LINK2"/>
      <w:r>
        <w:rPr>
          <w:rFonts w:hint="eastAsia" w:ascii="仿宋" w:hAnsi="仿宋" w:eastAsia="仿宋" w:cs="仿宋"/>
          <w:b w:val="0"/>
          <w:color w:val="auto"/>
          <w:sz w:val="24"/>
          <w:szCs w:val="24"/>
        </w:rPr>
        <w:t>. 发包人</w:t>
      </w:r>
      <w:bookmarkEnd w:id="142"/>
      <w:bookmarkEnd w:id="143"/>
      <w:bookmarkEnd w:id="144"/>
    </w:p>
    <w:bookmarkEnd w:id="145"/>
    <w:bookmarkEnd w:id="146"/>
    <w:bookmarkEnd w:id="147"/>
    <w:p w14:paraId="3F06BB6D">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50" w:name="_Toc351203510"/>
      <w:bookmarkStart w:id="151" w:name="_Toc10538"/>
      <w:bookmarkStart w:id="152" w:name="_Toc23825"/>
      <w:r>
        <w:rPr>
          <w:rFonts w:hint="eastAsia" w:ascii="仿宋" w:hAnsi="仿宋" w:eastAsia="仿宋" w:cs="仿宋"/>
          <w:b w:val="0"/>
          <w:color w:val="auto"/>
          <w:sz w:val="24"/>
          <w:szCs w:val="24"/>
        </w:rPr>
        <w:t>2</w:t>
      </w:r>
      <w:bookmarkStart w:id="153" w:name="_Toc296346540"/>
      <w:bookmarkStart w:id="154" w:name="_Toc296503039"/>
      <w:bookmarkStart w:id="155" w:name="_Toc337558740"/>
      <w:r>
        <w:rPr>
          <w:rFonts w:hint="eastAsia" w:ascii="仿宋" w:hAnsi="仿宋" w:eastAsia="仿宋" w:cs="仿宋"/>
          <w:b w:val="0"/>
          <w:color w:val="auto"/>
          <w:sz w:val="24"/>
          <w:szCs w:val="24"/>
        </w:rPr>
        <w:t>.1 许可或批准</w:t>
      </w:r>
      <w:bookmarkEnd w:id="150"/>
      <w:bookmarkEnd w:id="151"/>
      <w:bookmarkEnd w:id="152"/>
    </w:p>
    <w:p w14:paraId="1F6ABE5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1C5410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因发包人原因未能及时办理完毕前述许可、批准或备案，由发包人承担由此增加的费用和（或）延误的工期，并支付承包人合理的利润。</w:t>
      </w:r>
    </w:p>
    <w:p w14:paraId="16DDDA3B">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56" w:name="_Toc2745"/>
      <w:bookmarkStart w:id="157" w:name="_Toc351203511"/>
      <w:bookmarkStart w:id="158" w:name="_Toc31139"/>
      <w:r>
        <w:rPr>
          <w:rFonts w:hint="eastAsia" w:ascii="仿宋" w:hAnsi="仿宋" w:eastAsia="仿宋" w:cs="仿宋"/>
          <w:b w:val="0"/>
          <w:color w:val="auto"/>
          <w:sz w:val="24"/>
          <w:szCs w:val="24"/>
        </w:rPr>
        <w:t>2.2 发包人代表</w:t>
      </w:r>
      <w:bookmarkEnd w:id="156"/>
      <w:bookmarkEnd w:id="157"/>
      <w:bookmarkEnd w:id="158"/>
    </w:p>
    <w:p w14:paraId="0C0344B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EFA0E24">
      <w:pPr>
        <w:pageBreakBefore w:val="0"/>
        <w:kinsoku/>
        <w:overflowPunct/>
        <w:topLinePunct w:val="0"/>
        <w:bidi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发包人代表不能按照合同约定履行其职责及义务，并导致合同无法继续正常履行的，承包人可以要求发包人撤换发包人代表。</w:t>
      </w:r>
    </w:p>
    <w:p w14:paraId="1DF790C7">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不属于法定必须监理的工程，监理人的职权可以由发包人代表或发包人指定的其他人员行使。</w:t>
      </w:r>
    </w:p>
    <w:p w14:paraId="51DF09E4">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59" w:name="_Toc1310"/>
      <w:bookmarkStart w:id="160" w:name="_Toc351203512"/>
      <w:bookmarkStart w:id="161" w:name="_Toc8942"/>
      <w:r>
        <w:rPr>
          <w:rFonts w:hint="eastAsia" w:ascii="仿宋" w:hAnsi="仿宋" w:eastAsia="仿宋" w:cs="仿宋"/>
          <w:b w:val="0"/>
          <w:color w:val="auto"/>
          <w:sz w:val="24"/>
          <w:szCs w:val="24"/>
        </w:rPr>
        <w:t>2.3 发包人人员</w:t>
      </w:r>
      <w:bookmarkEnd w:id="159"/>
      <w:bookmarkEnd w:id="160"/>
      <w:bookmarkEnd w:id="161"/>
    </w:p>
    <w:p w14:paraId="799314B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发包人应要求在施工现场的发包人人员遵守法律及有关安全、质量、环境保护、文明施工等规定，并保障承包人免于承受因发包人人员未遵守上述要求给承包人造成的损失和责任。</w:t>
      </w:r>
    </w:p>
    <w:p w14:paraId="0A53E93F">
      <w:pPr>
        <w:pageBreakBefore w:val="0"/>
        <w:kinsoku/>
        <w:overflowPunct/>
        <w:topLinePunct w:val="0"/>
        <w:bidi w:val="0"/>
        <w:spacing w:line="440" w:lineRule="exact"/>
        <w:ind w:firstLine="64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发包人人员包括发包人代表及其他由发包人派驻施工现场的人员。</w:t>
      </w:r>
      <w:bookmarkEnd w:id="153"/>
      <w:bookmarkEnd w:id="154"/>
      <w:bookmarkEnd w:id="155"/>
    </w:p>
    <w:p w14:paraId="397AA655">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62" w:name="_Toc18166"/>
      <w:bookmarkStart w:id="163" w:name="_Toc351203513"/>
      <w:bookmarkStart w:id="164" w:name="_Toc16232"/>
      <w:r>
        <w:rPr>
          <w:rFonts w:hint="eastAsia" w:ascii="仿宋" w:hAnsi="仿宋" w:eastAsia="仿宋" w:cs="仿宋"/>
          <w:b w:val="0"/>
          <w:color w:val="auto"/>
          <w:sz w:val="24"/>
          <w:szCs w:val="24"/>
        </w:rPr>
        <w:t>2</w:t>
      </w:r>
      <w:bookmarkStart w:id="165" w:name="_Toc296503040"/>
      <w:bookmarkStart w:id="166" w:name="_Toc337558741"/>
      <w:bookmarkStart w:id="167" w:name="_Toc296346541"/>
      <w:r>
        <w:rPr>
          <w:rFonts w:hint="eastAsia" w:ascii="仿宋" w:hAnsi="仿宋" w:eastAsia="仿宋" w:cs="仿宋"/>
          <w:b w:val="0"/>
          <w:color w:val="auto"/>
          <w:sz w:val="24"/>
          <w:szCs w:val="24"/>
        </w:rPr>
        <w:t>.4 施工现场、施工条件和基础资料的提供</w:t>
      </w:r>
      <w:bookmarkEnd w:id="162"/>
      <w:bookmarkEnd w:id="163"/>
      <w:bookmarkEnd w:id="164"/>
      <w:r>
        <w:rPr>
          <w:rFonts w:hint="eastAsia" w:ascii="仿宋" w:hAnsi="仿宋" w:eastAsia="仿宋" w:cs="仿宋"/>
          <w:b w:val="0"/>
          <w:color w:val="auto"/>
          <w:sz w:val="24"/>
          <w:szCs w:val="24"/>
        </w:rPr>
        <w:t xml:space="preserve"> </w:t>
      </w:r>
      <w:bookmarkEnd w:id="165"/>
      <w:bookmarkEnd w:id="166"/>
      <w:bookmarkEnd w:id="167"/>
      <w:r>
        <w:rPr>
          <w:rFonts w:hint="eastAsia" w:ascii="仿宋" w:hAnsi="仿宋" w:eastAsia="仿宋" w:cs="仿宋"/>
          <w:b w:val="0"/>
          <w:color w:val="auto"/>
          <w:sz w:val="24"/>
          <w:szCs w:val="24"/>
        </w:rPr>
        <w:t xml:space="preserve"> </w:t>
      </w:r>
    </w:p>
    <w:p w14:paraId="3763DBE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2.4.1 提供施工现场</w:t>
      </w:r>
    </w:p>
    <w:p w14:paraId="1F905AC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w:t>
      </w:r>
      <w:bookmarkEnd w:id="148"/>
      <w:bookmarkEnd w:id="149"/>
      <w:r>
        <w:rPr>
          <w:rFonts w:hint="eastAsia" w:ascii="仿宋" w:hAnsi="仿宋" w:eastAsia="仿宋" w:cs="仿宋"/>
          <w:color w:val="auto"/>
          <w:kern w:val="0"/>
          <w:sz w:val="24"/>
          <w:szCs w:val="24"/>
        </w:rPr>
        <w:t>专用合同条款另有约定外，发包人应最迟于开工日期7天前向承包人移交施工现场。</w:t>
      </w:r>
    </w:p>
    <w:p w14:paraId="0AB4BF6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2.4.2 提供施工条件</w:t>
      </w:r>
    </w:p>
    <w:p w14:paraId="449B234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除专用合同条款另有约定外，发包人应负责提供施工所需要的条件，包括：</w:t>
      </w:r>
    </w:p>
    <w:p w14:paraId="337B26D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（1）将施工用水、电力、通讯线路等施工所必需的条件接至施工现场内；</w:t>
      </w:r>
    </w:p>
    <w:p w14:paraId="41B8CFB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（2）保证向承包人提供正常施工所需要的进入施工现场的交通条件；</w:t>
      </w:r>
    </w:p>
    <w:p w14:paraId="0200F31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（3）协调处理施工现场周围地下管线和邻近建筑物、构筑物、古树名木的保护工作，并承担相关费用；</w:t>
      </w:r>
    </w:p>
    <w:p w14:paraId="678F6BF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（4）按照专用合同条款约定应提供的其他设施和条件。</w:t>
      </w:r>
    </w:p>
    <w:p w14:paraId="6A030B4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2.4.3 提供基础资料</w:t>
      </w:r>
    </w:p>
    <w:p w14:paraId="037762F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6AB6D0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按照法律规定确需在开工后方能提供的基础资料，发包人应尽其努力及时地在相应工程施工前的合理期限内提供，合理期限应以不影响承包人的正常施工为限。</w:t>
      </w:r>
    </w:p>
    <w:p w14:paraId="336FAB2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2.4.4 逾期提供的责任</w:t>
      </w:r>
    </w:p>
    <w:p w14:paraId="5E8098F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因发包人原因未能按合同约定及时向承包人提供施工现场、施工条件、基础资料的，由发包人承担由此增加的费用和（或）延误的工期。</w:t>
      </w:r>
    </w:p>
    <w:p w14:paraId="3FCA911F">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68" w:name="_Toc25685"/>
      <w:bookmarkStart w:id="169" w:name="_Toc351203514"/>
      <w:bookmarkStart w:id="170" w:name="_Toc16394"/>
      <w:r>
        <w:rPr>
          <w:rFonts w:hint="eastAsia" w:ascii="仿宋" w:hAnsi="仿宋" w:eastAsia="仿宋" w:cs="仿宋"/>
          <w:b w:val="0"/>
          <w:color w:val="auto"/>
          <w:sz w:val="24"/>
          <w:szCs w:val="24"/>
        </w:rPr>
        <w:t>2</w:t>
      </w:r>
      <w:bookmarkStart w:id="171" w:name="_Toc296346543"/>
      <w:bookmarkStart w:id="172" w:name="_Toc337558745"/>
      <w:bookmarkStart w:id="173" w:name="_Toc296503042"/>
      <w:r>
        <w:rPr>
          <w:rFonts w:hint="eastAsia" w:ascii="仿宋" w:hAnsi="仿宋" w:eastAsia="仿宋" w:cs="仿宋"/>
          <w:b w:val="0"/>
          <w:color w:val="auto"/>
          <w:sz w:val="24"/>
          <w:szCs w:val="24"/>
        </w:rPr>
        <w:t>.5 资</w:t>
      </w:r>
      <w:bookmarkEnd w:id="171"/>
      <w:bookmarkEnd w:id="172"/>
      <w:bookmarkEnd w:id="173"/>
      <w:r>
        <w:rPr>
          <w:rFonts w:hint="eastAsia" w:ascii="仿宋" w:hAnsi="仿宋" w:eastAsia="仿宋" w:cs="仿宋"/>
          <w:b w:val="0"/>
          <w:color w:val="auto"/>
          <w:sz w:val="24"/>
          <w:szCs w:val="24"/>
        </w:rPr>
        <w:t>金来源证明及支付担保</w:t>
      </w:r>
      <w:bookmarkEnd w:id="168"/>
      <w:bookmarkEnd w:id="169"/>
      <w:bookmarkEnd w:id="170"/>
    </w:p>
    <w:p w14:paraId="330921F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除专用合同条款另有约定外，发包人应在收到承包人要求提供资金来源证明的书面通知后28天内，向承包人提供能够按照合同约定支付合同价款的相应资金来源证明。</w:t>
      </w:r>
    </w:p>
    <w:p w14:paraId="1251EF5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3D9C9929">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74" w:name="_Toc351203515"/>
      <w:bookmarkStart w:id="175" w:name="_Toc29765"/>
      <w:bookmarkStart w:id="176" w:name="_Toc27601"/>
      <w:r>
        <w:rPr>
          <w:rFonts w:hint="eastAsia" w:ascii="仿宋" w:hAnsi="仿宋" w:eastAsia="仿宋" w:cs="仿宋"/>
          <w:b w:val="0"/>
          <w:color w:val="auto"/>
          <w:sz w:val="24"/>
          <w:szCs w:val="24"/>
        </w:rPr>
        <w:t>2.6 支付合同价款</w:t>
      </w:r>
      <w:bookmarkEnd w:id="174"/>
      <w:bookmarkEnd w:id="175"/>
      <w:bookmarkEnd w:id="176"/>
    </w:p>
    <w:p w14:paraId="6F826E7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发包人应按合同约定向承包人及时支付合同价款。</w:t>
      </w:r>
    </w:p>
    <w:p w14:paraId="33AD885C">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77" w:name="_Toc27369"/>
      <w:bookmarkStart w:id="178" w:name="_Toc16126"/>
      <w:bookmarkStart w:id="179" w:name="_Toc351203516"/>
      <w:r>
        <w:rPr>
          <w:rFonts w:hint="eastAsia" w:ascii="仿宋" w:hAnsi="仿宋" w:eastAsia="仿宋" w:cs="仿宋"/>
          <w:b w:val="0"/>
          <w:color w:val="auto"/>
          <w:sz w:val="24"/>
          <w:szCs w:val="24"/>
        </w:rPr>
        <w:t>2.7 组织竣工验收</w:t>
      </w:r>
      <w:bookmarkEnd w:id="177"/>
      <w:bookmarkEnd w:id="178"/>
      <w:bookmarkEnd w:id="179"/>
    </w:p>
    <w:p w14:paraId="14D0353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发包人应按合同约定及时组织竣工验收。</w:t>
      </w:r>
    </w:p>
    <w:p w14:paraId="1FE876F1">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80" w:name="_Toc351203517"/>
      <w:bookmarkStart w:id="181" w:name="_Toc5928"/>
      <w:bookmarkStart w:id="182" w:name="_Toc1037"/>
      <w:r>
        <w:rPr>
          <w:rFonts w:hint="eastAsia" w:ascii="仿宋" w:hAnsi="仿宋" w:eastAsia="仿宋" w:cs="仿宋"/>
          <w:b w:val="0"/>
          <w:color w:val="auto"/>
          <w:sz w:val="24"/>
          <w:szCs w:val="24"/>
        </w:rPr>
        <w:t>2.8 现场统一管理协议</w:t>
      </w:r>
      <w:bookmarkEnd w:id="180"/>
      <w:bookmarkEnd w:id="181"/>
      <w:bookmarkEnd w:id="182"/>
    </w:p>
    <w:p w14:paraId="4C89272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发包人应与承包人、由发包人直接发包的专业工程的承包人签订施工现场统一管理协议，明确各方的权利义务。施工现场统一管理协议作为专用合同条款的附件。</w:t>
      </w:r>
    </w:p>
    <w:p w14:paraId="16C7267A">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183" w:name="_Toc351203518"/>
      <w:bookmarkStart w:id="184" w:name="_Toc23626"/>
      <w:bookmarkStart w:id="185" w:name="_Toc11740"/>
      <w:r>
        <w:rPr>
          <w:rFonts w:hint="eastAsia" w:ascii="仿宋" w:hAnsi="仿宋" w:eastAsia="仿宋" w:cs="仿宋"/>
          <w:b w:val="0"/>
          <w:color w:val="auto"/>
          <w:sz w:val="24"/>
          <w:szCs w:val="24"/>
        </w:rPr>
        <w:t>3</w:t>
      </w:r>
      <w:bookmarkStart w:id="186" w:name="_Toc296346546"/>
      <w:bookmarkStart w:id="187" w:name="_Toc337558746"/>
      <w:bookmarkStart w:id="188" w:name="_Toc296503045"/>
      <w:r>
        <w:rPr>
          <w:rFonts w:hint="eastAsia" w:ascii="仿宋" w:hAnsi="仿宋" w:eastAsia="仿宋" w:cs="仿宋"/>
          <w:b w:val="0"/>
          <w:color w:val="auto"/>
          <w:sz w:val="24"/>
          <w:szCs w:val="24"/>
        </w:rPr>
        <w:t>. 承包人</w:t>
      </w:r>
      <w:bookmarkEnd w:id="183"/>
      <w:bookmarkEnd w:id="184"/>
      <w:bookmarkEnd w:id="185"/>
    </w:p>
    <w:bookmarkEnd w:id="186"/>
    <w:bookmarkEnd w:id="187"/>
    <w:bookmarkEnd w:id="188"/>
    <w:p w14:paraId="7539992D">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89" w:name="_Toc351203519"/>
      <w:bookmarkStart w:id="190" w:name="_Toc29592"/>
      <w:bookmarkStart w:id="191" w:name="_Toc29639"/>
      <w:r>
        <w:rPr>
          <w:rFonts w:hint="eastAsia" w:ascii="仿宋" w:hAnsi="仿宋" w:eastAsia="仿宋" w:cs="仿宋"/>
          <w:b w:val="0"/>
          <w:color w:val="auto"/>
          <w:sz w:val="24"/>
          <w:szCs w:val="24"/>
        </w:rPr>
        <w:t>3</w:t>
      </w:r>
      <w:bookmarkStart w:id="192" w:name="_Toc296346547"/>
      <w:bookmarkStart w:id="193" w:name="_Toc337558747"/>
      <w:bookmarkStart w:id="194" w:name="_Toc296503046"/>
      <w:r>
        <w:rPr>
          <w:rFonts w:hint="eastAsia" w:ascii="仿宋" w:hAnsi="仿宋" w:eastAsia="仿宋" w:cs="仿宋"/>
          <w:b w:val="0"/>
          <w:color w:val="auto"/>
          <w:sz w:val="24"/>
          <w:szCs w:val="24"/>
        </w:rPr>
        <w:t>.1 承包人的一般义务</w:t>
      </w:r>
      <w:bookmarkEnd w:id="189"/>
      <w:bookmarkEnd w:id="190"/>
      <w:bookmarkEnd w:id="191"/>
    </w:p>
    <w:bookmarkEnd w:id="192"/>
    <w:bookmarkEnd w:id="193"/>
    <w:bookmarkEnd w:id="194"/>
    <w:p w14:paraId="55ABC4A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承包人在履行合同过程中应遵守法律和工程建设标准规范，并履行以下义务：</w:t>
      </w:r>
    </w:p>
    <w:p w14:paraId="68749E7D">
      <w:pPr>
        <w:pageBreakBefore w:val="0"/>
        <w:numPr>
          <w:ilvl w:val="0"/>
          <w:numId w:val="4"/>
        </w:numPr>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办理法律规定应由承包人办理的许可和批准，并将办理结果书面报送发包人留存；</w:t>
      </w:r>
    </w:p>
    <w:p w14:paraId="0B4C0B4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（2）按法律规定和合同约定完成工程，并在保修期内承担保修义务；</w:t>
      </w:r>
    </w:p>
    <w:p w14:paraId="0BDAAD9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（3）按法律规定和合同约定采取施工安全和环境保护措施，办理工伤保险，确保工程及人员、材料、设备和设施的安全；</w:t>
      </w:r>
    </w:p>
    <w:p w14:paraId="6F46E09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（4）按合同约定的工作内容和施工进度要求，编制施工组织设计和施工措施计划，并对所有施工作业和施工方法的完备性和安全可靠性负责；</w:t>
      </w:r>
    </w:p>
    <w:p w14:paraId="4020291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7EFCB7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（6）按照第6.3款〔环境保护〕约定负责施工场地及其周边环境与生态的保护工作；</w:t>
      </w:r>
    </w:p>
    <w:p w14:paraId="5618E03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（7）按第6.1款〔安全文明施工〕约定采取施工安全措施，确保工程及其人员、材料、设备和设施的安全，防止因工程施工造成的人身伤害和财产损失；</w:t>
      </w:r>
    </w:p>
    <w:p w14:paraId="3FADDFF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（8）将发包人按合同约定支付的各项价款专用于合同工程，且应及时支付其雇用人员工资，并及时向分包人支付合同价款；</w:t>
      </w:r>
    </w:p>
    <w:p w14:paraId="0E0EC25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（9）按照法律规定和合同约定编制竣工资料，完成竣工资料立卷及归档，并按专用合同条款约定的竣工资料的套数、内容、时间等要求移交发包人；</w:t>
      </w:r>
    </w:p>
    <w:p w14:paraId="2F02558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（10）应履行的其他义务。</w:t>
      </w:r>
    </w:p>
    <w:p w14:paraId="4108E503">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195" w:name="_Toc351203520"/>
      <w:bookmarkStart w:id="196" w:name="_Toc27427"/>
      <w:bookmarkStart w:id="197" w:name="_Toc3726"/>
      <w:r>
        <w:rPr>
          <w:rFonts w:hint="eastAsia" w:ascii="仿宋" w:hAnsi="仿宋" w:eastAsia="仿宋" w:cs="仿宋"/>
          <w:b w:val="0"/>
          <w:color w:val="auto"/>
          <w:sz w:val="24"/>
          <w:szCs w:val="24"/>
        </w:rPr>
        <w:t>3</w:t>
      </w:r>
      <w:bookmarkStart w:id="198" w:name="_Toc296503047"/>
      <w:bookmarkStart w:id="199" w:name="_Toc337558748"/>
      <w:bookmarkStart w:id="200" w:name="_Toc296346548"/>
      <w:r>
        <w:rPr>
          <w:rFonts w:hint="eastAsia" w:ascii="仿宋" w:hAnsi="仿宋" w:eastAsia="仿宋" w:cs="仿宋"/>
          <w:b w:val="0"/>
          <w:color w:val="auto"/>
          <w:sz w:val="24"/>
          <w:szCs w:val="24"/>
        </w:rPr>
        <w:t xml:space="preserve">.2 </w:t>
      </w:r>
      <w:bookmarkEnd w:id="195"/>
      <w:r>
        <w:rPr>
          <w:rFonts w:hint="eastAsia" w:ascii="仿宋" w:hAnsi="仿宋" w:eastAsia="仿宋" w:cs="仿宋"/>
          <w:b w:val="0"/>
          <w:color w:val="auto"/>
          <w:sz w:val="24"/>
          <w:szCs w:val="24"/>
        </w:rPr>
        <w:t>项目经理</w:t>
      </w:r>
      <w:bookmarkEnd w:id="196"/>
      <w:bookmarkEnd w:id="197"/>
    </w:p>
    <w:bookmarkEnd w:id="198"/>
    <w:bookmarkEnd w:id="199"/>
    <w:bookmarkEnd w:id="200"/>
    <w:p w14:paraId="64E5D1D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706782A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38012FD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承包人违反上述约定的，应按照专用合同条款的约定，承担违约责任。</w:t>
      </w:r>
    </w:p>
    <w:p w14:paraId="3BA3FC1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64A462A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7FCA9D5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0A2EEC5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14:paraId="3B689B86">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201" w:name="_Toc12363"/>
      <w:bookmarkStart w:id="202" w:name="_Toc351203521"/>
      <w:bookmarkStart w:id="203" w:name="_Toc7193"/>
      <w:r>
        <w:rPr>
          <w:rFonts w:hint="eastAsia" w:ascii="仿宋" w:hAnsi="仿宋" w:eastAsia="仿宋" w:cs="仿宋"/>
          <w:b w:val="0"/>
          <w:color w:val="auto"/>
          <w:sz w:val="24"/>
          <w:szCs w:val="24"/>
        </w:rPr>
        <w:t>3</w:t>
      </w:r>
      <w:bookmarkStart w:id="204" w:name="_Toc296503048"/>
      <w:bookmarkStart w:id="205" w:name="_Toc296346549"/>
      <w:bookmarkStart w:id="206" w:name="_Toc337558749"/>
      <w:r>
        <w:rPr>
          <w:rFonts w:hint="eastAsia" w:ascii="仿宋" w:hAnsi="仿宋" w:eastAsia="仿宋" w:cs="仿宋"/>
          <w:b w:val="0"/>
          <w:color w:val="auto"/>
          <w:sz w:val="24"/>
          <w:szCs w:val="24"/>
        </w:rPr>
        <w:t xml:space="preserve">.3 </w:t>
      </w:r>
      <w:bookmarkEnd w:id="204"/>
      <w:bookmarkEnd w:id="205"/>
      <w:r>
        <w:rPr>
          <w:rFonts w:hint="eastAsia" w:ascii="仿宋" w:hAnsi="仿宋" w:eastAsia="仿宋" w:cs="仿宋"/>
          <w:b w:val="0"/>
          <w:color w:val="auto"/>
          <w:sz w:val="24"/>
          <w:szCs w:val="24"/>
        </w:rPr>
        <w:t>承包人人员</w:t>
      </w:r>
      <w:bookmarkEnd w:id="201"/>
      <w:bookmarkEnd w:id="202"/>
      <w:bookmarkEnd w:id="203"/>
    </w:p>
    <w:bookmarkEnd w:id="206"/>
    <w:p w14:paraId="61B4730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19DA0DA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57B58F9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特殊工种作业人员均应持有相应的资格证明，监理人可以随时检查。</w:t>
      </w:r>
    </w:p>
    <w:p w14:paraId="302254E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589E60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2337BC9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3.3.5 承包人擅自更换主要施工管理人员，或前述人员未经监理人或发包人同意擅自离开施工现场的，应按照专用合同条款约定承担违约责任。</w:t>
      </w:r>
    </w:p>
    <w:p w14:paraId="7866E84C">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207" w:name="_Toc351203522"/>
      <w:bookmarkStart w:id="208" w:name="_Toc12132"/>
      <w:bookmarkStart w:id="209" w:name="_Toc28942"/>
      <w:r>
        <w:rPr>
          <w:rFonts w:hint="eastAsia" w:ascii="仿宋" w:hAnsi="仿宋" w:eastAsia="仿宋" w:cs="仿宋"/>
          <w:b w:val="0"/>
          <w:color w:val="auto"/>
          <w:sz w:val="24"/>
          <w:szCs w:val="24"/>
        </w:rPr>
        <w:t>3</w:t>
      </w:r>
      <w:bookmarkStart w:id="210" w:name="_Toc296346551"/>
      <w:bookmarkStart w:id="211" w:name="_Toc337558750"/>
      <w:bookmarkStart w:id="212" w:name="_Toc296503050"/>
      <w:r>
        <w:rPr>
          <w:rFonts w:hint="eastAsia" w:ascii="仿宋" w:hAnsi="仿宋" w:eastAsia="仿宋" w:cs="仿宋"/>
          <w:b w:val="0"/>
          <w:color w:val="auto"/>
          <w:sz w:val="24"/>
          <w:szCs w:val="24"/>
        </w:rPr>
        <w:t>.4 承包人现场查勘</w:t>
      </w:r>
      <w:bookmarkEnd w:id="207"/>
      <w:bookmarkEnd w:id="208"/>
      <w:bookmarkEnd w:id="209"/>
    </w:p>
    <w:bookmarkEnd w:id="210"/>
    <w:bookmarkEnd w:id="211"/>
    <w:bookmarkEnd w:id="212"/>
    <w:p w14:paraId="59EFADE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承包人应对基于发包人按照第2.4.3项〔提供基础资料〕提交的基础资料所做出的解释和推断负责，但因基础资料存在错误、遗漏导致承包人解释或推断失实的，由发包人承担责任。</w:t>
      </w:r>
    </w:p>
    <w:p w14:paraId="70704C9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1AAC44C3">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213" w:name="_Toc31791"/>
      <w:bookmarkStart w:id="214" w:name="_Toc351203523"/>
      <w:bookmarkStart w:id="215" w:name="_Toc2110"/>
      <w:r>
        <w:rPr>
          <w:rFonts w:hint="eastAsia" w:ascii="仿宋" w:hAnsi="仿宋" w:eastAsia="仿宋" w:cs="仿宋"/>
          <w:b w:val="0"/>
          <w:color w:val="auto"/>
          <w:sz w:val="24"/>
          <w:szCs w:val="24"/>
        </w:rPr>
        <w:t>3</w:t>
      </w:r>
      <w:bookmarkStart w:id="216" w:name="_Toc296346552"/>
      <w:bookmarkStart w:id="217" w:name="_Toc337558751"/>
      <w:bookmarkStart w:id="218" w:name="_Toc296503051"/>
      <w:r>
        <w:rPr>
          <w:rFonts w:hint="eastAsia" w:ascii="仿宋" w:hAnsi="仿宋" w:eastAsia="仿宋" w:cs="仿宋"/>
          <w:b w:val="0"/>
          <w:color w:val="auto"/>
          <w:sz w:val="24"/>
          <w:szCs w:val="24"/>
        </w:rPr>
        <w:t>.5 分包</w:t>
      </w:r>
      <w:bookmarkEnd w:id="213"/>
      <w:bookmarkEnd w:id="214"/>
      <w:bookmarkEnd w:id="215"/>
    </w:p>
    <w:bookmarkEnd w:id="216"/>
    <w:bookmarkEnd w:id="217"/>
    <w:bookmarkEnd w:id="218"/>
    <w:p w14:paraId="6E59575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3.5.1 分包的一般约定</w:t>
      </w:r>
    </w:p>
    <w:p w14:paraId="4926EF2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4658075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承包人不得以劳务分包的名义转包或违法分包工程。</w:t>
      </w:r>
    </w:p>
    <w:p w14:paraId="2B39098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3.5.2 分包的确定</w:t>
      </w:r>
    </w:p>
    <w:p w14:paraId="3806713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4129F98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3.5.3 分包管理</w:t>
      </w:r>
    </w:p>
    <w:p w14:paraId="495A36E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承包人应向监理人提交分包人的主要施工管理人员表，并对分包人的施工人员进行实名制管理，包括但不限于进出场管理、登记造册以及各种证照的办理。</w:t>
      </w:r>
    </w:p>
    <w:p w14:paraId="3F0D1CB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3.5.4 分包合同价款</w:t>
      </w:r>
    </w:p>
    <w:p w14:paraId="023169D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（1）除本项第（2）目约定的情况或专用合同条款另有约定外，分包合同价款由承包人与分包人结算，未经承包人同意，发包人不得向分包人支付分包工程价款；</w:t>
      </w:r>
    </w:p>
    <w:p w14:paraId="74EFFF4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（2）生效法律文书要求发包人向分包人支付分包合同价款的，发包人有权从应付承包人工程款中扣除该部分款项。</w:t>
      </w:r>
    </w:p>
    <w:p w14:paraId="195193BF">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3.5.5 分包合同权益的转让</w:t>
      </w:r>
    </w:p>
    <w:p w14:paraId="5B8D83E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9" w:name="_Toc351203524"/>
    </w:p>
    <w:p w14:paraId="2566A390">
      <w:pPr>
        <w:pStyle w:val="6"/>
        <w:pageBreakBefore w:val="0"/>
        <w:numPr>
          <w:ilvl w:val="0"/>
          <w:numId w:val="0"/>
        </w:numPr>
        <w:kinsoku/>
        <w:overflowPunct/>
        <w:topLinePunct w:val="0"/>
        <w:bidi w:val="0"/>
        <w:spacing w:before="120" w:after="120" w:line="440" w:lineRule="exact"/>
        <w:ind w:leftChars="200"/>
        <w:outlineLvl w:val="3"/>
        <w:rPr>
          <w:rFonts w:hint="eastAsia" w:ascii="仿宋" w:hAnsi="仿宋" w:eastAsia="仿宋" w:cs="仿宋"/>
          <w:b w:val="0"/>
          <w:color w:val="auto"/>
          <w:sz w:val="24"/>
          <w:szCs w:val="24"/>
        </w:rPr>
      </w:pPr>
      <w:bookmarkStart w:id="220" w:name="_Toc4728"/>
      <w:bookmarkStart w:id="221" w:name="_Toc22451"/>
      <w:r>
        <w:rPr>
          <w:rFonts w:hint="eastAsia" w:ascii="仿宋" w:hAnsi="仿宋" w:eastAsia="仿宋" w:cs="仿宋"/>
          <w:b w:val="0"/>
          <w:color w:val="auto"/>
          <w:sz w:val="24"/>
          <w:szCs w:val="24"/>
        </w:rPr>
        <w:t>3.6 工程照管与成品、半成品保护</w:t>
      </w:r>
      <w:bookmarkEnd w:id="219"/>
      <w:bookmarkEnd w:id="220"/>
      <w:bookmarkEnd w:id="221"/>
    </w:p>
    <w:p w14:paraId="487DC2C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（1）除专用合同条款另有约定外，自发包人向承包人移交施工现场之日起，承包人应负责照管工程及工程相关的材料、工程设备，直到颁发工程接收证书之日止。</w:t>
      </w:r>
    </w:p>
    <w:p w14:paraId="0035A2F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（2）在承包人负责照管期间，因承包人原因造成工程、材料、工程设备损坏的，由承包人负责修复或更换，并承担由此增加的费用和（或）延误的工期。</w:t>
      </w:r>
    </w:p>
    <w:p w14:paraId="6CECB9B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14:paraId="6E720236">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22" w:name="_Toc26510"/>
      <w:bookmarkStart w:id="223" w:name="_Toc1529"/>
      <w:bookmarkStart w:id="224" w:name="_Toc351203525"/>
      <w:r>
        <w:rPr>
          <w:rFonts w:hint="eastAsia" w:ascii="仿宋" w:hAnsi="仿宋" w:eastAsia="仿宋" w:cs="仿宋"/>
          <w:b w:val="0"/>
          <w:color w:val="auto"/>
          <w:sz w:val="24"/>
          <w:szCs w:val="24"/>
        </w:rPr>
        <w:t>3</w:t>
      </w:r>
      <w:bookmarkStart w:id="225" w:name="_Toc337558752"/>
      <w:bookmarkStart w:id="226" w:name="_Toc296346553"/>
      <w:bookmarkStart w:id="227" w:name="_Toc296503052"/>
      <w:r>
        <w:rPr>
          <w:rFonts w:hint="eastAsia" w:ascii="仿宋" w:hAnsi="仿宋" w:eastAsia="仿宋" w:cs="仿宋"/>
          <w:b w:val="0"/>
          <w:color w:val="auto"/>
          <w:sz w:val="24"/>
          <w:szCs w:val="24"/>
        </w:rPr>
        <w:t>.7 履约担保</w:t>
      </w:r>
      <w:bookmarkEnd w:id="222"/>
      <w:bookmarkEnd w:id="223"/>
      <w:bookmarkEnd w:id="224"/>
    </w:p>
    <w:bookmarkEnd w:id="225"/>
    <w:bookmarkEnd w:id="226"/>
    <w:bookmarkEnd w:id="227"/>
    <w:p w14:paraId="426BAB4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1850F66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因承包人原因导致工期延长的，继续提供履约担保所增加的费用由承包人承担；非因承包人原因导致工期延长的，继续提供履约担保所增加的费用由发包人承担。</w:t>
      </w:r>
    </w:p>
    <w:p w14:paraId="5DC51DC9">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28" w:name="_Toc351203526"/>
      <w:bookmarkStart w:id="229" w:name="_Toc13998"/>
      <w:bookmarkStart w:id="230" w:name="_Toc21029"/>
      <w:r>
        <w:rPr>
          <w:rFonts w:hint="eastAsia" w:ascii="仿宋" w:hAnsi="仿宋" w:eastAsia="仿宋" w:cs="仿宋"/>
          <w:b w:val="0"/>
          <w:color w:val="auto"/>
          <w:sz w:val="24"/>
          <w:szCs w:val="24"/>
        </w:rPr>
        <w:t>3.8 联合体</w:t>
      </w:r>
      <w:bookmarkEnd w:id="228"/>
      <w:bookmarkEnd w:id="229"/>
      <w:bookmarkEnd w:id="230"/>
    </w:p>
    <w:p w14:paraId="30C2AE9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3.8.1 联合体各方应共同与发包人签订合同协议书。联合体各方应为履行合同向发包人承担连带责任。</w:t>
      </w:r>
    </w:p>
    <w:p w14:paraId="7F08551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3.8.2 联合体协议经发包人确认后作为合同附件。在履行合同过程中，未经发包人同意，不得修改联合体协议。</w:t>
      </w:r>
    </w:p>
    <w:p w14:paraId="7E565CD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3.8.3 联合体牵头人负责与发包人和监理人联系，并接受指示，负责组织联合体各成员全面履行合同。</w:t>
      </w:r>
    </w:p>
    <w:p w14:paraId="48924D29">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231" w:name="_Toc351203527"/>
      <w:bookmarkStart w:id="232" w:name="_Toc23452"/>
      <w:bookmarkStart w:id="233" w:name="_Toc8668"/>
      <w:r>
        <w:rPr>
          <w:rFonts w:hint="eastAsia" w:ascii="仿宋" w:hAnsi="仿宋" w:eastAsia="仿宋" w:cs="仿宋"/>
          <w:b w:val="0"/>
          <w:color w:val="auto"/>
          <w:sz w:val="24"/>
          <w:szCs w:val="24"/>
        </w:rPr>
        <w:t>4</w:t>
      </w:r>
      <w:bookmarkStart w:id="234" w:name="_Toc296503053"/>
      <w:bookmarkStart w:id="235" w:name="_Toc296346554"/>
      <w:bookmarkStart w:id="236" w:name="_Toc337558753"/>
      <w:r>
        <w:rPr>
          <w:rFonts w:hint="eastAsia" w:ascii="仿宋" w:hAnsi="仿宋" w:eastAsia="仿宋" w:cs="仿宋"/>
          <w:b w:val="0"/>
          <w:color w:val="auto"/>
          <w:sz w:val="24"/>
          <w:szCs w:val="24"/>
        </w:rPr>
        <w:t>. 监</w:t>
      </w:r>
      <w:bookmarkEnd w:id="234"/>
      <w:bookmarkEnd w:id="235"/>
      <w:r>
        <w:rPr>
          <w:rFonts w:hint="eastAsia" w:ascii="仿宋" w:hAnsi="仿宋" w:eastAsia="仿宋" w:cs="仿宋"/>
          <w:b w:val="0"/>
          <w:color w:val="auto"/>
          <w:sz w:val="24"/>
          <w:szCs w:val="24"/>
        </w:rPr>
        <w:t>理人</w:t>
      </w:r>
      <w:bookmarkEnd w:id="231"/>
      <w:bookmarkEnd w:id="232"/>
      <w:bookmarkEnd w:id="233"/>
    </w:p>
    <w:bookmarkEnd w:id="236"/>
    <w:p w14:paraId="5FE3F105">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37" w:name="_Toc351203528"/>
      <w:bookmarkStart w:id="238" w:name="_Toc32151"/>
      <w:bookmarkStart w:id="239" w:name="_Toc10871"/>
      <w:r>
        <w:rPr>
          <w:rFonts w:hint="eastAsia" w:ascii="仿宋" w:hAnsi="仿宋" w:eastAsia="仿宋" w:cs="仿宋"/>
          <w:b w:val="0"/>
          <w:color w:val="auto"/>
          <w:sz w:val="24"/>
          <w:szCs w:val="24"/>
        </w:rPr>
        <w:t>4</w:t>
      </w:r>
      <w:bookmarkStart w:id="240" w:name="_Toc296346555"/>
      <w:bookmarkStart w:id="241" w:name="_Toc337558754"/>
      <w:bookmarkStart w:id="242" w:name="_Toc296503054"/>
      <w:r>
        <w:rPr>
          <w:rFonts w:hint="eastAsia" w:ascii="仿宋" w:hAnsi="仿宋" w:eastAsia="仿宋" w:cs="仿宋"/>
          <w:b w:val="0"/>
          <w:color w:val="auto"/>
          <w:sz w:val="24"/>
          <w:szCs w:val="24"/>
        </w:rPr>
        <w:t>.1监理人的一般规定</w:t>
      </w:r>
      <w:bookmarkEnd w:id="237"/>
      <w:bookmarkEnd w:id="238"/>
      <w:bookmarkEnd w:id="239"/>
    </w:p>
    <w:bookmarkEnd w:id="240"/>
    <w:bookmarkEnd w:id="241"/>
    <w:bookmarkEnd w:id="242"/>
    <w:p w14:paraId="0B4E566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3D5124B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除专用合同条款另有约定外，监理人在施工现场的办公场所、生活场所由承包人提供，所发生的费用由发包人承担。</w:t>
      </w:r>
    </w:p>
    <w:p w14:paraId="58D269E3">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43" w:name="_Toc351203529"/>
      <w:bookmarkStart w:id="244" w:name="_Toc11283"/>
      <w:bookmarkStart w:id="245" w:name="_Toc20037"/>
      <w:r>
        <w:rPr>
          <w:rFonts w:hint="eastAsia" w:ascii="仿宋" w:hAnsi="仿宋" w:eastAsia="仿宋" w:cs="仿宋"/>
          <w:b w:val="0"/>
          <w:color w:val="auto"/>
          <w:sz w:val="24"/>
          <w:szCs w:val="24"/>
        </w:rPr>
        <w:t>4</w:t>
      </w:r>
      <w:bookmarkStart w:id="246" w:name="_Toc337558755"/>
      <w:r>
        <w:rPr>
          <w:rFonts w:hint="eastAsia" w:ascii="仿宋" w:hAnsi="仿宋" w:eastAsia="仿宋" w:cs="仿宋"/>
          <w:b w:val="0"/>
          <w:color w:val="auto"/>
          <w:sz w:val="24"/>
          <w:szCs w:val="24"/>
        </w:rPr>
        <w:t>.2监理人员</w:t>
      </w:r>
      <w:bookmarkEnd w:id="243"/>
      <w:bookmarkEnd w:id="244"/>
      <w:bookmarkEnd w:id="245"/>
    </w:p>
    <w:bookmarkEnd w:id="246"/>
    <w:p w14:paraId="18FB39E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BCFCD3F">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47" w:name="_Toc15756"/>
      <w:bookmarkStart w:id="248" w:name="_Toc351203530"/>
      <w:bookmarkStart w:id="249" w:name="_Toc3304"/>
      <w:r>
        <w:rPr>
          <w:rFonts w:hint="eastAsia" w:ascii="仿宋" w:hAnsi="仿宋" w:eastAsia="仿宋" w:cs="仿宋"/>
          <w:b w:val="0"/>
          <w:color w:val="auto"/>
          <w:sz w:val="24"/>
          <w:szCs w:val="24"/>
        </w:rPr>
        <w:t>4</w:t>
      </w:r>
      <w:bookmarkStart w:id="250" w:name="_Toc296503055"/>
      <w:bookmarkStart w:id="251" w:name="_Toc296346556"/>
      <w:bookmarkStart w:id="252" w:name="_Toc337558756"/>
      <w:r>
        <w:rPr>
          <w:rFonts w:hint="eastAsia" w:ascii="仿宋" w:hAnsi="仿宋" w:eastAsia="仿宋" w:cs="仿宋"/>
          <w:b w:val="0"/>
          <w:color w:val="auto"/>
          <w:sz w:val="24"/>
          <w:szCs w:val="24"/>
        </w:rPr>
        <w:t>.3</w:t>
      </w:r>
      <w:bookmarkEnd w:id="250"/>
      <w:bookmarkEnd w:id="251"/>
      <w:r>
        <w:rPr>
          <w:rFonts w:hint="eastAsia" w:ascii="仿宋" w:hAnsi="仿宋" w:eastAsia="仿宋" w:cs="仿宋"/>
          <w:b w:val="0"/>
          <w:color w:val="auto"/>
          <w:sz w:val="24"/>
          <w:szCs w:val="24"/>
        </w:rPr>
        <w:t>监理人的指</w:t>
      </w:r>
      <w:bookmarkEnd w:id="252"/>
      <w:r>
        <w:rPr>
          <w:rFonts w:hint="eastAsia" w:ascii="仿宋" w:hAnsi="仿宋" w:eastAsia="仿宋" w:cs="仿宋"/>
          <w:b w:val="0"/>
          <w:color w:val="auto"/>
          <w:sz w:val="24"/>
          <w:szCs w:val="24"/>
        </w:rPr>
        <w:t>示</w:t>
      </w:r>
      <w:bookmarkEnd w:id="247"/>
      <w:bookmarkEnd w:id="248"/>
      <w:bookmarkEnd w:id="249"/>
    </w:p>
    <w:p w14:paraId="6D4740C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7668EF9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6958577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承包人对监理人发出的指示有疑问的，应向监理人提出书面异议，监理人应在48小时内对该指示予以确认、更改或撤销，监理人逾期未回复的，承包人有权拒绝执行上述指示。</w:t>
      </w:r>
    </w:p>
    <w:p w14:paraId="243FB02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监理人对承包人的任何工作、工程或其采用的材料和工程设备未在约定的或合理期限内提出意见的，视为批准，但不免除或减轻承包人对该工作、工程、材料、工程设备等应承担的责任和义务。</w:t>
      </w:r>
    </w:p>
    <w:p w14:paraId="0233BF62">
      <w:pPr>
        <w:pStyle w:val="6"/>
        <w:pageBreakBefore w:val="0"/>
        <w:numPr>
          <w:ilvl w:val="0"/>
          <w:numId w:val="0"/>
        </w:numPr>
        <w:kinsoku/>
        <w:overflowPunct/>
        <w:topLinePunct w:val="0"/>
        <w:bidi w:val="0"/>
        <w:spacing w:before="120" w:after="120" w:line="440" w:lineRule="exact"/>
        <w:rPr>
          <w:rFonts w:hint="eastAsia" w:ascii="仿宋" w:hAnsi="仿宋" w:eastAsia="仿宋" w:cs="仿宋"/>
          <w:b w:val="0"/>
          <w:color w:val="auto"/>
          <w:sz w:val="24"/>
          <w:szCs w:val="24"/>
        </w:rPr>
      </w:pPr>
      <w:bookmarkStart w:id="253" w:name="_Toc20896"/>
      <w:bookmarkStart w:id="254" w:name="_Toc351203531"/>
      <w:bookmarkStart w:id="255" w:name="_Toc31794"/>
      <w:r>
        <w:rPr>
          <w:rFonts w:hint="eastAsia" w:ascii="仿宋" w:hAnsi="仿宋" w:eastAsia="仿宋" w:cs="仿宋"/>
          <w:b w:val="0"/>
          <w:color w:val="auto"/>
          <w:sz w:val="24"/>
          <w:szCs w:val="24"/>
        </w:rPr>
        <w:t>4</w:t>
      </w:r>
      <w:bookmarkStart w:id="256" w:name="_Toc296346558"/>
      <w:bookmarkStart w:id="257" w:name="_Toc337558757"/>
      <w:bookmarkStart w:id="258" w:name="_Toc296503057"/>
      <w:r>
        <w:rPr>
          <w:rFonts w:hint="eastAsia" w:ascii="仿宋" w:hAnsi="仿宋" w:eastAsia="仿宋" w:cs="仿宋"/>
          <w:b w:val="0"/>
          <w:color w:val="auto"/>
          <w:sz w:val="24"/>
          <w:szCs w:val="24"/>
        </w:rPr>
        <w:t>.4 商定或确定</w:t>
      </w:r>
      <w:bookmarkEnd w:id="253"/>
      <w:bookmarkEnd w:id="254"/>
      <w:bookmarkEnd w:id="255"/>
    </w:p>
    <w:bookmarkEnd w:id="256"/>
    <w:bookmarkEnd w:id="257"/>
    <w:bookmarkEnd w:id="258"/>
    <w:p w14:paraId="54F4FC5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合同当事人进行商定或确定时，总监理工程师应当会同合同当事人尽量通过协商达成一致，不能达成一致的，由总监理工程师按照合同约定审慎做出公正的确定。</w:t>
      </w:r>
    </w:p>
    <w:p w14:paraId="57DBD03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40D6405">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259" w:name="_Toc17729"/>
      <w:bookmarkStart w:id="260" w:name="_Toc18812"/>
      <w:bookmarkStart w:id="261" w:name="_Toc351203532"/>
      <w:r>
        <w:rPr>
          <w:rFonts w:hint="eastAsia" w:ascii="仿宋" w:hAnsi="仿宋" w:eastAsia="仿宋" w:cs="仿宋"/>
          <w:b w:val="0"/>
          <w:color w:val="auto"/>
          <w:sz w:val="24"/>
          <w:szCs w:val="24"/>
        </w:rPr>
        <w:t>5</w:t>
      </w:r>
      <w:bookmarkStart w:id="262" w:name="_Toc337558758"/>
      <w:r>
        <w:rPr>
          <w:rFonts w:hint="eastAsia" w:ascii="仿宋" w:hAnsi="仿宋" w:eastAsia="仿宋" w:cs="仿宋"/>
          <w:b w:val="0"/>
          <w:color w:val="auto"/>
          <w:sz w:val="24"/>
          <w:szCs w:val="24"/>
        </w:rPr>
        <w:t>. 工程质量</w:t>
      </w:r>
      <w:bookmarkEnd w:id="259"/>
      <w:bookmarkEnd w:id="260"/>
      <w:bookmarkEnd w:id="261"/>
    </w:p>
    <w:bookmarkEnd w:id="262"/>
    <w:p w14:paraId="4B5B6403">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63" w:name="_Toc31195"/>
      <w:bookmarkStart w:id="264" w:name="_Toc32431"/>
      <w:bookmarkStart w:id="265" w:name="_Toc351203533"/>
      <w:r>
        <w:rPr>
          <w:rFonts w:hint="eastAsia" w:ascii="仿宋" w:hAnsi="仿宋" w:eastAsia="仿宋" w:cs="仿宋"/>
          <w:b w:val="0"/>
          <w:color w:val="auto"/>
          <w:sz w:val="24"/>
          <w:szCs w:val="24"/>
        </w:rPr>
        <w:t>5</w:t>
      </w:r>
      <w:bookmarkStart w:id="266" w:name="_Toc337558759"/>
      <w:r>
        <w:rPr>
          <w:rFonts w:hint="eastAsia" w:ascii="仿宋" w:hAnsi="仿宋" w:eastAsia="仿宋" w:cs="仿宋"/>
          <w:b w:val="0"/>
          <w:color w:val="auto"/>
          <w:sz w:val="24"/>
          <w:szCs w:val="24"/>
        </w:rPr>
        <w:t>.1质量要求</w:t>
      </w:r>
      <w:bookmarkEnd w:id="263"/>
      <w:bookmarkEnd w:id="264"/>
      <w:bookmarkEnd w:id="265"/>
    </w:p>
    <w:bookmarkEnd w:id="266"/>
    <w:p w14:paraId="60BA340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5.1.1 工程质量标准必须符合现行国家有关工程施工质量验收规范和标准的要求。有关工程质量的特殊标准或要求由合同当事人在专用合同条款中约定。</w:t>
      </w:r>
    </w:p>
    <w:p w14:paraId="0163338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5.1.2 因发包人原因造成工程质量未达到合同约定标准的，由发包人承担由此增加的费用和（或）延误的工期，并支付承包人合理的利润。</w:t>
      </w:r>
    </w:p>
    <w:p w14:paraId="17137B3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5.1.3 因承包人原因造成工程质量未达到合同约定标准的，发包人有权要求承包人返工直至工程质量达到合同约定的标准为止，并由承包人承担由此增加的费用和（或）延误的工期。</w:t>
      </w:r>
    </w:p>
    <w:p w14:paraId="502D3EE8">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67" w:name="_Toc351203534"/>
      <w:bookmarkStart w:id="268" w:name="_Toc18532"/>
      <w:bookmarkStart w:id="269" w:name="_Toc17468"/>
      <w:r>
        <w:rPr>
          <w:rFonts w:hint="eastAsia" w:ascii="仿宋" w:hAnsi="仿宋" w:eastAsia="仿宋" w:cs="仿宋"/>
          <w:b w:val="0"/>
          <w:color w:val="auto"/>
          <w:sz w:val="24"/>
          <w:szCs w:val="24"/>
        </w:rPr>
        <w:t>5</w:t>
      </w:r>
      <w:bookmarkStart w:id="270" w:name="_Toc337558760"/>
      <w:r>
        <w:rPr>
          <w:rFonts w:hint="eastAsia" w:ascii="仿宋" w:hAnsi="仿宋" w:eastAsia="仿宋" w:cs="仿宋"/>
          <w:b w:val="0"/>
          <w:color w:val="auto"/>
          <w:sz w:val="24"/>
          <w:szCs w:val="24"/>
        </w:rPr>
        <w:t>.2质量保证措施</w:t>
      </w:r>
      <w:bookmarkEnd w:id="267"/>
      <w:bookmarkEnd w:id="268"/>
      <w:bookmarkEnd w:id="269"/>
    </w:p>
    <w:bookmarkEnd w:id="270"/>
    <w:p w14:paraId="2C7F614B">
      <w:pPr>
        <w:pageBreakBefore w:val="0"/>
        <w:kinsoku/>
        <w:overflowPunct/>
        <w:topLinePunct w:val="0"/>
        <w:autoSpaceDE w:val="0"/>
        <w:autoSpaceDN w:val="0"/>
        <w:bidi w:val="0"/>
        <w:adjustRightInd w:val="0"/>
        <w:spacing w:line="440" w:lineRule="exact"/>
        <w:ind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5.2.1 发包人的质量管理</w:t>
      </w:r>
    </w:p>
    <w:p w14:paraId="6A01AC4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发包人应按照法律规定及合同约定完成与工程质量有关的各项工作。</w:t>
      </w:r>
    </w:p>
    <w:p w14:paraId="1F28F43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5.2.2 承包人的质量管理</w:t>
      </w:r>
    </w:p>
    <w:p w14:paraId="730B749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ABA4BE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承包人应对施工人员进行质量教育和技术培训，定期考核施工人员的劳动技能，严格执行施工规范和操作规程。</w:t>
      </w:r>
    </w:p>
    <w:p w14:paraId="536300A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BBDAAFC">
      <w:pPr>
        <w:pageBreakBefore w:val="0"/>
        <w:kinsoku/>
        <w:overflowPunct/>
        <w:topLinePunct w:val="0"/>
        <w:autoSpaceDE w:val="0"/>
        <w:autoSpaceDN w:val="0"/>
        <w:bidi w:val="0"/>
        <w:adjustRightInd w:val="0"/>
        <w:spacing w:line="440" w:lineRule="exact"/>
        <w:ind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5.2.3 监理人的质量检查和检验</w:t>
      </w:r>
    </w:p>
    <w:p w14:paraId="72EBD35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w:t>
      </w:r>
      <w:r>
        <w:rPr>
          <w:rFonts w:hint="eastAsia" w:ascii="仿宋" w:hAnsi="仿宋" w:eastAsia="仿宋" w:cs="仿宋"/>
          <w:color w:val="auto"/>
          <w:kern w:val="0"/>
          <w:sz w:val="24"/>
          <w:szCs w:val="24"/>
          <w:lang w:eastAsia="zh-CN"/>
        </w:rPr>
        <w:t>查看</w:t>
      </w:r>
      <w:r>
        <w:rPr>
          <w:rFonts w:hint="eastAsia" w:ascii="仿宋" w:hAnsi="仿宋" w:eastAsia="仿宋" w:cs="仿宋"/>
          <w:color w:val="auto"/>
          <w:kern w:val="0"/>
          <w:sz w:val="24"/>
          <w:szCs w:val="24"/>
        </w:rPr>
        <w:t>和查阅施工原始记录。监理人为此进行的检查和检验，不免除或减轻承包人按照合同约定应当承担的责任。</w:t>
      </w:r>
    </w:p>
    <w:p w14:paraId="5C7FDAA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A9BF627">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71" w:name="_Toc12406"/>
      <w:bookmarkStart w:id="272" w:name="_Toc9744"/>
      <w:bookmarkStart w:id="273" w:name="_Toc351203535"/>
      <w:r>
        <w:rPr>
          <w:rFonts w:hint="eastAsia" w:ascii="仿宋" w:hAnsi="仿宋" w:eastAsia="仿宋" w:cs="仿宋"/>
          <w:b w:val="0"/>
          <w:color w:val="auto"/>
          <w:sz w:val="24"/>
          <w:szCs w:val="24"/>
        </w:rPr>
        <w:t>5</w:t>
      </w:r>
      <w:bookmarkStart w:id="274" w:name="_Toc337558761"/>
      <w:r>
        <w:rPr>
          <w:rFonts w:hint="eastAsia" w:ascii="仿宋" w:hAnsi="仿宋" w:eastAsia="仿宋" w:cs="仿宋"/>
          <w:b w:val="0"/>
          <w:color w:val="auto"/>
          <w:sz w:val="24"/>
          <w:szCs w:val="24"/>
        </w:rPr>
        <w:t>.3 隐蔽工程检查</w:t>
      </w:r>
      <w:bookmarkEnd w:id="271"/>
      <w:bookmarkEnd w:id="272"/>
      <w:bookmarkEnd w:id="273"/>
    </w:p>
    <w:bookmarkEnd w:id="274"/>
    <w:p w14:paraId="6879DC77">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5.3.1承包人自检</w:t>
      </w:r>
    </w:p>
    <w:p w14:paraId="6445A42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承包人应当对工程隐蔽部位进行自检，并经自检确认是否具备覆盖条件。</w:t>
      </w:r>
    </w:p>
    <w:p w14:paraId="2A0683A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5.3.2检查程序</w:t>
      </w:r>
    </w:p>
    <w:p w14:paraId="6052E17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4123461E">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0238748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46C0C6C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5.3.3 重新检查</w:t>
      </w:r>
    </w:p>
    <w:p w14:paraId="6F82DBC7">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E83C23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5.3.4 承包人私自覆盖</w:t>
      </w:r>
    </w:p>
    <w:p w14:paraId="3962F65D">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14:paraId="6C9138F3">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75" w:name="_Toc6963"/>
      <w:bookmarkStart w:id="276" w:name="_Toc866"/>
      <w:bookmarkStart w:id="277" w:name="_Toc351203536"/>
      <w:r>
        <w:rPr>
          <w:rFonts w:hint="eastAsia" w:ascii="仿宋" w:hAnsi="仿宋" w:eastAsia="仿宋" w:cs="仿宋"/>
          <w:b w:val="0"/>
          <w:color w:val="auto"/>
          <w:sz w:val="24"/>
          <w:szCs w:val="24"/>
        </w:rPr>
        <w:t>5</w:t>
      </w:r>
      <w:bookmarkStart w:id="278" w:name="_Toc337558762"/>
      <w:r>
        <w:rPr>
          <w:rFonts w:hint="eastAsia" w:ascii="仿宋" w:hAnsi="仿宋" w:eastAsia="仿宋" w:cs="仿宋"/>
          <w:b w:val="0"/>
          <w:color w:val="auto"/>
          <w:sz w:val="24"/>
          <w:szCs w:val="24"/>
        </w:rPr>
        <w:t>.4不合格工程的处理</w:t>
      </w:r>
      <w:bookmarkEnd w:id="275"/>
      <w:bookmarkEnd w:id="276"/>
      <w:bookmarkEnd w:id="277"/>
    </w:p>
    <w:bookmarkEnd w:id="278"/>
    <w:p w14:paraId="6FA332B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2D55D2F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5.4.2 因发包人原因造成工程不合格的，由此增加的费用和（或）延误的工期由发包人承担，并支付承包人合理的利润。</w:t>
      </w:r>
    </w:p>
    <w:p w14:paraId="21E9D0BF">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79" w:name="_Toc28859"/>
      <w:bookmarkStart w:id="280" w:name="_Toc351203537"/>
      <w:bookmarkStart w:id="281" w:name="_Toc20973"/>
      <w:r>
        <w:rPr>
          <w:rFonts w:hint="eastAsia" w:ascii="仿宋" w:hAnsi="仿宋" w:eastAsia="仿宋" w:cs="仿宋"/>
          <w:b w:val="0"/>
          <w:color w:val="auto"/>
          <w:sz w:val="24"/>
          <w:szCs w:val="24"/>
        </w:rPr>
        <w:t>5.5 质量争议检测</w:t>
      </w:r>
      <w:bookmarkEnd w:id="279"/>
      <w:bookmarkEnd w:id="280"/>
      <w:bookmarkEnd w:id="281"/>
    </w:p>
    <w:p w14:paraId="541F2FB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合同当事人对工程质量有争议的，由双方协商确定的工程质量检测机构鉴定，由此产生的费用及因此造成的损失，由责任方承担。</w:t>
      </w:r>
    </w:p>
    <w:p w14:paraId="1C64B171">
      <w:pPr>
        <w:pageBreakBefore w:val="0"/>
        <w:kinsoku/>
        <w:overflowPunct/>
        <w:topLinePunct w:val="0"/>
        <w:autoSpaceDE w:val="0"/>
        <w:autoSpaceDN w:val="0"/>
        <w:bidi w:val="0"/>
        <w:adjustRightInd w:val="0"/>
        <w:spacing w:line="44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合同当事人均有责任的，由双方根据其责任分别承担。合同当事人无法达成一致的，按照第4.4款〔商定或确定〕执行。</w:t>
      </w:r>
    </w:p>
    <w:p w14:paraId="093E8D0A">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282" w:name="_Toc9716"/>
      <w:bookmarkStart w:id="283" w:name="_Toc27913"/>
      <w:bookmarkStart w:id="284" w:name="_Toc351203538"/>
      <w:r>
        <w:rPr>
          <w:rFonts w:hint="eastAsia" w:ascii="仿宋" w:hAnsi="仿宋" w:eastAsia="仿宋" w:cs="仿宋"/>
          <w:b w:val="0"/>
          <w:color w:val="auto"/>
          <w:sz w:val="24"/>
          <w:szCs w:val="24"/>
        </w:rPr>
        <w:t>6</w:t>
      </w:r>
      <w:bookmarkStart w:id="285" w:name="_Toc337558763"/>
      <w:r>
        <w:rPr>
          <w:rFonts w:hint="eastAsia" w:ascii="仿宋" w:hAnsi="仿宋" w:eastAsia="仿宋" w:cs="仿宋"/>
          <w:b w:val="0"/>
          <w:color w:val="auto"/>
          <w:sz w:val="24"/>
          <w:szCs w:val="24"/>
        </w:rPr>
        <w:t>. 安全文明施工与环境保护</w:t>
      </w:r>
      <w:bookmarkEnd w:id="282"/>
      <w:bookmarkEnd w:id="283"/>
      <w:bookmarkEnd w:id="284"/>
    </w:p>
    <w:bookmarkEnd w:id="285"/>
    <w:p w14:paraId="2FEB15FE">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86" w:name="_Toc20827"/>
      <w:bookmarkStart w:id="287" w:name="_Toc351203539"/>
      <w:bookmarkStart w:id="288" w:name="_Toc3808"/>
      <w:r>
        <w:rPr>
          <w:rFonts w:hint="eastAsia" w:ascii="仿宋" w:hAnsi="仿宋" w:eastAsia="仿宋" w:cs="仿宋"/>
          <w:b w:val="0"/>
          <w:color w:val="auto"/>
          <w:sz w:val="24"/>
          <w:szCs w:val="24"/>
        </w:rPr>
        <w:t>6</w:t>
      </w:r>
      <w:bookmarkStart w:id="289" w:name="_Toc337558764"/>
      <w:r>
        <w:rPr>
          <w:rFonts w:hint="eastAsia" w:ascii="仿宋" w:hAnsi="仿宋" w:eastAsia="仿宋" w:cs="仿宋"/>
          <w:b w:val="0"/>
          <w:color w:val="auto"/>
          <w:sz w:val="24"/>
          <w:szCs w:val="24"/>
        </w:rPr>
        <w:t>.1安全文明施工</w:t>
      </w:r>
      <w:bookmarkEnd w:id="286"/>
      <w:bookmarkEnd w:id="287"/>
      <w:bookmarkEnd w:id="288"/>
    </w:p>
    <w:bookmarkEnd w:id="289"/>
    <w:p w14:paraId="2835C20D">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6.1.1安全生产要求</w:t>
      </w:r>
    </w:p>
    <w:p w14:paraId="0996E177">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5B4AC753">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在施工过程中，如遇到突发的地质变动、事先未知的地下施工障碍等影响施工安全的紧急情况，承包人应及时报告监理人和发包人，发包人应当及时下令停工并报</w:t>
      </w:r>
      <w:r>
        <w:rPr>
          <w:rFonts w:hint="eastAsia" w:ascii="仿宋" w:hAnsi="仿宋" w:eastAsia="仿宋" w:cs="仿宋"/>
          <w:color w:val="auto"/>
          <w:kern w:val="0"/>
          <w:sz w:val="24"/>
          <w:szCs w:val="24"/>
        </w:rPr>
        <w:t>政府有关行政管理部门</w:t>
      </w:r>
      <w:r>
        <w:rPr>
          <w:rFonts w:hint="eastAsia" w:ascii="仿宋" w:hAnsi="仿宋" w:eastAsia="仿宋" w:cs="仿宋"/>
          <w:color w:val="auto"/>
          <w:sz w:val="24"/>
          <w:szCs w:val="24"/>
        </w:rPr>
        <w:t>采取应急措施。</w:t>
      </w:r>
    </w:p>
    <w:p w14:paraId="70B12561">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因安全生产需要暂停施工的，按照第7.8款〔暂停施工〕的约定执行。</w:t>
      </w:r>
    </w:p>
    <w:p w14:paraId="41F28D66">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6.1.2 安全生产保证措施</w:t>
      </w:r>
    </w:p>
    <w:p w14:paraId="2249A52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承包人应当按照有关</w:t>
      </w:r>
      <w:r>
        <w:rPr>
          <w:rFonts w:hint="eastAsia" w:ascii="仿宋" w:hAnsi="仿宋" w:eastAsia="仿宋" w:cs="仿宋"/>
          <w:color w:val="auto"/>
          <w:kern w:val="0"/>
          <w:sz w:val="24"/>
          <w:szCs w:val="24"/>
        </w:rPr>
        <w:t>规定编制安全技术措施或者专项施工方案，</w:t>
      </w:r>
      <w:r>
        <w:rPr>
          <w:rFonts w:hint="eastAsia" w:ascii="仿宋" w:hAnsi="仿宋" w:eastAsia="仿宋" w:cs="仿宋"/>
          <w:color w:val="auto"/>
          <w:sz w:val="24"/>
          <w:szCs w:val="24"/>
        </w:rPr>
        <w:t>建立安全生产责任制度、治安保卫制度及安全生产教育培训制度，并</w:t>
      </w:r>
      <w:r>
        <w:rPr>
          <w:rFonts w:hint="eastAsia" w:ascii="仿宋" w:hAnsi="仿宋" w:eastAsia="仿宋" w:cs="仿宋"/>
          <w:color w:val="auto"/>
          <w:kern w:val="0"/>
          <w:sz w:val="24"/>
          <w:szCs w:val="24"/>
        </w:rPr>
        <w:t>按安全生产法律规定及合同约定履行安全职责，如实</w:t>
      </w:r>
      <w:r>
        <w:rPr>
          <w:rFonts w:hint="eastAsia" w:ascii="仿宋" w:hAnsi="仿宋" w:eastAsia="仿宋" w:cs="仿宋"/>
          <w:color w:val="auto"/>
          <w:sz w:val="24"/>
          <w:szCs w:val="24"/>
        </w:rPr>
        <w:t>编制工程安全生产的有关记录，</w:t>
      </w:r>
      <w:r>
        <w:rPr>
          <w:rFonts w:hint="eastAsia" w:ascii="仿宋" w:hAnsi="仿宋" w:eastAsia="仿宋" w:cs="仿宋"/>
          <w:color w:val="auto"/>
          <w:kern w:val="0"/>
          <w:sz w:val="24"/>
          <w:szCs w:val="24"/>
        </w:rPr>
        <w:t>接受发包人、监理人及政府安全监督部门的检查与监督。</w:t>
      </w:r>
    </w:p>
    <w:p w14:paraId="3D7FA7E9">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6.1.3特别安全生产事项</w:t>
      </w:r>
    </w:p>
    <w:p w14:paraId="3B9EEB6C">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FBEB719">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承包人在动力设备、输电线路、地下管道、密封防震车间、易燃易爆地段以及临街交通要道附近施工时，施工开始前应向发包人和监理人提出安全防护措施，经发包人认可后实施。 </w:t>
      </w:r>
    </w:p>
    <w:p w14:paraId="6CC9AE4C">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24E44855">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需单独编制危险性较大分部分项专项工程施工方案的，及要求进行专家论证的超过一定规模的危险性较大的分部分项工程，承包人应及时编制和组织论证。</w:t>
      </w:r>
    </w:p>
    <w:p w14:paraId="5FE8053D">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6.1.4 治安保卫</w:t>
      </w:r>
    </w:p>
    <w:p w14:paraId="66CF30C7">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除专用合同条款另有约定外，发包人应与当地公安部门协商，在现场建立治安管理机构或联防组织，统一管理施工场地的治安保卫事项，履行合同工程的治安保卫职责。</w:t>
      </w:r>
    </w:p>
    <w:p w14:paraId="3FF6ACAE">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发包人和承包人除应协助现场治安管理机构或联防组织维护施工场地的社会治安外，还应做好包括生活区在内的各自管辖区的治安保卫工作。</w:t>
      </w:r>
    </w:p>
    <w:p w14:paraId="1B615085">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31E2110B">
      <w:pPr>
        <w:pageBreakBefore w:val="0"/>
        <w:kinsoku/>
        <w:overflowPunct/>
        <w:topLinePunct w:val="0"/>
        <w:bidi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6.1.5 文明施工</w:t>
      </w:r>
    </w:p>
    <w:p w14:paraId="01A7A90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5153FF0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259B91E9">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6.1.6 安全文明施工费</w:t>
      </w:r>
    </w:p>
    <w:p w14:paraId="263F142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安全文明施工费由发包人承担，发包人不得以任何形式扣减该部分费用。因基准日期后合同所适用的法律或政府有关规定发生变化，增加的安全文明施工费由发包人承担。</w:t>
      </w:r>
    </w:p>
    <w:p w14:paraId="789148D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1FD2AE4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00E7292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3377518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6.1.7 紧急情况处理</w:t>
      </w:r>
    </w:p>
    <w:p w14:paraId="5AA00B1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1BEA8B1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6.1.8 事故处理</w:t>
      </w:r>
    </w:p>
    <w:p w14:paraId="2C15BAE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r>
        <w:rPr>
          <w:rFonts w:hint="eastAsia" w:ascii="仿宋" w:hAnsi="仿宋" w:eastAsia="仿宋" w:cs="仿宋"/>
          <w:color w:val="auto"/>
          <w:kern w:val="0"/>
          <w:sz w:val="24"/>
          <w:szCs w:val="24"/>
          <w:lang w:eastAsia="zh-CN"/>
        </w:rPr>
        <w:t>做出</w:t>
      </w:r>
      <w:r>
        <w:rPr>
          <w:rFonts w:hint="eastAsia" w:ascii="仿宋" w:hAnsi="仿宋" w:eastAsia="仿宋" w:cs="仿宋"/>
          <w:color w:val="auto"/>
          <w:kern w:val="0"/>
          <w:sz w:val="24"/>
          <w:szCs w:val="24"/>
        </w:rPr>
        <w:t>标记和书面记录，妥善保管有关证据。发包人和承包人应按国家有关规定，及时如实地向有关部门报告事故发生的情况，以及正在采取的紧急措施等。</w:t>
      </w:r>
    </w:p>
    <w:p w14:paraId="279CA53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6.1.9 安全生产责任</w:t>
      </w:r>
    </w:p>
    <w:p w14:paraId="6EB3E91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6.1.9.1 发包人的安全责任</w:t>
      </w:r>
    </w:p>
    <w:p w14:paraId="168A7033">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发包人应负责赔偿以下各种情况造成的损失：</w:t>
      </w:r>
    </w:p>
    <w:p w14:paraId="57BD1BB0">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（1）工程或工程的任何部分对土地的占用所造成的第三者财产损失；</w:t>
      </w:r>
    </w:p>
    <w:p w14:paraId="7D5299A4">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（2）由于发包人原因在施工场地及其毗邻地带造成的第三者人身伤亡和财产损失；</w:t>
      </w:r>
    </w:p>
    <w:p w14:paraId="703D8293">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（3）由于发包人原因对承包人、监理人造成的人员人身伤亡和财产损失；</w:t>
      </w:r>
    </w:p>
    <w:p w14:paraId="7A8AD17C">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（4）由于发包人原因造成的发包人自身人员的人身伤害以及财产损失。</w:t>
      </w:r>
    </w:p>
    <w:p w14:paraId="1DC2F01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6.1.9.2 承包人的安全责任</w:t>
      </w:r>
    </w:p>
    <w:p w14:paraId="472658D5">
      <w:pPr>
        <w:pageBreakBefore w:val="0"/>
        <w:kinsoku/>
        <w:overflowPunct/>
        <w:topLinePunct w:val="0"/>
        <w:bidi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由于承包人原因在施工场地内及其毗邻地带造成的发包人、监理人以及第三者人员伤亡和财产损失，由承包人负责赔偿。</w:t>
      </w:r>
    </w:p>
    <w:p w14:paraId="79B6B173">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90" w:name="_Toc31942"/>
      <w:bookmarkStart w:id="291" w:name="_Toc351203540"/>
      <w:bookmarkStart w:id="292" w:name="_Toc25956"/>
      <w:r>
        <w:rPr>
          <w:rFonts w:hint="eastAsia" w:ascii="仿宋" w:hAnsi="仿宋" w:eastAsia="仿宋" w:cs="仿宋"/>
          <w:b w:val="0"/>
          <w:color w:val="auto"/>
          <w:sz w:val="24"/>
          <w:szCs w:val="24"/>
        </w:rPr>
        <w:t>6</w:t>
      </w:r>
      <w:bookmarkStart w:id="293" w:name="_Toc337558765"/>
      <w:r>
        <w:rPr>
          <w:rFonts w:hint="eastAsia" w:ascii="仿宋" w:hAnsi="仿宋" w:eastAsia="仿宋" w:cs="仿宋"/>
          <w:b w:val="0"/>
          <w:color w:val="auto"/>
          <w:sz w:val="24"/>
          <w:szCs w:val="24"/>
        </w:rPr>
        <w:t>.2 职业健康</w:t>
      </w:r>
      <w:bookmarkEnd w:id="290"/>
      <w:bookmarkEnd w:id="291"/>
      <w:bookmarkEnd w:id="292"/>
    </w:p>
    <w:bookmarkEnd w:id="293"/>
    <w:p w14:paraId="5151D04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6.2.1 劳动保护</w:t>
      </w:r>
    </w:p>
    <w:p w14:paraId="306FAA9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4F091EE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承包人应按照法律规定保障现场施工人员的劳动安全，并提供劳动保护,并应</w:t>
      </w:r>
      <w:r>
        <w:rPr>
          <w:rFonts w:hint="eastAsia" w:ascii="仿宋" w:hAnsi="仿宋" w:eastAsia="仿宋" w:cs="仿宋"/>
          <w:color w:val="auto"/>
          <w:kern w:val="0"/>
          <w:sz w:val="24"/>
          <w:szCs w:val="24"/>
          <w:lang w:eastAsia="zh-CN"/>
        </w:rPr>
        <w:t>按照</w:t>
      </w:r>
      <w:r>
        <w:rPr>
          <w:rFonts w:hint="eastAsia" w:ascii="仿宋" w:hAnsi="仿宋" w:eastAsia="仿宋" w:cs="仿宋"/>
          <w:color w:val="auto"/>
          <w:kern w:val="0"/>
          <w:sz w:val="24"/>
          <w:szCs w:val="24"/>
        </w:rPr>
        <w:t>国家有关劳动保护的规定，采取有效</w:t>
      </w:r>
      <w:r>
        <w:rPr>
          <w:rFonts w:hint="eastAsia" w:ascii="仿宋" w:hAnsi="仿宋" w:eastAsia="仿宋" w:cs="仿宋"/>
          <w:color w:val="auto"/>
          <w:kern w:val="0"/>
          <w:sz w:val="24"/>
          <w:szCs w:val="24"/>
          <w:lang w:eastAsia="zh-CN"/>
        </w:rPr>
        <w:t>地</w:t>
      </w:r>
      <w:r>
        <w:rPr>
          <w:rFonts w:hint="eastAsia" w:ascii="仿宋" w:hAnsi="仿宋" w:eastAsia="仿宋" w:cs="仿宋"/>
          <w:color w:val="auto"/>
          <w:kern w:val="0"/>
          <w:sz w:val="24"/>
          <w:szCs w:val="24"/>
        </w:rPr>
        <w:t>防止粉尘、降低噪声、控制有害气体和保障高温、高寒、高空作业安全等劳动保护措施。承包人雇佣人员在施工中受到伤害的，承包人应立即采取有效措施进行抢救和治疗。</w:t>
      </w:r>
    </w:p>
    <w:p w14:paraId="35EAB4D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14:paraId="4739298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6.2.2 生活条件</w:t>
      </w:r>
    </w:p>
    <w:p w14:paraId="55FB8FD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31D467E9">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294" w:name="_Toc12743"/>
      <w:bookmarkStart w:id="295" w:name="_Toc7102"/>
      <w:bookmarkStart w:id="296" w:name="_Toc351203541"/>
      <w:r>
        <w:rPr>
          <w:rFonts w:hint="eastAsia" w:ascii="仿宋" w:hAnsi="仿宋" w:eastAsia="仿宋" w:cs="仿宋"/>
          <w:b w:val="0"/>
          <w:color w:val="auto"/>
          <w:sz w:val="24"/>
          <w:szCs w:val="24"/>
        </w:rPr>
        <w:t>6</w:t>
      </w:r>
      <w:bookmarkStart w:id="297" w:name="_Toc337558766"/>
      <w:r>
        <w:rPr>
          <w:rFonts w:hint="eastAsia" w:ascii="仿宋" w:hAnsi="仿宋" w:eastAsia="仿宋" w:cs="仿宋"/>
          <w:b w:val="0"/>
          <w:color w:val="auto"/>
          <w:sz w:val="24"/>
          <w:szCs w:val="24"/>
        </w:rPr>
        <w:t>.3 环境保护</w:t>
      </w:r>
      <w:bookmarkEnd w:id="294"/>
      <w:bookmarkEnd w:id="295"/>
      <w:bookmarkEnd w:id="296"/>
    </w:p>
    <w:bookmarkEnd w:id="297"/>
    <w:p w14:paraId="697EC7B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29BE66D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承包人应当承担因其原因引起的环境污染侵权损害赔偿责任，因上述环境污染引起纠纷而导致暂停施工的，由此增加的费用和（或）延误的工期由承包人承担。</w:t>
      </w:r>
    </w:p>
    <w:p w14:paraId="29A62A8B">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298" w:name="_Toc28106"/>
      <w:bookmarkStart w:id="299" w:name="_Toc27609"/>
      <w:bookmarkStart w:id="300" w:name="_Toc351203542"/>
      <w:r>
        <w:rPr>
          <w:rFonts w:hint="eastAsia" w:ascii="仿宋" w:hAnsi="仿宋" w:eastAsia="仿宋" w:cs="仿宋"/>
          <w:b w:val="0"/>
          <w:color w:val="auto"/>
          <w:sz w:val="24"/>
          <w:szCs w:val="24"/>
        </w:rPr>
        <w:t>7</w:t>
      </w:r>
      <w:bookmarkStart w:id="301" w:name="_Toc337558767"/>
      <w:r>
        <w:rPr>
          <w:rFonts w:hint="eastAsia" w:ascii="仿宋" w:hAnsi="仿宋" w:eastAsia="仿宋" w:cs="仿宋"/>
          <w:b w:val="0"/>
          <w:color w:val="auto"/>
          <w:sz w:val="24"/>
          <w:szCs w:val="24"/>
        </w:rPr>
        <w:t>. 工期和进度</w:t>
      </w:r>
      <w:bookmarkEnd w:id="298"/>
      <w:bookmarkEnd w:id="299"/>
      <w:bookmarkEnd w:id="300"/>
    </w:p>
    <w:bookmarkEnd w:id="301"/>
    <w:p w14:paraId="0615BC03">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02" w:name="_Toc4078"/>
      <w:bookmarkStart w:id="303" w:name="_Toc351203543"/>
      <w:bookmarkStart w:id="304" w:name="_Toc29395"/>
      <w:r>
        <w:rPr>
          <w:rFonts w:hint="eastAsia" w:ascii="仿宋" w:hAnsi="仿宋" w:eastAsia="仿宋" w:cs="仿宋"/>
          <w:b w:val="0"/>
          <w:color w:val="auto"/>
          <w:sz w:val="24"/>
          <w:szCs w:val="24"/>
        </w:rPr>
        <w:t>7</w:t>
      </w:r>
      <w:bookmarkStart w:id="305" w:name="_Toc337558768"/>
      <w:bookmarkStart w:id="306" w:name="_Toc296346567"/>
      <w:bookmarkStart w:id="307" w:name="_Toc296503066"/>
      <w:r>
        <w:rPr>
          <w:rFonts w:hint="eastAsia" w:ascii="仿宋" w:hAnsi="仿宋" w:eastAsia="仿宋" w:cs="仿宋"/>
          <w:b w:val="0"/>
          <w:color w:val="auto"/>
          <w:sz w:val="24"/>
          <w:szCs w:val="24"/>
        </w:rPr>
        <w:t>.1施工组织设计</w:t>
      </w:r>
      <w:bookmarkEnd w:id="302"/>
      <w:bookmarkEnd w:id="303"/>
      <w:bookmarkEnd w:id="304"/>
    </w:p>
    <w:bookmarkEnd w:id="305"/>
    <w:p w14:paraId="1DFCCC2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 xml:space="preserve">7.1.1 </w:t>
      </w:r>
      <w:r>
        <w:rPr>
          <w:rFonts w:hint="eastAsia" w:ascii="仿宋" w:hAnsi="仿宋" w:eastAsia="仿宋" w:cs="仿宋"/>
          <w:color w:val="auto"/>
          <w:kern w:val="0"/>
          <w:sz w:val="24"/>
          <w:szCs w:val="24"/>
        </w:rPr>
        <w:t>施工组织设计的内容</w:t>
      </w:r>
    </w:p>
    <w:p w14:paraId="387C94E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施工组织设计应包含以下内容：</w:t>
      </w:r>
    </w:p>
    <w:p w14:paraId="6D2F038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（1）施工方案； </w:t>
      </w:r>
    </w:p>
    <w:p w14:paraId="205FFBE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（2）施工现场平面布置图；</w:t>
      </w:r>
    </w:p>
    <w:p w14:paraId="7772FD9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（3）施工进度计划和保证措施； </w:t>
      </w:r>
    </w:p>
    <w:p w14:paraId="159C154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（4）劳动力及材料供应计划；</w:t>
      </w:r>
    </w:p>
    <w:p w14:paraId="40F47AB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（5）施工机械设备的选用；</w:t>
      </w:r>
    </w:p>
    <w:p w14:paraId="4090DDE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（6）质量保证体系及措施；</w:t>
      </w:r>
    </w:p>
    <w:p w14:paraId="283C405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（7）安全生产、文明施工措施；</w:t>
      </w:r>
    </w:p>
    <w:p w14:paraId="6C66F52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（8）环境保护、成本控制措施；</w:t>
      </w:r>
    </w:p>
    <w:p w14:paraId="4A655D1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（9）合同当事人约定的其他内容。</w:t>
      </w:r>
    </w:p>
    <w:p w14:paraId="032D2B2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 xml:space="preserve">7.1.2 </w:t>
      </w:r>
      <w:r>
        <w:rPr>
          <w:rFonts w:hint="eastAsia" w:ascii="仿宋" w:hAnsi="仿宋" w:eastAsia="仿宋" w:cs="仿宋"/>
          <w:color w:val="auto"/>
          <w:kern w:val="0"/>
          <w:sz w:val="24"/>
          <w:szCs w:val="24"/>
        </w:rPr>
        <w:t>施工组织设计的提交和修改</w:t>
      </w:r>
    </w:p>
    <w:p w14:paraId="3D1CC92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0BBA72A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施工进度计划的编制和修改按照第7.2款〔施工进度计划〕执行。</w:t>
      </w:r>
    </w:p>
    <w:p w14:paraId="28E6874D">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08" w:name="_Toc5528"/>
      <w:bookmarkStart w:id="309" w:name="_Toc351203544"/>
      <w:bookmarkStart w:id="310" w:name="_Toc15620"/>
      <w:r>
        <w:rPr>
          <w:rFonts w:hint="eastAsia" w:ascii="仿宋" w:hAnsi="仿宋" w:eastAsia="仿宋" w:cs="仿宋"/>
          <w:b w:val="0"/>
          <w:color w:val="auto"/>
          <w:sz w:val="24"/>
          <w:szCs w:val="24"/>
        </w:rPr>
        <w:t>7</w:t>
      </w:r>
      <w:bookmarkStart w:id="311" w:name="_Toc337558769"/>
      <w:r>
        <w:rPr>
          <w:rFonts w:hint="eastAsia" w:ascii="仿宋" w:hAnsi="仿宋" w:eastAsia="仿宋" w:cs="仿宋"/>
          <w:b w:val="0"/>
          <w:color w:val="auto"/>
          <w:sz w:val="24"/>
          <w:szCs w:val="24"/>
        </w:rPr>
        <w:t>.2 施工进度计划</w:t>
      </w:r>
      <w:bookmarkEnd w:id="308"/>
      <w:bookmarkEnd w:id="309"/>
      <w:bookmarkEnd w:id="310"/>
    </w:p>
    <w:bookmarkEnd w:id="311"/>
    <w:p w14:paraId="29A2B37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7.2.1 施工进度计划的编制</w:t>
      </w:r>
    </w:p>
    <w:p w14:paraId="71911D8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61CBB60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7.2.2 施工进度计划的修订</w:t>
      </w:r>
    </w:p>
    <w:p w14:paraId="7379061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4104239">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12" w:name="_Toc351203545"/>
      <w:bookmarkStart w:id="313" w:name="_Toc1281"/>
      <w:bookmarkStart w:id="314" w:name="_Toc24966"/>
      <w:r>
        <w:rPr>
          <w:rFonts w:hint="eastAsia" w:ascii="仿宋" w:hAnsi="仿宋" w:eastAsia="仿宋" w:cs="仿宋"/>
          <w:b w:val="0"/>
          <w:color w:val="auto"/>
          <w:sz w:val="24"/>
          <w:szCs w:val="24"/>
        </w:rPr>
        <w:t>7</w:t>
      </w:r>
      <w:bookmarkStart w:id="315" w:name="_Toc337558770"/>
      <w:r>
        <w:rPr>
          <w:rFonts w:hint="eastAsia" w:ascii="仿宋" w:hAnsi="仿宋" w:eastAsia="仿宋" w:cs="仿宋"/>
          <w:b w:val="0"/>
          <w:color w:val="auto"/>
          <w:sz w:val="24"/>
          <w:szCs w:val="24"/>
        </w:rPr>
        <w:t>.3 开工</w:t>
      </w:r>
      <w:bookmarkEnd w:id="312"/>
      <w:bookmarkEnd w:id="313"/>
      <w:bookmarkEnd w:id="314"/>
    </w:p>
    <w:p w14:paraId="4B040791">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7.3.1 开工准备</w:t>
      </w:r>
    </w:p>
    <w:p w14:paraId="4531A9E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6D25E21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除专用合同条款另有约定外，合同当事人应按约定完成开工准备工作。</w:t>
      </w:r>
    </w:p>
    <w:p w14:paraId="732AB29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7.3.2 开工通知</w:t>
      </w:r>
    </w:p>
    <w:bookmarkEnd w:id="315"/>
    <w:p w14:paraId="6B63E9F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14E11D2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890095A">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16" w:name="_Toc11661"/>
      <w:bookmarkStart w:id="317" w:name="_Toc351203546"/>
      <w:bookmarkStart w:id="318" w:name="_Toc17256"/>
      <w:r>
        <w:rPr>
          <w:rFonts w:hint="eastAsia" w:ascii="仿宋" w:hAnsi="仿宋" w:eastAsia="仿宋" w:cs="仿宋"/>
          <w:b w:val="0"/>
          <w:color w:val="auto"/>
          <w:sz w:val="24"/>
          <w:szCs w:val="24"/>
        </w:rPr>
        <w:t>7.4测量放线</w:t>
      </w:r>
      <w:bookmarkEnd w:id="316"/>
      <w:bookmarkEnd w:id="317"/>
      <w:bookmarkEnd w:id="318"/>
    </w:p>
    <w:p w14:paraId="2CB39E7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91947B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20BA4C9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11F15F0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施工过程中对施工现场内水准点等测量标志物的保护工作由承包人负责。</w:t>
      </w:r>
      <w:bookmarkStart w:id="319" w:name="_Toc351203547"/>
    </w:p>
    <w:p w14:paraId="0B4456E0">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20" w:name="_Toc30578"/>
      <w:bookmarkStart w:id="321" w:name="_Toc5586"/>
      <w:r>
        <w:rPr>
          <w:rFonts w:hint="eastAsia" w:ascii="仿宋" w:hAnsi="仿宋" w:eastAsia="仿宋" w:cs="仿宋"/>
          <w:b w:val="0"/>
          <w:color w:val="auto"/>
          <w:sz w:val="24"/>
          <w:szCs w:val="24"/>
        </w:rPr>
        <w:t>7</w:t>
      </w:r>
      <w:bookmarkEnd w:id="306"/>
      <w:bookmarkEnd w:id="307"/>
      <w:bookmarkStart w:id="322" w:name="_Toc296346574"/>
      <w:bookmarkStart w:id="323" w:name="_Toc337558772"/>
      <w:bookmarkStart w:id="324" w:name="_Toc296503073"/>
      <w:r>
        <w:rPr>
          <w:rFonts w:hint="eastAsia" w:ascii="仿宋" w:hAnsi="仿宋" w:eastAsia="仿宋" w:cs="仿宋"/>
          <w:b w:val="0"/>
          <w:color w:val="auto"/>
          <w:sz w:val="24"/>
          <w:szCs w:val="24"/>
        </w:rPr>
        <w:t>.5 工期延误</w:t>
      </w:r>
      <w:bookmarkEnd w:id="319"/>
      <w:bookmarkEnd w:id="320"/>
      <w:bookmarkEnd w:id="321"/>
    </w:p>
    <w:bookmarkEnd w:id="322"/>
    <w:bookmarkEnd w:id="323"/>
    <w:bookmarkEnd w:id="324"/>
    <w:p w14:paraId="51D220AF">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7.5.1 因发包人原因导致工期延误</w:t>
      </w:r>
    </w:p>
    <w:p w14:paraId="6A8830B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在合同履行过程中，因下列情况导致工期延误和（或）费用增加的，由发包人承担由此延误的工期和（或）增加的费用，且发包人应支付承包人合理的利润： </w:t>
      </w:r>
    </w:p>
    <w:p w14:paraId="786AC81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（1）发包人未能按合同约定提供图纸或所提供图纸不符合合同约定的；</w:t>
      </w:r>
    </w:p>
    <w:p w14:paraId="01352A3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（2）发包人未能按合同约定提供施工现场、施工条件、基础资料、许可、批准等开工条件的；</w:t>
      </w:r>
    </w:p>
    <w:p w14:paraId="4A20A4E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（3）发包人提供的测量基准点、基准线和水准点及其书面资料存在错误或疏漏的；</w:t>
      </w:r>
    </w:p>
    <w:p w14:paraId="4472CA6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（4）发包人未能在计划开工日期之日起7天内同意下达开工通知的；</w:t>
      </w:r>
    </w:p>
    <w:p w14:paraId="2D996C6E">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（5）发包人未能按合同约定日期支付工程预付款、进度款或竣工结算款的；</w:t>
      </w:r>
    </w:p>
    <w:p w14:paraId="085AC2B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（6）监理人未按合同约定发出指示、批准等文件的；</w:t>
      </w:r>
    </w:p>
    <w:p w14:paraId="1A897C9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（7）专用合同条款中约定的其他情形。</w:t>
      </w:r>
    </w:p>
    <w:p w14:paraId="792DB477">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EBAB36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7.5.2 因承包人原因导致工期延误</w:t>
      </w:r>
    </w:p>
    <w:p w14:paraId="2EECB41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bookmarkStart w:id="325" w:name="_Toc296503076"/>
      <w:bookmarkStart w:id="326" w:name="_Toc296346577"/>
      <w:r>
        <w:rPr>
          <w:rFonts w:hint="eastAsia" w:ascii="仿宋" w:hAnsi="仿宋" w:eastAsia="仿宋" w:cs="仿宋"/>
          <w:color w:val="auto"/>
          <w:kern w:val="0"/>
          <w:sz w:val="24"/>
          <w:szCs w:val="24"/>
        </w:rPr>
        <w:t>因</w:t>
      </w:r>
      <w:bookmarkEnd w:id="325"/>
      <w:bookmarkEnd w:id="326"/>
      <w:r>
        <w:rPr>
          <w:rFonts w:hint="eastAsia" w:ascii="仿宋" w:hAnsi="仿宋" w:eastAsia="仿宋" w:cs="仿宋"/>
          <w:color w:val="auto"/>
          <w:kern w:val="0"/>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14:paraId="21C8B207">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27" w:name="_Toc19702"/>
      <w:bookmarkStart w:id="328" w:name="_Toc351203548"/>
      <w:bookmarkStart w:id="329" w:name="_Toc3638"/>
      <w:r>
        <w:rPr>
          <w:rFonts w:hint="eastAsia" w:ascii="仿宋" w:hAnsi="仿宋" w:eastAsia="仿宋" w:cs="仿宋"/>
          <w:b w:val="0"/>
          <w:color w:val="auto"/>
          <w:sz w:val="24"/>
          <w:szCs w:val="24"/>
        </w:rPr>
        <w:t>7</w:t>
      </w:r>
      <w:bookmarkStart w:id="330" w:name="_Toc337558773"/>
      <w:bookmarkStart w:id="331" w:name="_Toc296503074"/>
      <w:bookmarkStart w:id="332" w:name="_Toc296346575"/>
      <w:bookmarkStart w:id="333" w:name="_Toc296346578"/>
      <w:bookmarkStart w:id="334" w:name="_Toc296503077"/>
      <w:r>
        <w:rPr>
          <w:rFonts w:hint="eastAsia" w:ascii="仿宋" w:hAnsi="仿宋" w:eastAsia="仿宋" w:cs="仿宋"/>
          <w:b w:val="0"/>
          <w:color w:val="auto"/>
          <w:sz w:val="24"/>
          <w:szCs w:val="24"/>
        </w:rPr>
        <w:t>.6 不利物质条件</w:t>
      </w:r>
      <w:bookmarkEnd w:id="327"/>
      <w:bookmarkEnd w:id="328"/>
      <w:bookmarkEnd w:id="329"/>
    </w:p>
    <w:bookmarkEnd w:id="330"/>
    <w:bookmarkEnd w:id="331"/>
    <w:bookmarkEnd w:id="332"/>
    <w:p w14:paraId="0C88652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716B4E0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385BA827">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35" w:name="_Toc12657"/>
      <w:bookmarkStart w:id="336" w:name="_Toc22177"/>
      <w:bookmarkStart w:id="337" w:name="_Toc351203549"/>
      <w:r>
        <w:rPr>
          <w:rFonts w:hint="eastAsia" w:ascii="仿宋" w:hAnsi="仿宋" w:eastAsia="仿宋" w:cs="仿宋"/>
          <w:b w:val="0"/>
          <w:color w:val="auto"/>
          <w:sz w:val="24"/>
          <w:szCs w:val="24"/>
        </w:rPr>
        <w:t>7</w:t>
      </w:r>
      <w:bookmarkStart w:id="338" w:name="_Toc337558774"/>
      <w:bookmarkStart w:id="339" w:name="_Toc296346576"/>
      <w:bookmarkStart w:id="340" w:name="_Toc296503075"/>
      <w:r>
        <w:rPr>
          <w:rFonts w:hint="eastAsia" w:ascii="仿宋" w:hAnsi="仿宋" w:eastAsia="仿宋" w:cs="仿宋"/>
          <w:b w:val="0"/>
          <w:color w:val="auto"/>
          <w:sz w:val="24"/>
          <w:szCs w:val="24"/>
        </w:rPr>
        <w:t>.7 异常恶劣的气候条件</w:t>
      </w:r>
      <w:bookmarkEnd w:id="335"/>
      <w:bookmarkEnd w:id="336"/>
      <w:bookmarkEnd w:id="337"/>
    </w:p>
    <w:bookmarkEnd w:id="338"/>
    <w:bookmarkEnd w:id="339"/>
    <w:bookmarkEnd w:id="340"/>
    <w:p w14:paraId="6DC7878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7167C89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341" w:name="_Toc351203550"/>
    </w:p>
    <w:p w14:paraId="33C96FEC">
      <w:pPr>
        <w:pageBreakBefore w:val="0"/>
        <w:kinsoku/>
        <w:overflowPunct/>
        <w:topLinePunct w:val="0"/>
        <w:autoSpaceDE w:val="0"/>
        <w:autoSpaceDN w:val="0"/>
        <w:bidi w:val="0"/>
        <w:adjustRightInd w:val="0"/>
        <w:spacing w:line="440" w:lineRule="exact"/>
        <w:ind w:firstLine="480" w:firstLineChars="200"/>
        <w:jc w:val="left"/>
        <w:outlineLvl w:val="3"/>
        <w:rPr>
          <w:rFonts w:hint="eastAsia" w:ascii="仿宋" w:hAnsi="仿宋" w:eastAsia="仿宋" w:cs="仿宋"/>
          <w:bCs/>
          <w:color w:val="auto"/>
          <w:sz w:val="24"/>
          <w:szCs w:val="24"/>
        </w:rPr>
      </w:pPr>
      <w:bookmarkStart w:id="342" w:name="_Toc28554"/>
      <w:bookmarkStart w:id="343" w:name="_Toc20629"/>
      <w:r>
        <w:rPr>
          <w:rFonts w:hint="eastAsia" w:ascii="仿宋" w:hAnsi="仿宋" w:eastAsia="仿宋" w:cs="仿宋"/>
          <w:bCs/>
          <w:color w:val="auto"/>
          <w:sz w:val="24"/>
          <w:szCs w:val="24"/>
        </w:rPr>
        <w:t>7</w:t>
      </w:r>
      <w:bookmarkStart w:id="344" w:name="_Toc337558775"/>
      <w:r>
        <w:rPr>
          <w:rFonts w:hint="eastAsia" w:ascii="仿宋" w:hAnsi="仿宋" w:eastAsia="仿宋" w:cs="仿宋"/>
          <w:bCs/>
          <w:color w:val="auto"/>
          <w:sz w:val="24"/>
          <w:szCs w:val="24"/>
        </w:rPr>
        <w:t>.8 暂停施工</w:t>
      </w:r>
      <w:bookmarkEnd w:id="341"/>
      <w:bookmarkEnd w:id="342"/>
      <w:bookmarkEnd w:id="343"/>
    </w:p>
    <w:bookmarkEnd w:id="333"/>
    <w:bookmarkEnd w:id="334"/>
    <w:bookmarkEnd w:id="344"/>
    <w:p w14:paraId="30CBCAE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7.8.1发包人原因引起的暂停施工</w:t>
      </w:r>
    </w:p>
    <w:p w14:paraId="49DEFC9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因发包人原因引起暂停施工的，监理人经发包人同意后，应及时下达暂停施工指示。情况紧急且监理人未及时下达暂停施工指示的，按照第7.8.4项〔紧急情况下的暂停施工〕执行。</w:t>
      </w:r>
    </w:p>
    <w:p w14:paraId="5799547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因发包人原因引起的暂停施工，发包人应承担由此增加的费用和（或）延误的工期，并支付承包人合理的利润。</w:t>
      </w:r>
    </w:p>
    <w:p w14:paraId="4466FEE7">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7.8.2 承包人原因引起的暂停施工</w:t>
      </w:r>
    </w:p>
    <w:p w14:paraId="6DFEBC1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3E2EC35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7.8.3 指示暂停施工</w:t>
      </w:r>
    </w:p>
    <w:p w14:paraId="7CD207C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监理人认为有必要时，并经发包人批准后，可向承包人作出暂停施工的指示，承包人应按监理人指示暂停施工。</w:t>
      </w:r>
    </w:p>
    <w:p w14:paraId="4ED2DE8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7.8.4 紧急情况下的暂停施工</w:t>
      </w:r>
    </w:p>
    <w:p w14:paraId="209B036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6177F5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7.8.5 暂停施工后的复工</w:t>
      </w:r>
    </w:p>
    <w:p w14:paraId="3A7A24F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4CEC7C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承包人无故拖延和拒绝复工的，承包人承担由此增加的费用和（或）延误的工期；因发包人原因无法按时复工的，按照第7.5.1项〔因发包人原因导致工期延误〕约定办理。</w:t>
      </w:r>
    </w:p>
    <w:p w14:paraId="1A16557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7.8.6 暂停施工持续56天以上</w:t>
      </w:r>
    </w:p>
    <w:p w14:paraId="5F06E6D3">
      <w:pPr>
        <w:pageBreakBefore w:val="0"/>
        <w:kinsoku/>
        <w:overflowPunct/>
        <w:topLinePunct w:val="0"/>
        <w:bidi w:val="0"/>
        <w:spacing w:line="440" w:lineRule="exact"/>
        <w:ind w:firstLine="468" w:firstLineChars="195"/>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72D20370">
      <w:pPr>
        <w:pageBreakBefore w:val="0"/>
        <w:kinsoku/>
        <w:overflowPunct/>
        <w:topLinePunct w:val="0"/>
        <w:bidi w:val="0"/>
        <w:spacing w:line="440" w:lineRule="exact"/>
        <w:ind w:firstLine="468" w:firstLineChars="195"/>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7EF1FD9C">
      <w:pPr>
        <w:pageBreakBefore w:val="0"/>
        <w:kinsoku/>
        <w:overflowPunct/>
        <w:topLinePunct w:val="0"/>
        <w:bidi w:val="0"/>
        <w:spacing w:line="440" w:lineRule="exact"/>
        <w:ind w:left="16" w:firstLine="468" w:firstLineChars="195"/>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7.8.7 暂停施工期间的工程照管</w:t>
      </w:r>
    </w:p>
    <w:p w14:paraId="79E4F1C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暂停施工期间，承包人应负责妥善照管工程并提供安全保障，由此增加的费用由责任方承担。</w:t>
      </w:r>
    </w:p>
    <w:p w14:paraId="4FBC3DDF">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7.8.8 暂停施工的措施</w:t>
      </w:r>
    </w:p>
    <w:p w14:paraId="38DC6FC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暂停施工期间，发包人和承包人均应采取必要的措施确保工程质量及安全，防止因暂停施工扩大损失。</w:t>
      </w:r>
    </w:p>
    <w:p w14:paraId="67D57E8D">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45" w:name="_Toc23132"/>
      <w:bookmarkStart w:id="346" w:name="_Toc31103"/>
      <w:bookmarkStart w:id="347" w:name="_Toc351203551"/>
      <w:r>
        <w:rPr>
          <w:rFonts w:hint="eastAsia" w:ascii="仿宋" w:hAnsi="仿宋" w:eastAsia="仿宋" w:cs="仿宋"/>
          <w:b w:val="0"/>
          <w:color w:val="auto"/>
          <w:sz w:val="24"/>
          <w:szCs w:val="24"/>
        </w:rPr>
        <w:t>7.9提前竣工</w:t>
      </w:r>
      <w:bookmarkEnd w:id="345"/>
      <w:bookmarkEnd w:id="346"/>
      <w:bookmarkEnd w:id="347"/>
    </w:p>
    <w:p w14:paraId="4982EEDF">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1FB7891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7.9.2 发包人要求承包人提前竣工，或承包人提出提前竣工的建议能够给发包人带来效益的，合同当事人可以在专用合同条款中约定提前竣工的奖励。</w:t>
      </w:r>
    </w:p>
    <w:p w14:paraId="4D8815AD">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348" w:name="_Toc351203552"/>
      <w:bookmarkStart w:id="349" w:name="_Toc14913"/>
      <w:bookmarkStart w:id="350" w:name="_Toc16994"/>
      <w:r>
        <w:rPr>
          <w:rFonts w:hint="eastAsia" w:ascii="仿宋" w:hAnsi="仿宋" w:eastAsia="仿宋" w:cs="仿宋"/>
          <w:b w:val="0"/>
          <w:color w:val="auto"/>
          <w:sz w:val="24"/>
          <w:szCs w:val="24"/>
        </w:rPr>
        <w:t>8</w:t>
      </w:r>
      <w:bookmarkStart w:id="351" w:name="_Toc337558776"/>
      <w:bookmarkStart w:id="352" w:name="_Toc296346559"/>
      <w:bookmarkStart w:id="353" w:name="_Toc296503058"/>
      <w:r>
        <w:rPr>
          <w:rFonts w:hint="eastAsia" w:ascii="仿宋" w:hAnsi="仿宋" w:eastAsia="仿宋" w:cs="仿宋"/>
          <w:b w:val="0"/>
          <w:color w:val="auto"/>
          <w:sz w:val="24"/>
          <w:szCs w:val="24"/>
        </w:rPr>
        <w:t>. 材料与设备</w:t>
      </w:r>
      <w:bookmarkEnd w:id="348"/>
      <w:bookmarkEnd w:id="349"/>
      <w:bookmarkEnd w:id="350"/>
    </w:p>
    <w:bookmarkEnd w:id="351"/>
    <w:bookmarkEnd w:id="352"/>
    <w:bookmarkEnd w:id="353"/>
    <w:p w14:paraId="2F7E7D9E">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54" w:name="_Toc351203553"/>
      <w:bookmarkStart w:id="355" w:name="_Toc2417"/>
      <w:bookmarkStart w:id="356" w:name="_Toc1543"/>
      <w:r>
        <w:rPr>
          <w:rFonts w:hint="eastAsia" w:ascii="仿宋" w:hAnsi="仿宋" w:eastAsia="仿宋" w:cs="仿宋"/>
          <w:b w:val="0"/>
          <w:color w:val="auto"/>
          <w:sz w:val="24"/>
          <w:szCs w:val="24"/>
        </w:rPr>
        <w:t>8</w:t>
      </w:r>
      <w:bookmarkStart w:id="357" w:name="_Toc296346560"/>
      <w:bookmarkStart w:id="358" w:name="_Toc337558777"/>
      <w:bookmarkStart w:id="359" w:name="_Toc296503059"/>
      <w:bookmarkStart w:id="360" w:name="_Toc468936960"/>
      <w:r>
        <w:rPr>
          <w:rFonts w:hint="eastAsia" w:ascii="仿宋" w:hAnsi="仿宋" w:eastAsia="仿宋" w:cs="仿宋"/>
          <w:b w:val="0"/>
          <w:color w:val="auto"/>
          <w:sz w:val="24"/>
          <w:szCs w:val="24"/>
        </w:rPr>
        <w:t>.1发包人供应材料与工程设备</w:t>
      </w:r>
      <w:bookmarkEnd w:id="354"/>
      <w:bookmarkEnd w:id="355"/>
      <w:bookmarkEnd w:id="356"/>
    </w:p>
    <w:bookmarkEnd w:id="357"/>
    <w:bookmarkEnd w:id="358"/>
    <w:bookmarkEnd w:id="359"/>
    <w:p w14:paraId="2E216A2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发包人自行供应材料、工程设备的，应在签订合同时在专用合同条款的附件《发包人供应材料设备一览表》中明确材料、工程设备的品种、规格、型号、数量、单价、质量等级和送达地点。</w:t>
      </w:r>
    </w:p>
    <w:p w14:paraId="5651D5D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38AB7A6F">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color w:val="auto"/>
          <w:sz w:val="24"/>
          <w:szCs w:val="24"/>
        </w:rPr>
      </w:pPr>
      <w:bookmarkStart w:id="361" w:name="_Toc18766"/>
      <w:bookmarkStart w:id="362" w:name="_Toc15044"/>
      <w:bookmarkStart w:id="363" w:name="_Toc351203554"/>
      <w:r>
        <w:rPr>
          <w:rFonts w:hint="eastAsia" w:ascii="仿宋" w:hAnsi="仿宋" w:eastAsia="仿宋" w:cs="仿宋"/>
          <w:b w:val="0"/>
          <w:color w:val="auto"/>
          <w:sz w:val="24"/>
          <w:szCs w:val="24"/>
        </w:rPr>
        <w:t>8</w:t>
      </w:r>
      <w:bookmarkStart w:id="364" w:name="_Toc296503060"/>
      <w:bookmarkStart w:id="365" w:name="_Toc296346561"/>
      <w:bookmarkStart w:id="366" w:name="_Toc337558778"/>
      <w:r>
        <w:rPr>
          <w:rFonts w:hint="eastAsia" w:ascii="仿宋" w:hAnsi="仿宋" w:eastAsia="仿宋" w:cs="仿宋"/>
          <w:b w:val="0"/>
          <w:color w:val="auto"/>
          <w:sz w:val="24"/>
          <w:szCs w:val="24"/>
        </w:rPr>
        <w:t>.2承包人采购材料与工程设备</w:t>
      </w:r>
      <w:bookmarkEnd w:id="361"/>
      <w:bookmarkEnd w:id="362"/>
      <w:bookmarkEnd w:id="363"/>
    </w:p>
    <w:bookmarkEnd w:id="364"/>
    <w:bookmarkEnd w:id="365"/>
    <w:bookmarkEnd w:id="366"/>
    <w:p w14:paraId="4D496A3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1A5476BE">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67" w:name="_Toc351203555"/>
      <w:bookmarkStart w:id="368" w:name="_Toc21319"/>
      <w:bookmarkStart w:id="369" w:name="_Toc19918"/>
      <w:r>
        <w:rPr>
          <w:rFonts w:hint="eastAsia" w:ascii="仿宋" w:hAnsi="仿宋" w:eastAsia="仿宋" w:cs="仿宋"/>
          <w:b w:val="0"/>
          <w:color w:val="auto"/>
          <w:sz w:val="24"/>
          <w:szCs w:val="24"/>
        </w:rPr>
        <w:t>8</w:t>
      </w:r>
      <w:bookmarkStart w:id="370" w:name="_Toc337558779"/>
      <w:bookmarkStart w:id="371" w:name="_Toc296503061"/>
      <w:bookmarkStart w:id="372" w:name="_Toc296346562"/>
      <w:r>
        <w:rPr>
          <w:rFonts w:hint="eastAsia" w:ascii="仿宋" w:hAnsi="仿宋" w:eastAsia="仿宋" w:cs="仿宋"/>
          <w:b w:val="0"/>
          <w:color w:val="auto"/>
          <w:sz w:val="24"/>
          <w:szCs w:val="24"/>
        </w:rPr>
        <w:t>.3材料与工程设备的接收与拒收</w:t>
      </w:r>
      <w:bookmarkEnd w:id="367"/>
      <w:bookmarkEnd w:id="368"/>
      <w:bookmarkEnd w:id="369"/>
    </w:p>
    <w:bookmarkEnd w:id="370"/>
    <w:bookmarkEnd w:id="371"/>
    <w:bookmarkEnd w:id="372"/>
    <w:p w14:paraId="6DE9A6E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2A0C4FC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发包人提供的材料和工程设备的规格、数量或质量不符合合同约定的，或因发包人原因导致交货日期延误或交货地点变更等情况的，按照第16.1款〔发包人违约〕约定办理。</w:t>
      </w:r>
    </w:p>
    <w:p w14:paraId="5BBED19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8.3.2 承包人采购的材料和工程设备，应保证产品质量合格，承包人应在材料和工程设备到货前24小时通知监理人检验。承</w:t>
      </w:r>
      <w:bookmarkStart w:id="373" w:name="_Toc250655469"/>
      <w:r>
        <w:rPr>
          <w:rFonts w:hint="eastAsia" w:ascii="仿宋" w:hAnsi="仿宋" w:eastAsia="仿宋" w:cs="仿宋"/>
          <w:color w:val="auto"/>
          <w:kern w:val="0"/>
          <w:sz w:val="24"/>
          <w:szCs w:val="24"/>
        </w:rPr>
        <w:t>包人进行永久设备、材料的制造和生产的，应符合相关质量标准，并向监理人提交材料的样本以及有关资料，并应在使用该材料或工程设备之前获得监理人同意。</w:t>
      </w:r>
    </w:p>
    <w:bookmarkEnd w:id="373"/>
    <w:p w14:paraId="32FFCA8E">
      <w:pPr>
        <w:pageBreakBefore w:val="0"/>
        <w:kinsoku/>
        <w:overflowPunct/>
        <w:topLinePunct w:val="0"/>
        <w:autoSpaceDE w:val="0"/>
        <w:autoSpaceDN w:val="0"/>
        <w:bidi w:val="0"/>
        <w:adjustRightInd w:val="0"/>
        <w:spacing w:line="440" w:lineRule="exact"/>
        <w:ind w:firstLine="360" w:firstLineChars="15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A3D8418">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74" w:name="_Toc32411"/>
      <w:bookmarkStart w:id="375" w:name="_Toc21661"/>
      <w:bookmarkStart w:id="376" w:name="_Toc351203556"/>
      <w:r>
        <w:rPr>
          <w:rFonts w:hint="eastAsia" w:ascii="仿宋" w:hAnsi="仿宋" w:eastAsia="仿宋" w:cs="仿宋"/>
          <w:b w:val="0"/>
          <w:color w:val="auto"/>
          <w:sz w:val="24"/>
          <w:szCs w:val="24"/>
        </w:rPr>
        <w:t>8</w:t>
      </w:r>
      <w:bookmarkStart w:id="377" w:name="_Toc337558780"/>
      <w:bookmarkStart w:id="378" w:name="_Toc296346563"/>
      <w:bookmarkStart w:id="379" w:name="_Toc296503062"/>
      <w:r>
        <w:rPr>
          <w:rFonts w:hint="eastAsia" w:ascii="仿宋" w:hAnsi="仿宋" w:eastAsia="仿宋" w:cs="仿宋"/>
          <w:b w:val="0"/>
          <w:color w:val="auto"/>
          <w:sz w:val="24"/>
          <w:szCs w:val="24"/>
        </w:rPr>
        <w:t>.4材料与工程设备的保管与使用</w:t>
      </w:r>
      <w:bookmarkEnd w:id="374"/>
      <w:bookmarkEnd w:id="375"/>
      <w:bookmarkEnd w:id="376"/>
    </w:p>
    <w:bookmarkEnd w:id="377"/>
    <w:bookmarkEnd w:id="378"/>
    <w:bookmarkEnd w:id="379"/>
    <w:p w14:paraId="5008312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8.4.1 发包人供应</w:t>
      </w:r>
      <w:r>
        <w:rPr>
          <w:rFonts w:hint="eastAsia" w:ascii="仿宋" w:hAnsi="仿宋" w:eastAsia="仿宋" w:cs="仿宋"/>
          <w:color w:val="auto"/>
          <w:sz w:val="24"/>
          <w:szCs w:val="24"/>
        </w:rPr>
        <w:t>材料与</w:t>
      </w:r>
      <w:r>
        <w:rPr>
          <w:rFonts w:hint="eastAsia" w:ascii="仿宋" w:hAnsi="仿宋" w:eastAsia="仿宋" w:cs="仿宋"/>
          <w:color w:val="auto"/>
          <w:kern w:val="0"/>
          <w:sz w:val="24"/>
          <w:szCs w:val="24"/>
        </w:rPr>
        <w:t>工程</w:t>
      </w:r>
      <w:r>
        <w:rPr>
          <w:rFonts w:hint="eastAsia" w:ascii="仿宋" w:hAnsi="仿宋" w:eastAsia="仿宋" w:cs="仿宋"/>
          <w:color w:val="auto"/>
          <w:sz w:val="24"/>
          <w:szCs w:val="24"/>
        </w:rPr>
        <w:t>设备的保管与使用</w:t>
      </w:r>
    </w:p>
    <w:p w14:paraId="06AE2A1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42D1A20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发包人供应的材料和工程设备使用前，由承包人负责检验，检验费用由发包人承担，不合格的不得使用。</w:t>
      </w:r>
    </w:p>
    <w:p w14:paraId="5E91E31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8.4.2 承包人采购</w:t>
      </w:r>
      <w:r>
        <w:rPr>
          <w:rFonts w:hint="eastAsia" w:ascii="仿宋" w:hAnsi="仿宋" w:eastAsia="仿宋" w:cs="仿宋"/>
          <w:color w:val="auto"/>
          <w:sz w:val="24"/>
          <w:szCs w:val="24"/>
        </w:rPr>
        <w:t>材料与</w:t>
      </w:r>
      <w:r>
        <w:rPr>
          <w:rFonts w:hint="eastAsia" w:ascii="仿宋" w:hAnsi="仿宋" w:eastAsia="仿宋" w:cs="仿宋"/>
          <w:color w:val="auto"/>
          <w:kern w:val="0"/>
          <w:sz w:val="24"/>
          <w:szCs w:val="24"/>
        </w:rPr>
        <w:t>工程</w:t>
      </w:r>
      <w:r>
        <w:rPr>
          <w:rFonts w:hint="eastAsia" w:ascii="仿宋" w:hAnsi="仿宋" w:eastAsia="仿宋" w:cs="仿宋"/>
          <w:color w:val="auto"/>
          <w:sz w:val="24"/>
          <w:szCs w:val="24"/>
        </w:rPr>
        <w:t>设备的保管与使用</w:t>
      </w:r>
    </w:p>
    <w:p w14:paraId="5AB9156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5E491E1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发包人或监理人发现承包人使用不符合设计或有关标准要求的材料和工程设备时，有权要求承包人进行修复、拆除或重新采购，由此增加的费用和（或）延误的工期，由承包人承担。</w:t>
      </w:r>
    </w:p>
    <w:p w14:paraId="25EFEB86">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80" w:name="_Toc351203557"/>
      <w:bookmarkStart w:id="381" w:name="_Toc17754"/>
      <w:bookmarkStart w:id="382" w:name="_Toc28439"/>
      <w:r>
        <w:rPr>
          <w:rFonts w:hint="eastAsia" w:ascii="仿宋" w:hAnsi="仿宋" w:eastAsia="仿宋" w:cs="仿宋"/>
          <w:b w:val="0"/>
          <w:color w:val="auto"/>
          <w:sz w:val="24"/>
          <w:szCs w:val="24"/>
        </w:rPr>
        <w:t>8.5禁止使用不合格的材料和工程设备</w:t>
      </w:r>
      <w:bookmarkEnd w:id="380"/>
      <w:bookmarkEnd w:id="381"/>
      <w:bookmarkEnd w:id="382"/>
    </w:p>
    <w:p w14:paraId="1175EE8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8.5.1 监理人有权拒绝承包人提供的不合格材料或工程设备，并要求承包人立即进行更换。监理人应在更换后再次进行检查和检验，由此增加的费用和（或）延误的工期由承包人承担。</w:t>
      </w:r>
    </w:p>
    <w:p w14:paraId="581B0FA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8.5.2 监理人发现承包人使用了不合格的材料和工程设备，承包人应按照监理人的指示立即改正，并禁止在工程中继续使用不合格的材料和工程设备。</w:t>
      </w:r>
    </w:p>
    <w:p w14:paraId="007EDE7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8.5.3 发包人提供的材料或工程设备不符合合同要求的，承包人有权拒绝，并可要求发包人更换，由此增加的费用和（或）延误的工期由发包人承担，并支付承包人合理的利润。</w:t>
      </w:r>
    </w:p>
    <w:p w14:paraId="5863170D">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83" w:name="_Toc351203558"/>
      <w:bookmarkStart w:id="384" w:name="_Toc21716"/>
      <w:bookmarkStart w:id="385" w:name="_Toc7087"/>
      <w:r>
        <w:rPr>
          <w:rFonts w:hint="eastAsia" w:ascii="仿宋" w:hAnsi="仿宋" w:eastAsia="仿宋" w:cs="仿宋"/>
          <w:b w:val="0"/>
          <w:color w:val="auto"/>
          <w:sz w:val="24"/>
          <w:szCs w:val="24"/>
        </w:rPr>
        <w:t>8.6 样品</w:t>
      </w:r>
      <w:bookmarkEnd w:id="383"/>
      <w:bookmarkEnd w:id="384"/>
      <w:bookmarkEnd w:id="385"/>
    </w:p>
    <w:p w14:paraId="12E072B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8.6.1</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样品的报送与封存</w:t>
      </w:r>
    </w:p>
    <w:p w14:paraId="31864AF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需要承包人报送样品的材料或工程设备，样品的种类、名称、规格、数量等要求均应在专用合同条款中约定。样品的报送程序如下：</w:t>
      </w:r>
    </w:p>
    <w:p w14:paraId="2C28D7F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24EF275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0051592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（3）经发包人和监理人审批确认的样品应按约定的方法封样，封存的样品作为检验工程相关部分的标准之一。承包人在施工过程中不得使用与样品不符的材料或工程设备。</w:t>
      </w:r>
    </w:p>
    <w:p w14:paraId="47165CB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5E14FC5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8.6.2 样品的保管</w:t>
      </w:r>
    </w:p>
    <w:p w14:paraId="4A53F68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经批准的样品应由监理人负责封存于现场，承包人应在现场为保存样品提供适当和固定的场所并保持适当和良好的存储环境条件。</w:t>
      </w:r>
    </w:p>
    <w:p w14:paraId="594B46D9">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86" w:name="_Toc28100"/>
      <w:bookmarkStart w:id="387" w:name="_Toc351203559"/>
      <w:bookmarkStart w:id="388" w:name="_Toc23409"/>
      <w:r>
        <w:rPr>
          <w:rFonts w:hint="eastAsia" w:ascii="仿宋" w:hAnsi="仿宋" w:eastAsia="仿宋" w:cs="仿宋"/>
          <w:b w:val="0"/>
          <w:color w:val="auto"/>
          <w:sz w:val="24"/>
          <w:szCs w:val="24"/>
        </w:rPr>
        <w:t>8.7材料与工程设备的替代</w:t>
      </w:r>
      <w:bookmarkEnd w:id="386"/>
      <w:bookmarkEnd w:id="387"/>
      <w:bookmarkEnd w:id="388"/>
    </w:p>
    <w:p w14:paraId="5C7E6B7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8.7.1 出现下列情况需要使用替代材料和工程设备的，承包人应按照第8.7.2项约定的程序执行：</w:t>
      </w:r>
    </w:p>
    <w:p w14:paraId="14031A3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（1）基准日期后生效的法律规定禁止使用的；</w:t>
      </w:r>
    </w:p>
    <w:p w14:paraId="4F006F5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（2）发包人要求使用替代品的；</w:t>
      </w:r>
    </w:p>
    <w:p w14:paraId="0DF9459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（3）因其他原因必须使用替代品的。</w:t>
      </w:r>
    </w:p>
    <w:p w14:paraId="673C968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8.7.2 承包人应在使用替代材料和工程设备28天前书面通知监理人，并附下列文件：</w:t>
      </w:r>
    </w:p>
    <w:p w14:paraId="403FF0C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（1）被替代的材料和工程设备的名称、数量、规格、型号、品牌、性能、价格及其他相关资料；</w:t>
      </w:r>
    </w:p>
    <w:p w14:paraId="7062C53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（2）替代品的名称、数量、规格、型号、品牌、性能、价格及其他相关资料；</w:t>
      </w:r>
    </w:p>
    <w:p w14:paraId="38063F9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（3）替代品与被替代产品之间的差异以及使用替代品可能对工程产生的影响；</w:t>
      </w:r>
    </w:p>
    <w:p w14:paraId="00C98AD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（4）替代品与被替代产品的价格差异；</w:t>
      </w:r>
    </w:p>
    <w:p w14:paraId="6552C69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（5）使用替代品的理由和原因说明；</w:t>
      </w:r>
    </w:p>
    <w:p w14:paraId="3827411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（6）监理人要求的其他文件。</w:t>
      </w:r>
    </w:p>
    <w:p w14:paraId="4C114E2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监理人应在收到通知后14天内向承包人发出经发包人签认的书面指示；监理人逾期发出书面指示的，视为发包人和监理人同意使用替代品。</w:t>
      </w:r>
    </w:p>
    <w:p w14:paraId="7150F5B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56D950D9">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89" w:name="_Toc18313"/>
      <w:bookmarkStart w:id="390" w:name="_Toc19577"/>
      <w:bookmarkStart w:id="391" w:name="_Toc351203560"/>
      <w:r>
        <w:rPr>
          <w:rFonts w:hint="eastAsia" w:ascii="仿宋" w:hAnsi="仿宋" w:eastAsia="仿宋" w:cs="仿宋"/>
          <w:b w:val="0"/>
          <w:color w:val="auto"/>
          <w:sz w:val="24"/>
          <w:szCs w:val="24"/>
        </w:rPr>
        <w:t>8.8施工设备和临时设施</w:t>
      </w:r>
      <w:bookmarkEnd w:id="389"/>
      <w:bookmarkEnd w:id="390"/>
      <w:bookmarkEnd w:id="391"/>
    </w:p>
    <w:p w14:paraId="62DE26C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8.8.1 承包人提供的施工设备和临时设施</w:t>
      </w:r>
    </w:p>
    <w:p w14:paraId="39F2A57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4398D82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除专用合同条款另有约定外，承包人应自行承担修建临时设施的费用，需要临时占地的，应由发包人办理申请手续并承担相应费用。</w:t>
      </w:r>
    </w:p>
    <w:p w14:paraId="7C12DFE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8.8.2发包人提供的施工设备和临时设施</w:t>
      </w:r>
    </w:p>
    <w:p w14:paraId="76209D9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发包人提供的施工设备或临时设施在专用合同条款中约定。</w:t>
      </w:r>
    </w:p>
    <w:p w14:paraId="24157E2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8.8.3要求承包人增加或更换施工设备</w:t>
      </w:r>
    </w:p>
    <w:p w14:paraId="786087D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承包人使用的施工设备不能满足合同进度计划和（或）质量要求时，监理人有权要求承包人增加或更换施工设备，承包人应及时增加或更换，由此增加的费用和（或）延误的工期由承包人承担。</w:t>
      </w:r>
    </w:p>
    <w:p w14:paraId="63C5A0E3">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392" w:name="_Toc351203561"/>
      <w:bookmarkStart w:id="393" w:name="_Toc9640"/>
      <w:bookmarkStart w:id="394" w:name="_Toc7279"/>
      <w:r>
        <w:rPr>
          <w:rFonts w:hint="eastAsia" w:ascii="仿宋" w:hAnsi="仿宋" w:eastAsia="仿宋" w:cs="仿宋"/>
          <w:b w:val="0"/>
          <w:color w:val="auto"/>
          <w:sz w:val="24"/>
          <w:szCs w:val="24"/>
        </w:rPr>
        <w:t>8</w:t>
      </w:r>
      <w:bookmarkStart w:id="395" w:name="_Toc337558781"/>
      <w:bookmarkStart w:id="396" w:name="_Toc296503063"/>
      <w:bookmarkStart w:id="397" w:name="_Toc296346564"/>
      <w:r>
        <w:rPr>
          <w:rFonts w:hint="eastAsia" w:ascii="仿宋" w:hAnsi="仿宋" w:eastAsia="仿宋" w:cs="仿宋"/>
          <w:b w:val="0"/>
          <w:color w:val="auto"/>
          <w:sz w:val="24"/>
          <w:szCs w:val="24"/>
        </w:rPr>
        <w:t>.9材料与设备专用</w:t>
      </w:r>
      <w:bookmarkEnd w:id="392"/>
      <w:r>
        <w:rPr>
          <w:rFonts w:hint="eastAsia" w:ascii="仿宋" w:hAnsi="仿宋" w:eastAsia="仿宋" w:cs="仿宋"/>
          <w:b w:val="0"/>
          <w:color w:val="auto"/>
          <w:sz w:val="24"/>
          <w:szCs w:val="24"/>
        </w:rPr>
        <w:t>要求</w:t>
      </w:r>
      <w:bookmarkEnd w:id="393"/>
      <w:bookmarkEnd w:id="394"/>
    </w:p>
    <w:bookmarkEnd w:id="395"/>
    <w:bookmarkEnd w:id="396"/>
    <w:bookmarkEnd w:id="397"/>
    <w:p w14:paraId="3F978B7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360"/>
      <w:r>
        <w:rPr>
          <w:rFonts w:hint="eastAsia" w:ascii="仿宋" w:hAnsi="仿宋" w:eastAsia="仿宋" w:cs="仿宋"/>
          <w:color w:val="auto"/>
          <w:kern w:val="0"/>
          <w:sz w:val="24"/>
          <w:szCs w:val="24"/>
        </w:rPr>
        <w:t>经发包人批准，承包人可以根据施工进度计划撤走闲置的施工设备和其他物品。</w:t>
      </w:r>
    </w:p>
    <w:p w14:paraId="5F19CF7F">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398" w:name="_Toc7606"/>
      <w:bookmarkStart w:id="399" w:name="_Toc351203562"/>
      <w:bookmarkStart w:id="400" w:name="_Toc18252"/>
      <w:r>
        <w:rPr>
          <w:rFonts w:hint="eastAsia" w:ascii="仿宋" w:hAnsi="仿宋" w:eastAsia="仿宋" w:cs="仿宋"/>
          <w:b w:val="0"/>
          <w:color w:val="auto"/>
          <w:sz w:val="24"/>
          <w:szCs w:val="24"/>
        </w:rPr>
        <w:t>9</w:t>
      </w:r>
      <w:bookmarkStart w:id="401" w:name="_Toc337558782"/>
      <w:bookmarkStart w:id="402" w:name="_Toc296503083"/>
      <w:bookmarkStart w:id="403" w:name="_Toc296346584"/>
      <w:r>
        <w:rPr>
          <w:rFonts w:hint="eastAsia" w:ascii="仿宋" w:hAnsi="仿宋" w:eastAsia="仿宋" w:cs="仿宋"/>
          <w:b w:val="0"/>
          <w:color w:val="auto"/>
          <w:sz w:val="24"/>
          <w:szCs w:val="24"/>
        </w:rPr>
        <w:t>. 试验与检验</w:t>
      </w:r>
      <w:bookmarkEnd w:id="398"/>
      <w:bookmarkEnd w:id="399"/>
      <w:bookmarkEnd w:id="400"/>
    </w:p>
    <w:bookmarkEnd w:id="401"/>
    <w:p w14:paraId="407E20DB">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04" w:name="_Toc351203563"/>
      <w:bookmarkStart w:id="405" w:name="_Toc6526"/>
      <w:bookmarkStart w:id="406" w:name="_Toc20844"/>
      <w:r>
        <w:rPr>
          <w:rFonts w:hint="eastAsia" w:ascii="仿宋" w:hAnsi="仿宋" w:eastAsia="仿宋" w:cs="仿宋"/>
          <w:b w:val="0"/>
          <w:color w:val="auto"/>
          <w:sz w:val="24"/>
          <w:szCs w:val="24"/>
        </w:rPr>
        <w:t>9</w:t>
      </w:r>
      <w:bookmarkStart w:id="407" w:name="_Toc337558783"/>
      <w:r>
        <w:rPr>
          <w:rFonts w:hint="eastAsia" w:ascii="仿宋" w:hAnsi="仿宋" w:eastAsia="仿宋" w:cs="仿宋"/>
          <w:b w:val="0"/>
          <w:color w:val="auto"/>
          <w:sz w:val="24"/>
          <w:szCs w:val="24"/>
        </w:rPr>
        <w:t>.1试验设备与试验人员</w:t>
      </w:r>
      <w:bookmarkEnd w:id="404"/>
      <w:bookmarkEnd w:id="405"/>
      <w:bookmarkEnd w:id="406"/>
    </w:p>
    <w:bookmarkEnd w:id="407"/>
    <w:p w14:paraId="5555BEFF">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6A0EA52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9.1.2 承包人应按专用合同条款的约定提供试验设备、取样装置、试验场所和试验条件，并向监理人提交相应进场计划表。</w:t>
      </w:r>
    </w:p>
    <w:p w14:paraId="1125914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承包人配置的试验设备要符合相应试验规程的要求并经过具有资质的检测单位检测，且在正式使用该试验设备前，需要经过监理人与承包人共同校定。</w:t>
      </w:r>
    </w:p>
    <w:p w14:paraId="41BA103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9.1.3 承包人应向监理人提交试验人员的名单及其岗位、资格等证明资料，试验人员必须能够熟练进行相应的检测试验，承包人对试验人员的试验程序和试验结果的正确性负责。</w:t>
      </w:r>
    </w:p>
    <w:p w14:paraId="01FB49A9">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08" w:name="_Toc351203564"/>
      <w:bookmarkStart w:id="409" w:name="_Toc31806"/>
      <w:bookmarkStart w:id="410" w:name="_Toc11924"/>
      <w:r>
        <w:rPr>
          <w:rFonts w:hint="eastAsia" w:ascii="仿宋" w:hAnsi="仿宋" w:eastAsia="仿宋" w:cs="仿宋"/>
          <w:b w:val="0"/>
          <w:color w:val="auto"/>
          <w:sz w:val="24"/>
          <w:szCs w:val="24"/>
        </w:rPr>
        <w:t>9</w:t>
      </w:r>
      <w:bookmarkStart w:id="411" w:name="_Toc337558784"/>
      <w:r>
        <w:rPr>
          <w:rFonts w:hint="eastAsia" w:ascii="仿宋" w:hAnsi="仿宋" w:eastAsia="仿宋" w:cs="仿宋"/>
          <w:b w:val="0"/>
          <w:color w:val="auto"/>
          <w:sz w:val="24"/>
          <w:szCs w:val="24"/>
        </w:rPr>
        <w:t>.2取样</w:t>
      </w:r>
      <w:bookmarkEnd w:id="408"/>
      <w:bookmarkEnd w:id="409"/>
      <w:bookmarkEnd w:id="410"/>
    </w:p>
    <w:bookmarkEnd w:id="411"/>
    <w:p w14:paraId="1196544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试验属于自检性质的，承包人可以单独取样。试验属于监理人抽检性质的，可由监理人取样，也可由承包人的试验人员在监理人的监督下取样。</w:t>
      </w:r>
    </w:p>
    <w:p w14:paraId="6E00B45E">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12" w:name="_Toc351203565"/>
      <w:bookmarkStart w:id="413" w:name="_Toc2674"/>
      <w:bookmarkStart w:id="414" w:name="_Toc4844"/>
      <w:r>
        <w:rPr>
          <w:rFonts w:hint="eastAsia" w:ascii="仿宋" w:hAnsi="仿宋" w:eastAsia="仿宋" w:cs="仿宋"/>
          <w:b w:val="0"/>
          <w:color w:val="auto"/>
          <w:sz w:val="24"/>
          <w:szCs w:val="24"/>
        </w:rPr>
        <w:t>9</w:t>
      </w:r>
      <w:bookmarkStart w:id="415" w:name="_Toc337558785"/>
      <w:r>
        <w:rPr>
          <w:rFonts w:hint="eastAsia" w:ascii="仿宋" w:hAnsi="仿宋" w:eastAsia="仿宋" w:cs="仿宋"/>
          <w:b w:val="0"/>
          <w:color w:val="auto"/>
          <w:sz w:val="24"/>
          <w:szCs w:val="24"/>
        </w:rPr>
        <w:t>.3材料、工程设备和工程的试验和检验</w:t>
      </w:r>
      <w:bookmarkEnd w:id="412"/>
      <w:bookmarkEnd w:id="413"/>
      <w:bookmarkEnd w:id="414"/>
    </w:p>
    <w:bookmarkEnd w:id="415"/>
    <w:p w14:paraId="30DF727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E1D6F7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156384D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DD003D7">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16" w:name="_Toc18506"/>
      <w:bookmarkStart w:id="417" w:name="_Toc351203566"/>
      <w:bookmarkStart w:id="418" w:name="_Toc28999"/>
      <w:r>
        <w:rPr>
          <w:rFonts w:hint="eastAsia" w:ascii="仿宋" w:hAnsi="仿宋" w:eastAsia="仿宋" w:cs="仿宋"/>
          <w:b w:val="0"/>
          <w:color w:val="auto"/>
          <w:sz w:val="24"/>
          <w:szCs w:val="24"/>
        </w:rPr>
        <w:t>9</w:t>
      </w:r>
      <w:bookmarkStart w:id="419" w:name="_Toc337558786"/>
      <w:r>
        <w:rPr>
          <w:rFonts w:hint="eastAsia" w:ascii="仿宋" w:hAnsi="仿宋" w:eastAsia="仿宋" w:cs="仿宋"/>
          <w:b w:val="0"/>
          <w:color w:val="auto"/>
          <w:sz w:val="24"/>
          <w:szCs w:val="24"/>
        </w:rPr>
        <w:t>.4现场工艺试验</w:t>
      </w:r>
      <w:bookmarkEnd w:id="416"/>
      <w:bookmarkEnd w:id="417"/>
      <w:bookmarkEnd w:id="418"/>
    </w:p>
    <w:bookmarkEnd w:id="419"/>
    <w:p w14:paraId="7F5F8B7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承包人应按合同约定或监理人指示进行现场工艺试验。对大型的现场工艺试验，监理人认为必要时，承包人应根据监理人提出的工艺试验要求，编制工艺试验措施计划，报送监理人审查。</w:t>
      </w:r>
    </w:p>
    <w:p w14:paraId="4DA1FEBA">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420" w:name="_Toc22551"/>
      <w:bookmarkStart w:id="421" w:name="_Toc4468"/>
      <w:bookmarkStart w:id="422" w:name="_Toc351203567"/>
      <w:r>
        <w:rPr>
          <w:rFonts w:hint="eastAsia" w:ascii="仿宋" w:hAnsi="仿宋" w:eastAsia="仿宋" w:cs="仿宋"/>
          <w:b w:val="0"/>
          <w:color w:val="auto"/>
          <w:sz w:val="24"/>
          <w:szCs w:val="24"/>
        </w:rPr>
        <w:t>1</w:t>
      </w:r>
      <w:bookmarkStart w:id="423" w:name="_Toc337558787"/>
      <w:r>
        <w:rPr>
          <w:rFonts w:hint="eastAsia" w:ascii="仿宋" w:hAnsi="仿宋" w:eastAsia="仿宋" w:cs="仿宋"/>
          <w:b w:val="0"/>
          <w:color w:val="auto"/>
          <w:sz w:val="24"/>
          <w:szCs w:val="24"/>
        </w:rPr>
        <w:t>0. 变更</w:t>
      </w:r>
      <w:bookmarkEnd w:id="402"/>
      <w:bookmarkEnd w:id="403"/>
      <w:bookmarkEnd w:id="420"/>
      <w:bookmarkEnd w:id="421"/>
      <w:bookmarkEnd w:id="422"/>
    </w:p>
    <w:bookmarkEnd w:id="423"/>
    <w:p w14:paraId="0BD92636">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24" w:name="_Toc22497"/>
      <w:bookmarkStart w:id="425" w:name="_Toc351203568"/>
      <w:bookmarkStart w:id="426" w:name="_Toc21409"/>
      <w:r>
        <w:rPr>
          <w:rFonts w:hint="eastAsia" w:ascii="仿宋" w:hAnsi="仿宋" w:eastAsia="仿宋" w:cs="仿宋"/>
          <w:b w:val="0"/>
          <w:color w:val="auto"/>
          <w:sz w:val="24"/>
          <w:szCs w:val="24"/>
        </w:rPr>
        <w:t>1</w:t>
      </w:r>
      <w:bookmarkStart w:id="427" w:name="_Toc296346585"/>
      <w:bookmarkStart w:id="428" w:name="_Toc296503084"/>
      <w:bookmarkStart w:id="429" w:name="_Toc337558788"/>
      <w:r>
        <w:rPr>
          <w:rFonts w:hint="eastAsia" w:ascii="仿宋" w:hAnsi="仿宋" w:eastAsia="仿宋" w:cs="仿宋"/>
          <w:b w:val="0"/>
          <w:color w:val="auto"/>
          <w:sz w:val="24"/>
          <w:szCs w:val="24"/>
        </w:rPr>
        <w:t>0.1变更的范围</w:t>
      </w:r>
      <w:bookmarkEnd w:id="424"/>
      <w:bookmarkEnd w:id="425"/>
      <w:bookmarkEnd w:id="426"/>
    </w:p>
    <w:bookmarkEnd w:id="427"/>
    <w:bookmarkEnd w:id="428"/>
    <w:bookmarkEnd w:id="429"/>
    <w:p w14:paraId="2EEE52B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除专用合同条款另有约定外，合同履行过程中发生以下情形的，应按照本条约定进行变更：</w:t>
      </w:r>
    </w:p>
    <w:p w14:paraId="2051836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（1）增加或减少合同中任何工作，或追加额外的工作；</w:t>
      </w:r>
    </w:p>
    <w:p w14:paraId="4523580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（2）取消合同中任何工作，但转由他人实施的工作除外；</w:t>
      </w:r>
    </w:p>
    <w:p w14:paraId="4E55DEF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（3）改变合同中任何工作的质量标准或其他特性；</w:t>
      </w:r>
    </w:p>
    <w:p w14:paraId="7AA8102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（4）改变工程的基线、标高、位置和尺寸；</w:t>
      </w:r>
    </w:p>
    <w:p w14:paraId="31D9A0D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（5）改变工程的时间安排或实施顺序。</w:t>
      </w:r>
    </w:p>
    <w:p w14:paraId="1B2A5C35">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30" w:name="_Toc2912"/>
      <w:bookmarkStart w:id="431" w:name="_Toc351203569"/>
      <w:bookmarkStart w:id="432" w:name="_Toc17837"/>
      <w:r>
        <w:rPr>
          <w:rFonts w:hint="eastAsia" w:ascii="仿宋" w:hAnsi="仿宋" w:eastAsia="仿宋" w:cs="仿宋"/>
          <w:b w:val="0"/>
          <w:color w:val="auto"/>
          <w:sz w:val="24"/>
          <w:szCs w:val="24"/>
        </w:rPr>
        <w:t>1</w:t>
      </w:r>
      <w:bookmarkStart w:id="433" w:name="_Toc337558789"/>
      <w:bookmarkStart w:id="434" w:name="_Toc296503085"/>
      <w:bookmarkStart w:id="435" w:name="_Toc296346586"/>
      <w:r>
        <w:rPr>
          <w:rFonts w:hint="eastAsia" w:ascii="仿宋" w:hAnsi="仿宋" w:eastAsia="仿宋" w:cs="仿宋"/>
          <w:b w:val="0"/>
          <w:color w:val="auto"/>
          <w:sz w:val="24"/>
          <w:szCs w:val="24"/>
        </w:rPr>
        <w:t>0.2变更权</w:t>
      </w:r>
      <w:bookmarkEnd w:id="430"/>
      <w:bookmarkEnd w:id="431"/>
      <w:bookmarkEnd w:id="432"/>
    </w:p>
    <w:bookmarkEnd w:id="433"/>
    <w:bookmarkEnd w:id="434"/>
    <w:bookmarkEnd w:id="435"/>
    <w:p w14:paraId="2AD5029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E46C40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涉及设计变更的，应由设计人提供变更后的图纸和说明。如变更超过原设计标准或批准的建设规模时，发包人应及时办理规划、设计变更等审批手续。</w:t>
      </w:r>
    </w:p>
    <w:p w14:paraId="6D7BF43A">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36" w:name="_Toc9084"/>
      <w:bookmarkStart w:id="437" w:name="_Toc351203570"/>
      <w:bookmarkStart w:id="438" w:name="_Toc22340"/>
      <w:r>
        <w:rPr>
          <w:rFonts w:hint="eastAsia" w:ascii="仿宋" w:hAnsi="仿宋" w:eastAsia="仿宋" w:cs="仿宋"/>
          <w:b w:val="0"/>
          <w:color w:val="auto"/>
          <w:sz w:val="24"/>
          <w:szCs w:val="24"/>
        </w:rPr>
        <w:t>1</w:t>
      </w:r>
      <w:bookmarkStart w:id="439" w:name="_Toc296346587"/>
      <w:bookmarkStart w:id="440" w:name="_Toc296503086"/>
      <w:bookmarkStart w:id="441" w:name="_Toc337558790"/>
      <w:r>
        <w:rPr>
          <w:rFonts w:hint="eastAsia" w:ascii="仿宋" w:hAnsi="仿宋" w:eastAsia="仿宋" w:cs="仿宋"/>
          <w:b w:val="0"/>
          <w:color w:val="auto"/>
          <w:sz w:val="24"/>
          <w:szCs w:val="24"/>
        </w:rPr>
        <w:t>0.3变更程序</w:t>
      </w:r>
      <w:bookmarkEnd w:id="436"/>
      <w:bookmarkEnd w:id="437"/>
      <w:bookmarkEnd w:id="438"/>
    </w:p>
    <w:bookmarkEnd w:id="439"/>
    <w:bookmarkEnd w:id="440"/>
    <w:bookmarkEnd w:id="441"/>
    <w:p w14:paraId="1536869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10</w:t>
      </w:r>
      <w:r>
        <w:rPr>
          <w:rFonts w:hint="eastAsia" w:ascii="仿宋" w:hAnsi="仿宋" w:eastAsia="仿宋" w:cs="仿宋"/>
          <w:color w:val="auto"/>
          <w:kern w:val="0"/>
          <w:sz w:val="24"/>
          <w:szCs w:val="24"/>
        </w:rPr>
        <w:t>.3.1 发包人提出变更</w:t>
      </w:r>
    </w:p>
    <w:p w14:paraId="7FD2575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发包人提出变更的，应通过监理人向承包人发出变更指示，变更指示应说明计划变更的工程范围和变更的内容。</w:t>
      </w:r>
    </w:p>
    <w:p w14:paraId="5DD6759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10</w:t>
      </w:r>
      <w:r>
        <w:rPr>
          <w:rFonts w:hint="eastAsia" w:ascii="仿宋" w:hAnsi="仿宋" w:eastAsia="仿宋" w:cs="仿宋"/>
          <w:color w:val="auto"/>
          <w:kern w:val="0"/>
          <w:sz w:val="24"/>
          <w:szCs w:val="24"/>
        </w:rPr>
        <w:t>.3.2 监理人提出变更建议</w:t>
      </w:r>
    </w:p>
    <w:p w14:paraId="6A8F9DC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16FC6E3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10.3.3 变更执行</w:t>
      </w:r>
    </w:p>
    <w:p w14:paraId="19C4F5A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5E9F647C">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42" w:name="_Toc8653"/>
      <w:bookmarkStart w:id="443" w:name="_Toc351203571"/>
      <w:bookmarkStart w:id="444" w:name="_Toc30463"/>
      <w:r>
        <w:rPr>
          <w:rFonts w:hint="eastAsia" w:ascii="仿宋" w:hAnsi="仿宋" w:eastAsia="仿宋" w:cs="仿宋"/>
          <w:b w:val="0"/>
          <w:color w:val="auto"/>
          <w:sz w:val="24"/>
          <w:szCs w:val="24"/>
        </w:rPr>
        <w:t>1</w:t>
      </w:r>
      <w:bookmarkStart w:id="445" w:name="_Toc296503087"/>
      <w:bookmarkStart w:id="446" w:name="_Toc296346588"/>
      <w:bookmarkStart w:id="447" w:name="_Toc337558791"/>
      <w:r>
        <w:rPr>
          <w:rFonts w:hint="eastAsia" w:ascii="仿宋" w:hAnsi="仿宋" w:eastAsia="仿宋" w:cs="仿宋"/>
          <w:b w:val="0"/>
          <w:color w:val="auto"/>
          <w:sz w:val="24"/>
          <w:szCs w:val="24"/>
        </w:rPr>
        <w:t>0.4变更估价</w:t>
      </w:r>
      <w:bookmarkEnd w:id="442"/>
      <w:bookmarkEnd w:id="443"/>
      <w:bookmarkEnd w:id="444"/>
    </w:p>
    <w:bookmarkEnd w:id="445"/>
    <w:bookmarkEnd w:id="446"/>
    <w:bookmarkEnd w:id="447"/>
    <w:p w14:paraId="7D98639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10.4.1 变更估价原则</w:t>
      </w:r>
    </w:p>
    <w:p w14:paraId="4C00ACA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除专用合同条款另有约定外，变更估价按照本款约定处理：</w:t>
      </w:r>
    </w:p>
    <w:p w14:paraId="59A573B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（1）已标价工程量清单或预算书有相同项目的，按照相同项目单价认定；</w:t>
      </w:r>
    </w:p>
    <w:p w14:paraId="7FC333C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（2）已标价工程量清单或预算书中无相同项目，但有类似项目的，参照类似项目的单价认定；</w:t>
      </w:r>
    </w:p>
    <w:p w14:paraId="76C142C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5F77408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10.4.2 变更估价程序</w:t>
      </w:r>
    </w:p>
    <w:p w14:paraId="39C1C1E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46A2667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因变更引起的价格调整应计入最近一期的进度款中支付。</w:t>
      </w:r>
    </w:p>
    <w:p w14:paraId="29CDBC11">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48" w:name="_Toc1246"/>
      <w:bookmarkStart w:id="449" w:name="_Toc10748"/>
      <w:bookmarkStart w:id="450" w:name="_Toc351203572"/>
      <w:r>
        <w:rPr>
          <w:rFonts w:hint="eastAsia" w:ascii="仿宋" w:hAnsi="仿宋" w:eastAsia="仿宋" w:cs="仿宋"/>
          <w:b w:val="0"/>
          <w:color w:val="auto"/>
          <w:sz w:val="24"/>
          <w:szCs w:val="24"/>
        </w:rPr>
        <w:t>1</w:t>
      </w:r>
      <w:bookmarkStart w:id="451" w:name="_Toc337558792"/>
      <w:bookmarkStart w:id="452" w:name="_Toc296346595"/>
      <w:bookmarkStart w:id="453" w:name="_Toc296503094"/>
      <w:r>
        <w:rPr>
          <w:rFonts w:hint="eastAsia" w:ascii="仿宋" w:hAnsi="仿宋" w:eastAsia="仿宋" w:cs="仿宋"/>
          <w:b w:val="0"/>
          <w:color w:val="auto"/>
          <w:sz w:val="24"/>
          <w:szCs w:val="24"/>
        </w:rPr>
        <w:t>0.5承包人的合理化建议</w:t>
      </w:r>
      <w:bookmarkEnd w:id="448"/>
      <w:bookmarkEnd w:id="449"/>
      <w:bookmarkEnd w:id="450"/>
    </w:p>
    <w:bookmarkEnd w:id="451"/>
    <w:bookmarkEnd w:id="452"/>
    <w:bookmarkEnd w:id="453"/>
    <w:p w14:paraId="1A8E89C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承包人提出合理化建议的，应向监理人提交合理化建议说明，说明建议的内容和理由，以及实施该建议对合同价格和工期的影响。</w:t>
      </w:r>
    </w:p>
    <w:p w14:paraId="7DB1FD7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1D7EC99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合理化建议降低了合同价格或者提高了工程经济效益的，发包人可对承包人给予奖励，奖励的方法和金额在专用合同条款中约定。</w:t>
      </w:r>
    </w:p>
    <w:p w14:paraId="1545E311">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color w:val="auto"/>
          <w:sz w:val="24"/>
          <w:szCs w:val="24"/>
        </w:rPr>
      </w:pPr>
      <w:bookmarkStart w:id="454" w:name="_Toc351203573"/>
      <w:bookmarkStart w:id="455" w:name="_Toc27494"/>
      <w:bookmarkStart w:id="456" w:name="_Toc18444"/>
      <w:r>
        <w:rPr>
          <w:rFonts w:hint="eastAsia" w:ascii="仿宋" w:hAnsi="仿宋" w:eastAsia="仿宋" w:cs="仿宋"/>
          <w:b w:val="0"/>
          <w:color w:val="auto"/>
          <w:sz w:val="24"/>
          <w:szCs w:val="24"/>
        </w:rPr>
        <w:t>1</w:t>
      </w:r>
      <w:bookmarkStart w:id="457" w:name="_Toc337558793"/>
      <w:r>
        <w:rPr>
          <w:rFonts w:hint="eastAsia" w:ascii="仿宋" w:hAnsi="仿宋" w:eastAsia="仿宋" w:cs="仿宋"/>
          <w:b w:val="0"/>
          <w:color w:val="auto"/>
          <w:sz w:val="24"/>
          <w:szCs w:val="24"/>
        </w:rPr>
        <w:t>0.6变更引起的工期调整</w:t>
      </w:r>
      <w:bookmarkEnd w:id="454"/>
      <w:bookmarkEnd w:id="455"/>
      <w:bookmarkEnd w:id="456"/>
      <w:r>
        <w:rPr>
          <w:rFonts w:hint="eastAsia" w:ascii="仿宋" w:hAnsi="仿宋" w:eastAsia="仿宋" w:cs="仿宋"/>
          <w:b w:val="0"/>
          <w:color w:val="auto"/>
          <w:sz w:val="24"/>
          <w:szCs w:val="24"/>
        </w:rPr>
        <w:t xml:space="preserve"> </w:t>
      </w:r>
      <w:bookmarkEnd w:id="457"/>
      <w:r>
        <w:rPr>
          <w:rFonts w:hint="eastAsia" w:ascii="仿宋" w:hAnsi="仿宋" w:eastAsia="仿宋" w:cs="仿宋"/>
          <w:b w:val="0"/>
          <w:color w:val="auto"/>
          <w:sz w:val="24"/>
          <w:szCs w:val="24"/>
        </w:rPr>
        <w:t xml:space="preserve"> </w:t>
      </w:r>
      <w:r>
        <w:rPr>
          <w:rFonts w:hint="eastAsia" w:ascii="仿宋" w:hAnsi="仿宋" w:eastAsia="仿宋" w:cs="仿宋"/>
          <w:color w:val="auto"/>
          <w:sz w:val="24"/>
          <w:szCs w:val="24"/>
        </w:rPr>
        <w:t xml:space="preserve"> </w:t>
      </w:r>
    </w:p>
    <w:p w14:paraId="5CA9A2A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因变更引起工期变化的，合同当事人均可要求调整合同工期，由合同当事人按照第4.4款〔商定或确定〕并参考工程所在地的工期定额标准确定增减工期天数。</w:t>
      </w:r>
    </w:p>
    <w:p w14:paraId="2DF96D82">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58" w:name="_Toc9524"/>
      <w:bookmarkStart w:id="459" w:name="_Toc351203574"/>
      <w:bookmarkStart w:id="460" w:name="_Toc31708"/>
      <w:r>
        <w:rPr>
          <w:rFonts w:hint="eastAsia" w:ascii="仿宋" w:hAnsi="仿宋" w:eastAsia="仿宋" w:cs="仿宋"/>
          <w:b w:val="0"/>
          <w:color w:val="auto"/>
          <w:sz w:val="24"/>
          <w:szCs w:val="24"/>
        </w:rPr>
        <w:t>10.7暂估价</w:t>
      </w:r>
      <w:bookmarkEnd w:id="458"/>
      <w:bookmarkEnd w:id="459"/>
      <w:bookmarkEnd w:id="460"/>
    </w:p>
    <w:p w14:paraId="45CA575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暂估价专业分包工程、服务、材料和工程设备的明细由合同当事人在专用合同条款中约定。</w:t>
      </w:r>
    </w:p>
    <w:p w14:paraId="62A727CF">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10.7.1</w:t>
      </w:r>
      <w:r>
        <w:rPr>
          <w:rFonts w:hint="eastAsia" w:ascii="仿宋" w:hAnsi="仿宋" w:eastAsia="仿宋" w:cs="仿宋"/>
          <w:color w:val="auto"/>
          <w:kern w:val="0"/>
          <w:sz w:val="24"/>
          <w:szCs w:val="24"/>
        </w:rPr>
        <w:t xml:space="preserve"> 依法必须招标的暂估价项目</w:t>
      </w:r>
    </w:p>
    <w:p w14:paraId="3AD944C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对于依法必须招标的暂估价项目，采取以下第1种方式确定。合同当事人也可以在专用合同条款中选择其他招标方式。</w:t>
      </w:r>
    </w:p>
    <w:p w14:paraId="5D25C52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第1种方式：对于依法必须招标的暂估价项目，由承包人招标，对该暂估价项目的确认和批准按照以下约定执行：</w:t>
      </w:r>
    </w:p>
    <w:p w14:paraId="2C3DEF3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319FC6D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26799402">
      <w:pPr>
        <w:pageBreakBefore w:val="0"/>
        <w:kinsoku/>
        <w:overflowPunct/>
        <w:topLinePunct w:val="0"/>
        <w:bidi w:val="0"/>
        <w:spacing w:line="44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FBAD9B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65A4D92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10.7.2</w:t>
      </w:r>
      <w:r>
        <w:rPr>
          <w:rFonts w:hint="eastAsia" w:ascii="仿宋" w:hAnsi="仿宋" w:eastAsia="仿宋" w:cs="仿宋"/>
          <w:color w:val="auto"/>
          <w:kern w:val="0"/>
          <w:sz w:val="24"/>
          <w:szCs w:val="24"/>
        </w:rPr>
        <w:t>不属于依法必须招标的暂估价项目</w:t>
      </w:r>
    </w:p>
    <w:p w14:paraId="2322552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除专用合同条款另有约定外，对于不属于依法必须招标的暂估价项目，采取以下第1种方式确定： </w:t>
      </w:r>
    </w:p>
    <w:p w14:paraId="14E380E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第1种方式：对于不属于依法必须招标的暂估价项目，按本项约定确认和批准：</w:t>
      </w:r>
    </w:p>
    <w:p w14:paraId="65D3D98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A234A9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（2）发包人认为承包人确定的供应商、分包人无法满足工程质量或合同要求的，发包人可以要求承包人重新确定暂估价项目的供应商、分包人;</w:t>
      </w:r>
    </w:p>
    <w:p w14:paraId="7ED541E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（3）承包人应当在签订暂估价合同后7天内，将暂估价合同副本报送发包人留存。</w:t>
      </w:r>
    </w:p>
    <w:p w14:paraId="37956F7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第2种方式：承包人按照第10.7.1项〔依法必须招标的暂估价项目〕约定的第1种方式确定暂估价项目。</w:t>
      </w:r>
    </w:p>
    <w:p w14:paraId="053F013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第3种方式：</w:t>
      </w:r>
      <w:r>
        <w:rPr>
          <w:rFonts w:hint="eastAsia" w:ascii="仿宋" w:hAnsi="仿宋" w:eastAsia="仿宋" w:cs="仿宋"/>
          <w:color w:val="auto"/>
          <w:kern w:val="0"/>
          <w:sz w:val="24"/>
          <w:szCs w:val="24"/>
        </w:rPr>
        <w:t>承包人直接实施的暂估价项目</w:t>
      </w:r>
    </w:p>
    <w:p w14:paraId="7111553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承包人具备实施暂估价项目的资格和条件的，经发包人和承包人协商一致后，可由承包人自行实施暂估价项目，合同当事人可以在专用合同条款约定具体事项。</w:t>
      </w:r>
    </w:p>
    <w:p w14:paraId="52F0B4C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39EE1D45">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61" w:name="_Toc351203575"/>
      <w:bookmarkStart w:id="462" w:name="_Toc5657"/>
      <w:bookmarkStart w:id="463" w:name="_Toc21425"/>
      <w:r>
        <w:rPr>
          <w:rFonts w:hint="eastAsia" w:ascii="仿宋" w:hAnsi="仿宋" w:eastAsia="仿宋" w:cs="仿宋"/>
          <w:b w:val="0"/>
          <w:color w:val="auto"/>
          <w:sz w:val="24"/>
          <w:szCs w:val="24"/>
        </w:rPr>
        <w:t>1</w:t>
      </w:r>
      <w:bookmarkStart w:id="464" w:name="_Toc337558794"/>
      <w:bookmarkStart w:id="465" w:name="_Toc296503090"/>
      <w:bookmarkStart w:id="466" w:name="_Toc296346591"/>
      <w:bookmarkStart w:id="467" w:name="_Toc322522561"/>
      <w:r>
        <w:rPr>
          <w:rFonts w:hint="eastAsia" w:ascii="仿宋" w:hAnsi="仿宋" w:eastAsia="仿宋" w:cs="仿宋"/>
          <w:b w:val="0"/>
          <w:color w:val="auto"/>
          <w:sz w:val="24"/>
          <w:szCs w:val="24"/>
        </w:rPr>
        <w:t>0.8暂列金额</w:t>
      </w:r>
      <w:bookmarkEnd w:id="461"/>
      <w:bookmarkEnd w:id="462"/>
      <w:bookmarkEnd w:id="463"/>
    </w:p>
    <w:bookmarkEnd w:id="464"/>
    <w:p w14:paraId="26BD0CA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暂列金额应按照发包人的要求使用，发包人的要求应通过监理人发出。合同当事人可以在专用合同条款中协商确定有关事项。</w:t>
      </w:r>
    </w:p>
    <w:bookmarkEnd w:id="465"/>
    <w:bookmarkEnd w:id="466"/>
    <w:bookmarkEnd w:id="467"/>
    <w:p w14:paraId="0E610CAE">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68" w:name="_Toc19350"/>
      <w:bookmarkStart w:id="469" w:name="_Toc24367"/>
      <w:bookmarkStart w:id="470" w:name="_Toc351203576"/>
      <w:r>
        <w:rPr>
          <w:rFonts w:hint="eastAsia" w:ascii="仿宋" w:hAnsi="仿宋" w:eastAsia="仿宋" w:cs="仿宋"/>
          <w:b w:val="0"/>
          <w:color w:val="auto"/>
          <w:sz w:val="24"/>
          <w:szCs w:val="24"/>
        </w:rPr>
        <w:t>1</w:t>
      </w:r>
      <w:bookmarkStart w:id="471" w:name="_Toc296503091"/>
      <w:bookmarkStart w:id="472" w:name="_Toc296346592"/>
      <w:bookmarkStart w:id="473" w:name="_Toc337558796"/>
      <w:r>
        <w:rPr>
          <w:rFonts w:hint="eastAsia" w:ascii="仿宋" w:hAnsi="仿宋" w:eastAsia="仿宋" w:cs="仿宋"/>
          <w:b w:val="0"/>
          <w:color w:val="auto"/>
          <w:sz w:val="24"/>
          <w:szCs w:val="24"/>
        </w:rPr>
        <w:t>0.9计日工</w:t>
      </w:r>
      <w:bookmarkEnd w:id="468"/>
      <w:bookmarkEnd w:id="469"/>
      <w:bookmarkEnd w:id="470"/>
      <w:r>
        <w:rPr>
          <w:rFonts w:hint="eastAsia" w:ascii="仿宋" w:hAnsi="仿宋" w:eastAsia="仿宋" w:cs="仿宋"/>
          <w:b w:val="0"/>
          <w:color w:val="auto"/>
          <w:sz w:val="24"/>
          <w:szCs w:val="24"/>
        </w:rPr>
        <w:t xml:space="preserve"> </w:t>
      </w:r>
      <w:bookmarkEnd w:id="471"/>
      <w:bookmarkEnd w:id="472"/>
      <w:bookmarkEnd w:id="473"/>
    </w:p>
    <w:p w14:paraId="12061DD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00EB71B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采用计日工计价的任何一项工作，承包人应在该项工作实施过程中，每天提交以下报表和有关凭证报送监理人审查：</w:t>
      </w:r>
    </w:p>
    <w:p w14:paraId="371C6CF3">
      <w:pPr>
        <w:pageBreakBefore w:val="0"/>
        <w:kinsoku/>
        <w:overflowPunct/>
        <w:topLinePunct w:val="0"/>
        <w:bidi w:val="0"/>
        <w:spacing w:line="440" w:lineRule="exact"/>
        <w:ind w:firstLine="360" w:firstLineChars="15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（1）工作名称、内容和数量；</w:t>
      </w:r>
    </w:p>
    <w:p w14:paraId="22CB7D81">
      <w:pPr>
        <w:pageBreakBefore w:val="0"/>
        <w:kinsoku/>
        <w:overflowPunct/>
        <w:topLinePunct w:val="0"/>
        <w:bidi w:val="0"/>
        <w:spacing w:line="440" w:lineRule="exact"/>
        <w:ind w:firstLine="360" w:firstLineChars="15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（2）投入该工作的所有人员的姓名、专业、工种、级别和耗用工时；</w:t>
      </w:r>
    </w:p>
    <w:p w14:paraId="58D1128B">
      <w:pPr>
        <w:pageBreakBefore w:val="0"/>
        <w:kinsoku/>
        <w:overflowPunct/>
        <w:topLinePunct w:val="0"/>
        <w:bidi w:val="0"/>
        <w:spacing w:line="440" w:lineRule="exact"/>
        <w:ind w:firstLine="360" w:firstLineChars="15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（3）投入该工作的材料类别和数量；</w:t>
      </w:r>
    </w:p>
    <w:p w14:paraId="2632579B">
      <w:pPr>
        <w:pageBreakBefore w:val="0"/>
        <w:kinsoku/>
        <w:overflowPunct/>
        <w:topLinePunct w:val="0"/>
        <w:bidi w:val="0"/>
        <w:spacing w:line="440" w:lineRule="exact"/>
        <w:ind w:firstLine="360" w:firstLineChars="15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（4）投入该工作的施工设备型号、台数和耗用台时；</w:t>
      </w:r>
    </w:p>
    <w:p w14:paraId="79FCA882">
      <w:pPr>
        <w:pageBreakBefore w:val="0"/>
        <w:kinsoku/>
        <w:overflowPunct/>
        <w:topLinePunct w:val="0"/>
        <w:bidi w:val="0"/>
        <w:spacing w:line="440" w:lineRule="exact"/>
        <w:ind w:firstLine="360" w:firstLineChars="15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（5）其他有关资料和凭证。</w:t>
      </w:r>
    </w:p>
    <w:p w14:paraId="79B4EB95">
      <w:pPr>
        <w:pageBreakBefore w:val="0"/>
        <w:kinsoku/>
        <w:overflowPunct/>
        <w:topLinePunct w:val="0"/>
        <w:bidi w:val="0"/>
        <w:spacing w:line="440" w:lineRule="exact"/>
        <w:ind w:firstLine="360" w:firstLineChars="15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计日工由承包人汇总后，列入最近一期进度付款申请单，由监理人审查并经发包人批准后列入进度付款。</w:t>
      </w:r>
    </w:p>
    <w:p w14:paraId="0A550ED5">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474" w:name="_Toc351203577"/>
      <w:bookmarkStart w:id="475" w:name="_Toc6703"/>
      <w:bookmarkStart w:id="476" w:name="_Toc3210"/>
      <w:r>
        <w:rPr>
          <w:rFonts w:hint="eastAsia" w:ascii="仿宋" w:hAnsi="仿宋" w:eastAsia="仿宋" w:cs="仿宋"/>
          <w:b w:val="0"/>
          <w:color w:val="auto"/>
          <w:sz w:val="24"/>
          <w:szCs w:val="24"/>
        </w:rPr>
        <w:t>11. 价格调整</w:t>
      </w:r>
      <w:bookmarkEnd w:id="474"/>
      <w:bookmarkEnd w:id="475"/>
      <w:bookmarkEnd w:id="476"/>
    </w:p>
    <w:p w14:paraId="7AB49777">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77" w:name="_Toc11833"/>
      <w:bookmarkStart w:id="478" w:name="_Toc351203578"/>
      <w:bookmarkStart w:id="479" w:name="_Toc5841"/>
      <w:bookmarkStart w:id="480" w:name="_Toc337558797"/>
      <w:bookmarkStart w:id="481" w:name="_Toc296346593"/>
      <w:bookmarkStart w:id="482" w:name="_Toc296503092"/>
      <w:r>
        <w:rPr>
          <w:rFonts w:hint="eastAsia" w:ascii="仿宋" w:hAnsi="仿宋" w:eastAsia="仿宋" w:cs="仿宋"/>
          <w:b w:val="0"/>
          <w:color w:val="auto"/>
          <w:sz w:val="24"/>
          <w:szCs w:val="24"/>
        </w:rPr>
        <w:t>11.1市场价格波动引起的调整</w:t>
      </w:r>
      <w:bookmarkEnd w:id="477"/>
      <w:bookmarkEnd w:id="478"/>
      <w:bookmarkEnd w:id="479"/>
    </w:p>
    <w:bookmarkEnd w:id="480"/>
    <w:bookmarkEnd w:id="481"/>
    <w:bookmarkEnd w:id="482"/>
    <w:p w14:paraId="484E437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除专用合同条款另有约定外，市场价格波动超过合同当事人约定的范围，合同价格应当调整。合同当事人可以在专用合同条款中约定选择以下一种方式对合同价格进行调整：</w:t>
      </w:r>
    </w:p>
    <w:p w14:paraId="3A4D0173">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第1种方式：采用价格指数进行价格调整。</w:t>
      </w:r>
    </w:p>
    <w:p w14:paraId="3ADAD484">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（1）价格调整公式</w:t>
      </w:r>
    </w:p>
    <w:p w14:paraId="2907FD80">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因人工、材料和设备等价格波动影响合同价格时，根据专用合同条款中约定的数据，按以下公式计算差额并调整合同价格：</w:t>
      </w:r>
    </w:p>
    <w:p w14:paraId="7494DBD7">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position w:val="-30"/>
          <w:sz w:val="24"/>
          <w:szCs w:val="24"/>
        </w:rPr>
        <w:object>
          <v:shape id="_x0000_i1025" o:spt="75" type="#_x0000_t75" style="height:43.9pt;width:359.85pt;" o:ole="t" filled="f" stroked="f" coordsize="21600,21600">
            <v:path/>
            <v:fill on="f" focussize="0,0"/>
            <v:stroke on="f"/>
            <v:imagedata r:id="rId25" o:title=""/>
            <o:lock v:ext="edit" grouping="f" rotation="f" text="f" aspectratio="t"/>
            <w10:wrap type="none"/>
            <w10:anchorlock/>
          </v:shape>
          <o:OLEObject Type="Embed" ProgID="Equation.KSEE3" ShapeID="_x0000_i1025" DrawAspect="Content" ObjectID="_1468075725" r:id="rId24">
            <o:LockedField>false</o:LockedField>
          </o:OLEObject>
        </w:object>
      </w:r>
    </w:p>
    <w:p w14:paraId="6E003977">
      <w:pPr>
        <w:pageBreakBefore w:val="0"/>
        <w:tabs>
          <w:tab w:val="left" w:pos="0"/>
          <w:tab w:val="left" w:pos="360"/>
          <w:tab w:val="left" w:pos="540"/>
        </w:tabs>
        <w:kinsoku/>
        <w:overflowPunct/>
        <w:topLinePunct w:val="0"/>
        <w:bidi w:val="0"/>
        <w:spacing w:line="440" w:lineRule="exact"/>
        <w:ind w:firstLine="640"/>
        <w:rPr>
          <w:rFonts w:hint="eastAsia" w:ascii="仿宋" w:hAnsi="仿宋" w:eastAsia="仿宋" w:cs="仿宋"/>
          <w:color w:val="auto"/>
          <w:sz w:val="24"/>
          <w:szCs w:val="24"/>
        </w:rPr>
      </w:pPr>
      <w:r>
        <w:rPr>
          <w:rFonts w:hint="eastAsia" w:ascii="仿宋" w:hAnsi="仿宋" w:eastAsia="仿宋" w:cs="仿宋"/>
          <w:color w:val="auto"/>
          <w:sz w:val="24"/>
          <w:szCs w:val="24"/>
        </w:rPr>
        <w:t>公式中：ΔP——需调整的价格差额；</w:t>
      </w:r>
    </w:p>
    <w:p w14:paraId="5D49939F">
      <w:pPr>
        <w:pageBreakBefore w:val="0"/>
        <w:tabs>
          <w:tab w:val="left" w:pos="0"/>
          <w:tab w:val="left" w:pos="360"/>
          <w:tab w:val="left" w:pos="540"/>
        </w:tabs>
        <w:kinsoku/>
        <w:overflowPunct/>
        <w:topLinePunct w:val="0"/>
        <w:bidi w:val="0"/>
        <w:spacing w:line="440" w:lineRule="exact"/>
        <w:ind w:firstLine="1440" w:firstLineChars="600"/>
        <w:rPr>
          <w:rFonts w:hint="eastAsia" w:ascii="仿宋" w:hAnsi="仿宋" w:eastAsia="仿宋" w:cs="仿宋"/>
          <w:color w:val="auto"/>
          <w:sz w:val="24"/>
          <w:szCs w:val="24"/>
        </w:rPr>
      </w:pPr>
      <w:r>
        <w:rPr>
          <w:rFonts w:hint="eastAsia" w:ascii="仿宋" w:hAnsi="仿宋" w:eastAsia="仿宋" w:cs="仿宋"/>
          <w:color w:val="auto"/>
          <w:position w:val="-6"/>
          <w:sz w:val="24"/>
          <w:szCs w:val="24"/>
        </w:rPr>
        <w:object>
          <v:shape id="_x0000_i1026" o:spt="75" type="#_x0000_t75" style="height:17.95pt;width:17.95pt;" o:ole="t" filled="f" stroked="f" coordsize="21600,21600">
            <v:path/>
            <v:fill on="f" focussize="0,0"/>
            <v:stroke on="f"/>
            <v:imagedata r:id="rId27" o:title=""/>
            <o:lock v:ext="edit" grouping="f" rotation="f" text="f" aspectratio="t"/>
            <w10:wrap type="none"/>
            <w10:anchorlock/>
          </v:shape>
          <o:OLEObject Type="Embed" ProgID="Equation.KSEE3" ShapeID="_x0000_i1026" DrawAspect="Content" ObjectID="_1468075726" r:id="rId26">
            <o:LockedField>false</o:LockedField>
          </o:OLEObject>
        </w:object>
      </w:r>
      <w:r>
        <w:rPr>
          <w:rFonts w:hint="eastAsia" w:ascii="仿宋" w:hAnsi="仿宋" w:eastAsia="仿宋" w:cs="仿宋"/>
          <w:color w:val="auto"/>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41F03207">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A——定值权重（即不调部分的权重）；</w:t>
      </w:r>
    </w:p>
    <w:p w14:paraId="5B3FD101">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position w:val="-10"/>
          <w:sz w:val="24"/>
          <w:szCs w:val="24"/>
        </w:rPr>
        <w:object>
          <v:shape id="_x0000_i1027" o:spt="75" type="#_x0000_t75" style="height:21.05pt;width:101pt;" o:ole="t" filled="f" stroked="f" coordsize="21600,21600">
            <v:path/>
            <v:fill on="f" focussize="0,0"/>
            <v:stroke on="f"/>
            <v:imagedata r:id="rId29" o:title=""/>
            <o:lock v:ext="edit" grouping="f" rotation="f" text="f" aspectratio="t"/>
            <w10:wrap type="none"/>
            <w10:anchorlock/>
          </v:shape>
          <o:OLEObject Type="Embed" ProgID="Equation.KSEE3" ShapeID="_x0000_i1027" DrawAspect="Content" ObjectID="_1468075727" r:id="rId28">
            <o:LockedField>false</o:LockedField>
          </o:OLEObject>
        </w:object>
      </w:r>
      <w:r>
        <w:rPr>
          <w:rFonts w:hint="eastAsia" w:ascii="仿宋" w:hAnsi="仿宋" w:eastAsia="仿宋" w:cs="仿宋"/>
          <w:color w:val="auto"/>
          <w:sz w:val="24"/>
          <w:szCs w:val="24"/>
        </w:rPr>
        <w:t>——各可调因子的变值权重（即可调部分的权重），为各可调因子在签约合同价中所占的比例；</w:t>
      </w:r>
    </w:p>
    <w:p w14:paraId="08EC0901">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position w:val="-10"/>
          <w:sz w:val="24"/>
          <w:szCs w:val="24"/>
        </w:rPr>
        <w:object>
          <v:shape id="_x0000_i1028" o:spt="75" type="#_x0000_t75" style="height:20.6pt;width:102.05pt;" o:ole="t" filled="f" stroked="f" coordsize="21600,21600">
            <v:path/>
            <v:fill on="f" focussize="0,0"/>
            <v:stroke on="f"/>
            <v:imagedata r:id="rId31" o:title=""/>
            <o:lock v:ext="edit" grouping="f" rotation="f" text="f" aspectratio="t"/>
            <w10:wrap type="none"/>
            <w10:anchorlock/>
          </v:shape>
          <o:OLEObject Type="Embed" ProgID="Equation.KSEE3" ShapeID="_x0000_i1028" DrawAspect="Content" ObjectID="_1468075728" r:id="rId30">
            <o:LockedField>false</o:LockedField>
          </o:OLEObject>
        </w:object>
      </w:r>
      <w:r>
        <w:rPr>
          <w:rFonts w:hint="eastAsia" w:ascii="仿宋" w:hAnsi="仿宋" w:eastAsia="仿宋" w:cs="仿宋"/>
          <w:color w:val="auto"/>
          <w:sz w:val="24"/>
          <w:szCs w:val="24"/>
        </w:rPr>
        <w:t>——各可调因子的现行价格指数，指约定的付款证书相关周期最后一天的前42天的各可调因子的价格指数；</w:t>
      </w:r>
    </w:p>
    <w:p w14:paraId="60754A3A">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position w:val="-10"/>
          <w:sz w:val="24"/>
          <w:szCs w:val="24"/>
        </w:rPr>
        <w:object>
          <v:shape id="_x0000_i1029" o:spt="75" type="#_x0000_t75" style="height:20.2pt;width:108pt;" o:ole="t" filled="f" stroked="f" coordsize="21600,21600">
            <v:path/>
            <v:fill on="f" focussize="0,0"/>
            <v:stroke on="f"/>
            <v:imagedata r:id="rId33" o:title=""/>
            <o:lock v:ext="edit" grouping="f" rotation="f" text="f" aspectratio="t"/>
            <w10:wrap type="none"/>
            <w10:anchorlock/>
          </v:shape>
          <o:OLEObject Type="Embed" ProgID="Equation.KSEE3" ShapeID="_x0000_i1029" DrawAspect="Content" ObjectID="_1468075729" r:id="rId32">
            <o:LockedField>false</o:LockedField>
          </o:OLEObject>
        </w:object>
      </w:r>
      <w:r>
        <w:rPr>
          <w:rFonts w:hint="eastAsia" w:ascii="仿宋" w:hAnsi="仿宋" w:eastAsia="仿宋" w:cs="仿宋"/>
          <w:color w:val="auto"/>
          <w:sz w:val="24"/>
          <w:szCs w:val="24"/>
        </w:rPr>
        <w:t>——各可调因子的基本价格指数，指基准日期的各可调因子的价格指数。</w:t>
      </w:r>
    </w:p>
    <w:p w14:paraId="20C5B5B6">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0B441D8C">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（2）暂时确定调整差额</w:t>
      </w:r>
    </w:p>
    <w:p w14:paraId="1F471D21">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在计算调整差额时无现行价格指数的，合同当事人同意暂用前次价格指数计算。实际价格指数有调整的，合同当事人进行相应调整。</w:t>
      </w:r>
    </w:p>
    <w:p w14:paraId="04066F1A">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（3）权重的调整</w:t>
      </w:r>
    </w:p>
    <w:p w14:paraId="5B791F1D">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因变更导致合同约定的权重不合理时，按照第4.4款〔商定或确定〕执行。</w:t>
      </w:r>
    </w:p>
    <w:p w14:paraId="3D4879B8">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（4）因承包人原因工期延误后的价格调整</w:t>
      </w:r>
    </w:p>
    <w:p w14:paraId="507D43C6">
      <w:pPr>
        <w:pageBreakBefore w:val="0"/>
        <w:tabs>
          <w:tab w:val="left" w:pos="0"/>
          <w:tab w:val="left" w:pos="360"/>
          <w:tab w:val="left" w:pos="540"/>
        </w:tabs>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因承包人原因未按期竣工的，对合同约定的竣工日期后继续施工的工程，在使用价格调整公式时，应采用计划竣工日期与实际竣工日期的两个价格指数中较低的一个作为现行价格指数。</w:t>
      </w:r>
    </w:p>
    <w:p w14:paraId="10434525">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第2种方式：采用造价信息进行价格调整。</w:t>
      </w:r>
    </w:p>
    <w:p w14:paraId="006452BE">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799937BD">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9447004">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（2）材料、工程设备价格变化的价款调整按照发包人提供的基准价格，按以下风险范围规定执行:</w:t>
      </w:r>
    </w:p>
    <w:p w14:paraId="261667BA">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AD7C090">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37F1F3D0">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③承包人在已标价工程量清单或预算书中载明材料单价等于基准价格的：除专用合同条款另有约定外，合同履行期间材料单价涨跌幅以基准价格为基础超过±5%时，其超过部分据实调整。</w:t>
      </w:r>
    </w:p>
    <w:p w14:paraId="44C50527">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4E494839">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bookmarkStart w:id="483" w:name="OLE_LINK3"/>
      <w:r>
        <w:rPr>
          <w:rFonts w:hint="eastAsia" w:ascii="仿宋" w:hAnsi="仿宋" w:eastAsia="仿宋" w:cs="仿宋"/>
          <w:color w:val="auto"/>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4633F328">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（3）施工机械台班单价或施工机械使用费发生变化超过省级或行业建设主管部门或其授权的工程造价管理机构规定的范围时，按规定调整合同价格。</w:t>
      </w:r>
    </w:p>
    <w:p w14:paraId="62DCC123">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第3种方式：专用合同条款约定的其他方式。</w:t>
      </w:r>
    </w:p>
    <w:p w14:paraId="16B1255D">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84" w:name="_Toc351203579"/>
      <w:bookmarkStart w:id="485" w:name="_Toc31844"/>
      <w:bookmarkStart w:id="486" w:name="_Toc19083"/>
      <w:bookmarkStart w:id="487" w:name="_Toc296346594"/>
      <w:bookmarkStart w:id="488" w:name="_Toc337558798"/>
      <w:bookmarkStart w:id="489" w:name="_Toc296503093"/>
      <w:r>
        <w:rPr>
          <w:rFonts w:hint="eastAsia" w:ascii="仿宋" w:hAnsi="仿宋" w:eastAsia="仿宋" w:cs="仿宋"/>
          <w:b w:val="0"/>
          <w:color w:val="auto"/>
          <w:sz w:val="24"/>
          <w:szCs w:val="24"/>
        </w:rPr>
        <w:t>11.2法律变化引起的调整</w:t>
      </w:r>
      <w:bookmarkEnd w:id="484"/>
      <w:bookmarkEnd w:id="485"/>
      <w:bookmarkEnd w:id="486"/>
    </w:p>
    <w:bookmarkEnd w:id="487"/>
    <w:bookmarkEnd w:id="488"/>
    <w:bookmarkEnd w:id="489"/>
    <w:p w14:paraId="50110079">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00497B4F">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因法律变化引起的合同价格和工期调整，合同当事人无法达成一致的，由总监理工程师按第4.4款〔商定或确定〕的约定处理。</w:t>
      </w:r>
    </w:p>
    <w:p w14:paraId="49E66775">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因承包人原因造成工期延误，在工期延误期间出现法律变化的，由此增加的费用和（或）延误的工期由承包人承担。</w:t>
      </w:r>
    </w:p>
    <w:p w14:paraId="45BB259B">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490" w:name="_Toc19491"/>
      <w:bookmarkStart w:id="491" w:name="_Toc351203580"/>
      <w:bookmarkStart w:id="492" w:name="_Toc9331"/>
      <w:bookmarkStart w:id="493" w:name="_Toc337558799"/>
      <w:bookmarkStart w:id="494" w:name="_Toc296503096"/>
      <w:bookmarkStart w:id="495" w:name="_Toc296346597"/>
      <w:r>
        <w:rPr>
          <w:rFonts w:hint="eastAsia" w:ascii="仿宋" w:hAnsi="仿宋" w:eastAsia="仿宋" w:cs="仿宋"/>
          <w:b w:val="0"/>
          <w:color w:val="auto"/>
          <w:sz w:val="24"/>
          <w:szCs w:val="24"/>
        </w:rPr>
        <w:t>12. 合同价格、计量与支付</w:t>
      </w:r>
      <w:bookmarkEnd w:id="490"/>
      <w:bookmarkEnd w:id="491"/>
      <w:bookmarkEnd w:id="492"/>
    </w:p>
    <w:bookmarkEnd w:id="493"/>
    <w:p w14:paraId="34FEED21">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496" w:name="_Toc8591"/>
      <w:bookmarkStart w:id="497" w:name="_Toc29292"/>
      <w:bookmarkStart w:id="498" w:name="_Toc351203581"/>
      <w:bookmarkStart w:id="499" w:name="_Toc337558800"/>
      <w:r>
        <w:rPr>
          <w:rFonts w:hint="eastAsia" w:ascii="仿宋" w:hAnsi="仿宋" w:eastAsia="仿宋" w:cs="仿宋"/>
          <w:b w:val="0"/>
          <w:color w:val="auto"/>
          <w:sz w:val="24"/>
          <w:szCs w:val="24"/>
        </w:rPr>
        <w:t>12.1 合同价</w:t>
      </w:r>
      <w:bookmarkEnd w:id="494"/>
      <w:bookmarkEnd w:id="495"/>
      <w:r>
        <w:rPr>
          <w:rFonts w:hint="eastAsia" w:ascii="仿宋" w:hAnsi="仿宋" w:eastAsia="仿宋" w:cs="仿宋"/>
          <w:b w:val="0"/>
          <w:color w:val="auto"/>
          <w:sz w:val="24"/>
          <w:szCs w:val="24"/>
        </w:rPr>
        <w:t>格形式</w:t>
      </w:r>
      <w:bookmarkEnd w:id="496"/>
      <w:bookmarkEnd w:id="497"/>
      <w:bookmarkEnd w:id="498"/>
    </w:p>
    <w:bookmarkEnd w:id="499"/>
    <w:p w14:paraId="0AA06A2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发包人和承包人应在合同协议书中选择下列一种合同价格形式： </w:t>
      </w:r>
    </w:p>
    <w:p w14:paraId="0A4ECED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单价合同</w:t>
      </w:r>
    </w:p>
    <w:p w14:paraId="38E00AE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单价合同是指合同当事人约定以工程量清单及其综合单价进行合同价格计算、调整和确认的建设工程施工合同，</w:t>
      </w:r>
      <w:r>
        <w:rPr>
          <w:rFonts w:hint="eastAsia" w:ascii="仿宋" w:hAnsi="仿宋" w:eastAsia="仿宋" w:cs="仿宋"/>
          <w:color w:val="auto"/>
          <w:sz w:val="24"/>
          <w:szCs w:val="24"/>
        </w:rPr>
        <w:t>在约定的范围内合同单价不作调整</w:t>
      </w:r>
      <w:r>
        <w:rPr>
          <w:rFonts w:hint="eastAsia" w:ascii="仿宋" w:hAnsi="仿宋" w:eastAsia="仿宋" w:cs="仿宋"/>
          <w:color w:val="auto"/>
          <w:kern w:val="0"/>
          <w:sz w:val="24"/>
          <w:szCs w:val="24"/>
        </w:rPr>
        <w:t>。合同当事人应在专用合同条款中约定综合单价包含的风险范围和风险费用的计算方法</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并约定风险范围以外的合同价格的调整方法，其中因市场价格波动引起的调整按第11.1款〔市场价格波动引起的调整〕约定执行。</w:t>
      </w:r>
    </w:p>
    <w:p w14:paraId="423F5AF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总价合同</w:t>
      </w:r>
    </w:p>
    <w:p w14:paraId="784F5C4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总价合同是指合同当事人约定以施工图、已标价工程量清单或预算书及有关条件进行合同价格计算、调整和确认的建设工程施工合同，</w:t>
      </w:r>
      <w:r>
        <w:rPr>
          <w:rFonts w:hint="eastAsia" w:ascii="仿宋" w:hAnsi="仿宋" w:eastAsia="仿宋" w:cs="仿宋"/>
          <w:color w:val="auto"/>
          <w:sz w:val="24"/>
          <w:szCs w:val="24"/>
        </w:rPr>
        <w:t>在约定的范围内合同总价不作调整</w:t>
      </w:r>
      <w:r>
        <w:rPr>
          <w:rFonts w:hint="eastAsia" w:ascii="仿宋" w:hAnsi="仿宋" w:eastAsia="仿宋" w:cs="仿宋"/>
          <w:color w:val="auto"/>
          <w:kern w:val="0"/>
          <w:sz w:val="24"/>
          <w:szCs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52E9A5F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hint="eastAsia" w:ascii="仿宋" w:hAnsi="仿宋" w:eastAsia="仿宋" w:cs="仿宋"/>
          <w:color w:val="auto"/>
          <w:kern w:val="0"/>
          <w:sz w:val="24"/>
          <w:szCs w:val="24"/>
          <w:lang w:val="en-US" w:eastAsia="zh-CN"/>
        </w:rPr>
        <w:t>.其他</w:t>
      </w:r>
      <w:r>
        <w:rPr>
          <w:rFonts w:hint="eastAsia" w:ascii="仿宋" w:hAnsi="仿宋" w:eastAsia="仿宋" w:cs="仿宋"/>
          <w:color w:val="auto"/>
          <w:kern w:val="0"/>
          <w:sz w:val="24"/>
          <w:szCs w:val="24"/>
        </w:rPr>
        <w:t>价格形式</w:t>
      </w:r>
    </w:p>
    <w:p w14:paraId="5407837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合同当事人可在专用合同条款中约定其他合同价格形式。</w:t>
      </w:r>
    </w:p>
    <w:p w14:paraId="55FD0BE3">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00" w:name="_Toc296346598"/>
      <w:bookmarkStart w:id="501" w:name="_Toc296503097"/>
      <w:bookmarkStart w:id="502" w:name="_Toc14898"/>
      <w:bookmarkStart w:id="503" w:name="_Toc882"/>
      <w:bookmarkStart w:id="504" w:name="_Toc351203582"/>
      <w:bookmarkStart w:id="505" w:name="_Toc337558801"/>
      <w:r>
        <w:rPr>
          <w:rFonts w:hint="eastAsia" w:ascii="仿宋" w:hAnsi="仿宋" w:eastAsia="仿宋" w:cs="仿宋"/>
          <w:b w:val="0"/>
          <w:color w:val="auto"/>
          <w:sz w:val="24"/>
          <w:szCs w:val="24"/>
        </w:rPr>
        <w:t>12.2预</w:t>
      </w:r>
      <w:bookmarkEnd w:id="500"/>
      <w:bookmarkEnd w:id="501"/>
      <w:bookmarkStart w:id="506" w:name="_Toc296346601"/>
      <w:bookmarkStart w:id="507" w:name="_Toc296503100"/>
      <w:r>
        <w:rPr>
          <w:rFonts w:hint="eastAsia" w:ascii="仿宋" w:hAnsi="仿宋" w:eastAsia="仿宋" w:cs="仿宋"/>
          <w:b w:val="0"/>
          <w:color w:val="auto"/>
          <w:sz w:val="24"/>
          <w:szCs w:val="24"/>
        </w:rPr>
        <w:t>付款</w:t>
      </w:r>
      <w:bookmarkEnd w:id="502"/>
      <w:bookmarkEnd w:id="503"/>
      <w:bookmarkEnd w:id="504"/>
    </w:p>
    <w:bookmarkEnd w:id="505"/>
    <w:bookmarkEnd w:id="506"/>
    <w:bookmarkEnd w:id="507"/>
    <w:p w14:paraId="507FAF2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12.2.</w:t>
      </w:r>
      <w:r>
        <w:rPr>
          <w:rFonts w:hint="eastAsia" w:ascii="仿宋" w:hAnsi="仿宋" w:eastAsia="仿宋" w:cs="仿宋"/>
          <w:color w:val="auto"/>
          <w:kern w:val="0"/>
          <w:sz w:val="24"/>
          <w:szCs w:val="24"/>
        </w:rPr>
        <w:t>1预付款的支付</w:t>
      </w:r>
    </w:p>
    <w:p w14:paraId="1CB4BCE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预付款的支付按照专用合同条款约定执行，但至迟应在开工通知载明的开工日期7天前支付。预付款应当用于材料、工程设备、施工设备的采购及修建临时工程、组织施工队伍进场等。</w:t>
      </w:r>
    </w:p>
    <w:p w14:paraId="3926763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除专用合同条款另有约定外，预付款在进度付款中同比例扣回。</w:t>
      </w:r>
      <w:bookmarkEnd w:id="483"/>
      <w:r>
        <w:rPr>
          <w:rFonts w:hint="eastAsia" w:ascii="仿宋" w:hAnsi="仿宋" w:eastAsia="仿宋" w:cs="仿宋"/>
          <w:color w:val="auto"/>
          <w:kern w:val="0"/>
          <w:sz w:val="24"/>
          <w:szCs w:val="24"/>
        </w:rPr>
        <w:t>在颁发工程接收证书前，提前解除合同的，尚未扣完的预付款应与合同价款一并结算。</w:t>
      </w:r>
    </w:p>
    <w:p w14:paraId="6218C9A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发包人逾期支付预付款超过7天的，承包人有权向发包人发出要求预付的催告通知，发包人收到通知后7天内仍未支付的，承包人有权暂停施工，并按第16.1.1项〔发包人违约的情形〕执行。</w:t>
      </w:r>
    </w:p>
    <w:p w14:paraId="136FA008">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12.2.2 预付款担保</w:t>
      </w:r>
    </w:p>
    <w:p w14:paraId="27B35CB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134DC11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发包人在工程款中逐期扣回预付款后，预付款担保额度应相应减少，但剩余的预付款担保金额不得低于未被扣回的预付款金额。</w:t>
      </w:r>
    </w:p>
    <w:p w14:paraId="6796A665">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08" w:name="_Toc367"/>
      <w:bookmarkStart w:id="509" w:name="_Toc351203583"/>
      <w:bookmarkStart w:id="510" w:name="_Toc9491"/>
      <w:bookmarkStart w:id="511" w:name="_Toc337558802"/>
      <w:r>
        <w:rPr>
          <w:rFonts w:hint="eastAsia" w:ascii="仿宋" w:hAnsi="仿宋" w:eastAsia="仿宋" w:cs="仿宋"/>
          <w:b w:val="0"/>
          <w:color w:val="auto"/>
          <w:sz w:val="24"/>
          <w:szCs w:val="24"/>
        </w:rPr>
        <w:t>12.3计量</w:t>
      </w:r>
      <w:bookmarkEnd w:id="508"/>
      <w:bookmarkEnd w:id="509"/>
      <w:bookmarkEnd w:id="510"/>
    </w:p>
    <w:bookmarkEnd w:id="511"/>
    <w:p w14:paraId="6290554E">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12.3.1 计量原则</w:t>
      </w:r>
    </w:p>
    <w:p w14:paraId="26BE572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工程量计量按照合同约定的工程量计算规则、图纸及变更指示等进行计量。工程量计算规则应以相关的国家标准、行业标准等为依据，由合同当事人在专用合同条款中约定。</w:t>
      </w:r>
    </w:p>
    <w:p w14:paraId="39D0873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12.3.2 计量周期</w:t>
      </w:r>
    </w:p>
    <w:p w14:paraId="71CA7A5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除专用合同条款另有约定外，工程量的计量按月进行。</w:t>
      </w:r>
    </w:p>
    <w:p w14:paraId="735E2CB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12.3.3 单价合同的计量</w:t>
      </w:r>
    </w:p>
    <w:p w14:paraId="61D8962E">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除专用合同条款另有约定外，单价合同的计量按照本项约定执行：</w:t>
      </w:r>
    </w:p>
    <w:p w14:paraId="7D5A31A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（1）承包人应于每月25日向监理人报送上月20日至当月19日已完成的工程量报告，并附具进度付款申请单、已完成工程量报表和有关资料。</w:t>
      </w:r>
    </w:p>
    <w:p w14:paraId="12E0BB5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BA1C55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（3）监理人未在收到承包人提交的工程量报表后的7天内完成审核的，承包人报送的工程量报告中的工程量视为承包人实际完成的工程量，据此计算工程价款。</w:t>
      </w:r>
    </w:p>
    <w:p w14:paraId="2543645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12.3.4 总价合同的计量</w:t>
      </w:r>
    </w:p>
    <w:p w14:paraId="2681828E">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除专用合同条款另有约定外，按月计量支付的总价合同，按照本项约定执行：</w:t>
      </w:r>
    </w:p>
    <w:p w14:paraId="1183D30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（1）承包人应于每月25日向监理人报送上月20日至当月19日已完成的工程量报告，并附具进度付款申请单、已完成工程量报表和有关资料。</w:t>
      </w:r>
    </w:p>
    <w:p w14:paraId="42C6BFF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003B214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（3）监理人未在收到承包人提交的工程量报表后的7天内完成复核的，承包人提交的工程量报告中的工程量视为承包人实际完成的工程量。</w:t>
      </w:r>
    </w:p>
    <w:p w14:paraId="26B81E7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12.3.5 总价合同采用支付分解表计量支付的，可以按照第12.3.4项〔总价合同的计量〕约定进行计量，但合同价款按照支付分解表进行支付。</w:t>
      </w:r>
    </w:p>
    <w:p w14:paraId="541200B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12.3.6 其他价格形式合同的计量</w:t>
      </w:r>
    </w:p>
    <w:p w14:paraId="1A3FD72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合同当事人可在专用合同条款中约定其他价格形式合同的计量方式和程序。</w:t>
      </w:r>
    </w:p>
    <w:p w14:paraId="5753BB02">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12" w:name="_Toc296503101"/>
      <w:bookmarkStart w:id="513" w:name="_Toc296346602"/>
      <w:bookmarkStart w:id="514" w:name="_Toc12679"/>
      <w:bookmarkStart w:id="515" w:name="_Toc351203584"/>
      <w:bookmarkStart w:id="516" w:name="_Toc9408"/>
      <w:bookmarkStart w:id="517" w:name="_Toc337558803"/>
      <w:r>
        <w:rPr>
          <w:rFonts w:hint="eastAsia" w:ascii="仿宋" w:hAnsi="仿宋" w:eastAsia="仿宋" w:cs="仿宋"/>
          <w:b w:val="0"/>
          <w:color w:val="auto"/>
          <w:sz w:val="24"/>
          <w:szCs w:val="24"/>
        </w:rPr>
        <w:t>12.4工程进度款支</w:t>
      </w:r>
      <w:bookmarkEnd w:id="512"/>
      <w:bookmarkEnd w:id="513"/>
      <w:r>
        <w:rPr>
          <w:rFonts w:hint="eastAsia" w:ascii="仿宋" w:hAnsi="仿宋" w:eastAsia="仿宋" w:cs="仿宋"/>
          <w:b w:val="0"/>
          <w:color w:val="auto"/>
          <w:sz w:val="24"/>
          <w:szCs w:val="24"/>
        </w:rPr>
        <w:t>付</w:t>
      </w:r>
      <w:bookmarkEnd w:id="514"/>
      <w:bookmarkEnd w:id="515"/>
      <w:bookmarkEnd w:id="516"/>
    </w:p>
    <w:bookmarkEnd w:id="517"/>
    <w:p w14:paraId="177B3DD4">
      <w:pPr>
        <w:pageBreakBefore w:val="0"/>
        <w:kinsoku/>
        <w:overflowPunct/>
        <w:topLinePunct w:val="0"/>
        <w:autoSpaceDE w:val="0"/>
        <w:autoSpaceDN w:val="0"/>
        <w:bidi w:val="0"/>
        <w:adjustRightInd w:val="0"/>
        <w:spacing w:line="440" w:lineRule="exact"/>
        <w:ind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12.4</w:t>
      </w:r>
      <w:r>
        <w:rPr>
          <w:rFonts w:hint="eastAsia" w:ascii="仿宋" w:hAnsi="仿宋" w:eastAsia="仿宋" w:cs="仿宋"/>
          <w:color w:val="auto"/>
          <w:kern w:val="0"/>
          <w:sz w:val="24"/>
          <w:szCs w:val="24"/>
        </w:rPr>
        <w:t>.1 付款周期</w:t>
      </w:r>
    </w:p>
    <w:p w14:paraId="116ECC3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除专用合同条款另有约定外，付款周期应按照第12.3.2项〔计量周期〕的约定与计量周期保持一致。</w:t>
      </w:r>
    </w:p>
    <w:p w14:paraId="3659B84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12.4</w:t>
      </w:r>
      <w:r>
        <w:rPr>
          <w:rFonts w:hint="eastAsia" w:ascii="仿宋" w:hAnsi="仿宋" w:eastAsia="仿宋" w:cs="仿宋"/>
          <w:color w:val="auto"/>
          <w:kern w:val="0"/>
          <w:sz w:val="24"/>
          <w:szCs w:val="24"/>
        </w:rPr>
        <w:t>.2 进度付款申请单的编制</w:t>
      </w:r>
    </w:p>
    <w:p w14:paraId="0A284AF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除专用合同条款另有约定外，进度付款申请单应包括下列内容：</w:t>
      </w:r>
    </w:p>
    <w:p w14:paraId="4983CD9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（1）截至本次付款周期已完成工作对应的金额；</w:t>
      </w:r>
    </w:p>
    <w:p w14:paraId="72EFAF3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（2）根据第10条〔变更〕应增加和扣减的变更金额；</w:t>
      </w:r>
    </w:p>
    <w:p w14:paraId="0825E39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（3）根据第12.2款〔预付款〕约定应支付的预付款和扣减的返还预付款；</w:t>
      </w:r>
    </w:p>
    <w:p w14:paraId="5EC73BB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（4）根据第15.3款〔质量保证金〕约定应扣减的质量保证金；</w:t>
      </w:r>
    </w:p>
    <w:p w14:paraId="52E18EF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（5）根据第19条〔索赔〕应增加和扣减的索赔金额；</w:t>
      </w:r>
    </w:p>
    <w:p w14:paraId="5B21419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（6）对已签发的进度款支付证书中出现错误的修正，应在本次进度付款中支付或扣除的金额；</w:t>
      </w:r>
    </w:p>
    <w:p w14:paraId="0C48862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（7）根据合同约定应增加和扣减的其他金额。</w:t>
      </w:r>
    </w:p>
    <w:p w14:paraId="4366AAF0">
      <w:pPr>
        <w:pageBreakBefore w:val="0"/>
        <w:kinsoku/>
        <w:overflowPunct/>
        <w:topLinePunct w:val="0"/>
        <w:autoSpaceDE w:val="0"/>
        <w:autoSpaceDN w:val="0"/>
        <w:bidi w:val="0"/>
        <w:adjustRightInd w:val="0"/>
        <w:spacing w:line="440" w:lineRule="exact"/>
        <w:ind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12.4.3 进度付款申请单的提交</w:t>
      </w:r>
    </w:p>
    <w:p w14:paraId="633455C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（1）单价合同进度付款申请单的提交</w:t>
      </w:r>
    </w:p>
    <w:p w14:paraId="54127DA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1A750A5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（2）总价合同进度付款申请单的提交</w:t>
      </w:r>
    </w:p>
    <w:p w14:paraId="22D2063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总价合同按月计量支付的，承包人按照第12.3.4项〔总价合同的计量〕约定的时间按月向监理人提交进度付款申请单，并附上已完成工程量报表和有关资料。</w:t>
      </w:r>
    </w:p>
    <w:p w14:paraId="07DB710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总价合同按支付分解表支付的，承包人应按照第12.4.6项〔支付分解表〕及第12.4.2项〔进度付款申请单的编制〕的约定向监理人提交进度付款申请单。</w:t>
      </w:r>
    </w:p>
    <w:p w14:paraId="4BD525D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（3）其他价格形式合同的进度付款申请单的提交</w:t>
      </w:r>
    </w:p>
    <w:p w14:paraId="554D4E1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合同当事人可在专用合同条款中约定其他价格形式合同的进度付款申请单的编制和提交程序。</w:t>
      </w:r>
    </w:p>
    <w:p w14:paraId="45534B5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12.4</w:t>
      </w:r>
      <w:r>
        <w:rPr>
          <w:rFonts w:hint="eastAsia" w:ascii="仿宋" w:hAnsi="仿宋" w:eastAsia="仿宋" w:cs="仿宋"/>
          <w:color w:val="auto"/>
          <w:kern w:val="0"/>
          <w:sz w:val="24"/>
          <w:szCs w:val="24"/>
        </w:rPr>
        <w:t>.4 进度款审核和支付</w:t>
      </w:r>
    </w:p>
    <w:p w14:paraId="027E60B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3F42B19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16E50DE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5658FDD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（3）发包人签发进度款支付证书或临时进度款支付证书，不表明发包人已同意、批准或接受了承包人完成的相应部分的工作。</w:t>
      </w:r>
    </w:p>
    <w:p w14:paraId="413F457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12.4.5 进度付款的修正</w:t>
      </w:r>
    </w:p>
    <w:p w14:paraId="41EA326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09205B0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12.4.6 支付分解表</w:t>
      </w:r>
    </w:p>
    <w:p w14:paraId="7C84410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支付分解表的编制要求</w:t>
      </w:r>
    </w:p>
    <w:p w14:paraId="490D2EF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（1）支付分解表中所列的每期付款金额，应为第12.4.2项〔进度付款申请单的编制〕第（1）目的估算金额；</w:t>
      </w:r>
    </w:p>
    <w:p w14:paraId="664571F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（2）实际进度与施工进度计划不一致的，合同当事人可按照第4.4款〔商定或确定〕修改支付分解表；</w:t>
      </w:r>
    </w:p>
    <w:p w14:paraId="19FA1DD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（3）不采用支付分解表的，承包人应向发包人和监理人提交按季度编制的支付估算分解表，用于支付参考。</w:t>
      </w:r>
    </w:p>
    <w:p w14:paraId="5A19A4A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总价合同支付分解表的编制与审批</w:t>
      </w:r>
    </w:p>
    <w:p w14:paraId="528D512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235E2A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（2）监理人应在收到支付分解表后7天内完成审核并报送发包人。发包人应在收到经监理人审核的支付分解表后7天内完成审批，经发包人批准的支付分解表为有约束力的支付分解表。</w:t>
      </w:r>
    </w:p>
    <w:p w14:paraId="4F6F7FD9">
      <w:pPr>
        <w:pageBreakBefore w:val="0"/>
        <w:kinsoku/>
        <w:overflowPunct/>
        <w:topLinePunct w:val="0"/>
        <w:bidi w:val="0"/>
        <w:spacing w:line="44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（3）发包人逾期未完成支付分解表审批的，也未及时要求承包人进行修正和提供补充资料的，则承包人提交的支付分解表视为已经获得发包人批准。</w:t>
      </w:r>
    </w:p>
    <w:p w14:paraId="7EF97AB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单价合同的总价项目支付分解表的编制与审批</w:t>
      </w:r>
    </w:p>
    <w:p w14:paraId="041EAD1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E9E555E">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18" w:name="_Toc8852"/>
      <w:bookmarkStart w:id="519" w:name="_Toc351203585"/>
      <w:bookmarkStart w:id="520" w:name="_Toc4517"/>
      <w:r>
        <w:rPr>
          <w:rFonts w:hint="eastAsia" w:ascii="仿宋" w:hAnsi="仿宋" w:eastAsia="仿宋" w:cs="仿宋"/>
          <w:b w:val="0"/>
          <w:color w:val="auto"/>
          <w:sz w:val="24"/>
          <w:szCs w:val="24"/>
        </w:rPr>
        <w:t>12.5支付账户</w:t>
      </w:r>
      <w:bookmarkEnd w:id="518"/>
      <w:bookmarkEnd w:id="519"/>
      <w:bookmarkEnd w:id="520"/>
    </w:p>
    <w:p w14:paraId="6FCFDC1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发包人应将合同价款支付至合同协议书中约定的承包人账户。</w:t>
      </w:r>
    </w:p>
    <w:p w14:paraId="28ADB15C">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521" w:name="_Toc16540"/>
      <w:bookmarkStart w:id="522" w:name="_Toc3299"/>
      <w:bookmarkStart w:id="523" w:name="_Toc351203586"/>
      <w:bookmarkStart w:id="524" w:name="_Toc296346607"/>
      <w:bookmarkStart w:id="525" w:name="_Toc296503106"/>
      <w:bookmarkStart w:id="526" w:name="_Toc322522574"/>
      <w:bookmarkStart w:id="527" w:name="_Toc337558804"/>
      <w:r>
        <w:rPr>
          <w:rFonts w:hint="eastAsia" w:ascii="仿宋" w:hAnsi="仿宋" w:eastAsia="仿宋" w:cs="仿宋"/>
          <w:b w:val="0"/>
          <w:color w:val="auto"/>
          <w:sz w:val="24"/>
          <w:szCs w:val="24"/>
        </w:rPr>
        <w:t>13. 验收和工程试车</w:t>
      </w:r>
      <w:bookmarkEnd w:id="521"/>
      <w:bookmarkEnd w:id="522"/>
      <w:bookmarkEnd w:id="523"/>
    </w:p>
    <w:bookmarkEnd w:id="524"/>
    <w:bookmarkEnd w:id="525"/>
    <w:bookmarkEnd w:id="526"/>
    <w:bookmarkEnd w:id="527"/>
    <w:p w14:paraId="520115E8">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28" w:name="_Toc351203587"/>
      <w:bookmarkStart w:id="529" w:name="_Toc21377"/>
      <w:bookmarkStart w:id="530" w:name="_Toc9268"/>
      <w:bookmarkStart w:id="531" w:name="_Toc337558805"/>
      <w:bookmarkStart w:id="532" w:name="_Toc296346611"/>
      <w:bookmarkStart w:id="533" w:name="_Toc296503110"/>
      <w:r>
        <w:rPr>
          <w:rFonts w:hint="eastAsia" w:ascii="仿宋" w:hAnsi="仿宋" w:eastAsia="仿宋" w:cs="仿宋"/>
          <w:b w:val="0"/>
          <w:color w:val="auto"/>
          <w:sz w:val="24"/>
          <w:szCs w:val="24"/>
        </w:rPr>
        <w:t>13.1分部分项工程验收</w:t>
      </w:r>
      <w:bookmarkEnd w:id="528"/>
      <w:bookmarkEnd w:id="529"/>
      <w:bookmarkEnd w:id="530"/>
    </w:p>
    <w:bookmarkEnd w:id="531"/>
    <w:p w14:paraId="31AD5567">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13.1.1 分部分项工程质量应符合国家有关工程施工验收规范、标准及合同约定，承包人应按照施工组织设计的要求完成分部分项工程施工。</w:t>
      </w:r>
    </w:p>
    <w:p w14:paraId="6096830B">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13.1.2 除专用合同条款另有约定外，分部分项工程经承包人自检合格并具备验收条件的，承包人应提前48小时通知监理人进行验收。</w:t>
      </w:r>
      <w:r>
        <w:rPr>
          <w:rFonts w:hint="eastAsia" w:ascii="仿宋" w:hAnsi="仿宋" w:eastAsia="仿宋" w:cs="仿宋"/>
          <w:color w:val="auto"/>
          <w:kern w:val="0"/>
          <w:sz w:val="24"/>
          <w:szCs w:val="24"/>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仿宋" w:hAnsi="仿宋" w:eastAsia="仿宋" w:cs="仿宋"/>
          <w:color w:val="auto"/>
          <w:sz w:val="24"/>
          <w:szCs w:val="24"/>
        </w:rPr>
        <w:t>分部分项工程未经验收的，不得进入下一道工序施工。</w:t>
      </w:r>
    </w:p>
    <w:p w14:paraId="261B159F">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分部分项工程的验收资料应当作为竣工资料的组成部分。</w:t>
      </w:r>
    </w:p>
    <w:p w14:paraId="01A8E715">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34" w:name="_Toc30005"/>
      <w:bookmarkStart w:id="535" w:name="_Toc351203588"/>
      <w:bookmarkStart w:id="536" w:name="_Toc29600"/>
      <w:bookmarkStart w:id="537" w:name="_Toc337558806"/>
      <w:r>
        <w:rPr>
          <w:rFonts w:hint="eastAsia" w:ascii="仿宋" w:hAnsi="仿宋" w:eastAsia="仿宋" w:cs="仿宋"/>
          <w:b w:val="0"/>
          <w:color w:val="auto"/>
          <w:sz w:val="24"/>
          <w:szCs w:val="24"/>
        </w:rPr>
        <w:t>13.2竣工验收</w:t>
      </w:r>
      <w:bookmarkEnd w:id="534"/>
      <w:bookmarkEnd w:id="535"/>
      <w:bookmarkEnd w:id="536"/>
    </w:p>
    <w:bookmarkEnd w:id="532"/>
    <w:bookmarkEnd w:id="533"/>
    <w:bookmarkEnd w:id="537"/>
    <w:p w14:paraId="57523F1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13.2.1竣工验收条件</w:t>
      </w:r>
    </w:p>
    <w:p w14:paraId="6EF9DAC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工程具备以下条件的，承包人可以申请竣工验收：</w:t>
      </w:r>
    </w:p>
    <w:p w14:paraId="4136A41F">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（1）除发包人同意的甩项工作和缺陷修补工作外，合同范围内的全部工程以及有关工作，包括合同要求的试验、试运行以及检验均已完成，并符合合同要求；</w:t>
      </w:r>
    </w:p>
    <w:p w14:paraId="153B947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（2）已按合同约定编制了甩项工作和缺陷修补工作清单以及相应的施工计划；</w:t>
      </w:r>
    </w:p>
    <w:p w14:paraId="31B4508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（3）已按合同约定的内容和份数备齐竣工资料。</w:t>
      </w:r>
    </w:p>
    <w:p w14:paraId="273E541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13.2.2竣工验收程序</w:t>
      </w:r>
    </w:p>
    <w:p w14:paraId="32C73DB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除专用合同条款另有约定外，承包人申请竣工验收的，应当按照以下程序进行：</w:t>
      </w:r>
    </w:p>
    <w:p w14:paraId="4EF7FAD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16B7B5D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5BBF1FC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（3）竣工验收合格的，发包人应在验收合格后14天内向承包人签发工程接收证书。发包人无正当理由逾期不颁发工程接收证书的，自验收合格后第15天起视为已颁发工程接收证书。</w:t>
      </w:r>
    </w:p>
    <w:p w14:paraId="7635C68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133847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21ED828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7E70DA2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13.2.3竣工日期</w:t>
      </w:r>
    </w:p>
    <w:p w14:paraId="0AA093A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538" w:name="#go14"/>
      <w:bookmarkEnd w:id="538"/>
      <w:r>
        <w:rPr>
          <w:rFonts w:hint="eastAsia" w:ascii="仿宋" w:hAnsi="仿宋" w:eastAsia="仿宋" w:cs="仿宋"/>
          <w:color w:val="auto"/>
          <w:kern w:val="0"/>
          <w:sz w:val="24"/>
          <w:szCs w:val="24"/>
        </w:rPr>
        <w:t>收申请报告的日期为实际竣工日期；工程未经竣工验收，发包人擅自使用的，以转移占有工程之日为实际竣工日期。</w:t>
      </w:r>
    </w:p>
    <w:p w14:paraId="1FADF15F">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13.2.4 拒绝接收全部或部分工程</w:t>
      </w:r>
    </w:p>
    <w:p w14:paraId="77DADCF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6738B1C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13.2.5 移交、接收全部与部分工程</w:t>
      </w:r>
    </w:p>
    <w:p w14:paraId="10C3DF4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除专用合同条款另有约定外，合同当事人应当在颁发工程接收证书后7天内完成工程的移交。</w:t>
      </w:r>
    </w:p>
    <w:p w14:paraId="24C4343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14:paraId="3624447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承包人无正当理由不移交工程的，承包人应承担工程照管、成品保护、保管等与工程有关的各项费用，合同当事人可以在专用合同条款中另行约定承包人无正当理由不移交工程的违约责任。</w:t>
      </w:r>
    </w:p>
    <w:p w14:paraId="35C14B9E">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39" w:name="_Toc23778"/>
      <w:bookmarkStart w:id="540" w:name="_Toc351203589"/>
      <w:bookmarkStart w:id="541" w:name="_Toc29621"/>
      <w:bookmarkStart w:id="542" w:name="_Toc337558807"/>
      <w:bookmarkStart w:id="543" w:name="_Toc296503111"/>
      <w:bookmarkStart w:id="544" w:name="_Toc296346612"/>
      <w:r>
        <w:rPr>
          <w:rFonts w:hint="eastAsia" w:ascii="仿宋" w:hAnsi="仿宋" w:eastAsia="仿宋" w:cs="仿宋"/>
          <w:b w:val="0"/>
          <w:color w:val="auto"/>
          <w:sz w:val="24"/>
          <w:szCs w:val="24"/>
        </w:rPr>
        <w:t>13.3工程试车</w:t>
      </w:r>
      <w:bookmarkEnd w:id="539"/>
      <w:bookmarkEnd w:id="540"/>
      <w:bookmarkEnd w:id="541"/>
    </w:p>
    <w:bookmarkEnd w:id="542"/>
    <w:bookmarkEnd w:id="543"/>
    <w:bookmarkEnd w:id="544"/>
    <w:p w14:paraId="083A865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13.3.1试车程序</w:t>
      </w:r>
    </w:p>
    <w:p w14:paraId="4B6BA47E">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工程需要试车的，除专用合同条款另有约定外，试车内容应与承包人承包范围相一致，试车费用由承包人承担。工程试车应按如下程序进行：</w:t>
      </w:r>
    </w:p>
    <w:p w14:paraId="21D4E457">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62CCB0D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7825B6E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2C7907C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13.3.2 试车中的责任</w:t>
      </w:r>
    </w:p>
    <w:p w14:paraId="65566BA7">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74180027">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1C67939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13.3.3 投料试车</w:t>
      </w:r>
    </w:p>
    <w:p w14:paraId="4DAAD68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如需进行投料试车的，发包人应在工程竣工验收后组织投料试车。发包人要求在工程竣工验收前进行或需要承包人配合时，应征得承包人同意，并在专用合同条款中约定有关事项。</w:t>
      </w:r>
    </w:p>
    <w:p w14:paraId="1A22523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4FE749E7">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45" w:name="_Toc30509"/>
      <w:bookmarkStart w:id="546" w:name="_Toc20892"/>
      <w:bookmarkStart w:id="547" w:name="_Toc351203590"/>
      <w:bookmarkStart w:id="548" w:name="_Toc337558808"/>
      <w:r>
        <w:rPr>
          <w:rFonts w:hint="eastAsia" w:ascii="仿宋" w:hAnsi="仿宋" w:eastAsia="仿宋" w:cs="仿宋"/>
          <w:b w:val="0"/>
          <w:color w:val="auto"/>
          <w:sz w:val="24"/>
          <w:szCs w:val="24"/>
        </w:rPr>
        <w:t>13.4提前交付单位工程的验收</w:t>
      </w:r>
      <w:bookmarkEnd w:id="545"/>
      <w:bookmarkEnd w:id="546"/>
      <w:bookmarkEnd w:id="547"/>
    </w:p>
    <w:bookmarkEnd w:id="548"/>
    <w:p w14:paraId="356B89B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13.4.1 发包人需要在工程竣工前使用单位工程的，或承包人提出提前交付已经竣工的单位工程且经发包人同意的，可进行单位工程验收，验收的程序按照第13.2款〔竣工验收〕的约定进行。</w:t>
      </w:r>
    </w:p>
    <w:p w14:paraId="64A5639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74E96AE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13.4.2 发包人要求在工程竣工前交付单位工程，由此导致承包人费用增加和（或）工期延误的，由发包人承担由此增加的费用和（或）延误的工期，并支付承包人合理的利润。</w:t>
      </w:r>
    </w:p>
    <w:p w14:paraId="1DB19EE1">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49" w:name="_Toc25061"/>
      <w:bookmarkStart w:id="550" w:name="_Toc19783"/>
      <w:bookmarkStart w:id="551" w:name="_Toc351203591"/>
      <w:r>
        <w:rPr>
          <w:rFonts w:hint="eastAsia" w:ascii="仿宋" w:hAnsi="仿宋" w:eastAsia="仿宋" w:cs="仿宋"/>
          <w:b w:val="0"/>
          <w:color w:val="auto"/>
          <w:sz w:val="24"/>
          <w:szCs w:val="24"/>
        </w:rPr>
        <w:t>13.5 施工期运行</w:t>
      </w:r>
      <w:bookmarkEnd w:id="549"/>
      <w:bookmarkEnd w:id="550"/>
      <w:bookmarkEnd w:id="551"/>
    </w:p>
    <w:p w14:paraId="66194CE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4190774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13.5.2 在施工期运行中发现工程或工程设备损坏或存在缺陷的，由承包人按第15.2款〔缺陷责任期〕约定进行修复。</w:t>
      </w:r>
    </w:p>
    <w:p w14:paraId="3DF4D338">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52" w:name="_Toc296346613"/>
      <w:bookmarkStart w:id="553" w:name="_Toc296503112"/>
      <w:bookmarkStart w:id="554" w:name="_Toc20790"/>
      <w:bookmarkStart w:id="555" w:name="_Toc9667"/>
      <w:bookmarkStart w:id="556" w:name="_Toc351203592"/>
      <w:bookmarkStart w:id="557" w:name="_Toc337558809"/>
      <w:r>
        <w:rPr>
          <w:rFonts w:hint="eastAsia" w:ascii="仿宋" w:hAnsi="仿宋" w:eastAsia="仿宋" w:cs="仿宋"/>
          <w:b w:val="0"/>
          <w:color w:val="auto"/>
          <w:sz w:val="24"/>
          <w:szCs w:val="24"/>
        </w:rPr>
        <w:t>13.6 竣工退</w:t>
      </w:r>
      <w:bookmarkEnd w:id="552"/>
      <w:bookmarkEnd w:id="553"/>
      <w:r>
        <w:rPr>
          <w:rFonts w:hint="eastAsia" w:ascii="仿宋" w:hAnsi="仿宋" w:eastAsia="仿宋" w:cs="仿宋"/>
          <w:b w:val="0"/>
          <w:color w:val="auto"/>
          <w:sz w:val="24"/>
          <w:szCs w:val="24"/>
        </w:rPr>
        <w:t>场</w:t>
      </w:r>
      <w:bookmarkEnd w:id="554"/>
      <w:bookmarkEnd w:id="555"/>
      <w:bookmarkEnd w:id="556"/>
    </w:p>
    <w:bookmarkEnd w:id="557"/>
    <w:p w14:paraId="231ABB6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13.6.1 竣工退场</w:t>
      </w:r>
    </w:p>
    <w:p w14:paraId="2785E0F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颁发工程接收证书后，承包人应按以下要求对施工现场进行清理：</w:t>
      </w:r>
    </w:p>
    <w:p w14:paraId="3703E4B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（1）施工现场内残留的垃圾已全部清除出场；</w:t>
      </w:r>
    </w:p>
    <w:p w14:paraId="5198190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（2）临时工程已拆除，场地已进行清理、平整或复原；</w:t>
      </w:r>
    </w:p>
    <w:p w14:paraId="511D51C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（3）按合同约定应撤离的人员、承包人施工设备和剩余的材料，包括废弃的施工设备和材料，已按计划撤离施工现场；</w:t>
      </w:r>
    </w:p>
    <w:p w14:paraId="72F03D1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（4）施工现场周边及其附近道路、河道的施工堆积物，已全部清理；</w:t>
      </w:r>
    </w:p>
    <w:p w14:paraId="22B94AC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（5）施工现场其他场地清理工作已全部完成。</w:t>
      </w:r>
    </w:p>
    <w:p w14:paraId="75F68D0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0A9DE1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13.6.2 地表还原</w:t>
      </w:r>
    </w:p>
    <w:p w14:paraId="5277F61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6B37BCD7">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558" w:name="_Toc4899"/>
      <w:bookmarkStart w:id="559" w:name="_Toc351203593"/>
      <w:bookmarkStart w:id="560" w:name="_Toc25581"/>
      <w:bookmarkStart w:id="561" w:name="_Toc337558810"/>
      <w:bookmarkStart w:id="562" w:name="_Toc296346614"/>
      <w:bookmarkStart w:id="563" w:name="_Toc296503113"/>
      <w:r>
        <w:rPr>
          <w:rFonts w:hint="eastAsia" w:ascii="仿宋" w:hAnsi="仿宋" w:eastAsia="仿宋" w:cs="仿宋"/>
          <w:b w:val="0"/>
          <w:color w:val="auto"/>
          <w:sz w:val="24"/>
          <w:szCs w:val="24"/>
        </w:rPr>
        <w:t>14. 竣工结算</w:t>
      </w:r>
      <w:bookmarkEnd w:id="558"/>
      <w:bookmarkEnd w:id="559"/>
      <w:bookmarkEnd w:id="560"/>
    </w:p>
    <w:bookmarkEnd w:id="561"/>
    <w:p w14:paraId="7C5FC99D">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64" w:name="_Toc351203594"/>
      <w:bookmarkStart w:id="565" w:name="_Toc740"/>
      <w:bookmarkStart w:id="566" w:name="_Toc5202"/>
      <w:bookmarkStart w:id="567" w:name="_Toc337558811"/>
      <w:r>
        <w:rPr>
          <w:rFonts w:hint="eastAsia" w:ascii="仿宋" w:hAnsi="仿宋" w:eastAsia="仿宋" w:cs="仿宋"/>
          <w:b w:val="0"/>
          <w:color w:val="auto"/>
          <w:sz w:val="24"/>
          <w:szCs w:val="24"/>
        </w:rPr>
        <w:t>14.1 竣工结算申请</w:t>
      </w:r>
      <w:bookmarkEnd w:id="564"/>
      <w:bookmarkEnd w:id="565"/>
      <w:bookmarkEnd w:id="566"/>
    </w:p>
    <w:bookmarkEnd w:id="567"/>
    <w:p w14:paraId="6616BB8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除专用合同条款另有约定外，</w:t>
      </w:r>
      <w:r>
        <w:rPr>
          <w:rFonts w:hint="eastAsia" w:ascii="仿宋" w:hAnsi="仿宋" w:eastAsia="仿宋" w:cs="仿宋"/>
          <w:color w:val="auto"/>
          <w:sz w:val="24"/>
          <w:szCs w:val="24"/>
        </w:rPr>
        <w:t>承包人应在工程竣工验收合格后28天内向发包人和监理人提交竣工结算申请单，并提交完整的结算资料，有关竣工结算申请单的资料清单和份数等要求由合同当事人在专用合同条款中约定。</w:t>
      </w:r>
    </w:p>
    <w:p w14:paraId="5B57E25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除专用合同条款另有约定外，竣工结算申请单应包括以下内容：</w:t>
      </w:r>
    </w:p>
    <w:p w14:paraId="4246336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（1）竣工结算合同价格；</w:t>
      </w:r>
    </w:p>
    <w:p w14:paraId="300ABB7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（2）发包人已支付承包人的款项；</w:t>
      </w:r>
    </w:p>
    <w:p w14:paraId="140D397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（3）应扣留的质量保证金。已缴纳履约保证金的或提供其他工程质量担保方式的除外； </w:t>
      </w:r>
    </w:p>
    <w:p w14:paraId="41C9502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（4）发包人应支付承包人的合同价款。</w:t>
      </w:r>
    </w:p>
    <w:p w14:paraId="0C3163F8">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68" w:name="_Toc351203595"/>
      <w:bookmarkStart w:id="569" w:name="_Toc30455"/>
      <w:bookmarkStart w:id="570" w:name="_Toc27112"/>
      <w:bookmarkStart w:id="571" w:name="_Toc337558812"/>
      <w:r>
        <w:rPr>
          <w:rFonts w:hint="eastAsia" w:ascii="仿宋" w:hAnsi="仿宋" w:eastAsia="仿宋" w:cs="仿宋"/>
          <w:b w:val="0"/>
          <w:color w:val="auto"/>
          <w:sz w:val="24"/>
          <w:szCs w:val="24"/>
        </w:rPr>
        <w:t>14.2 竣工结算审核</w:t>
      </w:r>
      <w:bookmarkEnd w:id="568"/>
      <w:bookmarkEnd w:id="569"/>
      <w:bookmarkEnd w:id="570"/>
    </w:p>
    <w:bookmarkEnd w:id="571"/>
    <w:p w14:paraId="77C3793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仿宋" w:hAnsi="仿宋" w:eastAsia="仿宋" w:cs="仿宋"/>
          <w:color w:val="auto"/>
          <w:sz w:val="24"/>
          <w:szCs w:val="24"/>
        </w:rPr>
        <w:t>发包人对竣工</w:t>
      </w:r>
      <w:r>
        <w:rPr>
          <w:rFonts w:hint="eastAsia" w:ascii="仿宋" w:hAnsi="仿宋" w:eastAsia="仿宋" w:cs="仿宋"/>
          <w:color w:val="auto"/>
          <w:kern w:val="0"/>
          <w:sz w:val="24"/>
          <w:szCs w:val="24"/>
        </w:rPr>
        <w:t>结算</w:t>
      </w:r>
      <w:r>
        <w:rPr>
          <w:rFonts w:hint="eastAsia" w:ascii="仿宋" w:hAnsi="仿宋" w:eastAsia="仿宋" w:cs="仿宋"/>
          <w:color w:val="auto"/>
          <w:sz w:val="24"/>
          <w:szCs w:val="24"/>
        </w:rPr>
        <w:t>申请单有异议的，有权要求承包人进行修正和提供补充资料，承包人应提交修正后的竣工</w:t>
      </w:r>
      <w:r>
        <w:rPr>
          <w:rFonts w:hint="eastAsia" w:ascii="仿宋" w:hAnsi="仿宋" w:eastAsia="仿宋" w:cs="仿宋"/>
          <w:color w:val="auto"/>
          <w:kern w:val="0"/>
          <w:sz w:val="24"/>
          <w:szCs w:val="24"/>
        </w:rPr>
        <w:t>结算</w:t>
      </w:r>
      <w:r>
        <w:rPr>
          <w:rFonts w:hint="eastAsia" w:ascii="仿宋" w:hAnsi="仿宋" w:eastAsia="仿宋" w:cs="仿宋"/>
          <w:color w:val="auto"/>
          <w:sz w:val="24"/>
          <w:szCs w:val="24"/>
        </w:rPr>
        <w:t>申请单。</w:t>
      </w:r>
    </w:p>
    <w:p w14:paraId="5726AC2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7496168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1DC7B18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093B2F72">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72" w:name="_Toc25832"/>
      <w:bookmarkStart w:id="573" w:name="_Toc351203596"/>
      <w:bookmarkStart w:id="574" w:name="_Toc32388"/>
      <w:bookmarkStart w:id="575" w:name="_Toc337558813"/>
      <w:r>
        <w:rPr>
          <w:rFonts w:hint="eastAsia" w:ascii="仿宋" w:hAnsi="仿宋" w:eastAsia="仿宋" w:cs="仿宋"/>
          <w:b w:val="0"/>
          <w:color w:val="auto"/>
          <w:sz w:val="24"/>
          <w:szCs w:val="24"/>
        </w:rPr>
        <w:t>14.3 甩项竣工协议</w:t>
      </w:r>
      <w:bookmarkEnd w:id="572"/>
      <w:bookmarkEnd w:id="573"/>
      <w:bookmarkEnd w:id="574"/>
    </w:p>
    <w:bookmarkEnd w:id="575"/>
    <w:p w14:paraId="3C3AB43E">
      <w:pPr>
        <w:pageBreakBefore w:val="0"/>
        <w:kinsoku/>
        <w:overflowPunct/>
        <w:topLinePunct w:val="0"/>
        <w:autoSpaceDE w:val="0"/>
        <w:autoSpaceDN w:val="0"/>
        <w:bidi w:val="0"/>
        <w:adjustRightInd w:val="0"/>
        <w:spacing w:line="440" w:lineRule="exact"/>
        <w:ind w:firstLine="470" w:firstLineChars="196"/>
        <w:jc w:val="left"/>
        <w:rPr>
          <w:rFonts w:hint="eastAsia" w:ascii="仿宋" w:hAnsi="仿宋" w:eastAsia="仿宋" w:cs="仿宋"/>
          <w:color w:val="auto"/>
          <w:kern w:val="0"/>
          <w:sz w:val="24"/>
          <w:szCs w:val="24"/>
        </w:rPr>
      </w:pPr>
      <w:r>
        <w:rPr>
          <w:rFonts w:hint="eastAsia" w:ascii="仿宋" w:hAnsi="仿宋" w:eastAsia="仿宋" w:cs="仿宋"/>
          <w:color w:val="auto"/>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14:paraId="114D9BD2">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76" w:name="_Toc25484"/>
      <w:bookmarkStart w:id="577" w:name="_Toc351203597"/>
      <w:bookmarkStart w:id="578" w:name="_Toc16390"/>
      <w:bookmarkStart w:id="579" w:name="_Toc337558814"/>
      <w:r>
        <w:rPr>
          <w:rFonts w:hint="eastAsia" w:ascii="仿宋" w:hAnsi="仿宋" w:eastAsia="仿宋" w:cs="仿宋"/>
          <w:b w:val="0"/>
          <w:color w:val="auto"/>
          <w:sz w:val="24"/>
          <w:szCs w:val="24"/>
        </w:rPr>
        <w:t>14.4 最终结清</w:t>
      </w:r>
      <w:bookmarkEnd w:id="576"/>
      <w:bookmarkEnd w:id="577"/>
      <w:bookmarkEnd w:id="578"/>
    </w:p>
    <w:bookmarkEnd w:id="579"/>
    <w:p w14:paraId="4265AA7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14.4.1 最终结清申请单</w:t>
      </w:r>
    </w:p>
    <w:p w14:paraId="2623D16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（1）除专用合同条款另有约定外，承包人应在缺陷责任期终止证书颁发后7天内，按专用合同条款约定的份数向发包人提交最终结清申请单，并提供相关证明材料。</w:t>
      </w:r>
    </w:p>
    <w:p w14:paraId="61A05E0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除专用合同条款另有约定外，</w:t>
      </w:r>
      <w:r>
        <w:rPr>
          <w:rFonts w:hint="eastAsia" w:ascii="仿宋" w:hAnsi="仿宋" w:eastAsia="仿宋" w:cs="仿宋"/>
          <w:color w:val="auto"/>
          <w:kern w:val="0"/>
          <w:sz w:val="24"/>
          <w:szCs w:val="24"/>
        </w:rPr>
        <w:t>最终结清申请单</w:t>
      </w:r>
      <w:r>
        <w:rPr>
          <w:rFonts w:hint="eastAsia" w:ascii="仿宋" w:hAnsi="仿宋" w:eastAsia="仿宋" w:cs="仿宋"/>
          <w:color w:val="auto"/>
          <w:sz w:val="24"/>
          <w:szCs w:val="24"/>
        </w:rPr>
        <w:t>应列明质量保证金、应扣除的质量保证金、缺陷责任期内发生的增减费用。</w:t>
      </w:r>
    </w:p>
    <w:p w14:paraId="1CDED14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（2）发包人对最终结清申请单内容有异议的，有权要求承包人进行修正和提供补充资料，承包人应向发包人提交修正后的最终结清申请单。</w:t>
      </w:r>
    </w:p>
    <w:p w14:paraId="2D7CB08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14.4.2 最终结清证书和支付</w:t>
      </w:r>
    </w:p>
    <w:p w14:paraId="4AD4666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1AE0C57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AC5929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（3）承包人对发包人颁发的最终结清证书有异议的，按第20条〔争议解决〕的约定办理。</w:t>
      </w:r>
    </w:p>
    <w:p w14:paraId="6EC64E94">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580" w:name="_Toc25360"/>
      <w:bookmarkStart w:id="581" w:name="_Toc351203598"/>
      <w:bookmarkStart w:id="582" w:name="_Toc8033"/>
      <w:bookmarkStart w:id="583" w:name="_Toc337558815"/>
      <w:r>
        <w:rPr>
          <w:rFonts w:hint="eastAsia" w:ascii="仿宋" w:hAnsi="仿宋" w:eastAsia="仿宋" w:cs="仿宋"/>
          <w:b w:val="0"/>
          <w:color w:val="auto"/>
          <w:sz w:val="24"/>
          <w:szCs w:val="24"/>
        </w:rPr>
        <w:t>15. 缺陷责任与保修</w:t>
      </w:r>
      <w:bookmarkEnd w:id="580"/>
      <w:bookmarkEnd w:id="581"/>
      <w:bookmarkEnd w:id="582"/>
    </w:p>
    <w:bookmarkEnd w:id="562"/>
    <w:bookmarkEnd w:id="563"/>
    <w:bookmarkEnd w:id="583"/>
    <w:p w14:paraId="528D4F47">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84" w:name="_Toc9705"/>
      <w:bookmarkStart w:id="585" w:name="_Toc351203599"/>
      <w:bookmarkStart w:id="586" w:name="_Toc21280"/>
      <w:bookmarkStart w:id="587" w:name="_Toc337558816"/>
      <w:bookmarkStart w:id="588" w:name="_Toc296503114"/>
      <w:bookmarkStart w:id="589" w:name="_Toc296346615"/>
      <w:r>
        <w:rPr>
          <w:rFonts w:hint="eastAsia" w:ascii="仿宋" w:hAnsi="仿宋" w:eastAsia="仿宋" w:cs="仿宋"/>
          <w:b w:val="0"/>
          <w:color w:val="auto"/>
          <w:sz w:val="24"/>
          <w:szCs w:val="24"/>
        </w:rPr>
        <w:t>15.1 工程保修的原则</w:t>
      </w:r>
      <w:bookmarkEnd w:id="584"/>
      <w:bookmarkEnd w:id="585"/>
      <w:bookmarkEnd w:id="586"/>
    </w:p>
    <w:bookmarkEnd w:id="587"/>
    <w:p w14:paraId="51C3730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在工程移交发包人后，因承包人原因产生的质量缺陷，承包人应承担质量缺陷责任和保修义务。缺陷责任期届满，承包人仍应按合同约定的工程各部位保修年限承担保修义务。</w:t>
      </w:r>
    </w:p>
    <w:p w14:paraId="6F01FC82">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90" w:name="_Toc7303"/>
      <w:bookmarkStart w:id="591" w:name="_Toc351203600"/>
      <w:bookmarkStart w:id="592" w:name="_Toc1995"/>
      <w:bookmarkStart w:id="593" w:name="_Toc337558817"/>
      <w:r>
        <w:rPr>
          <w:rFonts w:hint="eastAsia" w:ascii="仿宋" w:hAnsi="仿宋" w:eastAsia="仿宋" w:cs="仿宋"/>
          <w:b w:val="0"/>
          <w:color w:val="auto"/>
          <w:sz w:val="24"/>
          <w:szCs w:val="24"/>
        </w:rPr>
        <w:t>15.2 缺陷责任期</w:t>
      </w:r>
      <w:bookmarkEnd w:id="588"/>
      <w:bookmarkEnd w:id="589"/>
      <w:bookmarkEnd w:id="590"/>
      <w:bookmarkEnd w:id="591"/>
      <w:bookmarkEnd w:id="592"/>
    </w:p>
    <w:bookmarkEnd w:id="593"/>
    <w:p w14:paraId="7147040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15.2.1 缺陷责任期从工程通过竣工验收之日起计算，合同当事人应在专用合同条款约定缺陷责任期的具体期限，但该期限最长不超过24个月。</w:t>
      </w:r>
    </w:p>
    <w:p w14:paraId="445A3DA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49B1D25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仿宋" w:hAnsi="仿宋" w:eastAsia="仿宋" w:cs="仿宋"/>
          <w:bCs/>
          <w:color w:val="auto"/>
          <w:sz w:val="24"/>
          <w:szCs w:val="24"/>
        </w:rPr>
        <w:t>包人延长缺陷责任期，</w:t>
      </w:r>
      <w:r>
        <w:rPr>
          <w:rFonts w:hint="eastAsia" w:ascii="仿宋" w:hAnsi="仿宋" w:eastAsia="仿宋" w:cs="仿宋"/>
          <w:color w:val="auto"/>
          <w:kern w:val="0"/>
          <w:sz w:val="24"/>
          <w:szCs w:val="24"/>
        </w:rPr>
        <w:t>并应在原缺陷责任期届满前发出延长通知</w:t>
      </w:r>
      <w:r>
        <w:rPr>
          <w:rFonts w:hint="eastAsia" w:ascii="仿宋" w:hAnsi="仿宋" w:eastAsia="仿宋" w:cs="仿宋"/>
          <w:color w:val="auto"/>
          <w:kern w:val="0"/>
          <w:sz w:val="24"/>
          <w:szCs w:val="24"/>
          <w:lang w:eastAsia="zh-CN"/>
        </w:rPr>
        <w:t>。</w:t>
      </w:r>
      <w:r>
        <w:rPr>
          <w:rFonts w:hint="eastAsia" w:ascii="仿宋" w:hAnsi="仿宋" w:eastAsia="仿宋" w:cs="仿宋"/>
          <w:bCs/>
          <w:color w:val="auto"/>
          <w:sz w:val="24"/>
          <w:szCs w:val="24"/>
        </w:rPr>
        <w:t>但缺陷责任期</w:t>
      </w:r>
      <w:r>
        <w:rPr>
          <w:rFonts w:hint="eastAsia" w:ascii="仿宋" w:hAnsi="仿宋" w:eastAsia="仿宋" w:cs="仿宋"/>
          <w:bCs/>
          <w:color w:val="auto"/>
          <w:sz w:val="24"/>
          <w:szCs w:val="24"/>
          <w:lang w:eastAsia="zh-CN"/>
        </w:rPr>
        <w:t>（含延长部分）</w:t>
      </w:r>
      <w:r>
        <w:rPr>
          <w:rFonts w:hint="eastAsia" w:ascii="仿宋" w:hAnsi="仿宋" w:eastAsia="仿宋" w:cs="仿宋"/>
          <w:bCs/>
          <w:color w:val="auto"/>
          <w:sz w:val="24"/>
          <w:szCs w:val="24"/>
        </w:rPr>
        <w:t>最长</w:t>
      </w:r>
      <w:r>
        <w:rPr>
          <w:rFonts w:hint="eastAsia" w:ascii="仿宋" w:hAnsi="仿宋" w:eastAsia="仿宋" w:cs="仿宋"/>
          <w:color w:val="auto"/>
          <w:kern w:val="0"/>
          <w:sz w:val="24"/>
          <w:szCs w:val="24"/>
        </w:rPr>
        <w:t>不能超过24个月。</w:t>
      </w:r>
    </w:p>
    <w:p w14:paraId="606CE9B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由他人原因造成的缺陷，发包人负责组织维修，承包人不承担费用，且发包人不得从保证金中扣除费用。</w:t>
      </w:r>
    </w:p>
    <w:p w14:paraId="2763DD8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15.2.3 任何一项缺陷或损坏修复后，经检查证明其影响了工程或工程设备的使用性能，承包人应重新进行合同约定的试验和试运行，试验和试运行的全部费用应由责任方承担。</w:t>
      </w:r>
    </w:p>
    <w:p w14:paraId="7B04980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7D3FB18C">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594" w:name="_Toc5815"/>
      <w:bookmarkStart w:id="595" w:name="_Toc10536"/>
      <w:bookmarkStart w:id="596" w:name="_Toc351203601"/>
      <w:bookmarkStart w:id="597" w:name="_Toc337558818"/>
      <w:bookmarkStart w:id="598" w:name="_Toc296346616"/>
      <w:bookmarkStart w:id="599" w:name="_Toc296503115"/>
      <w:r>
        <w:rPr>
          <w:rFonts w:hint="eastAsia" w:ascii="仿宋" w:hAnsi="仿宋" w:eastAsia="仿宋" w:cs="仿宋"/>
          <w:b w:val="0"/>
          <w:color w:val="auto"/>
          <w:sz w:val="24"/>
          <w:szCs w:val="24"/>
        </w:rPr>
        <w:t>15.3 质量保证金</w:t>
      </w:r>
      <w:bookmarkEnd w:id="594"/>
      <w:bookmarkEnd w:id="595"/>
      <w:bookmarkEnd w:id="596"/>
    </w:p>
    <w:bookmarkEnd w:id="597"/>
    <w:p w14:paraId="1D4D676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经合同当事人协商一致扣留质量保证金的，应在专用合同条款中予以明确。</w:t>
      </w:r>
    </w:p>
    <w:p w14:paraId="471A3859">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在工程项目竣工前，承包人已经提供履约担保的，发包人不得同时预留工程质量保证金。</w:t>
      </w:r>
    </w:p>
    <w:p w14:paraId="5ED0F1D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p>
    <w:p w14:paraId="1CBAFD5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15.3.1 承包人提供质量保证金的方式</w:t>
      </w:r>
    </w:p>
    <w:p w14:paraId="1CF590E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承包人提供质量保证金有以下三种方式：</w:t>
      </w:r>
    </w:p>
    <w:p w14:paraId="22139BF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（1）质量保证金保函； </w:t>
      </w:r>
    </w:p>
    <w:p w14:paraId="0D11CB0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（2）相应比例的工程款；</w:t>
      </w:r>
    </w:p>
    <w:p w14:paraId="4D301C8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（3）双方约定的其他方式。</w:t>
      </w:r>
    </w:p>
    <w:p w14:paraId="4F81AC9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除专用合同条款另有约定外，质量保证金原则上采用上述第（1）种方式。</w:t>
      </w:r>
    </w:p>
    <w:p w14:paraId="0129932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15.3.2 质量保证金的扣留</w:t>
      </w:r>
    </w:p>
    <w:p w14:paraId="2A32367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质量保证金的扣留有以下三种方式：</w:t>
      </w:r>
    </w:p>
    <w:p w14:paraId="411FD85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（1）在支付工程进度款时逐次扣留，在此情形下，质量保证金的计算基数不包括预付款的支付、扣回以及价格调整的金额；</w:t>
      </w:r>
    </w:p>
    <w:p w14:paraId="1B1D143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（2）工</w:t>
      </w:r>
      <w:bookmarkStart w:id="600" w:name="#go6"/>
      <w:bookmarkEnd w:id="600"/>
      <w:r>
        <w:rPr>
          <w:rFonts w:hint="eastAsia" w:ascii="仿宋" w:hAnsi="仿宋" w:eastAsia="仿宋" w:cs="仿宋"/>
          <w:color w:val="auto"/>
          <w:kern w:val="0"/>
          <w:sz w:val="24"/>
          <w:szCs w:val="24"/>
        </w:rPr>
        <w:t>程竣工结算时一次性扣留质量保证金；</w:t>
      </w:r>
    </w:p>
    <w:p w14:paraId="13008C5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（3）双方约定的其他扣留方式。</w:t>
      </w:r>
    </w:p>
    <w:p w14:paraId="2AA9F8F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除专用合同条款另有约定外，质量保证金的扣留原则上采用上述第（1）种方式。</w:t>
      </w:r>
    </w:p>
    <w:p w14:paraId="6FEECFC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w:t>
      </w:r>
      <w:bookmarkStart w:id="601" w:name="#go4"/>
      <w:bookmarkEnd w:id="601"/>
      <w:r>
        <w:rPr>
          <w:rFonts w:hint="eastAsia" w:ascii="仿宋" w:hAnsi="仿宋" w:eastAsia="仿宋" w:cs="仿宋"/>
          <w:color w:val="auto"/>
          <w:kern w:val="0"/>
          <w:sz w:val="24"/>
          <w:szCs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511AE04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发包人在退还质量保证金的同时按照中国人民银行发布的同期同类贷款基准利率支付利息。</w:t>
      </w:r>
    </w:p>
    <w:p w14:paraId="530FCE6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15.3.3 </w:t>
      </w:r>
      <w:r>
        <w:rPr>
          <w:rFonts w:hint="eastAsia" w:ascii="仿宋" w:hAnsi="仿宋" w:eastAsia="仿宋" w:cs="仿宋"/>
          <w:color w:val="auto"/>
          <w:sz w:val="24"/>
          <w:szCs w:val="24"/>
        </w:rPr>
        <w:t>质量保证金</w:t>
      </w:r>
      <w:r>
        <w:rPr>
          <w:rFonts w:hint="eastAsia" w:ascii="仿宋" w:hAnsi="仿宋" w:eastAsia="仿宋" w:cs="仿宋"/>
          <w:color w:val="auto"/>
          <w:kern w:val="0"/>
          <w:sz w:val="24"/>
          <w:szCs w:val="24"/>
        </w:rPr>
        <w:t>的退还</w:t>
      </w:r>
    </w:p>
    <w:p w14:paraId="7796AD4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缺陷责任期内，承包人认真履行合同约定的责任，到期后，承包人可向发包人申请返还保证金。</w:t>
      </w:r>
    </w:p>
    <w:p w14:paraId="0E694DE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2FBD342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发包人和承包人对保证金预留、返还以及工程维修质量、费用有争议的，按本合同第20条约定的争议和纠纷解决程序处理。</w:t>
      </w:r>
    </w:p>
    <w:p w14:paraId="68006840">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02" w:name="_Toc23844"/>
      <w:bookmarkStart w:id="603" w:name="_Toc351203602"/>
      <w:bookmarkStart w:id="604" w:name="_Toc22523"/>
      <w:bookmarkStart w:id="605" w:name="_Toc337558819"/>
      <w:r>
        <w:rPr>
          <w:rFonts w:hint="eastAsia" w:ascii="仿宋" w:hAnsi="仿宋" w:eastAsia="仿宋" w:cs="仿宋"/>
          <w:b w:val="0"/>
          <w:color w:val="auto"/>
          <w:sz w:val="24"/>
          <w:szCs w:val="24"/>
        </w:rPr>
        <w:t>15.4 保修</w:t>
      </w:r>
      <w:bookmarkEnd w:id="602"/>
      <w:bookmarkEnd w:id="603"/>
      <w:bookmarkEnd w:id="604"/>
    </w:p>
    <w:bookmarkEnd w:id="598"/>
    <w:bookmarkEnd w:id="599"/>
    <w:bookmarkEnd w:id="605"/>
    <w:p w14:paraId="12F90C2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15.4.1保修责任</w:t>
      </w:r>
    </w:p>
    <w:p w14:paraId="5021CF8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EE1AA47">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发包人未经竣工验收擅自使用工程的，保修期自</w:t>
      </w:r>
      <w:r>
        <w:rPr>
          <w:rFonts w:hint="eastAsia" w:ascii="仿宋" w:hAnsi="仿宋" w:eastAsia="仿宋" w:cs="仿宋"/>
          <w:color w:val="auto"/>
          <w:kern w:val="0"/>
          <w:sz w:val="24"/>
          <w:szCs w:val="24"/>
        </w:rPr>
        <w:t>转移占有之日起算</w:t>
      </w:r>
      <w:r>
        <w:rPr>
          <w:rFonts w:hint="eastAsia" w:ascii="仿宋" w:hAnsi="仿宋" w:eastAsia="仿宋" w:cs="仿宋"/>
          <w:color w:val="auto"/>
          <w:sz w:val="24"/>
          <w:szCs w:val="24"/>
        </w:rPr>
        <w:t>。</w:t>
      </w:r>
    </w:p>
    <w:p w14:paraId="7FE7715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15.4.2 修复费用</w:t>
      </w:r>
    </w:p>
    <w:p w14:paraId="22ACF7A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保修期内，修复的费用按照以下约定处理：</w:t>
      </w:r>
    </w:p>
    <w:p w14:paraId="32CF23C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（1）保修期内，因承包人原因造成工程的缺陷、损坏，承包人应负责修复，并承担修复的费用以及因工程的缺陷、损坏造成的人身伤害和财产损失；</w:t>
      </w:r>
    </w:p>
    <w:p w14:paraId="32249AB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（2）保修期内，因发包人使用不当造成工程的缺陷、损坏，可以委托承包人修复，但发包人应承担修复的费用，并支付承包人合理利润；</w:t>
      </w:r>
    </w:p>
    <w:p w14:paraId="1F979DD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（3）因其他原因造成工程的缺陷、损坏，可以委托承包人修复，发包人应承担修复的费用，并支付承包人合理的利润，因工程的缺陷、损坏造成的人身伤害和财产损失由责任方承担。</w:t>
      </w:r>
    </w:p>
    <w:p w14:paraId="4FFDBE1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15.4.3 修复通知</w:t>
      </w:r>
    </w:p>
    <w:p w14:paraId="00F9C454">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476979A5">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15.4.4 未能修复</w:t>
      </w:r>
    </w:p>
    <w:p w14:paraId="040C400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4F485FF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15.4.5 承包人出入权</w:t>
      </w:r>
    </w:p>
    <w:p w14:paraId="4BA392D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5DD49CCA">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606" w:name="_Toc351203603"/>
      <w:bookmarkStart w:id="607" w:name="_Toc26341"/>
      <w:bookmarkStart w:id="608" w:name="_Toc13934"/>
      <w:bookmarkStart w:id="609" w:name="_Toc337558820"/>
      <w:r>
        <w:rPr>
          <w:rFonts w:hint="eastAsia" w:ascii="仿宋" w:hAnsi="仿宋" w:eastAsia="仿宋" w:cs="仿宋"/>
          <w:b w:val="0"/>
          <w:color w:val="auto"/>
          <w:sz w:val="24"/>
          <w:szCs w:val="24"/>
        </w:rPr>
        <w:t>16. 违约</w:t>
      </w:r>
      <w:bookmarkEnd w:id="606"/>
      <w:bookmarkEnd w:id="607"/>
      <w:bookmarkEnd w:id="608"/>
    </w:p>
    <w:bookmarkEnd w:id="609"/>
    <w:p w14:paraId="58FF6172">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10" w:name="_Toc296346630"/>
      <w:bookmarkStart w:id="611" w:name="_Toc296503129"/>
      <w:bookmarkStart w:id="612" w:name="_Toc351203604"/>
      <w:bookmarkStart w:id="613" w:name="_Toc21125"/>
      <w:bookmarkStart w:id="614" w:name="_Toc23410"/>
      <w:bookmarkStart w:id="615" w:name="_Toc337558821"/>
      <w:r>
        <w:rPr>
          <w:rFonts w:hint="eastAsia" w:ascii="仿宋" w:hAnsi="仿宋" w:eastAsia="仿宋" w:cs="仿宋"/>
          <w:b w:val="0"/>
          <w:color w:val="auto"/>
          <w:sz w:val="24"/>
          <w:szCs w:val="24"/>
        </w:rPr>
        <w:t>16.1 发</w:t>
      </w:r>
      <w:bookmarkEnd w:id="610"/>
      <w:bookmarkEnd w:id="611"/>
      <w:r>
        <w:rPr>
          <w:rFonts w:hint="eastAsia" w:ascii="仿宋" w:hAnsi="仿宋" w:eastAsia="仿宋" w:cs="仿宋"/>
          <w:b w:val="0"/>
          <w:color w:val="auto"/>
          <w:sz w:val="24"/>
          <w:szCs w:val="24"/>
        </w:rPr>
        <w:t>包人违约</w:t>
      </w:r>
      <w:bookmarkEnd w:id="612"/>
      <w:bookmarkEnd w:id="613"/>
      <w:bookmarkEnd w:id="614"/>
    </w:p>
    <w:bookmarkEnd w:id="615"/>
    <w:p w14:paraId="06AE2FD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16.1.1 发包人违约的情形</w:t>
      </w:r>
    </w:p>
    <w:p w14:paraId="22FDA10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在合同履行过程中发生的下列情形，属于发包人违约：</w:t>
      </w:r>
    </w:p>
    <w:p w14:paraId="2C3FA32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（1）因发包人原因未能在计划开工日期前7天内下达开工通知的；</w:t>
      </w:r>
    </w:p>
    <w:p w14:paraId="4413694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（2）因发包人原因未能按合同约定支付合同价款的；</w:t>
      </w:r>
    </w:p>
    <w:p w14:paraId="4342951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（3）发包人违反第10.1款〔变更的范围〕第（2）项约定，自行实施被取消的工作或转由他人实施的；</w:t>
      </w:r>
    </w:p>
    <w:p w14:paraId="3AE7A4C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（4）发包人提供的材料、工程设备的规格、数量或质量不符合合同约定，或因发包人原因导致交货日期延误或交货地点变更等情况的；</w:t>
      </w:r>
    </w:p>
    <w:p w14:paraId="6C3C77F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（5）因发包人违反合同约定造成暂停施工的；</w:t>
      </w:r>
    </w:p>
    <w:p w14:paraId="06EC39B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（6）发包人无正当理由没有在约定期限内发出复工指示，导致承包人无法复工的；</w:t>
      </w:r>
    </w:p>
    <w:p w14:paraId="1A03895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（7）发包人明确表示或者以其行为表明不履行合同主要义务的；</w:t>
      </w:r>
    </w:p>
    <w:p w14:paraId="4E1B790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（8）发包人未能按照合同约定履行其他义务的。</w:t>
      </w:r>
    </w:p>
    <w:p w14:paraId="68AA9D0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7AD80F4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16.1.2 发包人违约的责任</w:t>
      </w:r>
    </w:p>
    <w:p w14:paraId="1FAE0B9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发包人应承担因其违约给承包人增加的费用和（或）延误的工期，并支付承包人合理的利润。此外，合同当事人可在专用合同条款中另行约定发包人违约责任的承担方式和计算方法。</w:t>
      </w:r>
    </w:p>
    <w:p w14:paraId="017EC43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16.1.3 因发包人违约解除合同</w:t>
      </w:r>
    </w:p>
    <w:p w14:paraId="2B7757E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7A71A75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16.1.4 因发包人违约解除合同后的付款</w:t>
      </w:r>
    </w:p>
    <w:p w14:paraId="05BFAFF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承包人按照本款约定解除合同的，发包人应在解除合同后28天内支付下列款项，并解除履约担保：</w:t>
      </w:r>
    </w:p>
    <w:p w14:paraId="28F32C7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（1）合同解除前所完成工作的价款；</w:t>
      </w:r>
    </w:p>
    <w:p w14:paraId="1F9C7A4E">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（2）承包人为工程施工订购并已付款的材料、工程设备和其他物品的价款；</w:t>
      </w:r>
    </w:p>
    <w:p w14:paraId="5908128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（3）承包人撤离施工现场以及遣散承包人人员的款项；</w:t>
      </w:r>
    </w:p>
    <w:p w14:paraId="3361DFBB">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（4）按照合同约定在合同解除前应支付的违约金；</w:t>
      </w:r>
    </w:p>
    <w:p w14:paraId="655281D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（5）按照合同约定应当支付给承包人的其他款项；</w:t>
      </w:r>
    </w:p>
    <w:p w14:paraId="6689D5C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（6）按照合同约定应退还的质量保证金；</w:t>
      </w:r>
    </w:p>
    <w:p w14:paraId="738F8EF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（7）因解除合同给承包人造成的损失。</w:t>
      </w:r>
    </w:p>
    <w:p w14:paraId="3416504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合同当事人未能就解除合同后的结清达成一致的，按照第20条〔争议解决〕的约定处理。</w:t>
      </w:r>
    </w:p>
    <w:p w14:paraId="4605DE2F">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承包人应妥善做好已完工程和与工程有关的已购材料、工程设备的保护和移交工作，并将施工设备和人员撤出施工现场，发包人应为承包人撤出提供必要条件。</w:t>
      </w:r>
    </w:p>
    <w:p w14:paraId="79BD2F05">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16" w:name="_Toc351203605"/>
      <w:bookmarkStart w:id="617" w:name="_Toc3488"/>
      <w:bookmarkStart w:id="618" w:name="_Toc12111"/>
      <w:bookmarkStart w:id="619" w:name="_Toc337558822"/>
      <w:bookmarkStart w:id="620" w:name="_Toc296503131"/>
      <w:bookmarkStart w:id="621" w:name="_Toc296346632"/>
      <w:r>
        <w:rPr>
          <w:rFonts w:hint="eastAsia" w:ascii="仿宋" w:hAnsi="仿宋" w:eastAsia="仿宋" w:cs="仿宋"/>
          <w:b w:val="0"/>
          <w:color w:val="auto"/>
          <w:sz w:val="24"/>
          <w:szCs w:val="24"/>
        </w:rPr>
        <w:t>16.2 承包人违约</w:t>
      </w:r>
      <w:bookmarkEnd w:id="616"/>
      <w:bookmarkEnd w:id="617"/>
      <w:bookmarkEnd w:id="618"/>
    </w:p>
    <w:bookmarkEnd w:id="619"/>
    <w:bookmarkEnd w:id="620"/>
    <w:bookmarkEnd w:id="621"/>
    <w:p w14:paraId="290540C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16.2.1 承包人违约的情形</w:t>
      </w:r>
    </w:p>
    <w:p w14:paraId="1DB12DB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在合同履行过程中发生的下列情形，属于承包人违约：</w:t>
      </w:r>
    </w:p>
    <w:p w14:paraId="31919C5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（1）承包人违反合同约定进行转包或违法分包的；</w:t>
      </w:r>
    </w:p>
    <w:p w14:paraId="499F86F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（2）承包人违反合同约定采购和使用不合格的材料和工程设备的；</w:t>
      </w:r>
    </w:p>
    <w:p w14:paraId="347D336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（3）因承包人原因导致工程质量不符合合同要求的； </w:t>
      </w:r>
    </w:p>
    <w:p w14:paraId="0D0D89A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（4）承包人违反第8.9款〔材料与设备专用要求〕的约定，未经批准，私自将已按照合同约定进入施工现场的材料或设备撤离施工现场的；</w:t>
      </w:r>
    </w:p>
    <w:p w14:paraId="0D5B7CC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（5）承包人未能按施工进度计划及时完成合同约定的工作，造成工期延误的；</w:t>
      </w:r>
    </w:p>
    <w:p w14:paraId="148E533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（6）承包人在缺陷责任期及保修期内，未能在合理期限对工程缺陷进行修复，或拒绝按发包人要求进行修复的；</w:t>
      </w:r>
    </w:p>
    <w:p w14:paraId="2530508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（7）承包人明确表示或者以其行为表明不履行合同主要义务的；</w:t>
      </w:r>
    </w:p>
    <w:p w14:paraId="7647FDE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（8）承包人未能按照合同约定履行其他义务的。</w:t>
      </w:r>
    </w:p>
    <w:p w14:paraId="30BECF93">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承包人发生除本项第（7）目约定以外的其他违约情况时，监理人可向承包人发出整改通知，要求其在指定的期限内改正。</w:t>
      </w:r>
    </w:p>
    <w:p w14:paraId="07B9A5F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16.2.2 承包人违约的责任</w:t>
      </w:r>
    </w:p>
    <w:p w14:paraId="0F6DC1B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承包人应承担因其违约行为而增加的费用和（或）延误的工期。此外，合同当事人可在专用合同条款中另行约定承包人违约责任的承担方式和计算方法。</w:t>
      </w:r>
    </w:p>
    <w:p w14:paraId="1E9ED5C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16.2.3 因承包人违约解除合同</w:t>
      </w:r>
    </w:p>
    <w:p w14:paraId="5DE9F2B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07144F4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16.2.4因承包人违约解除合同后的处理</w:t>
      </w:r>
    </w:p>
    <w:p w14:paraId="76FC539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因承包人原因导致合同解除的，则合同当事人应在合同解除后28天内完成估价、付款和清算，并按以下约定执行：</w:t>
      </w:r>
    </w:p>
    <w:p w14:paraId="0C828C0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（1）合同解除后，按第4.4款〔商定或确定〕商定或确定承包人实际完成工作对应的合同价款，以及承包人已提供的材料、工程设备、施工设备和临时工程等的价值；</w:t>
      </w:r>
    </w:p>
    <w:p w14:paraId="0F36A836">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（2）合同解除后，承包人应支付的违约金；</w:t>
      </w:r>
    </w:p>
    <w:p w14:paraId="03267C32">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（3）合同解除后，因解除合同给发包人造成的损失；</w:t>
      </w:r>
    </w:p>
    <w:p w14:paraId="145BA83A">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（4）合同解除后，承包人应按照发包人要求和监理人的指示完成现场的清理和撤离；</w:t>
      </w:r>
    </w:p>
    <w:p w14:paraId="04D5FCD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（5）发包人和承包人应在合同解除后进行清算，出具最终结清付款证书，结清全部款项。</w:t>
      </w:r>
    </w:p>
    <w:p w14:paraId="0102624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因承包人违约解除合同的，发包人有权暂停对承包人的付款，查清各项付款和已扣款项。发包人和承包人未能就合同解除后的清算和款项支付达成一致的，按照第20条〔争议解决〕的约定处理。</w:t>
      </w:r>
    </w:p>
    <w:p w14:paraId="5C28A5F9">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16.2.5采购合同权益转让</w:t>
      </w:r>
    </w:p>
    <w:p w14:paraId="2CA2FB0C">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50148FEB">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22" w:name="_Toc351203606"/>
      <w:bookmarkStart w:id="623" w:name="_Toc19185"/>
      <w:bookmarkStart w:id="624" w:name="_Toc11399"/>
      <w:r>
        <w:rPr>
          <w:rFonts w:hint="eastAsia" w:ascii="仿宋" w:hAnsi="仿宋" w:eastAsia="仿宋" w:cs="仿宋"/>
          <w:b w:val="0"/>
          <w:color w:val="auto"/>
          <w:sz w:val="24"/>
          <w:szCs w:val="24"/>
        </w:rPr>
        <w:t>16.3 第三人造成的违约</w:t>
      </w:r>
      <w:bookmarkEnd w:id="622"/>
      <w:bookmarkEnd w:id="623"/>
      <w:bookmarkEnd w:id="624"/>
    </w:p>
    <w:p w14:paraId="053D7B1E">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在履行合同过程中，一方当事人因第三人的原因造成违约的，应当向对方当事人承担违约责任。一方当事人和第三人之间的纠纷，依照法律规定或者按照约定解决。</w:t>
      </w:r>
    </w:p>
    <w:p w14:paraId="4789EA33">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625" w:name="_Toc351203607"/>
      <w:bookmarkStart w:id="626" w:name="_Toc16556"/>
      <w:bookmarkStart w:id="627" w:name="_Toc21111"/>
      <w:bookmarkStart w:id="628" w:name="_Toc337558823"/>
      <w:bookmarkStart w:id="629" w:name="_Toc296346617"/>
      <w:bookmarkStart w:id="630" w:name="_Toc296503116"/>
      <w:r>
        <w:rPr>
          <w:rFonts w:hint="eastAsia" w:ascii="仿宋" w:hAnsi="仿宋" w:eastAsia="仿宋" w:cs="仿宋"/>
          <w:b w:val="0"/>
          <w:color w:val="auto"/>
          <w:sz w:val="24"/>
          <w:szCs w:val="24"/>
        </w:rPr>
        <w:t>17. 不可抗力</w:t>
      </w:r>
      <w:bookmarkEnd w:id="625"/>
      <w:bookmarkEnd w:id="626"/>
      <w:bookmarkEnd w:id="627"/>
      <w:r>
        <w:rPr>
          <w:rFonts w:hint="eastAsia" w:ascii="仿宋" w:hAnsi="仿宋" w:eastAsia="仿宋" w:cs="仿宋"/>
          <w:b w:val="0"/>
          <w:color w:val="auto"/>
          <w:sz w:val="24"/>
          <w:szCs w:val="24"/>
        </w:rPr>
        <w:t xml:space="preserve"> </w:t>
      </w:r>
      <w:bookmarkEnd w:id="628"/>
      <w:bookmarkEnd w:id="629"/>
      <w:bookmarkEnd w:id="630"/>
    </w:p>
    <w:p w14:paraId="2A936AB1">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31" w:name="_Toc351203608"/>
      <w:bookmarkStart w:id="632" w:name="_Toc6993"/>
      <w:bookmarkStart w:id="633" w:name="_Toc15906"/>
      <w:bookmarkStart w:id="634" w:name="_Toc296346618"/>
      <w:bookmarkStart w:id="635" w:name="_Toc337558824"/>
      <w:bookmarkStart w:id="636" w:name="_Toc296503117"/>
      <w:r>
        <w:rPr>
          <w:rFonts w:hint="eastAsia" w:ascii="仿宋" w:hAnsi="仿宋" w:eastAsia="仿宋" w:cs="仿宋"/>
          <w:b w:val="0"/>
          <w:color w:val="auto"/>
          <w:sz w:val="24"/>
          <w:szCs w:val="24"/>
        </w:rPr>
        <w:t>17.1 不可抗力的确认</w:t>
      </w:r>
      <w:bookmarkEnd w:id="631"/>
      <w:bookmarkEnd w:id="632"/>
      <w:bookmarkEnd w:id="633"/>
    </w:p>
    <w:bookmarkEnd w:id="634"/>
    <w:bookmarkEnd w:id="635"/>
    <w:bookmarkEnd w:id="636"/>
    <w:p w14:paraId="5479C81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04E1C28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2843A2B3">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37" w:name="_Toc5743"/>
      <w:bookmarkStart w:id="638" w:name="_Toc12987"/>
      <w:bookmarkStart w:id="639" w:name="_Toc351203609"/>
      <w:bookmarkStart w:id="640" w:name="_Toc337558825"/>
      <w:bookmarkStart w:id="641" w:name="_Toc296503118"/>
      <w:bookmarkStart w:id="642" w:name="_Toc296346619"/>
      <w:r>
        <w:rPr>
          <w:rFonts w:hint="eastAsia" w:ascii="仿宋" w:hAnsi="仿宋" w:eastAsia="仿宋" w:cs="仿宋"/>
          <w:b w:val="0"/>
          <w:color w:val="auto"/>
          <w:sz w:val="24"/>
          <w:szCs w:val="24"/>
        </w:rPr>
        <w:t>17.2 不可抗力的通知</w:t>
      </w:r>
      <w:bookmarkEnd w:id="637"/>
      <w:bookmarkEnd w:id="638"/>
      <w:bookmarkEnd w:id="639"/>
    </w:p>
    <w:bookmarkEnd w:id="640"/>
    <w:bookmarkEnd w:id="641"/>
    <w:bookmarkEnd w:id="642"/>
    <w:p w14:paraId="3FC77BD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合同一方当事人遇到不可抗力事件，使其履行合同义务受到阻碍时，应立即通知合同另一方当事人和监理人，书面说明不可抗力和受阻碍的详细情况，并提供必要的证明。</w:t>
      </w:r>
    </w:p>
    <w:p w14:paraId="549F173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14:paraId="1CD91800">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43" w:name="_Toc32239"/>
      <w:bookmarkStart w:id="644" w:name="_Toc351203610"/>
      <w:bookmarkStart w:id="645" w:name="_Toc2117"/>
      <w:bookmarkStart w:id="646" w:name="_Toc296503119"/>
      <w:bookmarkStart w:id="647" w:name="_Toc337558826"/>
      <w:bookmarkStart w:id="648" w:name="_Toc296346620"/>
      <w:r>
        <w:rPr>
          <w:rFonts w:hint="eastAsia" w:ascii="仿宋" w:hAnsi="仿宋" w:eastAsia="仿宋" w:cs="仿宋"/>
          <w:b w:val="0"/>
          <w:color w:val="auto"/>
          <w:sz w:val="24"/>
          <w:szCs w:val="24"/>
        </w:rPr>
        <w:t>17.3 不可抗力后果的承担</w:t>
      </w:r>
      <w:bookmarkEnd w:id="643"/>
      <w:bookmarkEnd w:id="644"/>
      <w:bookmarkEnd w:id="645"/>
    </w:p>
    <w:bookmarkEnd w:id="646"/>
    <w:bookmarkEnd w:id="647"/>
    <w:bookmarkEnd w:id="648"/>
    <w:p w14:paraId="7174AC4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17.3.1 不可抗力引起的后果及造成的损失由合同当事人按照法律规定及合同约定各自承担。不可抗力发生前已完成的工程应当按照合同约定进行计量支付。</w:t>
      </w:r>
    </w:p>
    <w:p w14:paraId="4E9B80E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17.3.2 不可抗力导致的人员伤亡、财产损失、费用增加和（或）工期延误等后果，由合同当事人按以下原则承担：</w:t>
      </w:r>
    </w:p>
    <w:p w14:paraId="247756F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（1）永久工程、已运至施工现场的材料和工程设备的损坏，以及因工程损坏造成的第三人人员伤亡和财产损失由发包人承担；</w:t>
      </w:r>
    </w:p>
    <w:p w14:paraId="709E657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（2）承包人施工设备的损坏由承包人承担；</w:t>
      </w:r>
    </w:p>
    <w:p w14:paraId="71EA7CD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（3）发包人和承包人承担各自人员伤亡和财产的损失；</w:t>
      </w:r>
    </w:p>
    <w:p w14:paraId="02E8169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7672924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（5）因不可抗力引起或将引起工期延误，发包人要求赶工的，由此增加的赶工费用由发包人承担；</w:t>
      </w:r>
    </w:p>
    <w:p w14:paraId="437E219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（6）承包人在停工期间按照发包人要求照管、清理和修复工程的费用由发包人承担。</w:t>
      </w:r>
    </w:p>
    <w:p w14:paraId="29FD05A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不可抗力发生后，合同当事人均应采取措施尽量避免和减少损失的扩大，任何一方当事人没有采取有效措施导致损失扩大的，应对扩大的损失承担责任。</w:t>
      </w:r>
    </w:p>
    <w:p w14:paraId="162C5FA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因合同一方迟延履行合同义务，在迟延履行期间遭遇不可抗力的，不免除其违约责任。</w:t>
      </w:r>
    </w:p>
    <w:p w14:paraId="436A5DDC">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49" w:name="_Toc351203611"/>
      <w:bookmarkStart w:id="650" w:name="_Toc7336"/>
      <w:bookmarkStart w:id="651" w:name="_Toc4488"/>
      <w:bookmarkStart w:id="652" w:name="_Toc337558827"/>
      <w:r>
        <w:rPr>
          <w:rFonts w:hint="eastAsia" w:ascii="仿宋" w:hAnsi="仿宋" w:eastAsia="仿宋" w:cs="仿宋"/>
          <w:b w:val="0"/>
          <w:color w:val="auto"/>
          <w:sz w:val="24"/>
          <w:szCs w:val="24"/>
        </w:rPr>
        <w:t>17.4 因不可抗力解除合同</w:t>
      </w:r>
      <w:bookmarkEnd w:id="649"/>
      <w:bookmarkEnd w:id="650"/>
      <w:bookmarkEnd w:id="651"/>
    </w:p>
    <w:bookmarkEnd w:id="652"/>
    <w:p w14:paraId="45B3D1B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14:paraId="6D7C4D43">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（1）合同解除前承包人已完成工作的价款；</w:t>
      </w:r>
    </w:p>
    <w:p w14:paraId="3AEDD63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（2）承包人为工程订购的并已交付给承包人，或承包人有责任接受交付的材料、工程设备和其他物品的价款；</w:t>
      </w:r>
    </w:p>
    <w:p w14:paraId="628F56AF">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（3）发包人要求承包人退货或解除订货合同而产生的费用，或因不能退货或解除合同而产生的损失；</w:t>
      </w:r>
    </w:p>
    <w:p w14:paraId="5D1B157D">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（4）承包人撤离施工现场以及遣散承包人人员的费用；</w:t>
      </w:r>
    </w:p>
    <w:p w14:paraId="19179210">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（5）按照合同约定在合同解除前应支付给承包人的其他款项；</w:t>
      </w:r>
    </w:p>
    <w:p w14:paraId="24A4A548">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（6）扣减承包人按照合同约定应向发包人支付的款项；</w:t>
      </w:r>
    </w:p>
    <w:p w14:paraId="514904B1">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（7）双方商定或确定的其他款项。</w:t>
      </w:r>
    </w:p>
    <w:p w14:paraId="474922B7">
      <w:pPr>
        <w:pageBreakBefore w:val="0"/>
        <w:kinsoku/>
        <w:overflowPunct/>
        <w:topLinePunct w:val="0"/>
        <w:bidi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除专用合同条款另有约定外，合同解除后，发包人应在商定或确定上述款项后28天内完成上述款项的支付。</w:t>
      </w:r>
    </w:p>
    <w:p w14:paraId="676371D6">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653" w:name="_Toc26255"/>
      <w:bookmarkStart w:id="654" w:name="_Toc10108"/>
      <w:bookmarkStart w:id="655" w:name="_Toc351203612"/>
      <w:bookmarkStart w:id="656" w:name="_Toc296503120"/>
      <w:bookmarkStart w:id="657" w:name="_Toc296346621"/>
      <w:bookmarkStart w:id="658" w:name="_Toc337558828"/>
      <w:r>
        <w:rPr>
          <w:rFonts w:hint="eastAsia" w:ascii="仿宋" w:hAnsi="仿宋" w:eastAsia="仿宋" w:cs="仿宋"/>
          <w:b w:val="0"/>
          <w:color w:val="auto"/>
          <w:sz w:val="24"/>
          <w:szCs w:val="24"/>
        </w:rPr>
        <w:t>18. 保险</w:t>
      </w:r>
      <w:bookmarkEnd w:id="653"/>
      <w:bookmarkEnd w:id="654"/>
      <w:bookmarkEnd w:id="655"/>
    </w:p>
    <w:bookmarkEnd w:id="656"/>
    <w:bookmarkEnd w:id="657"/>
    <w:bookmarkEnd w:id="658"/>
    <w:p w14:paraId="453DA032">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59" w:name="_Toc351203613"/>
      <w:bookmarkStart w:id="660" w:name="_Toc24051"/>
      <w:bookmarkStart w:id="661" w:name="_Toc10680"/>
      <w:bookmarkStart w:id="662" w:name="_Toc296346622"/>
      <w:bookmarkStart w:id="663" w:name="_Toc337558829"/>
      <w:bookmarkStart w:id="664" w:name="_Toc296503121"/>
      <w:r>
        <w:rPr>
          <w:rFonts w:hint="eastAsia" w:ascii="仿宋" w:hAnsi="仿宋" w:eastAsia="仿宋" w:cs="仿宋"/>
          <w:b w:val="0"/>
          <w:color w:val="auto"/>
          <w:sz w:val="24"/>
          <w:szCs w:val="24"/>
        </w:rPr>
        <w:t>18.1 工程保险</w:t>
      </w:r>
      <w:bookmarkEnd w:id="659"/>
      <w:bookmarkEnd w:id="660"/>
      <w:bookmarkEnd w:id="661"/>
    </w:p>
    <w:bookmarkEnd w:id="662"/>
    <w:bookmarkEnd w:id="663"/>
    <w:bookmarkEnd w:id="664"/>
    <w:p w14:paraId="2DC38BD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除专用合同条款另有约定外，发包人应投保建筑工程一切险或安装工程一切险；发包人委托承包人投保的，因投保产生的保险费和其他相关费用由发包人承担。</w:t>
      </w:r>
    </w:p>
    <w:p w14:paraId="617C23CB">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65" w:name="_Toc1140"/>
      <w:bookmarkStart w:id="666" w:name="_Toc26854"/>
      <w:bookmarkStart w:id="667" w:name="_Toc351203614"/>
      <w:bookmarkStart w:id="668" w:name="_Toc296346623"/>
      <w:bookmarkStart w:id="669" w:name="_Toc296503122"/>
      <w:bookmarkStart w:id="670" w:name="_Toc337558830"/>
      <w:r>
        <w:rPr>
          <w:rFonts w:hint="eastAsia" w:ascii="仿宋" w:hAnsi="仿宋" w:eastAsia="仿宋" w:cs="仿宋"/>
          <w:b w:val="0"/>
          <w:color w:val="auto"/>
          <w:sz w:val="24"/>
          <w:szCs w:val="24"/>
        </w:rPr>
        <w:t>18.2 工伤保险</w:t>
      </w:r>
      <w:bookmarkEnd w:id="665"/>
      <w:bookmarkEnd w:id="666"/>
      <w:bookmarkEnd w:id="667"/>
    </w:p>
    <w:bookmarkEnd w:id="668"/>
    <w:bookmarkEnd w:id="669"/>
    <w:bookmarkEnd w:id="670"/>
    <w:p w14:paraId="264E917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18.2.1 发包人应依照法律规定参加工伤保险，并为在施工现场的全部员工办理工伤保险，缴纳工伤保险费，并要求监理人及由发包人为履行合同聘请的第三方依法参加工伤保险。</w:t>
      </w:r>
    </w:p>
    <w:p w14:paraId="2ED1A81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18.2.2 承包人应依照法律规定参加工伤保险，并为其履行合同的全部员工办理工伤保险，缴纳工伤保险费，并要求分包人及由承包人为履行合同聘请的第三方依法参加工伤保险。</w:t>
      </w:r>
    </w:p>
    <w:p w14:paraId="21E9AFC2">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71" w:name="_Toc1741"/>
      <w:bookmarkStart w:id="672" w:name="_Toc351203615"/>
      <w:bookmarkStart w:id="673" w:name="_Toc25464"/>
      <w:bookmarkStart w:id="674" w:name="_Toc337558831"/>
      <w:bookmarkStart w:id="675" w:name="_Toc296346626"/>
      <w:bookmarkStart w:id="676" w:name="_Toc296503125"/>
      <w:r>
        <w:rPr>
          <w:rFonts w:hint="eastAsia" w:ascii="仿宋" w:hAnsi="仿宋" w:eastAsia="仿宋" w:cs="仿宋"/>
          <w:b w:val="0"/>
          <w:color w:val="auto"/>
          <w:sz w:val="24"/>
          <w:szCs w:val="24"/>
        </w:rPr>
        <w:t>18.3其他保险</w:t>
      </w:r>
      <w:bookmarkEnd w:id="671"/>
      <w:bookmarkEnd w:id="672"/>
      <w:bookmarkEnd w:id="673"/>
    </w:p>
    <w:bookmarkEnd w:id="674"/>
    <w:bookmarkEnd w:id="675"/>
    <w:bookmarkEnd w:id="676"/>
    <w:p w14:paraId="5EFF28D2">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发包人和承包人可以为其施工现场的全部人员办理意外伤害保险并支付保险费，包括其员工及为履行合同聘请的第三方的人员，具体事项由合同当事人在专用合同条款约定。</w:t>
      </w:r>
    </w:p>
    <w:p w14:paraId="0A805D88">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除专用合同条款另有约定外，承包人应为其施工设备等办理财产保险。</w:t>
      </w:r>
    </w:p>
    <w:p w14:paraId="1F86023A">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77" w:name="_Toc2696"/>
      <w:bookmarkStart w:id="678" w:name="_Toc28208"/>
      <w:bookmarkStart w:id="679" w:name="_Toc351203616"/>
      <w:r>
        <w:rPr>
          <w:rFonts w:hint="eastAsia" w:ascii="仿宋" w:hAnsi="仿宋" w:eastAsia="仿宋" w:cs="仿宋"/>
          <w:b w:val="0"/>
          <w:color w:val="auto"/>
          <w:sz w:val="24"/>
          <w:szCs w:val="24"/>
        </w:rPr>
        <w:t>18.4持续保险</w:t>
      </w:r>
      <w:bookmarkEnd w:id="677"/>
      <w:bookmarkEnd w:id="678"/>
      <w:bookmarkEnd w:id="679"/>
    </w:p>
    <w:p w14:paraId="505E6E63">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合同当事人应与保险人保持联系，使保险人能够随时了解工程实施中的变动，并确保按保险合同条款要求持续保险。</w:t>
      </w:r>
    </w:p>
    <w:p w14:paraId="7CBFCFCD">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80" w:name="_Toc351203617"/>
      <w:bookmarkStart w:id="681" w:name="_Toc22453"/>
      <w:bookmarkStart w:id="682" w:name="_Toc19310"/>
      <w:bookmarkStart w:id="683" w:name="_Toc296503126"/>
      <w:bookmarkStart w:id="684" w:name="_Toc296346627"/>
      <w:bookmarkStart w:id="685" w:name="_Toc337558832"/>
      <w:r>
        <w:rPr>
          <w:rFonts w:hint="eastAsia" w:ascii="仿宋" w:hAnsi="仿宋" w:eastAsia="仿宋" w:cs="仿宋"/>
          <w:b w:val="0"/>
          <w:color w:val="auto"/>
          <w:sz w:val="24"/>
          <w:szCs w:val="24"/>
        </w:rPr>
        <w:t>18.5 保险凭证</w:t>
      </w:r>
      <w:bookmarkEnd w:id="680"/>
      <w:bookmarkEnd w:id="681"/>
      <w:bookmarkEnd w:id="682"/>
    </w:p>
    <w:bookmarkEnd w:id="683"/>
    <w:bookmarkEnd w:id="684"/>
    <w:bookmarkEnd w:id="685"/>
    <w:p w14:paraId="76CCEFE9">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合同当事人应及时向另一方当事人提交其已投保的各项保险的凭证和保险单复印件。</w:t>
      </w:r>
    </w:p>
    <w:p w14:paraId="4B6F08A7">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86" w:name="_Toc26093"/>
      <w:bookmarkStart w:id="687" w:name="_Toc351203618"/>
      <w:bookmarkStart w:id="688" w:name="_Toc15623"/>
      <w:bookmarkStart w:id="689" w:name="_Toc337558833"/>
      <w:bookmarkStart w:id="690" w:name="_Toc296346628"/>
      <w:bookmarkStart w:id="691" w:name="_Toc296503127"/>
      <w:r>
        <w:rPr>
          <w:rFonts w:hint="eastAsia" w:ascii="仿宋" w:hAnsi="仿宋" w:eastAsia="仿宋" w:cs="仿宋"/>
          <w:b w:val="0"/>
          <w:color w:val="auto"/>
          <w:sz w:val="24"/>
          <w:szCs w:val="24"/>
        </w:rPr>
        <w:t>18.6 未按约定投保的补救</w:t>
      </w:r>
      <w:bookmarkEnd w:id="686"/>
      <w:bookmarkEnd w:id="687"/>
      <w:bookmarkEnd w:id="688"/>
    </w:p>
    <w:bookmarkEnd w:id="689"/>
    <w:bookmarkEnd w:id="690"/>
    <w:bookmarkEnd w:id="691"/>
    <w:p w14:paraId="5B37BA16">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18.6.1发包人未按合同约定办理保险，或未能使保险持续有效的，则承包人可代为办理，所需费用由发包人承担。发包人未按合同约定办理保险，导致未能得到足额赔偿的，由发包人负责补足。</w:t>
      </w:r>
    </w:p>
    <w:p w14:paraId="540B58A2">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18.6.2承包人未按合同约定办理保险，或未能使保险持续有效的，则发包人可代为办理，所需费用由承包人承担。承包人未按合同约定办理保险，导致未能得到足额赔偿的，由承包人负责补足。</w:t>
      </w:r>
    </w:p>
    <w:p w14:paraId="6AB4B3A4">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692" w:name="_Toc351203619"/>
      <w:bookmarkStart w:id="693" w:name="_Toc25064"/>
      <w:bookmarkStart w:id="694" w:name="_Toc25777"/>
      <w:bookmarkStart w:id="695" w:name="_Toc337558834"/>
      <w:r>
        <w:rPr>
          <w:rFonts w:hint="eastAsia" w:ascii="仿宋" w:hAnsi="仿宋" w:eastAsia="仿宋" w:cs="仿宋"/>
          <w:b w:val="0"/>
          <w:color w:val="auto"/>
          <w:sz w:val="24"/>
          <w:szCs w:val="24"/>
        </w:rPr>
        <w:t>18.7 通知义务</w:t>
      </w:r>
      <w:bookmarkEnd w:id="692"/>
      <w:bookmarkEnd w:id="693"/>
      <w:bookmarkEnd w:id="694"/>
    </w:p>
    <w:bookmarkEnd w:id="695"/>
    <w:p w14:paraId="347144A3">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15FB657D">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保险事故发生时，投保人应按照保险合同规定的条件和期限及时向保险人报告。发包人和承包人应当在知道保险事故发生后及时通知对方。</w:t>
      </w:r>
    </w:p>
    <w:p w14:paraId="044D1063">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696" w:name="_Toc27708"/>
      <w:bookmarkStart w:id="697" w:name="_Toc126"/>
      <w:bookmarkStart w:id="698" w:name="_Toc351203620"/>
      <w:bookmarkStart w:id="699" w:name="_Toc296346641"/>
      <w:bookmarkStart w:id="700" w:name="_Toc337558835"/>
      <w:bookmarkStart w:id="701" w:name="_Toc296503140"/>
      <w:r>
        <w:rPr>
          <w:rFonts w:hint="eastAsia" w:ascii="仿宋" w:hAnsi="仿宋" w:eastAsia="仿宋" w:cs="仿宋"/>
          <w:b w:val="0"/>
          <w:color w:val="auto"/>
          <w:sz w:val="24"/>
          <w:szCs w:val="24"/>
        </w:rPr>
        <w:t>19. 索赔</w:t>
      </w:r>
      <w:bookmarkEnd w:id="696"/>
      <w:bookmarkEnd w:id="697"/>
      <w:bookmarkEnd w:id="698"/>
    </w:p>
    <w:bookmarkEnd w:id="699"/>
    <w:bookmarkEnd w:id="700"/>
    <w:bookmarkEnd w:id="701"/>
    <w:p w14:paraId="6CAC5C3F">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702" w:name="_Toc351203621"/>
      <w:bookmarkStart w:id="703" w:name="_Toc20057"/>
      <w:bookmarkStart w:id="704" w:name="_Toc2483"/>
      <w:bookmarkStart w:id="705" w:name="_Toc337558836"/>
      <w:bookmarkStart w:id="706" w:name="_Toc296503141"/>
      <w:bookmarkStart w:id="707" w:name="_Toc296346642"/>
      <w:r>
        <w:rPr>
          <w:rFonts w:hint="eastAsia" w:ascii="仿宋" w:hAnsi="仿宋" w:eastAsia="仿宋" w:cs="仿宋"/>
          <w:b w:val="0"/>
          <w:color w:val="auto"/>
          <w:sz w:val="24"/>
          <w:szCs w:val="24"/>
        </w:rPr>
        <w:t>19.1承包人的索赔</w:t>
      </w:r>
      <w:bookmarkEnd w:id="702"/>
      <w:bookmarkEnd w:id="703"/>
      <w:bookmarkEnd w:id="704"/>
    </w:p>
    <w:bookmarkEnd w:id="705"/>
    <w:bookmarkEnd w:id="706"/>
    <w:bookmarkEnd w:id="707"/>
    <w:p w14:paraId="033BAE9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根据合同约定，承包人认为有权得到追加付款和（或）延长工期的，应按以下程序向发包人提出索赔：</w:t>
      </w:r>
    </w:p>
    <w:p w14:paraId="65E35C38">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B6450C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（2）承包人应在发出索赔意向通知书后28天内，向监理人正式递交索赔报告；索赔报告应详细说明索赔理由以及要求追加的付款金额和（或）延长的工期，并附必要的记录和证明材料；</w:t>
      </w:r>
    </w:p>
    <w:p w14:paraId="1067C1E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（3）索赔事件具有持续影响的，承包人应按合理时间间隔继续递交延续索赔通知，说明持续影响的实际情况和记录，列出累计的追加付款金额和（或）工期延长天数；</w:t>
      </w:r>
    </w:p>
    <w:p w14:paraId="0EBD63E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（4）在索赔事件影响结束后28天内，承包人应向监理人递交最终索赔报告，说明最终要求索赔的追加付款金额和（或）延长的工期，并附必要的记录和证明材料。</w:t>
      </w:r>
    </w:p>
    <w:p w14:paraId="456B9AA2">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708" w:name="_Toc351203622"/>
      <w:bookmarkStart w:id="709" w:name="_Toc17911"/>
      <w:bookmarkStart w:id="710" w:name="_Toc1122"/>
      <w:bookmarkStart w:id="711" w:name="_Toc296346643"/>
      <w:bookmarkStart w:id="712" w:name="_Toc337558837"/>
      <w:bookmarkStart w:id="713" w:name="_Toc296503142"/>
      <w:r>
        <w:rPr>
          <w:rFonts w:hint="eastAsia" w:ascii="仿宋" w:hAnsi="仿宋" w:eastAsia="仿宋" w:cs="仿宋"/>
          <w:b w:val="0"/>
          <w:color w:val="auto"/>
          <w:sz w:val="24"/>
          <w:szCs w:val="24"/>
        </w:rPr>
        <w:t>19.2 对承包人索赔的处理</w:t>
      </w:r>
      <w:bookmarkEnd w:id="708"/>
      <w:bookmarkEnd w:id="709"/>
      <w:bookmarkEnd w:id="710"/>
    </w:p>
    <w:bookmarkEnd w:id="711"/>
    <w:bookmarkEnd w:id="712"/>
    <w:bookmarkEnd w:id="713"/>
    <w:p w14:paraId="3C6CA5A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对承包人索赔的处理如下：</w:t>
      </w:r>
    </w:p>
    <w:p w14:paraId="49A75F1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（1）监理人应在收到索赔报告后14天内完成审查并报送发包人。监理人对索赔报告存在异议的，有权要求承包人提交全部原始记录副本；</w:t>
      </w:r>
    </w:p>
    <w:p w14:paraId="6716DD41">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（2）发包人应在监理人收到索赔报告或有关索赔的进一步证明材料后的28天内，由监理人向承包人出具经发包人签认的索赔处理结果。发包人逾期答复的，则视为认可承包人的索赔要求；</w:t>
      </w:r>
    </w:p>
    <w:p w14:paraId="1D0583E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（3）承包人接受索赔处理结果的，索赔款项在当期进度款中进行支付；承包人不接受索赔处理结果的，按照第20条〔争议解决〕约定处理。</w:t>
      </w:r>
    </w:p>
    <w:p w14:paraId="46724A81">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714" w:name="_Toc351203623"/>
      <w:bookmarkStart w:id="715" w:name="_Toc28199"/>
      <w:bookmarkStart w:id="716" w:name="_Toc94"/>
      <w:bookmarkStart w:id="717" w:name="_Toc296503143"/>
      <w:bookmarkStart w:id="718" w:name="_Toc296346644"/>
      <w:bookmarkStart w:id="719" w:name="_Toc337558838"/>
      <w:r>
        <w:rPr>
          <w:rFonts w:hint="eastAsia" w:ascii="仿宋" w:hAnsi="仿宋" w:eastAsia="仿宋" w:cs="仿宋"/>
          <w:b w:val="0"/>
          <w:color w:val="auto"/>
          <w:sz w:val="24"/>
          <w:szCs w:val="24"/>
        </w:rPr>
        <w:t>19.3发包人的索赔</w:t>
      </w:r>
      <w:bookmarkEnd w:id="714"/>
      <w:bookmarkEnd w:id="715"/>
      <w:bookmarkEnd w:id="716"/>
    </w:p>
    <w:bookmarkEnd w:id="717"/>
    <w:bookmarkEnd w:id="718"/>
    <w:bookmarkEnd w:id="719"/>
    <w:p w14:paraId="6512C449">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根据合同约定，发包人认为有权得到赔付金额和（或）延长缺陷责任期的，监理人应向承包人发出通知并附有详细的证明。</w:t>
      </w:r>
    </w:p>
    <w:p w14:paraId="5505150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4B0C58D">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720" w:name="_Toc351203624"/>
      <w:bookmarkStart w:id="721" w:name="_Toc15359"/>
      <w:bookmarkStart w:id="722" w:name="_Toc3369"/>
      <w:bookmarkStart w:id="723" w:name="_Toc296346645"/>
      <w:bookmarkStart w:id="724" w:name="_Toc337558839"/>
      <w:bookmarkStart w:id="725" w:name="_Toc296503144"/>
      <w:r>
        <w:rPr>
          <w:rFonts w:hint="eastAsia" w:ascii="仿宋" w:hAnsi="仿宋" w:eastAsia="仿宋" w:cs="仿宋"/>
          <w:b w:val="0"/>
          <w:color w:val="auto"/>
          <w:sz w:val="24"/>
          <w:szCs w:val="24"/>
        </w:rPr>
        <w:t>19.4 对发包人索赔的处理</w:t>
      </w:r>
      <w:bookmarkEnd w:id="720"/>
      <w:bookmarkEnd w:id="721"/>
      <w:bookmarkEnd w:id="722"/>
    </w:p>
    <w:bookmarkEnd w:id="723"/>
    <w:bookmarkEnd w:id="724"/>
    <w:bookmarkEnd w:id="725"/>
    <w:p w14:paraId="068F9A2C">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对发包人索赔的处理如下：</w:t>
      </w:r>
    </w:p>
    <w:p w14:paraId="562D177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（1）承包人收到发包人提交的索赔报告后，应及时审查索赔报告的内容、查验发包人证明材料；</w:t>
      </w:r>
    </w:p>
    <w:p w14:paraId="390DA78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（2）承包人应在收到索赔报告或有关索赔的进一步证明材料后28天内，将索赔处理结果答复发包人。如果承包人未在上述期限内作出答复的，则视为对发包人索赔要求的认可；</w:t>
      </w:r>
    </w:p>
    <w:p w14:paraId="36AC530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（3）承包人接受索赔处理结果的，发包人可从应支付给承包人的合同价款中扣除赔付的金额或延长缺陷责任期；发包人不接受索赔处理结果的，按第20条〔争议解决〕约定处理。</w:t>
      </w:r>
    </w:p>
    <w:p w14:paraId="6321929F">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726" w:name="_Toc351203625"/>
      <w:bookmarkStart w:id="727" w:name="_Toc24395"/>
      <w:bookmarkStart w:id="728" w:name="_Toc23389"/>
      <w:r>
        <w:rPr>
          <w:rFonts w:hint="eastAsia" w:ascii="仿宋" w:hAnsi="仿宋" w:eastAsia="仿宋" w:cs="仿宋"/>
          <w:b w:val="0"/>
          <w:color w:val="auto"/>
          <w:sz w:val="24"/>
          <w:szCs w:val="24"/>
        </w:rPr>
        <w:t>19.5 提出索赔的期限</w:t>
      </w:r>
      <w:bookmarkEnd w:id="726"/>
      <w:bookmarkEnd w:id="727"/>
      <w:bookmarkEnd w:id="728"/>
    </w:p>
    <w:p w14:paraId="35E3E7DD">
      <w:pPr>
        <w:pageBreakBefore w:val="0"/>
        <w:kinsoku/>
        <w:overflowPunct/>
        <w:topLinePunct w:val="0"/>
        <w:bidi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（1）承包人按第14.2款〔竣工结算审核〕约定接收竣工付款证书后，应被视为已无权再提出在工程接收证书颁发前所发生的任何索赔。</w:t>
      </w:r>
    </w:p>
    <w:p w14:paraId="3928BE5A">
      <w:pPr>
        <w:pageBreakBefore w:val="0"/>
        <w:kinsoku/>
        <w:overflowPunct/>
        <w:topLinePunct w:val="0"/>
        <w:bidi w:val="0"/>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（2）承包人按第14.4款〔最终结清〕提交的最终结清申请单中，只限于提出工程接收证书颁发后发生的索赔。提出索赔的期限自接受最终结清证书时终止。</w:t>
      </w:r>
    </w:p>
    <w:p w14:paraId="66F71F88">
      <w:pPr>
        <w:pStyle w:val="5"/>
        <w:pageBreakBefore w:val="0"/>
        <w:kinsoku/>
        <w:overflowPunct/>
        <w:topLinePunct w:val="0"/>
        <w:bidi w:val="0"/>
        <w:spacing w:before="120" w:after="120" w:line="440" w:lineRule="exact"/>
        <w:outlineLvl w:val="2"/>
        <w:rPr>
          <w:rFonts w:hint="eastAsia" w:ascii="仿宋" w:hAnsi="仿宋" w:eastAsia="仿宋" w:cs="仿宋"/>
          <w:b w:val="0"/>
          <w:color w:val="auto"/>
          <w:sz w:val="24"/>
          <w:szCs w:val="24"/>
        </w:rPr>
      </w:pPr>
      <w:bookmarkStart w:id="729" w:name="_Toc351203626"/>
      <w:bookmarkStart w:id="730" w:name="_Toc28365"/>
      <w:bookmarkStart w:id="731" w:name="_Toc351203632"/>
      <w:r>
        <w:rPr>
          <w:rFonts w:hint="eastAsia" w:ascii="仿宋" w:hAnsi="仿宋" w:eastAsia="仿宋" w:cs="仿宋"/>
          <w:b w:val="0"/>
          <w:color w:val="auto"/>
          <w:sz w:val="24"/>
          <w:szCs w:val="24"/>
        </w:rPr>
        <w:t>20</w:t>
      </w:r>
      <w:bookmarkStart w:id="732" w:name="_Toc296503146"/>
      <w:bookmarkStart w:id="733" w:name="_Toc337558840"/>
      <w:bookmarkStart w:id="734" w:name="_Toc296346647"/>
      <w:r>
        <w:rPr>
          <w:rFonts w:hint="eastAsia" w:ascii="仿宋" w:hAnsi="仿宋" w:eastAsia="仿宋" w:cs="仿宋"/>
          <w:b w:val="0"/>
          <w:color w:val="auto"/>
          <w:sz w:val="24"/>
          <w:szCs w:val="24"/>
        </w:rPr>
        <w:t>. 争议解决</w:t>
      </w:r>
      <w:bookmarkEnd w:id="729"/>
      <w:bookmarkEnd w:id="730"/>
    </w:p>
    <w:bookmarkEnd w:id="732"/>
    <w:bookmarkEnd w:id="733"/>
    <w:bookmarkEnd w:id="734"/>
    <w:p w14:paraId="28AB0560">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735" w:name="_Toc8262"/>
      <w:bookmarkStart w:id="736" w:name="_Toc32106"/>
      <w:bookmarkStart w:id="737" w:name="_Toc351203627"/>
      <w:bookmarkStart w:id="738" w:name="_Toc337558841"/>
      <w:bookmarkStart w:id="739" w:name="_Toc296346648"/>
      <w:bookmarkStart w:id="740" w:name="_Toc296503147"/>
      <w:r>
        <w:rPr>
          <w:rFonts w:hint="eastAsia" w:ascii="仿宋" w:hAnsi="仿宋" w:eastAsia="仿宋" w:cs="仿宋"/>
          <w:b w:val="0"/>
          <w:color w:val="auto"/>
          <w:sz w:val="24"/>
          <w:szCs w:val="24"/>
        </w:rPr>
        <w:t>20.1和解</w:t>
      </w:r>
      <w:bookmarkEnd w:id="735"/>
      <w:bookmarkEnd w:id="736"/>
      <w:bookmarkEnd w:id="737"/>
    </w:p>
    <w:bookmarkEnd w:id="738"/>
    <w:bookmarkEnd w:id="739"/>
    <w:bookmarkEnd w:id="740"/>
    <w:p w14:paraId="0C72779B">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合同当事人可以就争议自行和解，自行和解达成协议的经双方签字并盖章后作为合同补充文件，双方均应遵照执行。</w:t>
      </w:r>
    </w:p>
    <w:p w14:paraId="0E4AAFD7">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741" w:name="_Toc351203628"/>
      <w:bookmarkStart w:id="742" w:name="_Toc18251"/>
      <w:bookmarkStart w:id="743" w:name="_Toc29323"/>
      <w:r>
        <w:rPr>
          <w:rFonts w:hint="eastAsia" w:ascii="仿宋" w:hAnsi="仿宋" w:eastAsia="仿宋" w:cs="仿宋"/>
          <w:b w:val="0"/>
          <w:color w:val="auto"/>
          <w:sz w:val="24"/>
          <w:szCs w:val="24"/>
        </w:rPr>
        <w:t>20</w:t>
      </w:r>
      <w:bookmarkStart w:id="744" w:name="_Toc296503148"/>
      <w:bookmarkStart w:id="745" w:name="_Toc337558842"/>
      <w:bookmarkStart w:id="746" w:name="_Toc296346649"/>
      <w:r>
        <w:rPr>
          <w:rFonts w:hint="eastAsia" w:ascii="仿宋" w:hAnsi="仿宋" w:eastAsia="仿宋" w:cs="仿宋"/>
          <w:b w:val="0"/>
          <w:color w:val="auto"/>
          <w:sz w:val="24"/>
          <w:szCs w:val="24"/>
        </w:rPr>
        <w:t>.2调解</w:t>
      </w:r>
      <w:bookmarkEnd w:id="741"/>
      <w:bookmarkEnd w:id="742"/>
      <w:bookmarkEnd w:id="743"/>
    </w:p>
    <w:bookmarkEnd w:id="744"/>
    <w:bookmarkEnd w:id="745"/>
    <w:bookmarkEnd w:id="746"/>
    <w:p w14:paraId="09E7E1E4">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合同当事人可以就争议请求建设行政主管部门、行业协会或其他第三方进行调解，调解达成协议的，经双方签字并盖章后作为合同补充文件，双方均应遵照执行。</w:t>
      </w:r>
    </w:p>
    <w:p w14:paraId="341DCE19">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747" w:name="_Toc19869"/>
      <w:bookmarkStart w:id="748" w:name="_Toc31994"/>
      <w:bookmarkStart w:id="749" w:name="_Toc351203629"/>
      <w:bookmarkStart w:id="750" w:name="_Toc296503149"/>
      <w:bookmarkStart w:id="751" w:name="_Toc296346650"/>
      <w:bookmarkStart w:id="752" w:name="_Toc337558843"/>
      <w:r>
        <w:rPr>
          <w:rFonts w:hint="eastAsia" w:ascii="仿宋" w:hAnsi="仿宋" w:eastAsia="仿宋" w:cs="仿宋"/>
          <w:b w:val="0"/>
          <w:color w:val="auto"/>
          <w:sz w:val="24"/>
          <w:szCs w:val="24"/>
        </w:rPr>
        <w:t>20.3争议评审</w:t>
      </w:r>
      <w:bookmarkEnd w:id="747"/>
      <w:bookmarkEnd w:id="748"/>
      <w:bookmarkEnd w:id="749"/>
    </w:p>
    <w:bookmarkEnd w:id="750"/>
    <w:bookmarkEnd w:id="751"/>
    <w:bookmarkEnd w:id="752"/>
    <w:p w14:paraId="023AEDE7">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合同当事人在专用合同条款中约定采取争议评审方式解决争议以及评审规则，并按下列约定执行： </w:t>
      </w:r>
    </w:p>
    <w:p w14:paraId="22CB1FE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20.3.1 争议评审小组的确定</w:t>
      </w:r>
    </w:p>
    <w:p w14:paraId="1D4A21B2">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合同当事人可以共同选择一名或三名争议评审员，组成争议评审小组。除专用合同条款另有约定外，合同当事人应当自合同签订后28天内，或者争议发生后14天内，选定争议评审员。</w:t>
      </w:r>
    </w:p>
    <w:p w14:paraId="7696E89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1A90774E">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除专用合同条款另有约定外，评审员报酬由发包人和承包人各承担一半。</w:t>
      </w:r>
    </w:p>
    <w:p w14:paraId="2FC04C6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20.3.2 争议评审小组的决定</w:t>
      </w:r>
    </w:p>
    <w:p w14:paraId="388DA42A">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w:t>
      </w:r>
      <w:r>
        <w:rPr>
          <w:rFonts w:hint="eastAsia" w:ascii="仿宋" w:hAnsi="仿宋" w:eastAsia="仿宋" w:cs="仿宋"/>
          <w:color w:val="auto"/>
          <w:kern w:val="0"/>
          <w:sz w:val="24"/>
          <w:szCs w:val="24"/>
          <w:lang w:eastAsia="zh-CN"/>
        </w:rPr>
        <w:t>本</w:t>
      </w:r>
      <w:r>
        <w:rPr>
          <w:rFonts w:hint="eastAsia" w:ascii="仿宋" w:hAnsi="仿宋" w:eastAsia="仿宋" w:cs="仿宋"/>
          <w:color w:val="auto"/>
          <w:kern w:val="0"/>
          <w:sz w:val="24"/>
          <w:szCs w:val="24"/>
        </w:rPr>
        <w:t>事项另行约定。</w:t>
      </w:r>
    </w:p>
    <w:p w14:paraId="36C9F9B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20.3.3 争议评审小组决定的效力</w:t>
      </w:r>
    </w:p>
    <w:p w14:paraId="4114776D">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争议评审小组作出的书面决定经合同当事人签字确认后，对双方具有约束力，双方应遵照执行。</w:t>
      </w:r>
    </w:p>
    <w:p w14:paraId="509CA82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任何一方当事人不接受争议评审小组决定或不履行争议评审小组决定的，双方可选择采用其他争议解决方式。</w:t>
      </w:r>
    </w:p>
    <w:p w14:paraId="731C19AA">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753" w:name="_Toc29353"/>
      <w:bookmarkStart w:id="754" w:name="_Toc351203630"/>
      <w:bookmarkStart w:id="755" w:name="_Toc32629"/>
      <w:bookmarkStart w:id="756" w:name="_Toc296503150"/>
      <w:bookmarkStart w:id="757" w:name="_Toc337558844"/>
      <w:bookmarkStart w:id="758" w:name="_Toc296346651"/>
      <w:r>
        <w:rPr>
          <w:rFonts w:hint="eastAsia" w:ascii="仿宋" w:hAnsi="仿宋" w:eastAsia="仿宋" w:cs="仿宋"/>
          <w:b w:val="0"/>
          <w:color w:val="auto"/>
          <w:sz w:val="24"/>
          <w:szCs w:val="24"/>
        </w:rPr>
        <w:t>20.4仲裁或诉讼</w:t>
      </w:r>
      <w:bookmarkEnd w:id="753"/>
      <w:bookmarkEnd w:id="754"/>
      <w:bookmarkEnd w:id="755"/>
    </w:p>
    <w:bookmarkEnd w:id="756"/>
    <w:bookmarkEnd w:id="757"/>
    <w:bookmarkEnd w:id="758"/>
    <w:p w14:paraId="6BC0D69F">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因合同及合同有关事项产生的争议，合同当事人可以在专用合同条款中约定以下一种方式解决争议：</w:t>
      </w:r>
    </w:p>
    <w:p w14:paraId="56D19785">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（1）向约定的仲裁委员会申请仲裁；</w:t>
      </w:r>
    </w:p>
    <w:p w14:paraId="0BD25226">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（2）向有管辖权的人民法院起诉。</w:t>
      </w:r>
    </w:p>
    <w:p w14:paraId="2E1D8509">
      <w:pPr>
        <w:pStyle w:val="6"/>
        <w:pageBreakBefore w:val="0"/>
        <w:numPr>
          <w:ilvl w:val="0"/>
          <w:numId w:val="0"/>
        </w:numPr>
        <w:kinsoku/>
        <w:overflowPunct/>
        <w:topLinePunct w:val="0"/>
        <w:bidi w:val="0"/>
        <w:spacing w:before="120" w:after="120" w:line="440" w:lineRule="exact"/>
        <w:outlineLvl w:val="3"/>
        <w:rPr>
          <w:rFonts w:hint="eastAsia" w:ascii="仿宋" w:hAnsi="仿宋" w:eastAsia="仿宋" w:cs="仿宋"/>
          <w:b w:val="0"/>
          <w:color w:val="auto"/>
          <w:sz w:val="24"/>
          <w:szCs w:val="24"/>
        </w:rPr>
      </w:pPr>
      <w:bookmarkStart w:id="759" w:name="_Toc14007"/>
      <w:bookmarkStart w:id="760" w:name="_Toc7003"/>
      <w:bookmarkStart w:id="761" w:name="_Toc351203631"/>
      <w:bookmarkStart w:id="762" w:name="_Toc337558845"/>
      <w:bookmarkStart w:id="763" w:name="_Toc296503152"/>
      <w:bookmarkStart w:id="764" w:name="_Toc296346653"/>
      <w:r>
        <w:rPr>
          <w:rFonts w:hint="eastAsia" w:ascii="仿宋" w:hAnsi="仿宋" w:eastAsia="仿宋" w:cs="仿宋"/>
          <w:b w:val="0"/>
          <w:color w:val="auto"/>
          <w:sz w:val="24"/>
          <w:szCs w:val="24"/>
        </w:rPr>
        <w:t>20.5争议解决条款效力</w:t>
      </w:r>
      <w:bookmarkEnd w:id="759"/>
      <w:bookmarkEnd w:id="760"/>
      <w:bookmarkEnd w:id="761"/>
    </w:p>
    <w:bookmarkEnd w:id="762"/>
    <w:bookmarkEnd w:id="763"/>
    <w:bookmarkEnd w:id="764"/>
    <w:p w14:paraId="44F93080">
      <w:pPr>
        <w:pageBreakBefore w:val="0"/>
        <w:kinsoku/>
        <w:overflowPunct/>
        <w:topLinePunct w:val="0"/>
        <w:autoSpaceDE w:val="0"/>
        <w:autoSpaceDN w:val="0"/>
        <w:bidi w:val="0"/>
        <w:adjustRightInd w:val="0"/>
        <w:spacing w:line="44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合同有关争议解决的条款独立存在，合同的变更、解除、终止、无效或者被撤销均不影响其效力。 </w:t>
      </w:r>
    </w:p>
    <w:p w14:paraId="3E7AF084">
      <w:pPr>
        <w:pStyle w:val="4"/>
        <w:pageBreakBefore w:val="0"/>
        <w:numPr>
          <w:ilvl w:val="0"/>
          <w:numId w:val="5"/>
        </w:numPr>
        <w:kinsoku/>
        <w:overflowPunct/>
        <w:topLinePunct w:val="0"/>
        <w:bidi w:val="0"/>
        <w:spacing w:line="440" w:lineRule="exact"/>
        <w:jc w:val="center"/>
        <w:outlineLvl w:val="1"/>
        <w:rPr>
          <w:rFonts w:hint="eastAsia" w:ascii="仿宋" w:hAnsi="仿宋" w:eastAsia="仿宋" w:cs="仿宋"/>
          <w:color w:val="auto"/>
          <w:sz w:val="24"/>
          <w:szCs w:val="24"/>
        </w:rPr>
      </w:pPr>
      <w:r>
        <w:rPr>
          <w:rFonts w:hint="eastAsia" w:ascii="仿宋" w:hAnsi="仿宋" w:eastAsia="仿宋" w:cs="仿宋"/>
          <w:color w:val="auto"/>
          <w:sz w:val="24"/>
          <w:szCs w:val="24"/>
        </w:rPr>
        <w:br w:type="page"/>
      </w:r>
      <w:bookmarkStart w:id="765" w:name="_Toc27123"/>
      <w:bookmarkStart w:id="766" w:name="_Toc6405"/>
      <w:bookmarkStart w:id="767" w:name="_Toc29675"/>
      <w:r>
        <w:rPr>
          <w:rFonts w:hint="eastAsia" w:ascii="仿宋" w:hAnsi="仿宋" w:eastAsia="仿宋" w:cs="仿宋"/>
          <w:color w:val="auto"/>
          <w:sz w:val="24"/>
          <w:szCs w:val="24"/>
        </w:rPr>
        <w:t>专用合同条款</w:t>
      </w:r>
      <w:bookmarkEnd w:id="731"/>
      <w:bookmarkEnd w:id="765"/>
      <w:bookmarkEnd w:id="766"/>
      <w:bookmarkEnd w:id="767"/>
      <w:bookmarkStart w:id="768" w:name="_Toc351203633"/>
    </w:p>
    <w:bookmarkEnd w:id="768"/>
    <w:p w14:paraId="147B0399">
      <w:pPr>
        <w:pStyle w:val="5"/>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bookmarkStart w:id="769" w:name="_Toc296890984"/>
      <w:bookmarkStart w:id="770" w:name="_Toc296503156"/>
      <w:bookmarkStart w:id="771" w:name="_Toc296944495"/>
      <w:bookmarkStart w:id="772" w:name="_Toc297120456"/>
      <w:bookmarkStart w:id="773" w:name="_Toc296891196"/>
      <w:bookmarkStart w:id="774" w:name="_Toc297048342"/>
      <w:bookmarkStart w:id="775" w:name="_Toc292559866"/>
      <w:bookmarkStart w:id="776" w:name="_Toc296346657"/>
      <w:bookmarkStart w:id="777" w:name="_Toc296347155"/>
      <w:bookmarkStart w:id="778" w:name="_Toc292559361"/>
      <w:r>
        <w:rPr>
          <w:rFonts w:hint="eastAsia" w:ascii="仿宋" w:hAnsi="仿宋" w:eastAsia="仿宋" w:cs="仿宋"/>
          <w:color w:val="auto"/>
          <w:sz w:val="24"/>
          <w:szCs w:val="24"/>
        </w:rPr>
        <w:t>. 一般约定</w:t>
      </w:r>
    </w:p>
    <w:bookmarkEnd w:id="769"/>
    <w:bookmarkEnd w:id="770"/>
    <w:bookmarkEnd w:id="771"/>
    <w:bookmarkEnd w:id="772"/>
    <w:bookmarkEnd w:id="773"/>
    <w:bookmarkEnd w:id="774"/>
    <w:bookmarkEnd w:id="775"/>
    <w:bookmarkEnd w:id="776"/>
    <w:bookmarkEnd w:id="777"/>
    <w:bookmarkEnd w:id="778"/>
    <w:p w14:paraId="3F5373A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 词语定义</w:t>
      </w:r>
    </w:p>
    <w:p w14:paraId="350E943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1.1.1合同</w:t>
      </w:r>
    </w:p>
    <w:p w14:paraId="2C2250B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1.1.1.10其他合同文件包括：</w:t>
      </w:r>
      <w:r>
        <w:rPr>
          <w:rFonts w:hint="eastAsia" w:ascii="仿宋" w:hAnsi="仿宋" w:eastAsia="仿宋" w:cs="仿宋"/>
          <w:color w:val="auto"/>
          <w:sz w:val="24"/>
          <w:szCs w:val="24"/>
          <w:u w:val="single"/>
        </w:rPr>
        <w:t>施工组织设计、招标文件（含澄清文件、暂列金、暂估价）、洽谈记录、会议纪要、图纸会审记录、发</w:t>
      </w:r>
      <w:r>
        <w:rPr>
          <w:rFonts w:hint="eastAsia" w:ascii="仿宋" w:hAnsi="仿宋" w:eastAsia="仿宋" w:cs="仿宋"/>
          <w:color w:val="auto"/>
          <w:sz w:val="24"/>
          <w:szCs w:val="24"/>
          <w:u w:val="single"/>
          <w:lang w:val="en-US" w:eastAsia="zh-CN"/>
        </w:rPr>
        <w:t>包</w:t>
      </w:r>
      <w:r>
        <w:rPr>
          <w:rFonts w:hint="eastAsia" w:ascii="仿宋" w:hAnsi="仿宋" w:eastAsia="仿宋" w:cs="仿宋"/>
          <w:color w:val="auto"/>
          <w:sz w:val="24"/>
          <w:szCs w:val="24"/>
          <w:u w:val="single"/>
        </w:rPr>
        <w:t xml:space="preserve">人相关制度、廉政协议等。 </w:t>
      </w:r>
      <w:r>
        <w:rPr>
          <w:rFonts w:hint="eastAsia" w:ascii="仿宋" w:hAnsi="仿宋" w:eastAsia="仿宋" w:cs="仿宋"/>
          <w:color w:val="auto"/>
          <w:sz w:val="24"/>
          <w:szCs w:val="24"/>
        </w:rPr>
        <w:t>。</w:t>
      </w:r>
    </w:p>
    <w:p w14:paraId="484B2D2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1.1.2 合同当事人及其他相关方</w:t>
      </w:r>
    </w:p>
    <w:p w14:paraId="6100062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1.1.2.4监理人：</w:t>
      </w:r>
    </w:p>
    <w:p w14:paraId="79FC3E6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     </w:t>
      </w:r>
      <w:r>
        <w:rPr>
          <w:rFonts w:hint="eastAsia" w:ascii="仿宋" w:hAnsi="仿宋" w:eastAsia="仿宋" w:cs="仿宋"/>
          <w:color w:val="auto"/>
          <w:sz w:val="24"/>
          <w:szCs w:val="24"/>
        </w:rPr>
        <w:t>；</w:t>
      </w:r>
    </w:p>
    <w:p w14:paraId="16E44A5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资质类别和等级：</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   </w:t>
      </w:r>
      <w:r>
        <w:rPr>
          <w:rFonts w:hint="eastAsia" w:ascii="仿宋" w:hAnsi="仿宋" w:eastAsia="仿宋" w:cs="仿宋"/>
          <w:color w:val="auto"/>
          <w:sz w:val="24"/>
          <w:szCs w:val="24"/>
        </w:rPr>
        <w:t>；</w:t>
      </w:r>
    </w:p>
    <w:p w14:paraId="31B0ABF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1CF147F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电子信箱：</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FCF32D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通信地址：</w:t>
      </w:r>
      <w:r>
        <w:rPr>
          <w:rFonts w:hint="eastAsia" w:ascii="仿宋" w:hAnsi="仿宋" w:eastAsia="仿宋" w:cs="仿宋"/>
          <w:color w:val="auto"/>
          <w:sz w:val="24"/>
          <w:szCs w:val="24"/>
          <w:u w:val="single"/>
        </w:rPr>
        <w:t>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5E83E00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1.1.2.5 设计人：</w:t>
      </w:r>
    </w:p>
    <w:p w14:paraId="1D4C536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名    称：</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    </w:t>
      </w:r>
      <w:r>
        <w:rPr>
          <w:rFonts w:hint="eastAsia" w:ascii="仿宋" w:hAnsi="仿宋" w:eastAsia="仿宋" w:cs="仿宋"/>
          <w:color w:val="auto"/>
          <w:sz w:val="24"/>
          <w:szCs w:val="24"/>
        </w:rPr>
        <w:t>；</w:t>
      </w:r>
    </w:p>
    <w:p w14:paraId="69BD2B6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资质类别和等级：</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   </w:t>
      </w:r>
      <w:r>
        <w:rPr>
          <w:rFonts w:hint="eastAsia" w:ascii="仿宋" w:hAnsi="仿宋" w:eastAsia="仿宋" w:cs="仿宋"/>
          <w:color w:val="auto"/>
          <w:sz w:val="24"/>
          <w:szCs w:val="24"/>
        </w:rPr>
        <w:t>；</w:t>
      </w:r>
    </w:p>
    <w:p w14:paraId="057839D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             </w:t>
      </w:r>
      <w:r>
        <w:rPr>
          <w:rFonts w:hint="eastAsia" w:ascii="仿宋" w:hAnsi="仿宋" w:eastAsia="仿宋" w:cs="仿宋"/>
          <w:color w:val="auto"/>
          <w:sz w:val="24"/>
          <w:szCs w:val="24"/>
        </w:rPr>
        <w:t>；</w:t>
      </w:r>
    </w:p>
    <w:p w14:paraId="0EEF92F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电子信箱：</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                </w:t>
      </w:r>
      <w:r>
        <w:rPr>
          <w:rFonts w:hint="eastAsia" w:ascii="仿宋" w:hAnsi="仿宋" w:eastAsia="仿宋" w:cs="仿宋"/>
          <w:color w:val="auto"/>
          <w:sz w:val="24"/>
          <w:szCs w:val="24"/>
        </w:rPr>
        <w:t>；</w:t>
      </w:r>
    </w:p>
    <w:p w14:paraId="20F6BCD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通信地址：</w:t>
      </w:r>
      <w:r>
        <w:rPr>
          <w:rFonts w:hint="eastAsia" w:ascii="仿宋" w:hAnsi="仿宋" w:eastAsia="仿宋" w:cs="仿宋"/>
          <w:color w:val="auto"/>
          <w:sz w:val="24"/>
          <w:szCs w:val="24"/>
          <w:u w:val="single"/>
        </w:rPr>
        <w:t>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A5A9CB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1.1.3 工程和设备</w:t>
      </w:r>
    </w:p>
    <w:p w14:paraId="0D682BA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1.1.3.7 作为施工现场组成部分的其他场所包括：</w:t>
      </w:r>
      <w:r>
        <w:rPr>
          <w:rFonts w:hint="eastAsia" w:ascii="仿宋" w:hAnsi="仿宋" w:eastAsia="仿宋" w:cs="仿宋"/>
          <w:color w:val="auto"/>
          <w:sz w:val="24"/>
          <w:szCs w:val="24"/>
          <w:u w:val="single"/>
        </w:rPr>
        <w:t xml:space="preserve"> 生活、办公等临时设施及设备、材料加工、堆放场地 </w:t>
      </w:r>
      <w:r>
        <w:rPr>
          <w:rFonts w:hint="eastAsia" w:ascii="仿宋" w:hAnsi="仿宋" w:eastAsia="仿宋" w:cs="仿宋"/>
          <w:color w:val="auto"/>
          <w:sz w:val="24"/>
          <w:szCs w:val="24"/>
        </w:rPr>
        <w:t>。</w:t>
      </w:r>
    </w:p>
    <w:p w14:paraId="5D73546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1.1.3.9 永久占地包括：</w:t>
      </w:r>
      <w:r>
        <w:rPr>
          <w:rFonts w:hint="eastAsia" w:ascii="仿宋" w:hAnsi="仿宋" w:eastAsia="仿宋" w:cs="仿宋"/>
          <w:color w:val="auto"/>
          <w:sz w:val="24"/>
          <w:szCs w:val="24"/>
          <w:u w:val="single"/>
        </w:rPr>
        <w:t xml:space="preserve">        见规划红线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w:t>
      </w:r>
      <w:r>
        <w:rPr>
          <w:rFonts w:hint="eastAsia" w:ascii="仿宋" w:hAnsi="仿宋" w:eastAsia="仿宋" w:cs="仿宋"/>
          <w:color w:val="auto"/>
          <w:kern w:val="0"/>
          <w:sz w:val="24"/>
          <w:szCs w:val="24"/>
        </w:rPr>
        <w:t>。</w:t>
      </w:r>
    </w:p>
    <w:p w14:paraId="59490ED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1.1.3.10 临时占地包括：</w:t>
      </w:r>
      <w:r>
        <w:rPr>
          <w:rFonts w:hint="eastAsia" w:ascii="仿宋" w:hAnsi="仿宋" w:eastAsia="仿宋" w:cs="仿宋"/>
          <w:color w:val="auto"/>
          <w:sz w:val="24"/>
          <w:szCs w:val="24"/>
          <w:u w:val="single"/>
        </w:rPr>
        <w:t xml:space="preserve"> 生活、办公等临时设施及设备、材料加工，堆放场地</w:t>
      </w:r>
      <w:r>
        <w:rPr>
          <w:rFonts w:hint="eastAsia" w:ascii="仿宋" w:hAnsi="仿宋" w:eastAsia="仿宋" w:cs="仿宋"/>
          <w:color w:val="auto"/>
          <w:kern w:val="0"/>
          <w:sz w:val="24"/>
          <w:szCs w:val="24"/>
        </w:rPr>
        <w:t>。</w:t>
      </w:r>
    </w:p>
    <w:p w14:paraId="0B5C1A3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1.3法律 </w:t>
      </w:r>
    </w:p>
    <w:p w14:paraId="6F01B8C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适用于合同的其他规范性文件：</w:t>
      </w:r>
      <w:r>
        <w:rPr>
          <w:rFonts w:hint="eastAsia" w:ascii="仿宋" w:hAnsi="仿宋" w:eastAsia="仿宋" w:cs="仿宋"/>
          <w:color w:val="auto"/>
          <w:sz w:val="24"/>
          <w:szCs w:val="24"/>
          <w:u w:val="single"/>
        </w:rPr>
        <w:t xml:space="preserve">执行通用条款       </w:t>
      </w:r>
      <w:r>
        <w:rPr>
          <w:rFonts w:hint="eastAsia" w:ascii="仿宋" w:hAnsi="仿宋" w:eastAsia="仿宋" w:cs="仿宋"/>
          <w:color w:val="auto"/>
          <w:sz w:val="24"/>
          <w:szCs w:val="24"/>
        </w:rPr>
        <w:t>。</w:t>
      </w:r>
    </w:p>
    <w:p w14:paraId="1D3C371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 标准和规范</w:t>
      </w:r>
    </w:p>
    <w:p w14:paraId="43130F3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1.4.1适用于工程的标准规范包括：</w:t>
      </w:r>
      <w:r>
        <w:rPr>
          <w:rFonts w:hint="eastAsia" w:ascii="仿宋" w:hAnsi="仿宋" w:eastAsia="仿宋" w:cs="仿宋"/>
          <w:color w:val="auto"/>
          <w:sz w:val="24"/>
          <w:szCs w:val="24"/>
          <w:u w:val="single"/>
        </w:rPr>
        <w:t>执行建筑、市政等工程国家、自治区、州、市现行施工及验收规范标准以及材料设备所涉及的现行国家，省，市或行业的工程建设标准</w:t>
      </w:r>
      <w:r>
        <w:rPr>
          <w:rFonts w:hint="eastAsia" w:ascii="仿宋" w:hAnsi="仿宋" w:eastAsia="仿宋" w:cs="仿宋"/>
          <w:color w:val="auto"/>
          <w:sz w:val="24"/>
          <w:szCs w:val="24"/>
        </w:rPr>
        <w:t>。</w:t>
      </w:r>
    </w:p>
    <w:p w14:paraId="0B7BF22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1.4.2 发包人提供国外标准、规范的名称：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4EDC800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发包人提供国外标准、规范的份数：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431BFB8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发包人提供国外标准、规范的名称：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3DADABA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1.4.3发包人对工程的技术标准和功能要求的特殊要求：</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1160CA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 合同文件的优先顺序</w:t>
      </w:r>
    </w:p>
    <w:p w14:paraId="4DF72C4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合同文件组成及优先顺序为：</w:t>
      </w:r>
      <w:r>
        <w:rPr>
          <w:rFonts w:hint="eastAsia" w:ascii="仿宋" w:hAnsi="仿宋" w:eastAsia="仿宋" w:cs="仿宋"/>
          <w:color w:val="auto"/>
          <w:sz w:val="24"/>
          <w:szCs w:val="24"/>
          <w:u w:val="single"/>
        </w:rPr>
        <w:t>执行通用条款  </w:t>
      </w:r>
      <w:r>
        <w:rPr>
          <w:rFonts w:hint="eastAsia" w:ascii="仿宋" w:hAnsi="仿宋" w:eastAsia="仿宋" w:cs="仿宋"/>
          <w:color w:val="auto"/>
          <w:sz w:val="24"/>
          <w:szCs w:val="24"/>
        </w:rPr>
        <w:t>。</w:t>
      </w:r>
    </w:p>
    <w:p w14:paraId="5022A26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 图纸和承包人文件</w:t>
      </w:r>
      <w:r>
        <w:rPr>
          <w:rFonts w:hint="eastAsia" w:ascii="仿宋" w:hAnsi="仿宋" w:eastAsia="仿宋" w:cs="仿宋"/>
          <w:color w:val="auto"/>
          <w:sz w:val="24"/>
          <w:szCs w:val="24"/>
        </w:rPr>
        <w:tab/>
      </w:r>
    </w:p>
    <w:p w14:paraId="6C2994D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1.6.1 图纸的提供</w:t>
      </w:r>
    </w:p>
    <w:p w14:paraId="4BE3FA1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发包人向承包人提供图纸的期限：</w:t>
      </w:r>
      <w:r>
        <w:rPr>
          <w:rFonts w:hint="eastAsia" w:ascii="仿宋" w:hAnsi="仿宋" w:eastAsia="仿宋" w:cs="仿宋"/>
          <w:color w:val="auto"/>
          <w:sz w:val="24"/>
          <w:szCs w:val="24"/>
          <w:u w:val="single"/>
        </w:rPr>
        <w:t>合同签订后七日内提供</w:t>
      </w:r>
      <w:r>
        <w:rPr>
          <w:rFonts w:hint="eastAsia" w:ascii="仿宋" w:hAnsi="仿宋" w:eastAsia="仿宋" w:cs="仿宋"/>
          <w:color w:val="auto"/>
          <w:sz w:val="24"/>
          <w:szCs w:val="24"/>
          <w:u w:val="single"/>
          <w:lang w:val="en-US" w:eastAsia="zh-CN"/>
        </w:rPr>
        <w:t>经供电部门</w:t>
      </w:r>
      <w:r>
        <w:rPr>
          <w:rFonts w:hint="eastAsia" w:ascii="仿宋" w:hAnsi="仿宋" w:eastAsia="仿宋" w:cs="仿宋"/>
          <w:color w:val="auto"/>
          <w:sz w:val="24"/>
          <w:szCs w:val="24"/>
          <w:u w:val="single"/>
        </w:rPr>
        <w:t>审查合格的施工图</w:t>
      </w:r>
      <w:r>
        <w:rPr>
          <w:rFonts w:hint="eastAsia" w:ascii="仿宋" w:hAnsi="仿宋" w:eastAsia="仿宋" w:cs="仿宋"/>
          <w:color w:val="auto"/>
          <w:sz w:val="24"/>
          <w:szCs w:val="24"/>
        </w:rPr>
        <w:t>；</w:t>
      </w:r>
    </w:p>
    <w:p w14:paraId="5971986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发包人向承包人提供图纸的数量：</w:t>
      </w:r>
      <w:r>
        <w:rPr>
          <w:rFonts w:hint="eastAsia" w:ascii="仿宋" w:hAnsi="仿宋" w:eastAsia="仿宋" w:cs="仿宋"/>
          <w:color w:val="auto"/>
          <w:sz w:val="24"/>
          <w:szCs w:val="24"/>
          <w:u w:val="single"/>
        </w:rPr>
        <w:t>2 套   </w:t>
      </w:r>
      <w:r>
        <w:rPr>
          <w:rFonts w:hint="eastAsia" w:ascii="仿宋" w:hAnsi="仿宋" w:eastAsia="仿宋" w:cs="仿宋"/>
          <w:color w:val="auto"/>
          <w:sz w:val="24"/>
          <w:szCs w:val="24"/>
        </w:rPr>
        <w:t>；</w:t>
      </w:r>
    </w:p>
    <w:p w14:paraId="0C6C08C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发包人向承包人提供图纸的内容：</w:t>
      </w:r>
      <w:r>
        <w:rPr>
          <w:rFonts w:hint="eastAsia" w:ascii="仿宋" w:hAnsi="仿宋" w:eastAsia="仿宋" w:cs="仿宋"/>
          <w:color w:val="auto"/>
          <w:sz w:val="24"/>
          <w:szCs w:val="24"/>
          <w:u w:val="single"/>
        </w:rPr>
        <w:t>本合同发包内容中的全部图纸</w:t>
      </w:r>
      <w:r>
        <w:rPr>
          <w:rFonts w:hint="eastAsia" w:ascii="仿宋" w:hAnsi="仿宋" w:eastAsia="仿宋" w:cs="仿宋"/>
          <w:color w:val="auto"/>
          <w:sz w:val="24"/>
          <w:szCs w:val="24"/>
        </w:rPr>
        <w:t>。</w:t>
      </w:r>
    </w:p>
    <w:p w14:paraId="7DF046A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1.6.4 承包人文件</w:t>
      </w:r>
    </w:p>
    <w:p w14:paraId="1F2B3F0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需要由承包人提供的文件，包括：</w:t>
      </w:r>
      <w:r>
        <w:rPr>
          <w:rFonts w:hint="eastAsia" w:ascii="仿宋" w:hAnsi="仿宋" w:eastAsia="仿宋" w:cs="仿宋"/>
          <w:color w:val="auto"/>
          <w:sz w:val="24"/>
          <w:szCs w:val="24"/>
          <w:u w:val="single"/>
        </w:rPr>
        <w:t xml:space="preserve">开工前 3 日应提供完善的施工组织设计和安全专项方案，每月 25 日前提供下月完成工程量报表、月进度报表等 </w:t>
      </w:r>
      <w:r>
        <w:rPr>
          <w:rFonts w:hint="eastAsia" w:ascii="仿宋" w:hAnsi="仿宋" w:eastAsia="仿宋" w:cs="仿宋"/>
          <w:color w:val="auto"/>
          <w:sz w:val="24"/>
          <w:szCs w:val="24"/>
        </w:rPr>
        <w:t>；</w:t>
      </w:r>
    </w:p>
    <w:p w14:paraId="3C80B59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承包人提供的文件的期限为：</w:t>
      </w:r>
      <w:r>
        <w:rPr>
          <w:rFonts w:hint="eastAsia" w:ascii="仿宋" w:hAnsi="仿宋" w:eastAsia="仿宋" w:cs="仿宋"/>
          <w:color w:val="auto"/>
          <w:sz w:val="24"/>
          <w:szCs w:val="24"/>
          <w:u w:val="single"/>
        </w:rPr>
        <w:t>每月 25 日前  </w:t>
      </w:r>
      <w:r>
        <w:rPr>
          <w:rFonts w:hint="eastAsia" w:ascii="仿宋" w:hAnsi="仿宋" w:eastAsia="仿宋" w:cs="仿宋"/>
          <w:color w:val="auto"/>
          <w:sz w:val="24"/>
          <w:szCs w:val="24"/>
        </w:rPr>
        <w:t>；</w:t>
      </w:r>
    </w:p>
    <w:p w14:paraId="24A8D19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承包人提供的文件的数量为：</w:t>
      </w:r>
      <w:r>
        <w:rPr>
          <w:rFonts w:hint="eastAsia" w:ascii="仿宋" w:hAnsi="仿宋" w:eastAsia="仿宋" w:cs="仿宋"/>
          <w:color w:val="auto"/>
          <w:sz w:val="24"/>
          <w:szCs w:val="24"/>
          <w:u w:val="single"/>
        </w:rPr>
        <w:t>8 份      </w:t>
      </w:r>
      <w:r>
        <w:rPr>
          <w:rFonts w:hint="eastAsia" w:ascii="仿宋" w:hAnsi="仿宋" w:eastAsia="仿宋" w:cs="仿宋"/>
          <w:color w:val="auto"/>
          <w:sz w:val="24"/>
          <w:szCs w:val="24"/>
        </w:rPr>
        <w:t>；</w:t>
      </w:r>
    </w:p>
    <w:p w14:paraId="3B93C06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承包人提供的文件的形式为：</w:t>
      </w:r>
      <w:r>
        <w:rPr>
          <w:rFonts w:hint="eastAsia" w:ascii="仿宋" w:hAnsi="仿宋" w:eastAsia="仿宋" w:cs="仿宋"/>
          <w:color w:val="auto"/>
          <w:sz w:val="24"/>
          <w:szCs w:val="24"/>
          <w:u w:val="single"/>
        </w:rPr>
        <w:t>书面形式和电子文档</w:t>
      </w:r>
      <w:r>
        <w:rPr>
          <w:rFonts w:hint="eastAsia" w:ascii="仿宋" w:hAnsi="仿宋" w:eastAsia="仿宋" w:cs="仿宋"/>
          <w:color w:val="auto"/>
          <w:sz w:val="24"/>
          <w:szCs w:val="24"/>
        </w:rPr>
        <w:t>；</w:t>
      </w:r>
    </w:p>
    <w:p w14:paraId="1798033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发包人审批承包人文件的期限：</w:t>
      </w:r>
      <w:r>
        <w:rPr>
          <w:rFonts w:hint="eastAsia" w:ascii="仿宋" w:hAnsi="仿宋" w:eastAsia="仿宋" w:cs="仿宋"/>
          <w:color w:val="auto"/>
          <w:sz w:val="24"/>
          <w:szCs w:val="24"/>
          <w:u w:val="single"/>
        </w:rPr>
        <w:t>收到文件后 10 天内</w:t>
      </w:r>
      <w:r>
        <w:rPr>
          <w:rFonts w:hint="eastAsia" w:ascii="仿宋" w:hAnsi="仿宋" w:eastAsia="仿宋" w:cs="仿宋"/>
          <w:color w:val="auto"/>
          <w:sz w:val="24"/>
          <w:szCs w:val="24"/>
        </w:rPr>
        <w:t>。</w:t>
      </w:r>
    </w:p>
    <w:p w14:paraId="360EDC1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1.6.5 现场图纸准备</w:t>
      </w:r>
    </w:p>
    <w:p w14:paraId="028DB89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关于现场图纸准备的约定：</w:t>
      </w:r>
      <w:r>
        <w:rPr>
          <w:rFonts w:hint="eastAsia" w:ascii="仿宋" w:hAnsi="仿宋" w:eastAsia="仿宋" w:cs="仿宋"/>
          <w:color w:val="auto"/>
          <w:sz w:val="24"/>
          <w:szCs w:val="24"/>
          <w:u w:val="single"/>
        </w:rPr>
        <w:t>施工现场保留一套完整图纸供发包人、监理人及有关人员使用</w:t>
      </w:r>
      <w:r>
        <w:rPr>
          <w:rFonts w:hint="eastAsia" w:ascii="仿宋" w:hAnsi="仿宋" w:eastAsia="仿宋" w:cs="仿宋"/>
          <w:color w:val="auto"/>
          <w:sz w:val="24"/>
          <w:szCs w:val="24"/>
        </w:rPr>
        <w:t>。</w:t>
      </w:r>
    </w:p>
    <w:p w14:paraId="63A6CBF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1.7 联络</w:t>
      </w:r>
    </w:p>
    <w:p w14:paraId="255DC31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1.7.1发包人和承包人应当在</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天内将与合同有关的通知、批准、证明、证书、指示、指令、要求、请求、同意、意见、确定和决定等书面函件送达对方当事人。</w:t>
      </w:r>
    </w:p>
    <w:p w14:paraId="227F094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1.7.2 发包人接收文件的地点：</w:t>
      </w:r>
      <w:r>
        <w:rPr>
          <w:rFonts w:hint="eastAsia" w:ascii="仿宋" w:hAnsi="仿宋" w:eastAsia="仿宋" w:cs="仿宋"/>
          <w:color w:val="auto"/>
          <w:sz w:val="24"/>
          <w:szCs w:val="24"/>
          <w:u w:val="single"/>
        </w:rPr>
        <w:t>发包人办公场所</w:t>
      </w:r>
      <w:r>
        <w:rPr>
          <w:rFonts w:hint="eastAsia" w:ascii="仿宋" w:hAnsi="仿宋" w:eastAsia="仿宋" w:cs="仿宋"/>
          <w:color w:val="auto"/>
          <w:kern w:val="0"/>
          <w:sz w:val="24"/>
          <w:szCs w:val="24"/>
        </w:rPr>
        <w:t>；</w:t>
      </w:r>
    </w:p>
    <w:p w14:paraId="21C9A64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发包人指定的接收人为：</w:t>
      </w:r>
      <w:r>
        <w:rPr>
          <w:rFonts w:hint="eastAsia" w:ascii="仿宋" w:hAnsi="仿宋" w:eastAsia="仿宋" w:cs="仿宋"/>
          <w:color w:val="auto"/>
          <w:sz w:val="24"/>
          <w:szCs w:val="24"/>
          <w:u w:val="single"/>
        </w:rPr>
        <w:t>发包人代表        </w:t>
      </w:r>
      <w:r>
        <w:rPr>
          <w:rFonts w:hint="eastAsia" w:ascii="仿宋" w:hAnsi="仿宋" w:eastAsia="仿宋" w:cs="仿宋"/>
          <w:color w:val="auto"/>
          <w:kern w:val="0"/>
          <w:sz w:val="24"/>
          <w:szCs w:val="24"/>
        </w:rPr>
        <w:t>。</w:t>
      </w:r>
    </w:p>
    <w:p w14:paraId="5AEDBCF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承包人接收文件的地点：</w:t>
      </w:r>
      <w:r>
        <w:rPr>
          <w:rFonts w:hint="eastAsia" w:ascii="仿宋" w:hAnsi="仿宋" w:eastAsia="仿宋" w:cs="仿宋"/>
          <w:color w:val="auto"/>
          <w:sz w:val="24"/>
          <w:szCs w:val="24"/>
          <w:u w:val="single"/>
        </w:rPr>
        <w:t>项目所在地承包人项目部  </w:t>
      </w:r>
      <w:r>
        <w:rPr>
          <w:rFonts w:hint="eastAsia" w:ascii="仿宋" w:hAnsi="仿宋" w:eastAsia="仿宋" w:cs="仿宋"/>
          <w:color w:val="auto"/>
          <w:kern w:val="0"/>
          <w:sz w:val="24"/>
          <w:szCs w:val="24"/>
        </w:rPr>
        <w:t>；</w:t>
      </w:r>
    </w:p>
    <w:p w14:paraId="1CB8A7F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承包人指定的接收人为：</w:t>
      </w:r>
      <w:r>
        <w:rPr>
          <w:rFonts w:hint="eastAsia" w:ascii="仿宋" w:hAnsi="仿宋" w:eastAsia="仿宋" w:cs="仿宋"/>
          <w:color w:val="auto"/>
          <w:sz w:val="24"/>
          <w:szCs w:val="24"/>
          <w:u w:val="single"/>
        </w:rPr>
        <w:t> 项目经理          </w:t>
      </w:r>
      <w:r>
        <w:rPr>
          <w:rFonts w:hint="eastAsia" w:ascii="仿宋" w:hAnsi="仿宋" w:eastAsia="仿宋" w:cs="仿宋"/>
          <w:color w:val="auto"/>
          <w:kern w:val="0"/>
          <w:sz w:val="24"/>
          <w:szCs w:val="24"/>
        </w:rPr>
        <w:t>。</w:t>
      </w:r>
    </w:p>
    <w:p w14:paraId="17AA8F2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监理人接收文件的地点：</w:t>
      </w:r>
      <w:r>
        <w:rPr>
          <w:rFonts w:hint="eastAsia" w:ascii="仿宋" w:hAnsi="仿宋" w:eastAsia="仿宋" w:cs="仿宋"/>
          <w:color w:val="auto"/>
          <w:sz w:val="24"/>
          <w:szCs w:val="24"/>
          <w:u w:val="single"/>
        </w:rPr>
        <w:t>项目所在地监理人办公室   </w:t>
      </w:r>
      <w:r>
        <w:rPr>
          <w:rFonts w:hint="eastAsia" w:ascii="仿宋" w:hAnsi="仿宋" w:eastAsia="仿宋" w:cs="仿宋"/>
          <w:color w:val="auto"/>
          <w:kern w:val="0"/>
          <w:sz w:val="24"/>
          <w:szCs w:val="24"/>
        </w:rPr>
        <w:t>；</w:t>
      </w:r>
    </w:p>
    <w:p w14:paraId="633918D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监理人指定的接收人为：</w:t>
      </w:r>
      <w:r>
        <w:rPr>
          <w:rFonts w:hint="eastAsia" w:ascii="仿宋" w:hAnsi="仿宋" w:eastAsia="仿宋" w:cs="仿宋"/>
          <w:color w:val="auto"/>
          <w:sz w:val="24"/>
          <w:szCs w:val="24"/>
          <w:u w:val="single"/>
        </w:rPr>
        <w:t>总监理工程师     </w:t>
      </w:r>
      <w:r>
        <w:rPr>
          <w:rFonts w:hint="eastAsia" w:ascii="仿宋" w:hAnsi="仿宋" w:eastAsia="仿宋" w:cs="仿宋"/>
          <w:color w:val="auto"/>
          <w:kern w:val="0"/>
          <w:sz w:val="24"/>
          <w:szCs w:val="24"/>
        </w:rPr>
        <w:t>。</w:t>
      </w:r>
    </w:p>
    <w:p w14:paraId="0DB8EB5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1.10 交通运输</w:t>
      </w:r>
    </w:p>
    <w:p w14:paraId="338EDB5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bookmarkStart w:id="779" w:name="_Toc304295521"/>
      <w:bookmarkStart w:id="780" w:name="_Toc318581155"/>
      <w:bookmarkStart w:id="781" w:name="_Toc312677986"/>
      <w:bookmarkStart w:id="782" w:name="_Toc303539100"/>
      <w:bookmarkStart w:id="783" w:name="_Toc300934943"/>
      <w:r>
        <w:rPr>
          <w:rFonts w:hint="eastAsia" w:ascii="仿宋" w:hAnsi="仿宋" w:eastAsia="仿宋" w:cs="仿宋"/>
          <w:color w:val="auto"/>
          <w:sz w:val="24"/>
          <w:szCs w:val="24"/>
        </w:rPr>
        <w:t>.10.1 出入现场的权利</w:t>
      </w:r>
    </w:p>
    <w:p w14:paraId="45796F6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关于出入现场的权利的约定：</w:t>
      </w:r>
      <w:r>
        <w:rPr>
          <w:rFonts w:hint="eastAsia" w:ascii="仿宋" w:hAnsi="仿宋" w:eastAsia="仿宋" w:cs="仿宋"/>
          <w:color w:val="auto"/>
          <w:sz w:val="24"/>
          <w:szCs w:val="24"/>
          <w:u w:val="single"/>
        </w:rPr>
        <w:t>根据施工需要，由承包方负责办理出入施工现场的相关手续、负责建设并承担相关费用</w:t>
      </w:r>
      <w:r>
        <w:rPr>
          <w:rFonts w:hint="eastAsia" w:ascii="仿宋" w:hAnsi="仿宋" w:eastAsia="仿宋" w:cs="仿宋"/>
          <w:color w:val="auto"/>
          <w:sz w:val="24"/>
          <w:szCs w:val="24"/>
        </w:rPr>
        <w:t>。</w:t>
      </w:r>
    </w:p>
    <w:bookmarkEnd w:id="779"/>
    <w:bookmarkEnd w:id="780"/>
    <w:bookmarkEnd w:id="781"/>
    <w:bookmarkEnd w:id="782"/>
    <w:bookmarkEnd w:id="783"/>
    <w:p w14:paraId="7C50BD2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bookmarkStart w:id="784" w:name="_Toc312677987"/>
      <w:bookmarkStart w:id="785" w:name="_Toc300934944"/>
      <w:bookmarkStart w:id="786" w:name="_Toc303539101"/>
      <w:bookmarkStart w:id="787" w:name="_Toc318581156"/>
      <w:bookmarkStart w:id="788" w:name="_Toc304295522"/>
      <w:r>
        <w:rPr>
          <w:rFonts w:hint="eastAsia" w:ascii="仿宋" w:hAnsi="仿宋" w:eastAsia="仿宋" w:cs="仿宋"/>
          <w:color w:val="auto"/>
          <w:sz w:val="24"/>
          <w:szCs w:val="24"/>
        </w:rPr>
        <w:t>.10.3 场内交通</w:t>
      </w:r>
    </w:p>
    <w:p w14:paraId="65571C5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关于场外交通和场内交通的边界的约定：</w:t>
      </w:r>
      <w:r>
        <w:rPr>
          <w:rFonts w:hint="eastAsia" w:ascii="仿宋" w:hAnsi="仿宋" w:eastAsia="仿宋" w:cs="仿宋"/>
          <w:color w:val="auto"/>
          <w:sz w:val="24"/>
          <w:szCs w:val="24"/>
          <w:u w:val="single"/>
        </w:rPr>
        <w:t>以规划红线为边界</w:t>
      </w:r>
      <w:r>
        <w:rPr>
          <w:rFonts w:hint="eastAsia" w:ascii="仿宋" w:hAnsi="仿宋" w:eastAsia="仿宋" w:cs="仿宋"/>
          <w:color w:val="auto"/>
          <w:sz w:val="24"/>
          <w:szCs w:val="24"/>
        </w:rPr>
        <w:t>。</w:t>
      </w:r>
    </w:p>
    <w:p w14:paraId="409BE39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关于发包人向承包人免费提供满足工程施工需要的场内道路和交通设施的约定：</w:t>
      </w:r>
      <w:r>
        <w:rPr>
          <w:rFonts w:hint="eastAsia" w:ascii="仿宋" w:hAnsi="仿宋" w:eastAsia="仿宋" w:cs="仿宋"/>
          <w:color w:val="auto"/>
          <w:sz w:val="24"/>
          <w:szCs w:val="24"/>
          <w:u w:val="single"/>
        </w:rPr>
        <w:t>发包方协助，承包方办理并承担相应费用</w:t>
      </w:r>
      <w:r>
        <w:rPr>
          <w:rFonts w:hint="eastAsia" w:ascii="仿宋" w:hAnsi="仿宋" w:eastAsia="仿宋" w:cs="仿宋"/>
          <w:color w:val="auto"/>
          <w:sz w:val="24"/>
          <w:szCs w:val="24"/>
        </w:rPr>
        <w:t>。</w:t>
      </w:r>
      <w:bookmarkEnd w:id="784"/>
      <w:bookmarkEnd w:id="785"/>
      <w:bookmarkEnd w:id="786"/>
      <w:bookmarkEnd w:id="787"/>
      <w:bookmarkEnd w:id="788"/>
      <w:r>
        <w:rPr>
          <w:rFonts w:hint="eastAsia" w:ascii="仿宋" w:hAnsi="仿宋" w:eastAsia="仿宋" w:cs="仿宋"/>
          <w:color w:val="auto"/>
          <w:sz w:val="24"/>
          <w:szCs w:val="24"/>
        </w:rPr>
        <w:t xml:space="preserve">  </w:t>
      </w:r>
      <w:bookmarkStart w:id="789" w:name="_Toc318581157"/>
    </w:p>
    <w:p w14:paraId="41C4822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1.10.4超大件和超重件的运输</w:t>
      </w:r>
    </w:p>
    <w:p w14:paraId="6FB2DA0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运输超大件或超重件所需的道路和桥梁临时加固改造费用和其他有关费用由</w:t>
      </w:r>
      <w:r>
        <w:rPr>
          <w:rFonts w:hint="eastAsia" w:ascii="仿宋" w:hAnsi="仿宋" w:eastAsia="仿宋" w:cs="仿宋"/>
          <w:color w:val="auto"/>
          <w:sz w:val="24"/>
          <w:szCs w:val="24"/>
          <w:u w:val="single"/>
        </w:rPr>
        <w:t xml:space="preserve">    承包人   </w:t>
      </w:r>
      <w:r>
        <w:rPr>
          <w:rFonts w:hint="eastAsia" w:ascii="仿宋" w:hAnsi="仿宋" w:eastAsia="仿宋" w:cs="仿宋"/>
          <w:color w:val="auto"/>
          <w:sz w:val="24"/>
          <w:szCs w:val="24"/>
        </w:rPr>
        <w:t>承担。</w:t>
      </w:r>
    </w:p>
    <w:bookmarkEnd w:id="789"/>
    <w:p w14:paraId="6EC6A3F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1.11 知识产权</w:t>
      </w:r>
    </w:p>
    <w:p w14:paraId="19FD5CB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szCs w:val="24"/>
          <w:u w:val="single"/>
        </w:rPr>
        <w:t xml:space="preserve">按通用条款执行     </w:t>
      </w:r>
      <w:r>
        <w:rPr>
          <w:rFonts w:hint="eastAsia" w:ascii="仿宋" w:hAnsi="仿宋" w:eastAsia="仿宋" w:cs="仿宋"/>
          <w:color w:val="auto"/>
          <w:sz w:val="24"/>
          <w:szCs w:val="24"/>
        </w:rPr>
        <w:t>。</w:t>
      </w:r>
    </w:p>
    <w:p w14:paraId="4DF8674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关于发包人提供的上述文件的使用限制的要求：</w:t>
      </w:r>
      <w:r>
        <w:rPr>
          <w:rFonts w:hint="eastAsia" w:ascii="仿宋" w:hAnsi="仿宋" w:eastAsia="仿宋" w:cs="仿宋"/>
          <w:color w:val="auto"/>
          <w:sz w:val="24"/>
          <w:szCs w:val="24"/>
          <w:u w:val="single"/>
        </w:rPr>
        <w:t xml:space="preserve">按通用条款执行    </w:t>
      </w:r>
      <w:r>
        <w:rPr>
          <w:rFonts w:hint="eastAsia" w:ascii="仿宋" w:hAnsi="仿宋" w:eastAsia="仿宋" w:cs="仿宋"/>
          <w:color w:val="auto"/>
          <w:sz w:val="24"/>
          <w:szCs w:val="24"/>
        </w:rPr>
        <w:t>。</w:t>
      </w:r>
    </w:p>
    <w:p w14:paraId="7C42B97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1.11.2 关于承包人为实施工程所编制文件的著作权的归属：</w:t>
      </w:r>
      <w:r>
        <w:rPr>
          <w:rFonts w:hint="eastAsia" w:ascii="仿宋" w:hAnsi="仿宋" w:eastAsia="仿宋" w:cs="仿宋"/>
          <w:color w:val="auto"/>
          <w:sz w:val="24"/>
          <w:szCs w:val="24"/>
          <w:u w:val="single"/>
        </w:rPr>
        <w:t xml:space="preserve">    </w:t>
      </w:r>
    </w:p>
    <w:p w14:paraId="34FA974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按通用条款执行 </w:t>
      </w:r>
      <w:r>
        <w:rPr>
          <w:rFonts w:hint="eastAsia" w:ascii="仿宋" w:hAnsi="仿宋" w:eastAsia="仿宋" w:cs="仿宋"/>
          <w:color w:val="auto"/>
          <w:sz w:val="24"/>
          <w:szCs w:val="24"/>
        </w:rPr>
        <w:t>。</w:t>
      </w:r>
    </w:p>
    <w:p w14:paraId="322BE98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关于承包人提供的上述文件的使用限制的要求：</w:t>
      </w:r>
      <w:r>
        <w:rPr>
          <w:rFonts w:hint="eastAsia" w:ascii="仿宋" w:hAnsi="仿宋" w:eastAsia="仿宋" w:cs="仿宋"/>
          <w:color w:val="auto"/>
          <w:sz w:val="24"/>
          <w:szCs w:val="24"/>
          <w:u w:val="single"/>
        </w:rPr>
        <w:t xml:space="preserve">按通用条款执行 </w:t>
      </w:r>
      <w:r>
        <w:rPr>
          <w:rFonts w:hint="eastAsia" w:ascii="仿宋" w:hAnsi="仿宋" w:eastAsia="仿宋" w:cs="仿宋"/>
          <w:color w:val="auto"/>
          <w:sz w:val="24"/>
          <w:szCs w:val="24"/>
        </w:rPr>
        <w:t>。</w:t>
      </w:r>
    </w:p>
    <w:p w14:paraId="2D231A2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1.11.4 承包人在施工过程中所采用的专利、专有技术、技术秘密的使用费的承担方式：</w:t>
      </w:r>
      <w:r>
        <w:rPr>
          <w:rFonts w:hint="eastAsia" w:ascii="仿宋" w:hAnsi="仿宋" w:eastAsia="仿宋" w:cs="仿宋"/>
          <w:color w:val="auto"/>
          <w:sz w:val="24"/>
          <w:szCs w:val="24"/>
          <w:u w:val="single"/>
        </w:rPr>
        <w:t xml:space="preserve">包含在合同价中     </w:t>
      </w:r>
      <w:r>
        <w:rPr>
          <w:rFonts w:hint="eastAsia" w:ascii="仿宋" w:hAnsi="仿宋" w:eastAsia="仿宋" w:cs="仿宋"/>
          <w:color w:val="auto"/>
          <w:kern w:val="0"/>
          <w:sz w:val="24"/>
          <w:szCs w:val="24"/>
        </w:rPr>
        <w:t>。</w:t>
      </w:r>
    </w:p>
    <w:p w14:paraId="4525574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1.13工程量清单错误的修正</w:t>
      </w:r>
    </w:p>
    <w:p w14:paraId="52C6998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出现工程量清单错误时，是否调整合同价格：</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是</w:t>
      </w:r>
      <w:r>
        <w:rPr>
          <w:rFonts w:hint="eastAsia" w:ascii="仿宋" w:hAnsi="仿宋" w:eastAsia="仿宋" w:cs="仿宋"/>
          <w:color w:val="auto"/>
          <w:sz w:val="24"/>
          <w:szCs w:val="24"/>
          <w:u w:val="single"/>
        </w:rPr>
        <w:t xml:space="preserve">     </w:t>
      </w:r>
      <w:r>
        <w:rPr>
          <w:rFonts w:hint="eastAsia" w:ascii="仿宋" w:hAnsi="仿宋" w:eastAsia="仿宋" w:cs="仿宋"/>
          <w:color w:val="auto"/>
          <w:kern w:val="0"/>
          <w:sz w:val="24"/>
          <w:szCs w:val="24"/>
        </w:rPr>
        <w:t>。</w:t>
      </w:r>
    </w:p>
    <w:p w14:paraId="2834210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允许调整合同价格的工程量偏差范围：</w:t>
      </w:r>
      <w:r>
        <w:rPr>
          <w:rFonts w:hint="eastAsia" w:ascii="仿宋" w:hAnsi="仿宋" w:eastAsia="仿宋" w:cs="仿宋"/>
          <w:color w:val="auto"/>
          <w:sz w:val="24"/>
          <w:szCs w:val="24"/>
          <w:u w:val="single"/>
        </w:rPr>
        <w:t>当工程量清单项目工程量的变化幅度在±15%（含 15%）以内时，其综合单价不</w:t>
      </w:r>
      <w:r>
        <w:rPr>
          <w:rFonts w:hint="eastAsia" w:ascii="仿宋" w:hAnsi="仿宋" w:eastAsia="仿宋" w:cs="仿宋"/>
          <w:color w:val="auto"/>
          <w:sz w:val="24"/>
          <w:szCs w:val="24"/>
          <w:u w:val="single"/>
          <w:lang w:eastAsia="zh-CN"/>
        </w:rPr>
        <w:t>作</w:t>
      </w:r>
      <w:r>
        <w:rPr>
          <w:rFonts w:hint="eastAsia" w:ascii="仿宋" w:hAnsi="仿宋" w:eastAsia="仿宋" w:cs="仿宋"/>
          <w:color w:val="auto"/>
          <w:sz w:val="24"/>
          <w:szCs w:val="24"/>
          <w:u w:val="single"/>
        </w:rPr>
        <w:t xml:space="preserve">调整，执行原有综合单价。当工程量清单项目工程量的变化幅度在±15%以外时，其综合单价调整方法为：工程量偏差+15%以上的部分原综合单价下浮 10%；工程量偏差-15%以下部分，减少后剩余部分执行原综合单价。当清单出现漏项项目，漏项造价超出投标总价（不含暂列金额）的 5%时，5%以内（含 5%）按当地预算定额进行结算。超出 5%部分按当地预算定额取费后下浮 10%结算。当确认变更的费用发生争议时，施工方不得以该争议作为怠工、停工等的理由，必须正常施工  </w:t>
      </w:r>
      <w:r>
        <w:rPr>
          <w:rFonts w:hint="eastAsia" w:ascii="仿宋" w:hAnsi="仿宋" w:eastAsia="仿宋" w:cs="仿宋"/>
          <w:color w:val="auto"/>
          <w:kern w:val="0"/>
          <w:sz w:val="24"/>
          <w:szCs w:val="24"/>
        </w:rPr>
        <w:t>。</w:t>
      </w:r>
    </w:p>
    <w:p w14:paraId="029FEB76">
      <w:pPr>
        <w:pStyle w:val="5"/>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color w:val="auto"/>
          <w:sz w:val="24"/>
          <w:szCs w:val="24"/>
        </w:rPr>
      </w:pPr>
      <w:bookmarkStart w:id="790" w:name="_Toc351203634"/>
      <w:r>
        <w:rPr>
          <w:rFonts w:hint="eastAsia" w:ascii="仿宋" w:hAnsi="仿宋" w:eastAsia="仿宋" w:cs="仿宋"/>
          <w:color w:val="auto"/>
          <w:sz w:val="24"/>
          <w:szCs w:val="24"/>
        </w:rPr>
        <w:t>2</w:t>
      </w:r>
      <w:bookmarkStart w:id="791" w:name="_Toc292559362"/>
      <w:bookmarkStart w:id="792" w:name="_Toc296346658"/>
      <w:bookmarkStart w:id="793" w:name="_Toc296891197"/>
      <w:bookmarkStart w:id="794" w:name="_Toc297120457"/>
      <w:bookmarkStart w:id="795" w:name="_Toc296503157"/>
      <w:bookmarkStart w:id="796" w:name="_Toc297048343"/>
      <w:bookmarkStart w:id="797" w:name="_Toc296944496"/>
      <w:bookmarkStart w:id="798" w:name="_Toc296347156"/>
      <w:bookmarkStart w:id="799" w:name="_Toc296890985"/>
      <w:bookmarkStart w:id="800" w:name="_Toc292559867"/>
      <w:r>
        <w:rPr>
          <w:rFonts w:hint="eastAsia" w:ascii="仿宋" w:hAnsi="仿宋" w:eastAsia="仿宋" w:cs="仿宋"/>
          <w:color w:val="auto"/>
          <w:sz w:val="24"/>
          <w:szCs w:val="24"/>
        </w:rPr>
        <w:t>. 发包人</w:t>
      </w:r>
      <w:bookmarkEnd w:id="790"/>
    </w:p>
    <w:bookmarkEnd w:id="791"/>
    <w:bookmarkEnd w:id="792"/>
    <w:bookmarkEnd w:id="793"/>
    <w:bookmarkEnd w:id="794"/>
    <w:bookmarkEnd w:id="795"/>
    <w:bookmarkEnd w:id="796"/>
    <w:bookmarkEnd w:id="797"/>
    <w:bookmarkEnd w:id="798"/>
    <w:bookmarkEnd w:id="799"/>
    <w:bookmarkEnd w:id="800"/>
    <w:p w14:paraId="36E3421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2.2 发包人代表</w:t>
      </w:r>
    </w:p>
    <w:p w14:paraId="52767F3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发包人代表：</w:t>
      </w:r>
    </w:p>
    <w:p w14:paraId="4249E21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10ECE54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身份证号：</w:t>
      </w:r>
      <w:r>
        <w:rPr>
          <w:rFonts w:hint="eastAsia" w:ascii="仿宋" w:hAnsi="仿宋" w:eastAsia="仿宋" w:cs="仿宋"/>
          <w:color w:val="auto"/>
          <w:sz w:val="24"/>
          <w:szCs w:val="24"/>
          <w:u w:val="single"/>
        </w:rPr>
        <w:t>      </w:t>
      </w:r>
      <w:r>
        <w:rPr>
          <w:rFonts w:hint="eastAsia" w:ascii="仿宋" w:hAnsi="仿宋" w:eastAsia="仿宋" w:cs="仿宋"/>
          <w:color w:val="auto"/>
          <w:sz w:val="24"/>
          <w:szCs w:val="24"/>
        </w:rPr>
        <w:t>；</w:t>
      </w:r>
    </w:p>
    <w:p w14:paraId="111667B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职    务：</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442F66A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   </w:t>
      </w:r>
      <w:r>
        <w:rPr>
          <w:rFonts w:hint="eastAsia" w:ascii="仿宋" w:hAnsi="仿宋" w:eastAsia="仿宋" w:cs="仿宋"/>
          <w:color w:val="auto"/>
          <w:sz w:val="24"/>
          <w:szCs w:val="24"/>
        </w:rPr>
        <w:t>；</w:t>
      </w:r>
    </w:p>
    <w:p w14:paraId="41A9B28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电子信箱：</w:t>
      </w:r>
      <w:r>
        <w:rPr>
          <w:rFonts w:hint="eastAsia" w:ascii="仿宋" w:hAnsi="仿宋" w:eastAsia="仿宋" w:cs="仿宋"/>
          <w:color w:val="auto"/>
          <w:sz w:val="24"/>
          <w:szCs w:val="24"/>
          <w:u w:val="single"/>
        </w:rPr>
        <w:t>     </w:t>
      </w:r>
      <w:r>
        <w:rPr>
          <w:rFonts w:hint="eastAsia" w:ascii="仿宋" w:hAnsi="仿宋" w:eastAsia="仿宋" w:cs="仿宋"/>
          <w:color w:val="auto"/>
          <w:sz w:val="24"/>
          <w:szCs w:val="24"/>
        </w:rPr>
        <w:t>；</w:t>
      </w:r>
    </w:p>
    <w:p w14:paraId="177B03B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通信地址：</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3BA575C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b/>
          <w:color w:val="auto"/>
          <w:sz w:val="24"/>
          <w:szCs w:val="24"/>
        </w:rPr>
      </w:pPr>
      <w:r>
        <w:rPr>
          <w:rFonts w:hint="eastAsia" w:ascii="仿宋" w:hAnsi="仿宋" w:eastAsia="仿宋" w:cs="仿宋"/>
          <w:color w:val="auto"/>
          <w:sz w:val="24"/>
          <w:szCs w:val="24"/>
        </w:rPr>
        <w:t>发包人对发包人代表的授权范围如下：</w:t>
      </w:r>
      <w:r>
        <w:rPr>
          <w:rFonts w:hint="eastAsia" w:ascii="仿宋" w:hAnsi="仿宋" w:eastAsia="仿宋" w:cs="仿宋"/>
          <w:color w:val="auto"/>
          <w:sz w:val="24"/>
          <w:szCs w:val="24"/>
          <w:u w:val="single"/>
        </w:rPr>
        <w:t xml:space="preserve">协调各部门工作，施工现场全过程的质量、进度、安全、投资等进行全面协调管理   </w:t>
      </w:r>
      <w:r>
        <w:rPr>
          <w:rFonts w:hint="eastAsia" w:ascii="仿宋" w:hAnsi="仿宋" w:eastAsia="仿宋" w:cs="仿宋"/>
          <w:color w:val="auto"/>
          <w:sz w:val="24"/>
          <w:szCs w:val="24"/>
        </w:rPr>
        <w:t>。</w:t>
      </w:r>
    </w:p>
    <w:p w14:paraId="2ACFDFA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2.4 施工现场、施工条件和基础资料的提供</w:t>
      </w:r>
    </w:p>
    <w:p w14:paraId="3130B38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2.4.1 提供施工现场</w:t>
      </w:r>
    </w:p>
    <w:p w14:paraId="050EC87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关于发包人移交施工现场的期限要求：</w:t>
      </w:r>
      <w:r>
        <w:rPr>
          <w:rFonts w:hint="eastAsia" w:ascii="仿宋" w:hAnsi="仿宋" w:eastAsia="仿宋" w:cs="仿宋"/>
          <w:color w:val="auto"/>
          <w:sz w:val="24"/>
          <w:szCs w:val="24"/>
          <w:u w:val="single"/>
        </w:rPr>
        <w:t xml:space="preserve">开工前七天  </w:t>
      </w:r>
      <w:r>
        <w:rPr>
          <w:rFonts w:hint="eastAsia" w:ascii="仿宋" w:hAnsi="仿宋" w:eastAsia="仿宋" w:cs="仿宋"/>
          <w:color w:val="auto"/>
          <w:sz w:val="24"/>
          <w:szCs w:val="24"/>
        </w:rPr>
        <w:t>。</w:t>
      </w:r>
    </w:p>
    <w:p w14:paraId="00FD500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2.4.2 提供施工条件</w:t>
      </w:r>
    </w:p>
    <w:p w14:paraId="2A0DC5C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关于发包人应负责提供施工所需要的条件，包括：</w:t>
      </w:r>
      <w:r>
        <w:rPr>
          <w:rFonts w:hint="eastAsia" w:ascii="仿宋" w:hAnsi="仿宋" w:eastAsia="仿宋" w:cs="仿宋"/>
          <w:color w:val="auto"/>
          <w:sz w:val="24"/>
          <w:szCs w:val="24"/>
          <w:u w:val="single"/>
        </w:rPr>
        <w:t xml:space="preserve"> 发包人协调，承包人完成，费用包含在合同价中   </w:t>
      </w:r>
      <w:r>
        <w:rPr>
          <w:rFonts w:hint="eastAsia" w:ascii="仿宋" w:hAnsi="仿宋" w:eastAsia="仿宋" w:cs="仿宋"/>
          <w:color w:val="auto"/>
          <w:sz w:val="24"/>
          <w:szCs w:val="24"/>
        </w:rPr>
        <w:t>。</w:t>
      </w:r>
    </w:p>
    <w:p w14:paraId="0D2C110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2.5 资金来源证明及支付担保</w:t>
      </w:r>
    </w:p>
    <w:p w14:paraId="73C9C44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发包人提供资金来源证明的期限要求：</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04DAB5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发包人是否提供支付担保：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1257E29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发包人提供支付担保的形式：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7AAE495">
      <w:pPr>
        <w:pStyle w:val="5"/>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color w:val="auto"/>
          <w:sz w:val="24"/>
          <w:szCs w:val="24"/>
        </w:rPr>
      </w:pPr>
      <w:bookmarkStart w:id="801" w:name="_Toc351203635"/>
      <w:r>
        <w:rPr>
          <w:rFonts w:hint="eastAsia" w:ascii="仿宋" w:hAnsi="仿宋" w:eastAsia="仿宋" w:cs="仿宋"/>
          <w:color w:val="auto"/>
          <w:sz w:val="24"/>
          <w:szCs w:val="24"/>
        </w:rPr>
        <w:t>3</w:t>
      </w:r>
      <w:bookmarkStart w:id="802" w:name="_Toc292559363"/>
      <w:bookmarkStart w:id="803" w:name="_Toc296890986"/>
      <w:bookmarkStart w:id="804" w:name="_Toc297120458"/>
      <w:bookmarkStart w:id="805" w:name="_Toc296944497"/>
      <w:bookmarkStart w:id="806" w:name="_Toc296503158"/>
      <w:bookmarkStart w:id="807" w:name="_Toc296347157"/>
      <w:bookmarkStart w:id="808" w:name="_Toc292559868"/>
      <w:bookmarkStart w:id="809" w:name="_Toc296891198"/>
      <w:bookmarkStart w:id="810" w:name="_Toc297048344"/>
      <w:bookmarkStart w:id="811" w:name="_Toc296346659"/>
      <w:r>
        <w:rPr>
          <w:rFonts w:hint="eastAsia" w:ascii="仿宋" w:hAnsi="仿宋" w:eastAsia="仿宋" w:cs="仿宋"/>
          <w:color w:val="auto"/>
          <w:sz w:val="24"/>
          <w:szCs w:val="24"/>
        </w:rPr>
        <w:t>. 承包人</w:t>
      </w:r>
      <w:bookmarkEnd w:id="801"/>
    </w:p>
    <w:bookmarkEnd w:id="802"/>
    <w:bookmarkEnd w:id="803"/>
    <w:bookmarkEnd w:id="804"/>
    <w:bookmarkEnd w:id="805"/>
    <w:bookmarkEnd w:id="806"/>
    <w:bookmarkEnd w:id="807"/>
    <w:bookmarkEnd w:id="808"/>
    <w:bookmarkEnd w:id="809"/>
    <w:bookmarkEnd w:id="810"/>
    <w:bookmarkEnd w:id="811"/>
    <w:p w14:paraId="601A0BD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3.1 承包人的一般义务</w:t>
      </w:r>
    </w:p>
    <w:p w14:paraId="1A666B4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（9）</w:t>
      </w:r>
      <w:r>
        <w:rPr>
          <w:rFonts w:hint="eastAsia" w:ascii="仿宋" w:hAnsi="仿宋" w:eastAsia="仿宋" w:cs="仿宋"/>
          <w:color w:val="auto"/>
          <w:sz w:val="24"/>
          <w:szCs w:val="24"/>
        </w:rPr>
        <w:t>承包人提交的竣工资料的内容：</w:t>
      </w:r>
      <w:r>
        <w:rPr>
          <w:rFonts w:hint="eastAsia" w:ascii="仿宋" w:hAnsi="仿宋" w:eastAsia="仿宋" w:cs="仿宋"/>
          <w:color w:val="auto"/>
          <w:sz w:val="24"/>
          <w:szCs w:val="24"/>
          <w:u w:val="single"/>
        </w:rPr>
        <w:t xml:space="preserve">  符合城建档案馆要求  </w:t>
      </w:r>
      <w:r>
        <w:rPr>
          <w:rFonts w:hint="eastAsia" w:ascii="仿宋" w:hAnsi="仿宋" w:eastAsia="仿宋" w:cs="仿宋"/>
          <w:color w:val="auto"/>
          <w:sz w:val="24"/>
          <w:szCs w:val="24"/>
        </w:rPr>
        <w:t>。</w:t>
      </w:r>
    </w:p>
    <w:p w14:paraId="71D286A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承包人需要提交的竣工资料套数：</w:t>
      </w:r>
      <w:r>
        <w:rPr>
          <w:rFonts w:hint="eastAsia" w:ascii="仿宋" w:hAnsi="仿宋" w:eastAsia="仿宋" w:cs="仿宋"/>
          <w:color w:val="auto"/>
          <w:sz w:val="24"/>
          <w:szCs w:val="24"/>
          <w:u w:val="single"/>
        </w:rPr>
        <w:t xml:space="preserve">     原件八套          </w:t>
      </w:r>
      <w:r>
        <w:rPr>
          <w:rFonts w:hint="eastAsia" w:ascii="仿宋" w:hAnsi="仿宋" w:eastAsia="仿宋" w:cs="仿宋"/>
          <w:color w:val="auto"/>
          <w:sz w:val="24"/>
          <w:szCs w:val="24"/>
        </w:rPr>
        <w:t>。</w:t>
      </w:r>
    </w:p>
    <w:p w14:paraId="0DE945C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承包人提交的竣工资料的费用承担：</w:t>
      </w:r>
      <w:r>
        <w:rPr>
          <w:rFonts w:hint="eastAsia" w:ascii="仿宋" w:hAnsi="仿宋" w:eastAsia="仿宋" w:cs="仿宋"/>
          <w:color w:val="auto"/>
          <w:sz w:val="24"/>
          <w:szCs w:val="24"/>
          <w:u w:val="single"/>
        </w:rPr>
        <w:t xml:space="preserve">   由承包人承担       </w:t>
      </w:r>
      <w:r>
        <w:rPr>
          <w:rFonts w:hint="eastAsia" w:ascii="仿宋" w:hAnsi="仿宋" w:eastAsia="仿宋" w:cs="仿宋"/>
          <w:color w:val="auto"/>
          <w:sz w:val="24"/>
          <w:szCs w:val="24"/>
        </w:rPr>
        <w:t>。</w:t>
      </w:r>
    </w:p>
    <w:p w14:paraId="37E3E5F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承包人提交的竣工资料移交时间：</w:t>
      </w:r>
      <w:r>
        <w:rPr>
          <w:rFonts w:hint="eastAsia" w:ascii="仿宋" w:hAnsi="仿宋" w:eastAsia="仿宋" w:cs="仿宋"/>
          <w:color w:val="auto"/>
          <w:sz w:val="24"/>
          <w:szCs w:val="24"/>
          <w:u w:val="single"/>
        </w:rPr>
        <w:t xml:space="preserve">  工程竣工验收合格后 1 个</w:t>
      </w:r>
    </w:p>
    <w:p w14:paraId="51E1523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月内 </w:t>
      </w:r>
      <w:r>
        <w:rPr>
          <w:rFonts w:hint="eastAsia" w:ascii="仿宋" w:hAnsi="仿宋" w:eastAsia="仿宋" w:cs="仿宋"/>
          <w:color w:val="auto"/>
          <w:sz w:val="24"/>
          <w:szCs w:val="24"/>
        </w:rPr>
        <w:t>。</w:t>
      </w:r>
    </w:p>
    <w:p w14:paraId="00ACBA7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承包人提交的竣工资料形式要求：</w:t>
      </w:r>
      <w:r>
        <w:rPr>
          <w:rFonts w:hint="eastAsia" w:ascii="仿宋" w:hAnsi="仿宋" w:eastAsia="仿宋" w:cs="仿宋"/>
          <w:color w:val="auto"/>
          <w:sz w:val="24"/>
          <w:szCs w:val="24"/>
          <w:u w:val="single"/>
        </w:rPr>
        <w:t xml:space="preserve">   书面和电子文档    </w:t>
      </w:r>
      <w:r>
        <w:rPr>
          <w:rFonts w:hint="eastAsia" w:ascii="仿宋" w:hAnsi="仿宋" w:eastAsia="仿宋" w:cs="仿宋"/>
          <w:color w:val="auto"/>
          <w:sz w:val="24"/>
          <w:szCs w:val="24"/>
        </w:rPr>
        <w:t>。</w:t>
      </w:r>
    </w:p>
    <w:p w14:paraId="4997786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（10）承包人应履行的其他义务：</w:t>
      </w:r>
      <w:r>
        <w:rPr>
          <w:rFonts w:hint="eastAsia" w:ascii="仿宋" w:hAnsi="仿宋" w:eastAsia="仿宋" w:cs="仿宋"/>
          <w:color w:val="auto"/>
          <w:sz w:val="24"/>
          <w:szCs w:val="24"/>
          <w:u w:val="single"/>
        </w:rPr>
        <w:t xml:space="preserve">1.配合发包人办理项目前期手续； 2.配合发包人办理施工过程所需手续； 3.配合发包人办理竣工验收手续； 4.配合发包人办理其他相关手续； 5.配合费用均含在合同价中  </w:t>
      </w:r>
      <w:r>
        <w:rPr>
          <w:rFonts w:hint="eastAsia" w:ascii="仿宋" w:hAnsi="仿宋" w:eastAsia="仿宋" w:cs="仿宋"/>
          <w:color w:val="auto"/>
          <w:sz w:val="24"/>
          <w:szCs w:val="24"/>
        </w:rPr>
        <w:t>。</w:t>
      </w:r>
    </w:p>
    <w:p w14:paraId="218C6AF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3.2 项目经理</w:t>
      </w:r>
    </w:p>
    <w:p w14:paraId="110821A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3.2.1 </w:t>
      </w:r>
      <w:r>
        <w:rPr>
          <w:rFonts w:hint="eastAsia" w:ascii="仿宋" w:hAnsi="仿宋" w:eastAsia="仿宋" w:cs="仿宋"/>
          <w:color w:val="auto"/>
          <w:sz w:val="24"/>
          <w:szCs w:val="24"/>
        </w:rPr>
        <w:t>项目经理：</w:t>
      </w:r>
    </w:p>
    <w:p w14:paraId="6A2662E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9083C9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身份证号：</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CF88A0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建造师执业资格等级：</w:t>
      </w:r>
      <w:r>
        <w:rPr>
          <w:rFonts w:hint="eastAsia" w:ascii="仿宋" w:hAnsi="仿宋" w:eastAsia="仿宋" w:cs="仿宋"/>
          <w:color w:val="auto"/>
          <w:sz w:val="24"/>
          <w:szCs w:val="24"/>
          <w:u w:val="single"/>
        </w:rPr>
        <w:t>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118A14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建造师注册证书号：</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ADACF4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建造师执业印章号：</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72419A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安全生产考核合格证书号：</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0B4BEF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       </w:t>
      </w:r>
      <w:r>
        <w:rPr>
          <w:rFonts w:hint="eastAsia" w:ascii="仿宋" w:hAnsi="仿宋" w:eastAsia="仿宋" w:cs="仿宋"/>
          <w:color w:val="auto"/>
          <w:sz w:val="24"/>
          <w:szCs w:val="24"/>
        </w:rPr>
        <w:t>；</w:t>
      </w:r>
    </w:p>
    <w:p w14:paraId="44644C1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电子信箱：</w:t>
      </w:r>
      <w:r>
        <w:rPr>
          <w:rFonts w:hint="eastAsia" w:ascii="仿宋" w:hAnsi="仿宋" w:eastAsia="仿宋" w:cs="仿宋"/>
          <w:color w:val="auto"/>
          <w:sz w:val="24"/>
          <w:szCs w:val="24"/>
          <w:u w:val="single"/>
        </w:rPr>
        <w:fldChar w:fldCharType="begin"/>
      </w:r>
      <w:r>
        <w:rPr>
          <w:rFonts w:hint="eastAsia" w:ascii="仿宋" w:hAnsi="仿宋" w:eastAsia="仿宋" w:cs="仿宋"/>
          <w:color w:val="auto"/>
          <w:sz w:val="24"/>
          <w:szCs w:val="24"/>
          <w:u w:val="single"/>
        </w:rPr>
        <w:instrText xml:space="preserve"> HYPERLINK "mailto:1035748556@qq.com" </w:instrText>
      </w:r>
      <w:r>
        <w:rPr>
          <w:rFonts w:hint="eastAsia" w:ascii="仿宋" w:hAnsi="仿宋" w:eastAsia="仿宋" w:cs="仿宋"/>
          <w:color w:val="auto"/>
          <w:sz w:val="24"/>
          <w:szCs w:val="24"/>
          <w:u w:val="single"/>
        </w:rPr>
        <w:fldChar w:fldCharType="separate"/>
      </w:r>
      <w:r>
        <w:rPr>
          <w:rStyle w:val="24"/>
          <w:rFonts w:hint="eastAsia" w:ascii="仿宋" w:hAnsi="仿宋" w:eastAsia="仿宋" w:cs="仿宋"/>
          <w:color w:val="auto"/>
          <w:sz w:val="24"/>
          <w:szCs w:val="24"/>
        </w:rPr>
        <w:t></w:t>
      </w:r>
      <w:r>
        <w:rPr>
          <w:rFonts w:hint="eastAsia" w:ascii="仿宋" w:hAnsi="仿宋" w:eastAsia="仿宋" w:cs="仿宋"/>
          <w:color w:val="auto"/>
          <w:sz w:val="24"/>
          <w:szCs w:val="24"/>
          <w:u w:val="single"/>
        </w:rPr>
        <w:fldChar w:fldCharType="end"/>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777A8E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通信地址：</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3B878F5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承包人对项目经理的授权范围如下：</w:t>
      </w:r>
      <w:r>
        <w:rPr>
          <w:rFonts w:hint="eastAsia" w:ascii="仿宋" w:hAnsi="仿宋" w:eastAsia="仿宋" w:cs="仿宋"/>
          <w:color w:val="auto"/>
          <w:sz w:val="24"/>
          <w:szCs w:val="24"/>
          <w:u w:val="single"/>
        </w:rPr>
        <w:t xml:space="preserve">执行通用条款      </w:t>
      </w:r>
      <w:r>
        <w:rPr>
          <w:rFonts w:hint="eastAsia" w:ascii="仿宋" w:hAnsi="仿宋" w:eastAsia="仿宋" w:cs="仿宋"/>
          <w:color w:val="auto"/>
          <w:sz w:val="24"/>
          <w:szCs w:val="24"/>
        </w:rPr>
        <w:t>。</w:t>
      </w:r>
    </w:p>
    <w:p w14:paraId="184A062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关于项目经理每月在施工现场的时间要求：</w:t>
      </w:r>
      <w:r>
        <w:rPr>
          <w:rFonts w:hint="eastAsia" w:ascii="仿宋" w:hAnsi="仿宋" w:eastAsia="仿宋" w:cs="仿宋"/>
          <w:color w:val="auto"/>
          <w:sz w:val="24"/>
          <w:szCs w:val="24"/>
          <w:u w:val="single"/>
        </w:rPr>
        <w:t xml:space="preserve"> 项目经理和主要项目管理人员在施工期间现场时间每月不得小于 22 天，不足以上时限的，按照不履行招标文件及合同约定缴纳违约金 2 万元</w:t>
      </w:r>
      <w:r>
        <w:rPr>
          <w:rFonts w:hint="eastAsia" w:ascii="仿宋" w:hAnsi="仿宋" w:eastAsia="仿宋" w:cs="仿宋"/>
          <w:i w:val="0"/>
          <w:iCs w:val="0"/>
          <w:color w:val="auto"/>
          <w:sz w:val="24"/>
          <w:szCs w:val="24"/>
          <w:u w:val="single"/>
          <w:lang w:val="en-US" w:eastAsia="zh-CN"/>
        </w:rPr>
        <w:t>/天</w:t>
      </w:r>
      <w:r>
        <w:rPr>
          <w:rFonts w:hint="eastAsia" w:ascii="仿宋" w:hAnsi="仿宋" w:eastAsia="仿宋" w:cs="仿宋"/>
          <w:i/>
          <w:iCs/>
          <w:color w:val="auto"/>
          <w:sz w:val="24"/>
          <w:szCs w:val="24"/>
          <w:u w:val="single"/>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w:t>
      </w:r>
    </w:p>
    <w:p w14:paraId="7253042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承包人未提交劳动合同，以及没有为项目经理缴纳社会保险证明的违约责任：</w:t>
      </w:r>
      <w:r>
        <w:rPr>
          <w:rFonts w:hint="eastAsia" w:ascii="仿宋" w:hAnsi="仿宋" w:eastAsia="仿宋" w:cs="仿宋"/>
          <w:color w:val="auto"/>
          <w:sz w:val="24"/>
          <w:szCs w:val="24"/>
          <w:u w:val="single"/>
        </w:rPr>
        <w:t xml:space="preserve">  向业主缴纳违约金 2 万元，责令限期提交劳动合同并补缴社会保险 </w:t>
      </w:r>
      <w:r>
        <w:rPr>
          <w:rFonts w:hint="eastAsia" w:ascii="仿宋" w:hAnsi="仿宋" w:eastAsia="仿宋" w:cs="仿宋"/>
          <w:color w:val="auto"/>
          <w:sz w:val="24"/>
          <w:szCs w:val="24"/>
        </w:rPr>
        <w:t>。</w:t>
      </w:r>
    </w:p>
    <w:p w14:paraId="7A8D9DA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kern w:val="0"/>
          <w:sz w:val="24"/>
          <w:szCs w:val="24"/>
        </w:rPr>
        <w:t>项目经理未经批准，擅自离开施工现场的违约责任：</w:t>
      </w:r>
      <w:r>
        <w:rPr>
          <w:rFonts w:hint="eastAsia" w:ascii="仿宋" w:hAnsi="仿宋" w:eastAsia="仿宋" w:cs="仿宋"/>
          <w:color w:val="auto"/>
          <w:sz w:val="24"/>
          <w:szCs w:val="24"/>
          <w:u w:val="single"/>
        </w:rPr>
        <w:t xml:space="preserve"> 项目经理未经批准擅自离场的，超过 24小时的，按照不履行合同约定缴纳违约金 2 万元</w:t>
      </w:r>
      <w:r>
        <w:rPr>
          <w:rFonts w:hint="eastAsia" w:ascii="仿宋" w:hAnsi="仿宋" w:eastAsia="仿宋" w:cs="仿宋"/>
          <w:i w:val="0"/>
          <w:iCs w:val="0"/>
          <w:color w:val="auto"/>
          <w:sz w:val="24"/>
          <w:szCs w:val="24"/>
          <w:u w:val="single"/>
          <w:lang w:val="en-US" w:eastAsia="zh-CN"/>
        </w:rPr>
        <w:t>/天</w:t>
      </w:r>
      <w:r>
        <w:rPr>
          <w:rFonts w:hint="eastAsia" w:ascii="仿宋" w:hAnsi="仿宋" w:eastAsia="仿宋" w:cs="仿宋"/>
          <w:color w:val="auto"/>
          <w:sz w:val="24"/>
          <w:szCs w:val="24"/>
          <w:u w:val="single"/>
        </w:rPr>
        <w:t>；超过 72 小时的，建设方有权更换项目经理，并按照不履行招标文件及合同约定扣除 10 万元违约金</w:t>
      </w:r>
      <w:r>
        <w:rPr>
          <w:rFonts w:hint="eastAsia" w:ascii="仿宋" w:hAnsi="仿宋" w:eastAsia="仿宋" w:cs="仿宋"/>
          <w:color w:val="auto"/>
          <w:sz w:val="24"/>
          <w:szCs w:val="24"/>
        </w:rPr>
        <w:t>。</w:t>
      </w:r>
    </w:p>
    <w:p w14:paraId="4CE1BB2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3.2.3 承包人擅自更换项目经理的违约责任：</w:t>
      </w:r>
      <w:r>
        <w:rPr>
          <w:rFonts w:hint="eastAsia" w:ascii="仿宋" w:hAnsi="仿宋" w:eastAsia="仿宋" w:cs="仿宋"/>
          <w:color w:val="auto"/>
          <w:sz w:val="24"/>
          <w:szCs w:val="24"/>
          <w:u w:val="single"/>
        </w:rPr>
        <w:t xml:space="preserve"> 项目负责人的姓名、等级在专用条款内写明，且不得随意更换项目负责人，若随意更换项目负责人需向业主缴纳 20 万元违约金，扣除全部履约保证金，按照不履行招标文件要求和合同约定原因终止合同、予以清场，承包人承担上述违约给发包人造成的一切损失 ；若因特殊原因需更换项目负责人的，由承包人提前 7 日向建设方提出书面申请，将以资质业绩以及信誉不得低于此项目负责人的人员替换，并报业主审查，经审查通过，方可更换。在 7 日内更换期间，施工方不得以更换项目经理作为怠工、停工等的理由，必须正常施工</w:t>
      </w:r>
      <w:r>
        <w:rPr>
          <w:rFonts w:hint="eastAsia" w:ascii="仿宋" w:hAnsi="仿宋" w:eastAsia="仿宋" w:cs="仿宋"/>
          <w:color w:val="auto"/>
          <w:sz w:val="24"/>
          <w:szCs w:val="24"/>
        </w:rPr>
        <w:t>。</w:t>
      </w:r>
    </w:p>
    <w:p w14:paraId="092E6FE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3.2.4 承包人无正当理由拒绝更换项目经理的违约责任：</w:t>
      </w:r>
      <w:r>
        <w:rPr>
          <w:rFonts w:hint="eastAsia" w:ascii="仿宋" w:hAnsi="仿宋" w:eastAsia="仿宋" w:cs="仿宋"/>
          <w:color w:val="auto"/>
          <w:sz w:val="24"/>
          <w:szCs w:val="24"/>
          <w:u w:val="single"/>
        </w:rPr>
        <w:t xml:space="preserve"> 需缴纳 20 万元违约金，扣除全部履约保证金，终止合同，承包人承担上述违约给发包人造成的一切损失</w:t>
      </w:r>
      <w:r>
        <w:rPr>
          <w:rFonts w:hint="eastAsia" w:ascii="仿宋" w:hAnsi="仿宋" w:eastAsia="仿宋" w:cs="仿宋"/>
          <w:color w:val="auto"/>
          <w:sz w:val="24"/>
          <w:szCs w:val="24"/>
        </w:rPr>
        <w:t>。</w:t>
      </w:r>
    </w:p>
    <w:p w14:paraId="41FEBFD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3.3 承包人人员</w:t>
      </w:r>
    </w:p>
    <w:p w14:paraId="0484272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3.3.1 承包人提交项目管理机构及施工现场管理人员安排报告的期限：</w:t>
      </w:r>
      <w:r>
        <w:rPr>
          <w:rFonts w:hint="eastAsia" w:ascii="仿宋" w:hAnsi="仿宋" w:eastAsia="仿宋" w:cs="仿宋"/>
          <w:color w:val="auto"/>
          <w:sz w:val="24"/>
          <w:szCs w:val="24"/>
          <w:u w:val="single"/>
        </w:rPr>
        <w:t xml:space="preserve"> 开工前三天；承包人的项目管理机构应当具有与承包工程规模、技术复杂程度相适应的技术、管理人员，其中：商务标中约定的项目经理</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技术负责人、施工员、质量管理员、安全管理员</w:t>
      </w:r>
      <w:r>
        <w:rPr>
          <w:rFonts w:hint="eastAsia" w:ascii="仿宋" w:hAnsi="仿宋" w:eastAsia="仿宋" w:cs="仿宋"/>
          <w:color w:val="auto"/>
          <w:sz w:val="24"/>
          <w:szCs w:val="24"/>
          <w:u w:val="single"/>
        </w:rPr>
        <w:t>必须为本单位自有人员，不允许临时挂靠人员参与中标工程建设  。</w:t>
      </w:r>
    </w:p>
    <w:p w14:paraId="3DA8D67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3.3.3 承包人无正当理由拒绝撤换主要施工管理人员的违约责任：</w:t>
      </w:r>
      <w:r>
        <w:rPr>
          <w:rFonts w:hint="eastAsia" w:ascii="仿宋" w:hAnsi="仿宋" w:eastAsia="仿宋" w:cs="仿宋"/>
          <w:color w:val="auto"/>
          <w:sz w:val="24"/>
          <w:szCs w:val="24"/>
          <w:u w:val="single"/>
        </w:rPr>
        <w:t xml:space="preserve"> 需缴纳 10 万元违约金，承包人承担上述违约给发包人造成的一切损失   </w:t>
      </w:r>
      <w:r>
        <w:rPr>
          <w:rFonts w:hint="eastAsia" w:ascii="仿宋" w:hAnsi="仿宋" w:eastAsia="仿宋" w:cs="仿宋"/>
          <w:color w:val="auto"/>
          <w:sz w:val="24"/>
          <w:szCs w:val="24"/>
        </w:rPr>
        <w:t>。</w:t>
      </w:r>
    </w:p>
    <w:p w14:paraId="302B385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i/>
          <w:iCs/>
          <w:color w:val="auto"/>
          <w:sz w:val="24"/>
          <w:szCs w:val="24"/>
          <w:u w:val="single"/>
        </w:rPr>
      </w:pPr>
      <w:r>
        <w:rPr>
          <w:rFonts w:hint="eastAsia" w:ascii="仿宋" w:hAnsi="仿宋" w:eastAsia="仿宋" w:cs="仿宋"/>
          <w:color w:val="auto"/>
          <w:sz w:val="24"/>
          <w:szCs w:val="24"/>
        </w:rPr>
        <w:t>3.3.4 承包人主要施工管理人员离开施工现场的批准要求：</w:t>
      </w:r>
      <w:r>
        <w:rPr>
          <w:rFonts w:hint="eastAsia" w:ascii="仿宋" w:hAnsi="仿宋" w:eastAsia="仿宋" w:cs="仿宋"/>
          <w:color w:val="auto"/>
          <w:sz w:val="24"/>
          <w:szCs w:val="24"/>
          <w:u w:val="single"/>
        </w:rPr>
        <w:t>施工单位项目经理和主要项目管理人员应严格按照合同约定的在场时限组织施工，不得擅自离场，确需特殊原因离场的，应提前 1日向现场监理及甲代提出书面申请，且离场时间不能超过 24 小时</w:t>
      </w:r>
      <w:r>
        <w:rPr>
          <w:rFonts w:hint="eastAsia" w:ascii="仿宋" w:hAnsi="仿宋" w:eastAsia="仿宋" w:cs="仿宋"/>
          <w:i/>
          <w:iCs/>
          <w:color w:val="auto"/>
          <w:sz w:val="24"/>
          <w:szCs w:val="24"/>
        </w:rPr>
        <w:t>。</w:t>
      </w:r>
    </w:p>
    <w:p w14:paraId="4E54ECF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3.3.5承包人擅自更换主要施工管理人员的违约责任：</w:t>
      </w:r>
      <w:r>
        <w:rPr>
          <w:rFonts w:hint="eastAsia" w:ascii="仿宋" w:hAnsi="仿宋" w:eastAsia="仿宋" w:cs="仿宋"/>
          <w:color w:val="auto"/>
          <w:sz w:val="24"/>
          <w:szCs w:val="24"/>
          <w:u w:val="single"/>
        </w:rPr>
        <w:t xml:space="preserve"> 施工单位项目经理和项目管理人员原则上不准更换，确需特殊原因更换的，需提前 7 日向建设方提出书面申请，且更换人员资历及信誉不得低于商务标约定人员；其中，更换项目经理或项目工程师的需缴纳违约金 5 万元，更换其他人员的需每人缴纳违约金 2 万元  </w:t>
      </w:r>
      <w:r>
        <w:rPr>
          <w:rFonts w:hint="eastAsia" w:ascii="仿宋" w:hAnsi="仿宋" w:eastAsia="仿宋" w:cs="仿宋"/>
          <w:color w:val="auto"/>
          <w:sz w:val="24"/>
          <w:szCs w:val="24"/>
        </w:rPr>
        <w:t>。</w:t>
      </w:r>
    </w:p>
    <w:p w14:paraId="4D4BA2C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承包人主要施工管理人员擅自离开施工现场的违约责任：</w:t>
      </w:r>
      <w:r>
        <w:rPr>
          <w:rFonts w:hint="eastAsia" w:ascii="仿宋" w:hAnsi="仿宋" w:eastAsia="仿宋" w:cs="仿宋"/>
          <w:color w:val="auto"/>
          <w:sz w:val="24"/>
          <w:szCs w:val="24"/>
          <w:u w:val="single"/>
        </w:rPr>
        <w:t xml:space="preserve"> 主要项目管理人员未经批准擅自离场的，超过 24 小时的，按照不履行合同约定缴纳违约金 2 万</w:t>
      </w:r>
      <w:r>
        <w:rPr>
          <w:rFonts w:hint="eastAsia" w:ascii="仿宋" w:hAnsi="仿宋" w:eastAsia="仿宋" w:cs="仿宋"/>
          <w:i w:val="0"/>
          <w:iCs w:val="0"/>
          <w:color w:val="auto"/>
          <w:sz w:val="24"/>
          <w:szCs w:val="24"/>
          <w:u w:val="single"/>
        </w:rPr>
        <w:t>元</w:t>
      </w:r>
      <w:r>
        <w:rPr>
          <w:rFonts w:hint="eastAsia" w:ascii="仿宋" w:hAnsi="仿宋" w:eastAsia="仿宋" w:cs="仿宋"/>
          <w:i w:val="0"/>
          <w:iCs w:val="0"/>
          <w:color w:val="auto"/>
          <w:sz w:val="24"/>
          <w:szCs w:val="24"/>
          <w:u w:val="single"/>
          <w:lang w:val="en-US" w:eastAsia="zh-CN"/>
        </w:rPr>
        <w:t>/天</w:t>
      </w:r>
      <w:r>
        <w:rPr>
          <w:rFonts w:hint="eastAsia" w:ascii="仿宋" w:hAnsi="仿宋" w:eastAsia="仿宋" w:cs="仿宋"/>
          <w:color w:val="auto"/>
          <w:sz w:val="24"/>
          <w:szCs w:val="24"/>
          <w:u w:val="single"/>
        </w:rPr>
        <w:t xml:space="preserve">；超过 72 小时的，建设方有权更换项目经理，并按照不履行招标文件及合同约定扣除 10 万元违约金  </w:t>
      </w:r>
      <w:r>
        <w:rPr>
          <w:rFonts w:hint="eastAsia" w:ascii="仿宋" w:hAnsi="仿宋" w:eastAsia="仿宋" w:cs="仿宋"/>
          <w:color w:val="auto"/>
          <w:sz w:val="24"/>
          <w:szCs w:val="24"/>
        </w:rPr>
        <w:t>。</w:t>
      </w:r>
    </w:p>
    <w:p w14:paraId="3874719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bookmarkStart w:id="812" w:name="_Toc300934945"/>
      <w:bookmarkStart w:id="813" w:name="_Toc303539102"/>
      <w:bookmarkStart w:id="814" w:name="_Toc312677988"/>
      <w:bookmarkStart w:id="815" w:name="_Toc297048345"/>
      <w:bookmarkStart w:id="816" w:name="_Toc296347158"/>
      <w:bookmarkStart w:id="817" w:name="_Toc296890987"/>
      <w:bookmarkStart w:id="818" w:name="_Toc297123492"/>
      <w:bookmarkStart w:id="819" w:name="_Toc304295523"/>
      <w:bookmarkStart w:id="820" w:name="_Toc297120459"/>
      <w:bookmarkStart w:id="821" w:name="_Toc296891199"/>
      <w:bookmarkStart w:id="822" w:name="_Toc297216151"/>
      <w:bookmarkStart w:id="823" w:name="_Toc296944498"/>
      <w:bookmarkStart w:id="824" w:name="_Toc292559869"/>
      <w:bookmarkStart w:id="825" w:name="_Toc296346660"/>
      <w:bookmarkStart w:id="826" w:name="_Toc292559364"/>
      <w:bookmarkStart w:id="827" w:name="_Toc296503159"/>
      <w:r>
        <w:rPr>
          <w:rFonts w:hint="eastAsia" w:ascii="仿宋" w:hAnsi="仿宋" w:eastAsia="仿宋" w:cs="仿宋"/>
          <w:color w:val="auto"/>
          <w:sz w:val="24"/>
          <w:szCs w:val="24"/>
        </w:rPr>
        <w:t>.5 分包</w:t>
      </w:r>
    </w:p>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14:paraId="73F7F19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bookmarkStart w:id="828" w:name="_Toc296347159"/>
      <w:bookmarkStart w:id="829" w:name="_Toc297216152"/>
      <w:bookmarkStart w:id="830" w:name="_Toc296503160"/>
      <w:bookmarkStart w:id="831" w:name="_Toc292559365"/>
      <w:bookmarkStart w:id="832" w:name="_Toc296890988"/>
      <w:bookmarkStart w:id="833" w:name="_Toc304295524"/>
      <w:bookmarkStart w:id="834" w:name="_Toc297048346"/>
      <w:bookmarkStart w:id="835" w:name="_Toc297123493"/>
      <w:bookmarkStart w:id="836" w:name="_Toc303539103"/>
      <w:bookmarkStart w:id="837" w:name="_Toc296346661"/>
      <w:bookmarkStart w:id="838" w:name="_Toc296944499"/>
      <w:bookmarkStart w:id="839" w:name="_Toc296891200"/>
      <w:bookmarkStart w:id="840" w:name="_Toc300934946"/>
      <w:bookmarkStart w:id="841" w:name="_Toc297120460"/>
      <w:bookmarkStart w:id="842" w:name="_Toc292559870"/>
      <w:bookmarkStart w:id="843" w:name="_Toc318581158"/>
      <w:bookmarkStart w:id="844" w:name="_Toc312677989"/>
      <w:r>
        <w:rPr>
          <w:rFonts w:hint="eastAsia" w:ascii="仿宋" w:hAnsi="仿宋" w:eastAsia="仿宋" w:cs="仿宋"/>
          <w:color w:val="auto"/>
          <w:sz w:val="24"/>
          <w:szCs w:val="24"/>
        </w:rPr>
        <w:t>.5.1 分包的一般约定</w:t>
      </w:r>
    </w:p>
    <w:p w14:paraId="797909B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禁止分包的工程包括：</w:t>
      </w:r>
      <w:r>
        <w:rPr>
          <w:rFonts w:hint="eastAsia" w:ascii="仿宋" w:hAnsi="仿宋" w:eastAsia="仿宋" w:cs="仿宋"/>
          <w:color w:val="auto"/>
          <w:sz w:val="24"/>
          <w:szCs w:val="24"/>
          <w:u w:val="single"/>
        </w:rPr>
        <w:t xml:space="preserve"> 执行通用条款          </w:t>
      </w:r>
      <w:r>
        <w:rPr>
          <w:rFonts w:hint="eastAsia" w:ascii="仿宋" w:hAnsi="仿宋" w:eastAsia="仿宋" w:cs="仿宋"/>
          <w:color w:val="auto"/>
          <w:sz w:val="24"/>
          <w:szCs w:val="24"/>
        </w:rPr>
        <w:t>。</w:t>
      </w:r>
    </w:p>
    <w:p w14:paraId="494158E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主体结构、关键性工作的范围：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Start w:id="845" w:name="_Toc297048347"/>
      <w:bookmarkStart w:id="846" w:name="_Toc296503161"/>
      <w:bookmarkStart w:id="847" w:name="_Toc296944500"/>
      <w:bookmarkStart w:id="848" w:name="_Toc297216153"/>
      <w:bookmarkStart w:id="849" w:name="_Toc304295525"/>
      <w:bookmarkStart w:id="850" w:name="_Toc296346662"/>
      <w:bookmarkStart w:id="851" w:name="_Toc297123494"/>
      <w:bookmarkStart w:id="852" w:name="_Toc303539104"/>
      <w:bookmarkStart w:id="853" w:name="_Toc296347160"/>
      <w:bookmarkStart w:id="854" w:name="_Toc296890989"/>
      <w:bookmarkStart w:id="855" w:name="_Toc297120461"/>
      <w:bookmarkStart w:id="856" w:name="_Toc296891201"/>
      <w:bookmarkStart w:id="857" w:name="_Toc300934947"/>
    </w:p>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14:paraId="56928F3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3</w:t>
      </w:r>
      <w:bookmarkStart w:id="858" w:name="_Toc318581159"/>
      <w:bookmarkStart w:id="859" w:name="_Toc312677990"/>
      <w:r>
        <w:rPr>
          <w:rFonts w:hint="eastAsia" w:ascii="仿宋" w:hAnsi="仿宋" w:eastAsia="仿宋" w:cs="仿宋"/>
          <w:color w:val="auto"/>
          <w:sz w:val="24"/>
          <w:szCs w:val="24"/>
        </w:rPr>
        <w:t>.5.2分包的确定</w:t>
      </w:r>
    </w:p>
    <w:p w14:paraId="588226E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允许分包的专业工程包括：</w:t>
      </w:r>
      <w:r>
        <w:rPr>
          <w:rFonts w:hint="eastAsia" w:ascii="仿宋" w:hAnsi="仿宋" w:eastAsia="仿宋" w:cs="仿宋"/>
          <w:color w:val="auto"/>
          <w:sz w:val="24"/>
          <w:szCs w:val="24"/>
          <w:u w:val="single"/>
        </w:rPr>
        <w:t xml:space="preserve">本工程不得分包   </w:t>
      </w:r>
      <w:r>
        <w:rPr>
          <w:rFonts w:hint="eastAsia" w:ascii="仿宋" w:hAnsi="仿宋" w:eastAsia="仿宋" w:cs="仿宋"/>
          <w:color w:val="auto"/>
          <w:sz w:val="24"/>
          <w:szCs w:val="24"/>
        </w:rPr>
        <w:t>。</w:t>
      </w:r>
    </w:p>
    <w:p w14:paraId="59E4F6F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其他关于分包的约定：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无（根据实际情况确定）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7A91C3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3.5.4 分包合同价款</w:t>
      </w:r>
    </w:p>
    <w:p w14:paraId="199B014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关于分包合同价款支付的约定：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858"/>
    <w:bookmarkEnd w:id="859"/>
    <w:p w14:paraId="7A01D4C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3.6 工程照管与成品、半成品保护</w:t>
      </w:r>
    </w:p>
    <w:p w14:paraId="0B28771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承包人负责照管工程及工程相关的材料、工程设备的起始时间：</w:t>
      </w:r>
      <w:r>
        <w:rPr>
          <w:rFonts w:hint="eastAsia" w:ascii="仿宋" w:hAnsi="仿宋" w:eastAsia="仿宋" w:cs="仿宋"/>
          <w:color w:val="auto"/>
          <w:kern w:val="0"/>
          <w:sz w:val="24"/>
          <w:szCs w:val="24"/>
          <w:u w:val="single"/>
        </w:rPr>
        <w:t xml:space="preserve"> 设备、人员进场至竣工验收并交付使用前由承包人负责保修，</w:t>
      </w:r>
      <w:r>
        <w:rPr>
          <w:rFonts w:hint="eastAsia" w:ascii="仿宋" w:hAnsi="仿宋" w:eastAsia="仿宋" w:cs="仿宋"/>
          <w:color w:val="auto"/>
          <w:kern w:val="0"/>
          <w:sz w:val="24"/>
          <w:szCs w:val="24"/>
          <w:u w:val="single"/>
          <w:lang w:eastAsia="zh-CN"/>
        </w:rPr>
        <w:t>无其他</w:t>
      </w:r>
      <w:r>
        <w:rPr>
          <w:rFonts w:hint="eastAsia" w:ascii="仿宋" w:hAnsi="仿宋" w:eastAsia="仿宋" w:cs="仿宋"/>
          <w:color w:val="auto"/>
          <w:kern w:val="0"/>
          <w:sz w:val="24"/>
          <w:szCs w:val="24"/>
          <w:u w:val="single"/>
        </w:rPr>
        <w:t xml:space="preserve">特殊要求的，费用由承包人承担  </w:t>
      </w:r>
      <w:r>
        <w:rPr>
          <w:rFonts w:hint="eastAsia" w:ascii="仿宋" w:hAnsi="仿宋" w:eastAsia="仿宋" w:cs="仿宋"/>
          <w:color w:val="auto"/>
          <w:kern w:val="0"/>
          <w:sz w:val="24"/>
          <w:szCs w:val="24"/>
        </w:rPr>
        <w:t>。</w:t>
      </w:r>
    </w:p>
    <w:p w14:paraId="217A7EC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3.7 履约担保</w:t>
      </w:r>
    </w:p>
    <w:p w14:paraId="1AE7D07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承包人是否提供履约担保：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提供</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3B1363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承包人提供履约担保的形式、金额及期限的：</w:t>
      </w:r>
      <w:r>
        <w:rPr>
          <w:rFonts w:hint="eastAsia" w:ascii="仿宋" w:hAnsi="仿宋" w:eastAsia="仿宋" w:cs="仿宋"/>
          <w:color w:val="auto"/>
          <w:sz w:val="24"/>
          <w:szCs w:val="24"/>
          <w:u w:val="single"/>
        </w:rPr>
        <w:t xml:space="preserve"> 履约保函、电汇、支票形式提供合同价款的 10%作为前置履约保证金，工程完工、竣工验收合格</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 xml:space="preserve">工程移交后一次性退还 </w:t>
      </w:r>
      <w:r>
        <w:rPr>
          <w:rFonts w:hint="eastAsia" w:ascii="仿宋" w:hAnsi="仿宋" w:eastAsia="仿宋" w:cs="仿宋"/>
          <w:color w:val="auto"/>
          <w:sz w:val="24"/>
          <w:szCs w:val="24"/>
        </w:rPr>
        <w:t>。</w:t>
      </w:r>
    </w:p>
    <w:p w14:paraId="1AD9239F">
      <w:pPr>
        <w:pStyle w:val="5"/>
        <w:pageBreakBefore w:val="0"/>
        <w:kinsoku/>
        <w:overflowPunct/>
        <w:topLinePunct w:val="0"/>
        <w:bidi w:val="0"/>
        <w:spacing w:line="440" w:lineRule="exact"/>
        <w:rPr>
          <w:rFonts w:hint="eastAsia" w:ascii="仿宋" w:hAnsi="仿宋" w:eastAsia="仿宋" w:cs="仿宋"/>
          <w:color w:val="auto"/>
          <w:sz w:val="24"/>
          <w:szCs w:val="24"/>
        </w:rPr>
      </w:pPr>
      <w:bookmarkStart w:id="860" w:name="_Toc351203636"/>
      <w:r>
        <w:rPr>
          <w:rFonts w:hint="eastAsia" w:ascii="仿宋" w:hAnsi="仿宋" w:eastAsia="仿宋" w:cs="仿宋"/>
          <w:color w:val="auto"/>
          <w:sz w:val="24"/>
          <w:szCs w:val="24"/>
        </w:rPr>
        <w:t>4</w:t>
      </w:r>
      <w:bookmarkStart w:id="861" w:name="_Toc296944501"/>
      <w:bookmarkStart w:id="862" w:name="_Toc296891202"/>
      <w:bookmarkStart w:id="863" w:name="_Toc292559366"/>
      <w:bookmarkStart w:id="864" w:name="_Toc292559871"/>
      <w:bookmarkStart w:id="865" w:name="_Toc267251413"/>
      <w:bookmarkStart w:id="866" w:name="_Toc296347161"/>
      <w:bookmarkStart w:id="867" w:name="_Toc296503162"/>
      <w:bookmarkStart w:id="868" w:name="_Toc296346663"/>
      <w:bookmarkStart w:id="869" w:name="_Toc296890990"/>
      <w:bookmarkStart w:id="870" w:name="_Toc297048348"/>
      <w:bookmarkStart w:id="871" w:name="_Toc297120462"/>
      <w:r>
        <w:rPr>
          <w:rFonts w:hint="eastAsia" w:ascii="仿宋" w:hAnsi="仿宋" w:eastAsia="仿宋" w:cs="仿宋"/>
          <w:color w:val="auto"/>
          <w:sz w:val="24"/>
          <w:szCs w:val="24"/>
        </w:rPr>
        <w:t>. 监</w:t>
      </w:r>
      <w:bookmarkEnd w:id="861"/>
      <w:bookmarkEnd w:id="862"/>
      <w:bookmarkEnd w:id="863"/>
      <w:bookmarkEnd w:id="864"/>
      <w:bookmarkEnd w:id="865"/>
      <w:bookmarkEnd w:id="866"/>
      <w:bookmarkEnd w:id="867"/>
      <w:bookmarkEnd w:id="868"/>
      <w:bookmarkEnd w:id="869"/>
      <w:bookmarkEnd w:id="870"/>
      <w:bookmarkEnd w:id="871"/>
      <w:r>
        <w:rPr>
          <w:rFonts w:hint="eastAsia" w:ascii="仿宋" w:hAnsi="仿宋" w:eastAsia="仿宋" w:cs="仿宋"/>
          <w:color w:val="auto"/>
          <w:sz w:val="24"/>
          <w:szCs w:val="24"/>
        </w:rPr>
        <w:t>理人</w:t>
      </w:r>
      <w:bookmarkEnd w:id="860"/>
    </w:p>
    <w:p w14:paraId="2DBB815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4.1监理人的一般规定</w:t>
      </w:r>
    </w:p>
    <w:p w14:paraId="2BB60A1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关于监理人的监理内容：</w:t>
      </w:r>
      <w:r>
        <w:rPr>
          <w:rFonts w:hint="eastAsia" w:ascii="仿宋" w:hAnsi="仿宋" w:eastAsia="仿宋" w:cs="仿宋"/>
          <w:color w:val="auto"/>
          <w:sz w:val="24"/>
          <w:szCs w:val="24"/>
          <w:u w:val="single"/>
        </w:rPr>
        <w:t xml:space="preserve">   对工程质量、进度、投资进行全面的控制，对施工安全、合同、信息进行管理，协调业主与承包人在施工过程中工作关系 </w:t>
      </w:r>
      <w:r>
        <w:rPr>
          <w:rFonts w:hint="eastAsia" w:ascii="仿宋" w:hAnsi="仿宋" w:eastAsia="仿宋" w:cs="仿宋"/>
          <w:color w:val="auto"/>
          <w:sz w:val="24"/>
          <w:szCs w:val="24"/>
        </w:rPr>
        <w:t>。</w:t>
      </w:r>
    </w:p>
    <w:p w14:paraId="76938E2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关于监理人的监理权限：</w:t>
      </w:r>
      <w:r>
        <w:rPr>
          <w:rFonts w:hint="eastAsia" w:ascii="仿宋" w:hAnsi="仿宋" w:eastAsia="仿宋" w:cs="仿宋"/>
          <w:color w:val="auto"/>
          <w:sz w:val="24"/>
          <w:szCs w:val="24"/>
          <w:u w:val="single"/>
        </w:rPr>
        <w:t xml:space="preserve">  开工令、停工令、工程变更、经济签证须取得发包人同意  </w:t>
      </w:r>
      <w:r>
        <w:rPr>
          <w:rFonts w:hint="eastAsia" w:ascii="仿宋" w:hAnsi="仿宋" w:eastAsia="仿宋" w:cs="仿宋"/>
          <w:color w:val="auto"/>
          <w:sz w:val="24"/>
          <w:szCs w:val="24"/>
        </w:rPr>
        <w:t xml:space="preserve">。 </w:t>
      </w:r>
    </w:p>
    <w:p w14:paraId="07F2B7B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关于监理人在施工现场的办公场所、生活场所的提供和费用承担的约定：</w:t>
      </w:r>
      <w:r>
        <w:rPr>
          <w:rFonts w:hint="eastAsia" w:ascii="仿宋" w:hAnsi="仿宋" w:eastAsia="仿宋" w:cs="仿宋"/>
          <w:color w:val="auto"/>
          <w:sz w:val="24"/>
          <w:szCs w:val="24"/>
          <w:u w:val="single"/>
        </w:rPr>
        <w:t xml:space="preserve"> 由承包人提供，费用包含在合同价中  </w:t>
      </w:r>
      <w:r>
        <w:rPr>
          <w:rFonts w:hint="eastAsia" w:ascii="仿宋" w:hAnsi="仿宋" w:eastAsia="仿宋" w:cs="仿宋"/>
          <w:color w:val="auto"/>
          <w:sz w:val="24"/>
          <w:szCs w:val="24"/>
        </w:rPr>
        <w:t>。</w:t>
      </w:r>
    </w:p>
    <w:p w14:paraId="6959D1C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4.2 监理人员</w:t>
      </w:r>
    </w:p>
    <w:p w14:paraId="7C77BAC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总监理工程师：</w:t>
      </w:r>
    </w:p>
    <w:p w14:paraId="7D19EEE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6D0B8B7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职    务：</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6996ABF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监理工程师执业资格证书号：</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5DB5E88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706CEC4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电子信箱：</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261BB18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通信地址：</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1B304C3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关于监理人的其他约定：</w:t>
      </w:r>
      <w:r>
        <w:rPr>
          <w:rFonts w:hint="eastAsia" w:ascii="仿宋" w:hAnsi="仿宋" w:eastAsia="仿宋" w:cs="仿宋"/>
          <w:color w:val="auto"/>
          <w:sz w:val="24"/>
          <w:szCs w:val="24"/>
          <w:u w:val="single"/>
        </w:rPr>
        <w:t>   </w:t>
      </w:r>
      <w:r>
        <w:rPr>
          <w:rFonts w:hint="eastAsia" w:ascii="仿宋" w:hAnsi="仿宋" w:eastAsia="仿宋" w:cs="仿宋"/>
          <w:color w:val="auto"/>
          <w:sz w:val="24"/>
          <w:szCs w:val="24"/>
        </w:rPr>
        <w:t>。</w:t>
      </w:r>
    </w:p>
    <w:p w14:paraId="6F6D74A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4.4 商定或确定</w:t>
      </w:r>
    </w:p>
    <w:p w14:paraId="5CF56F4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bookmarkStart w:id="872" w:name="_Toc267251418"/>
      <w:r>
        <w:rPr>
          <w:rFonts w:hint="eastAsia" w:ascii="仿宋" w:hAnsi="仿宋" w:eastAsia="仿宋" w:cs="仿宋"/>
          <w:color w:val="auto"/>
          <w:sz w:val="24"/>
          <w:szCs w:val="24"/>
        </w:rPr>
        <w:t>在发包人和承包人不能通过协商达成一致意见时，发包人授权监理人对以下事项进行确定：</w:t>
      </w:r>
    </w:p>
    <w:p w14:paraId="5A50853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sz w:val="24"/>
          <w:szCs w:val="24"/>
          <w:u w:val="single"/>
        </w:rPr>
        <w:t xml:space="preserve">        执行通用条款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FE9D29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sz w:val="24"/>
          <w:szCs w:val="24"/>
          <w:u w:val="single"/>
        </w:rPr>
        <w:t xml:space="preserve">        执行通用条款               </w:t>
      </w:r>
      <w:r>
        <w:rPr>
          <w:rFonts w:hint="eastAsia" w:ascii="仿宋" w:hAnsi="仿宋" w:eastAsia="仿宋" w:cs="仿宋"/>
          <w:color w:val="auto"/>
          <w:sz w:val="24"/>
          <w:szCs w:val="24"/>
        </w:rPr>
        <w:t>；</w:t>
      </w:r>
    </w:p>
    <w:p w14:paraId="709AB22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hint="eastAsia" w:ascii="仿宋" w:hAnsi="仿宋" w:eastAsia="仿宋" w:cs="仿宋"/>
          <w:color w:val="auto"/>
          <w:sz w:val="24"/>
          <w:szCs w:val="24"/>
          <w:u w:val="single"/>
        </w:rPr>
        <w:t xml:space="preserve">        执行通用条款                </w:t>
      </w:r>
      <w:r>
        <w:rPr>
          <w:rFonts w:hint="eastAsia" w:ascii="仿宋" w:hAnsi="仿宋" w:eastAsia="仿宋" w:cs="仿宋"/>
          <w:color w:val="auto"/>
          <w:sz w:val="24"/>
          <w:szCs w:val="24"/>
        </w:rPr>
        <w:t>。</w:t>
      </w:r>
    </w:p>
    <w:p w14:paraId="09754AD8">
      <w:pPr>
        <w:pStyle w:val="5"/>
        <w:pageBreakBefore w:val="0"/>
        <w:kinsoku/>
        <w:overflowPunct/>
        <w:topLinePunct w:val="0"/>
        <w:bidi w:val="0"/>
        <w:spacing w:line="440" w:lineRule="exact"/>
        <w:rPr>
          <w:rFonts w:hint="eastAsia" w:ascii="仿宋" w:hAnsi="仿宋" w:eastAsia="仿宋" w:cs="仿宋"/>
          <w:color w:val="auto"/>
          <w:sz w:val="24"/>
          <w:szCs w:val="24"/>
        </w:rPr>
      </w:pPr>
      <w:bookmarkStart w:id="873" w:name="_Toc351203637"/>
      <w:r>
        <w:rPr>
          <w:rFonts w:hint="eastAsia" w:ascii="仿宋" w:hAnsi="仿宋" w:eastAsia="仿宋" w:cs="仿宋"/>
          <w:color w:val="auto"/>
          <w:sz w:val="24"/>
          <w:szCs w:val="24"/>
        </w:rPr>
        <w:t>5</w:t>
      </w:r>
      <w:bookmarkEnd w:id="872"/>
      <w:bookmarkStart w:id="874" w:name="_Toc296503163"/>
      <w:bookmarkStart w:id="875" w:name="_Toc297048349"/>
      <w:bookmarkStart w:id="876" w:name="_Toc292559872"/>
      <w:bookmarkStart w:id="877" w:name="_Toc296890991"/>
      <w:bookmarkStart w:id="878" w:name="_Toc296346664"/>
      <w:bookmarkStart w:id="879" w:name="_Toc292559367"/>
      <w:bookmarkStart w:id="880" w:name="_Toc296347162"/>
      <w:bookmarkStart w:id="881" w:name="_Toc296891203"/>
      <w:bookmarkStart w:id="882" w:name="_Toc297120463"/>
      <w:bookmarkStart w:id="883" w:name="_Toc296944502"/>
      <w:r>
        <w:rPr>
          <w:rFonts w:hint="eastAsia" w:ascii="仿宋" w:hAnsi="仿宋" w:eastAsia="仿宋" w:cs="仿宋"/>
          <w:color w:val="auto"/>
          <w:sz w:val="24"/>
          <w:szCs w:val="24"/>
        </w:rPr>
        <w:t>. 工程质量</w:t>
      </w:r>
      <w:bookmarkEnd w:id="873"/>
    </w:p>
    <w:p w14:paraId="037DD3F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5.1 质量要求</w:t>
      </w:r>
    </w:p>
    <w:p w14:paraId="1136D22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w:t>
      </w:r>
      <w:bookmarkStart w:id="884" w:name="_Toc297123496"/>
      <w:bookmarkStart w:id="885" w:name="_Toc318581164"/>
      <w:bookmarkStart w:id="886" w:name="_Toc297216155"/>
      <w:bookmarkStart w:id="887" w:name="_Toc304295527"/>
      <w:bookmarkStart w:id="888" w:name="_Toc312677997"/>
      <w:bookmarkStart w:id="889" w:name="_Toc300934949"/>
      <w:bookmarkStart w:id="890" w:name="_Toc303539106"/>
      <w:r>
        <w:rPr>
          <w:rFonts w:hint="eastAsia" w:ascii="仿宋" w:hAnsi="仿宋" w:eastAsia="仿宋" w:cs="仿宋"/>
          <w:color w:val="auto"/>
          <w:sz w:val="24"/>
          <w:szCs w:val="24"/>
        </w:rPr>
        <w:t>.1.1 特殊质量标准和要求：</w:t>
      </w:r>
      <w:r>
        <w:rPr>
          <w:rFonts w:hint="eastAsia" w:ascii="仿宋" w:hAnsi="仿宋" w:eastAsia="仿宋" w:cs="仿宋"/>
          <w:color w:val="auto"/>
          <w:sz w:val="24"/>
          <w:szCs w:val="24"/>
          <w:u w:val="single"/>
        </w:rPr>
        <w:t xml:space="preserve">    执行通用条款     </w:t>
      </w:r>
      <w:r>
        <w:rPr>
          <w:rFonts w:hint="eastAsia" w:ascii="仿宋" w:hAnsi="仿宋" w:eastAsia="仿宋" w:cs="仿宋"/>
          <w:color w:val="auto"/>
          <w:sz w:val="24"/>
          <w:szCs w:val="24"/>
        </w:rPr>
        <w:t>。</w:t>
      </w:r>
    </w:p>
    <w:p w14:paraId="6AB8DDF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关于工程奖项的约定：</w:t>
      </w:r>
      <w:r>
        <w:rPr>
          <w:rFonts w:hint="eastAsia" w:ascii="仿宋" w:hAnsi="仿宋" w:eastAsia="仿宋" w:cs="仿宋"/>
          <w:color w:val="auto"/>
          <w:sz w:val="24"/>
          <w:szCs w:val="24"/>
          <w:u w:val="single"/>
        </w:rPr>
        <w:t xml:space="preserve">  按照招标文件和施工合同的质量、工期约定，建设单位可根据竣工验收实际，对提前竣工达到合同约定质量标准，以及工程质量达到优良等级的工程，按照相应比例向施工单位返还扣除的违约金  </w:t>
      </w:r>
      <w:r>
        <w:rPr>
          <w:rFonts w:hint="eastAsia" w:ascii="仿宋" w:hAnsi="仿宋" w:eastAsia="仿宋" w:cs="仿宋"/>
          <w:color w:val="auto"/>
          <w:sz w:val="24"/>
          <w:szCs w:val="24"/>
        </w:rPr>
        <w:t>。</w:t>
      </w:r>
    </w:p>
    <w:p w14:paraId="7C1BBDF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5.3 隐蔽工程检查</w:t>
      </w:r>
    </w:p>
    <w:p w14:paraId="6E90933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5.3.2承包人提前通知监理人隐蔽工程检查的期限的约定：</w:t>
      </w:r>
      <w:r>
        <w:rPr>
          <w:rFonts w:hint="eastAsia" w:ascii="仿宋" w:hAnsi="仿宋" w:eastAsia="仿宋" w:cs="仿宋"/>
          <w:color w:val="auto"/>
          <w:sz w:val="24"/>
          <w:szCs w:val="24"/>
          <w:u w:val="single"/>
        </w:rPr>
        <w:t xml:space="preserve"> 共同检查前48小时书面通知监理人   </w:t>
      </w:r>
      <w:r>
        <w:rPr>
          <w:rFonts w:hint="eastAsia" w:ascii="仿宋" w:hAnsi="仿宋" w:eastAsia="仿宋" w:cs="仿宋"/>
          <w:color w:val="auto"/>
          <w:sz w:val="24"/>
          <w:szCs w:val="24"/>
        </w:rPr>
        <w:t>。</w:t>
      </w:r>
    </w:p>
    <w:p w14:paraId="477A1BF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监理人不能按时进行检查时，应提前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24</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小时提交书面延期要求。</w:t>
      </w:r>
    </w:p>
    <w:p w14:paraId="17FAE12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关于延期最长不得超过：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48</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小时。</w:t>
      </w:r>
    </w:p>
    <w:p w14:paraId="11B18602">
      <w:pPr>
        <w:pStyle w:val="5"/>
        <w:pageBreakBefore w:val="0"/>
        <w:kinsoku/>
        <w:overflowPunct/>
        <w:topLinePunct w:val="0"/>
        <w:bidi w:val="0"/>
        <w:spacing w:line="440" w:lineRule="exact"/>
        <w:rPr>
          <w:rFonts w:hint="eastAsia" w:ascii="仿宋" w:hAnsi="仿宋" w:eastAsia="仿宋" w:cs="仿宋"/>
          <w:color w:val="auto"/>
          <w:sz w:val="24"/>
          <w:szCs w:val="24"/>
        </w:rPr>
      </w:pPr>
      <w:bookmarkStart w:id="891" w:name="_Toc351203638"/>
      <w:r>
        <w:rPr>
          <w:rFonts w:hint="eastAsia" w:ascii="仿宋" w:hAnsi="仿宋" w:eastAsia="仿宋" w:cs="仿宋"/>
          <w:color w:val="auto"/>
          <w:sz w:val="24"/>
          <w:szCs w:val="24"/>
        </w:rPr>
        <w:t>6. 安全文明施工与环境保护</w:t>
      </w:r>
      <w:bookmarkEnd w:id="891"/>
    </w:p>
    <w:p w14:paraId="1D7972F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6.1安全文明施工</w:t>
      </w:r>
    </w:p>
    <w:p w14:paraId="2D15881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6.1.1 项目安全生产的达标目标及相应事项的约定：</w:t>
      </w:r>
      <w:r>
        <w:rPr>
          <w:rFonts w:hint="eastAsia" w:ascii="仿宋" w:hAnsi="仿宋" w:eastAsia="仿宋" w:cs="仿宋"/>
          <w:color w:val="auto"/>
          <w:sz w:val="24"/>
          <w:szCs w:val="24"/>
          <w:u w:val="single"/>
        </w:rPr>
        <w:t xml:space="preserve"> 要求达到《建筑施工安全检查标准》（JGJ59-2011）标准；承包方应切实抓好本工程安全施工工作，确保不发生一起安全事故，并应提前做好施工人员及机械设备保险办理工作；若发生人员伤亡事故，发包方将扣除承包方全部履约保证金，同时产生的一切后果由承包方承担，发包方不承担任何责任   </w:t>
      </w:r>
      <w:r>
        <w:rPr>
          <w:rFonts w:hint="eastAsia" w:ascii="仿宋" w:hAnsi="仿宋" w:eastAsia="仿宋" w:cs="仿宋"/>
          <w:color w:val="auto"/>
          <w:sz w:val="24"/>
          <w:szCs w:val="24"/>
        </w:rPr>
        <w:t>。</w:t>
      </w:r>
    </w:p>
    <w:p w14:paraId="631B7B9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6.1.4 关于治安保卫的特别约定：</w:t>
      </w:r>
      <w:r>
        <w:rPr>
          <w:rFonts w:hint="eastAsia" w:ascii="仿宋" w:hAnsi="仿宋" w:eastAsia="仿宋" w:cs="仿宋"/>
          <w:color w:val="auto"/>
          <w:sz w:val="24"/>
          <w:szCs w:val="24"/>
          <w:u w:val="single"/>
        </w:rPr>
        <w:t xml:space="preserve">  由承包人负责协调并履行治安保卫职责    </w:t>
      </w:r>
      <w:r>
        <w:rPr>
          <w:rFonts w:hint="eastAsia" w:ascii="仿宋" w:hAnsi="仿宋" w:eastAsia="仿宋" w:cs="仿宋"/>
          <w:color w:val="auto"/>
          <w:sz w:val="24"/>
          <w:szCs w:val="24"/>
        </w:rPr>
        <w:t>。</w:t>
      </w:r>
    </w:p>
    <w:p w14:paraId="272D0EA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关于编制施工场地治安管理计划的约定：</w:t>
      </w:r>
      <w:r>
        <w:rPr>
          <w:rFonts w:hint="eastAsia" w:ascii="仿宋" w:hAnsi="仿宋" w:eastAsia="仿宋" w:cs="仿宋"/>
          <w:color w:val="auto"/>
          <w:sz w:val="24"/>
          <w:szCs w:val="24"/>
          <w:u w:val="single"/>
        </w:rPr>
        <w:t xml:space="preserve">  承包人开工前三天提供施工场地治安管理计划     </w:t>
      </w:r>
      <w:r>
        <w:rPr>
          <w:rFonts w:hint="eastAsia" w:ascii="仿宋" w:hAnsi="仿宋" w:eastAsia="仿宋" w:cs="仿宋"/>
          <w:color w:val="auto"/>
          <w:sz w:val="24"/>
          <w:szCs w:val="24"/>
        </w:rPr>
        <w:t>。</w:t>
      </w:r>
    </w:p>
    <w:p w14:paraId="12F450A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6.1.5 文明施工</w:t>
      </w:r>
    </w:p>
    <w:p w14:paraId="545C662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合同当事人对文明施工的要求：</w:t>
      </w:r>
      <w:r>
        <w:rPr>
          <w:rFonts w:hint="eastAsia" w:ascii="仿宋" w:hAnsi="仿宋" w:eastAsia="仿宋" w:cs="仿宋"/>
          <w:color w:val="auto"/>
          <w:sz w:val="24"/>
          <w:szCs w:val="24"/>
          <w:u w:val="single"/>
        </w:rPr>
        <w:t xml:space="preserve">  达到《建筑施工现场环境与卫生标准》（JGJ146-2004、J375-2004），并执行通用条款  </w:t>
      </w:r>
      <w:r>
        <w:rPr>
          <w:rFonts w:hint="eastAsia" w:ascii="仿宋" w:hAnsi="仿宋" w:eastAsia="仿宋" w:cs="仿宋"/>
          <w:color w:val="auto"/>
          <w:sz w:val="24"/>
          <w:szCs w:val="24"/>
        </w:rPr>
        <w:t>。</w:t>
      </w:r>
    </w:p>
    <w:p w14:paraId="2E2C8E5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6.1.6 关于安全文明施工费支付比例和支付期限的约定：</w:t>
      </w:r>
      <w:r>
        <w:rPr>
          <w:rFonts w:hint="eastAsia" w:ascii="仿宋" w:hAnsi="仿宋" w:eastAsia="仿宋" w:cs="仿宋"/>
          <w:color w:val="auto"/>
          <w:sz w:val="24"/>
          <w:szCs w:val="24"/>
          <w:u w:val="single"/>
        </w:rPr>
        <w:t xml:space="preserve"> 按进度款支付比例进行支付 </w:t>
      </w:r>
      <w:r>
        <w:rPr>
          <w:rFonts w:hint="eastAsia" w:ascii="仿宋" w:hAnsi="仿宋" w:eastAsia="仿宋" w:cs="仿宋"/>
          <w:color w:val="auto"/>
          <w:sz w:val="24"/>
          <w:szCs w:val="24"/>
        </w:rPr>
        <w:t>。</w:t>
      </w:r>
    </w:p>
    <w:bookmarkEnd w:id="884"/>
    <w:bookmarkEnd w:id="885"/>
    <w:bookmarkEnd w:id="886"/>
    <w:bookmarkEnd w:id="887"/>
    <w:bookmarkEnd w:id="888"/>
    <w:bookmarkEnd w:id="889"/>
    <w:bookmarkEnd w:id="890"/>
    <w:p w14:paraId="0BB10FA9">
      <w:pPr>
        <w:pStyle w:val="5"/>
        <w:pageBreakBefore w:val="0"/>
        <w:kinsoku/>
        <w:overflowPunct/>
        <w:topLinePunct w:val="0"/>
        <w:bidi w:val="0"/>
        <w:spacing w:line="440" w:lineRule="exact"/>
        <w:rPr>
          <w:rFonts w:hint="eastAsia" w:ascii="仿宋" w:hAnsi="仿宋" w:eastAsia="仿宋" w:cs="仿宋"/>
          <w:color w:val="auto"/>
          <w:sz w:val="24"/>
          <w:szCs w:val="24"/>
        </w:rPr>
      </w:pPr>
      <w:bookmarkStart w:id="892" w:name="_Toc351203639"/>
      <w:r>
        <w:rPr>
          <w:rFonts w:hint="eastAsia" w:ascii="仿宋" w:hAnsi="仿宋" w:eastAsia="仿宋" w:cs="仿宋"/>
          <w:color w:val="auto"/>
          <w:sz w:val="24"/>
          <w:szCs w:val="24"/>
        </w:rPr>
        <w:t>7. 工期和进度</w:t>
      </w:r>
      <w:bookmarkEnd w:id="892"/>
    </w:p>
    <w:p w14:paraId="610B34D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7.1 施工组织设计</w:t>
      </w:r>
    </w:p>
    <w:p w14:paraId="1FD81B6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7.1.1 合</w:t>
      </w:r>
      <w:r>
        <w:rPr>
          <w:rFonts w:hint="eastAsia" w:ascii="仿宋" w:hAnsi="仿宋" w:eastAsia="仿宋" w:cs="仿宋"/>
          <w:color w:val="auto"/>
          <w:kern w:val="0"/>
          <w:sz w:val="24"/>
          <w:szCs w:val="24"/>
        </w:rPr>
        <w:t>同当事人约定的施工组织设计应包括的其他内容：</w:t>
      </w:r>
      <w:r>
        <w:rPr>
          <w:rFonts w:hint="eastAsia" w:ascii="仿宋" w:hAnsi="仿宋" w:eastAsia="仿宋" w:cs="仿宋"/>
          <w:color w:val="auto"/>
          <w:sz w:val="24"/>
          <w:szCs w:val="24"/>
          <w:u w:val="single"/>
        </w:rPr>
        <w:t xml:space="preserve"> 中标施工单位应严格按照技术标约定的劳动力需用量计划、机械设备需用量计划组织施工人材机未按照技术标约定全部到场的，按照不履行招标文件及合同约定缴纳违约金 5 万元 </w:t>
      </w:r>
      <w:r>
        <w:rPr>
          <w:rFonts w:hint="eastAsia" w:ascii="仿宋" w:hAnsi="仿宋" w:eastAsia="仿宋" w:cs="仿宋"/>
          <w:color w:val="auto"/>
          <w:sz w:val="24"/>
          <w:szCs w:val="24"/>
        </w:rPr>
        <w:t>。</w:t>
      </w:r>
    </w:p>
    <w:p w14:paraId="4875982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 xml:space="preserve">7.1.2 </w:t>
      </w:r>
      <w:r>
        <w:rPr>
          <w:rFonts w:hint="eastAsia" w:ascii="仿宋" w:hAnsi="仿宋" w:eastAsia="仿宋" w:cs="仿宋"/>
          <w:color w:val="auto"/>
          <w:kern w:val="0"/>
          <w:sz w:val="24"/>
          <w:szCs w:val="24"/>
        </w:rPr>
        <w:t>施工组织设计的提交和修改</w:t>
      </w:r>
    </w:p>
    <w:p w14:paraId="0658E8E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承包人提交详细施工组织设计的期限的约定：</w:t>
      </w:r>
      <w:r>
        <w:rPr>
          <w:rFonts w:hint="eastAsia" w:ascii="仿宋" w:hAnsi="仿宋" w:eastAsia="仿宋" w:cs="仿宋"/>
          <w:color w:val="auto"/>
          <w:sz w:val="24"/>
          <w:szCs w:val="24"/>
          <w:u w:val="single"/>
        </w:rPr>
        <w:t xml:space="preserve">  开工前三天 </w:t>
      </w:r>
      <w:r>
        <w:rPr>
          <w:rFonts w:hint="eastAsia" w:ascii="仿宋" w:hAnsi="仿宋" w:eastAsia="仿宋" w:cs="仿宋"/>
          <w:color w:val="auto"/>
          <w:sz w:val="24"/>
          <w:szCs w:val="24"/>
        </w:rPr>
        <w:t>。</w:t>
      </w:r>
    </w:p>
    <w:p w14:paraId="5554B25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发包人和监理人在收到详细的施工组织设计后确认或提出修改意见的期限：</w:t>
      </w:r>
      <w:r>
        <w:rPr>
          <w:rFonts w:hint="eastAsia" w:ascii="仿宋" w:hAnsi="仿宋" w:eastAsia="仿宋" w:cs="仿宋"/>
          <w:color w:val="auto"/>
          <w:sz w:val="24"/>
          <w:szCs w:val="24"/>
          <w:u w:val="single"/>
        </w:rPr>
        <w:t xml:space="preserve">    收到后 7 天内           </w:t>
      </w:r>
      <w:r>
        <w:rPr>
          <w:rFonts w:hint="eastAsia" w:ascii="仿宋" w:hAnsi="仿宋" w:eastAsia="仿宋" w:cs="仿宋"/>
          <w:color w:val="auto"/>
          <w:sz w:val="24"/>
          <w:szCs w:val="24"/>
        </w:rPr>
        <w:t>。</w:t>
      </w:r>
    </w:p>
    <w:p w14:paraId="5F7B059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w:t>
      </w:r>
      <w:bookmarkStart w:id="893" w:name="_Toc304295541"/>
      <w:bookmarkStart w:id="894" w:name="_Toc303539123"/>
      <w:bookmarkStart w:id="895" w:name="_Toc312677479"/>
      <w:bookmarkStart w:id="896" w:name="_Toc312678005"/>
      <w:bookmarkStart w:id="897" w:name="_Toc297216173"/>
      <w:bookmarkStart w:id="898" w:name="_Toc300934966"/>
      <w:bookmarkStart w:id="899" w:name="_Toc297123514"/>
      <w:r>
        <w:rPr>
          <w:rFonts w:hint="eastAsia" w:ascii="仿宋" w:hAnsi="仿宋" w:eastAsia="仿宋" w:cs="仿宋"/>
          <w:color w:val="auto"/>
          <w:sz w:val="24"/>
          <w:szCs w:val="24"/>
        </w:rPr>
        <w:t>.2 施工进度计划</w:t>
      </w:r>
    </w:p>
    <w:p w14:paraId="587C833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7.2.2 施工进度计划的修订</w:t>
      </w:r>
    </w:p>
    <w:p w14:paraId="2B6680E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发包人和监理人在收到修订的施工进度计划后确认或提出修改意见的期限：</w:t>
      </w:r>
      <w:r>
        <w:rPr>
          <w:rFonts w:hint="eastAsia" w:ascii="仿宋" w:hAnsi="仿宋" w:eastAsia="仿宋" w:cs="仿宋"/>
          <w:color w:val="auto"/>
          <w:sz w:val="24"/>
          <w:szCs w:val="24"/>
          <w:u w:val="single"/>
        </w:rPr>
        <w:t xml:space="preserve">         收到后 7 天内                      </w:t>
      </w:r>
      <w:r>
        <w:rPr>
          <w:rFonts w:hint="eastAsia" w:ascii="仿宋" w:hAnsi="仿宋" w:eastAsia="仿宋" w:cs="仿宋"/>
          <w:color w:val="auto"/>
          <w:sz w:val="24"/>
          <w:szCs w:val="24"/>
        </w:rPr>
        <w:t>。</w:t>
      </w:r>
    </w:p>
    <w:p w14:paraId="55D08D0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7.3 开工</w:t>
      </w:r>
    </w:p>
    <w:p w14:paraId="3612A09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7.3.1 开工准备</w:t>
      </w:r>
    </w:p>
    <w:p w14:paraId="6E355A3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关于承包人提交</w:t>
      </w:r>
      <w:r>
        <w:rPr>
          <w:rFonts w:hint="eastAsia" w:ascii="仿宋" w:hAnsi="仿宋" w:eastAsia="仿宋" w:cs="仿宋"/>
          <w:color w:val="auto"/>
          <w:kern w:val="0"/>
          <w:sz w:val="24"/>
          <w:szCs w:val="24"/>
        </w:rPr>
        <w:t>工程开工报审表的期限：</w:t>
      </w:r>
      <w:r>
        <w:rPr>
          <w:rFonts w:hint="eastAsia" w:ascii="仿宋" w:hAnsi="仿宋" w:eastAsia="仿宋" w:cs="仿宋"/>
          <w:color w:val="auto"/>
          <w:sz w:val="24"/>
          <w:szCs w:val="24"/>
          <w:u w:val="single"/>
        </w:rPr>
        <w:t xml:space="preserve"> 合同签订后、开工之前 7 日 </w:t>
      </w:r>
      <w:r>
        <w:rPr>
          <w:rFonts w:hint="eastAsia" w:ascii="仿宋" w:hAnsi="仿宋" w:eastAsia="仿宋" w:cs="仿宋"/>
          <w:color w:val="auto"/>
          <w:sz w:val="24"/>
          <w:szCs w:val="24"/>
        </w:rPr>
        <w:t>。</w:t>
      </w:r>
    </w:p>
    <w:p w14:paraId="5596371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关于发包人应完成的其他开工准备工作及期限：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FF1E90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关于承包人应完成的其他开工准备工作及期限：</w:t>
      </w:r>
      <w:r>
        <w:rPr>
          <w:rFonts w:hint="eastAsia" w:ascii="仿宋" w:hAnsi="仿宋" w:eastAsia="仿宋" w:cs="仿宋"/>
          <w:color w:val="auto"/>
          <w:sz w:val="24"/>
          <w:szCs w:val="24"/>
          <w:u w:val="single"/>
        </w:rPr>
        <w:t xml:space="preserve"> 中标施工单位项目经理、项目管理人员、施工人员必须按照投标文件约定到场，并应严格按照技术标约定的劳动力需用量计划、机械设备需用量</w:t>
      </w:r>
    </w:p>
    <w:p w14:paraId="37B7AEF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计划组织施工    </w:t>
      </w:r>
      <w:r>
        <w:rPr>
          <w:rFonts w:hint="eastAsia" w:ascii="仿宋" w:hAnsi="仿宋" w:eastAsia="仿宋" w:cs="仿宋"/>
          <w:color w:val="auto"/>
          <w:sz w:val="24"/>
          <w:szCs w:val="24"/>
        </w:rPr>
        <w:t>。</w:t>
      </w:r>
    </w:p>
    <w:p w14:paraId="2A7C633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7.3.2开工通知</w:t>
      </w:r>
    </w:p>
    <w:p w14:paraId="698A28C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因发包人原因造成监理人未能在计划开工日期之日起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天内发出开工通知的，承包人有权提出价格调整要求，或者解除合同。</w:t>
      </w:r>
    </w:p>
    <w:bookmarkEnd w:id="893"/>
    <w:bookmarkEnd w:id="894"/>
    <w:bookmarkEnd w:id="895"/>
    <w:bookmarkEnd w:id="896"/>
    <w:bookmarkEnd w:id="897"/>
    <w:bookmarkEnd w:id="898"/>
    <w:bookmarkEnd w:id="899"/>
    <w:p w14:paraId="1F0C2F1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7.4 测量放线</w:t>
      </w:r>
    </w:p>
    <w:p w14:paraId="01C92D1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7.4.1发包人通过监理人向承包人提供测量基准点、基准线和水准点及其书面资料的期限：</w:t>
      </w:r>
      <w:r>
        <w:rPr>
          <w:rFonts w:hint="eastAsia" w:ascii="仿宋" w:hAnsi="仿宋" w:eastAsia="仿宋" w:cs="仿宋"/>
          <w:color w:val="auto"/>
          <w:sz w:val="24"/>
          <w:szCs w:val="24"/>
          <w:u w:val="single"/>
        </w:rPr>
        <w:t xml:space="preserve"> 开工三日内在施工现场进行交验，由承包方做好校验和保护；承包人应根据国家测绘基准，测绘系统和工程测量技术规范，按上述基准点（线）以及合同工程精度要求，测设施工控制网，并在专用条款约定的期限内，将施工控制网资料报送发包人和监理人审批  </w:t>
      </w:r>
      <w:r>
        <w:rPr>
          <w:rFonts w:hint="eastAsia" w:ascii="仿宋" w:hAnsi="仿宋" w:eastAsia="仿宋" w:cs="仿宋"/>
          <w:color w:val="auto"/>
          <w:sz w:val="24"/>
          <w:szCs w:val="24"/>
        </w:rPr>
        <w:t>。</w:t>
      </w:r>
    </w:p>
    <w:p w14:paraId="3218355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w:t>
      </w:r>
      <w:bookmarkStart w:id="900" w:name="_Toc297123516"/>
      <w:bookmarkStart w:id="901" w:name="_Toc303539125"/>
      <w:bookmarkStart w:id="902" w:name="_Toc312677484"/>
      <w:bookmarkStart w:id="903" w:name="_Toc304295546"/>
      <w:bookmarkStart w:id="904" w:name="_Toc297216175"/>
      <w:bookmarkStart w:id="905" w:name="_Toc300934968"/>
      <w:bookmarkStart w:id="906" w:name="_Toc312678010"/>
      <w:r>
        <w:rPr>
          <w:rFonts w:hint="eastAsia" w:ascii="仿宋" w:hAnsi="仿宋" w:eastAsia="仿宋" w:cs="仿宋"/>
          <w:color w:val="auto"/>
          <w:sz w:val="24"/>
          <w:szCs w:val="24"/>
        </w:rPr>
        <w:t>.5 工期延误</w:t>
      </w:r>
    </w:p>
    <w:bookmarkEnd w:id="900"/>
    <w:bookmarkEnd w:id="901"/>
    <w:bookmarkEnd w:id="902"/>
    <w:bookmarkEnd w:id="903"/>
    <w:bookmarkEnd w:id="904"/>
    <w:bookmarkEnd w:id="905"/>
    <w:bookmarkEnd w:id="906"/>
    <w:p w14:paraId="3B4B6EE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7.5.1 因发包人原因导致工期延误</w:t>
      </w:r>
    </w:p>
    <w:p w14:paraId="478473D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（7）因发包人原因导致工期延误的其他情形：</w:t>
      </w:r>
      <w:r>
        <w:rPr>
          <w:rFonts w:hint="eastAsia" w:ascii="仿宋" w:hAnsi="仿宋" w:eastAsia="仿宋" w:cs="仿宋"/>
          <w:color w:val="auto"/>
          <w:sz w:val="24"/>
          <w:szCs w:val="24"/>
          <w:u w:val="single"/>
        </w:rPr>
        <w:t xml:space="preserve"> 非发包方原因，工期不顺延；因政策处理问题影响施工进度，不可抗力原因影响工程进度，需在发现后七日内办理签证，逾期不予认可 </w:t>
      </w:r>
      <w:r>
        <w:rPr>
          <w:rFonts w:hint="eastAsia" w:ascii="仿宋" w:hAnsi="仿宋" w:eastAsia="仿宋" w:cs="仿宋"/>
          <w:color w:val="auto"/>
          <w:sz w:val="24"/>
          <w:szCs w:val="24"/>
        </w:rPr>
        <w:t>。</w:t>
      </w:r>
    </w:p>
    <w:p w14:paraId="0C43071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w:t>
      </w:r>
      <w:bookmarkStart w:id="907" w:name="_Toc318581169"/>
      <w:bookmarkStart w:id="908" w:name="_Toc312678012"/>
      <w:bookmarkStart w:id="909" w:name="_Toc312677486"/>
      <w:bookmarkStart w:id="910" w:name="_Toc297216177"/>
      <w:bookmarkStart w:id="911" w:name="_Toc297123518"/>
      <w:bookmarkStart w:id="912" w:name="_Toc300934970"/>
      <w:bookmarkStart w:id="913" w:name="_Toc304295548"/>
      <w:bookmarkStart w:id="914" w:name="_Toc303539127"/>
      <w:r>
        <w:rPr>
          <w:rFonts w:hint="eastAsia" w:ascii="仿宋" w:hAnsi="仿宋" w:eastAsia="仿宋" w:cs="仿宋"/>
          <w:color w:val="auto"/>
          <w:sz w:val="24"/>
          <w:szCs w:val="24"/>
        </w:rPr>
        <w:t>.5.2 因承包人原因导致工期延误</w:t>
      </w:r>
    </w:p>
    <w:bookmarkEnd w:id="907"/>
    <w:bookmarkEnd w:id="908"/>
    <w:bookmarkEnd w:id="909"/>
    <w:p w14:paraId="6FEB953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因</w:t>
      </w:r>
      <w:bookmarkStart w:id="915" w:name="_Toc312678013"/>
      <w:bookmarkStart w:id="916" w:name="_Toc312677487"/>
      <w:bookmarkStart w:id="917" w:name="_Toc318581170"/>
      <w:r>
        <w:rPr>
          <w:rFonts w:hint="eastAsia" w:ascii="仿宋" w:hAnsi="仿宋" w:eastAsia="仿宋" w:cs="仿宋"/>
          <w:color w:val="auto"/>
          <w:sz w:val="24"/>
          <w:szCs w:val="24"/>
        </w:rPr>
        <w:t>承包人原因造成工期延误，逾期竣工违约金的计算方法为：</w:t>
      </w:r>
    </w:p>
    <w:p w14:paraId="61A1E88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i w:val="0"/>
          <w:iCs w:val="0"/>
          <w:color w:val="auto"/>
          <w:sz w:val="24"/>
          <w:szCs w:val="24"/>
          <w:u w:val="single"/>
          <w:lang w:val="en-US" w:eastAsia="zh-CN"/>
        </w:rPr>
      </w:pPr>
      <w:r>
        <w:rPr>
          <w:rFonts w:hint="eastAsia" w:ascii="仿宋" w:hAnsi="仿宋" w:eastAsia="仿宋" w:cs="仿宋"/>
          <w:i w:val="0"/>
          <w:iCs w:val="0"/>
          <w:color w:val="auto"/>
          <w:sz w:val="24"/>
          <w:szCs w:val="24"/>
          <w:u w:val="single"/>
        </w:rPr>
        <w:t>按照合同工期，每延误或停工一天，应向发包人偿付违约金壹万元整，发包人有权将投标报价中计取的赶工期措施费扣除，同时，承包人还得赔偿由于延误或停工给发包人造成的</w:t>
      </w:r>
      <w:r>
        <w:rPr>
          <w:rFonts w:hint="eastAsia" w:ascii="仿宋" w:hAnsi="仿宋" w:eastAsia="仿宋" w:cs="仿宋"/>
          <w:i w:val="0"/>
          <w:iCs w:val="0"/>
          <w:color w:val="auto"/>
          <w:sz w:val="24"/>
          <w:szCs w:val="24"/>
          <w:u w:val="single"/>
          <w:lang w:eastAsia="zh-CN"/>
        </w:rPr>
        <w:t>其他损失</w:t>
      </w:r>
      <w:r>
        <w:rPr>
          <w:rFonts w:hint="eastAsia" w:ascii="仿宋" w:hAnsi="仿宋" w:eastAsia="仿宋" w:cs="仿宋"/>
          <w:i w:val="0"/>
          <w:iCs w:val="0"/>
          <w:color w:val="auto"/>
          <w:sz w:val="24"/>
          <w:szCs w:val="24"/>
          <w:u w:val="single"/>
        </w:rPr>
        <w:t>；延误或停工超过30日以上的</w:t>
      </w:r>
      <w:r>
        <w:rPr>
          <w:rFonts w:hint="eastAsia" w:ascii="仿宋" w:hAnsi="仿宋" w:eastAsia="仿宋" w:cs="仿宋"/>
          <w:i w:val="0"/>
          <w:iCs w:val="0"/>
          <w:color w:val="auto"/>
          <w:sz w:val="24"/>
          <w:szCs w:val="24"/>
          <w:u w:val="single"/>
          <w:lang w:val="en-US" w:eastAsia="zh-CN"/>
        </w:rPr>
        <w:t>或有其他违约行为导致合同目的无法实现的</w:t>
      </w:r>
      <w:r>
        <w:rPr>
          <w:rFonts w:hint="eastAsia" w:ascii="仿宋" w:hAnsi="仿宋" w:eastAsia="仿宋" w:cs="仿宋"/>
          <w:i w:val="0"/>
          <w:iCs w:val="0"/>
          <w:color w:val="auto"/>
          <w:sz w:val="24"/>
          <w:szCs w:val="24"/>
          <w:u w:val="single"/>
        </w:rPr>
        <w:t>，发包人有权解除本合同，承包人应按签约合同总价款的20%向发包人偿付违约金</w:t>
      </w:r>
      <w:r>
        <w:rPr>
          <w:rFonts w:hint="eastAsia" w:ascii="仿宋" w:hAnsi="仿宋" w:eastAsia="仿宋" w:cs="仿宋"/>
          <w:i w:val="0"/>
          <w:iCs w:val="0"/>
          <w:color w:val="auto"/>
          <w:sz w:val="24"/>
          <w:szCs w:val="24"/>
          <w:u w:val="single"/>
          <w:lang w:eastAsia="zh-CN"/>
        </w:rPr>
        <w:t>，</w:t>
      </w:r>
      <w:r>
        <w:rPr>
          <w:rFonts w:hint="eastAsia" w:ascii="仿宋" w:hAnsi="仿宋" w:eastAsia="仿宋" w:cs="仿宋"/>
          <w:i w:val="0"/>
          <w:iCs w:val="0"/>
          <w:color w:val="auto"/>
          <w:sz w:val="24"/>
          <w:szCs w:val="24"/>
          <w:u w:val="single"/>
        </w:rPr>
        <w:t>如发包人不解除合同的，则承包人继续按本条约定向发包人偿付逾期违约金。</w:t>
      </w:r>
      <w:bookmarkEnd w:id="910"/>
      <w:bookmarkEnd w:id="911"/>
      <w:bookmarkEnd w:id="912"/>
      <w:bookmarkEnd w:id="913"/>
      <w:bookmarkEnd w:id="914"/>
      <w:bookmarkEnd w:id="915"/>
      <w:bookmarkEnd w:id="916"/>
      <w:r>
        <w:rPr>
          <w:rFonts w:hint="eastAsia" w:ascii="仿宋" w:hAnsi="仿宋" w:eastAsia="仿宋" w:cs="仿宋"/>
          <w:i w:val="0"/>
          <w:iCs w:val="0"/>
          <w:color w:val="auto"/>
          <w:sz w:val="24"/>
          <w:szCs w:val="24"/>
          <w:u w:val="single"/>
          <w:lang w:val="en-US" w:eastAsia="zh-CN"/>
        </w:rPr>
        <w:t>甲方行使合同解除权的期限为三年。</w:t>
      </w:r>
    </w:p>
    <w:bookmarkEnd w:id="917"/>
    <w:p w14:paraId="6B4C7FA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因承包人原因造成工期延误</w:t>
      </w:r>
      <w:r>
        <w:rPr>
          <w:rFonts w:hint="eastAsia" w:ascii="仿宋" w:hAnsi="仿宋" w:eastAsia="仿宋" w:cs="仿宋"/>
          <w:i w:val="0"/>
          <w:iCs w:val="0"/>
          <w:color w:val="auto"/>
          <w:sz w:val="24"/>
          <w:szCs w:val="24"/>
          <w:lang w:val="en-US" w:eastAsia="zh-CN"/>
        </w:rPr>
        <w:t>或擅自停工的</w:t>
      </w:r>
      <w:r>
        <w:rPr>
          <w:rFonts w:hint="eastAsia" w:ascii="仿宋" w:hAnsi="仿宋" w:eastAsia="仿宋" w:cs="仿宋"/>
          <w:i w:val="0"/>
          <w:iCs w:val="0"/>
          <w:color w:val="auto"/>
          <w:sz w:val="24"/>
          <w:szCs w:val="24"/>
        </w:rPr>
        <w:t>，逾</w:t>
      </w:r>
      <w:bookmarkStart w:id="918" w:name="_Toc318581171"/>
      <w:bookmarkStart w:id="919" w:name="_Toc312678014"/>
      <w:r>
        <w:rPr>
          <w:rFonts w:hint="eastAsia" w:ascii="仿宋" w:hAnsi="仿宋" w:eastAsia="仿宋" w:cs="仿宋"/>
          <w:i w:val="0"/>
          <w:iCs w:val="0"/>
          <w:color w:val="auto"/>
          <w:sz w:val="24"/>
          <w:szCs w:val="24"/>
        </w:rPr>
        <w:t>期违约金</w:t>
      </w:r>
      <w:r>
        <w:rPr>
          <w:rFonts w:hint="eastAsia" w:ascii="仿宋" w:hAnsi="仿宋" w:eastAsia="仿宋" w:cs="仿宋"/>
          <w:color w:val="auto"/>
          <w:sz w:val="24"/>
          <w:szCs w:val="24"/>
        </w:rPr>
        <w:t>的上限：</w:t>
      </w:r>
      <w:r>
        <w:rPr>
          <w:rFonts w:hint="eastAsia" w:ascii="仿宋" w:hAnsi="仿宋" w:eastAsia="仿宋" w:cs="仿宋"/>
          <w:color w:val="auto"/>
          <w:sz w:val="24"/>
          <w:szCs w:val="24"/>
          <w:u w:val="single"/>
        </w:rPr>
        <w:t xml:space="preserve"> 总额不超过合同价款的 </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 xml:space="preserve">0% </w:t>
      </w:r>
      <w:r>
        <w:rPr>
          <w:rFonts w:hint="eastAsia" w:ascii="仿宋" w:hAnsi="仿宋" w:eastAsia="仿宋" w:cs="仿宋"/>
          <w:color w:val="auto"/>
          <w:sz w:val="24"/>
          <w:szCs w:val="24"/>
        </w:rPr>
        <w:t>。</w:t>
      </w:r>
    </w:p>
    <w:bookmarkEnd w:id="918"/>
    <w:bookmarkEnd w:id="919"/>
    <w:p w14:paraId="45F9DA4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w:t>
      </w:r>
      <w:bookmarkStart w:id="920" w:name="_Toc300934971"/>
      <w:bookmarkStart w:id="921" w:name="_Toc303539128"/>
      <w:bookmarkStart w:id="922" w:name="_Toc312678015"/>
      <w:bookmarkStart w:id="923" w:name="_Toc297123519"/>
      <w:bookmarkStart w:id="924" w:name="_Toc304295549"/>
      <w:bookmarkStart w:id="925" w:name="_Toc297216178"/>
      <w:r>
        <w:rPr>
          <w:rFonts w:hint="eastAsia" w:ascii="仿宋" w:hAnsi="仿宋" w:eastAsia="仿宋" w:cs="仿宋"/>
          <w:color w:val="auto"/>
          <w:sz w:val="24"/>
          <w:szCs w:val="24"/>
        </w:rPr>
        <w:t>.6 不</w:t>
      </w:r>
      <w:bookmarkEnd w:id="920"/>
      <w:bookmarkEnd w:id="921"/>
      <w:bookmarkEnd w:id="922"/>
      <w:bookmarkEnd w:id="923"/>
      <w:bookmarkEnd w:id="924"/>
      <w:bookmarkEnd w:id="925"/>
      <w:r>
        <w:rPr>
          <w:rFonts w:hint="eastAsia" w:ascii="仿宋" w:hAnsi="仿宋" w:eastAsia="仿宋" w:cs="仿宋"/>
          <w:color w:val="auto"/>
          <w:sz w:val="24"/>
          <w:szCs w:val="24"/>
        </w:rPr>
        <w:t>利物质条件</w:t>
      </w:r>
    </w:p>
    <w:p w14:paraId="6DB7A52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bookmarkStart w:id="926" w:name="_Toc300934972"/>
      <w:bookmarkStart w:id="927" w:name="_Toc312678016"/>
      <w:bookmarkStart w:id="928" w:name="_Toc297123520"/>
      <w:bookmarkStart w:id="929" w:name="_Toc318581172"/>
      <w:bookmarkStart w:id="930" w:name="_Toc304295550"/>
      <w:bookmarkStart w:id="931" w:name="_Toc297216179"/>
      <w:bookmarkStart w:id="932" w:name="_Toc303539129"/>
      <w:r>
        <w:rPr>
          <w:rFonts w:hint="eastAsia" w:ascii="仿宋" w:hAnsi="仿宋" w:eastAsia="仿宋" w:cs="仿宋"/>
          <w:color w:val="auto"/>
          <w:sz w:val="24"/>
          <w:szCs w:val="24"/>
        </w:rPr>
        <w:t>不利物质条件的其他情形和有关约定：</w:t>
      </w:r>
      <w:r>
        <w:rPr>
          <w:rFonts w:hint="eastAsia" w:ascii="仿宋" w:hAnsi="仿宋" w:eastAsia="仿宋" w:cs="仿宋"/>
          <w:color w:val="auto"/>
          <w:sz w:val="24"/>
          <w:szCs w:val="24"/>
          <w:u w:val="single"/>
        </w:rPr>
        <w:t xml:space="preserve">   执行通用条款执行通用条款       </w:t>
      </w:r>
      <w:r>
        <w:rPr>
          <w:rFonts w:hint="eastAsia" w:ascii="仿宋" w:hAnsi="仿宋" w:eastAsia="仿宋" w:cs="仿宋"/>
          <w:color w:val="auto"/>
          <w:sz w:val="24"/>
          <w:szCs w:val="24"/>
        </w:rPr>
        <w:t>。</w:t>
      </w:r>
    </w:p>
    <w:bookmarkEnd w:id="926"/>
    <w:bookmarkEnd w:id="927"/>
    <w:bookmarkEnd w:id="928"/>
    <w:bookmarkEnd w:id="929"/>
    <w:bookmarkEnd w:id="930"/>
    <w:bookmarkEnd w:id="931"/>
    <w:bookmarkEnd w:id="932"/>
    <w:p w14:paraId="6599820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w:t>
      </w:r>
      <w:bookmarkStart w:id="933" w:name="_Toc297216180"/>
      <w:bookmarkStart w:id="934" w:name="_Toc303539130"/>
      <w:bookmarkStart w:id="935" w:name="_Toc300934973"/>
      <w:bookmarkStart w:id="936" w:name="_Toc304295551"/>
      <w:bookmarkStart w:id="937" w:name="_Toc297123521"/>
      <w:bookmarkStart w:id="938" w:name="_Toc312678017"/>
      <w:r>
        <w:rPr>
          <w:rFonts w:hint="eastAsia" w:ascii="仿宋" w:hAnsi="仿宋" w:eastAsia="仿宋" w:cs="仿宋"/>
          <w:color w:val="auto"/>
          <w:sz w:val="24"/>
          <w:szCs w:val="24"/>
        </w:rPr>
        <w:t>.7异常恶劣的气候条件</w:t>
      </w:r>
    </w:p>
    <w:bookmarkEnd w:id="933"/>
    <w:bookmarkEnd w:id="934"/>
    <w:bookmarkEnd w:id="935"/>
    <w:bookmarkEnd w:id="936"/>
    <w:bookmarkEnd w:id="937"/>
    <w:bookmarkEnd w:id="938"/>
    <w:p w14:paraId="692081F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发包人和承包人同意以下情形视为异常恶劣的气候条件：</w:t>
      </w:r>
    </w:p>
    <w:p w14:paraId="0599B0D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 xml:space="preserve">  气象部门发布的暴雨、大风、沙尘等不适合施工的天气灾害 </w:t>
      </w:r>
      <w:r>
        <w:rPr>
          <w:rFonts w:hint="eastAsia" w:ascii="仿宋" w:hAnsi="仿宋" w:eastAsia="仿宋" w:cs="仿宋"/>
          <w:color w:val="auto"/>
          <w:sz w:val="24"/>
          <w:szCs w:val="24"/>
        </w:rPr>
        <w:t>；</w:t>
      </w:r>
    </w:p>
    <w:p w14:paraId="7A20ED7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F08606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42AA5E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7.9 提前竣工的奖励</w:t>
      </w:r>
    </w:p>
    <w:p w14:paraId="552EB7F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7.9.2提前竣工的奖励：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47029E5">
      <w:pPr>
        <w:pStyle w:val="5"/>
        <w:pageBreakBefore w:val="0"/>
        <w:kinsoku/>
        <w:overflowPunct/>
        <w:topLinePunct w:val="0"/>
        <w:bidi w:val="0"/>
        <w:spacing w:line="440" w:lineRule="exact"/>
        <w:rPr>
          <w:rFonts w:hint="eastAsia" w:ascii="仿宋" w:hAnsi="仿宋" w:eastAsia="仿宋" w:cs="仿宋"/>
          <w:color w:val="auto"/>
          <w:sz w:val="24"/>
          <w:szCs w:val="24"/>
        </w:rPr>
      </w:pPr>
      <w:bookmarkStart w:id="939" w:name="_Toc351203640"/>
      <w:r>
        <w:rPr>
          <w:rFonts w:hint="eastAsia" w:ascii="仿宋" w:hAnsi="仿宋" w:eastAsia="仿宋" w:cs="仿宋"/>
          <w:color w:val="auto"/>
          <w:sz w:val="24"/>
          <w:szCs w:val="24"/>
        </w:rPr>
        <w:t>8. 材料与设备</w:t>
      </w:r>
      <w:bookmarkEnd w:id="939"/>
    </w:p>
    <w:bookmarkEnd w:id="874"/>
    <w:bookmarkEnd w:id="875"/>
    <w:bookmarkEnd w:id="876"/>
    <w:bookmarkEnd w:id="877"/>
    <w:bookmarkEnd w:id="878"/>
    <w:bookmarkEnd w:id="879"/>
    <w:bookmarkEnd w:id="880"/>
    <w:bookmarkEnd w:id="881"/>
    <w:bookmarkEnd w:id="882"/>
    <w:bookmarkEnd w:id="883"/>
    <w:p w14:paraId="61B92EA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8</w:t>
      </w:r>
      <w:bookmarkStart w:id="940" w:name="_Toc304295556"/>
      <w:bookmarkStart w:id="941" w:name="_Toc296346668"/>
      <w:bookmarkStart w:id="942" w:name="_Toc296347166"/>
      <w:bookmarkStart w:id="943" w:name="_Toc297120467"/>
      <w:bookmarkStart w:id="944" w:name="_Toc297123527"/>
      <w:bookmarkStart w:id="945" w:name="_Toc296890995"/>
      <w:bookmarkStart w:id="946" w:name="_Toc296891207"/>
      <w:bookmarkStart w:id="947" w:name="_Toc292559877"/>
      <w:bookmarkStart w:id="948" w:name="_Toc296503167"/>
      <w:bookmarkStart w:id="949" w:name="_Toc300934979"/>
      <w:bookmarkStart w:id="950" w:name="_Toc312678019"/>
      <w:bookmarkStart w:id="951" w:name="_Toc292559372"/>
      <w:bookmarkStart w:id="952" w:name="_Toc297216186"/>
      <w:bookmarkStart w:id="953" w:name="_Toc303539136"/>
      <w:bookmarkStart w:id="954" w:name="_Toc312677493"/>
      <w:bookmarkStart w:id="955" w:name="_Toc297048353"/>
      <w:bookmarkStart w:id="956" w:name="_Toc280868654"/>
      <w:bookmarkStart w:id="957" w:name="_Toc296944506"/>
      <w:bookmarkStart w:id="958" w:name="_Toc267251424"/>
      <w:bookmarkStart w:id="959" w:name="_Toc280868656"/>
      <w:bookmarkStart w:id="960" w:name="_Toc280868655"/>
      <w:r>
        <w:rPr>
          <w:rFonts w:hint="eastAsia" w:ascii="仿宋" w:hAnsi="仿宋" w:eastAsia="仿宋" w:cs="仿宋"/>
          <w:color w:val="auto"/>
          <w:sz w:val="24"/>
          <w:szCs w:val="24"/>
        </w:rPr>
        <w:t>.4材料与工程设备的保管与使用</w:t>
      </w:r>
    </w:p>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14:paraId="4715E1E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8</w:t>
      </w:r>
      <w:bookmarkStart w:id="961" w:name="_Toc292559878"/>
      <w:bookmarkStart w:id="962" w:name="_Toc292559373"/>
      <w:bookmarkStart w:id="963" w:name="_Toc296891208"/>
      <w:bookmarkStart w:id="964" w:name="_Toc297120468"/>
      <w:bookmarkStart w:id="965" w:name="_Toc296944507"/>
      <w:bookmarkStart w:id="966" w:name="_Toc312678020"/>
      <w:bookmarkStart w:id="967" w:name="_Toc297048354"/>
      <w:bookmarkStart w:id="968" w:name="_Toc296347167"/>
      <w:bookmarkStart w:id="969" w:name="_Toc303539137"/>
      <w:bookmarkStart w:id="970" w:name="_Toc297123528"/>
      <w:bookmarkStart w:id="971" w:name="_Toc296503168"/>
      <w:bookmarkStart w:id="972" w:name="_Toc318581173"/>
      <w:bookmarkStart w:id="973" w:name="_Toc296890996"/>
      <w:bookmarkStart w:id="974" w:name="_Toc300934980"/>
      <w:bookmarkStart w:id="975" w:name="_Toc296346669"/>
      <w:bookmarkStart w:id="976" w:name="_Toc304295557"/>
      <w:bookmarkStart w:id="977" w:name="_Toc297216187"/>
      <w:bookmarkStart w:id="978" w:name="_Toc312677494"/>
      <w:r>
        <w:rPr>
          <w:rFonts w:hint="eastAsia" w:ascii="仿宋" w:hAnsi="仿宋" w:eastAsia="仿宋" w:cs="仿宋"/>
          <w:color w:val="auto"/>
          <w:sz w:val="24"/>
          <w:szCs w:val="24"/>
        </w:rPr>
        <w:t>.4.1发包人供应的材料设备的保管费用的承担：</w:t>
      </w:r>
      <w:r>
        <w:rPr>
          <w:rFonts w:hint="eastAsia" w:ascii="仿宋" w:hAnsi="仿宋" w:eastAsia="仿宋" w:cs="仿宋"/>
          <w:color w:val="auto"/>
          <w:sz w:val="24"/>
          <w:szCs w:val="24"/>
          <w:u w:val="single"/>
        </w:rPr>
        <w:t xml:space="preserve">   由承包人承担，费用含在合同价中    </w:t>
      </w:r>
      <w:r>
        <w:rPr>
          <w:rFonts w:hint="eastAsia" w:ascii="仿宋" w:hAnsi="仿宋" w:eastAsia="仿宋" w:cs="仿宋"/>
          <w:color w:val="auto"/>
          <w:sz w:val="24"/>
          <w:szCs w:val="24"/>
        </w:rPr>
        <w:t>。</w:t>
      </w:r>
      <w:bookmarkEnd w:id="961"/>
      <w:bookmarkEnd w:id="962"/>
    </w:p>
    <w:p w14:paraId="2FED300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8.6 样品</w:t>
      </w:r>
    </w:p>
    <w:p w14:paraId="038CA42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8.6.1</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样品的报送与封存</w:t>
      </w:r>
    </w:p>
    <w:p w14:paraId="6287D99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需要承包人报送样品的材料或工程设备，样品的种类、名称、规格、数量要求：</w:t>
      </w:r>
      <w:r>
        <w:rPr>
          <w:rFonts w:hint="eastAsia" w:ascii="仿宋" w:hAnsi="仿宋" w:eastAsia="仿宋" w:cs="仿宋"/>
          <w:color w:val="auto"/>
          <w:sz w:val="24"/>
          <w:szCs w:val="24"/>
          <w:u w:val="single"/>
        </w:rPr>
        <w:t xml:space="preserve">  按管理部门要求和发包人需求确定    </w:t>
      </w:r>
      <w:r>
        <w:rPr>
          <w:rFonts w:hint="eastAsia" w:ascii="仿宋" w:hAnsi="仿宋" w:eastAsia="仿宋" w:cs="仿宋"/>
          <w:color w:val="auto"/>
          <w:sz w:val="24"/>
          <w:szCs w:val="24"/>
        </w:rPr>
        <w:t>。</w:t>
      </w:r>
    </w:p>
    <w:p w14:paraId="42A9A31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8.8 施工设备和临时设施</w:t>
      </w:r>
    </w:p>
    <w:p w14:paraId="6507EFD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8.8.1 承包人提供的施工设备和临时设施</w:t>
      </w:r>
    </w:p>
    <w:p w14:paraId="1E724EE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关于修建临时设施费用承担的约定：</w:t>
      </w:r>
      <w:r>
        <w:rPr>
          <w:rFonts w:hint="eastAsia" w:ascii="仿宋" w:hAnsi="仿宋" w:eastAsia="仿宋" w:cs="仿宋"/>
          <w:color w:val="auto"/>
          <w:sz w:val="24"/>
          <w:szCs w:val="24"/>
          <w:u w:val="single"/>
        </w:rPr>
        <w:t xml:space="preserve">  由承包人承担，费用包含在合同价中   </w:t>
      </w:r>
      <w:r>
        <w:rPr>
          <w:rFonts w:hint="eastAsia" w:ascii="仿宋" w:hAnsi="仿宋" w:eastAsia="仿宋" w:cs="仿宋"/>
          <w:color w:val="auto"/>
          <w:sz w:val="24"/>
          <w:szCs w:val="24"/>
        </w:rPr>
        <w:t>。</w:t>
      </w:r>
    </w:p>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14:paraId="2FCBB423">
      <w:pPr>
        <w:pStyle w:val="5"/>
        <w:pageBreakBefore w:val="0"/>
        <w:kinsoku/>
        <w:overflowPunct/>
        <w:topLinePunct w:val="0"/>
        <w:bidi w:val="0"/>
        <w:spacing w:line="440" w:lineRule="exact"/>
        <w:rPr>
          <w:rFonts w:hint="eastAsia" w:ascii="仿宋" w:hAnsi="仿宋" w:eastAsia="仿宋" w:cs="仿宋"/>
          <w:color w:val="auto"/>
          <w:sz w:val="24"/>
          <w:szCs w:val="24"/>
        </w:rPr>
      </w:pPr>
      <w:bookmarkStart w:id="979" w:name="_Toc351203641"/>
      <w:r>
        <w:rPr>
          <w:rFonts w:hint="eastAsia" w:ascii="仿宋" w:hAnsi="仿宋" w:eastAsia="仿宋" w:cs="仿宋"/>
          <w:color w:val="auto"/>
          <w:sz w:val="24"/>
          <w:szCs w:val="24"/>
        </w:rPr>
        <w:t>9</w:t>
      </w:r>
      <w:bookmarkEnd w:id="958"/>
      <w:bookmarkEnd w:id="959"/>
      <w:bookmarkEnd w:id="960"/>
      <w:bookmarkStart w:id="980" w:name="_Toc297216192"/>
      <w:bookmarkStart w:id="981" w:name="_Toc312678021"/>
      <w:bookmarkStart w:id="982" w:name="_Toc297123533"/>
      <w:bookmarkStart w:id="983" w:name="_Toc300934982"/>
      <w:bookmarkStart w:id="984" w:name="_Toc303539139"/>
      <w:bookmarkStart w:id="985" w:name="_Toc304295559"/>
      <w:bookmarkStart w:id="986" w:name="_Toc312677495"/>
      <w:bookmarkStart w:id="987" w:name="_Toc296944512"/>
      <w:bookmarkStart w:id="988" w:name="_Toc296891213"/>
      <w:bookmarkStart w:id="989" w:name="_Toc296503173"/>
      <w:bookmarkStart w:id="990" w:name="_Toc267251428"/>
      <w:bookmarkStart w:id="991" w:name="_Toc296346674"/>
      <w:bookmarkStart w:id="992" w:name="_Toc296347172"/>
      <w:bookmarkStart w:id="993" w:name="_Toc292559883"/>
      <w:bookmarkStart w:id="994" w:name="_Toc292559378"/>
      <w:bookmarkStart w:id="995" w:name="_Toc297120473"/>
      <w:bookmarkStart w:id="996" w:name="_Toc296891001"/>
      <w:bookmarkStart w:id="997" w:name="_Toc297048359"/>
      <w:bookmarkStart w:id="998" w:name="_Toc267251427"/>
      <w:r>
        <w:rPr>
          <w:rFonts w:hint="eastAsia" w:ascii="仿宋" w:hAnsi="仿宋" w:eastAsia="仿宋" w:cs="仿宋"/>
          <w:color w:val="auto"/>
          <w:sz w:val="24"/>
          <w:szCs w:val="24"/>
        </w:rPr>
        <w:t>. 试验与检验</w:t>
      </w:r>
      <w:bookmarkEnd w:id="979"/>
    </w:p>
    <w:bookmarkEnd w:id="980"/>
    <w:bookmarkEnd w:id="981"/>
    <w:bookmarkEnd w:id="982"/>
    <w:bookmarkEnd w:id="983"/>
    <w:bookmarkEnd w:id="984"/>
    <w:bookmarkEnd w:id="985"/>
    <w:bookmarkEnd w:id="986"/>
    <w:p w14:paraId="11E3D6C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9</w:t>
      </w:r>
      <w:bookmarkStart w:id="999" w:name="_Toc300934983"/>
      <w:bookmarkStart w:id="1000" w:name="_Toc304295560"/>
      <w:bookmarkStart w:id="1001" w:name="_Toc303539140"/>
      <w:bookmarkStart w:id="1002" w:name="_Toc312677496"/>
      <w:bookmarkStart w:id="1003" w:name="_Toc297216193"/>
      <w:bookmarkStart w:id="1004" w:name="_Toc312678022"/>
      <w:bookmarkStart w:id="1005" w:name="_Toc297123534"/>
      <w:r>
        <w:rPr>
          <w:rFonts w:hint="eastAsia" w:ascii="仿宋" w:hAnsi="仿宋" w:eastAsia="仿宋" w:cs="仿宋"/>
          <w:color w:val="auto"/>
          <w:sz w:val="24"/>
          <w:szCs w:val="24"/>
        </w:rPr>
        <w:t>.1试验设备与试验人员</w:t>
      </w:r>
    </w:p>
    <w:bookmarkEnd w:id="999"/>
    <w:bookmarkEnd w:id="1000"/>
    <w:bookmarkEnd w:id="1001"/>
    <w:bookmarkEnd w:id="1002"/>
    <w:bookmarkEnd w:id="1003"/>
    <w:bookmarkEnd w:id="1004"/>
    <w:bookmarkEnd w:id="1005"/>
    <w:p w14:paraId="2041C9A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9</w:t>
      </w:r>
      <w:bookmarkStart w:id="1006" w:name="_Toc304295561"/>
      <w:bookmarkStart w:id="1007" w:name="_Toc297123535"/>
      <w:bookmarkStart w:id="1008" w:name="_Toc303539141"/>
      <w:bookmarkStart w:id="1009" w:name="_Toc300934984"/>
      <w:bookmarkStart w:id="1010" w:name="_Toc312678023"/>
      <w:bookmarkStart w:id="1011" w:name="_Toc312677497"/>
      <w:bookmarkStart w:id="1012" w:name="_Toc297216194"/>
      <w:bookmarkStart w:id="1013" w:name="_Toc318581174"/>
      <w:r>
        <w:rPr>
          <w:rFonts w:hint="eastAsia" w:ascii="仿宋" w:hAnsi="仿宋" w:eastAsia="仿宋" w:cs="仿宋"/>
          <w:color w:val="auto"/>
          <w:sz w:val="24"/>
          <w:szCs w:val="24"/>
        </w:rPr>
        <w:t>.1.2 试验设备</w:t>
      </w:r>
    </w:p>
    <w:p w14:paraId="552C570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施工现场需要配置的试验场所：</w:t>
      </w:r>
      <w:bookmarkEnd w:id="1006"/>
      <w:bookmarkEnd w:id="1007"/>
      <w:bookmarkEnd w:id="1008"/>
      <w:bookmarkEnd w:id="1009"/>
      <w:bookmarkEnd w:id="1010"/>
      <w:bookmarkEnd w:id="1011"/>
      <w:bookmarkEnd w:id="1012"/>
      <w:bookmarkStart w:id="1014" w:name="_Toc312678024"/>
      <w:bookmarkStart w:id="1015" w:name="_Toc297123536"/>
      <w:bookmarkStart w:id="1016" w:name="_Toc297216195"/>
      <w:bookmarkStart w:id="1017" w:name="_Toc300934985"/>
      <w:bookmarkStart w:id="1018" w:name="_Toc303539142"/>
      <w:bookmarkStart w:id="1019" w:name="_Toc312677498"/>
      <w:bookmarkStart w:id="1020" w:name="_Toc304295562"/>
      <w:r>
        <w:rPr>
          <w:rFonts w:hint="eastAsia" w:ascii="仿宋" w:hAnsi="仿宋" w:eastAsia="仿宋" w:cs="仿宋"/>
          <w:color w:val="auto"/>
          <w:sz w:val="24"/>
          <w:szCs w:val="24"/>
          <w:u w:val="single"/>
        </w:rPr>
        <w:t xml:space="preserve">   按通用条款执行     </w:t>
      </w:r>
      <w:r>
        <w:rPr>
          <w:rFonts w:hint="eastAsia" w:ascii="仿宋" w:hAnsi="仿宋" w:eastAsia="仿宋" w:cs="仿宋"/>
          <w:color w:val="auto"/>
          <w:sz w:val="24"/>
          <w:szCs w:val="24"/>
        </w:rPr>
        <w:t xml:space="preserve">。 </w:t>
      </w:r>
    </w:p>
    <w:p w14:paraId="11182A5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施工现场需要配备的试验设备：</w:t>
      </w:r>
      <w:r>
        <w:rPr>
          <w:rFonts w:hint="eastAsia" w:ascii="仿宋" w:hAnsi="仿宋" w:eastAsia="仿宋" w:cs="仿宋"/>
          <w:color w:val="auto"/>
          <w:sz w:val="24"/>
          <w:szCs w:val="24"/>
          <w:u w:val="single"/>
        </w:rPr>
        <w:t xml:space="preserve">  由承包人自行解决   </w:t>
      </w:r>
      <w:r>
        <w:rPr>
          <w:rFonts w:hint="eastAsia" w:ascii="仿宋" w:hAnsi="仿宋" w:eastAsia="仿宋" w:cs="仿宋"/>
          <w:color w:val="auto"/>
          <w:sz w:val="24"/>
          <w:szCs w:val="24"/>
        </w:rPr>
        <w:t>。</w:t>
      </w:r>
    </w:p>
    <w:p w14:paraId="3E23131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施工现场需要具备的其他试验条件：</w:t>
      </w:r>
      <w:r>
        <w:rPr>
          <w:rFonts w:hint="eastAsia" w:ascii="仿宋" w:hAnsi="仿宋" w:eastAsia="仿宋" w:cs="仿宋"/>
          <w:color w:val="auto"/>
          <w:sz w:val="24"/>
          <w:szCs w:val="24"/>
          <w:u w:val="single"/>
        </w:rPr>
        <w:t xml:space="preserve">  由承包人自行解决    </w:t>
      </w:r>
      <w:r>
        <w:rPr>
          <w:rFonts w:hint="eastAsia" w:ascii="仿宋" w:hAnsi="仿宋" w:eastAsia="仿宋" w:cs="仿宋"/>
          <w:color w:val="auto"/>
          <w:sz w:val="24"/>
          <w:szCs w:val="24"/>
        </w:rPr>
        <w:t>。</w:t>
      </w:r>
    </w:p>
    <w:p w14:paraId="4A599B1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9.4 现场工艺试验 </w:t>
      </w:r>
    </w:p>
    <w:p w14:paraId="13D59EB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现场工艺试验的有关约定：</w:t>
      </w:r>
      <w:r>
        <w:rPr>
          <w:rFonts w:hint="eastAsia" w:ascii="仿宋" w:hAnsi="仿宋" w:eastAsia="仿宋" w:cs="仿宋"/>
          <w:color w:val="auto"/>
          <w:sz w:val="24"/>
          <w:szCs w:val="24"/>
          <w:u w:val="single"/>
        </w:rPr>
        <w:t xml:space="preserve">  按通用条款执行  </w:t>
      </w:r>
      <w:r>
        <w:rPr>
          <w:rFonts w:hint="eastAsia" w:ascii="仿宋" w:hAnsi="仿宋" w:eastAsia="仿宋" w:cs="仿宋"/>
          <w:color w:val="auto"/>
          <w:sz w:val="24"/>
          <w:szCs w:val="24"/>
        </w:rPr>
        <w:t>。</w:t>
      </w:r>
    </w:p>
    <w:bookmarkEnd w:id="1013"/>
    <w:bookmarkEnd w:id="1014"/>
    <w:bookmarkEnd w:id="1015"/>
    <w:bookmarkEnd w:id="1016"/>
    <w:bookmarkEnd w:id="1017"/>
    <w:bookmarkEnd w:id="1018"/>
    <w:bookmarkEnd w:id="1019"/>
    <w:bookmarkEnd w:id="1020"/>
    <w:p w14:paraId="4D2D9D6B">
      <w:pPr>
        <w:pStyle w:val="5"/>
        <w:pageBreakBefore w:val="0"/>
        <w:kinsoku/>
        <w:overflowPunct/>
        <w:topLinePunct w:val="0"/>
        <w:bidi w:val="0"/>
        <w:spacing w:line="440" w:lineRule="exact"/>
        <w:rPr>
          <w:rFonts w:hint="eastAsia" w:ascii="仿宋" w:hAnsi="仿宋" w:eastAsia="仿宋" w:cs="仿宋"/>
          <w:color w:val="auto"/>
          <w:sz w:val="24"/>
          <w:szCs w:val="24"/>
        </w:rPr>
      </w:pPr>
      <w:bookmarkStart w:id="1021" w:name="_Toc351203642"/>
      <w:r>
        <w:rPr>
          <w:rFonts w:hint="eastAsia" w:ascii="仿宋" w:hAnsi="仿宋" w:eastAsia="仿宋" w:cs="仿宋"/>
          <w:color w:val="auto"/>
          <w:sz w:val="24"/>
          <w:szCs w:val="24"/>
        </w:rPr>
        <w:t>1</w:t>
      </w:r>
      <w:bookmarkEnd w:id="987"/>
      <w:bookmarkEnd w:id="988"/>
      <w:bookmarkEnd w:id="989"/>
      <w:bookmarkEnd w:id="990"/>
      <w:bookmarkEnd w:id="991"/>
      <w:bookmarkEnd w:id="992"/>
      <w:bookmarkEnd w:id="993"/>
      <w:bookmarkEnd w:id="994"/>
      <w:bookmarkEnd w:id="995"/>
      <w:bookmarkEnd w:id="996"/>
      <w:bookmarkEnd w:id="997"/>
      <w:bookmarkEnd w:id="998"/>
      <w:bookmarkStart w:id="1022" w:name="_Toc296503193"/>
      <w:bookmarkStart w:id="1023" w:name="_Toc292559903"/>
      <w:bookmarkStart w:id="1024" w:name="_Toc296891233"/>
      <w:bookmarkStart w:id="1025" w:name="_Toc296891021"/>
      <w:bookmarkStart w:id="1026" w:name="_Toc300934989"/>
      <w:bookmarkStart w:id="1027" w:name="_Toc296347192"/>
      <w:bookmarkStart w:id="1028" w:name="_Toc297216199"/>
      <w:bookmarkStart w:id="1029" w:name="_Toc304295566"/>
      <w:bookmarkStart w:id="1030" w:name="_Toc297048379"/>
      <w:bookmarkStart w:id="1031" w:name="_Toc303539146"/>
      <w:bookmarkStart w:id="1032" w:name="_Toc297123540"/>
      <w:bookmarkStart w:id="1033" w:name="_Toc297120493"/>
      <w:bookmarkStart w:id="1034" w:name="_Toc292559398"/>
      <w:bookmarkStart w:id="1035" w:name="_Toc296346694"/>
      <w:bookmarkStart w:id="1036" w:name="_Toc296944532"/>
      <w:bookmarkStart w:id="1037" w:name="_Toc312678025"/>
      <w:bookmarkStart w:id="1038" w:name="_Toc312677499"/>
      <w:bookmarkStart w:id="1039" w:name="_Toc267251435"/>
      <w:bookmarkStart w:id="1040" w:name="_Toc267251437"/>
      <w:bookmarkStart w:id="1041" w:name="_Toc267251439"/>
      <w:bookmarkStart w:id="1042" w:name="_Toc267251440"/>
      <w:bookmarkStart w:id="1043" w:name="_Toc267251441"/>
      <w:bookmarkStart w:id="1044" w:name="_Toc267251433"/>
      <w:bookmarkStart w:id="1045" w:name="_Toc267251442"/>
      <w:r>
        <w:rPr>
          <w:rFonts w:hint="eastAsia" w:ascii="仿宋" w:hAnsi="仿宋" w:eastAsia="仿宋" w:cs="仿宋"/>
          <w:color w:val="auto"/>
          <w:sz w:val="24"/>
          <w:szCs w:val="24"/>
        </w:rPr>
        <w:t>0. 变更</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bookmarkEnd w:id="1037"/>
    <w:bookmarkEnd w:id="1038"/>
    <w:p w14:paraId="6F15CE2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bookmarkStart w:id="1046" w:name="_Toc312678026"/>
      <w:bookmarkStart w:id="1047" w:name="_Toc304295567"/>
      <w:bookmarkStart w:id="1048" w:name="_Toc297123541"/>
      <w:bookmarkStart w:id="1049" w:name="_Toc300934990"/>
      <w:bookmarkStart w:id="1050" w:name="_Toc297120494"/>
      <w:bookmarkStart w:id="1051" w:name="_Toc312677500"/>
      <w:bookmarkStart w:id="1052" w:name="_Toc296891022"/>
      <w:bookmarkStart w:id="1053" w:name="_Toc296944533"/>
      <w:bookmarkStart w:id="1054" w:name="_Toc296347193"/>
      <w:bookmarkStart w:id="1055" w:name="_Toc292559399"/>
      <w:bookmarkStart w:id="1056" w:name="_Toc297048380"/>
      <w:bookmarkStart w:id="1057" w:name="_Toc296891234"/>
      <w:bookmarkStart w:id="1058" w:name="_Toc296503194"/>
      <w:bookmarkStart w:id="1059" w:name="_Toc296346695"/>
      <w:bookmarkStart w:id="1060" w:name="_Toc292559904"/>
      <w:bookmarkStart w:id="1061" w:name="_Toc297216200"/>
      <w:bookmarkStart w:id="1062" w:name="_Toc303539147"/>
      <w:r>
        <w:rPr>
          <w:rFonts w:hint="eastAsia" w:ascii="仿宋" w:hAnsi="仿宋" w:eastAsia="仿宋" w:cs="仿宋"/>
          <w:color w:val="auto"/>
          <w:sz w:val="24"/>
          <w:szCs w:val="24"/>
        </w:rPr>
        <w:t>0.1变更的范围</w:t>
      </w:r>
    </w:p>
    <w:p w14:paraId="6AB8016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关于变更的范围的约定：</w:t>
      </w:r>
      <w:r>
        <w:rPr>
          <w:rFonts w:hint="eastAsia" w:ascii="仿宋" w:hAnsi="仿宋" w:eastAsia="仿宋" w:cs="仿宋"/>
          <w:color w:val="auto"/>
          <w:sz w:val="24"/>
          <w:szCs w:val="24"/>
          <w:u w:val="single"/>
        </w:rPr>
        <w:t xml:space="preserve">  工程设计变更或因发包人原因增加的工程量确认需有设计、监理、发包人、承包人同时确定并加盖公章方可有效，否则无效  </w:t>
      </w:r>
      <w:r>
        <w:rPr>
          <w:rFonts w:hint="eastAsia" w:ascii="仿宋" w:hAnsi="仿宋" w:eastAsia="仿宋" w:cs="仿宋"/>
          <w:color w:val="auto"/>
          <w:sz w:val="24"/>
          <w:szCs w:val="24"/>
        </w:rPr>
        <w:t>。</w:t>
      </w:r>
    </w:p>
    <w:p w14:paraId="0A3BFF8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10.4 变更估价</w:t>
      </w:r>
    </w:p>
    <w:p w14:paraId="2E79B76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10.4.1 变更估价原则</w:t>
      </w:r>
    </w:p>
    <w:p w14:paraId="0E83D02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关于变更估价的约定: </w:t>
      </w:r>
      <w:r>
        <w:rPr>
          <w:rFonts w:hint="eastAsia" w:ascii="仿宋" w:hAnsi="仿宋" w:eastAsia="仿宋" w:cs="仿宋"/>
          <w:color w:val="auto"/>
          <w:sz w:val="24"/>
          <w:szCs w:val="24"/>
          <w:u w:val="single"/>
        </w:rPr>
        <w:t xml:space="preserve">  （1）已标价工程量清单中有适用于变更工程项目的，应采用该项目的单价；但当工程变更导致该清单项目的工程数量发生变化，且工程量偏差超过 15%时，该项目执行详见 1.13 条工程量清单错误的修正。</w:t>
      </w:r>
    </w:p>
    <w:p w14:paraId="1D59BB0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（2）已标价工程量清单中没有适用但有类似于变更工程项目的，可在合理范围内参照类似项目的单价。</w:t>
      </w:r>
    </w:p>
    <w:p w14:paraId="35C4525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3）已标价工程量清单中没有适用也没有类似于变更工程项目的，应由承包人提出，监理工程师审核，其相应部分的变更造价根据变更工程资料、计量规则和现行的相关定额、本地区的估价表，工程造价管理机构发布的信息价格和承包人报价浮动率提出变更工程项目的单价，并应报发包人确认后调整。承包人报价浮动率可按下列公式计算：招标工程：承包人报价浮动 L＝（1－中标价／招标控制价）×100%。 </w:t>
      </w:r>
      <w:r>
        <w:rPr>
          <w:rFonts w:hint="eastAsia" w:ascii="仿宋" w:hAnsi="仿宋" w:eastAsia="仿宋" w:cs="仿宋"/>
          <w:color w:val="auto"/>
          <w:sz w:val="24"/>
          <w:szCs w:val="24"/>
        </w:rPr>
        <w:t>。</w:t>
      </w:r>
    </w:p>
    <w:p w14:paraId="6C18162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Start w:id="1063" w:name="_Toc296503197"/>
      <w:bookmarkStart w:id="1064" w:name="_Toc303539150"/>
      <w:bookmarkStart w:id="1065" w:name="_Toc296891237"/>
      <w:bookmarkStart w:id="1066" w:name="_Toc292559402"/>
      <w:bookmarkStart w:id="1067" w:name="_Toc296891025"/>
      <w:bookmarkStart w:id="1068" w:name="_Toc297048383"/>
      <w:bookmarkStart w:id="1069" w:name="_Toc296347196"/>
      <w:bookmarkStart w:id="1070" w:name="_Toc297120497"/>
      <w:bookmarkStart w:id="1071" w:name="_Toc292559907"/>
      <w:bookmarkStart w:id="1072" w:name="_Toc297216203"/>
      <w:bookmarkStart w:id="1073" w:name="_Toc300934993"/>
      <w:bookmarkStart w:id="1074" w:name="_Toc296944536"/>
      <w:bookmarkStart w:id="1075" w:name="_Toc296346698"/>
      <w:bookmarkStart w:id="1076" w:name="_Toc297123544"/>
      <w:bookmarkStart w:id="1077" w:name="_Toc312677503"/>
      <w:bookmarkStart w:id="1078" w:name="_Toc304295570"/>
      <w:bookmarkStart w:id="1079" w:name="_Toc312678029"/>
      <w:r>
        <w:rPr>
          <w:rFonts w:hint="eastAsia" w:ascii="仿宋" w:hAnsi="仿宋" w:eastAsia="仿宋" w:cs="仿宋"/>
          <w:color w:val="auto"/>
          <w:sz w:val="24"/>
          <w:szCs w:val="24"/>
        </w:rPr>
        <w:t>0.5承</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Start w:id="1080" w:name="_Toc297123545"/>
      <w:bookmarkStart w:id="1081" w:name="_Toc296891243"/>
      <w:bookmarkStart w:id="1082" w:name="_Toc296346704"/>
      <w:bookmarkStart w:id="1083" w:name="_Toc297120503"/>
      <w:bookmarkStart w:id="1084" w:name="_Toc296944542"/>
      <w:bookmarkStart w:id="1085" w:name="_Toc303539151"/>
      <w:bookmarkStart w:id="1086" w:name="_Toc296891031"/>
      <w:bookmarkStart w:id="1087" w:name="_Toc297216204"/>
      <w:bookmarkStart w:id="1088" w:name="_Toc292559913"/>
      <w:bookmarkStart w:id="1089" w:name="_Toc292559408"/>
      <w:bookmarkStart w:id="1090" w:name="_Toc300934994"/>
      <w:bookmarkStart w:id="1091" w:name="_Toc296347202"/>
      <w:bookmarkStart w:id="1092" w:name="_Toc297048389"/>
      <w:bookmarkStart w:id="1093" w:name="_Toc296503203"/>
      <w:r>
        <w:rPr>
          <w:rFonts w:hint="eastAsia" w:ascii="仿宋" w:hAnsi="仿宋" w:eastAsia="仿宋" w:cs="仿宋"/>
          <w:color w:val="auto"/>
          <w:sz w:val="24"/>
          <w:szCs w:val="24"/>
        </w:rPr>
        <w:t>包人的合理化建议</w:t>
      </w:r>
    </w:p>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14:paraId="5D746B8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监理人审查承包人合理化建议的期限：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32B8E3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发包人审批承包人合理化建议的期限：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783431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承</w:t>
      </w:r>
      <w:bookmarkStart w:id="1094" w:name="_Toc296944543"/>
      <w:bookmarkStart w:id="1095" w:name="_Toc297216205"/>
      <w:bookmarkStart w:id="1096" w:name="_Toc296891032"/>
      <w:bookmarkStart w:id="1097" w:name="_Toc304295571"/>
      <w:bookmarkStart w:id="1098" w:name="_Toc296891244"/>
      <w:bookmarkStart w:id="1099" w:name="_Toc312678030"/>
      <w:bookmarkStart w:id="1100" w:name="_Toc303539152"/>
      <w:bookmarkStart w:id="1101" w:name="_Toc297120504"/>
      <w:bookmarkStart w:id="1102" w:name="_Toc292559914"/>
      <w:bookmarkStart w:id="1103" w:name="_Toc292559409"/>
      <w:bookmarkStart w:id="1104" w:name="_Toc300934995"/>
      <w:bookmarkStart w:id="1105" w:name="_Toc318581175"/>
      <w:bookmarkStart w:id="1106" w:name="_Toc296347203"/>
      <w:bookmarkStart w:id="1107" w:name="_Toc296503204"/>
      <w:bookmarkStart w:id="1108" w:name="_Toc297048390"/>
      <w:bookmarkStart w:id="1109" w:name="_Toc296346705"/>
      <w:bookmarkStart w:id="1110" w:name="_Toc297123546"/>
      <w:bookmarkStart w:id="1111" w:name="_Toc312677504"/>
      <w:r>
        <w:rPr>
          <w:rFonts w:hint="eastAsia" w:ascii="仿宋" w:hAnsi="仿宋" w:eastAsia="仿宋" w:cs="仿宋"/>
          <w:color w:val="auto"/>
          <w:sz w:val="24"/>
          <w:szCs w:val="24"/>
        </w:rPr>
        <w:t>包人提出的合理化建议降低了合同价格或者提高了工程经济效益的奖励的方法和金额为：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14:paraId="5D6983C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bookmarkStart w:id="1112" w:name="_Toc297123548"/>
      <w:bookmarkStart w:id="1113" w:name="_Toc312677507"/>
      <w:bookmarkStart w:id="1114" w:name="_Toc292559404"/>
      <w:bookmarkStart w:id="1115" w:name="_Toc300934997"/>
      <w:bookmarkStart w:id="1116" w:name="_Toc304295574"/>
      <w:bookmarkStart w:id="1117" w:name="_Toc296503199"/>
      <w:bookmarkStart w:id="1118" w:name="_Toc312678033"/>
      <w:bookmarkStart w:id="1119" w:name="_Toc296944538"/>
      <w:bookmarkStart w:id="1120" w:name="_Toc303539154"/>
      <w:bookmarkStart w:id="1121" w:name="_Toc297048385"/>
      <w:bookmarkStart w:id="1122" w:name="_Toc297216207"/>
      <w:bookmarkStart w:id="1123" w:name="_Toc296891239"/>
      <w:bookmarkStart w:id="1124" w:name="_Toc296346700"/>
      <w:bookmarkStart w:id="1125" w:name="_Toc296891027"/>
      <w:bookmarkStart w:id="1126" w:name="_Toc296347198"/>
      <w:bookmarkStart w:id="1127" w:name="_Toc297120499"/>
      <w:bookmarkStart w:id="1128" w:name="_Toc292559909"/>
      <w:r>
        <w:rPr>
          <w:rFonts w:hint="eastAsia" w:ascii="仿宋" w:hAnsi="仿宋" w:eastAsia="仿宋" w:cs="仿宋"/>
          <w:color w:val="auto"/>
          <w:sz w:val="24"/>
          <w:szCs w:val="24"/>
        </w:rPr>
        <w:t>0.7 暂估价</w:t>
      </w:r>
    </w:p>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14:paraId="619508D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暂</w:t>
      </w:r>
      <w:bookmarkStart w:id="1129" w:name="_Toc318581176"/>
      <w:bookmarkStart w:id="1130" w:name="_Toc312677508"/>
      <w:bookmarkStart w:id="1131" w:name="_Toc312678034"/>
      <w:r>
        <w:rPr>
          <w:rFonts w:hint="eastAsia" w:ascii="仿宋" w:hAnsi="仿宋" w:eastAsia="仿宋" w:cs="仿宋"/>
          <w:color w:val="auto"/>
          <w:kern w:val="0"/>
          <w:sz w:val="24"/>
          <w:szCs w:val="24"/>
        </w:rPr>
        <w:t>估价材料和工程设备的明细详见附件11：《</w:t>
      </w:r>
      <w:r>
        <w:rPr>
          <w:rFonts w:hint="eastAsia" w:ascii="仿宋" w:hAnsi="仿宋" w:eastAsia="仿宋" w:cs="仿宋"/>
          <w:color w:val="auto"/>
          <w:sz w:val="24"/>
          <w:szCs w:val="24"/>
        </w:rPr>
        <w:t>暂估价一览表》</w:t>
      </w:r>
      <w:r>
        <w:rPr>
          <w:rFonts w:hint="eastAsia" w:ascii="仿宋" w:hAnsi="仿宋" w:eastAsia="仿宋" w:cs="仿宋"/>
          <w:color w:val="auto"/>
          <w:kern w:val="0"/>
          <w:sz w:val="24"/>
          <w:szCs w:val="24"/>
        </w:rPr>
        <w:t>。</w:t>
      </w:r>
    </w:p>
    <w:bookmarkEnd w:id="1129"/>
    <w:bookmarkEnd w:id="1130"/>
    <w:bookmarkEnd w:id="1131"/>
    <w:p w14:paraId="7F0425F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bookmarkStart w:id="1132" w:name="_Toc312677509"/>
      <w:bookmarkStart w:id="1133" w:name="_Toc312678035"/>
      <w:bookmarkStart w:id="1134" w:name="_Toc318581177"/>
      <w:r>
        <w:rPr>
          <w:rFonts w:hint="eastAsia" w:ascii="仿宋" w:hAnsi="仿宋" w:eastAsia="仿宋" w:cs="仿宋"/>
          <w:color w:val="auto"/>
          <w:sz w:val="24"/>
          <w:szCs w:val="24"/>
        </w:rPr>
        <w:t>0.7.1 依法必须招标的暂估价项目</w:t>
      </w:r>
    </w:p>
    <w:bookmarkEnd w:id="1132"/>
    <w:bookmarkEnd w:id="1133"/>
    <w:bookmarkEnd w:id="1134"/>
    <w:p w14:paraId="14DCBC7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对于依法必须招标的暂估价项目的确认和批准采取第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种方式确定。</w:t>
      </w:r>
    </w:p>
    <w:p w14:paraId="76AC0ED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10.7.2 不属于依法必须招标的暂估价项目</w:t>
      </w:r>
    </w:p>
    <w:p w14:paraId="291CB57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对于不属于依法必须招标的暂估价项目的确认和批准采取第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种方式确定。</w:t>
      </w:r>
    </w:p>
    <w:p w14:paraId="34449ED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第3种方式：</w:t>
      </w:r>
      <w:r>
        <w:rPr>
          <w:rFonts w:hint="eastAsia" w:ascii="仿宋" w:hAnsi="仿宋" w:eastAsia="仿宋" w:cs="仿宋"/>
          <w:color w:val="auto"/>
          <w:kern w:val="0"/>
          <w:sz w:val="24"/>
          <w:szCs w:val="24"/>
        </w:rPr>
        <w:t>承包人直接实施的暂估价项目</w:t>
      </w:r>
    </w:p>
    <w:p w14:paraId="3615817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承包人直接实施的暂估价项目的约定：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D2D307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10.8 暂列金额</w:t>
      </w:r>
    </w:p>
    <w:p w14:paraId="7249E4D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合同当事人关于暂列金额使用的约定：</w:t>
      </w:r>
      <w:r>
        <w:rPr>
          <w:rFonts w:hint="eastAsia" w:ascii="仿宋" w:hAnsi="仿宋" w:eastAsia="仿宋" w:cs="仿宋"/>
          <w:color w:val="auto"/>
          <w:sz w:val="24"/>
          <w:szCs w:val="24"/>
          <w:u w:val="single"/>
        </w:rPr>
        <w:t xml:space="preserve">  暂列金是指发包人为可能发生工程变更而暂列的金额，包括因发包人提供的工程量清单漏项、清单有误引起的工程数量增加和施工过程中设计变更引起新的清单项目或工程数量增加等需要增加的金额。暂列金是招标人自行确定设立的，承包商无权使用此笔费用。此费用按实际发生经招标人签证后确定全部使用、部分使用或不使用。暂列金不计入工程款付款的基数 </w:t>
      </w:r>
      <w:r>
        <w:rPr>
          <w:rFonts w:hint="eastAsia" w:ascii="仿宋" w:hAnsi="仿宋" w:eastAsia="仿宋" w:cs="仿宋"/>
          <w:color w:val="auto"/>
          <w:kern w:val="0"/>
          <w:sz w:val="24"/>
          <w:szCs w:val="24"/>
        </w:rPr>
        <w:t>。</w:t>
      </w:r>
    </w:p>
    <w:p w14:paraId="07A2AF95">
      <w:pPr>
        <w:pStyle w:val="5"/>
        <w:pageBreakBefore w:val="0"/>
        <w:kinsoku/>
        <w:overflowPunct/>
        <w:topLinePunct w:val="0"/>
        <w:bidi w:val="0"/>
        <w:spacing w:line="440" w:lineRule="exact"/>
        <w:rPr>
          <w:rFonts w:hint="eastAsia" w:ascii="仿宋" w:hAnsi="仿宋" w:eastAsia="仿宋" w:cs="仿宋"/>
          <w:color w:val="auto"/>
          <w:sz w:val="24"/>
          <w:szCs w:val="24"/>
        </w:rPr>
      </w:pPr>
      <w:bookmarkStart w:id="1135" w:name="_Toc351203643"/>
      <w:r>
        <w:rPr>
          <w:rFonts w:hint="eastAsia" w:ascii="仿宋" w:hAnsi="仿宋" w:eastAsia="仿宋" w:cs="仿宋"/>
          <w:color w:val="auto"/>
          <w:sz w:val="24"/>
          <w:szCs w:val="24"/>
        </w:rPr>
        <w:t>11. 价格调整</w:t>
      </w:r>
      <w:bookmarkEnd w:id="1135"/>
    </w:p>
    <w:p w14:paraId="6EA6077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bookmarkStart w:id="1136" w:name="_Toc312678039"/>
      <w:bookmarkStart w:id="1137" w:name="_Toc300935000"/>
      <w:bookmarkStart w:id="1138" w:name="_Toc297123550"/>
      <w:bookmarkStart w:id="1139" w:name="_Toc297048387"/>
      <w:bookmarkStart w:id="1140" w:name="_Toc296944540"/>
      <w:bookmarkStart w:id="1141" w:name="_Toc297216209"/>
      <w:bookmarkStart w:id="1142" w:name="_Toc292559406"/>
      <w:bookmarkStart w:id="1143" w:name="_Toc296891241"/>
      <w:bookmarkStart w:id="1144" w:name="_Toc297120501"/>
      <w:bookmarkStart w:id="1145" w:name="_Toc296346702"/>
      <w:bookmarkStart w:id="1146" w:name="_Toc296503201"/>
      <w:bookmarkStart w:id="1147" w:name="_Toc304295577"/>
      <w:bookmarkStart w:id="1148" w:name="_Toc292559911"/>
      <w:bookmarkStart w:id="1149" w:name="_Toc296891029"/>
      <w:bookmarkStart w:id="1150" w:name="_Toc303539157"/>
      <w:bookmarkStart w:id="1151" w:name="_Toc296347200"/>
      <w:r>
        <w:rPr>
          <w:rFonts w:hint="eastAsia" w:ascii="仿宋" w:hAnsi="仿宋" w:eastAsia="仿宋" w:cs="仿宋"/>
          <w:color w:val="auto"/>
          <w:sz w:val="24"/>
          <w:szCs w:val="24"/>
        </w:rPr>
        <w:t>11.1 市场价格波动引起的调整</w:t>
      </w:r>
    </w:p>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14:paraId="2C6C789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市场价格波动是否调整合同价格的约定：</w:t>
      </w:r>
      <w:r>
        <w:rPr>
          <w:rFonts w:hint="eastAsia" w:ascii="仿宋" w:hAnsi="仿宋" w:eastAsia="仿宋" w:cs="仿宋"/>
          <w:color w:val="auto"/>
          <w:sz w:val="24"/>
          <w:szCs w:val="24"/>
          <w:u w:val="single"/>
        </w:rPr>
        <w:t xml:space="preserve">    调整  </w:t>
      </w:r>
      <w:r>
        <w:rPr>
          <w:rFonts w:hint="eastAsia" w:ascii="仿宋" w:hAnsi="仿宋" w:eastAsia="仿宋" w:cs="仿宋"/>
          <w:color w:val="auto"/>
          <w:sz w:val="24"/>
          <w:szCs w:val="24"/>
        </w:rPr>
        <w:t>。</w:t>
      </w:r>
    </w:p>
    <w:p w14:paraId="73354E0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因市场价格波动调整合同价格，采用以下第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种方式对合同价格进行调整：</w:t>
      </w:r>
    </w:p>
    <w:p w14:paraId="2F8C156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第1种方式：采用价格指数进行价格调整。</w:t>
      </w:r>
    </w:p>
    <w:p w14:paraId="05B6C2F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关于各可调因子、定值和变值权重，以及基本价格指数及其来源的约定：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0548B7D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第2种方式：采用造价信息进行价格调整。</w:t>
      </w:r>
    </w:p>
    <w:p w14:paraId="1A52A11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（2）关于基准价格的约定：</w:t>
      </w:r>
      <w:r>
        <w:rPr>
          <w:rFonts w:hint="eastAsia" w:ascii="仿宋" w:hAnsi="仿宋" w:eastAsia="仿宋" w:cs="仿宋"/>
          <w:color w:val="auto"/>
          <w:sz w:val="24"/>
          <w:szCs w:val="24"/>
          <w:u w:val="single"/>
        </w:rPr>
        <w:t xml:space="preserve">   以投标截止之日前 28 天为基准日，昌吉州工程造价管理机构发布的最新造价信息为基准价，政府发布的信息价中没有的材料、设备价格不调整。基准价格仅作为调整单价的依据，不作为投标制定单价  </w:t>
      </w:r>
      <w:r>
        <w:rPr>
          <w:rFonts w:hint="eastAsia" w:ascii="仿宋" w:hAnsi="仿宋" w:eastAsia="仿宋" w:cs="仿宋"/>
          <w:color w:val="auto"/>
          <w:sz w:val="24"/>
          <w:szCs w:val="24"/>
        </w:rPr>
        <w:t>。</w:t>
      </w:r>
    </w:p>
    <w:p w14:paraId="07F4E05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%时，或材料单价跌幅以已标价工程量清单或预算书中载明材料单价为基础超过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%时，其超过部分据实调整。</w:t>
      </w:r>
    </w:p>
    <w:p w14:paraId="138920C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%时，材料单价涨幅以已标价工程量清单或预算书中载明材料单价为基础超过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%时，其超过部分据实调整。</w:t>
      </w:r>
    </w:p>
    <w:p w14:paraId="3EACA51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%时，其超过部分据实调整。</w:t>
      </w:r>
    </w:p>
    <w:p w14:paraId="668A5F4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第3种方式：其他价格调整方式：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1039"/>
    <w:bookmarkEnd w:id="1040"/>
    <w:bookmarkEnd w:id="1041"/>
    <w:bookmarkEnd w:id="1042"/>
    <w:bookmarkEnd w:id="1043"/>
    <w:bookmarkEnd w:id="1044"/>
    <w:p w14:paraId="6410BA36">
      <w:pPr>
        <w:pStyle w:val="5"/>
        <w:pageBreakBefore w:val="0"/>
        <w:kinsoku/>
        <w:overflowPunct/>
        <w:topLinePunct w:val="0"/>
        <w:bidi w:val="0"/>
        <w:spacing w:line="440" w:lineRule="exact"/>
        <w:rPr>
          <w:rFonts w:hint="eastAsia" w:ascii="仿宋" w:hAnsi="仿宋" w:eastAsia="仿宋" w:cs="仿宋"/>
          <w:color w:val="auto"/>
          <w:sz w:val="24"/>
          <w:szCs w:val="24"/>
        </w:rPr>
      </w:pPr>
      <w:bookmarkStart w:id="1152" w:name="_Toc296891033"/>
      <w:bookmarkStart w:id="1153" w:name="_Toc296503205"/>
      <w:bookmarkStart w:id="1154" w:name="_Toc296891245"/>
      <w:bookmarkStart w:id="1155" w:name="_Toc296944544"/>
      <w:bookmarkStart w:id="1156" w:name="_Toc297120505"/>
      <w:bookmarkStart w:id="1157" w:name="_Toc292559915"/>
      <w:bookmarkStart w:id="1158" w:name="_Toc296346706"/>
      <w:bookmarkStart w:id="1159" w:name="_Toc297048391"/>
      <w:bookmarkStart w:id="1160" w:name="_Toc292559410"/>
      <w:bookmarkStart w:id="1161" w:name="_Toc296347204"/>
      <w:bookmarkStart w:id="1162" w:name="_Toc351203644"/>
      <w:bookmarkStart w:id="1163" w:name="_Toc312678040"/>
      <w:bookmarkStart w:id="1164" w:name="_Toc297123552"/>
      <w:bookmarkStart w:id="1165" w:name="_Toc304295579"/>
      <w:bookmarkStart w:id="1166" w:name="_Toc297216211"/>
      <w:bookmarkStart w:id="1167" w:name="_Toc303539159"/>
      <w:bookmarkStart w:id="1168" w:name="_Toc300935002"/>
      <w:r>
        <w:rPr>
          <w:rFonts w:hint="eastAsia" w:ascii="仿宋" w:hAnsi="仿宋" w:eastAsia="仿宋" w:cs="仿宋"/>
          <w:color w:val="auto"/>
          <w:sz w:val="24"/>
          <w:szCs w:val="24"/>
        </w:rPr>
        <w:t xml:space="preserve">12. </w:t>
      </w:r>
      <w:bookmarkEnd w:id="1152"/>
      <w:bookmarkEnd w:id="1153"/>
      <w:bookmarkEnd w:id="1154"/>
      <w:bookmarkEnd w:id="1155"/>
      <w:bookmarkEnd w:id="1156"/>
      <w:bookmarkEnd w:id="1157"/>
      <w:bookmarkEnd w:id="1158"/>
      <w:bookmarkEnd w:id="1159"/>
      <w:bookmarkEnd w:id="1160"/>
      <w:bookmarkEnd w:id="1161"/>
      <w:r>
        <w:rPr>
          <w:rFonts w:hint="eastAsia" w:ascii="仿宋" w:hAnsi="仿宋" w:eastAsia="仿宋" w:cs="仿宋"/>
          <w:color w:val="auto"/>
          <w:sz w:val="24"/>
          <w:szCs w:val="24"/>
        </w:rPr>
        <w:t>合同价格、计量与支付</w:t>
      </w:r>
      <w:bookmarkEnd w:id="1162"/>
    </w:p>
    <w:bookmarkEnd w:id="1163"/>
    <w:bookmarkEnd w:id="1164"/>
    <w:bookmarkEnd w:id="1165"/>
    <w:bookmarkEnd w:id="1166"/>
    <w:bookmarkEnd w:id="1167"/>
    <w:bookmarkEnd w:id="1168"/>
    <w:p w14:paraId="1F9410B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bookmarkStart w:id="1169" w:name="_Toc292559916"/>
      <w:bookmarkStart w:id="1170" w:name="_Toc292559411"/>
      <w:bookmarkStart w:id="1171" w:name="_Toc267251461"/>
      <w:bookmarkStart w:id="1172" w:name="_Toc297120506"/>
      <w:bookmarkStart w:id="1173" w:name="_Toc296346707"/>
      <w:bookmarkStart w:id="1174" w:name="_Toc297048392"/>
      <w:bookmarkStart w:id="1175" w:name="_Toc296891246"/>
      <w:bookmarkStart w:id="1176" w:name="_Toc296891034"/>
      <w:bookmarkStart w:id="1177" w:name="_Toc296503206"/>
      <w:bookmarkStart w:id="1178" w:name="_Toc296347205"/>
      <w:bookmarkStart w:id="1179" w:name="_Toc296944545"/>
      <w:bookmarkStart w:id="1180" w:name="_Toc304295580"/>
      <w:bookmarkStart w:id="1181" w:name="_Toc297123553"/>
      <w:bookmarkStart w:id="1182" w:name="_Toc300935003"/>
      <w:bookmarkStart w:id="1183" w:name="_Toc312678041"/>
      <w:bookmarkStart w:id="1184" w:name="_Toc303539160"/>
      <w:bookmarkStart w:id="1185" w:name="_Toc297216212"/>
      <w:r>
        <w:rPr>
          <w:rFonts w:hint="eastAsia" w:ascii="仿宋" w:hAnsi="仿宋" w:eastAsia="仿宋" w:cs="仿宋"/>
          <w:color w:val="auto"/>
          <w:sz w:val="24"/>
          <w:szCs w:val="24"/>
        </w:rPr>
        <w:t>12.1 合</w:t>
      </w:r>
      <w:bookmarkEnd w:id="1169"/>
      <w:bookmarkEnd w:id="1170"/>
      <w:bookmarkEnd w:id="1171"/>
      <w:r>
        <w:rPr>
          <w:rFonts w:hint="eastAsia" w:ascii="仿宋" w:hAnsi="仿宋" w:eastAsia="仿宋" w:cs="仿宋"/>
          <w:color w:val="auto"/>
          <w:sz w:val="24"/>
          <w:szCs w:val="24"/>
        </w:rPr>
        <w:t>同价</w:t>
      </w:r>
      <w:bookmarkEnd w:id="1172"/>
      <w:bookmarkEnd w:id="1173"/>
      <w:bookmarkEnd w:id="1174"/>
      <w:bookmarkEnd w:id="1175"/>
      <w:bookmarkEnd w:id="1176"/>
      <w:bookmarkEnd w:id="1177"/>
      <w:bookmarkEnd w:id="1178"/>
      <w:bookmarkEnd w:id="1179"/>
      <w:r>
        <w:rPr>
          <w:rFonts w:hint="eastAsia" w:ascii="仿宋" w:hAnsi="仿宋" w:eastAsia="仿宋" w:cs="仿宋"/>
          <w:color w:val="auto"/>
          <w:sz w:val="24"/>
          <w:szCs w:val="24"/>
        </w:rPr>
        <w:t>格形式</w:t>
      </w:r>
    </w:p>
    <w:bookmarkEnd w:id="1180"/>
    <w:bookmarkEnd w:id="1181"/>
    <w:bookmarkEnd w:id="1182"/>
    <w:bookmarkEnd w:id="1183"/>
    <w:bookmarkEnd w:id="1184"/>
    <w:bookmarkEnd w:id="1185"/>
    <w:p w14:paraId="0B6DFA5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1、单价合同。</w:t>
      </w:r>
    </w:p>
    <w:p w14:paraId="2A58993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综合单价包含的风险范围：</w:t>
      </w:r>
      <w:r>
        <w:rPr>
          <w:rFonts w:hint="eastAsia" w:ascii="仿宋" w:hAnsi="仿宋" w:eastAsia="仿宋" w:cs="仿宋"/>
          <w:color w:val="auto"/>
          <w:sz w:val="24"/>
          <w:szCs w:val="24"/>
          <w:u w:val="single"/>
        </w:rPr>
        <w:t xml:space="preserve">  1.对于法律、法规、规章或有关政策出台导致工程税金、规费、人工费发生变化，并由省级、行业建设行政主管部门或其授权的工程造价管理机构根据上述变化发布的政策性调整，承包人不承担此类风险，按照有关调整规定执行。对于市场价格波动采用造价信息进行合同价格调整时，价格变化在约定幅度范围以内。 </w:t>
      </w:r>
    </w:p>
    <w:p w14:paraId="47046AA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2.承包人使用机械设备、施工技术以及组织管理水平等自身原因造成施工费用增加的承包人全部承担。</w:t>
      </w:r>
    </w:p>
    <w:p w14:paraId="533B76F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3.对于承包人自身技术水平、管理、经营状况能够自主控制的风险，如承包人的管理费、利润的风险，承包人应结合市场情况、自身实际合理自主报价，该部分风险由承包人全部承担。  </w:t>
      </w:r>
      <w:r>
        <w:rPr>
          <w:rFonts w:hint="eastAsia" w:ascii="仿宋" w:hAnsi="仿宋" w:eastAsia="仿宋" w:cs="仿宋"/>
          <w:color w:val="auto"/>
          <w:sz w:val="24"/>
          <w:szCs w:val="24"/>
        </w:rPr>
        <w:t>。</w:t>
      </w:r>
    </w:p>
    <w:p w14:paraId="6BFAC7A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风险费用的计算方法：</w:t>
      </w:r>
      <w:r>
        <w:rPr>
          <w:rFonts w:hint="eastAsia" w:ascii="仿宋" w:hAnsi="仿宋" w:eastAsia="仿宋" w:cs="仿宋"/>
          <w:color w:val="auto"/>
          <w:sz w:val="24"/>
          <w:szCs w:val="24"/>
          <w:u w:val="single"/>
        </w:rPr>
        <w:t xml:space="preserve">  依据现行计价规范规定          </w:t>
      </w:r>
      <w:r>
        <w:rPr>
          <w:rFonts w:hint="eastAsia" w:ascii="仿宋" w:hAnsi="仿宋" w:eastAsia="仿宋" w:cs="仿宋"/>
          <w:color w:val="auto"/>
          <w:sz w:val="24"/>
          <w:szCs w:val="24"/>
        </w:rPr>
        <w:t>。</w:t>
      </w:r>
    </w:p>
    <w:p w14:paraId="0495E44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风险范围以外合同价格的调整方法：</w:t>
      </w:r>
      <w:r>
        <w:rPr>
          <w:rFonts w:hint="eastAsia" w:ascii="仿宋" w:hAnsi="仿宋" w:eastAsia="仿宋" w:cs="仿宋"/>
          <w:color w:val="auto"/>
          <w:sz w:val="24"/>
          <w:szCs w:val="24"/>
          <w:u w:val="single"/>
        </w:rPr>
        <w:t xml:space="preserve">   1.因清单工程量调整，引起总价措施项目发生变化，包括物价因素引起的价格调整等其他原因均不对总价措施项目费用（除环境保护费、文明施工费及安全</w:t>
      </w:r>
    </w:p>
    <w:p w14:paraId="64F2C26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防护费）进行调整。</w:t>
      </w:r>
    </w:p>
    <w:p w14:paraId="09BBBEC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2.当工程量清单项目工程量的变化幅度在±15%（含 15%）以内时，其综合单价不</w:t>
      </w:r>
      <w:r>
        <w:rPr>
          <w:rFonts w:hint="eastAsia" w:ascii="仿宋" w:hAnsi="仿宋" w:eastAsia="仿宋" w:cs="仿宋"/>
          <w:color w:val="auto"/>
          <w:sz w:val="24"/>
          <w:szCs w:val="24"/>
          <w:u w:val="single"/>
          <w:lang w:eastAsia="zh-CN"/>
        </w:rPr>
        <w:t>作</w:t>
      </w:r>
      <w:r>
        <w:rPr>
          <w:rFonts w:hint="eastAsia" w:ascii="仿宋" w:hAnsi="仿宋" w:eastAsia="仿宋" w:cs="仿宋"/>
          <w:color w:val="auto"/>
          <w:sz w:val="24"/>
          <w:szCs w:val="24"/>
          <w:u w:val="single"/>
        </w:rPr>
        <w:t>调整，执行原有综合单价。当工程量清单项目工程量的变化幅度在 15%以外时，其综合单价调整方法为：工程</w:t>
      </w:r>
    </w:p>
    <w:p w14:paraId="03F5933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量偏差+15%以上的部分原综合单价下浮 10%；工程量偏差-15%以下部分，减少后剩余部分执行原综合单价；当清单出现漏项项目，漏项造价超出投标总价（不含暂列金额）的 5%时，5%以内（含 5%）</w:t>
      </w:r>
    </w:p>
    <w:p w14:paraId="316CDB1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按当地预算定额进行结算。超出 5%部分按当地预算定额取费后下浮 10%结算。当确认变更的费用发生争议时，施工方不得以该争议作为怠工、停工等的理由，必须正常施工。</w:t>
      </w:r>
    </w:p>
    <w:p w14:paraId="65C9179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3.合同价中暂列金额是发包人为可能发生的工程量变更而预留的金额，并非支付给承包人的实际费用，应按实际完成的情况进行结算，剩余部分仍归发包人所有。</w:t>
      </w:r>
    </w:p>
    <w:p w14:paraId="367BB03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4.对于法律、法规、规章或有关政策出台导致工程税金、规费发生变化，并由省级、行业建设行政主管部门或其授权的工程造价管理机构根据上述变化发布的政策性调整，承包人不应承担此类风险，应按照有关调整规定执行。  </w:t>
      </w:r>
      <w:r>
        <w:rPr>
          <w:rFonts w:hint="eastAsia" w:ascii="仿宋" w:hAnsi="仿宋" w:eastAsia="仿宋" w:cs="仿宋"/>
          <w:color w:val="auto"/>
          <w:sz w:val="24"/>
          <w:szCs w:val="24"/>
        </w:rPr>
        <w:t>。</w:t>
      </w:r>
    </w:p>
    <w:p w14:paraId="76AE516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2、总价合同。</w:t>
      </w:r>
    </w:p>
    <w:p w14:paraId="16750C2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总价包含的风险范围：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303431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风险费用的计算方法：</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80314C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风险范围以外合同价格的调整方法：</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9D2EA6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3、其他价格方式：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04DF7E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bookmarkStart w:id="1186" w:name="_Toc297216213"/>
      <w:bookmarkStart w:id="1187" w:name="_Toc304295581"/>
      <w:bookmarkStart w:id="1188" w:name="_Toc300935004"/>
      <w:bookmarkStart w:id="1189" w:name="_Toc303539161"/>
      <w:bookmarkStart w:id="1190" w:name="_Toc312678042"/>
      <w:bookmarkStart w:id="1191" w:name="_Toc297123554"/>
      <w:bookmarkStart w:id="1192" w:name="_Toc297048393"/>
      <w:bookmarkStart w:id="1193" w:name="_Toc292559917"/>
      <w:bookmarkStart w:id="1194" w:name="_Toc296891247"/>
      <w:bookmarkStart w:id="1195" w:name="_Toc296944546"/>
      <w:bookmarkStart w:id="1196" w:name="_Toc296346708"/>
      <w:bookmarkStart w:id="1197" w:name="_Toc297120507"/>
      <w:bookmarkStart w:id="1198" w:name="_Toc296891035"/>
      <w:bookmarkStart w:id="1199" w:name="_Toc296503207"/>
      <w:bookmarkStart w:id="1200" w:name="_Toc296347206"/>
      <w:bookmarkStart w:id="1201" w:name="_Toc292559412"/>
      <w:r>
        <w:rPr>
          <w:rFonts w:hint="eastAsia" w:ascii="仿宋" w:hAnsi="仿宋" w:eastAsia="仿宋" w:cs="仿宋"/>
          <w:color w:val="auto"/>
          <w:sz w:val="24"/>
          <w:szCs w:val="24"/>
        </w:rPr>
        <w:t>12.2 预付款</w:t>
      </w:r>
    </w:p>
    <w:bookmarkEnd w:id="1186"/>
    <w:bookmarkEnd w:id="1187"/>
    <w:bookmarkEnd w:id="1188"/>
    <w:bookmarkEnd w:id="1189"/>
    <w:bookmarkEnd w:id="1190"/>
    <w:bookmarkEnd w:id="1191"/>
    <w:p w14:paraId="42DECA9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12.2.1 预付款的支付</w:t>
      </w:r>
    </w:p>
    <w:p w14:paraId="3B96048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预付款支付比例或金额：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05CE4C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预付款支付期限：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C705BB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预付款扣回的方式：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39CFBE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12.2.2 预付款担保</w:t>
      </w:r>
    </w:p>
    <w:p w14:paraId="4EDF960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承包人提交预付款担保的期限：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CA3D36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预付款担保的形式为：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1192"/>
    <w:bookmarkEnd w:id="1193"/>
    <w:bookmarkEnd w:id="1194"/>
    <w:bookmarkEnd w:id="1195"/>
    <w:bookmarkEnd w:id="1196"/>
    <w:bookmarkEnd w:id="1197"/>
    <w:bookmarkEnd w:id="1198"/>
    <w:bookmarkEnd w:id="1199"/>
    <w:bookmarkEnd w:id="1200"/>
    <w:bookmarkEnd w:id="1201"/>
    <w:p w14:paraId="1366090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12.3 计量</w:t>
      </w:r>
    </w:p>
    <w:p w14:paraId="3BA15DB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12.3.1 计量原则</w:t>
      </w:r>
    </w:p>
    <w:p w14:paraId="11EDEC7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工程量计算规则：</w:t>
      </w:r>
      <w:r>
        <w:rPr>
          <w:rFonts w:hint="eastAsia" w:ascii="仿宋" w:hAnsi="仿宋" w:eastAsia="仿宋" w:cs="仿宋"/>
          <w:color w:val="auto"/>
          <w:sz w:val="24"/>
          <w:szCs w:val="24"/>
          <w:u w:val="single"/>
        </w:rPr>
        <w:t xml:space="preserve">   《建设工程量清单计价规范》GB50500-2013   </w:t>
      </w:r>
      <w:r>
        <w:rPr>
          <w:rFonts w:hint="eastAsia" w:ascii="仿宋" w:hAnsi="仿宋" w:eastAsia="仿宋" w:cs="仿宋"/>
          <w:color w:val="auto"/>
          <w:sz w:val="24"/>
          <w:szCs w:val="24"/>
        </w:rPr>
        <w:t>。</w:t>
      </w:r>
    </w:p>
    <w:p w14:paraId="21ACE28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12.3.2 计量周期</w:t>
      </w:r>
    </w:p>
    <w:p w14:paraId="5D35529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关于计量周期的约定：</w:t>
      </w:r>
      <w:r>
        <w:rPr>
          <w:rFonts w:hint="eastAsia" w:ascii="仿宋" w:hAnsi="仿宋" w:eastAsia="仿宋" w:cs="仿宋"/>
          <w:color w:val="auto"/>
          <w:sz w:val="24"/>
          <w:szCs w:val="24"/>
          <w:u w:val="single"/>
        </w:rPr>
        <w:t xml:space="preserve">        每月 20 日           </w:t>
      </w:r>
      <w:r>
        <w:rPr>
          <w:rFonts w:hint="eastAsia" w:ascii="仿宋" w:hAnsi="仿宋" w:eastAsia="仿宋" w:cs="仿宋"/>
          <w:color w:val="auto"/>
          <w:sz w:val="24"/>
          <w:szCs w:val="24"/>
        </w:rPr>
        <w:t>。</w:t>
      </w:r>
    </w:p>
    <w:p w14:paraId="4FD0C43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12.3.3 单价合同的计量</w:t>
      </w:r>
    </w:p>
    <w:p w14:paraId="6D3D39E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关于单价合同计量的约定：</w:t>
      </w:r>
      <w:r>
        <w:rPr>
          <w:rFonts w:hint="eastAsia" w:ascii="仿宋" w:hAnsi="仿宋" w:eastAsia="仿宋" w:cs="仿宋"/>
          <w:color w:val="auto"/>
          <w:sz w:val="24"/>
          <w:szCs w:val="24"/>
          <w:u w:val="single"/>
        </w:rPr>
        <w:t xml:space="preserve">   执行通用条款 12.3.3         </w:t>
      </w:r>
      <w:r>
        <w:rPr>
          <w:rFonts w:hint="eastAsia" w:ascii="仿宋" w:hAnsi="仿宋" w:eastAsia="仿宋" w:cs="仿宋"/>
          <w:color w:val="auto"/>
          <w:sz w:val="24"/>
          <w:szCs w:val="24"/>
        </w:rPr>
        <w:t>。</w:t>
      </w:r>
    </w:p>
    <w:p w14:paraId="5ED1DF8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12.3.4 总价合同的计量</w:t>
      </w:r>
    </w:p>
    <w:p w14:paraId="7556737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关于总价合同计量的约定：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51ECD3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12.3.5总价合同采用支付分解表计量支付的，是否适用第</w:t>
      </w:r>
      <w:r>
        <w:rPr>
          <w:rFonts w:hint="eastAsia" w:ascii="仿宋" w:hAnsi="仿宋" w:eastAsia="仿宋" w:cs="仿宋"/>
          <w:color w:val="auto"/>
          <w:kern w:val="0"/>
          <w:sz w:val="24"/>
          <w:szCs w:val="24"/>
        </w:rPr>
        <w:t xml:space="preserve">12.3.4 </w:t>
      </w:r>
      <w:r>
        <w:rPr>
          <w:rFonts w:hint="eastAsia" w:ascii="仿宋" w:hAnsi="仿宋" w:eastAsia="仿宋" w:cs="仿宋"/>
          <w:color w:val="auto"/>
          <w:sz w:val="24"/>
          <w:szCs w:val="24"/>
        </w:rPr>
        <w:t>项</w:t>
      </w:r>
      <w:r>
        <w:rPr>
          <w:rFonts w:hint="eastAsia" w:ascii="仿宋" w:hAnsi="仿宋" w:eastAsia="仿宋" w:cs="仿宋"/>
          <w:color w:val="auto"/>
          <w:kern w:val="0"/>
          <w:sz w:val="24"/>
          <w:szCs w:val="24"/>
        </w:rPr>
        <w:t>〔总价合同的计量〕</w:t>
      </w:r>
      <w:r>
        <w:rPr>
          <w:rFonts w:hint="eastAsia" w:ascii="仿宋" w:hAnsi="仿宋" w:eastAsia="仿宋" w:cs="仿宋"/>
          <w:color w:val="auto"/>
          <w:sz w:val="24"/>
          <w:szCs w:val="24"/>
        </w:rPr>
        <w:t>约定进行计量：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A58B5E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12.3.6 其他价格形式合同的计量</w:t>
      </w:r>
    </w:p>
    <w:p w14:paraId="425D210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其他价格形式的计量方式和程序：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4A9117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12.4 工程进度款支付</w:t>
      </w:r>
    </w:p>
    <w:p w14:paraId="2CEF6AA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bookmarkStart w:id="1202" w:name="_Toc296347210"/>
      <w:bookmarkStart w:id="1203" w:name="_Toc296891251"/>
      <w:bookmarkStart w:id="1204" w:name="_Toc297120511"/>
      <w:bookmarkStart w:id="1205" w:name="_Toc300935006"/>
      <w:bookmarkStart w:id="1206" w:name="_Toc292559921"/>
      <w:bookmarkStart w:id="1207" w:name="_Toc297216215"/>
      <w:bookmarkStart w:id="1208" w:name="_Toc297048397"/>
      <w:bookmarkStart w:id="1209" w:name="_Toc297123556"/>
      <w:bookmarkStart w:id="1210" w:name="_Toc296346712"/>
      <w:bookmarkStart w:id="1211" w:name="_Toc292559416"/>
      <w:bookmarkStart w:id="1212" w:name="_Toc303539163"/>
      <w:bookmarkStart w:id="1213" w:name="_Toc296891039"/>
      <w:bookmarkStart w:id="1214" w:name="_Toc296503211"/>
      <w:bookmarkStart w:id="1215" w:name="_Toc296944550"/>
      <w:r>
        <w:rPr>
          <w:rFonts w:hint="eastAsia" w:ascii="仿宋" w:hAnsi="仿宋" w:eastAsia="仿宋" w:cs="仿宋"/>
          <w:color w:val="auto"/>
          <w:sz w:val="24"/>
          <w:szCs w:val="24"/>
        </w:rPr>
        <w:t>12.4.1 付款周期</w:t>
      </w:r>
    </w:p>
    <w:p w14:paraId="2B38998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关于付款周期的约定：</w:t>
      </w:r>
      <w:r>
        <w:rPr>
          <w:rFonts w:hint="eastAsia" w:ascii="仿宋" w:hAnsi="仿宋" w:eastAsia="仿宋" w:cs="仿宋"/>
          <w:color w:val="auto"/>
          <w:sz w:val="24"/>
          <w:szCs w:val="24"/>
          <w:u w:val="single"/>
        </w:rPr>
        <w:t xml:space="preserve">   按工程进度付款        </w:t>
      </w:r>
      <w:r>
        <w:rPr>
          <w:rFonts w:hint="eastAsia" w:ascii="仿宋" w:hAnsi="仿宋" w:eastAsia="仿宋" w:cs="仿宋"/>
          <w:color w:val="auto"/>
          <w:sz w:val="24"/>
          <w:szCs w:val="24"/>
        </w:rPr>
        <w:t>。</w:t>
      </w:r>
    </w:p>
    <w:p w14:paraId="14DFA2F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12.4.2 进度付款申请单的编制</w:t>
      </w:r>
    </w:p>
    <w:p w14:paraId="2F8E605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关于进度付款申请单编制的约定：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依据</w:t>
      </w:r>
      <w:r>
        <w:rPr>
          <w:rFonts w:hint="eastAsia" w:ascii="仿宋" w:hAnsi="仿宋" w:eastAsia="仿宋" w:cs="仿宋"/>
          <w:color w:val="auto"/>
          <w:sz w:val="24"/>
          <w:szCs w:val="24"/>
          <w:u w:val="single"/>
        </w:rPr>
        <w:t>监理公司、建设方、审计单位等三方审核确认的工程进度报表支付</w:t>
      </w:r>
      <w:r>
        <w:rPr>
          <w:rFonts w:hint="eastAsia" w:ascii="仿宋" w:hAnsi="仿宋" w:eastAsia="仿宋" w:cs="仿宋"/>
          <w:color w:val="auto"/>
          <w:sz w:val="24"/>
          <w:szCs w:val="24"/>
          <w:u w:val="single"/>
          <w:lang w:eastAsia="zh-CN"/>
        </w:rPr>
        <w:t>进度款</w:t>
      </w:r>
      <w:r>
        <w:rPr>
          <w:rFonts w:hint="eastAsia" w:ascii="仿宋" w:hAnsi="仿宋" w:eastAsia="仿宋" w:cs="仿宋"/>
          <w:color w:val="auto"/>
          <w:sz w:val="24"/>
          <w:szCs w:val="24"/>
          <w:u w:val="single"/>
        </w:rPr>
        <w:t>，待工程竣工验收合格后支付至合同价款的 75%，</w:t>
      </w:r>
      <w:r>
        <w:rPr>
          <w:rFonts w:hint="eastAsia" w:ascii="仿宋" w:hAnsi="仿宋" w:eastAsia="仿宋" w:cs="仿宋"/>
          <w:i w:val="0"/>
          <w:iCs w:val="0"/>
          <w:color w:val="auto"/>
          <w:sz w:val="24"/>
          <w:szCs w:val="24"/>
          <w:u w:val="single"/>
          <w:lang w:val="en-US" w:eastAsia="zh-CN"/>
        </w:rPr>
        <w:t>最终工程价款经第三方结算审核定案</w:t>
      </w:r>
      <w:r>
        <w:rPr>
          <w:rFonts w:hint="eastAsia" w:ascii="仿宋" w:hAnsi="仿宋" w:eastAsia="仿宋" w:cs="仿宋"/>
          <w:i w:val="0"/>
          <w:iCs w:val="0"/>
          <w:color w:val="auto"/>
          <w:sz w:val="24"/>
          <w:szCs w:val="24"/>
          <w:u w:val="single"/>
        </w:rPr>
        <w:t>后付至终审</w:t>
      </w:r>
      <w:r>
        <w:rPr>
          <w:rFonts w:hint="eastAsia" w:ascii="仿宋" w:hAnsi="仿宋" w:eastAsia="仿宋" w:cs="仿宋"/>
          <w:i w:val="0"/>
          <w:iCs w:val="0"/>
          <w:color w:val="auto"/>
          <w:sz w:val="24"/>
          <w:szCs w:val="24"/>
          <w:u w:val="single"/>
          <w:lang w:val="en-US" w:eastAsia="zh-CN"/>
        </w:rPr>
        <w:t>定案</w:t>
      </w:r>
      <w:r>
        <w:rPr>
          <w:rFonts w:hint="eastAsia" w:ascii="仿宋" w:hAnsi="仿宋" w:eastAsia="仿宋" w:cs="仿宋"/>
          <w:i w:val="0"/>
          <w:iCs w:val="0"/>
          <w:color w:val="auto"/>
          <w:sz w:val="24"/>
          <w:szCs w:val="24"/>
          <w:u w:val="single"/>
        </w:rPr>
        <w:t>价的 97%</w:t>
      </w:r>
      <w:r>
        <w:rPr>
          <w:rFonts w:hint="eastAsia" w:ascii="仿宋" w:hAnsi="仿宋" w:eastAsia="仿宋" w:cs="仿宋"/>
          <w:color w:val="auto"/>
          <w:sz w:val="24"/>
          <w:szCs w:val="24"/>
          <w:u w:val="single"/>
        </w:rPr>
        <w:t>，留 3%的</w:t>
      </w:r>
      <w:r>
        <w:rPr>
          <w:rFonts w:hint="eastAsia" w:ascii="仿宋" w:hAnsi="仿宋" w:eastAsia="仿宋" w:cs="仿宋"/>
          <w:i w:val="0"/>
          <w:iCs w:val="0"/>
          <w:color w:val="auto"/>
          <w:sz w:val="24"/>
          <w:szCs w:val="24"/>
          <w:u w:val="single"/>
        </w:rPr>
        <w:t>终审</w:t>
      </w:r>
      <w:r>
        <w:rPr>
          <w:rFonts w:hint="eastAsia" w:ascii="仿宋" w:hAnsi="仿宋" w:eastAsia="仿宋" w:cs="仿宋"/>
          <w:i w:val="0"/>
          <w:iCs w:val="0"/>
          <w:color w:val="auto"/>
          <w:sz w:val="24"/>
          <w:szCs w:val="24"/>
          <w:u w:val="single"/>
          <w:lang w:val="en-US" w:eastAsia="zh-CN"/>
        </w:rPr>
        <w:t>定案</w:t>
      </w:r>
      <w:r>
        <w:rPr>
          <w:rFonts w:hint="eastAsia" w:ascii="仿宋" w:hAnsi="仿宋" w:eastAsia="仿宋" w:cs="仿宋"/>
          <w:i w:val="0"/>
          <w:iCs w:val="0"/>
          <w:color w:val="auto"/>
          <w:sz w:val="24"/>
          <w:szCs w:val="24"/>
          <w:u w:val="single"/>
        </w:rPr>
        <w:t>价</w:t>
      </w:r>
      <w:r>
        <w:rPr>
          <w:rFonts w:hint="eastAsia" w:ascii="仿宋" w:hAnsi="仿宋" w:eastAsia="仿宋" w:cs="仿宋"/>
          <w:color w:val="auto"/>
          <w:sz w:val="24"/>
          <w:szCs w:val="24"/>
          <w:u w:val="single"/>
        </w:rPr>
        <w:t xml:space="preserve">作为工程质保金，质保期满经确认无遗留问题返还。工程款必须专用不得挪用  </w:t>
      </w:r>
      <w:r>
        <w:rPr>
          <w:rFonts w:hint="eastAsia" w:ascii="仿宋" w:hAnsi="仿宋" w:eastAsia="仿宋" w:cs="仿宋"/>
          <w:color w:val="auto"/>
          <w:sz w:val="24"/>
          <w:szCs w:val="24"/>
        </w:rPr>
        <w:t>。</w:t>
      </w:r>
    </w:p>
    <w:p w14:paraId="46A4D78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r>
        <w:rPr>
          <w:rFonts w:hint="eastAsia" w:ascii="仿宋" w:hAnsi="仿宋" w:eastAsia="仿宋" w:cs="仿宋"/>
          <w:color w:val="auto"/>
          <w:sz w:val="24"/>
          <w:szCs w:val="24"/>
        </w:rPr>
        <w:t>2.4.3 进度付款申请单的提交</w:t>
      </w:r>
    </w:p>
    <w:p w14:paraId="0CA8E1C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（1）单价合同进度付款申请单提交的约定：</w:t>
      </w:r>
      <w:r>
        <w:rPr>
          <w:rFonts w:hint="eastAsia" w:ascii="仿宋" w:hAnsi="仿宋" w:eastAsia="仿宋" w:cs="仿宋"/>
          <w:color w:val="auto"/>
          <w:sz w:val="24"/>
          <w:szCs w:val="24"/>
          <w:u w:val="single"/>
        </w:rPr>
        <w:t xml:space="preserve"> 每月 25 日前  </w:t>
      </w:r>
      <w:r>
        <w:rPr>
          <w:rFonts w:hint="eastAsia" w:ascii="仿宋" w:hAnsi="仿宋" w:eastAsia="仿宋" w:cs="仿宋"/>
          <w:color w:val="auto"/>
          <w:sz w:val="24"/>
          <w:szCs w:val="24"/>
        </w:rPr>
        <w:t>。</w:t>
      </w:r>
    </w:p>
    <w:p w14:paraId="2B08426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（2）总价合同进度付款申请单提交的约定：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CF51F1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（3）其他价格形式合同进度付款申请单提交的约定：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AB3677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12.4.4 进度款审核和支付</w:t>
      </w:r>
    </w:p>
    <w:p w14:paraId="7BB39B5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（1）监理人审查并报送发包人的期限：</w:t>
      </w:r>
      <w:r>
        <w:rPr>
          <w:rFonts w:hint="eastAsia" w:ascii="仿宋" w:hAnsi="仿宋" w:eastAsia="仿宋" w:cs="仿宋"/>
          <w:color w:val="auto"/>
          <w:sz w:val="24"/>
          <w:szCs w:val="24"/>
          <w:u w:val="single"/>
        </w:rPr>
        <w:t xml:space="preserve"> 收到申请 7 天内    </w:t>
      </w:r>
      <w:r>
        <w:rPr>
          <w:rFonts w:hint="eastAsia" w:ascii="仿宋" w:hAnsi="仿宋" w:eastAsia="仿宋" w:cs="仿宋"/>
          <w:color w:val="auto"/>
          <w:sz w:val="24"/>
          <w:szCs w:val="24"/>
        </w:rPr>
        <w:t>。</w:t>
      </w:r>
    </w:p>
    <w:p w14:paraId="1E52D24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发包人完成审批并签发进度款支付证书的期限：</w:t>
      </w:r>
      <w:r>
        <w:rPr>
          <w:rFonts w:hint="eastAsia" w:ascii="仿宋" w:hAnsi="仿宋" w:eastAsia="仿宋" w:cs="仿宋"/>
          <w:color w:val="auto"/>
          <w:sz w:val="24"/>
          <w:szCs w:val="24"/>
          <w:u w:val="single"/>
        </w:rPr>
        <w:t xml:space="preserve">  收到申请 7 天内   </w:t>
      </w:r>
      <w:r>
        <w:rPr>
          <w:rFonts w:hint="eastAsia" w:ascii="仿宋" w:hAnsi="仿宋" w:eastAsia="仿宋" w:cs="仿宋"/>
          <w:color w:val="auto"/>
          <w:sz w:val="24"/>
          <w:szCs w:val="24"/>
        </w:rPr>
        <w:t>。</w:t>
      </w:r>
    </w:p>
    <w:p w14:paraId="5DCE34D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（2）发包人支付进度款的期限：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41BA48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发包人逾期支付进度款的违约金的计算方式：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B7FA7A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12.4.6 支付分解表的编制</w:t>
      </w:r>
    </w:p>
    <w:p w14:paraId="75F8CF4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、总价合同支付分解表的编制与审批：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3F1D89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、单价合同的总价项目支付分解表的编制与审批：</w:t>
      </w:r>
      <w:r>
        <w:rPr>
          <w:rFonts w:hint="eastAsia" w:ascii="仿宋" w:hAnsi="仿宋" w:eastAsia="仿宋" w:cs="仿宋"/>
          <w:color w:val="auto"/>
          <w:sz w:val="24"/>
          <w:szCs w:val="24"/>
          <w:u w:val="single"/>
        </w:rPr>
        <w:t xml:space="preserve">  执行通用条款  </w:t>
      </w:r>
      <w:r>
        <w:rPr>
          <w:rFonts w:hint="eastAsia" w:ascii="仿宋" w:hAnsi="仿宋" w:eastAsia="仿宋" w:cs="仿宋"/>
          <w:color w:val="auto"/>
          <w:sz w:val="24"/>
          <w:szCs w:val="24"/>
        </w:rPr>
        <w:t>。</w:t>
      </w:r>
    </w:p>
    <w:bookmarkEnd w:id="1045"/>
    <w:p w14:paraId="2A3657D2">
      <w:pPr>
        <w:pStyle w:val="5"/>
        <w:pageBreakBefore w:val="0"/>
        <w:kinsoku/>
        <w:overflowPunct/>
        <w:topLinePunct w:val="0"/>
        <w:bidi w:val="0"/>
        <w:spacing w:line="440" w:lineRule="exact"/>
        <w:rPr>
          <w:rFonts w:hint="eastAsia" w:ascii="仿宋" w:hAnsi="仿宋" w:eastAsia="仿宋" w:cs="仿宋"/>
          <w:color w:val="auto"/>
          <w:sz w:val="24"/>
          <w:szCs w:val="24"/>
        </w:rPr>
      </w:pPr>
      <w:bookmarkStart w:id="1216" w:name="_Toc351203645"/>
      <w:bookmarkStart w:id="1217" w:name="_Toc297216223"/>
      <w:bookmarkStart w:id="1218" w:name="_Toc300935015"/>
      <w:bookmarkStart w:id="1219" w:name="_Toc296944558"/>
      <w:bookmarkStart w:id="1220" w:name="_Toc296891259"/>
      <w:bookmarkStart w:id="1221" w:name="_Toc312678053"/>
      <w:bookmarkStart w:id="1222" w:name="_Toc296503219"/>
      <w:bookmarkStart w:id="1223" w:name="_Toc304295593"/>
      <w:bookmarkStart w:id="1224" w:name="_Toc303539172"/>
      <w:bookmarkStart w:id="1225" w:name="_Toc296891047"/>
      <w:bookmarkStart w:id="1226" w:name="_Toc297120519"/>
      <w:bookmarkStart w:id="1227" w:name="_Toc296347218"/>
      <w:bookmarkStart w:id="1228" w:name="_Toc292559929"/>
      <w:bookmarkStart w:id="1229" w:name="_Toc296346720"/>
      <w:bookmarkStart w:id="1230" w:name="_Toc297048405"/>
      <w:bookmarkStart w:id="1231" w:name="_Toc292559424"/>
      <w:bookmarkStart w:id="1232" w:name="_Toc297123564"/>
      <w:r>
        <w:rPr>
          <w:rFonts w:hint="eastAsia" w:ascii="仿宋" w:hAnsi="仿宋" w:eastAsia="仿宋" w:cs="仿宋"/>
          <w:color w:val="auto"/>
          <w:sz w:val="24"/>
          <w:szCs w:val="24"/>
        </w:rPr>
        <w:t>13. 验收和工程试车</w:t>
      </w:r>
      <w:bookmarkEnd w:id="1216"/>
    </w:p>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14:paraId="789B6CE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13.1 分部分项工程验收</w:t>
      </w:r>
    </w:p>
    <w:p w14:paraId="79828F5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13.1.2监理人不能按时进行验收时，应提前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24</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小时提交书面延期要求。</w:t>
      </w:r>
    </w:p>
    <w:p w14:paraId="04AC385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b/>
          <w:color w:val="auto"/>
          <w:sz w:val="24"/>
          <w:szCs w:val="24"/>
        </w:rPr>
      </w:pPr>
      <w:r>
        <w:rPr>
          <w:rFonts w:hint="eastAsia" w:ascii="仿宋" w:hAnsi="仿宋" w:eastAsia="仿宋" w:cs="仿宋"/>
          <w:color w:val="auto"/>
          <w:sz w:val="24"/>
          <w:szCs w:val="24"/>
        </w:rPr>
        <w:t>关于延期最长不得超过：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48</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小时。</w:t>
      </w:r>
    </w:p>
    <w:p w14:paraId="6630122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bookmarkStart w:id="1233" w:name="_Toc296891263"/>
      <w:bookmarkStart w:id="1234" w:name="_Toc297120523"/>
      <w:bookmarkStart w:id="1235" w:name="_Toc297123565"/>
      <w:bookmarkStart w:id="1236" w:name="_Toc292559933"/>
      <w:bookmarkStart w:id="1237" w:name="_Toc300935016"/>
      <w:bookmarkStart w:id="1238" w:name="_Toc296944562"/>
      <w:bookmarkStart w:id="1239" w:name="_Toc297216224"/>
      <w:bookmarkStart w:id="1240" w:name="_Toc296891051"/>
      <w:bookmarkStart w:id="1241" w:name="_Toc312678056"/>
      <w:bookmarkStart w:id="1242" w:name="_Toc296503223"/>
      <w:bookmarkStart w:id="1243" w:name="_Toc304295596"/>
      <w:bookmarkStart w:id="1244" w:name="_Toc303539173"/>
      <w:bookmarkStart w:id="1245" w:name="_Toc296346724"/>
      <w:bookmarkStart w:id="1246" w:name="_Toc292559428"/>
      <w:bookmarkStart w:id="1247" w:name="_Toc296347222"/>
      <w:bookmarkStart w:id="1248" w:name="_Toc297048409"/>
      <w:bookmarkStart w:id="1249" w:name="_Toc267251472"/>
      <w:bookmarkStart w:id="1250" w:name="_Toc267251471"/>
      <w:bookmarkStart w:id="1251" w:name="_Toc267251470"/>
      <w:bookmarkStart w:id="1252" w:name="_Toc267251476"/>
      <w:bookmarkStart w:id="1253" w:name="_Toc267251475"/>
      <w:bookmarkStart w:id="1254" w:name="_Toc267251474"/>
      <w:bookmarkStart w:id="1255" w:name="_Toc267251473"/>
      <w:r>
        <w:rPr>
          <w:rFonts w:hint="eastAsia" w:ascii="仿宋" w:hAnsi="仿宋" w:eastAsia="仿宋" w:cs="仿宋"/>
          <w:color w:val="auto"/>
          <w:sz w:val="24"/>
          <w:szCs w:val="24"/>
        </w:rPr>
        <w:t>13.2 竣工验收</w:t>
      </w:r>
    </w:p>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14:paraId="747AA5E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bookmarkStart w:id="1256" w:name="_Toc280868704"/>
      <w:bookmarkStart w:id="1257" w:name="_Toc280868705"/>
      <w:bookmarkStart w:id="1258" w:name="_Toc280868706"/>
      <w:bookmarkStart w:id="1259" w:name="_Toc280868707"/>
      <w:bookmarkStart w:id="1260" w:name="_Toc280868708"/>
      <w:bookmarkStart w:id="1261" w:name="_Toc280868709"/>
      <w:r>
        <w:rPr>
          <w:rFonts w:hint="eastAsia" w:ascii="仿宋" w:hAnsi="仿宋" w:eastAsia="仿宋" w:cs="仿宋"/>
          <w:color w:val="auto"/>
          <w:sz w:val="24"/>
          <w:szCs w:val="24"/>
        </w:rPr>
        <w:t>13.2.2竣工验收程序</w:t>
      </w:r>
    </w:p>
    <w:bookmarkEnd w:id="1256"/>
    <w:p w14:paraId="625A4D9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关于竣工验收程序的约定：</w:t>
      </w:r>
      <w:r>
        <w:rPr>
          <w:rFonts w:hint="eastAsia" w:ascii="仿宋" w:hAnsi="仿宋" w:eastAsia="仿宋" w:cs="仿宋"/>
          <w:color w:val="auto"/>
          <w:sz w:val="24"/>
          <w:szCs w:val="24"/>
          <w:u w:val="single"/>
        </w:rPr>
        <w:t xml:space="preserve">     按通用条款执行         </w:t>
      </w:r>
      <w:r>
        <w:rPr>
          <w:rFonts w:hint="eastAsia" w:ascii="仿宋" w:hAnsi="仿宋" w:eastAsia="仿宋" w:cs="仿宋"/>
          <w:color w:val="auto"/>
          <w:sz w:val="24"/>
          <w:szCs w:val="24"/>
        </w:rPr>
        <w:t>。</w:t>
      </w:r>
    </w:p>
    <w:p w14:paraId="49E8EE5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发包人不按照本项约定组织竣工验收、颁发工程接收证书的违约金的计算方法：</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1257"/>
    <w:p w14:paraId="0A13FC9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13.2.5移交、接收全部与部分工程</w:t>
      </w:r>
    </w:p>
    <w:bookmarkEnd w:id="1258"/>
    <w:p w14:paraId="0605407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承包人向发包人移交工程的期限：</w:t>
      </w:r>
      <w:r>
        <w:rPr>
          <w:rFonts w:hint="eastAsia" w:ascii="仿宋" w:hAnsi="仿宋" w:eastAsia="仿宋" w:cs="仿宋"/>
          <w:color w:val="auto"/>
          <w:sz w:val="24"/>
          <w:szCs w:val="24"/>
          <w:u w:val="single"/>
        </w:rPr>
        <w:t xml:space="preserve">   按照发包人约定执行 </w:t>
      </w:r>
      <w:r>
        <w:rPr>
          <w:rFonts w:hint="eastAsia" w:ascii="仿宋" w:hAnsi="仿宋" w:eastAsia="仿宋" w:cs="仿宋"/>
          <w:color w:val="auto"/>
          <w:sz w:val="24"/>
          <w:szCs w:val="24"/>
        </w:rPr>
        <w:t>。</w:t>
      </w:r>
    </w:p>
    <w:p w14:paraId="7395E7E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kern w:val="0"/>
          <w:sz w:val="24"/>
          <w:szCs w:val="24"/>
        </w:rPr>
        <w:t>发包人未按本合同约定接收全部或部分工程的，违约金的计算方法为：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1259"/>
    <w:p w14:paraId="3008462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承包人未按时移交工程的，违约金的计算方法为：</w:t>
      </w:r>
      <w:r>
        <w:rPr>
          <w:rFonts w:hint="eastAsia" w:ascii="仿宋" w:hAnsi="仿宋" w:eastAsia="仿宋" w:cs="仿宋"/>
          <w:color w:val="auto"/>
          <w:sz w:val="24"/>
          <w:szCs w:val="24"/>
          <w:u w:val="single"/>
        </w:rPr>
        <w:t xml:space="preserve">  扣除全部履约保证金和工程质保金   </w:t>
      </w:r>
      <w:r>
        <w:rPr>
          <w:rFonts w:hint="eastAsia" w:ascii="仿宋" w:hAnsi="仿宋" w:eastAsia="仿宋" w:cs="仿宋"/>
          <w:color w:val="auto"/>
          <w:sz w:val="24"/>
          <w:szCs w:val="24"/>
        </w:rPr>
        <w:t>。</w:t>
      </w:r>
    </w:p>
    <w:p w14:paraId="0595CCA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13.3 工程试车</w:t>
      </w:r>
    </w:p>
    <w:bookmarkEnd w:id="1260"/>
    <w:p w14:paraId="09E0E94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13.3.1 试车程序</w:t>
      </w:r>
    </w:p>
    <w:p w14:paraId="0FCBBB2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工程试车内容：</w:t>
      </w:r>
      <w:r>
        <w:rPr>
          <w:rFonts w:hint="eastAsia" w:ascii="仿宋" w:hAnsi="仿宋" w:eastAsia="仿宋" w:cs="仿宋"/>
          <w:color w:val="auto"/>
          <w:sz w:val="24"/>
          <w:szCs w:val="24"/>
          <w:u w:val="single"/>
        </w:rPr>
        <w:t xml:space="preserve">     按实际情况确定          </w:t>
      </w:r>
      <w:r>
        <w:rPr>
          <w:rFonts w:hint="eastAsia" w:ascii="仿宋" w:hAnsi="仿宋" w:eastAsia="仿宋" w:cs="仿宋"/>
          <w:color w:val="auto"/>
          <w:sz w:val="24"/>
          <w:szCs w:val="24"/>
        </w:rPr>
        <w:t>。</w:t>
      </w:r>
    </w:p>
    <w:p w14:paraId="69CCC34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（1）单机无负荷试车费用由</w:t>
      </w:r>
      <w:r>
        <w:rPr>
          <w:rFonts w:hint="eastAsia" w:ascii="仿宋" w:hAnsi="仿宋" w:eastAsia="仿宋" w:cs="仿宋"/>
          <w:color w:val="auto"/>
          <w:sz w:val="24"/>
          <w:szCs w:val="24"/>
          <w:u w:val="single"/>
        </w:rPr>
        <w:t xml:space="preserve">  由承包人承担、费用含在合同价中承担  </w:t>
      </w:r>
      <w:r>
        <w:rPr>
          <w:rFonts w:hint="eastAsia" w:ascii="仿宋" w:hAnsi="仿宋" w:eastAsia="仿宋" w:cs="仿宋"/>
          <w:color w:val="auto"/>
          <w:kern w:val="0"/>
          <w:sz w:val="24"/>
          <w:szCs w:val="24"/>
        </w:rPr>
        <w:t>承担；</w:t>
      </w:r>
    </w:p>
    <w:p w14:paraId="124D50C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（2）无负荷联动试车费用由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承担。</w:t>
      </w:r>
    </w:p>
    <w:p w14:paraId="0575EBB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13.3.3 投料试车</w:t>
      </w:r>
    </w:p>
    <w:p w14:paraId="2E9E5CD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关于投料试车相关事项的约定：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DCD386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 xml:space="preserve"> 竣工退场</w:t>
      </w:r>
    </w:p>
    <w:p w14:paraId="7A7FF97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.1 竣工退场</w:t>
      </w:r>
    </w:p>
    <w:p w14:paraId="5104275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承包人完成竣工退场的期限：</w:t>
      </w:r>
      <w:r>
        <w:rPr>
          <w:rFonts w:hint="eastAsia" w:ascii="仿宋" w:hAnsi="仿宋" w:eastAsia="仿宋" w:cs="仿宋"/>
          <w:color w:val="auto"/>
          <w:sz w:val="24"/>
          <w:szCs w:val="24"/>
          <w:u w:val="single"/>
        </w:rPr>
        <w:t xml:space="preserve">    按照发包人要求执行      </w:t>
      </w:r>
      <w:r>
        <w:rPr>
          <w:rFonts w:hint="eastAsia" w:ascii="仿宋" w:hAnsi="仿宋" w:eastAsia="仿宋" w:cs="仿宋"/>
          <w:color w:val="auto"/>
          <w:kern w:val="0"/>
          <w:sz w:val="24"/>
          <w:szCs w:val="24"/>
        </w:rPr>
        <w:t>。</w:t>
      </w:r>
    </w:p>
    <w:p w14:paraId="244FA0CE">
      <w:pPr>
        <w:pStyle w:val="5"/>
        <w:pageBreakBefore w:val="0"/>
        <w:kinsoku/>
        <w:overflowPunct/>
        <w:topLinePunct w:val="0"/>
        <w:bidi w:val="0"/>
        <w:spacing w:line="440" w:lineRule="exact"/>
        <w:rPr>
          <w:rFonts w:hint="eastAsia" w:ascii="仿宋" w:hAnsi="仿宋" w:eastAsia="仿宋" w:cs="仿宋"/>
          <w:color w:val="auto"/>
          <w:sz w:val="24"/>
          <w:szCs w:val="24"/>
        </w:rPr>
      </w:pPr>
      <w:bookmarkStart w:id="1262" w:name="_Toc351203646"/>
      <w:r>
        <w:rPr>
          <w:rFonts w:hint="eastAsia" w:ascii="仿宋" w:hAnsi="仿宋" w:eastAsia="仿宋" w:cs="仿宋"/>
          <w:color w:val="auto"/>
          <w:sz w:val="24"/>
          <w:szCs w:val="24"/>
        </w:rPr>
        <w:t>14. 竣工结算</w:t>
      </w:r>
      <w:bookmarkEnd w:id="1262"/>
    </w:p>
    <w:p w14:paraId="6C84120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14.1 竣工结算申请</w:t>
      </w:r>
    </w:p>
    <w:p w14:paraId="4173EDA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承包人提交竣工结算申请单的期限：</w:t>
      </w:r>
      <w:r>
        <w:rPr>
          <w:rFonts w:hint="eastAsia" w:ascii="仿宋" w:hAnsi="仿宋" w:eastAsia="仿宋" w:cs="仿宋"/>
          <w:color w:val="auto"/>
          <w:sz w:val="24"/>
          <w:szCs w:val="24"/>
          <w:u w:val="single"/>
        </w:rPr>
        <w:t xml:space="preserve">  工程竣工验收合格后 28 天内  </w:t>
      </w:r>
      <w:r>
        <w:rPr>
          <w:rFonts w:hint="eastAsia" w:ascii="仿宋" w:hAnsi="仿宋" w:eastAsia="仿宋" w:cs="仿宋"/>
          <w:color w:val="auto"/>
          <w:sz w:val="24"/>
          <w:szCs w:val="24"/>
        </w:rPr>
        <w:t>。</w:t>
      </w:r>
    </w:p>
    <w:p w14:paraId="71352C3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竣工结算申请单应包括的内容：</w:t>
      </w:r>
      <w:r>
        <w:rPr>
          <w:rFonts w:hint="eastAsia" w:ascii="仿宋" w:hAnsi="仿宋" w:eastAsia="仿宋" w:cs="仿宋"/>
          <w:color w:val="auto"/>
          <w:sz w:val="24"/>
          <w:szCs w:val="24"/>
          <w:u w:val="single"/>
        </w:rPr>
        <w:t xml:space="preserve">    按通用条款执行     </w:t>
      </w:r>
      <w:r>
        <w:rPr>
          <w:rFonts w:hint="eastAsia" w:ascii="仿宋" w:hAnsi="仿宋" w:eastAsia="仿宋" w:cs="仿宋"/>
          <w:color w:val="auto"/>
          <w:sz w:val="24"/>
          <w:szCs w:val="24"/>
        </w:rPr>
        <w:t>。</w:t>
      </w:r>
    </w:p>
    <w:p w14:paraId="5020855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14.2 竣工结算审核</w:t>
      </w:r>
    </w:p>
    <w:p w14:paraId="295A5E9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i w:val="0"/>
          <w:iCs w:val="0"/>
          <w:color w:val="auto"/>
          <w:sz w:val="24"/>
          <w:szCs w:val="24"/>
        </w:rPr>
      </w:pPr>
      <w:r>
        <w:rPr>
          <w:rFonts w:hint="eastAsia" w:ascii="仿宋" w:hAnsi="仿宋" w:eastAsia="仿宋" w:cs="仿宋"/>
          <w:color w:val="auto"/>
          <w:sz w:val="24"/>
          <w:szCs w:val="24"/>
        </w:rPr>
        <w:t>发包人审批竣工付款申请单的期限：</w:t>
      </w: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u w:val="single"/>
          <w:lang w:val="en-US" w:eastAsia="zh-CN"/>
        </w:rPr>
        <w:t>委托第三方对最终工程价款进行结算审核</w:t>
      </w:r>
      <w:r>
        <w:rPr>
          <w:rFonts w:hint="eastAsia" w:ascii="仿宋" w:hAnsi="仿宋" w:eastAsia="仿宋" w:cs="仿宋"/>
          <w:i w:val="0"/>
          <w:iCs w:val="0"/>
          <w:color w:val="auto"/>
          <w:sz w:val="24"/>
          <w:szCs w:val="24"/>
          <w:u w:val="single"/>
        </w:rPr>
        <w:t xml:space="preserve"> </w:t>
      </w:r>
      <w:r>
        <w:rPr>
          <w:rFonts w:hint="eastAsia" w:ascii="仿宋" w:hAnsi="仿宋" w:eastAsia="仿宋" w:cs="仿宋"/>
          <w:i w:val="0"/>
          <w:iCs w:val="0"/>
          <w:color w:val="auto"/>
          <w:sz w:val="24"/>
          <w:szCs w:val="24"/>
        </w:rPr>
        <w:t>。</w:t>
      </w:r>
    </w:p>
    <w:p w14:paraId="151591F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发包人完成竣工付款的期限：</w:t>
      </w:r>
      <w:r>
        <w:rPr>
          <w:rFonts w:hint="eastAsia" w:ascii="仿宋" w:hAnsi="仿宋" w:eastAsia="仿宋" w:cs="仿宋"/>
          <w:color w:val="auto"/>
          <w:sz w:val="24"/>
          <w:szCs w:val="24"/>
          <w:u w:val="single"/>
        </w:rPr>
        <w:t xml:space="preserve">  按通用条款执行   </w:t>
      </w:r>
      <w:r>
        <w:rPr>
          <w:rFonts w:hint="eastAsia" w:ascii="仿宋" w:hAnsi="仿宋" w:eastAsia="仿宋" w:cs="仿宋"/>
          <w:color w:val="auto"/>
          <w:sz w:val="24"/>
          <w:szCs w:val="24"/>
        </w:rPr>
        <w:t>。</w:t>
      </w:r>
    </w:p>
    <w:p w14:paraId="1B25DE5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关于竣工付款证书异议部分复核的方式和程序：</w:t>
      </w:r>
      <w:r>
        <w:rPr>
          <w:rFonts w:hint="eastAsia" w:ascii="仿宋" w:hAnsi="仿宋" w:eastAsia="仿宋" w:cs="仿宋"/>
          <w:color w:val="auto"/>
          <w:sz w:val="24"/>
          <w:szCs w:val="24"/>
          <w:u w:val="single"/>
        </w:rPr>
        <w:t xml:space="preserve">  按通用条款执行   </w:t>
      </w:r>
      <w:r>
        <w:rPr>
          <w:rFonts w:hint="eastAsia" w:ascii="仿宋" w:hAnsi="仿宋" w:eastAsia="仿宋" w:cs="仿宋"/>
          <w:color w:val="auto"/>
          <w:sz w:val="24"/>
          <w:szCs w:val="24"/>
        </w:rPr>
        <w:t>。</w:t>
      </w:r>
    </w:p>
    <w:p w14:paraId="63E3531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14.4 最终结清</w:t>
      </w:r>
    </w:p>
    <w:p w14:paraId="2F3D7A8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14.4.1 最终结清申请单</w:t>
      </w:r>
    </w:p>
    <w:p w14:paraId="43DE9D5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承包人提交最终结清申请单的份数：</w:t>
      </w:r>
      <w:r>
        <w:rPr>
          <w:rFonts w:hint="eastAsia" w:ascii="仿宋" w:hAnsi="仿宋" w:eastAsia="仿宋" w:cs="仿宋"/>
          <w:color w:val="auto"/>
          <w:sz w:val="24"/>
          <w:szCs w:val="24"/>
          <w:u w:val="single"/>
        </w:rPr>
        <w:t xml:space="preserve">       八份        </w:t>
      </w:r>
      <w:r>
        <w:rPr>
          <w:rFonts w:hint="eastAsia" w:ascii="仿宋" w:hAnsi="仿宋" w:eastAsia="仿宋" w:cs="仿宋"/>
          <w:color w:val="auto"/>
          <w:sz w:val="24"/>
          <w:szCs w:val="24"/>
        </w:rPr>
        <w:t>。</w:t>
      </w:r>
    </w:p>
    <w:p w14:paraId="3999898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承包人提交最终结算申请单的期限：</w:t>
      </w:r>
      <w:r>
        <w:rPr>
          <w:rFonts w:hint="eastAsia" w:ascii="仿宋" w:hAnsi="仿宋" w:eastAsia="仿宋" w:cs="仿宋"/>
          <w:color w:val="auto"/>
          <w:sz w:val="24"/>
          <w:szCs w:val="24"/>
          <w:u w:val="single"/>
        </w:rPr>
        <w:t xml:space="preserve">  缺陷责任期满后 7 日内 </w:t>
      </w:r>
      <w:r>
        <w:rPr>
          <w:rFonts w:hint="eastAsia" w:ascii="仿宋" w:hAnsi="仿宋" w:eastAsia="仿宋" w:cs="仿宋"/>
          <w:color w:val="auto"/>
          <w:sz w:val="24"/>
          <w:szCs w:val="24"/>
        </w:rPr>
        <w:t xml:space="preserve">。 </w:t>
      </w:r>
    </w:p>
    <w:p w14:paraId="2750610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14.4.2 最终结清证书和支付</w:t>
      </w:r>
    </w:p>
    <w:p w14:paraId="3108E13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（1）发包人完成最终结清申请单的审批并颁发最终结清证书的期限：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7563A3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（2）发包人完成支付的期限：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bookmarkEnd w:id="1249"/>
    <w:bookmarkEnd w:id="1250"/>
    <w:bookmarkEnd w:id="1251"/>
    <w:bookmarkEnd w:id="1252"/>
    <w:bookmarkEnd w:id="1253"/>
    <w:bookmarkEnd w:id="1254"/>
    <w:bookmarkEnd w:id="1255"/>
    <w:bookmarkEnd w:id="1261"/>
    <w:p w14:paraId="7FBF87C9">
      <w:pPr>
        <w:pStyle w:val="5"/>
        <w:pageBreakBefore w:val="0"/>
        <w:kinsoku/>
        <w:overflowPunct/>
        <w:topLinePunct w:val="0"/>
        <w:bidi w:val="0"/>
        <w:spacing w:line="440" w:lineRule="exact"/>
        <w:rPr>
          <w:rFonts w:hint="eastAsia" w:ascii="仿宋" w:hAnsi="仿宋" w:eastAsia="仿宋" w:cs="仿宋"/>
          <w:color w:val="auto"/>
          <w:sz w:val="24"/>
          <w:szCs w:val="24"/>
        </w:rPr>
      </w:pPr>
      <w:bookmarkStart w:id="1263" w:name="_Toc351203647"/>
      <w:bookmarkStart w:id="1264" w:name="_Toc267251483"/>
      <w:bookmarkStart w:id="1265" w:name="_Toc267251482"/>
      <w:bookmarkStart w:id="1266" w:name="_Toc267251484"/>
      <w:bookmarkStart w:id="1267" w:name="_Toc267251485"/>
      <w:bookmarkStart w:id="1268" w:name="_Toc267251489"/>
      <w:bookmarkStart w:id="1269" w:name="_Toc267251490"/>
      <w:bookmarkStart w:id="1270" w:name="_Toc267251486"/>
      <w:bookmarkStart w:id="1271" w:name="_Toc267251488"/>
      <w:bookmarkStart w:id="1272" w:name="_Toc267251493"/>
      <w:bookmarkStart w:id="1273" w:name="_Toc267251496"/>
      <w:bookmarkStart w:id="1274" w:name="_Toc267251502"/>
      <w:bookmarkStart w:id="1275" w:name="_Toc267251492"/>
      <w:bookmarkStart w:id="1276" w:name="_Toc267251494"/>
      <w:bookmarkStart w:id="1277" w:name="_Toc267251491"/>
      <w:bookmarkStart w:id="1278" w:name="_Toc267251497"/>
      <w:bookmarkStart w:id="1279" w:name="_Toc267251498"/>
      <w:bookmarkStart w:id="1280" w:name="_Toc267251501"/>
      <w:bookmarkStart w:id="1281" w:name="_Toc267251499"/>
      <w:bookmarkStart w:id="1282" w:name="_Toc267251495"/>
      <w:bookmarkStart w:id="1283" w:name="_Toc267251503"/>
      <w:bookmarkStart w:id="1284" w:name="_Toc267251506"/>
      <w:bookmarkStart w:id="1285" w:name="_Toc267251504"/>
      <w:bookmarkStart w:id="1286" w:name="_Toc267251507"/>
      <w:bookmarkStart w:id="1287" w:name="_Toc267251508"/>
      <w:bookmarkStart w:id="1288" w:name="_Toc267251511"/>
      <w:bookmarkStart w:id="1289" w:name="_Toc267251513"/>
      <w:bookmarkStart w:id="1290" w:name="_Toc267251515"/>
      <w:bookmarkStart w:id="1291" w:name="_Toc267251510"/>
      <w:bookmarkStart w:id="1292" w:name="_Toc267251514"/>
      <w:bookmarkStart w:id="1293" w:name="_Toc267251509"/>
      <w:r>
        <w:rPr>
          <w:rFonts w:hint="eastAsia" w:ascii="仿宋" w:hAnsi="仿宋" w:eastAsia="仿宋" w:cs="仿宋"/>
          <w:color w:val="auto"/>
          <w:sz w:val="24"/>
          <w:szCs w:val="24"/>
        </w:rPr>
        <w:t>15. 缺陷责任期与保修</w:t>
      </w:r>
      <w:bookmarkEnd w:id="1263"/>
    </w:p>
    <w:p w14:paraId="5BD02A7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15.2缺陷责任期</w:t>
      </w:r>
      <w:bookmarkEnd w:id="1264"/>
    </w:p>
    <w:p w14:paraId="47F8201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缺陷责任期的具体期限：</w:t>
      </w:r>
      <w:r>
        <w:rPr>
          <w:rFonts w:hint="eastAsia" w:ascii="仿宋" w:hAnsi="仿宋" w:eastAsia="仿宋" w:cs="仿宋"/>
          <w:color w:val="auto"/>
          <w:sz w:val="24"/>
          <w:szCs w:val="24"/>
          <w:u w:val="single"/>
        </w:rPr>
        <w:t xml:space="preserve">  竣工验收合格后起算，具体期限详见工程质量保修书   </w:t>
      </w:r>
      <w:r>
        <w:rPr>
          <w:rFonts w:hint="eastAsia" w:ascii="仿宋" w:hAnsi="仿宋" w:eastAsia="仿宋" w:cs="仿宋"/>
          <w:color w:val="auto"/>
          <w:sz w:val="24"/>
          <w:szCs w:val="24"/>
        </w:rPr>
        <w:t>。</w:t>
      </w:r>
    </w:p>
    <w:p w14:paraId="707C030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15.3 质量保证金</w:t>
      </w:r>
    </w:p>
    <w:p w14:paraId="11F8796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关于是否扣留质量保证金的约定：</w:t>
      </w:r>
      <w:r>
        <w:rPr>
          <w:rFonts w:hint="eastAsia" w:ascii="仿宋" w:hAnsi="仿宋" w:eastAsia="仿宋" w:cs="仿宋"/>
          <w:color w:val="auto"/>
          <w:sz w:val="24"/>
          <w:szCs w:val="24"/>
          <w:u w:val="single"/>
        </w:rPr>
        <w:t xml:space="preserve">  扣留工程</w:t>
      </w:r>
      <w:r>
        <w:rPr>
          <w:rFonts w:hint="eastAsia" w:ascii="仿宋" w:hAnsi="仿宋" w:eastAsia="仿宋" w:cs="仿宋"/>
          <w:i w:val="0"/>
          <w:iCs w:val="0"/>
          <w:color w:val="auto"/>
          <w:sz w:val="24"/>
          <w:szCs w:val="24"/>
          <w:u w:val="single"/>
        </w:rPr>
        <w:t>终审</w:t>
      </w:r>
      <w:r>
        <w:rPr>
          <w:rFonts w:hint="eastAsia" w:ascii="仿宋" w:hAnsi="仿宋" w:eastAsia="仿宋" w:cs="仿宋"/>
          <w:i w:val="0"/>
          <w:iCs w:val="0"/>
          <w:color w:val="auto"/>
          <w:sz w:val="24"/>
          <w:szCs w:val="24"/>
          <w:u w:val="single"/>
          <w:lang w:val="en-US" w:eastAsia="zh-CN"/>
        </w:rPr>
        <w:t>定案</w:t>
      </w:r>
      <w:r>
        <w:rPr>
          <w:rFonts w:hint="eastAsia" w:ascii="仿宋" w:hAnsi="仿宋" w:eastAsia="仿宋" w:cs="仿宋"/>
          <w:i w:val="0"/>
          <w:iCs w:val="0"/>
          <w:color w:val="auto"/>
          <w:sz w:val="24"/>
          <w:szCs w:val="24"/>
          <w:u w:val="single"/>
        </w:rPr>
        <w:t>价</w:t>
      </w:r>
      <w:r>
        <w:rPr>
          <w:rFonts w:hint="eastAsia" w:ascii="仿宋" w:hAnsi="仿宋" w:eastAsia="仿宋" w:cs="仿宋"/>
          <w:color w:val="auto"/>
          <w:sz w:val="24"/>
          <w:szCs w:val="24"/>
          <w:u w:val="single"/>
        </w:rPr>
        <w:t xml:space="preserve">的 3%作为工程质量保证金  </w:t>
      </w:r>
      <w:r>
        <w:rPr>
          <w:rFonts w:hint="eastAsia" w:ascii="仿宋" w:hAnsi="仿宋" w:eastAsia="仿宋" w:cs="仿宋"/>
          <w:color w:val="auto"/>
          <w:sz w:val="24"/>
          <w:szCs w:val="24"/>
        </w:rPr>
        <w:t>。</w:t>
      </w:r>
    </w:p>
    <w:p w14:paraId="5E4FA75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15.3.1 承包人提供质量保证金的方式</w:t>
      </w:r>
    </w:p>
    <w:p w14:paraId="293D211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质量保证金采用以下第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种方式：</w:t>
      </w:r>
    </w:p>
    <w:p w14:paraId="35626CE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（1）质量保证金保函，保证金额为：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w:t>
      </w:r>
    </w:p>
    <w:p w14:paraId="59C19AA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3</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%的工程款；</w:t>
      </w:r>
    </w:p>
    <w:p w14:paraId="4299BE6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（3）其他方式:</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225836D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15.3.2 质量保证金的扣留 </w:t>
      </w:r>
    </w:p>
    <w:p w14:paraId="6DA3F64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质量保证金的扣留采取以下第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种方式：</w:t>
      </w:r>
    </w:p>
    <w:p w14:paraId="2513737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（1）在支付工程进度款时逐次扣留，在此情形下，质量保证金的计算基数不包括预付款的支付、扣回以及价格调整的金额；</w:t>
      </w:r>
    </w:p>
    <w:p w14:paraId="775AE48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（2）工程竣工结算时一次性扣留质量保证金；</w:t>
      </w:r>
    </w:p>
    <w:p w14:paraId="7DCDDA3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（3）其他扣留方式:</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462B7C7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关于质量保证金的补充约定：</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bookmarkEnd w:id="1265"/>
    <w:bookmarkEnd w:id="1266"/>
    <w:p w14:paraId="4236448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15.4保修</w:t>
      </w:r>
    </w:p>
    <w:bookmarkEnd w:id="1267"/>
    <w:p w14:paraId="04D478A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15.4.1 保修责任</w:t>
      </w:r>
    </w:p>
    <w:p w14:paraId="60B12CD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工程保修期为：</w:t>
      </w:r>
      <w:r>
        <w:rPr>
          <w:rFonts w:hint="eastAsia" w:ascii="仿宋" w:hAnsi="仿宋" w:eastAsia="仿宋" w:cs="仿宋"/>
          <w:color w:val="auto"/>
          <w:kern w:val="0"/>
          <w:sz w:val="24"/>
          <w:szCs w:val="24"/>
          <w:u w:val="single"/>
        </w:rPr>
        <w:t xml:space="preserve">    见工程质量保修书             </w:t>
      </w:r>
      <w:r>
        <w:rPr>
          <w:rFonts w:hint="eastAsia" w:ascii="仿宋" w:hAnsi="仿宋" w:eastAsia="仿宋" w:cs="仿宋"/>
          <w:color w:val="auto"/>
          <w:kern w:val="0"/>
          <w:sz w:val="24"/>
          <w:szCs w:val="24"/>
        </w:rPr>
        <w:t>。</w:t>
      </w:r>
    </w:p>
    <w:p w14:paraId="5094034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15.4.3 修复通知</w:t>
      </w:r>
    </w:p>
    <w:p w14:paraId="2246F025">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承包人收到保修通知并到达工程现场的合理时间：</w:t>
      </w:r>
      <w:r>
        <w:rPr>
          <w:rFonts w:hint="eastAsia" w:ascii="仿宋" w:hAnsi="仿宋" w:eastAsia="仿宋" w:cs="仿宋"/>
          <w:color w:val="auto"/>
          <w:kern w:val="0"/>
          <w:sz w:val="24"/>
          <w:szCs w:val="24"/>
          <w:u w:val="single"/>
        </w:rPr>
        <w:t xml:space="preserve">   收到通知后 24 小时内    </w:t>
      </w:r>
      <w:r>
        <w:rPr>
          <w:rFonts w:hint="eastAsia" w:ascii="仿宋" w:hAnsi="仿宋" w:eastAsia="仿宋" w:cs="仿宋"/>
          <w:color w:val="auto"/>
          <w:kern w:val="0"/>
          <w:sz w:val="24"/>
          <w:szCs w:val="24"/>
        </w:rPr>
        <w:t>。</w:t>
      </w:r>
    </w:p>
    <w:bookmarkEnd w:id="1268"/>
    <w:bookmarkEnd w:id="1269"/>
    <w:bookmarkEnd w:id="1270"/>
    <w:bookmarkEnd w:id="1271"/>
    <w:p w14:paraId="4B53BAF1">
      <w:pPr>
        <w:pStyle w:val="5"/>
        <w:pageBreakBefore w:val="0"/>
        <w:kinsoku/>
        <w:overflowPunct/>
        <w:topLinePunct w:val="0"/>
        <w:bidi w:val="0"/>
        <w:spacing w:line="440" w:lineRule="exact"/>
        <w:rPr>
          <w:rFonts w:hint="eastAsia" w:ascii="仿宋" w:hAnsi="仿宋" w:eastAsia="仿宋" w:cs="仿宋"/>
          <w:color w:val="auto"/>
          <w:sz w:val="24"/>
          <w:szCs w:val="24"/>
        </w:rPr>
      </w:pPr>
      <w:bookmarkStart w:id="1294" w:name="_Toc351203648"/>
      <w:bookmarkStart w:id="1295" w:name="_Toc280868717"/>
      <w:bookmarkStart w:id="1296" w:name="_Toc280868718"/>
      <w:r>
        <w:rPr>
          <w:rFonts w:hint="eastAsia" w:ascii="仿宋" w:hAnsi="仿宋" w:eastAsia="仿宋" w:cs="仿宋"/>
          <w:color w:val="auto"/>
          <w:sz w:val="24"/>
          <w:szCs w:val="24"/>
        </w:rPr>
        <w:t>16. 违约</w:t>
      </w:r>
      <w:bookmarkEnd w:id="1294"/>
    </w:p>
    <w:p w14:paraId="6E9E2D6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16.1 发包人违约</w:t>
      </w:r>
    </w:p>
    <w:p w14:paraId="1FBEE1F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16.1.1发包人违约的情形</w:t>
      </w:r>
    </w:p>
    <w:p w14:paraId="6693AEB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发包人违约的其他情形：</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49D26E5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16.1.2 发包人违约的责任</w:t>
      </w:r>
    </w:p>
    <w:p w14:paraId="3CEF2DD7">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发包人违约责任的承担方式和计算方法：</w:t>
      </w:r>
    </w:p>
    <w:p w14:paraId="4A82F8D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（1）因发包人原因未能在计划开工日期前7天内下达开工通知的违约责任：</w:t>
      </w:r>
      <w:r>
        <w:rPr>
          <w:rFonts w:hint="eastAsia" w:ascii="仿宋" w:hAnsi="仿宋" w:eastAsia="仿宋" w:cs="仿宋"/>
          <w:color w:val="auto"/>
          <w:kern w:val="0"/>
          <w:sz w:val="24"/>
          <w:szCs w:val="24"/>
          <w:u w:val="single"/>
        </w:rPr>
        <w:t xml:space="preserve">      执行通用条款                      </w:t>
      </w:r>
      <w:r>
        <w:rPr>
          <w:rFonts w:hint="eastAsia" w:ascii="仿宋" w:hAnsi="仿宋" w:eastAsia="仿宋" w:cs="仿宋"/>
          <w:color w:val="auto"/>
          <w:kern w:val="0"/>
          <w:sz w:val="24"/>
          <w:szCs w:val="24"/>
        </w:rPr>
        <w:t>。</w:t>
      </w:r>
    </w:p>
    <w:p w14:paraId="03BC783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（2）因发包人原因未能按合同约定支付合同价款的违约责任：</w:t>
      </w:r>
      <w:r>
        <w:rPr>
          <w:rFonts w:hint="eastAsia" w:ascii="仿宋" w:hAnsi="仿宋" w:eastAsia="仿宋" w:cs="仿宋"/>
          <w:color w:val="auto"/>
          <w:kern w:val="0"/>
          <w:sz w:val="24"/>
          <w:szCs w:val="24"/>
          <w:u w:val="single"/>
        </w:rPr>
        <w:t xml:space="preserve">        执行通用条款                     </w:t>
      </w:r>
      <w:r>
        <w:rPr>
          <w:rFonts w:hint="eastAsia" w:ascii="仿宋" w:hAnsi="仿宋" w:eastAsia="仿宋" w:cs="仿宋"/>
          <w:color w:val="auto"/>
          <w:kern w:val="0"/>
          <w:sz w:val="24"/>
          <w:szCs w:val="24"/>
        </w:rPr>
        <w:t>。</w:t>
      </w:r>
    </w:p>
    <w:p w14:paraId="43DF778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（3）发包人违反第10.1款〔变更的范围〕第（2）项约定，自行实施被取消的工作或转由他人实施的违约责任：</w:t>
      </w:r>
      <w:r>
        <w:rPr>
          <w:rFonts w:hint="eastAsia" w:ascii="仿宋" w:hAnsi="仿宋" w:eastAsia="仿宋" w:cs="仿宋"/>
          <w:color w:val="auto"/>
          <w:kern w:val="0"/>
          <w:sz w:val="24"/>
          <w:szCs w:val="24"/>
          <w:u w:val="single"/>
        </w:rPr>
        <w:t xml:space="preserve">    执行通用条款        </w:t>
      </w:r>
      <w:r>
        <w:rPr>
          <w:rFonts w:hint="eastAsia" w:ascii="仿宋" w:hAnsi="仿宋" w:eastAsia="仿宋" w:cs="仿宋"/>
          <w:color w:val="auto"/>
          <w:kern w:val="0"/>
          <w:sz w:val="24"/>
          <w:szCs w:val="24"/>
        </w:rPr>
        <w:t>。</w:t>
      </w:r>
    </w:p>
    <w:p w14:paraId="15711EA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sz w:val="24"/>
          <w:szCs w:val="24"/>
          <w:u w:val="single"/>
        </w:rPr>
        <w:t xml:space="preserve">      执行通用条款                      </w:t>
      </w:r>
      <w:r>
        <w:rPr>
          <w:rFonts w:hint="eastAsia" w:ascii="仿宋" w:hAnsi="仿宋" w:eastAsia="仿宋" w:cs="仿宋"/>
          <w:color w:val="auto"/>
          <w:kern w:val="0"/>
          <w:sz w:val="24"/>
          <w:szCs w:val="24"/>
        </w:rPr>
        <w:t>。</w:t>
      </w:r>
    </w:p>
    <w:p w14:paraId="3580FB5F">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（5）因发包人违反合同约定造成暂停施工的违约责任：</w:t>
      </w:r>
      <w:r>
        <w:rPr>
          <w:rFonts w:hint="eastAsia" w:ascii="仿宋" w:hAnsi="仿宋" w:eastAsia="仿宋" w:cs="仿宋"/>
          <w:color w:val="auto"/>
          <w:kern w:val="0"/>
          <w:sz w:val="24"/>
          <w:szCs w:val="24"/>
          <w:u w:val="single"/>
        </w:rPr>
        <w:t xml:space="preserve">     </w:t>
      </w:r>
    </w:p>
    <w:p w14:paraId="1F5C694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u w:val="single"/>
        </w:rPr>
        <w:t xml:space="preserve">             执行通用条款                              </w:t>
      </w:r>
      <w:r>
        <w:rPr>
          <w:rFonts w:hint="eastAsia" w:ascii="仿宋" w:hAnsi="仿宋" w:eastAsia="仿宋" w:cs="仿宋"/>
          <w:color w:val="auto"/>
          <w:kern w:val="0"/>
          <w:sz w:val="24"/>
          <w:szCs w:val="24"/>
        </w:rPr>
        <w:t>。</w:t>
      </w:r>
    </w:p>
    <w:p w14:paraId="5931B1E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（6）发包人无正当理由没有在约定期限内发出复工指示，导致承包人无法复工的违约责任：</w:t>
      </w:r>
      <w:r>
        <w:rPr>
          <w:rFonts w:hint="eastAsia" w:ascii="仿宋" w:hAnsi="仿宋" w:eastAsia="仿宋" w:cs="仿宋"/>
          <w:color w:val="auto"/>
          <w:kern w:val="0"/>
          <w:sz w:val="24"/>
          <w:szCs w:val="24"/>
          <w:u w:val="single"/>
        </w:rPr>
        <w:t xml:space="preserve">      执行通用条款           </w:t>
      </w:r>
      <w:r>
        <w:rPr>
          <w:rFonts w:hint="eastAsia" w:ascii="仿宋" w:hAnsi="仿宋" w:eastAsia="仿宋" w:cs="仿宋"/>
          <w:color w:val="auto"/>
          <w:kern w:val="0"/>
          <w:sz w:val="24"/>
          <w:szCs w:val="24"/>
        </w:rPr>
        <w:t>。</w:t>
      </w:r>
    </w:p>
    <w:p w14:paraId="2EB0338B">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（7）其他：</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3757616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16.1.3 因发包人违约解除合同</w:t>
      </w:r>
    </w:p>
    <w:p w14:paraId="60D8260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承包人按16.1.1项〔发包人违约的情形〕约定暂停施工满</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天后发包人仍不纠正其违约行为并致使合同目的不能实现的，承包人有权解除合同。</w:t>
      </w:r>
    </w:p>
    <w:p w14:paraId="5AB5E3B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16.2 承包人违约</w:t>
      </w:r>
    </w:p>
    <w:p w14:paraId="53626D7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16.2.1 承包人违约的情形</w:t>
      </w:r>
    </w:p>
    <w:p w14:paraId="3B375F79">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承包人违约的其他情形：</w:t>
      </w:r>
      <w:r>
        <w:rPr>
          <w:rFonts w:hint="eastAsia" w:ascii="仿宋" w:hAnsi="仿宋" w:eastAsia="仿宋" w:cs="仿宋"/>
          <w:color w:val="auto"/>
          <w:kern w:val="0"/>
          <w:sz w:val="24"/>
          <w:szCs w:val="24"/>
          <w:u w:val="single"/>
        </w:rPr>
        <w:t xml:space="preserve">  （1）因承包人原因造成工程质量不合格的，承包人应承担全部经济责任，扣除履约保证金的同时，并按终审价 5%向发包人支付违约金。承包人应按照施工图设计要求将不合格的工程返工至合格，返工费用由承包人承担。如果因承包人原因造成工期延误而遇不可抗力时，责任由承包人全部承担，并承担工程不能按期竣工的违约责任；（2）承包</w:t>
      </w:r>
      <w:r>
        <w:rPr>
          <w:rFonts w:hint="eastAsia" w:ascii="仿宋" w:hAnsi="仿宋" w:eastAsia="仿宋" w:cs="仿宋"/>
          <w:color w:val="auto"/>
          <w:kern w:val="0"/>
          <w:sz w:val="24"/>
          <w:szCs w:val="24"/>
          <w:u w:val="single"/>
          <w:lang w:val="en-US" w:eastAsia="zh-CN"/>
        </w:rPr>
        <w:t>人</w:t>
      </w:r>
      <w:r>
        <w:rPr>
          <w:rFonts w:hint="eastAsia" w:ascii="仿宋" w:hAnsi="仿宋" w:eastAsia="仿宋" w:cs="仿宋"/>
          <w:color w:val="auto"/>
          <w:kern w:val="0"/>
          <w:sz w:val="24"/>
          <w:szCs w:val="24"/>
          <w:u w:val="single"/>
        </w:rPr>
        <w:t>不能以发包方工程建设资金不到位等原由，而停工或不按照发包方要求进行工程施工，也不能因此而拖欠工人工资，造成工人上访</w:t>
      </w:r>
      <w:r>
        <w:rPr>
          <w:rFonts w:hint="eastAsia" w:ascii="仿宋" w:hAnsi="仿宋" w:eastAsia="仿宋" w:cs="仿宋"/>
          <w:color w:val="auto"/>
          <w:kern w:val="0"/>
          <w:sz w:val="24"/>
          <w:szCs w:val="24"/>
          <w:u w:val="single"/>
          <w:lang w:eastAsia="zh-CN"/>
        </w:rPr>
        <w:t>，</w:t>
      </w:r>
      <w:r>
        <w:rPr>
          <w:rFonts w:hint="eastAsia" w:ascii="仿宋" w:hAnsi="仿宋" w:eastAsia="仿宋" w:cs="仿宋"/>
          <w:i w:val="0"/>
          <w:iCs w:val="0"/>
          <w:color w:val="auto"/>
          <w:kern w:val="0"/>
          <w:sz w:val="24"/>
          <w:szCs w:val="24"/>
          <w:u w:val="single"/>
          <w:lang w:val="en-US" w:eastAsia="zh-CN"/>
        </w:rPr>
        <w:t>否则应按1万元/人/次的标准向发包人偿付违约金</w:t>
      </w:r>
      <w:r>
        <w:rPr>
          <w:rFonts w:hint="eastAsia" w:ascii="仿宋" w:hAnsi="仿宋" w:eastAsia="仿宋" w:cs="仿宋"/>
          <w:i w:val="0"/>
          <w:iCs w:val="0"/>
          <w:color w:val="auto"/>
          <w:kern w:val="0"/>
          <w:sz w:val="24"/>
          <w:szCs w:val="24"/>
          <w:u w:val="single"/>
        </w:rPr>
        <w:t>；</w:t>
      </w:r>
      <w:r>
        <w:rPr>
          <w:rFonts w:hint="eastAsia" w:ascii="仿宋" w:hAnsi="仿宋" w:eastAsia="仿宋" w:cs="仿宋"/>
          <w:color w:val="auto"/>
          <w:kern w:val="0"/>
          <w:sz w:val="24"/>
          <w:szCs w:val="24"/>
          <w:u w:val="single"/>
        </w:rPr>
        <w:t>若发生以上情况，承包</w:t>
      </w:r>
      <w:r>
        <w:rPr>
          <w:rFonts w:hint="eastAsia" w:ascii="仿宋" w:hAnsi="仿宋" w:eastAsia="仿宋" w:cs="仿宋"/>
          <w:color w:val="auto"/>
          <w:kern w:val="0"/>
          <w:sz w:val="24"/>
          <w:szCs w:val="24"/>
          <w:u w:val="single"/>
          <w:lang w:val="en-US" w:eastAsia="zh-CN"/>
        </w:rPr>
        <w:t>人</w:t>
      </w:r>
      <w:r>
        <w:rPr>
          <w:rFonts w:hint="eastAsia" w:ascii="仿宋" w:hAnsi="仿宋" w:eastAsia="仿宋" w:cs="仿宋"/>
          <w:color w:val="auto"/>
          <w:kern w:val="0"/>
          <w:sz w:val="24"/>
          <w:szCs w:val="24"/>
          <w:u w:val="single"/>
        </w:rPr>
        <w:t xml:space="preserve">承诺将在三年内不参加发包方组织的招投标活动，并接受发包方扣除本工程全部履约保证金的处罚   </w:t>
      </w:r>
      <w:r>
        <w:rPr>
          <w:rFonts w:hint="eastAsia" w:ascii="仿宋" w:hAnsi="仿宋" w:eastAsia="仿宋" w:cs="仿宋"/>
          <w:color w:val="auto"/>
          <w:kern w:val="0"/>
          <w:sz w:val="24"/>
          <w:szCs w:val="24"/>
        </w:rPr>
        <w:t>。</w:t>
      </w:r>
    </w:p>
    <w:p w14:paraId="3556DA8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16.2.2承包人违约的责任</w:t>
      </w:r>
    </w:p>
    <w:p w14:paraId="25A8963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承包人违约责任的承担方式和计算方法：</w:t>
      </w:r>
      <w:r>
        <w:rPr>
          <w:rFonts w:hint="eastAsia" w:ascii="仿宋" w:hAnsi="仿宋" w:eastAsia="仿宋" w:cs="仿宋"/>
          <w:color w:val="auto"/>
          <w:kern w:val="0"/>
          <w:sz w:val="24"/>
          <w:szCs w:val="24"/>
          <w:u w:val="single"/>
        </w:rPr>
        <w:t xml:space="preserve">  按照合同工期，每推延一天，赔偿壹万元整，投标报价中计取的赶工期措施费扣除同时还得赔偿由于延误给发包人</w:t>
      </w:r>
      <w:r>
        <w:rPr>
          <w:rFonts w:hint="eastAsia" w:ascii="仿宋" w:hAnsi="仿宋" w:eastAsia="仿宋" w:cs="仿宋"/>
          <w:color w:val="auto"/>
          <w:kern w:val="0"/>
          <w:sz w:val="24"/>
          <w:szCs w:val="24"/>
          <w:u w:val="single"/>
          <w:lang w:eastAsia="zh-CN"/>
        </w:rPr>
        <w:t>带来的其他</w:t>
      </w:r>
      <w:r>
        <w:rPr>
          <w:rFonts w:hint="eastAsia" w:ascii="仿宋" w:hAnsi="仿宋" w:eastAsia="仿宋" w:cs="仿宋"/>
          <w:color w:val="auto"/>
          <w:kern w:val="0"/>
          <w:sz w:val="24"/>
          <w:szCs w:val="24"/>
          <w:u w:val="single"/>
        </w:rPr>
        <w:t xml:space="preserve">损失  </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 xml:space="preserve">    </w:t>
      </w:r>
    </w:p>
    <w:p w14:paraId="51187EB6">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16.2.3 因承包人违约解除合同</w:t>
      </w:r>
    </w:p>
    <w:p w14:paraId="7243E13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关于承包人违约解除合同的特别约定：</w:t>
      </w:r>
      <w:r>
        <w:rPr>
          <w:rFonts w:hint="eastAsia" w:ascii="仿宋" w:hAnsi="仿宋" w:eastAsia="仿宋" w:cs="仿宋"/>
          <w:color w:val="auto"/>
          <w:kern w:val="0"/>
          <w:sz w:val="24"/>
          <w:szCs w:val="24"/>
          <w:u w:val="single"/>
        </w:rPr>
        <w:t xml:space="preserve"> 按通用条款执行    </w:t>
      </w:r>
      <w:r>
        <w:rPr>
          <w:rFonts w:hint="eastAsia" w:ascii="仿宋" w:hAnsi="仿宋" w:eastAsia="仿宋" w:cs="仿宋"/>
          <w:color w:val="auto"/>
          <w:kern w:val="0"/>
          <w:sz w:val="24"/>
          <w:szCs w:val="24"/>
        </w:rPr>
        <w:t>。</w:t>
      </w:r>
    </w:p>
    <w:p w14:paraId="5FBAC84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sz w:val="24"/>
          <w:szCs w:val="24"/>
          <w:u w:val="single"/>
        </w:rPr>
        <w:t xml:space="preserve">    经双方协商后确认                      </w:t>
      </w:r>
      <w:r>
        <w:rPr>
          <w:rFonts w:hint="eastAsia" w:ascii="仿宋" w:hAnsi="仿宋" w:eastAsia="仿宋" w:cs="仿宋"/>
          <w:color w:val="auto"/>
          <w:kern w:val="0"/>
          <w:sz w:val="24"/>
          <w:szCs w:val="24"/>
        </w:rPr>
        <w:t>。</w:t>
      </w:r>
    </w:p>
    <w:p w14:paraId="11CC3A05">
      <w:pPr>
        <w:pStyle w:val="5"/>
        <w:pageBreakBefore w:val="0"/>
        <w:kinsoku/>
        <w:overflowPunct/>
        <w:topLinePunct w:val="0"/>
        <w:bidi w:val="0"/>
        <w:spacing w:line="440" w:lineRule="exact"/>
        <w:rPr>
          <w:rFonts w:hint="eastAsia" w:ascii="仿宋" w:hAnsi="仿宋" w:eastAsia="仿宋" w:cs="仿宋"/>
          <w:color w:val="auto"/>
          <w:sz w:val="24"/>
          <w:szCs w:val="24"/>
        </w:rPr>
      </w:pPr>
      <w:bookmarkStart w:id="1297" w:name="_Toc351203649"/>
      <w:r>
        <w:rPr>
          <w:rFonts w:hint="eastAsia" w:ascii="仿宋" w:hAnsi="仿宋" w:eastAsia="仿宋" w:cs="仿宋"/>
          <w:color w:val="auto"/>
          <w:sz w:val="24"/>
          <w:szCs w:val="24"/>
        </w:rPr>
        <w:t>17. 不可抗力</w:t>
      </w:r>
      <w:bookmarkEnd w:id="1297"/>
      <w:r>
        <w:rPr>
          <w:rFonts w:hint="eastAsia" w:ascii="仿宋" w:hAnsi="仿宋" w:eastAsia="仿宋" w:cs="仿宋"/>
          <w:color w:val="auto"/>
          <w:sz w:val="24"/>
          <w:szCs w:val="24"/>
        </w:rPr>
        <w:t xml:space="preserve"> </w:t>
      </w:r>
      <w:bookmarkEnd w:id="1295"/>
    </w:p>
    <w:p w14:paraId="3A0FD73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17.1 不可抗力的确认</w:t>
      </w:r>
    </w:p>
    <w:p w14:paraId="230D354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u w:val="single"/>
        </w:rPr>
      </w:pPr>
      <w:r>
        <w:rPr>
          <w:rFonts w:hint="eastAsia" w:ascii="仿宋" w:hAnsi="仿宋" w:eastAsia="仿宋" w:cs="仿宋"/>
          <w:color w:val="auto"/>
          <w:sz w:val="24"/>
          <w:szCs w:val="24"/>
        </w:rPr>
        <w:t xml:space="preserve">除通用合同条款约定的不可抗力事件之外，视为不可抗力的其他情形： </w:t>
      </w:r>
      <w:r>
        <w:rPr>
          <w:rFonts w:hint="eastAsia" w:ascii="仿宋" w:hAnsi="仿宋" w:eastAsia="仿宋" w:cs="仿宋"/>
          <w:color w:val="auto"/>
          <w:kern w:val="0"/>
          <w:sz w:val="24"/>
          <w:szCs w:val="24"/>
          <w:u w:val="single"/>
        </w:rPr>
        <w:t xml:space="preserve">  不可抗力不包括（1）因一方或其雇员的疏忽或有意行为而造成的事件；（2）勤勉的一方可以合理</w:t>
      </w:r>
      <w:r>
        <w:rPr>
          <w:rFonts w:hint="eastAsia" w:ascii="仿宋" w:hAnsi="仿宋" w:eastAsia="仿宋" w:cs="仿宋"/>
          <w:color w:val="auto"/>
          <w:kern w:val="0"/>
          <w:sz w:val="24"/>
          <w:szCs w:val="24"/>
          <w:u w:val="single"/>
          <w:lang w:eastAsia="zh-CN"/>
        </w:rPr>
        <w:t>地</w:t>
      </w:r>
      <w:r>
        <w:rPr>
          <w:rFonts w:hint="eastAsia" w:ascii="仿宋" w:hAnsi="仿宋" w:eastAsia="仿宋" w:cs="仿宋"/>
          <w:color w:val="auto"/>
          <w:kern w:val="0"/>
          <w:sz w:val="24"/>
          <w:szCs w:val="24"/>
          <w:u w:val="single"/>
        </w:rPr>
        <w:t xml:space="preserve">在合同签署时考虑到和在以后履行义务时避免或克服的事件；（3）不可抗力不包括资金短缺或无力支付   </w:t>
      </w:r>
      <w:r>
        <w:rPr>
          <w:rFonts w:hint="eastAsia" w:ascii="仿宋" w:hAnsi="仿宋" w:eastAsia="仿宋" w:cs="仿宋"/>
          <w:color w:val="auto"/>
          <w:kern w:val="0"/>
          <w:sz w:val="24"/>
          <w:szCs w:val="24"/>
        </w:rPr>
        <w:t>。</w:t>
      </w:r>
    </w:p>
    <w:p w14:paraId="4695066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17.4 因不可抗力解除合同</w:t>
      </w:r>
    </w:p>
    <w:p w14:paraId="7849D3C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合同解除后，发包人应在商定或确定发包人应支付款项后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90</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天内完成款项的支付。</w:t>
      </w:r>
    </w:p>
    <w:p w14:paraId="021D9A90">
      <w:pPr>
        <w:pStyle w:val="5"/>
        <w:pageBreakBefore w:val="0"/>
        <w:kinsoku/>
        <w:overflowPunct/>
        <w:topLinePunct w:val="0"/>
        <w:bidi w:val="0"/>
        <w:spacing w:line="440" w:lineRule="exact"/>
        <w:rPr>
          <w:rFonts w:hint="eastAsia" w:ascii="仿宋" w:hAnsi="仿宋" w:eastAsia="仿宋" w:cs="仿宋"/>
          <w:color w:val="auto"/>
          <w:sz w:val="24"/>
          <w:szCs w:val="24"/>
        </w:rPr>
      </w:pPr>
      <w:bookmarkStart w:id="1298" w:name="_Toc351203650"/>
      <w:r>
        <w:rPr>
          <w:rFonts w:hint="eastAsia" w:ascii="仿宋" w:hAnsi="仿宋" w:eastAsia="仿宋" w:cs="仿宋"/>
          <w:color w:val="auto"/>
          <w:sz w:val="24"/>
          <w:szCs w:val="24"/>
        </w:rPr>
        <w:t>18. 保险</w:t>
      </w:r>
      <w:bookmarkEnd w:id="1298"/>
    </w:p>
    <w:bookmarkEnd w:id="1296"/>
    <w:p w14:paraId="7423DB6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18.1 工程保险</w:t>
      </w:r>
    </w:p>
    <w:p w14:paraId="05BB3EC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关于工程保险的特别约定：</w:t>
      </w:r>
      <w:r>
        <w:rPr>
          <w:rFonts w:hint="eastAsia" w:ascii="仿宋" w:hAnsi="仿宋" w:eastAsia="仿宋" w:cs="仿宋"/>
          <w:color w:val="auto"/>
          <w:kern w:val="0"/>
          <w:sz w:val="24"/>
          <w:szCs w:val="24"/>
          <w:u w:val="single"/>
        </w:rPr>
        <w:t xml:space="preserve">    由承包人投保，费用含在合同价中  </w:t>
      </w:r>
      <w:r>
        <w:rPr>
          <w:rFonts w:hint="eastAsia" w:ascii="仿宋" w:hAnsi="仿宋" w:eastAsia="仿宋" w:cs="仿宋"/>
          <w:color w:val="auto"/>
          <w:kern w:val="0"/>
          <w:sz w:val="24"/>
          <w:szCs w:val="24"/>
        </w:rPr>
        <w:t>。</w:t>
      </w:r>
    </w:p>
    <w:p w14:paraId="7EC58E9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18.3 其他保险</w:t>
      </w:r>
    </w:p>
    <w:p w14:paraId="6EDCB25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关于其他保险的约定：</w:t>
      </w:r>
      <w:r>
        <w:rPr>
          <w:rFonts w:hint="eastAsia" w:ascii="仿宋" w:hAnsi="仿宋" w:eastAsia="仿宋" w:cs="仿宋"/>
          <w:color w:val="auto"/>
          <w:kern w:val="0"/>
          <w:sz w:val="24"/>
          <w:szCs w:val="24"/>
          <w:u w:val="single"/>
        </w:rPr>
        <w:t xml:space="preserve">  承包人应为施工现场的全部人员办理意外保险并支付保险费用   </w:t>
      </w:r>
      <w:r>
        <w:rPr>
          <w:rFonts w:hint="eastAsia" w:ascii="仿宋" w:hAnsi="仿宋" w:eastAsia="仿宋" w:cs="仿宋"/>
          <w:color w:val="auto"/>
          <w:kern w:val="0"/>
          <w:sz w:val="24"/>
          <w:szCs w:val="24"/>
        </w:rPr>
        <w:t>。</w:t>
      </w:r>
    </w:p>
    <w:p w14:paraId="567A022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承包人是否应为其施工设备等办理财产保险：</w:t>
      </w:r>
      <w:r>
        <w:rPr>
          <w:rFonts w:hint="eastAsia" w:ascii="仿宋" w:hAnsi="仿宋" w:eastAsia="仿宋" w:cs="仿宋"/>
          <w:color w:val="auto"/>
          <w:sz w:val="24"/>
          <w:szCs w:val="24"/>
          <w:u w:val="single"/>
        </w:rPr>
        <w:t xml:space="preserve">   按通用条款执行   </w:t>
      </w:r>
      <w:r>
        <w:rPr>
          <w:rFonts w:hint="eastAsia" w:ascii="仿宋" w:hAnsi="仿宋" w:eastAsia="仿宋" w:cs="仿宋"/>
          <w:color w:val="auto"/>
          <w:sz w:val="24"/>
          <w:szCs w:val="24"/>
        </w:rPr>
        <w:t>。</w:t>
      </w:r>
    </w:p>
    <w:p w14:paraId="06144B8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18.7 通知义务</w:t>
      </w:r>
    </w:p>
    <w:p w14:paraId="485F0E2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关于变更保险合同时的通知义务的约定：</w:t>
      </w:r>
      <w:r>
        <w:rPr>
          <w:rFonts w:hint="eastAsia" w:ascii="仿宋" w:hAnsi="仿宋" w:eastAsia="仿宋" w:cs="仿宋"/>
          <w:color w:val="auto"/>
          <w:sz w:val="24"/>
          <w:szCs w:val="24"/>
          <w:u w:val="single"/>
        </w:rPr>
        <w:t xml:space="preserve">    按通用条款执行        </w:t>
      </w:r>
      <w:r>
        <w:rPr>
          <w:rFonts w:hint="eastAsia" w:ascii="仿宋" w:hAnsi="仿宋" w:eastAsia="仿宋" w:cs="仿宋"/>
          <w:color w:val="auto"/>
          <w:sz w:val="24"/>
          <w:szCs w:val="24"/>
        </w:rPr>
        <w:t>。</w:t>
      </w:r>
    </w:p>
    <w:bookmarkEnd w:id="1272"/>
    <w:bookmarkEnd w:id="1273"/>
    <w:bookmarkEnd w:id="1274"/>
    <w:bookmarkEnd w:id="1275"/>
    <w:bookmarkEnd w:id="1276"/>
    <w:bookmarkEnd w:id="1277"/>
    <w:bookmarkEnd w:id="1278"/>
    <w:bookmarkEnd w:id="1279"/>
    <w:bookmarkEnd w:id="1280"/>
    <w:bookmarkEnd w:id="1281"/>
    <w:bookmarkEnd w:id="1282"/>
    <w:bookmarkEnd w:id="1283"/>
    <w:p w14:paraId="05A2006F">
      <w:pPr>
        <w:pStyle w:val="5"/>
        <w:pageBreakBefore w:val="0"/>
        <w:kinsoku/>
        <w:overflowPunct/>
        <w:topLinePunct w:val="0"/>
        <w:bidi w:val="0"/>
        <w:spacing w:line="440" w:lineRule="exact"/>
        <w:rPr>
          <w:rFonts w:hint="eastAsia" w:ascii="仿宋" w:hAnsi="仿宋" w:eastAsia="仿宋" w:cs="仿宋"/>
          <w:color w:val="auto"/>
          <w:sz w:val="24"/>
          <w:szCs w:val="24"/>
        </w:rPr>
      </w:pPr>
      <w:bookmarkStart w:id="1299" w:name="_Toc351203651"/>
      <w:r>
        <w:rPr>
          <w:rFonts w:hint="eastAsia" w:ascii="仿宋" w:hAnsi="仿宋" w:eastAsia="仿宋" w:cs="仿宋"/>
          <w:color w:val="auto"/>
          <w:sz w:val="24"/>
          <w:szCs w:val="24"/>
        </w:rPr>
        <w:t>20. 争议解决</w:t>
      </w:r>
      <w:bookmarkEnd w:id="1299"/>
    </w:p>
    <w:bookmarkEnd w:id="1284"/>
    <w:bookmarkEnd w:id="1285"/>
    <w:p w14:paraId="5102B82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20.3 争</w:t>
      </w:r>
      <w:bookmarkEnd w:id="1286"/>
      <w:r>
        <w:rPr>
          <w:rFonts w:hint="eastAsia" w:ascii="仿宋" w:hAnsi="仿宋" w:eastAsia="仿宋" w:cs="仿宋"/>
          <w:color w:val="auto"/>
          <w:sz w:val="24"/>
          <w:szCs w:val="24"/>
        </w:rPr>
        <w:t>议评审</w:t>
      </w:r>
    </w:p>
    <w:p w14:paraId="057EF8E0">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合同当事人是否同意将工程争议提交争议评审小组决定：</w:t>
      </w:r>
      <w:r>
        <w:rPr>
          <w:rFonts w:hint="eastAsia" w:ascii="仿宋" w:hAnsi="仿宋" w:eastAsia="仿宋" w:cs="仿宋"/>
          <w:color w:val="auto"/>
          <w:sz w:val="24"/>
          <w:szCs w:val="24"/>
          <w:u w:val="single"/>
        </w:rPr>
        <w:t xml:space="preserve">    </w:t>
      </w:r>
    </w:p>
    <w:p w14:paraId="3EC0511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否</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33861DF1">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20.3.1 争议评审小组的确定</w:t>
      </w:r>
    </w:p>
    <w:p w14:paraId="43946D1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争议评审小组成员的确定：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16C40F4">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选定争议评审员的期限：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2B5EDBC">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争议评审小组成员的报酬承担方式：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758E0A3">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其他事项的约定：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75C2B5D">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20.3.2 争议评审小组的决定</w:t>
      </w:r>
    </w:p>
    <w:p w14:paraId="78B5AA52">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合同当事人关于本项的约定：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F6A18C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20.4仲裁或诉讼</w:t>
      </w:r>
      <w:bookmarkEnd w:id="1287"/>
    </w:p>
    <w:p w14:paraId="0B6B3BDE">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因合同及合同有关事项发生的争议，按下列第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种方式解决：</w:t>
      </w:r>
    </w:p>
    <w:p w14:paraId="3CF168E8">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仲裁委员会申请仲裁；</w:t>
      </w:r>
    </w:p>
    <w:p w14:paraId="2CF0769A">
      <w:pPr>
        <w:pageBreakBefore w:val="0"/>
        <w:widowControl w:val="0"/>
        <w:kinsoku/>
        <w:wordWrap/>
        <w:overflowPunct/>
        <w:topLinePunct w:val="0"/>
        <w:autoSpaceDE w:val="0"/>
        <w:autoSpaceDN w:val="0"/>
        <w:bidi w:val="0"/>
        <w:adjustRightInd w:val="0"/>
        <w:snapToGrid w:val="0"/>
        <w:spacing w:before="0" w:after="0" w:line="440" w:lineRule="exact"/>
        <w:ind w:left="0" w:leftChars="0" w:right="0" w:rightChars="0"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（2）向</w:t>
      </w:r>
      <w:r>
        <w:rPr>
          <w:rFonts w:hint="eastAsia" w:ascii="仿宋" w:hAnsi="仿宋" w:eastAsia="仿宋" w:cs="仿宋"/>
          <w:color w:val="auto"/>
          <w:sz w:val="24"/>
          <w:szCs w:val="24"/>
          <w:u w:val="single"/>
        </w:rPr>
        <w:t xml:space="preserve"> </w:t>
      </w:r>
      <w:r>
        <w:rPr>
          <w:rFonts w:hint="eastAsia" w:ascii="仿宋" w:hAnsi="仿宋" w:eastAsia="仿宋" w:cs="仿宋"/>
          <w:i/>
          <w:iCs/>
          <w:color w:val="auto"/>
          <w:sz w:val="24"/>
          <w:szCs w:val="24"/>
          <w:u w:val="single"/>
        </w:rPr>
        <w:t xml:space="preserve"> </w:t>
      </w:r>
      <w:r>
        <w:rPr>
          <w:rFonts w:hint="eastAsia" w:ascii="仿宋" w:hAnsi="仿宋" w:eastAsia="仿宋" w:cs="仿宋"/>
          <w:i w:val="0"/>
          <w:iCs w:val="0"/>
          <w:color w:val="auto"/>
          <w:sz w:val="24"/>
          <w:szCs w:val="24"/>
          <w:u w:val="single"/>
          <w:lang w:val="en-US" w:eastAsia="zh-CN"/>
        </w:rPr>
        <w:t>工程所在地</w:t>
      </w:r>
      <w:r>
        <w:rPr>
          <w:rFonts w:hint="eastAsia" w:ascii="仿宋" w:hAnsi="仿宋" w:eastAsia="仿宋" w:cs="仿宋"/>
          <w:color w:val="auto"/>
          <w:sz w:val="24"/>
          <w:szCs w:val="24"/>
          <w:u w:val="single"/>
        </w:rPr>
        <w:t xml:space="preserve">有管辖权的 </w:t>
      </w:r>
      <w:r>
        <w:rPr>
          <w:rFonts w:hint="eastAsia" w:ascii="仿宋" w:hAnsi="仿宋" w:eastAsia="仿宋" w:cs="仿宋"/>
          <w:color w:val="auto"/>
          <w:sz w:val="24"/>
          <w:szCs w:val="24"/>
        </w:rPr>
        <w:t>人民法院起诉。</w:t>
      </w:r>
      <w:bookmarkEnd w:id="1288"/>
      <w:bookmarkEnd w:id="1289"/>
      <w:bookmarkEnd w:id="1290"/>
      <w:bookmarkEnd w:id="1291"/>
      <w:bookmarkEnd w:id="1292"/>
      <w:bookmarkEnd w:id="1293"/>
    </w:p>
    <w:p w14:paraId="06A0AD9C">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p>
    <w:p w14:paraId="7A186EDF">
      <w:pPr>
        <w:pageBreakBefore w:val="0"/>
        <w:kinsoku/>
        <w:overflowPunct/>
        <w:topLinePunct w:val="0"/>
        <w:bidi w:val="0"/>
        <w:spacing w:line="440" w:lineRule="exact"/>
        <w:jc w:val="left"/>
        <w:rPr>
          <w:rFonts w:hint="eastAsia" w:ascii="仿宋" w:hAnsi="仿宋" w:eastAsia="仿宋" w:cs="仿宋"/>
          <w:b/>
          <w:color w:val="auto"/>
          <w:sz w:val="24"/>
          <w:szCs w:val="24"/>
        </w:rPr>
      </w:pPr>
      <w:r>
        <w:rPr>
          <w:rFonts w:hint="eastAsia" w:ascii="仿宋" w:hAnsi="仿宋" w:eastAsia="仿宋" w:cs="仿宋"/>
          <w:color w:val="auto"/>
          <w:sz w:val="24"/>
          <w:szCs w:val="24"/>
        </w:rPr>
        <w:br w:type="page"/>
      </w:r>
      <w:bookmarkStart w:id="1300" w:name="_Toc351203652"/>
      <w:r>
        <w:rPr>
          <w:rFonts w:hint="eastAsia" w:ascii="仿宋" w:hAnsi="仿宋" w:eastAsia="仿宋" w:cs="仿宋"/>
          <w:b/>
          <w:color w:val="auto"/>
          <w:sz w:val="24"/>
          <w:szCs w:val="24"/>
        </w:rPr>
        <w:t>附件</w:t>
      </w:r>
      <w:bookmarkEnd w:id="1300"/>
    </w:p>
    <w:p w14:paraId="5C82C2F7">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协议书附件：</w:t>
      </w:r>
    </w:p>
    <w:p w14:paraId="6C763C1D">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附件1：承包人承揽工程项目一览表</w:t>
      </w:r>
    </w:p>
    <w:p w14:paraId="34050E90">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专用合同条款附件：</w:t>
      </w:r>
    </w:p>
    <w:p w14:paraId="1C9831ED">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附件2：发包人供应材料设备一览表</w:t>
      </w:r>
    </w:p>
    <w:p w14:paraId="24525032">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附件3：工程质量保修书</w:t>
      </w:r>
    </w:p>
    <w:p w14:paraId="1DB212CD">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附件4：主要建设工程文件目录</w:t>
      </w:r>
    </w:p>
    <w:p w14:paraId="03C3D32E">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附件5：承包人用于本工程施工的机械设备表</w:t>
      </w:r>
    </w:p>
    <w:p w14:paraId="12B60888">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附件6：承包人主要施工管理人员表</w:t>
      </w:r>
    </w:p>
    <w:p w14:paraId="05805958">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附件7：分包人主要施工管理人员表</w:t>
      </w:r>
    </w:p>
    <w:p w14:paraId="0C5AB547">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附件8：履约担保格式</w:t>
      </w:r>
    </w:p>
    <w:p w14:paraId="041A3EA7">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附件9：预付款担保格式</w:t>
      </w:r>
    </w:p>
    <w:p w14:paraId="4B96029B">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附件10：支付担保格式</w:t>
      </w:r>
    </w:p>
    <w:p w14:paraId="539C9355">
      <w:pPr>
        <w:pageBreakBefore w:val="0"/>
        <w:kinsoku/>
        <w:overflowPunct/>
        <w:topLinePunct w:val="0"/>
        <w:bidi w:val="0"/>
        <w:spacing w:line="440" w:lineRule="exact"/>
        <w:jc w:val="left"/>
        <w:rPr>
          <w:rFonts w:hint="eastAsia" w:ascii="仿宋" w:hAnsi="仿宋" w:eastAsia="仿宋" w:cs="仿宋"/>
          <w:color w:val="auto"/>
          <w:sz w:val="24"/>
          <w:szCs w:val="24"/>
        </w:rPr>
        <w:sectPr>
          <w:footerReference r:id="rId15" w:type="first"/>
          <w:footerReference r:id="rId14" w:type="default"/>
          <w:pgSz w:w="11906" w:h="16838"/>
          <w:pgMar w:top="1440" w:right="1463" w:bottom="1440" w:left="1463" w:header="851" w:footer="992" w:gutter="0"/>
          <w:pgNumType w:fmt="decimal"/>
          <w:cols w:space="720" w:num="1"/>
          <w:titlePg/>
          <w:docGrid w:type="lines" w:linePitch="312" w:charSpace="0"/>
        </w:sectPr>
      </w:pPr>
      <w:r>
        <w:rPr>
          <w:rFonts w:hint="eastAsia" w:ascii="仿宋" w:hAnsi="仿宋" w:eastAsia="仿宋" w:cs="仿宋"/>
          <w:color w:val="auto"/>
          <w:sz w:val="24"/>
          <w:szCs w:val="24"/>
        </w:rPr>
        <w:t>附件11：暂估价一览表</w:t>
      </w:r>
    </w:p>
    <w:p w14:paraId="36718D6C">
      <w:pPr>
        <w:pageBreakBefore w:val="0"/>
        <w:kinsoku/>
        <w:overflowPunct/>
        <w:topLinePunct w:val="0"/>
        <w:bidi w:val="0"/>
        <w:spacing w:before="156" w:beforeLines="50" w:after="156" w:afterLines="50"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附件1：</w:t>
      </w:r>
    </w:p>
    <w:p w14:paraId="0F00DDFE">
      <w:pPr>
        <w:pageBreakBefore w:val="0"/>
        <w:kinsoku/>
        <w:overflowPunct/>
        <w:topLinePunct w:val="0"/>
        <w:bidi w:val="0"/>
        <w:spacing w:before="156" w:beforeLines="50" w:after="156" w:afterLines="5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承包人承揽工程项目一览表</w:t>
      </w:r>
    </w:p>
    <w:tbl>
      <w:tblPr>
        <w:tblStyle w:val="20"/>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09EE1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239AD62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单位工程名称</w:t>
            </w:r>
          </w:p>
        </w:tc>
        <w:tc>
          <w:tcPr>
            <w:tcW w:w="1843" w:type="dxa"/>
            <w:tcBorders>
              <w:top w:val="single" w:color="auto" w:sz="12" w:space="0"/>
              <w:bottom w:val="double" w:color="auto" w:sz="6" w:space="0"/>
            </w:tcBorders>
            <w:noWrap w:val="0"/>
            <w:vAlign w:val="center"/>
          </w:tcPr>
          <w:p w14:paraId="043CED4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建设规模</w:t>
            </w:r>
          </w:p>
        </w:tc>
        <w:tc>
          <w:tcPr>
            <w:tcW w:w="1417" w:type="dxa"/>
            <w:tcBorders>
              <w:top w:val="single" w:color="auto" w:sz="12" w:space="0"/>
              <w:bottom w:val="double" w:color="auto" w:sz="6" w:space="0"/>
            </w:tcBorders>
            <w:noWrap w:val="0"/>
            <w:vAlign w:val="center"/>
          </w:tcPr>
          <w:p w14:paraId="7A56474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建筑面积(平方米)</w:t>
            </w:r>
          </w:p>
        </w:tc>
        <w:tc>
          <w:tcPr>
            <w:tcW w:w="2410" w:type="dxa"/>
            <w:tcBorders>
              <w:top w:val="single" w:color="auto" w:sz="12" w:space="0"/>
              <w:bottom w:val="double" w:color="auto" w:sz="6" w:space="0"/>
            </w:tcBorders>
            <w:noWrap w:val="0"/>
            <w:vAlign w:val="center"/>
          </w:tcPr>
          <w:p w14:paraId="79E04F8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结构形式</w:t>
            </w:r>
          </w:p>
        </w:tc>
        <w:tc>
          <w:tcPr>
            <w:tcW w:w="850" w:type="dxa"/>
            <w:tcBorders>
              <w:top w:val="single" w:color="auto" w:sz="12" w:space="0"/>
              <w:bottom w:val="double" w:color="auto" w:sz="6" w:space="0"/>
            </w:tcBorders>
            <w:noWrap w:val="0"/>
            <w:vAlign w:val="center"/>
          </w:tcPr>
          <w:p w14:paraId="52664A9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层数</w:t>
            </w:r>
          </w:p>
        </w:tc>
        <w:tc>
          <w:tcPr>
            <w:tcW w:w="1560" w:type="dxa"/>
            <w:tcBorders>
              <w:top w:val="single" w:color="auto" w:sz="12" w:space="0"/>
              <w:bottom w:val="double" w:color="auto" w:sz="6" w:space="0"/>
            </w:tcBorders>
            <w:noWrap w:val="0"/>
            <w:vAlign w:val="center"/>
          </w:tcPr>
          <w:p w14:paraId="3F9803B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生产能力</w:t>
            </w:r>
          </w:p>
        </w:tc>
        <w:tc>
          <w:tcPr>
            <w:tcW w:w="2126" w:type="dxa"/>
            <w:tcBorders>
              <w:top w:val="single" w:color="auto" w:sz="12" w:space="0"/>
              <w:bottom w:val="double" w:color="auto" w:sz="6" w:space="0"/>
            </w:tcBorders>
            <w:noWrap w:val="0"/>
            <w:vAlign w:val="center"/>
          </w:tcPr>
          <w:p w14:paraId="4ED1F34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设备安装内容</w:t>
            </w:r>
          </w:p>
        </w:tc>
        <w:tc>
          <w:tcPr>
            <w:tcW w:w="1417" w:type="dxa"/>
            <w:tcBorders>
              <w:top w:val="single" w:color="auto" w:sz="12" w:space="0"/>
              <w:bottom w:val="double" w:color="auto" w:sz="6" w:space="0"/>
            </w:tcBorders>
            <w:noWrap w:val="0"/>
            <w:vAlign w:val="center"/>
          </w:tcPr>
          <w:p w14:paraId="2DFBDB2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合同价格（元）</w:t>
            </w:r>
          </w:p>
        </w:tc>
        <w:tc>
          <w:tcPr>
            <w:tcW w:w="851" w:type="dxa"/>
            <w:tcBorders>
              <w:top w:val="single" w:color="auto" w:sz="12" w:space="0"/>
              <w:bottom w:val="double" w:color="auto" w:sz="6" w:space="0"/>
            </w:tcBorders>
            <w:noWrap w:val="0"/>
            <w:vAlign w:val="center"/>
          </w:tcPr>
          <w:p w14:paraId="34242C0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开工日期</w:t>
            </w:r>
          </w:p>
        </w:tc>
        <w:tc>
          <w:tcPr>
            <w:tcW w:w="850" w:type="dxa"/>
            <w:tcBorders>
              <w:top w:val="single" w:color="auto" w:sz="12" w:space="0"/>
              <w:bottom w:val="double" w:color="auto" w:sz="6" w:space="0"/>
            </w:tcBorders>
            <w:noWrap w:val="0"/>
            <w:vAlign w:val="center"/>
          </w:tcPr>
          <w:p w14:paraId="1E195D0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竣工日期</w:t>
            </w:r>
          </w:p>
        </w:tc>
      </w:tr>
      <w:tr w14:paraId="5837D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5B5BDBA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843" w:type="dxa"/>
            <w:tcBorders>
              <w:top w:val="double" w:color="auto" w:sz="6" w:space="0"/>
              <w:bottom w:val="single" w:color="auto" w:sz="6" w:space="0"/>
            </w:tcBorders>
            <w:noWrap w:val="0"/>
            <w:vAlign w:val="center"/>
          </w:tcPr>
          <w:p w14:paraId="6ED82E3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double" w:color="auto" w:sz="6" w:space="0"/>
              <w:bottom w:val="single" w:color="auto" w:sz="6" w:space="0"/>
            </w:tcBorders>
            <w:noWrap w:val="0"/>
            <w:vAlign w:val="center"/>
          </w:tcPr>
          <w:p w14:paraId="62F4789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410" w:type="dxa"/>
            <w:tcBorders>
              <w:top w:val="double" w:color="auto" w:sz="6" w:space="0"/>
              <w:bottom w:val="single" w:color="auto" w:sz="6" w:space="0"/>
            </w:tcBorders>
            <w:noWrap w:val="0"/>
            <w:vAlign w:val="center"/>
          </w:tcPr>
          <w:p w14:paraId="1013628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double" w:color="auto" w:sz="6" w:space="0"/>
              <w:bottom w:val="single" w:color="auto" w:sz="6" w:space="0"/>
            </w:tcBorders>
            <w:noWrap w:val="0"/>
            <w:vAlign w:val="center"/>
          </w:tcPr>
          <w:p w14:paraId="15BB3D1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560" w:type="dxa"/>
            <w:tcBorders>
              <w:top w:val="double" w:color="auto" w:sz="6" w:space="0"/>
              <w:bottom w:val="single" w:color="auto" w:sz="6" w:space="0"/>
            </w:tcBorders>
            <w:noWrap w:val="0"/>
            <w:vAlign w:val="center"/>
          </w:tcPr>
          <w:p w14:paraId="3341FD4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126" w:type="dxa"/>
            <w:tcBorders>
              <w:top w:val="double" w:color="auto" w:sz="6" w:space="0"/>
              <w:bottom w:val="single" w:color="auto" w:sz="6" w:space="0"/>
            </w:tcBorders>
            <w:noWrap w:val="0"/>
            <w:vAlign w:val="center"/>
          </w:tcPr>
          <w:p w14:paraId="59EACE2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double" w:color="auto" w:sz="6" w:space="0"/>
              <w:bottom w:val="single" w:color="auto" w:sz="6" w:space="0"/>
            </w:tcBorders>
            <w:noWrap w:val="0"/>
            <w:vAlign w:val="center"/>
          </w:tcPr>
          <w:p w14:paraId="29676AB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double" w:color="auto" w:sz="6" w:space="0"/>
              <w:bottom w:val="single" w:color="auto" w:sz="6" w:space="0"/>
            </w:tcBorders>
            <w:noWrap w:val="0"/>
            <w:vAlign w:val="center"/>
          </w:tcPr>
          <w:p w14:paraId="641B662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double" w:color="auto" w:sz="6" w:space="0"/>
              <w:bottom w:val="single" w:color="auto" w:sz="6" w:space="0"/>
            </w:tcBorders>
            <w:noWrap w:val="0"/>
            <w:vAlign w:val="center"/>
          </w:tcPr>
          <w:p w14:paraId="1F1DFDE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30BC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FCA371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843" w:type="dxa"/>
            <w:tcBorders>
              <w:top w:val="nil"/>
            </w:tcBorders>
            <w:noWrap w:val="0"/>
            <w:vAlign w:val="center"/>
          </w:tcPr>
          <w:p w14:paraId="55FA051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nil"/>
            </w:tcBorders>
            <w:noWrap w:val="0"/>
            <w:vAlign w:val="center"/>
          </w:tcPr>
          <w:p w14:paraId="42E2B51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410" w:type="dxa"/>
            <w:tcBorders>
              <w:top w:val="nil"/>
            </w:tcBorders>
            <w:noWrap w:val="0"/>
            <w:vAlign w:val="center"/>
          </w:tcPr>
          <w:p w14:paraId="5CA728D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7A8C576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560" w:type="dxa"/>
            <w:tcBorders>
              <w:top w:val="nil"/>
            </w:tcBorders>
            <w:noWrap w:val="0"/>
            <w:vAlign w:val="center"/>
          </w:tcPr>
          <w:p w14:paraId="3752B0D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126" w:type="dxa"/>
            <w:tcBorders>
              <w:top w:val="nil"/>
            </w:tcBorders>
            <w:noWrap w:val="0"/>
            <w:vAlign w:val="center"/>
          </w:tcPr>
          <w:p w14:paraId="2413F7E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nil"/>
            </w:tcBorders>
            <w:noWrap w:val="0"/>
            <w:vAlign w:val="center"/>
          </w:tcPr>
          <w:p w14:paraId="1B89044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nil"/>
            </w:tcBorders>
            <w:noWrap w:val="0"/>
            <w:vAlign w:val="center"/>
          </w:tcPr>
          <w:p w14:paraId="2A90C3B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4516324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576C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55717E8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843" w:type="dxa"/>
            <w:tcBorders>
              <w:top w:val="nil"/>
            </w:tcBorders>
            <w:noWrap w:val="0"/>
            <w:vAlign w:val="center"/>
          </w:tcPr>
          <w:p w14:paraId="7672978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nil"/>
            </w:tcBorders>
            <w:noWrap w:val="0"/>
            <w:vAlign w:val="center"/>
          </w:tcPr>
          <w:p w14:paraId="6E3529A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410" w:type="dxa"/>
            <w:tcBorders>
              <w:top w:val="nil"/>
            </w:tcBorders>
            <w:noWrap w:val="0"/>
            <w:vAlign w:val="center"/>
          </w:tcPr>
          <w:p w14:paraId="6C07196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110BB10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560" w:type="dxa"/>
            <w:tcBorders>
              <w:top w:val="nil"/>
            </w:tcBorders>
            <w:noWrap w:val="0"/>
            <w:vAlign w:val="center"/>
          </w:tcPr>
          <w:p w14:paraId="6C5D52D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126" w:type="dxa"/>
            <w:tcBorders>
              <w:top w:val="nil"/>
            </w:tcBorders>
            <w:noWrap w:val="0"/>
            <w:vAlign w:val="center"/>
          </w:tcPr>
          <w:p w14:paraId="366B420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nil"/>
            </w:tcBorders>
            <w:noWrap w:val="0"/>
            <w:vAlign w:val="center"/>
          </w:tcPr>
          <w:p w14:paraId="462B38C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nil"/>
            </w:tcBorders>
            <w:noWrap w:val="0"/>
            <w:vAlign w:val="center"/>
          </w:tcPr>
          <w:p w14:paraId="0A44BD0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271DE7E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4AAE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568B94C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843" w:type="dxa"/>
            <w:noWrap w:val="0"/>
            <w:vAlign w:val="center"/>
          </w:tcPr>
          <w:p w14:paraId="23F686D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noWrap w:val="0"/>
            <w:vAlign w:val="center"/>
          </w:tcPr>
          <w:p w14:paraId="5D0DF1C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410" w:type="dxa"/>
            <w:noWrap w:val="0"/>
            <w:vAlign w:val="center"/>
          </w:tcPr>
          <w:p w14:paraId="0234EF5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3F39797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560" w:type="dxa"/>
            <w:noWrap w:val="0"/>
            <w:vAlign w:val="center"/>
          </w:tcPr>
          <w:p w14:paraId="019DCB6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126" w:type="dxa"/>
            <w:noWrap w:val="0"/>
            <w:vAlign w:val="center"/>
          </w:tcPr>
          <w:p w14:paraId="258376E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noWrap w:val="0"/>
            <w:vAlign w:val="center"/>
          </w:tcPr>
          <w:p w14:paraId="175B98A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6074266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02D0350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4B378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5E81F1B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843" w:type="dxa"/>
            <w:tcBorders>
              <w:top w:val="nil"/>
            </w:tcBorders>
            <w:noWrap w:val="0"/>
            <w:vAlign w:val="center"/>
          </w:tcPr>
          <w:p w14:paraId="565C27B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nil"/>
            </w:tcBorders>
            <w:noWrap w:val="0"/>
            <w:vAlign w:val="center"/>
          </w:tcPr>
          <w:p w14:paraId="7C9CD09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410" w:type="dxa"/>
            <w:tcBorders>
              <w:top w:val="nil"/>
            </w:tcBorders>
            <w:noWrap w:val="0"/>
            <w:vAlign w:val="center"/>
          </w:tcPr>
          <w:p w14:paraId="41411DD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03892A3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560" w:type="dxa"/>
            <w:tcBorders>
              <w:top w:val="nil"/>
            </w:tcBorders>
            <w:noWrap w:val="0"/>
            <w:vAlign w:val="center"/>
          </w:tcPr>
          <w:p w14:paraId="5BEAA3B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126" w:type="dxa"/>
            <w:tcBorders>
              <w:top w:val="nil"/>
            </w:tcBorders>
            <w:noWrap w:val="0"/>
            <w:vAlign w:val="center"/>
          </w:tcPr>
          <w:p w14:paraId="3141780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nil"/>
            </w:tcBorders>
            <w:noWrap w:val="0"/>
            <w:vAlign w:val="center"/>
          </w:tcPr>
          <w:p w14:paraId="00DCE28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nil"/>
            </w:tcBorders>
            <w:noWrap w:val="0"/>
            <w:vAlign w:val="center"/>
          </w:tcPr>
          <w:p w14:paraId="5D26F77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0C9CC48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9A011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B03B69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843" w:type="dxa"/>
            <w:noWrap w:val="0"/>
            <w:vAlign w:val="center"/>
          </w:tcPr>
          <w:p w14:paraId="322BA8C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noWrap w:val="0"/>
            <w:vAlign w:val="center"/>
          </w:tcPr>
          <w:p w14:paraId="0E82FC1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410" w:type="dxa"/>
            <w:noWrap w:val="0"/>
            <w:vAlign w:val="center"/>
          </w:tcPr>
          <w:p w14:paraId="2FC2B54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49A7594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560" w:type="dxa"/>
            <w:noWrap w:val="0"/>
            <w:vAlign w:val="center"/>
          </w:tcPr>
          <w:p w14:paraId="75C055B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126" w:type="dxa"/>
            <w:noWrap w:val="0"/>
            <w:vAlign w:val="center"/>
          </w:tcPr>
          <w:p w14:paraId="213D5B7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noWrap w:val="0"/>
            <w:vAlign w:val="center"/>
          </w:tcPr>
          <w:p w14:paraId="3DC964A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5CE5D89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6B7020D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87A2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4FDFA1A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843" w:type="dxa"/>
            <w:tcBorders>
              <w:top w:val="nil"/>
            </w:tcBorders>
            <w:noWrap w:val="0"/>
            <w:vAlign w:val="center"/>
          </w:tcPr>
          <w:p w14:paraId="7A591A7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nil"/>
            </w:tcBorders>
            <w:noWrap w:val="0"/>
            <w:vAlign w:val="center"/>
          </w:tcPr>
          <w:p w14:paraId="1A35FD2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410" w:type="dxa"/>
            <w:tcBorders>
              <w:top w:val="nil"/>
            </w:tcBorders>
            <w:noWrap w:val="0"/>
            <w:vAlign w:val="center"/>
          </w:tcPr>
          <w:p w14:paraId="343F345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374CB53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560" w:type="dxa"/>
            <w:tcBorders>
              <w:top w:val="nil"/>
            </w:tcBorders>
            <w:noWrap w:val="0"/>
            <w:vAlign w:val="center"/>
          </w:tcPr>
          <w:p w14:paraId="5BF92AA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126" w:type="dxa"/>
            <w:tcBorders>
              <w:top w:val="nil"/>
            </w:tcBorders>
            <w:noWrap w:val="0"/>
            <w:vAlign w:val="center"/>
          </w:tcPr>
          <w:p w14:paraId="0B4C052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nil"/>
            </w:tcBorders>
            <w:noWrap w:val="0"/>
            <w:vAlign w:val="center"/>
          </w:tcPr>
          <w:p w14:paraId="67ADA5C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nil"/>
            </w:tcBorders>
            <w:noWrap w:val="0"/>
            <w:vAlign w:val="center"/>
          </w:tcPr>
          <w:p w14:paraId="3D9EE6F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6D586A9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CDB7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50AC94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843" w:type="dxa"/>
            <w:tcBorders>
              <w:top w:val="nil"/>
            </w:tcBorders>
            <w:noWrap w:val="0"/>
            <w:vAlign w:val="center"/>
          </w:tcPr>
          <w:p w14:paraId="63A0AD5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nil"/>
            </w:tcBorders>
            <w:noWrap w:val="0"/>
            <w:vAlign w:val="center"/>
          </w:tcPr>
          <w:p w14:paraId="19931B5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410" w:type="dxa"/>
            <w:tcBorders>
              <w:top w:val="nil"/>
            </w:tcBorders>
            <w:noWrap w:val="0"/>
            <w:vAlign w:val="center"/>
          </w:tcPr>
          <w:p w14:paraId="4F9A18A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5251908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560" w:type="dxa"/>
            <w:tcBorders>
              <w:top w:val="nil"/>
            </w:tcBorders>
            <w:noWrap w:val="0"/>
            <w:vAlign w:val="center"/>
          </w:tcPr>
          <w:p w14:paraId="796DDF2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126" w:type="dxa"/>
            <w:tcBorders>
              <w:top w:val="nil"/>
            </w:tcBorders>
            <w:noWrap w:val="0"/>
            <w:vAlign w:val="center"/>
          </w:tcPr>
          <w:p w14:paraId="1C016CD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nil"/>
            </w:tcBorders>
            <w:noWrap w:val="0"/>
            <w:vAlign w:val="center"/>
          </w:tcPr>
          <w:p w14:paraId="2406A67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nil"/>
            </w:tcBorders>
            <w:noWrap w:val="0"/>
            <w:vAlign w:val="center"/>
          </w:tcPr>
          <w:p w14:paraId="4EBEE9B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07BFCF5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1DAC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44EBDC1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843" w:type="dxa"/>
            <w:noWrap w:val="0"/>
            <w:vAlign w:val="center"/>
          </w:tcPr>
          <w:p w14:paraId="698281C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noWrap w:val="0"/>
            <w:vAlign w:val="center"/>
          </w:tcPr>
          <w:p w14:paraId="3886F42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410" w:type="dxa"/>
            <w:noWrap w:val="0"/>
            <w:vAlign w:val="center"/>
          </w:tcPr>
          <w:p w14:paraId="7AEEE37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3CB9FF9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560" w:type="dxa"/>
            <w:noWrap w:val="0"/>
            <w:vAlign w:val="center"/>
          </w:tcPr>
          <w:p w14:paraId="67D88A3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126" w:type="dxa"/>
            <w:noWrap w:val="0"/>
            <w:vAlign w:val="center"/>
          </w:tcPr>
          <w:p w14:paraId="6C1C161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noWrap w:val="0"/>
            <w:vAlign w:val="center"/>
          </w:tcPr>
          <w:p w14:paraId="07A6371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6E11453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529F049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4896E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22F419A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843" w:type="dxa"/>
            <w:tcBorders>
              <w:top w:val="nil"/>
            </w:tcBorders>
            <w:noWrap w:val="0"/>
            <w:vAlign w:val="center"/>
          </w:tcPr>
          <w:p w14:paraId="5B45B0F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nil"/>
            </w:tcBorders>
            <w:noWrap w:val="0"/>
            <w:vAlign w:val="center"/>
          </w:tcPr>
          <w:p w14:paraId="28BD2CF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410" w:type="dxa"/>
            <w:tcBorders>
              <w:top w:val="nil"/>
            </w:tcBorders>
            <w:noWrap w:val="0"/>
            <w:vAlign w:val="center"/>
          </w:tcPr>
          <w:p w14:paraId="498E2DE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4C3F624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560" w:type="dxa"/>
            <w:tcBorders>
              <w:top w:val="nil"/>
            </w:tcBorders>
            <w:noWrap w:val="0"/>
            <w:vAlign w:val="center"/>
          </w:tcPr>
          <w:p w14:paraId="49EA251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126" w:type="dxa"/>
            <w:tcBorders>
              <w:top w:val="nil"/>
            </w:tcBorders>
            <w:noWrap w:val="0"/>
            <w:vAlign w:val="center"/>
          </w:tcPr>
          <w:p w14:paraId="666923E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tcBorders>
              <w:top w:val="nil"/>
            </w:tcBorders>
            <w:noWrap w:val="0"/>
            <w:vAlign w:val="center"/>
          </w:tcPr>
          <w:p w14:paraId="53D4817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nil"/>
            </w:tcBorders>
            <w:noWrap w:val="0"/>
            <w:vAlign w:val="center"/>
          </w:tcPr>
          <w:p w14:paraId="78C955D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67D9466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5F80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20E2D87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843" w:type="dxa"/>
            <w:noWrap w:val="0"/>
            <w:vAlign w:val="center"/>
          </w:tcPr>
          <w:p w14:paraId="4DECF78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noWrap w:val="0"/>
            <w:vAlign w:val="center"/>
          </w:tcPr>
          <w:p w14:paraId="2BBD4CD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410" w:type="dxa"/>
            <w:noWrap w:val="0"/>
            <w:vAlign w:val="center"/>
          </w:tcPr>
          <w:p w14:paraId="41F57CB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2EFDE5A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560" w:type="dxa"/>
            <w:noWrap w:val="0"/>
            <w:vAlign w:val="center"/>
          </w:tcPr>
          <w:p w14:paraId="00104D5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2126" w:type="dxa"/>
            <w:noWrap w:val="0"/>
            <w:vAlign w:val="center"/>
          </w:tcPr>
          <w:p w14:paraId="7168719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7" w:type="dxa"/>
            <w:noWrap w:val="0"/>
            <w:vAlign w:val="center"/>
          </w:tcPr>
          <w:p w14:paraId="7651CB0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775ECDC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31DE5D7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bl>
    <w:p w14:paraId="42C14AAD">
      <w:pPr>
        <w:pageBreakBefore w:val="0"/>
        <w:kinsoku/>
        <w:overflowPunct/>
        <w:topLinePunct w:val="0"/>
        <w:bidi w:val="0"/>
        <w:spacing w:line="440" w:lineRule="exact"/>
        <w:rPr>
          <w:rFonts w:hint="eastAsia" w:ascii="仿宋" w:hAnsi="仿宋" w:eastAsia="仿宋" w:cs="仿宋"/>
          <w:b/>
          <w:color w:val="auto"/>
          <w:sz w:val="24"/>
          <w:szCs w:val="24"/>
        </w:rPr>
        <w:sectPr>
          <w:pgSz w:w="16838" w:h="11906" w:orient="landscape"/>
          <w:pgMar w:top="1440" w:right="1463" w:bottom="1440" w:left="1463" w:header="851" w:footer="992" w:gutter="0"/>
          <w:pgNumType w:fmt="decimal"/>
          <w:cols w:space="720" w:num="1"/>
          <w:titlePg/>
          <w:docGrid w:type="linesAndChars" w:linePitch="312" w:charSpace="0"/>
        </w:sectPr>
      </w:pPr>
    </w:p>
    <w:p w14:paraId="436E978A">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附</w:t>
      </w:r>
      <w:bookmarkStart w:id="1301" w:name="_Toc296503225"/>
      <w:bookmarkStart w:id="1302" w:name="_Toc296891053"/>
      <w:bookmarkStart w:id="1303" w:name="_Toc267261692"/>
      <w:bookmarkStart w:id="1304" w:name="_Toc296944564"/>
      <w:bookmarkStart w:id="1305" w:name="_Toc296347224"/>
      <w:bookmarkStart w:id="1306" w:name="_Toc296891265"/>
      <w:bookmarkStart w:id="1307" w:name="_Toc296346726"/>
      <w:r>
        <w:rPr>
          <w:rFonts w:hint="eastAsia" w:ascii="仿宋" w:hAnsi="仿宋" w:eastAsia="仿宋" w:cs="仿宋"/>
          <w:color w:val="auto"/>
          <w:sz w:val="24"/>
          <w:szCs w:val="24"/>
        </w:rPr>
        <w:t>件2：</w:t>
      </w:r>
    </w:p>
    <w:bookmarkEnd w:id="1301"/>
    <w:bookmarkEnd w:id="1302"/>
    <w:bookmarkEnd w:id="1303"/>
    <w:bookmarkEnd w:id="1304"/>
    <w:bookmarkEnd w:id="1305"/>
    <w:bookmarkEnd w:id="1306"/>
    <w:bookmarkEnd w:id="1307"/>
    <w:p w14:paraId="7802A9AB">
      <w:pPr>
        <w:pageBreakBefore w:val="0"/>
        <w:kinsoku/>
        <w:overflowPunct/>
        <w:topLinePunct w:val="0"/>
        <w:bidi w:val="0"/>
        <w:spacing w:before="156" w:beforeLines="50" w:after="156" w:afterLines="5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发包人供应材料设备一览表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7AB61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50BF058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序号</w:t>
            </w:r>
          </w:p>
        </w:tc>
        <w:tc>
          <w:tcPr>
            <w:tcW w:w="1276" w:type="dxa"/>
            <w:tcBorders>
              <w:top w:val="single" w:color="auto" w:sz="12" w:space="0"/>
              <w:bottom w:val="double" w:color="auto" w:sz="6" w:space="0"/>
            </w:tcBorders>
            <w:noWrap w:val="0"/>
            <w:vAlign w:val="center"/>
          </w:tcPr>
          <w:p w14:paraId="793ABB1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 xml:space="preserve">  材料、</w:t>
            </w:r>
          </w:p>
          <w:p w14:paraId="4236DC33">
            <w:pPr>
              <w:pStyle w:val="11"/>
              <w:keepNext/>
              <w:pageBreakBefore w:val="0"/>
              <w:kinsoku/>
              <w:overflowPunct/>
              <w:topLinePunct w:val="0"/>
              <w:bidi w:val="0"/>
              <w:spacing w:after="0" w:line="440" w:lineRule="exact"/>
              <w:ind w:left="0" w:leftChars="0" w:right="63"/>
              <w:jc w:val="both"/>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设备品种</w:t>
            </w:r>
          </w:p>
        </w:tc>
        <w:tc>
          <w:tcPr>
            <w:tcW w:w="1418" w:type="dxa"/>
            <w:tcBorders>
              <w:top w:val="single" w:color="auto" w:sz="12" w:space="0"/>
              <w:bottom w:val="double" w:color="auto" w:sz="6" w:space="0"/>
            </w:tcBorders>
            <w:noWrap w:val="0"/>
            <w:vAlign w:val="center"/>
          </w:tcPr>
          <w:p w14:paraId="482FEB2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规格型号</w:t>
            </w:r>
          </w:p>
        </w:tc>
        <w:tc>
          <w:tcPr>
            <w:tcW w:w="940" w:type="dxa"/>
            <w:tcBorders>
              <w:top w:val="single" w:color="auto" w:sz="12" w:space="0"/>
              <w:bottom w:val="double" w:color="auto" w:sz="6" w:space="0"/>
            </w:tcBorders>
            <w:noWrap w:val="0"/>
            <w:vAlign w:val="center"/>
          </w:tcPr>
          <w:p w14:paraId="2E0C7E5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单位</w:t>
            </w:r>
          </w:p>
        </w:tc>
        <w:tc>
          <w:tcPr>
            <w:tcW w:w="851" w:type="dxa"/>
            <w:tcBorders>
              <w:top w:val="single" w:color="auto" w:sz="12" w:space="0"/>
              <w:bottom w:val="double" w:color="auto" w:sz="6" w:space="0"/>
            </w:tcBorders>
            <w:noWrap w:val="0"/>
            <w:vAlign w:val="center"/>
          </w:tcPr>
          <w:p w14:paraId="6304848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数量</w:t>
            </w:r>
          </w:p>
        </w:tc>
        <w:tc>
          <w:tcPr>
            <w:tcW w:w="1044" w:type="dxa"/>
            <w:tcBorders>
              <w:top w:val="single" w:color="auto" w:sz="12" w:space="0"/>
              <w:bottom w:val="double" w:color="auto" w:sz="6" w:space="0"/>
            </w:tcBorders>
            <w:noWrap w:val="0"/>
            <w:vAlign w:val="center"/>
          </w:tcPr>
          <w:p w14:paraId="708189F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单价（元）</w:t>
            </w:r>
          </w:p>
        </w:tc>
        <w:tc>
          <w:tcPr>
            <w:tcW w:w="992" w:type="dxa"/>
            <w:tcBorders>
              <w:top w:val="single" w:color="auto" w:sz="12" w:space="0"/>
              <w:bottom w:val="double" w:color="auto" w:sz="6" w:space="0"/>
            </w:tcBorders>
            <w:noWrap w:val="0"/>
            <w:vAlign w:val="center"/>
          </w:tcPr>
          <w:p w14:paraId="299EF9C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质量等级</w:t>
            </w:r>
          </w:p>
        </w:tc>
        <w:tc>
          <w:tcPr>
            <w:tcW w:w="851" w:type="dxa"/>
            <w:tcBorders>
              <w:top w:val="single" w:color="auto" w:sz="12" w:space="0"/>
              <w:bottom w:val="double" w:color="auto" w:sz="6" w:space="0"/>
            </w:tcBorders>
            <w:noWrap w:val="0"/>
            <w:vAlign w:val="center"/>
          </w:tcPr>
          <w:p w14:paraId="3959516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供应时间</w:t>
            </w:r>
          </w:p>
        </w:tc>
        <w:tc>
          <w:tcPr>
            <w:tcW w:w="1487" w:type="dxa"/>
            <w:tcBorders>
              <w:top w:val="single" w:color="auto" w:sz="12" w:space="0"/>
              <w:bottom w:val="double" w:color="auto" w:sz="6" w:space="0"/>
            </w:tcBorders>
            <w:noWrap w:val="0"/>
            <w:vAlign w:val="center"/>
          </w:tcPr>
          <w:p w14:paraId="7AEB925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送达地点</w:t>
            </w:r>
          </w:p>
        </w:tc>
        <w:tc>
          <w:tcPr>
            <w:tcW w:w="992" w:type="dxa"/>
            <w:tcBorders>
              <w:top w:val="single" w:color="auto" w:sz="12" w:space="0"/>
              <w:bottom w:val="double" w:color="auto" w:sz="6" w:space="0"/>
            </w:tcBorders>
            <w:noWrap w:val="0"/>
            <w:vAlign w:val="center"/>
          </w:tcPr>
          <w:p w14:paraId="4FB7C75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备注</w:t>
            </w:r>
          </w:p>
        </w:tc>
      </w:tr>
      <w:tr w14:paraId="4989B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26272C0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tcBorders>
              <w:top w:val="double" w:color="auto" w:sz="6" w:space="0"/>
              <w:bottom w:val="single" w:color="auto" w:sz="6" w:space="0"/>
            </w:tcBorders>
            <w:noWrap w:val="0"/>
            <w:vAlign w:val="center"/>
          </w:tcPr>
          <w:p w14:paraId="79845D1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tcBorders>
              <w:top w:val="double" w:color="auto" w:sz="6" w:space="0"/>
              <w:bottom w:val="single" w:color="auto" w:sz="6" w:space="0"/>
            </w:tcBorders>
            <w:noWrap w:val="0"/>
            <w:vAlign w:val="center"/>
          </w:tcPr>
          <w:p w14:paraId="66DC213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40" w:type="dxa"/>
            <w:tcBorders>
              <w:top w:val="double" w:color="auto" w:sz="6" w:space="0"/>
              <w:bottom w:val="single" w:color="auto" w:sz="6" w:space="0"/>
            </w:tcBorders>
            <w:noWrap w:val="0"/>
            <w:vAlign w:val="center"/>
          </w:tcPr>
          <w:p w14:paraId="2AC3107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double" w:color="auto" w:sz="6" w:space="0"/>
              <w:bottom w:val="single" w:color="auto" w:sz="6" w:space="0"/>
            </w:tcBorders>
            <w:noWrap w:val="0"/>
            <w:vAlign w:val="center"/>
          </w:tcPr>
          <w:p w14:paraId="229948C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44" w:type="dxa"/>
            <w:tcBorders>
              <w:top w:val="double" w:color="auto" w:sz="6" w:space="0"/>
              <w:bottom w:val="single" w:color="auto" w:sz="6" w:space="0"/>
            </w:tcBorders>
            <w:noWrap w:val="0"/>
            <w:vAlign w:val="center"/>
          </w:tcPr>
          <w:p w14:paraId="11CB522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tcBorders>
              <w:top w:val="double" w:color="auto" w:sz="6" w:space="0"/>
              <w:bottom w:val="single" w:color="auto" w:sz="6" w:space="0"/>
            </w:tcBorders>
            <w:noWrap w:val="0"/>
            <w:vAlign w:val="center"/>
          </w:tcPr>
          <w:p w14:paraId="52D34FB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double" w:color="auto" w:sz="6" w:space="0"/>
              <w:bottom w:val="single" w:color="auto" w:sz="6" w:space="0"/>
            </w:tcBorders>
            <w:noWrap w:val="0"/>
            <w:vAlign w:val="center"/>
          </w:tcPr>
          <w:p w14:paraId="669AAD7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7" w:type="dxa"/>
            <w:tcBorders>
              <w:top w:val="double" w:color="auto" w:sz="6" w:space="0"/>
              <w:bottom w:val="single" w:color="auto" w:sz="6" w:space="0"/>
            </w:tcBorders>
            <w:noWrap w:val="0"/>
            <w:vAlign w:val="center"/>
          </w:tcPr>
          <w:p w14:paraId="1D918C0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tcBorders>
              <w:top w:val="double" w:color="auto" w:sz="6" w:space="0"/>
              <w:bottom w:val="single" w:color="auto" w:sz="6" w:space="0"/>
            </w:tcBorders>
            <w:noWrap w:val="0"/>
            <w:vAlign w:val="center"/>
          </w:tcPr>
          <w:p w14:paraId="69AA577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4DAB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1ADF69A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tcBorders>
              <w:top w:val="nil"/>
            </w:tcBorders>
            <w:noWrap w:val="0"/>
            <w:vAlign w:val="center"/>
          </w:tcPr>
          <w:p w14:paraId="6CAE600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tcBorders>
              <w:top w:val="nil"/>
            </w:tcBorders>
            <w:noWrap w:val="0"/>
            <w:vAlign w:val="center"/>
          </w:tcPr>
          <w:p w14:paraId="3B44AF1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40" w:type="dxa"/>
            <w:tcBorders>
              <w:top w:val="nil"/>
            </w:tcBorders>
            <w:noWrap w:val="0"/>
            <w:vAlign w:val="center"/>
          </w:tcPr>
          <w:p w14:paraId="629C6EB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nil"/>
            </w:tcBorders>
            <w:noWrap w:val="0"/>
            <w:vAlign w:val="center"/>
          </w:tcPr>
          <w:p w14:paraId="7D66A91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44" w:type="dxa"/>
            <w:tcBorders>
              <w:top w:val="nil"/>
            </w:tcBorders>
            <w:noWrap w:val="0"/>
            <w:vAlign w:val="center"/>
          </w:tcPr>
          <w:p w14:paraId="295B914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tcBorders>
              <w:top w:val="nil"/>
            </w:tcBorders>
            <w:noWrap w:val="0"/>
            <w:vAlign w:val="center"/>
          </w:tcPr>
          <w:p w14:paraId="1E46F2D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nil"/>
            </w:tcBorders>
            <w:noWrap w:val="0"/>
            <w:vAlign w:val="center"/>
          </w:tcPr>
          <w:p w14:paraId="7424803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7" w:type="dxa"/>
            <w:tcBorders>
              <w:top w:val="nil"/>
            </w:tcBorders>
            <w:noWrap w:val="0"/>
            <w:vAlign w:val="center"/>
          </w:tcPr>
          <w:p w14:paraId="2096082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tcBorders>
              <w:top w:val="nil"/>
            </w:tcBorders>
            <w:noWrap w:val="0"/>
            <w:vAlign w:val="center"/>
          </w:tcPr>
          <w:p w14:paraId="41E4D4E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C7D1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305C2F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2680304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2B7A413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40" w:type="dxa"/>
            <w:noWrap w:val="0"/>
            <w:vAlign w:val="center"/>
          </w:tcPr>
          <w:p w14:paraId="6AE545E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18A7550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44" w:type="dxa"/>
            <w:noWrap w:val="0"/>
            <w:vAlign w:val="center"/>
          </w:tcPr>
          <w:p w14:paraId="11E98BC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7F1CD60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0081AEA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7" w:type="dxa"/>
            <w:noWrap w:val="0"/>
            <w:vAlign w:val="center"/>
          </w:tcPr>
          <w:p w14:paraId="707B795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1A63609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0E6E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49A8D7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05E96B6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0469AE0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40" w:type="dxa"/>
            <w:noWrap w:val="0"/>
            <w:vAlign w:val="center"/>
          </w:tcPr>
          <w:p w14:paraId="736D5BD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00649FD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44" w:type="dxa"/>
            <w:noWrap w:val="0"/>
            <w:vAlign w:val="center"/>
          </w:tcPr>
          <w:p w14:paraId="51DF0B9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4615615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5A579ED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7" w:type="dxa"/>
            <w:noWrap w:val="0"/>
            <w:vAlign w:val="center"/>
          </w:tcPr>
          <w:p w14:paraId="1EE141D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0172096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3065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7F1E9F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4AE0F86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2BD8EEA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40" w:type="dxa"/>
            <w:noWrap w:val="0"/>
            <w:vAlign w:val="center"/>
          </w:tcPr>
          <w:p w14:paraId="0C2C66B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22AB261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44" w:type="dxa"/>
            <w:noWrap w:val="0"/>
            <w:vAlign w:val="center"/>
          </w:tcPr>
          <w:p w14:paraId="4033E20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4F83849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0BCB5AC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7" w:type="dxa"/>
            <w:noWrap w:val="0"/>
            <w:vAlign w:val="center"/>
          </w:tcPr>
          <w:p w14:paraId="38AF906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7CF92CC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7A82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978693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16172CA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5F2AD6E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40" w:type="dxa"/>
            <w:noWrap w:val="0"/>
            <w:vAlign w:val="center"/>
          </w:tcPr>
          <w:p w14:paraId="191812C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2D8EE98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44" w:type="dxa"/>
            <w:noWrap w:val="0"/>
            <w:vAlign w:val="center"/>
          </w:tcPr>
          <w:p w14:paraId="378C38D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749C99F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1EFB475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7" w:type="dxa"/>
            <w:noWrap w:val="0"/>
            <w:vAlign w:val="center"/>
          </w:tcPr>
          <w:p w14:paraId="7BD1333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64CEB2F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71B5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E68DB7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344CBAA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3FE733C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40" w:type="dxa"/>
            <w:noWrap w:val="0"/>
            <w:vAlign w:val="center"/>
          </w:tcPr>
          <w:p w14:paraId="4C911B7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6381B34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44" w:type="dxa"/>
            <w:noWrap w:val="0"/>
            <w:vAlign w:val="center"/>
          </w:tcPr>
          <w:p w14:paraId="2873ED1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677C6E5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3325E77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7" w:type="dxa"/>
            <w:noWrap w:val="0"/>
            <w:vAlign w:val="center"/>
          </w:tcPr>
          <w:p w14:paraId="1D47BDF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6A9966B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CBC29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BD1D9D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443BFD0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6616B3B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40" w:type="dxa"/>
            <w:noWrap w:val="0"/>
            <w:vAlign w:val="center"/>
          </w:tcPr>
          <w:p w14:paraId="432412F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5D354E6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44" w:type="dxa"/>
            <w:noWrap w:val="0"/>
            <w:vAlign w:val="center"/>
          </w:tcPr>
          <w:p w14:paraId="171A8C0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14A8753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620F490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7" w:type="dxa"/>
            <w:noWrap w:val="0"/>
            <w:vAlign w:val="center"/>
          </w:tcPr>
          <w:p w14:paraId="6F3ABF5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6EA23B6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4A48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E68AB7B">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276" w:type="dxa"/>
            <w:noWrap w:val="0"/>
            <w:vAlign w:val="center"/>
          </w:tcPr>
          <w:p w14:paraId="563117C7">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18" w:type="dxa"/>
            <w:noWrap w:val="0"/>
            <w:vAlign w:val="center"/>
          </w:tcPr>
          <w:p w14:paraId="7D3801C5">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40" w:type="dxa"/>
            <w:noWrap w:val="0"/>
            <w:vAlign w:val="center"/>
          </w:tcPr>
          <w:p w14:paraId="0479E39D">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24D67749">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044" w:type="dxa"/>
            <w:noWrap w:val="0"/>
            <w:vAlign w:val="center"/>
          </w:tcPr>
          <w:p w14:paraId="5F393E5E">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1EA241EF">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3AFCCB43">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87" w:type="dxa"/>
            <w:noWrap w:val="0"/>
            <w:vAlign w:val="center"/>
          </w:tcPr>
          <w:p w14:paraId="29EC2863">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30DD2F38">
            <w:pPr>
              <w:pageBreakBefore w:val="0"/>
              <w:kinsoku/>
              <w:overflowPunct/>
              <w:topLinePunct w:val="0"/>
              <w:bidi w:val="0"/>
              <w:spacing w:line="440" w:lineRule="exact"/>
              <w:jc w:val="center"/>
              <w:rPr>
                <w:rFonts w:hint="eastAsia" w:ascii="仿宋" w:hAnsi="仿宋" w:eastAsia="仿宋" w:cs="仿宋"/>
                <w:color w:val="auto"/>
                <w:sz w:val="24"/>
                <w:szCs w:val="24"/>
              </w:rPr>
            </w:pPr>
          </w:p>
        </w:tc>
      </w:tr>
      <w:tr w14:paraId="3BC84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C5E709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0534E95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6D105D1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40" w:type="dxa"/>
            <w:noWrap w:val="0"/>
            <w:vAlign w:val="center"/>
          </w:tcPr>
          <w:p w14:paraId="3C938CE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6D5EF77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44" w:type="dxa"/>
            <w:noWrap w:val="0"/>
            <w:vAlign w:val="center"/>
          </w:tcPr>
          <w:p w14:paraId="3B1A873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62D928A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center"/>
          </w:tcPr>
          <w:p w14:paraId="20D338C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7" w:type="dxa"/>
            <w:noWrap w:val="0"/>
            <w:vAlign w:val="center"/>
          </w:tcPr>
          <w:p w14:paraId="1222D2C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92" w:type="dxa"/>
            <w:noWrap w:val="0"/>
            <w:vAlign w:val="center"/>
          </w:tcPr>
          <w:p w14:paraId="5E3C342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8239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D647487">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276" w:type="dxa"/>
            <w:noWrap w:val="0"/>
            <w:vAlign w:val="center"/>
          </w:tcPr>
          <w:p w14:paraId="2752443D">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18" w:type="dxa"/>
            <w:noWrap w:val="0"/>
            <w:vAlign w:val="center"/>
          </w:tcPr>
          <w:p w14:paraId="279DCB95">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40" w:type="dxa"/>
            <w:noWrap w:val="0"/>
            <w:vAlign w:val="center"/>
          </w:tcPr>
          <w:p w14:paraId="0266CE41">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6208D336">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044" w:type="dxa"/>
            <w:noWrap w:val="0"/>
            <w:vAlign w:val="center"/>
          </w:tcPr>
          <w:p w14:paraId="5D44CDD6">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1AC1B8C4">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2DBB3B4D">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87" w:type="dxa"/>
            <w:noWrap w:val="0"/>
            <w:vAlign w:val="center"/>
          </w:tcPr>
          <w:p w14:paraId="430E255F">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2E8F52A6">
            <w:pPr>
              <w:pageBreakBefore w:val="0"/>
              <w:kinsoku/>
              <w:overflowPunct/>
              <w:topLinePunct w:val="0"/>
              <w:bidi w:val="0"/>
              <w:spacing w:line="440" w:lineRule="exact"/>
              <w:jc w:val="center"/>
              <w:rPr>
                <w:rFonts w:hint="eastAsia" w:ascii="仿宋" w:hAnsi="仿宋" w:eastAsia="仿宋" w:cs="仿宋"/>
                <w:color w:val="auto"/>
                <w:sz w:val="24"/>
                <w:szCs w:val="24"/>
              </w:rPr>
            </w:pPr>
          </w:p>
        </w:tc>
      </w:tr>
      <w:tr w14:paraId="250A9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CB09A81">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276" w:type="dxa"/>
            <w:noWrap w:val="0"/>
            <w:vAlign w:val="center"/>
          </w:tcPr>
          <w:p w14:paraId="3B1ADD96">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18" w:type="dxa"/>
            <w:noWrap w:val="0"/>
            <w:vAlign w:val="center"/>
          </w:tcPr>
          <w:p w14:paraId="762065D0">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40" w:type="dxa"/>
            <w:noWrap w:val="0"/>
            <w:vAlign w:val="center"/>
          </w:tcPr>
          <w:p w14:paraId="4E95B9E2">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366909AC">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044" w:type="dxa"/>
            <w:noWrap w:val="0"/>
            <w:vAlign w:val="center"/>
          </w:tcPr>
          <w:p w14:paraId="448C2B6C">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650AFFC5">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5AFE2F13">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87" w:type="dxa"/>
            <w:noWrap w:val="0"/>
            <w:vAlign w:val="center"/>
          </w:tcPr>
          <w:p w14:paraId="0B7331EF">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6B15F13C">
            <w:pPr>
              <w:pageBreakBefore w:val="0"/>
              <w:kinsoku/>
              <w:overflowPunct/>
              <w:topLinePunct w:val="0"/>
              <w:bidi w:val="0"/>
              <w:spacing w:line="440" w:lineRule="exact"/>
              <w:jc w:val="center"/>
              <w:rPr>
                <w:rFonts w:hint="eastAsia" w:ascii="仿宋" w:hAnsi="仿宋" w:eastAsia="仿宋" w:cs="仿宋"/>
                <w:color w:val="auto"/>
                <w:sz w:val="24"/>
                <w:szCs w:val="24"/>
              </w:rPr>
            </w:pPr>
          </w:p>
        </w:tc>
      </w:tr>
      <w:tr w14:paraId="49718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F23174B">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276" w:type="dxa"/>
            <w:noWrap w:val="0"/>
            <w:vAlign w:val="center"/>
          </w:tcPr>
          <w:p w14:paraId="266070BE">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18" w:type="dxa"/>
            <w:noWrap w:val="0"/>
            <w:vAlign w:val="center"/>
          </w:tcPr>
          <w:p w14:paraId="55DD118A">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40" w:type="dxa"/>
            <w:noWrap w:val="0"/>
            <w:vAlign w:val="center"/>
          </w:tcPr>
          <w:p w14:paraId="0CDE0456">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0239FC7C">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044" w:type="dxa"/>
            <w:noWrap w:val="0"/>
            <w:vAlign w:val="center"/>
          </w:tcPr>
          <w:p w14:paraId="6C9FF9BD">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74CE6909">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143A4F3A">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87" w:type="dxa"/>
            <w:noWrap w:val="0"/>
            <w:vAlign w:val="center"/>
          </w:tcPr>
          <w:p w14:paraId="6432EDE1">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04C96F97">
            <w:pPr>
              <w:pageBreakBefore w:val="0"/>
              <w:kinsoku/>
              <w:overflowPunct/>
              <w:topLinePunct w:val="0"/>
              <w:bidi w:val="0"/>
              <w:spacing w:line="440" w:lineRule="exact"/>
              <w:jc w:val="center"/>
              <w:rPr>
                <w:rFonts w:hint="eastAsia" w:ascii="仿宋" w:hAnsi="仿宋" w:eastAsia="仿宋" w:cs="仿宋"/>
                <w:color w:val="auto"/>
                <w:sz w:val="24"/>
                <w:szCs w:val="24"/>
              </w:rPr>
            </w:pPr>
          </w:p>
        </w:tc>
      </w:tr>
      <w:tr w14:paraId="1D6609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6BD04BC">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276" w:type="dxa"/>
            <w:noWrap w:val="0"/>
            <w:vAlign w:val="center"/>
          </w:tcPr>
          <w:p w14:paraId="48DF8767">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18" w:type="dxa"/>
            <w:noWrap w:val="0"/>
            <w:vAlign w:val="center"/>
          </w:tcPr>
          <w:p w14:paraId="53AF5092">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40" w:type="dxa"/>
            <w:noWrap w:val="0"/>
            <w:vAlign w:val="center"/>
          </w:tcPr>
          <w:p w14:paraId="1AAEF7F2">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38473603">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044" w:type="dxa"/>
            <w:noWrap w:val="0"/>
            <w:vAlign w:val="center"/>
          </w:tcPr>
          <w:p w14:paraId="0894E829">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7D11C8C8">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264493D0">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87" w:type="dxa"/>
            <w:noWrap w:val="0"/>
            <w:vAlign w:val="center"/>
          </w:tcPr>
          <w:p w14:paraId="6C3F6839">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250612FF">
            <w:pPr>
              <w:pageBreakBefore w:val="0"/>
              <w:kinsoku/>
              <w:overflowPunct/>
              <w:topLinePunct w:val="0"/>
              <w:bidi w:val="0"/>
              <w:spacing w:line="440" w:lineRule="exact"/>
              <w:jc w:val="center"/>
              <w:rPr>
                <w:rFonts w:hint="eastAsia" w:ascii="仿宋" w:hAnsi="仿宋" w:eastAsia="仿宋" w:cs="仿宋"/>
                <w:color w:val="auto"/>
                <w:sz w:val="24"/>
                <w:szCs w:val="24"/>
              </w:rPr>
            </w:pPr>
          </w:p>
        </w:tc>
      </w:tr>
      <w:tr w14:paraId="2345C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0524404">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276" w:type="dxa"/>
            <w:noWrap w:val="0"/>
            <w:vAlign w:val="center"/>
          </w:tcPr>
          <w:p w14:paraId="356A2A48">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18" w:type="dxa"/>
            <w:noWrap w:val="0"/>
            <w:vAlign w:val="center"/>
          </w:tcPr>
          <w:p w14:paraId="49513EB5">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40" w:type="dxa"/>
            <w:noWrap w:val="0"/>
            <w:vAlign w:val="center"/>
          </w:tcPr>
          <w:p w14:paraId="5B30E589">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7843A4E8">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044" w:type="dxa"/>
            <w:noWrap w:val="0"/>
            <w:vAlign w:val="center"/>
          </w:tcPr>
          <w:p w14:paraId="75871C60">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6C87D81C">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46865DC4">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87" w:type="dxa"/>
            <w:noWrap w:val="0"/>
            <w:vAlign w:val="center"/>
          </w:tcPr>
          <w:p w14:paraId="411631E6">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39276EF3">
            <w:pPr>
              <w:pageBreakBefore w:val="0"/>
              <w:kinsoku/>
              <w:overflowPunct/>
              <w:topLinePunct w:val="0"/>
              <w:bidi w:val="0"/>
              <w:spacing w:line="440" w:lineRule="exact"/>
              <w:jc w:val="center"/>
              <w:rPr>
                <w:rFonts w:hint="eastAsia" w:ascii="仿宋" w:hAnsi="仿宋" w:eastAsia="仿宋" w:cs="仿宋"/>
                <w:color w:val="auto"/>
                <w:sz w:val="24"/>
                <w:szCs w:val="24"/>
              </w:rPr>
            </w:pPr>
          </w:p>
        </w:tc>
      </w:tr>
      <w:tr w14:paraId="3E54D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59210F5">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276" w:type="dxa"/>
            <w:noWrap w:val="0"/>
            <w:vAlign w:val="center"/>
          </w:tcPr>
          <w:p w14:paraId="62270ED2">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18" w:type="dxa"/>
            <w:noWrap w:val="0"/>
            <w:vAlign w:val="center"/>
          </w:tcPr>
          <w:p w14:paraId="3D30CF6F">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40" w:type="dxa"/>
            <w:noWrap w:val="0"/>
            <w:vAlign w:val="center"/>
          </w:tcPr>
          <w:p w14:paraId="026CA72A">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393AF99B">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044" w:type="dxa"/>
            <w:noWrap w:val="0"/>
            <w:vAlign w:val="center"/>
          </w:tcPr>
          <w:p w14:paraId="77185E2B">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580FBCC6">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0BC7A9A8">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87" w:type="dxa"/>
            <w:noWrap w:val="0"/>
            <w:vAlign w:val="center"/>
          </w:tcPr>
          <w:p w14:paraId="4A8C7A0E">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0B5B7894">
            <w:pPr>
              <w:pageBreakBefore w:val="0"/>
              <w:kinsoku/>
              <w:overflowPunct/>
              <w:topLinePunct w:val="0"/>
              <w:bidi w:val="0"/>
              <w:spacing w:line="440" w:lineRule="exact"/>
              <w:jc w:val="center"/>
              <w:rPr>
                <w:rFonts w:hint="eastAsia" w:ascii="仿宋" w:hAnsi="仿宋" w:eastAsia="仿宋" w:cs="仿宋"/>
                <w:color w:val="auto"/>
                <w:sz w:val="24"/>
                <w:szCs w:val="24"/>
              </w:rPr>
            </w:pPr>
          </w:p>
        </w:tc>
      </w:tr>
      <w:tr w14:paraId="4E7884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0B66FA3">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276" w:type="dxa"/>
            <w:noWrap w:val="0"/>
            <w:vAlign w:val="center"/>
          </w:tcPr>
          <w:p w14:paraId="1653CC8A">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18" w:type="dxa"/>
            <w:noWrap w:val="0"/>
            <w:vAlign w:val="center"/>
          </w:tcPr>
          <w:p w14:paraId="1231E8DD">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40" w:type="dxa"/>
            <w:noWrap w:val="0"/>
            <w:vAlign w:val="center"/>
          </w:tcPr>
          <w:p w14:paraId="055BF5E8">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321A1A92">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044" w:type="dxa"/>
            <w:noWrap w:val="0"/>
            <w:vAlign w:val="center"/>
          </w:tcPr>
          <w:p w14:paraId="4F698D20">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1A766967">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436F5D9F">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87" w:type="dxa"/>
            <w:noWrap w:val="0"/>
            <w:vAlign w:val="center"/>
          </w:tcPr>
          <w:p w14:paraId="72724520">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5B188B27">
            <w:pPr>
              <w:pageBreakBefore w:val="0"/>
              <w:kinsoku/>
              <w:overflowPunct/>
              <w:topLinePunct w:val="0"/>
              <w:bidi w:val="0"/>
              <w:spacing w:line="440" w:lineRule="exact"/>
              <w:jc w:val="center"/>
              <w:rPr>
                <w:rFonts w:hint="eastAsia" w:ascii="仿宋" w:hAnsi="仿宋" w:eastAsia="仿宋" w:cs="仿宋"/>
                <w:color w:val="auto"/>
                <w:sz w:val="24"/>
                <w:szCs w:val="24"/>
              </w:rPr>
            </w:pPr>
          </w:p>
        </w:tc>
      </w:tr>
      <w:tr w14:paraId="3A8C9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933DE36">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276" w:type="dxa"/>
            <w:noWrap w:val="0"/>
            <w:vAlign w:val="center"/>
          </w:tcPr>
          <w:p w14:paraId="6871E221">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18" w:type="dxa"/>
            <w:noWrap w:val="0"/>
            <w:vAlign w:val="center"/>
          </w:tcPr>
          <w:p w14:paraId="79DFD21C">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40" w:type="dxa"/>
            <w:noWrap w:val="0"/>
            <w:vAlign w:val="center"/>
          </w:tcPr>
          <w:p w14:paraId="5C3D2D8C">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278D21CF">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044" w:type="dxa"/>
            <w:noWrap w:val="0"/>
            <w:vAlign w:val="center"/>
          </w:tcPr>
          <w:p w14:paraId="466A8F78">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1506B5A6">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851" w:type="dxa"/>
            <w:noWrap w:val="0"/>
            <w:vAlign w:val="center"/>
          </w:tcPr>
          <w:p w14:paraId="173F80E7">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1487" w:type="dxa"/>
            <w:noWrap w:val="0"/>
            <w:vAlign w:val="center"/>
          </w:tcPr>
          <w:p w14:paraId="158CBF14">
            <w:pPr>
              <w:pageBreakBefore w:val="0"/>
              <w:kinsoku/>
              <w:overflowPunct/>
              <w:topLinePunct w:val="0"/>
              <w:bidi w:val="0"/>
              <w:spacing w:line="440" w:lineRule="exact"/>
              <w:jc w:val="center"/>
              <w:rPr>
                <w:rFonts w:hint="eastAsia" w:ascii="仿宋" w:hAnsi="仿宋" w:eastAsia="仿宋" w:cs="仿宋"/>
                <w:color w:val="auto"/>
                <w:sz w:val="24"/>
                <w:szCs w:val="24"/>
              </w:rPr>
            </w:pPr>
          </w:p>
        </w:tc>
        <w:tc>
          <w:tcPr>
            <w:tcW w:w="992" w:type="dxa"/>
            <w:noWrap w:val="0"/>
            <w:vAlign w:val="center"/>
          </w:tcPr>
          <w:p w14:paraId="2D66D9C2">
            <w:pPr>
              <w:pageBreakBefore w:val="0"/>
              <w:kinsoku/>
              <w:overflowPunct/>
              <w:topLinePunct w:val="0"/>
              <w:bidi w:val="0"/>
              <w:spacing w:line="440" w:lineRule="exact"/>
              <w:jc w:val="center"/>
              <w:rPr>
                <w:rFonts w:hint="eastAsia" w:ascii="仿宋" w:hAnsi="仿宋" w:eastAsia="仿宋" w:cs="仿宋"/>
                <w:color w:val="auto"/>
                <w:sz w:val="24"/>
                <w:szCs w:val="24"/>
              </w:rPr>
            </w:pPr>
          </w:p>
        </w:tc>
      </w:tr>
    </w:tbl>
    <w:p w14:paraId="08D60705">
      <w:pPr>
        <w:pageBreakBefore w:val="0"/>
        <w:kinsoku/>
        <w:overflowPunct/>
        <w:topLinePunct w:val="0"/>
        <w:bidi w:val="0"/>
        <w:spacing w:line="440" w:lineRule="exact"/>
        <w:rPr>
          <w:rFonts w:hint="eastAsia" w:ascii="仿宋" w:hAnsi="仿宋" w:eastAsia="仿宋" w:cs="仿宋"/>
          <w:color w:val="auto"/>
          <w:sz w:val="24"/>
          <w:szCs w:val="24"/>
        </w:rPr>
      </w:pPr>
    </w:p>
    <w:p w14:paraId="1F447EB2">
      <w:pPr>
        <w:pageBreakBefore w:val="0"/>
        <w:kinsoku/>
        <w:overflowPunct/>
        <w:topLinePunct w:val="0"/>
        <w:bidi w:val="0"/>
        <w:spacing w:line="440" w:lineRule="exact"/>
        <w:rPr>
          <w:rFonts w:hint="eastAsia" w:ascii="仿宋" w:hAnsi="仿宋" w:eastAsia="仿宋" w:cs="仿宋"/>
          <w:color w:val="auto"/>
          <w:sz w:val="24"/>
          <w:szCs w:val="24"/>
        </w:rPr>
      </w:pPr>
    </w:p>
    <w:p w14:paraId="2B9AC70D">
      <w:pPr>
        <w:pageBreakBefore w:val="0"/>
        <w:kinsoku/>
        <w:overflowPunct/>
        <w:topLinePunct w:val="0"/>
        <w:bidi w:val="0"/>
        <w:spacing w:line="440" w:lineRule="exact"/>
        <w:rPr>
          <w:rFonts w:hint="eastAsia" w:ascii="仿宋" w:hAnsi="仿宋" w:eastAsia="仿宋" w:cs="仿宋"/>
          <w:color w:val="auto"/>
          <w:sz w:val="24"/>
          <w:szCs w:val="24"/>
        </w:rPr>
      </w:pPr>
    </w:p>
    <w:p w14:paraId="4F115439">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附</w:t>
      </w:r>
      <w:bookmarkStart w:id="1308" w:name="_Toc296503226"/>
      <w:bookmarkStart w:id="1309" w:name="_Toc296891054"/>
      <w:bookmarkStart w:id="1310" w:name="_Toc267261693"/>
      <w:bookmarkStart w:id="1311" w:name="_Toc296891266"/>
      <w:bookmarkStart w:id="1312" w:name="_Toc296944565"/>
      <w:bookmarkStart w:id="1313" w:name="_Toc296347225"/>
      <w:bookmarkStart w:id="1314" w:name="_Toc296346727"/>
      <w:r>
        <w:rPr>
          <w:rFonts w:hint="eastAsia" w:ascii="仿宋" w:hAnsi="仿宋" w:eastAsia="仿宋" w:cs="仿宋"/>
          <w:color w:val="auto"/>
          <w:sz w:val="24"/>
          <w:szCs w:val="24"/>
        </w:rPr>
        <w:t>件3：</w:t>
      </w:r>
      <w:bookmarkEnd w:id="1308"/>
      <w:bookmarkEnd w:id="1309"/>
      <w:bookmarkEnd w:id="1310"/>
      <w:bookmarkEnd w:id="1311"/>
      <w:bookmarkEnd w:id="1312"/>
      <w:bookmarkEnd w:id="1313"/>
      <w:bookmarkEnd w:id="1314"/>
      <w:r>
        <w:rPr>
          <w:rFonts w:hint="eastAsia" w:ascii="仿宋" w:hAnsi="仿宋" w:eastAsia="仿宋" w:cs="仿宋"/>
          <w:color w:val="auto"/>
          <w:sz w:val="24"/>
          <w:szCs w:val="24"/>
        </w:rPr>
        <w:t xml:space="preserve">    </w:t>
      </w:r>
    </w:p>
    <w:p w14:paraId="169EC41A">
      <w:pPr>
        <w:pageBreakBefore w:val="0"/>
        <w:kinsoku/>
        <w:overflowPunct/>
        <w:topLinePunct w:val="0"/>
        <w:bidi w:val="0"/>
        <w:spacing w:before="156" w:beforeLines="50" w:after="156" w:afterLines="5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工程质量保修书</w:t>
      </w:r>
    </w:p>
    <w:p w14:paraId="00DCC5F3">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发包人（全称）：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3B9362B1">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承包人（全称）：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34CEEC47">
      <w:pPr>
        <w:pageBreakBefore w:val="0"/>
        <w:kinsoku/>
        <w:overflowPunct/>
        <w:topLinePunct w:val="0"/>
        <w:bidi w:val="0"/>
        <w:spacing w:line="440" w:lineRule="exact"/>
        <w:rPr>
          <w:rFonts w:hint="eastAsia" w:ascii="仿宋" w:hAnsi="仿宋" w:eastAsia="仿宋" w:cs="仿宋"/>
          <w:color w:val="auto"/>
          <w:sz w:val="24"/>
          <w:szCs w:val="24"/>
        </w:rPr>
      </w:pPr>
    </w:p>
    <w:p w14:paraId="3B4E59BC">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发包人和承包人根据《中华人民共和国建筑法》和《建设工程质量管理条例》，经协商一致就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（工程全称）签订工程质量保修书。</w:t>
      </w:r>
    </w:p>
    <w:p w14:paraId="3BC0F07A">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　　一、工程质量保修范围和内容</w:t>
      </w:r>
    </w:p>
    <w:p w14:paraId="7590C5D0">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　　承包人在质量保修期内，按照有关法律规定和合同约定，承担工程质量保修责任。</w:t>
      </w:r>
    </w:p>
    <w:p w14:paraId="567DE035">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DFBCF58">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u w:val="single"/>
        </w:rPr>
        <w:t xml:space="preserve">  承包范围内的所有工作内容    </w:t>
      </w:r>
      <w:r>
        <w:rPr>
          <w:rFonts w:hint="eastAsia" w:ascii="仿宋" w:hAnsi="仿宋" w:eastAsia="仿宋" w:cs="仿宋"/>
          <w:color w:val="auto"/>
          <w:sz w:val="24"/>
          <w:szCs w:val="24"/>
        </w:rPr>
        <w:t>。</w:t>
      </w:r>
    </w:p>
    <w:p w14:paraId="246B8601">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b/>
          <w:color w:val="auto"/>
          <w:sz w:val="24"/>
          <w:szCs w:val="24"/>
        </w:rPr>
        <w:t>　　</w:t>
      </w:r>
      <w:r>
        <w:rPr>
          <w:rFonts w:hint="eastAsia" w:ascii="仿宋" w:hAnsi="仿宋" w:eastAsia="仿宋" w:cs="仿宋"/>
          <w:color w:val="auto"/>
          <w:sz w:val="24"/>
          <w:szCs w:val="24"/>
        </w:rPr>
        <w:t>二、质量保修期</w:t>
      </w:r>
    </w:p>
    <w:p w14:paraId="3E9130FC">
      <w:pPr>
        <w:pageBreakBefore w:val="0"/>
        <w:kinsoku/>
        <w:overflowPunct/>
        <w:topLinePunct w:val="0"/>
        <w:bidi w:val="0"/>
        <w:spacing w:line="440" w:lineRule="exact"/>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根据《建设工程质量管理条例》及有关规定，工程的质量保修期如下：</w:t>
      </w:r>
    </w:p>
    <w:p w14:paraId="743932CE">
      <w:pPr>
        <w:pageBreakBefore w:val="0"/>
        <w:kinsoku/>
        <w:overflowPunct/>
        <w:topLinePunct w:val="0"/>
        <w:bidi w:val="0"/>
        <w:spacing w:line="440" w:lineRule="exact"/>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1．地基基础工程和主体结构工程为设计文件规定的工程合理使用年限；</w:t>
      </w:r>
    </w:p>
    <w:p w14:paraId="5BE17F15">
      <w:pPr>
        <w:pageBreakBefore w:val="0"/>
        <w:kinsoku/>
        <w:overflowPunct/>
        <w:topLinePunct w:val="0"/>
        <w:bidi w:val="0"/>
        <w:spacing w:line="440" w:lineRule="exact"/>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2．屋面防水工程、有防水要求的卫生间、房间和外墙面的防渗为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p>
    <w:p w14:paraId="1644C998">
      <w:pPr>
        <w:pageBreakBefore w:val="0"/>
        <w:kinsoku/>
        <w:overflowPunct/>
        <w:topLinePunct w:val="0"/>
        <w:bidi w:val="0"/>
        <w:spacing w:line="440" w:lineRule="exact"/>
        <w:ind w:left="420" w:leftChars="200" w:firstLine="120" w:firstLineChars="50"/>
        <w:outlineLvl w:val="9"/>
        <w:rPr>
          <w:rFonts w:hint="eastAsia" w:ascii="仿宋" w:hAnsi="仿宋" w:eastAsia="仿宋" w:cs="仿宋"/>
          <w:color w:val="auto"/>
          <w:sz w:val="24"/>
          <w:szCs w:val="24"/>
        </w:rPr>
      </w:pPr>
      <w:r>
        <w:rPr>
          <w:rFonts w:hint="eastAsia" w:ascii="仿宋" w:hAnsi="仿宋" w:eastAsia="仿宋" w:cs="仿宋"/>
          <w:color w:val="auto"/>
          <w:sz w:val="24"/>
          <w:szCs w:val="24"/>
        </w:rPr>
        <w:t>3．装修工程为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p>
    <w:p w14:paraId="54C48957">
      <w:pPr>
        <w:pageBreakBefore w:val="0"/>
        <w:kinsoku/>
        <w:overflowPunct/>
        <w:topLinePunct w:val="0"/>
        <w:bidi w:val="0"/>
        <w:spacing w:line="440" w:lineRule="exact"/>
        <w:ind w:left="420" w:leftChars="200" w:firstLine="120" w:firstLineChars="50"/>
        <w:outlineLvl w:val="9"/>
        <w:rPr>
          <w:rFonts w:hint="eastAsia" w:ascii="仿宋" w:hAnsi="仿宋" w:eastAsia="仿宋" w:cs="仿宋"/>
          <w:color w:val="auto"/>
          <w:sz w:val="24"/>
          <w:szCs w:val="24"/>
        </w:rPr>
      </w:pPr>
      <w:r>
        <w:rPr>
          <w:rFonts w:hint="eastAsia" w:ascii="仿宋" w:hAnsi="仿宋" w:eastAsia="仿宋" w:cs="仿宋"/>
          <w:color w:val="auto"/>
          <w:sz w:val="24"/>
          <w:szCs w:val="24"/>
        </w:rPr>
        <w:t>4．电气管线、给排水管道、设备安装工程为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p>
    <w:p w14:paraId="6D331ADD">
      <w:pPr>
        <w:pageBreakBefore w:val="0"/>
        <w:kinsoku/>
        <w:overflowPunct/>
        <w:topLinePunct w:val="0"/>
        <w:bidi w:val="0"/>
        <w:spacing w:line="440" w:lineRule="exact"/>
        <w:ind w:left="420" w:leftChars="200" w:firstLine="120" w:firstLineChars="50"/>
        <w:outlineLvl w:val="9"/>
        <w:rPr>
          <w:rFonts w:hint="eastAsia" w:ascii="仿宋" w:hAnsi="仿宋" w:eastAsia="仿宋" w:cs="仿宋"/>
          <w:color w:val="auto"/>
          <w:sz w:val="24"/>
          <w:szCs w:val="24"/>
        </w:rPr>
      </w:pPr>
      <w:r>
        <w:rPr>
          <w:rFonts w:hint="eastAsia" w:ascii="仿宋" w:hAnsi="仿宋" w:eastAsia="仿宋" w:cs="仿宋"/>
          <w:color w:val="auto"/>
          <w:sz w:val="24"/>
          <w:szCs w:val="24"/>
        </w:rPr>
        <w:t>5．供热与供冷系统为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个采暖期、供冷期；</w:t>
      </w:r>
    </w:p>
    <w:p w14:paraId="10CEF2F9">
      <w:pPr>
        <w:pageBreakBefore w:val="0"/>
        <w:kinsoku/>
        <w:overflowPunct/>
        <w:topLinePunct w:val="0"/>
        <w:bidi w:val="0"/>
        <w:spacing w:line="440" w:lineRule="exact"/>
        <w:ind w:left="420" w:leftChars="200" w:firstLine="120" w:firstLineChars="50"/>
        <w:outlineLvl w:val="9"/>
        <w:rPr>
          <w:rFonts w:hint="eastAsia" w:ascii="仿宋" w:hAnsi="仿宋" w:eastAsia="仿宋" w:cs="仿宋"/>
          <w:color w:val="auto"/>
          <w:sz w:val="24"/>
          <w:szCs w:val="24"/>
        </w:rPr>
      </w:pPr>
      <w:r>
        <w:rPr>
          <w:rFonts w:hint="eastAsia" w:ascii="仿宋" w:hAnsi="仿宋" w:eastAsia="仿宋" w:cs="仿宋"/>
          <w:color w:val="auto"/>
          <w:sz w:val="24"/>
          <w:szCs w:val="24"/>
        </w:rPr>
        <w:t>6．住宅小区内的给排水设施、道路等配套工程为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p>
    <w:p w14:paraId="04B60144">
      <w:pPr>
        <w:pageBreakBefore w:val="0"/>
        <w:kinsoku/>
        <w:overflowPunct/>
        <w:topLinePunct w:val="0"/>
        <w:bidi w:val="0"/>
        <w:spacing w:line="440" w:lineRule="exact"/>
        <w:ind w:left="420" w:leftChars="200" w:firstLine="120" w:firstLineChars="50"/>
        <w:outlineLvl w:val="9"/>
        <w:rPr>
          <w:rFonts w:hint="eastAsia" w:ascii="仿宋" w:hAnsi="仿宋" w:eastAsia="仿宋" w:cs="仿宋"/>
          <w:color w:val="auto"/>
          <w:sz w:val="24"/>
          <w:szCs w:val="24"/>
        </w:rPr>
      </w:pPr>
      <w:r>
        <w:rPr>
          <w:rFonts w:hint="eastAsia" w:ascii="仿宋" w:hAnsi="仿宋" w:eastAsia="仿宋" w:cs="仿宋"/>
          <w:color w:val="auto"/>
          <w:sz w:val="24"/>
          <w:szCs w:val="24"/>
        </w:rPr>
        <w:t>7．其他项目保修期限约定如下：</w:t>
      </w:r>
    </w:p>
    <w:p w14:paraId="700483C2">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14C4320">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　　质量保修期自工程竣工验收合格之日起计算。</w:t>
      </w:r>
    </w:p>
    <w:p w14:paraId="4ACDD5A6">
      <w:pPr>
        <w:pageBreakBefore w:val="0"/>
        <w:kinsoku/>
        <w:overflowPunct/>
        <w:topLinePunct w:val="0"/>
        <w:bidi w:val="0"/>
        <w:spacing w:line="440" w:lineRule="exact"/>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三、缺陷责任期</w:t>
      </w:r>
    </w:p>
    <w:p w14:paraId="1F5C932E">
      <w:pPr>
        <w:pageBreakBefore w:val="0"/>
        <w:kinsoku/>
        <w:overflowPunct/>
        <w:topLinePunct w:val="0"/>
        <w:bidi w:val="0"/>
        <w:spacing w:line="440" w:lineRule="exact"/>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工程缺陷责任期为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24</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个月，缺陷责任期自工程通过竣工验收之日起计算。单位工程先于全部工程进行验收，单位工程缺陷责任期自单位工程验收合格之日起算。</w:t>
      </w:r>
    </w:p>
    <w:p w14:paraId="153C6C5B">
      <w:pPr>
        <w:pageBreakBefore w:val="0"/>
        <w:kinsoku/>
        <w:overflowPunct/>
        <w:topLinePunct w:val="0"/>
        <w:bidi w:val="0"/>
        <w:spacing w:line="440" w:lineRule="exact"/>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缺陷责任期终止后，发包人应退还剩余的质量保证金。</w:t>
      </w:r>
    </w:p>
    <w:p w14:paraId="24C3C942">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四、质量保修责任</w:t>
      </w:r>
    </w:p>
    <w:p w14:paraId="517ED6B3">
      <w:pPr>
        <w:pageBreakBefore w:val="0"/>
        <w:kinsoku/>
        <w:overflowPunct/>
        <w:topLinePunct w:val="0"/>
        <w:bidi w:val="0"/>
        <w:spacing w:line="440" w:lineRule="exact"/>
        <w:ind w:left="105" w:leftChars="50" w:firstLine="491" w:firstLineChars="205"/>
        <w:outlineLvl w:val="9"/>
        <w:rPr>
          <w:rFonts w:hint="eastAsia" w:ascii="仿宋" w:hAnsi="仿宋" w:eastAsia="仿宋" w:cs="仿宋"/>
          <w:color w:val="auto"/>
          <w:sz w:val="24"/>
          <w:szCs w:val="24"/>
        </w:rPr>
      </w:pPr>
      <w:r>
        <w:rPr>
          <w:rFonts w:hint="eastAsia" w:ascii="仿宋" w:hAnsi="仿宋" w:eastAsia="仿宋" w:cs="仿宋"/>
          <w:color w:val="auto"/>
          <w:sz w:val="24"/>
          <w:szCs w:val="24"/>
        </w:rPr>
        <w:t>1．属于保修范围、内容的项目，承包人应当在接到保修通知之日起7天内派人保修。承包人不在约定期限内派人保修的，发包人可以委托他人修理。</w:t>
      </w:r>
    </w:p>
    <w:p w14:paraId="5FB17358">
      <w:pPr>
        <w:pageBreakBefore w:val="0"/>
        <w:kinsoku/>
        <w:overflowPunct/>
        <w:topLinePunct w:val="0"/>
        <w:bidi w:val="0"/>
        <w:spacing w:line="440" w:lineRule="exact"/>
        <w:ind w:left="105" w:leftChars="50" w:firstLine="491" w:firstLineChars="205"/>
        <w:outlineLvl w:val="9"/>
        <w:rPr>
          <w:rFonts w:hint="eastAsia" w:ascii="仿宋" w:hAnsi="仿宋" w:eastAsia="仿宋" w:cs="仿宋"/>
          <w:color w:val="auto"/>
          <w:sz w:val="24"/>
          <w:szCs w:val="24"/>
        </w:rPr>
      </w:pPr>
      <w:r>
        <w:rPr>
          <w:rFonts w:hint="eastAsia" w:ascii="仿宋" w:hAnsi="仿宋" w:eastAsia="仿宋" w:cs="仿宋"/>
          <w:color w:val="auto"/>
          <w:sz w:val="24"/>
          <w:szCs w:val="24"/>
        </w:rPr>
        <w:t>2．发生紧急事故需抢修的，承包人在接到事故通知后，应当立即到达事故现场抢修。</w:t>
      </w:r>
    </w:p>
    <w:p w14:paraId="3348D244">
      <w:pPr>
        <w:pageBreakBefore w:val="0"/>
        <w:kinsoku/>
        <w:overflowPunct/>
        <w:topLinePunct w:val="0"/>
        <w:bidi w:val="0"/>
        <w:spacing w:line="440" w:lineRule="exact"/>
        <w:ind w:left="105" w:leftChars="50" w:firstLine="491" w:firstLineChars="205"/>
        <w:outlineLvl w:val="9"/>
        <w:rPr>
          <w:rFonts w:hint="eastAsia" w:ascii="仿宋" w:hAnsi="仿宋" w:eastAsia="仿宋" w:cs="仿宋"/>
          <w:color w:val="auto"/>
          <w:sz w:val="24"/>
          <w:szCs w:val="24"/>
        </w:rPr>
      </w:pPr>
      <w:r>
        <w:rPr>
          <w:rFonts w:hint="eastAsia" w:ascii="仿宋" w:hAnsi="仿宋" w:eastAsia="仿宋" w:cs="仿宋"/>
          <w:color w:val="auto"/>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360F612">
      <w:pPr>
        <w:pageBreakBefore w:val="0"/>
        <w:kinsoku/>
        <w:overflowPunct/>
        <w:topLinePunct w:val="0"/>
        <w:bidi w:val="0"/>
        <w:spacing w:line="440" w:lineRule="exact"/>
        <w:ind w:left="420" w:leftChars="200" w:firstLine="120" w:firstLineChars="50"/>
        <w:outlineLvl w:val="9"/>
        <w:rPr>
          <w:rFonts w:hint="eastAsia" w:ascii="仿宋" w:hAnsi="仿宋" w:eastAsia="仿宋" w:cs="仿宋"/>
          <w:color w:val="auto"/>
          <w:sz w:val="24"/>
          <w:szCs w:val="24"/>
        </w:rPr>
      </w:pPr>
      <w:r>
        <w:rPr>
          <w:rFonts w:hint="eastAsia" w:ascii="仿宋" w:hAnsi="仿宋" w:eastAsia="仿宋" w:cs="仿宋"/>
          <w:color w:val="auto"/>
          <w:sz w:val="24"/>
          <w:szCs w:val="24"/>
        </w:rPr>
        <w:t>4．质量保修完成后，由发包人组织验收。</w:t>
      </w:r>
    </w:p>
    <w:p w14:paraId="219CE8C4">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　　五、保修费用</w:t>
      </w:r>
    </w:p>
    <w:p w14:paraId="2A122C49">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　　保修费用由造成质量缺陷的责任方承担。</w:t>
      </w:r>
    </w:p>
    <w:p w14:paraId="53227CAC">
      <w:pPr>
        <w:pageBreakBefore w:val="0"/>
        <w:kinsoku/>
        <w:overflowPunct/>
        <w:topLinePunct w:val="0"/>
        <w:bidi w:val="0"/>
        <w:spacing w:line="440" w:lineRule="exact"/>
        <w:jc w:val="left"/>
        <w:outlineLvl w:val="9"/>
        <w:rPr>
          <w:rFonts w:hint="eastAsia" w:ascii="仿宋" w:hAnsi="仿宋" w:eastAsia="仿宋" w:cs="仿宋"/>
          <w:color w:val="auto"/>
          <w:sz w:val="24"/>
          <w:szCs w:val="24"/>
        </w:rPr>
      </w:pPr>
      <w:r>
        <w:rPr>
          <w:rFonts w:hint="eastAsia" w:ascii="仿宋" w:hAnsi="仿宋" w:eastAsia="仿宋" w:cs="仿宋"/>
          <w:b/>
          <w:color w:val="auto"/>
          <w:sz w:val="24"/>
          <w:szCs w:val="24"/>
        </w:rPr>
        <w:t>六</w:t>
      </w:r>
      <w:r>
        <w:rPr>
          <w:rFonts w:hint="eastAsia" w:ascii="仿宋" w:hAnsi="仿宋" w:eastAsia="仿宋" w:cs="仿宋"/>
          <w:color w:val="auto"/>
          <w:sz w:val="24"/>
          <w:szCs w:val="24"/>
        </w:rPr>
        <w:t>、双方约定的其他工程质量保修事项：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CC227C1">
      <w:pPr>
        <w:pageBreakBefore w:val="0"/>
        <w:kinsoku/>
        <w:overflowPunct/>
        <w:topLinePunct w:val="0"/>
        <w:bidi w:val="0"/>
        <w:spacing w:line="440" w:lineRule="exact"/>
        <w:ind w:firstLine="456" w:firstLineChars="190"/>
        <w:outlineLvl w:val="9"/>
        <w:rPr>
          <w:rFonts w:hint="eastAsia" w:ascii="仿宋" w:hAnsi="仿宋" w:eastAsia="仿宋" w:cs="仿宋"/>
          <w:color w:val="auto"/>
          <w:sz w:val="24"/>
          <w:szCs w:val="24"/>
        </w:rPr>
      </w:pPr>
      <w:r>
        <w:rPr>
          <w:rFonts w:hint="eastAsia" w:ascii="仿宋" w:hAnsi="仿宋" w:eastAsia="仿宋" w:cs="仿宋"/>
          <w:color w:val="auto"/>
          <w:sz w:val="24"/>
          <w:szCs w:val="24"/>
        </w:rPr>
        <w:t>工程质量保修书由发包人、承包人在工程竣工验收前共同签署，作为施工合同附件，其有效期限至保修期满。</w:t>
      </w:r>
    </w:p>
    <w:p w14:paraId="025F5807">
      <w:pPr>
        <w:pageBreakBefore w:val="0"/>
        <w:kinsoku/>
        <w:overflowPunct/>
        <w:topLinePunct w:val="0"/>
        <w:bidi w:val="0"/>
        <w:spacing w:line="440" w:lineRule="exact"/>
        <w:ind w:firstLine="420"/>
        <w:outlineLvl w:val="9"/>
        <w:rPr>
          <w:rFonts w:hint="eastAsia" w:ascii="仿宋" w:hAnsi="仿宋" w:eastAsia="仿宋" w:cs="仿宋"/>
          <w:color w:val="auto"/>
          <w:sz w:val="24"/>
          <w:szCs w:val="24"/>
        </w:rPr>
      </w:pPr>
    </w:p>
    <w:p w14:paraId="0250508E">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发包人(公章)：</w:t>
      </w:r>
      <w:r>
        <w:rPr>
          <w:rFonts w:hint="eastAsia" w:ascii="仿宋" w:hAnsi="仿宋" w:eastAsia="仿宋" w:cs="仿宋"/>
          <w:color w:val="auto"/>
          <w:sz w:val="24"/>
          <w:szCs w:val="24"/>
          <w:u w:val="single"/>
        </w:rPr>
        <w:t xml:space="preserve">        </w:t>
      </w:r>
      <w:r>
        <w:rPr>
          <w:rFonts w:hint="eastAsia" w:ascii="仿宋" w:hAnsi="仿宋" w:eastAsia="仿宋" w:cs="仿宋"/>
          <w:color w:val="auto"/>
          <w:sz w:val="24"/>
          <w:szCs w:val="24"/>
        </w:rPr>
        <w:t xml:space="preserve"> 承包人(公章)：</w:t>
      </w:r>
      <w:r>
        <w:rPr>
          <w:rFonts w:hint="eastAsia" w:ascii="仿宋" w:hAnsi="仿宋" w:eastAsia="仿宋" w:cs="仿宋"/>
          <w:color w:val="auto"/>
          <w:sz w:val="24"/>
          <w:szCs w:val="24"/>
          <w:u w:val="single"/>
        </w:rPr>
        <w:t xml:space="preserve">           </w:t>
      </w:r>
    </w:p>
    <w:p w14:paraId="61132B28">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地  址：</w:t>
      </w:r>
      <w:r>
        <w:rPr>
          <w:rFonts w:hint="eastAsia" w:ascii="仿宋" w:hAnsi="仿宋" w:eastAsia="仿宋" w:cs="仿宋"/>
          <w:color w:val="auto"/>
          <w:sz w:val="24"/>
          <w:szCs w:val="24"/>
          <w:u w:val="single"/>
        </w:rPr>
        <w:t xml:space="preserve">       </w:t>
      </w:r>
    </w:p>
    <w:p w14:paraId="3786311A">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法定代表人(签字)：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法定代表人(签字)：</w:t>
      </w:r>
      <w:r>
        <w:rPr>
          <w:rFonts w:hint="eastAsia" w:ascii="仿宋" w:hAnsi="仿宋" w:eastAsia="仿宋" w:cs="仿宋"/>
          <w:color w:val="auto"/>
          <w:sz w:val="24"/>
          <w:szCs w:val="24"/>
          <w:u w:val="single"/>
        </w:rPr>
        <w:t xml:space="preserve">       </w:t>
      </w:r>
    </w:p>
    <w:p w14:paraId="05850DB3">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委托代理人(签字)：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委托代理人(签字)：</w:t>
      </w:r>
      <w:r>
        <w:rPr>
          <w:rFonts w:hint="eastAsia" w:ascii="仿宋" w:hAnsi="仿宋" w:eastAsia="仿宋" w:cs="仿宋"/>
          <w:color w:val="auto"/>
          <w:sz w:val="24"/>
          <w:szCs w:val="24"/>
          <w:u w:val="single"/>
        </w:rPr>
        <w:t xml:space="preserve">       </w:t>
      </w:r>
    </w:p>
    <w:p w14:paraId="2635DD2C">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  话：</w:t>
      </w:r>
      <w:r>
        <w:rPr>
          <w:rFonts w:hint="eastAsia" w:ascii="仿宋" w:hAnsi="仿宋" w:eastAsia="仿宋" w:cs="仿宋"/>
          <w:color w:val="auto"/>
          <w:sz w:val="24"/>
          <w:szCs w:val="24"/>
          <w:u w:val="single"/>
        </w:rPr>
        <w:t xml:space="preserve">     </w:t>
      </w:r>
    </w:p>
    <w:p w14:paraId="63A25F53">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传  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传  真：</w:t>
      </w:r>
      <w:r>
        <w:rPr>
          <w:rFonts w:hint="eastAsia" w:ascii="仿宋" w:hAnsi="仿宋" w:eastAsia="仿宋" w:cs="仿宋"/>
          <w:color w:val="auto"/>
          <w:sz w:val="24"/>
          <w:szCs w:val="24"/>
          <w:u w:val="single"/>
        </w:rPr>
        <w:t xml:space="preserve">     </w:t>
      </w:r>
    </w:p>
    <w:p w14:paraId="07D8070E">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开户银行：</w:t>
      </w:r>
      <w:r>
        <w:rPr>
          <w:rFonts w:hint="eastAsia" w:ascii="仿宋" w:hAnsi="仿宋" w:eastAsia="仿宋" w:cs="仿宋"/>
          <w:color w:val="auto"/>
          <w:sz w:val="24"/>
          <w:szCs w:val="24"/>
          <w:u w:val="single"/>
        </w:rPr>
        <w:t xml:space="preserve">   </w:t>
      </w:r>
    </w:p>
    <w:p w14:paraId="36396BE7">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账  号：</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账  号：</w:t>
      </w:r>
      <w:r>
        <w:rPr>
          <w:rFonts w:hint="eastAsia" w:ascii="仿宋" w:hAnsi="仿宋" w:eastAsia="仿宋" w:cs="仿宋"/>
          <w:color w:val="auto"/>
          <w:sz w:val="24"/>
          <w:szCs w:val="24"/>
          <w:u w:val="single"/>
        </w:rPr>
        <w:t xml:space="preserve">     </w:t>
      </w:r>
    </w:p>
    <w:p w14:paraId="3B455059">
      <w:pPr>
        <w:pageBreakBefore w:val="0"/>
        <w:kinsoku/>
        <w:overflowPunct/>
        <w:topLinePunct w:val="0"/>
        <w:bidi w:val="0"/>
        <w:spacing w:line="4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邮政编码：</w:t>
      </w:r>
      <w:r>
        <w:rPr>
          <w:rFonts w:hint="eastAsia" w:ascii="仿宋" w:hAnsi="仿宋" w:eastAsia="仿宋" w:cs="仿宋"/>
          <w:color w:val="auto"/>
          <w:sz w:val="24"/>
          <w:szCs w:val="24"/>
          <w:u w:val="single"/>
        </w:rPr>
        <w:t xml:space="preserve">   </w:t>
      </w:r>
      <w:r>
        <w:rPr>
          <w:rFonts w:hint="eastAsia" w:ascii="仿宋" w:hAnsi="仿宋" w:eastAsia="仿宋" w:cs="仿宋"/>
          <w:b/>
          <w:color w:val="auto"/>
          <w:sz w:val="24"/>
          <w:szCs w:val="24"/>
        </w:rPr>
        <w:br w:type="page"/>
      </w:r>
      <w:r>
        <w:rPr>
          <w:rFonts w:hint="eastAsia" w:ascii="仿宋" w:hAnsi="仿宋" w:eastAsia="仿宋" w:cs="仿宋"/>
          <w:color w:val="auto"/>
          <w:sz w:val="24"/>
          <w:szCs w:val="24"/>
        </w:rPr>
        <w:t>附件4：</w:t>
      </w:r>
    </w:p>
    <w:p w14:paraId="40DA89C7">
      <w:pPr>
        <w:pageBreakBefore w:val="0"/>
        <w:kinsoku/>
        <w:overflowPunct/>
        <w:topLinePunct w:val="0"/>
        <w:bidi w:val="0"/>
        <w:spacing w:before="156" w:beforeLines="50" w:after="156" w:afterLines="5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主要建设工程文件目录</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7C3996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7196BF1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文件名称</w:t>
            </w:r>
          </w:p>
        </w:tc>
        <w:tc>
          <w:tcPr>
            <w:tcW w:w="1276" w:type="dxa"/>
            <w:tcBorders>
              <w:top w:val="single" w:color="auto" w:sz="12" w:space="0"/>
              <w:bottom w:val="double" w:color="auto" w:sz="6" w:space="0"/>
            </w:tcBorders>
            <w:noWrap w:val="0"/>
            <w:vAlign w:val="center"/>
          </w:tcPr>
          <w:p w14:paraId="0837EAD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套数</w:t>
            </w:r>
          </w:p>
        </w:tc>
        <w:tc>
          <w:tcPr>
            <w:tcW w:w="1450" w:type="dxa"/>
            <w:tcBorders>
              <w:top w:val="single" w:color="auto" w:sz="12" w:space="0"/>
              <w:bottom w:val="double" w:color="auto" w:sz="6" w:space="0"/>
            </w:tcBorders>
            <w:noWrap w:val="0"/>
            <w:vAlign w:val="center"/>
          </w:tcPr>
          <w:p w14:paraId="5D08661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费用（元）</w:t>
            </w:r>
          </w:p>
        </w:tc>
        <w:tc>
          <w:tcPr>
            <w:tcW w:w="1243" w:type="dxa"/>
            <w:tcBorders>
              <w:top w:val="single" w:color="auto" w:sz="12" w:space="0"/>
              <w:bottom w:val="double" w:color="auto" w:sz="6" w:space="0"/>
            </w:tcBorders>
            <w:noWrap w:val="0"/>
            <w:vAlign w:val="center"/>
          </w:tcPr>
          <w:p w14:paraId="3B0E55C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质量</w:t>
            </w:r>
          </w:p>
        </w:tc>
        <w:tc>
          <w:tcPr>
            <w:tcW w:w="1450" w:type="dxa"/>
            <w:tcBorders>
              <w:top w:val="single" w:color="auto" w:sz="12" w:space="0"/>
              <w:bottom w:val="double" w:color="auto" w:sz="6" w:space="0"/>
            </w:tcBorders>
            <w:noWrap w:val="0"/>
            <w:vAlign w:val="top"/>
          </w:tcPr>
          <w:p w14:paraId="0CC46945">
            <w:pPr>
              <w:pageBreakBefore w:val="0"/>
              <w:kinsoku/>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移交时间</w:t>
            </w:r>
          </w:p>
        </w:tc>
        <w:tc>
          <w:tcPr>
            <w:tcW w:w="1667" w:type="dxa"/>
            <w:tcBorders>
              <w:top w:val="single" w:color="auto" w:sz="12" w:space="0"/>
              <w:bottom w:val="double" w:color="auto" w:sz="6" w:space="0"/>
            </w:tcBorders>
            <w:noWrap w:val="0"/>
            <w:vAlign w:val="top"/>
          </w:tcPr>
          <w:p w14:paraId="434697F0">
            <w:pPr>
              <w:pageBreakBefore w:val="0"/>
              <w:kinsoku/>
              <w:overflowPunct/>
              <w:topLinePunct w:val="0"/>
              <w:bidi w:val="0"/>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责任人</w:t>
            </w:r>
          </w:p>
        </w:tc>
      </w:tr>
      <w:tr w14:paraId="28EBD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626D459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tcBorders>
              <w:top w:val="double" w:color="auto" w:sz="6" w:space="0"/>
              <w:bottom w:val="single" w:color="auto" w:sz="6" w:space="0"/>
            </w:tcBorders>
            <w:noWrap w:val="0"/>
            <w:vAlign w:val="center"/>
          </w:tcPr>
          <w:p w14:paraId="1377F09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tcBorders>
              <w:top w:val="double" w:color="auto" w:sz="6" w:space="0"/>
              <w:bottom w:val="single" w:color="auto" w:sz="6" w:space="0"/>
            </w:tcBorders>
            <w:noWrap w:val="0"/>
            <w:vAlign w:val="center"/>
          </w:tcPr>
          <w:p w14:paraId="1EC46D4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43" w:type="dxa"/>
            <w:tcBorders>
              <w:top w:val="double" w:color="auto" w:sz="6" w:space="0"/>
              <w:bottom w:val="single" w:color="auto" w:sz="6" w:space="0"/>
            </w:tcBorders>
            <w:noWrap w:val="0"/>
            <w:vAlign w:val="center"/>
          </w:tcPr>
          <w:p w14:paraId="76DC223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tcBorders>
              <w:top w:val="double" w:color="auto" w:sz="6" w:space="0"/>
              <w:bottom w:val="single" w:color="auto" w:sz="6" w:space="0"/>
            </w:tcBorders>
            <w:noWrap w:val="0"/>
            <w:vAlign w:val="center"/>
          </w:tcPr>
          <w:p w14:paraId="13DEA4F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667" w:type="dxa"/>
            <w:tcBorders>
              <w:top w:val="double" w:color="auto" w:sz="6" w:space="0"/>
              <w:bottom w:val="single" w:color="auto" w:sz="6" w:space="0"/>
            </w:tcBorders>
            <w:noWrap w:val="0"/>
            <w:vAlign w:val="center"/>
          </w:tcPr>
          <w:p w14:paraId="5A1C034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F55F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149D4F3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tcBorders>
              <w:top w:val="nil"/>
            </w:tcBorders>
            <w:noWrap w:val="0"/>
            <w:vAlign w:val="center"/>
          </w:tcPr>
          <w:p w14:paraId="1C0BB60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tcBorders>
              <w:top w:val="nil"/>
            </w:tcBorders>
            <w:noWrap w:val="0"/>
            <w:vAlign w:val="center"/>
          </w:tcPr>
          <w:p w14:paraId="3225105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43" w:type="dxa"/>
            <w:tcBorders>
              <w:top w:val="nil"/>
            </w:tcBorders>
            <w:noWrap w:val="0"/>
            <w:vAlign w:val="center"/>
          </w:tcPr>
          <w:p w14:paraId="33FB586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tcBorders>
              <w:top w:val="nil"/>
            </w:tcBorders>
            <w:noWrap w:val="0"/>
            <w:vAlign w:val="center"/>
          </w:tcPr>
          <w:p w14:paraId="796599E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667" w:type="dxa"/>
            <w:tcBorders>
              <w:top w:val="nil"/>
            </w:tcBorders>
            <w:noWrap w:val="0"/>
            <w:vAlign w:val="center"/>
          </w:tcPr>
          <w:p w14:paraId="483AE65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2160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E1E937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3DA6B63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2051F79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43" w:type="dxa"/>
            <w:noWrap w:val="0"/>
            <w:vAlign w:val="center"/>
          </w:tcPr>
          <w:p w14:paraId="13FC5CE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29EF0DA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667" w:type="dxa"/>
            <w:noWrap w:val="0"/>
            <w:vAlign w:val="center"/>
          </w:tcPr>
          <w:p w14:paraId="1AD7945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3F42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B20BB1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558E088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7F621C3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43" w:type="dxa"/>
            <w:noWrap w:val="0"/>
            <w:vAlign w:val="center"/>
          </w:tcPr>
          <w:p w14:paraId="1C3C21F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4C590B6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667" w:type="dxa"/>
            <w:noWrap w:val="0"/>
            <w:vAlign w:val="center"/>
          </w:tcPr>
          <w:p w14:paraId="0739A93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1425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ECBF9E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36ADC33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613A61C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43" w:type="dxa"/>
            <w:noWrap w:val="0"/>
            <w:vAlign w:val="center"/>
          </w:tcPr>
          <w:p w14:paraId="00DDC24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3C06A8A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667" w:type="dxa"/>
            <w:noWrap w:val="0"/>
            <w:vAlign w:val="center"/>
          </w:tcPr>
          <w:p w14:paraId="1BCD8F0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3C3B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8E3DF3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5533D87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03349DD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43" w:type="dxa"/>
            <w:noWrap w:val="0"/>
            <w:vAlign w:val="center"/>
          </w:tcPr>
          <w:p w14:paraId="6BA2212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1D18EBA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667" w:type="dxa"/>
            <w:noWrap w:val="0"/>
            <w:vAlign w:val="center"/>
          </w:tcPr>
          <w:p w14:paraId="55BE5E2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AEA9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B0A957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54E3C45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7240D99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43" w:type="dxa"/>
            <w:noWrap w:val="0"/>
            <w:vAlign w:val="center"/>
          </w:tcPr>
          <w:p w14:paraId="7BA3646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28BDC5B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667" w:type="dxa"/>
            <w:noWrap w:val="0"/>
            <w:vAlign w:val="center"/>
          </w:tcPr>
          <w:p w14:paraId="7D88814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0787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2D26D1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63F642B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6CB1DD3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43" w:type="dxa"/>
            <w:noWrap w:val="0"/>
            <w:vAlign w:val="center"/>
          </w:tcPr>
          <w:p w14:paraId="31A9019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131BED3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667" w:type="dxa"/>
            <w:noWrap w:val="0"/>
            <w:vAlign w:val="center"/>
          </w:tcPr>
          <w:p w14:paraId="04DD7CC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0F59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73C274B">
            <w:pPr>
              <w:pageBreakBefore w:val="0"/>
              <w:kinsoku/>
              <w:overflowPunct/>
              <w:topLinePunct w:val="0"/>
              <w:bidi w:val="0"/>
              <w:spacing w:line="440" w:lineRule="exact"/>
              <w:rPr>
                <w:rFonts w:hint="eastAsia" w:ascii="仿宋" w:hAnsi="仿宋" w:eastAsia="仿宋" w:cs="仿宋"/>
                <w:color w:val="auto"/>
                <w:sz w:val="24"/>
                <w:szCs w:val="24"/>
              </w:rPr>
            </w:pPr>
          </w:p>
        </w:tc>
        <w:tc>
          <w:tcPr>
            <w:tcW w:w="1276" w:type="dxa"/>
            <w:noWrap w:val="0"/>
            <w:vAlign w:val="top"/>
          </w:tcPr>
          <w:p w14:paraId="0C4FEEAA">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5557AEE9">
            <w:pPr>
              <w:pageBreakBefore w:val="0"/>
              <w:kinsoku/>
              <w:overflowPunct/>
              <w:topLinePunct w:val="0"/>
              <w:bidi w:val="0"/>
              <w:spacing w:line="440" w:lineRule="exact"/>
              <w:rPr>
                <w:rFonts w:hint="eastAsia" w:ascii="仿宋" w:hAnsi="仿宋" w:eastAsia="仿宋" w:cs="仿宋"/>
                <w:color w:val="auto"/>
                <w:sz w:val="24"/>
                <w:szCs w:val="24"/>
              </w:rPr>
            </w:pPr>
          </w:p>
        </w:tc>
        <w:tc>
          <w:tcPr>
            <w:tcW w:w="1243" w:type="dxa"/>
            <w:noWrap w:val="0"/>
            <w:vAlign w:val="top"/>
          </w:tcPr>
          <w:p w14:paraId="605BE626">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1628ACF7">
            <w:pPr>
              <w:pageBreakBefore w:val="0"/>
              <w:kinsoku/>
              <w:overflowPunct/>
              <w:topLinePunct w:val="0"/>
              <w:bidi w:val="0"/>
              <w:spacing w:line="440" w:lineRule="exact"/>
              <w:rPr>
                <w:rFonts w:hint="eastAsia" w:ascii="仿宋" w:hAnsi="仿宋" w:eastAsia="仿宋" w:cs="仿宋"/>
                <w:color w:val="auto"/>
                <w:sz w:val="24"/>
                <w:szCs w:val="24"/>
              </w:rPr>
            </w:pPr>
          </w:p>
        </w:tc>
        <w:tc>
          <w:tcPr>
            <w:tcW w:w="1667" w:type="dxa"/>
            <w:noWrap w:val="0"/>
            <w:vAlign w:val="top"/>
          </w:tcPr>
          <w:p w14:paraId="2ACEC049">
            <w:pPr>
              <w:pageBreakBefore w:val="0"/>
              <w:kinsoku/>
              <w:overflowPunct/>
              <w:topLinePunct w:val="0"/>
              <w:bidi w:val="0"/>
              <w:spacing w:line="440" w:lineRule="exact"/>
              <w:rPr>
                <w:rFonts w:hint="eastAsia" w:ascii="仿宋" w:hAnsi="仿宋" w:eastAsia="仿宋" w:cs="仿宋"/>
                <w:color w:val="auto"/>
                <w:sz w:val="24"/>
                <w:szCs w:val="24"/>
              </w:rPr>
            </w:pPr>
          </w:p>
        </w:tc>
      </w:tr>
      <w:tr w14:paraId="48B28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D73105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center"/>
          </w:tcPr>
          <w:p w14:paraId="70732EF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434AACA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43" w:type="dxa"/>
            <w:noWrap w:val="0"/>
            <w:vAlign w:val="center"/>
          </w:tcPr>
          <w:p w14:paraId="3BD4483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50" w:type="dxa"/>
            <w:noWrap w:val="0"/>
            <w:vAlign w:val="center"/>
          </w:tcPr>
          <w:p w14:paraId="3BE8F18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667" w:type="dxa"/>
            <w:noWrap w:val="0"/>
            <w:vAlign w:val="center"/>
          </w:tcPr>
          <w:p w14:paraId="4A6E995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F60E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3307D60">
            <w:pPr>
              <w:pageBreakBefore w:val="0"/>
              <w:kinsoku/>
              <w:overflowPunct/>
              <w:topLinePunct w:val="0"/>
              <w:bidi w:val="0"/>
              <w:spacing w:line="440" w:lineRule="exact"/>
              <w:rPr>
                <w:rFonts w:hint="eastAsia" w:ascii="仿宋" w:hAnsi="仿宋" w:eastAsia="仿宋" w:cs="仿宋"/>
                <w:color w:val="auto"/>
                <w:sz w:val="24"/>
                <w:szCs w:val="24"/>
              </w:rPr>
            </w:pPr>
          </w:p>
        </w:tc>
        <w:tc>
          <w:tcPr>
            <w:tcW w:w="1276" w:type="dxa"/>
            <w:noWrap w:val="0"/>
            <w:vAlign w:val="top"/>
          </w:tcPr>
          <w:p w14:paraId="018BEA33">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01B71C64">
            <w:pPr>
              <w:pageBreakBefore w:val="0"/>
              <w:kinsoku/>
              <w:overflowPunct/>
              <w:topLinePunct w:val="0"/>
              <w:bidi w:val="0"/>
              <w:spacing w:line="440" w:lineRule="exact"/>
              <w:rPr>
                <w:rFonts w:hint="eastAsia" w:ascii="仿宋" w:hAnsi="仿宋" w:eastAsia="仿宋" w:cs="仿宋"/>
                <w:color w:val="auto"/>
                <w:sz w:val="24"/>
                <w:szCs w:val="24"/>
              </w:rPr>
            </w:pPr>
          </w:p>
        </w:tc>
        <w:tc>
          <w:tcPr>
            <w:tcW w:w="1243" w:type="dxa"/>
            <w:noWrap w:val="0"/>
            <w:vAlign w:val="top"/>
          </w:tcPr>
          <w:p w14:paraId="6E7F8F20">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2DA0DA5D">
            <w:pPr>
              <w:pageBreakBefore w:val="0"/>
              <w:kinsoku/>
              <w:overflowPunct/>
              <w:topLinePunct w:val="0"/>
              <w:bidi w:val="0"/>
              <w:spacing w:line="440" w:lineRule="exact"/>
              <w:rPr>
                <w:rFonts w:hint="eastAsia" w:ascii="仿宋" w:hAnsi="仿宋" w:eastAsia="仿宋" w:cs="仿宋"/>
                <w:color w:val="auto"/>
                <w:sz w:val="24"/>
                <w:szCs w:val="24"/>
              </w:rPr>
            </w:pPr>
          </w:p>
        </w:tc>
        <w:tc>
          <w:tcPr>
            <w:tcW w:w="1667" w:type="dxa"/>
            <w:noWrap w:val="0"/>
            <w:vAlign w:val="top"/>
          </w:tcPr>
          <w:p w14:paraId="1C0E04CB">
            <w:pPr>
              <w:pageBreakBefore w:val="0"/>
              <w:kinsoku/>
              <w:overflowPunct/>
              <w:topLinePunct w:val="0"/>
              <w:bidi w:val="0"/>
              <w:spacing w:line="440" w:lineRule="exact"/>
              <w:rPr>
                <w:rFonts w:hint="eastAsia" w:ascii="仿宋" w:hAnsi="仿宋" w:eastAsia="仿宋" w:cs="仿宋"/>
                <w:color w:val="auto"/>
                <w:sz w:val="24"/>
                <w:szCs w:val="24"/>
              </w:rPr>
            </w:pPr>
          </w:p>
        </w:tc>
      </w:tr>
      <w:tr w14:paraId="3A990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8994D69">
            <w:pPr>
              <w:pageBreakBefore w:val="0"/>
              <w:kinsoku/>
              <w:overflowPunct/>
              <w:topLinePunct w:val="0"/>
              <w:bidi w:val="0"/>
              <w:spacing w:line="440" w:lineRule="exact"/>
              <w:rPr>
                <w:rFonts w:hint="eastAsia" w:ascii="仿宋" w:hAnsi="仿宋" w:eastAsia="仿宋" w:cs="仿宋"/>
                <w:color w:val="auto"/>
                <w:sz w:val="24"/>
                <w:szCs w:val="24"/>
              </w:rPr>
            </w:pPr>
          </w:p>
        </w:tc>
        <w:tc>
          <w:tcPr>
            <w:tcW w:w="1276" w:type="dxa"/>
            <w:noWrap w:val="0"/>
            <w:vAlign w:val="top"/>
          </w:tcPr>
          <w:p w14:paraId="2CD385E2">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705FE36B">
            <w:pPr>
              <w:pageBreakBefore w:val="0"/>
              <w:kinsoku/>
              <w:overflowPunct/>
              <w:topLinePunct w:val="0"/>
              <w:bidi w:val="0"/>
              <w:spacing w:line="440" w:lineRule="exact"/>
              <w:rPr>
                <w:rFonts w:hint="eastAsia" w:ascii="仿宋" w:hAnsi="仿宋" w:eastAsia="仿宋" w:cs="仿宋"/>
                <w:color w:val="auto"/>
                <w:sz w:val="24"/>
                <w:szCs w:val="24"/>
              </w:rPr>
            </w:pPr>
          </w:p>
        </w:tc>
        <w:tc>
          <w:tcPr>
            <w:tcW w:w="1243" w:type="dxa"/>
            <w:noWrap w:val="0"/>
            <w:vAlign w:val="top"/>
          </w:tcPr>
          <w:p w14:paraId="3D3F1760">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39EDCC12">
            <w:pPr>
              <w:pageBreakBefore w:val="0"/>
              <w:kinsoku/>
              <w:overflowPunct/>
              <w:topLinePunct w:val="0"/>
              <w:bidi w:val="0"/>
              <w:spacing w:line="440" w:lineRule="exact"/>
              <w:rPr>
                <w:rFonts w:hint="eastAsia" w:ascii="仿宋" w:hAnsi="仿宋" w:eastAsia="仿宋" w:cs="仿宋"/>
                <w:color w:val="auto"/>
                <w:sz w:val="24"/>
                <w:szCs w:val="24"/>
              </w:rPr>
            </w:pPr>
          </w:p>
        </w:tc>
        <w:tc>
          <w:tcPr>
            <w:tcW w:w="1667" w:type="dxa"/>
            <w:noWrap w:val="0"/>
            <w:vAlign w:val="top"/>
          </w:tcPr>
          <w:p w14:paraId="277E7E6D">
            <w:pPr>
              <w:pageBreakBefore w:val="0"/>
              <w:kinsoku/>
              <w:overflowPunct/>
              <w:topLinePunct w:val="0"/>
              <w:bidi w:val="0"/>
              <w:spacing w:line="440" w:lineRule="exact"/>
              <w:rPr>
                <w:rFonts w:hint="eastAsia" w:ascii="仿宋" w:hAnsi="仿宋" w:eastAsia="仿宋" w:cs="仿宋"/>
                <w:color w:val="auto"/>
                <w:sz w:val="24"/>
                <w:szCs w:val="24"/>
              </w:rPr>
            </w:pPr>
          </w:p>
        </w:tc>
      </w:tr>
      <w:tr w14:paraId="4AA95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263AAED">
            <w:pPr>
              <w:pageBreakBefore w:val="0"/>
              <w:kinsoku/>
              <w:overflowPunct/>
              <w:topLinePunct w:val="0"/>
              <w:bidi w:val="0"/>
              <w:spacing w:line="440" w:lineRule="exact"/>
              <w:rPr>
                <w:rFonts w:hint="eastAsia" w:ascii="仿宋" w:hAnsi="仿宋" w:eastAsia="仿宋" w:cs="仿宋"/>
                <w:color w:val="auto"/>
                <w:sz w:val="24"/>
                <w:szCs w:val="24"/>
              </w:rPr>
            </w:pPr>
          </w:p>
        </w:tc>
        <w:tc>
          <w:tcPr>
            <w:tcW w:w="1276" w:type="dxa"/>
            <w:noWrap w:val="0"/>
            <w:vAlign w:val="top"/>
          </w:tcPr>
          <w:p w14:paraId="726D4958">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422FD416">
            <w:pPr>
              <w:pageBreakBefore w:val="0"/>
              <w:kinsoku/>
              <w:overflowPunct/>
              <w:topLinePunct w:val="0"/>
              <w:bidi w:val="0"/>
              <w:spacing w:line="440" w:lineRule="exact"/>
              <w:rPr>
                <w:rFonts w:hint="eastAsia" w:ascii="仿宋" w:hAnsi="仿宋" w:eastAsia="仿宋" w:cs="仿宋"/>
                <w:color w:val="auto"/>
                <w:sz w:val="24"/>
                <w:szCs w:val="24"/>
              </w:rPr>
            </w:pPr>
          </w:p>
        </w:tc>
        <w:tc>
          <w:tcPr>
            <w:tcW w:w="1243" w:type="dxa"/>
            <w:noWrap w:val="0"/>
            <w:vAlign w:val="top"/>
          </w:tcPr>
          <w:p w14:paraId="25AB0578">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7019B0E3">
            <w:pPr>
              <w:pageBreakBefore w:val="0"/>
              <w:kinsoku/>
              <w:overflowPunct/>
              <w:topLinePunct w:val="0"/>
              <w:bidi w:val="0"/>
              <w:spacing w:line="440" w:lineRule="exact"/>
              <w:rPr>
                <w:rFonts w:hint="eastAsia" w:ascii="仿宋" w:hAnsi="仿宋" w:eastAsia="仿宋" w:cs="仿宋"/>
                <w:color w:val="auto"/>
                <w:sz w:val="24"/>
                <w:szCs w:val="24"/>
              </w:rPr>
            </w:pPr>
          </w:p>
        </w:tc>
        <w:tc>
          <w:tcPr>
            <w:tcW w:w="1667" w:type="dxa"/>
            <w:noWrap w:val="0"/>
            <w:vAlign w:val="top"/>
          </w:tcPr>
          <w:p w14:paraId="08A5E6EF">
            <w:pPr>
              <w:pageBreakBefore w:val="0"/>
              <w:kinsoku/>
              <w:overflowPunct/>
              <w:topLinePunct w:val="0"/>
              <w:bidi w:val="0"/>
              <w:spacing w:line="440" w:lineRule="exact"/>
              <w:rPr>
                <w:rFonts w:hint="eastAsia" w:ascii="仿宋" w:hAnsi="仿宋" w:eastAsia="仿宋" w:cs="仿宋"/>
                <w:color w:val="auto"/>
                <w:sz w:val="24"/>
                <w:szCs w:val="24"/>
              </w:rPr>
            </w:pPr>
          </w:p>
        </w:tc>
      </w:tr>
      <w:tr w14:paraId="4F028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66BC186">
            <w:pPr>
              <w:pageBreakBefore w:val="0"/>
              <w:kinsoku/>
              <w:overflowPunct/>
              <w:topLinePunct w:val="0"/>
              <w:bidi w:val="0"/>
              <w:spacing w:line="440" w:lineRule="exact"/>
              <w:rPr>
                <w:rFonts w:hint="eastAsia" w:ascii="仿宋" w:hAnsi="仿宋" w:eastAsia="仿宋" w:cs="仿宋"/>
                <w:color w:val="auto"/>
                <w:sz w:val="24"/>
                <w:szCs w:val="24"/>
              </w:rPr>
            </w:pPr>
          </w:p>
        </w:tc>
        <w:tc>
          <w:tcPr>
            <w:tcW w:w="1276" w:type="dxa"/>
            <w:noWrap w:val="0"/>
            <w:vAlign w:val="top"/>
          </w:tcPr>
          <w:p w14:paraId="09361BE2">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24CD1A7F">
            <w:pPr>
              <w:pageBreakBefore w:val="0"/>
              <w:kinsoku/>
              <w:overflowPunct/>
              <w:topLinePunct w:val="0"/>
              <w:bidi w:val="0"/>
              <w:spacing w:line="440" w:lineRule="exact"/>
              <w:rPr>
                <w:rFonts w:hint="eastAsia" w:ascii="仿宋" w:hAnsi="仿宋" w:eastAsia="仿宋" w:cs="仿宋"/>
                <w:color w:val="auto"/>
                <w:sz w:val="24"/>
                <w:szCs w:val="24"/>
              </w:rPr>
            </w:pPr>
          </w:p>
        </w:tc>
        <w:tc>
          <w:tcPr>
            <w:tcW w:w="1243" w:type="dxa"/>
            <w:noWrap w:val="0"/>
            <w:vAlign w:val="top"/>
          </w:tcPr>
          <w:p w14:paraId="342F4C29">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3AE02F3A">
            <w:pPr>
              <w:pageBreakBefore w:val="0"/>
              <w:kinsoku/>
              <w:overflowPunct/>
              <w:topLinePunct w:val="0"/>
              <w:bidi w:val="0"/>
              <w:spacing w:line="440" w:lineRule="exact"/>
              <w:rPr>
                <w:rFonts w:hint="eastAsia" w:ascii="仿宋" w:hAnsi="仿宋" w:eastAsia="仿宋" w:cs="仿宋"/>
                <w:color w:val="auto"/>
                <w:sz w:val="24"/>
                <w:szCs w:val="24"/>
              </w:rPr>
            </w:pPr>
          </w:p>
        </w:tc>
        <w:tc>
          <w:tcPr>
            <w:tcW w:w="1667" w:type="dxa"/>
            <w:noWrap w:val="0"/>
            <w:vAlign w:val="top"/>
          </w:tcPr>
          <w:p w14:paraId="6C069F6B">
            <w:pPr>
              <w:pageBreakBefore w:val="0"/>
              <w:kinsoku/>
              <w:overflowPunct/>
              <w:topLinePunct w:val="0"/>
              <w:bidi w:val="0"/>
              <w:spacing w:line="440" w:lineRule="exact"/>
              <w:rPr>
                <w:rFonts w:hint="eastAsia" w:ascii="仿宋" w:hAnsi="仿宋" w:eastAsia="仿宋" w:cs="仿宋"/>
                <w:color w:val="auto"/>
                <w:sz w:val="24"/>
                <w:szCs w:val="24"/>
              </w:rPr>
            </w:pPr>
          </w:p>
        </w:tc>
      </w:tr>
      <w:tr w14:paraId="03131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1C613D4">
            <w:pPr>
              <w:pageBreakBefore w:val="0"/>
              <w:kinsoku/>
              <w:overflowPunct/>
              <w:topLinePunct w:val="0"/>
              <w:bidi w:val="0"/>
              <w:spacing w:line="440" w:lineRule="exact"/>
              <w:rPr>
                <w:rFonts w:hint="eastAsia" w:ascii="仿宋" w:hAnsi="仿宋" w:eastAsia="仿宋" w:cs="仿宋"/>
                <w:color w:val="auto"/>
                <w:sz w:val="24"/>
                <w:szCs w:val="24"/>
              </w:rPr>
            </w:pPr>
          </w:p>
        </w:tc>
        <w:tc>
          <w:tcPr>
            <w:tcW w:w="1276" w:type="dxa"/>
            <w:noWrap w:val="0"/>
            <w:vAlign w:val="top"/>
          </w:tcPr>
          <w:p w14:paraId="4B99D5DE">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051F7AF8">
            <w:pPr>
              <w:pageBreakBefore w:val="0"/>
              <w:kinsoku/>
              <w:overflowPunct/>
              <w:topLinePunct w:val="0"/>
              <w:bidi w:val="0"/>
              <w:spacing w:line="440" w:lineRule="exact"/>
              <w:rPr>
                <w:rFonts w:hint="eastAsia" w:ascii="仿宋" w:hAnsi="仿宋" w:eastAsia="仿宋" w:cs="仿宋"/>
                <w:color w:val="auto"/>
                <w:sz w:val="24"/>
                <w:szCs w:val="24"/>
              </w:rPr>
            </w:pPr>
          </w:p>
        </w:tc>
        <w:tc>
          <w:tcPr>
            <w:tcW w:w="1243" w:type="dxa"/>
            <w:noWrap w:val="0"/>
            <w:vAlign w:val="top"/>
          </w:tcPr>
          <w:p w14:paraId="3A4EB8DA">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63902C4D">
            <w:pPr>
              <w:pageBreakBefore w:val="0"/>
              <w:kinsoku/>
              <w:overflowPunct/>
              <w:topLinePunct w:val="0"/>
              <w:bidi w:val="0"/>
              <w:spacing w:line="440" w:lineRule="exact"/>
              <w:rPr>
                <w:rFonts w:hint="eastAsia" w:ascii="仿宋" w:hAnsi="仿宋" w:eastAsia="仿宋" w:cs="仿宋"/>
                <w:color w:val="auto"/>
                <w:sz w:val="24"/>
                <w:szCs w:val="24"/>
              </w:rPr>
            </w:pPr>
          </w:p>
        </w:tc>
        <w:tc>
          <w:tcPr>
            <w:tcW w:w="1667" w:type="dxa"/>
            <w:noWrap w:val="0"/>
            <w:vAlign w:val="top"/>
          </w:tcPr>
          <w:p w14:paraId="56361377">
            <w:pPr>
              <w:pageBreakBefore w:val="0"/>
              <w:kinsoku/>
              <w:overflowPunct/>
              <w:topLinePunct w:val="0"/>
              <w:bidi w:val="0"/>
              <w:spacing w:line="440" w:lineRule="exact"/>
              <w:rPr>
                <w:rFonts w:hint="eastAsia" w:ascii="仿宋" w:hAnsi="仿宋" w:eastAsia="仿宋" w:cs="仿宋"/>
                <w:color w:val="auto"/>
                <w:sz w:val="24"/>
                <w:szCs w:val="24"/>
              </w:rPr>
            </w:pPr>
          </w:p>
        </w:tc>
      </w:tr>
      <w:tr w14:paraId="78A33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5AEACA9">
            <w:pPr>
              <w:pageBreakBefore w:val="0"/>
              <w:kinsoku/>
              <w:overflowPunct/>
              <w:topLinePunct w:val="0"/>
              <w:bidi w:val="0"/>
              <w:spacing w:line="440" w:lineRule="exact"/>
              <w:rPr>
                <w:rFonts w:hint="eastAsia" w:ascii="仿宋" w:hAnsi="仿宋" w:eastAsia="仿宋" w:cs="仿宋"/>
                <w:color w:val="auto"/>
                <w:sz w:val="24"/>
                <w:szCs w:val="24"/>
              </w:rPr>
            </w:pPr>
          </w:p>
        </w:tc>
        <w:tc>
          <w:tcPr>
            <w:tcW w:w="1276" w:type="dxa"/>
            <w:noWrap w:val="0"/>
            <w:vAlign w:val="top"/>
          </w:tcPr>
          <w:p w14:paraId="1D59E040">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1406D39F">
            <w:pPr>
              <w:pageBreakBefore w:val="0"/>
              <w:kinsoku/>
              <w:overflowPunct/>
              <w:topLinePunct w:val="0"/>
              <w:bidi w:val="0"/>
              <w:spacing w:line="440" w:lineRule="exact"/>
              <w:rPr>
                <w:rFonts w:hint="eastAsia" w:ascii="仿宋" w:hAnsi="仿宋" w:eastAsia="仿宋" w:cs="仿宋"/>
                <w:color w:val="auto"/>
                <w:sz w:val="24"/>
                <w:szCs w:val="24"/>
              </w:rPr>
            </w:pPr>
          </w:p>
        </w:tc>
        <w:tc>
          <w:tcPr>
            <w:tcW w:w="1243" w:type="dxa"/>
            <w:noWrap w:val="0"/>
            <w:vAlign w:val="top"/>
          </w:tcPr>
          <w:p w14:paraId="2490AC68">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1141D8D4">
            <w:pPr>
              <w:pageBreakBefore w:val="0"/>
              <w:kinsoku/>
              <w:overflowPunct/>
              <w:topLinePunct w:val="0"/>
              <w:bidi w:val="0"/>
              <w:spacing w:line="440" w:lineRule="exact"/>
              <w:rPr>
                <w:rFonts w:hint="eastAsia" w:ascii="仿宋" w:hAnsi="仿宋" w:eastAsia="仿宋" w:cs="仿宋"/>
                <w:color w:val="auto"/>
                <w:sz w:val="24"/>
                <w:szCs w:val="24"/>
              </w:rPr>
            </w:pPr>
          </w:p>
        </w:tc>
        <w:tc>
          <w:tcPr>
            <w:tcW w:w="1667" w:type="dxa"/>
            <w:noWrap w:val="0"/>
            <w:vAlign w:val="top"/>
          </w:tcPr>
          <w:p w14:paraId="6FBE1777">
            <w:pPr>
              <w:pageBreakBefore w:val="0"/>
              <w:kinsoku/>
              <w:overflowPunct/>
              <w:topLinePunct w:val="0"/>
              <w:bidi w:val="0"/>
              <w:spacing w:line="440" w:lineRule="exact"/>
              <w:rPr>
                <w:rFonts w:hint="eastAsia" w:ascii="仿宋" w:hAnsi="仿宋" w:eastAsia="仿宋" w:cs="仿宋"/>
                <w:color w:val="auto"/>
                <w:sz w:val="24"/>
                <w:szCs w:val="24"/>
              </w:rPr>
            </w:pPr>
          </w:p>
        </w:tc>
      </w:tr>
      <w:tr w14:paraId="6ACA0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1FB4140">
            <w:pPr>
              <w:pageBreakBefore w:val="0"/>
              <w:kinsoku/>
              <w:overflowPunct/>
              <w:topLinePunct w:val="0"/>
              <w:bidi w:val="0"/>
              <w:spacing w:line="440" w:lineRule="exact"/>
              <w:rPr>
                <w:rFonts w:hint="eastAsia" w:ascii="仿宋" w:hAnsi="仿宋" w:eastAsia="仿宋" w:cs="仿宋"/>
                <w:color w:val="auto"/>
                <w:sz w:val="24"/>
                <w:szCs w:val="24"/>
              </w:rPr>
            </w:pPr>
          </w:p>
        </w:tc>
        <w:tc>
          <w:tcPr>
            <w:tcW w:w="1276" w:type="dxa"/>
            <w:noWrap w:val="0"/>
            <w:vAlign w:val="top"/>
          </w:tcPr>
          <w:p w14:paraId="2F934D2C">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669F8CAD">
            <w:pPr>
              <w:pageBreakBefore w:val="0"/>
              <w:kinsoku/>
              <w:overflowPunct/>
              <w:topLinePunct w:val="0"/>
              <w:bidi w:val="0"/>
              <w:spacing w:line="440" w:lineRule="exact"/>
              <w:rPr>
                <w:rFonts w:hint="eastAsia" w:ascii="仿宋" w:hAnsi="仿宋" w:eastAsia="仿宋" w:cs="仿宋"/>
                <w:color w:val="auto"/>
                <w:sz w:val="24"/>
                <w:szCs w:val="24"/>
              </w:rPr>
            </w:pPr>
          </w:p>
        </w:tc>
        <w:tc>
          <w:tcPr>
            <w:tcW w:w="1243" w:type="dxa"/>
            <w:noWrap w:val="0"/>
            <w:vAlign w:val="top"/>
          </w:tcPr>
          <w:p w14:paraId="0BB8C3AA">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3B2204AB">
            <w:pPr>
              <w:pageBreakBefore w:val="0"/>
              <w:kinsoku/>
              <w:overflowPunct/>
              <w:topLinePunct w:val="0"/>
              <w:bidi w:val="0"/>
              <w:spacing w:line="440" w:lineRule="exact"/>
              <w:rPr>
                <w:rFonts w:hint="eastAsia" w:ascii="仿宋" w:hAnsi="仿宋" w:eastAsia="仿宋" w:cs="仿宋"/>
                <w:color w:val="auto"/>
                <w:sz w:val="24"/>
                <w:szCs w:val="24"/>
              </w:rPr>
            </w:pPr>
          </w:p>
        </w:tc>
        <w:tc>
          <w:tcPr>
            <w:tcW w:w="1667" w:type="dxa"/>
            <w:noWrap w:val="0"/>
            <w:vAlign w:val="top"/>
          </w:tcPr>
          <w:p w14:paraId="72DA0264">
            <w:pPr>
              <w:pageBreakBefore w:val="0"/>
              <w:kinsoku/>
              <w:overflowPunct/>
              <w:topLinePunct w:val="0"/>
              <w:bidi w:val="0"/>
              <w:spacing w:line="440" w:lineRule="exact"/>
              <w:rPr>
                <w:rFonts w:hint="eastAsia" w:ascii="仿宋" w:hAnsi="仿宋" w:eastAsia="仿宋" w:cs="仿宋"/>
                <w:color w:val="auto"/>
                <w:sz w:val="24"/>
                <w:szCs w:val="24"/>
              </w:rPr>
            </w:pPr>
          </w:p>
        </w:tc>
      </w:tr>
      <w:tr w14:paraId="1C2EB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10AE472">
            <w:pPr>
              <w:pageBreakBefore w:val="0"/>
              <w:kinsoku/>
              <w:overflowPunct/>
              <w:topLinePunct w:val="0"/>
              <w:bidi w:val="0"/>
              <w:spacing w:line="440" w:lineRule="exact"/>
              <w:rPr>
                <w:rFonts w:hint="eastAsia" w:ascii="仿宋" w:hAnsi="仿宋" w:eastAsia="仿宋" w:cs="仿宋"/>
                <w:color w:val="auto"/>
                <w:sz w:val="24"/>
                <w:szCs w:val="24"/>
              </w:rPr>
            </w:pPr>
          </w:p>
        </w:tc>
        <w:tc>
          <w:tcPr>
            <w:tcW w:w="1276" w:type="dxa"/>
            <w:noWrap w:val="0"/>
            <w:vAlign w:val="top"/>
          </w:tcPr>
          <w:p w14:paraId="1B24150B">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74B76548">
            <w:pPr>
              <w:pageBreakBefore w:val="0"/>
              <w:kinsoku/>
              <w:overflowPunct/>
              <w:topLinePunct w:val="0"/>
              <w:bidi w:val="0"/>
              <w:spacing w:line="440" w:lineRule="exact"/>
              <w:rPr>
                <w:rFonts w:hint="eastAsia" w:ascii="仿宋" w:hAnsi="仿宋" w:eastAsia="仿宋" w:cs="仿宋"/>
                <w:color w:val="auto"/>
                <w:sz w:val="24"/>
                <w:szCs w:val="24"/>
              </w:rPr>
            </w:pPr>
          </w:p>
        </w:tc>
        <w:tc>
          <w:tcPr>
            <w:tcW w:w="1243" w:type="dxa"/>
            <w:noWrap w:val="0"/>
            <w:vAlign w:val="top"/>
          </w:tcPr>
          <w:p w14:paraId="334D11CC">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1A09A2DC">
            <w:pPr>
              <w:pageBreakBefore w:val="0"/>
              <w:kinsoku/>
              <w:overflowPunct/>
              <w:topLinePunct w:val="0"/>
              <w:bidi w:val="0"/>
              <w:spacing w:line="440" w:lineRule="exact"/>
              <w:rPr>
                <w:rFonts w:hint="eastAsia" w:ascii="仿宋" w:hAnsi="仿宋" w:eastAsia="仿宋" w:cs="仿宋"/>
                <w:color w:val="auto"/>
                <w:sz w:val="24"/>
                <w:szCs w:val="24"/>
              </w:rPr>
            </w:pPr>
          </w:p>
        </w:tc>
        <w:tc>
          <w:tcPr>
            <w:tcW w:w="1667" w:type="dxa"/>
            <w:noWrap w:val="0"/>
            <w:vAlign w:val="top"/>
          </w:tcPr>
          <w:p w14:paraId="6DF34974">
            <w:pPr>
              <w:pageBreakBefore w:val="0"/>
              <w:kinsoku/>
              <w:overflowPunct/>
              <w:topLinePunct w:val="0"/>
              <w:bidi w:val="0"/>
              <w:spacing w:line="440" w:lineRule="exact"/>
              <w:rPr>
                <w:rFonts w:hint="eastAsia" w:ascii="仿宋" w:hAnsi="仿宋" w:eastAsia="仿宋" w:cs="仿宋"/>
                <w:color w:val="auto"/>
                <w:sz w:val="24"/>
                <w:szCs w:val="24"/>
              </w:rPr>
            </w:pPr>
          </w:p>
        </w:tc>
      </w:tr>
      <w:tr w14:paraId="626A8B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EDB642F">
            <w:pPr>
              <w:pageBreakBefore w:val="0"/>
              <w:kinsoku/>
              <w:overflowPunct/>
              <w:topLinePunct w:val="0"/>
              <w:bidi w:val="0"/>
              <w:spacing w:line="440" w:lineRule="exact"/>
              <w:rPr>
                <w:rFonts w:hint="eastAsia" w:ascii="仿宋" w:hAnsi="仿宋" w:eastAsia="仿宋" w:cs="仿宋"/>
                <w:color w:val="auto"/>
                <w:sz w:val="24"/>
                <w:szCs w:val="24"/>
              </w:rPr>
            </w:pPr>
          </w:p>
        </w:tc>
        <w:tc>
          <w:tcPr>
            <w:tcW w:w="1276" w:type="dxa"/>
            <w:noWrap w:val="0"/>
            <w:vAlign w:val="top"/>
          </w:tcPr>
          <w:p w14:paraId="4228750D">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7D3E00D9">
            <w:pPr>
              <w:pageBreakBefore w:val="0"/>
              <w:kinsoku/>
              <w:overflowPunct/>
              <w:topLinePunct w:val="0"/>
              <w:bidi w:val="0"/>
              <w:spacing w:line="440" w:lineRule="exact"/>
              <w:rPr>
                <w:rFonts w:hint="eastAsia" w:ascii="仿宋" w:hAnsi="仿宋" w:eastAsia="仿宋" w:cs="仿宋"/>
                <w:color w:val="auto"/>
                <w:sz w:val="24"/>
                <w:szCs w:val="24"/>
              </w:rPr>
            </w:pPr>
          </w:p>
        </w:tc>
        <w:tc>
          <w:tcPr>
            <w:tcW w:w="1243" w:type="dxa"/>
            <w:noWrap w:val="0"/>
            <w:vAlign w:val="top"/>
          </w:tcPr>
          <w:p w14:paraId="7202B583">
            <w:pPr>
              <w:pageBreakBefore w:val="0"/>
              <w:kinsoku/>
              <w:overflowPunct/>
              <w:topLinePunct w:val="0"/>
              <w:bidi w:val="0"/>
              <w:spacing w:line="440" w:lineRule="exact"/>
              <w:rPr>
                <w:rFonts w:hint="eastAsia" w:ascii="仿宋" w:hAnsi="仿宋" w:eastAsia="仿宋" w:cs="仿宋"/>
                <w:color w:val="auto"/>
                <w:sz w:val="24"/>
                <w:szCs w:val="24"/>
              </w:rPr>
            </w:pPr>
          </w:p>
        </w:tc>
        <w:tc>
          <w:tcPr>
            <w:tcW w:w="1450" w:type="dxa"/>
            <w:noWrap w:val="0"/>
            <w:vAlign w:val="top"/>
          </w:tcPr>
          <w:p w14:paraId="4AED6BB8">
            <w:pPr>
              <w:pageBreakBefore w:val="0"/>
              <w:kinsoku/>
              <w:overflowPunct/>
              <w:topLinePunct w:val="0"/>
              <w:bidi w:val="0"/>
              <w:spacing w:line="440" w:lineRule="exact"/>
              <w:rPr>
                <w:rFonts w:hint="eastAsia" w:ascii="仿宋" w:hAnsi="仿宋" w:eastAsia="仿宋" w:cs="仿宋"/>
                <w:color w:val="auto"/>
                <w:sz w:val="24"/>
                <w:szCs w:val="24"/>
              </w:rPr>
            </w:pPr>
          </w:p>
        </w:tc>
        <w:tc>
          <w:tcPr>
            <w:tcW w:w="1667" w:type="dxa"/>
            <w:noWrap w:val="0"/>
            <w:vAlign w:val="top"/>
          </w:tcPr>
          <w:p w14:paraId="5EC61689">
            <w:pPr>
              <w:pageBreakBefore w:val="0"/>
              <w:kinsoku/>
              <w:overflowPunct/>
              <w:topLinePunct w:val="0"/>
              <w:bidi w:val="0"/>
              <w:spacing w:line="440" w:lineRule="exact"/>
              <w:rPr>
                <w:rFonts w:hint="eastAsia" w:ascii="仿宋" w:hAnsi="仿宋" w:eastAsia="仿宋" w:cs="仿宋"/>
                <w:color w:val="auto"/>
                <w:sz w:val="24"/>
                <w:szCs w:val="24"/>
              </w:rPr>
            </w:pPr>
          </w:p>
        </w:tc>
      </w:tr>
    </w:tbl>
    <w:p w14:paraId="12C3C0D4">
      <w:pPr>
        <w:pageBreakBefore w:val="0"/>
        <w:kinsoku/>
        <w:overflowPunct/>
        <w:topLinePunct w:val="0"/>
        <w:bidi w:val="0"/>
        <w:spacing w:line="440" w:lineRule="exact"/>
        <w:rPr>
          <w:rFonts w:hint="eastAsia" w:ascii="仿宋" w:hAnsi="仿宋" w:eastAsia="仿宋" w:cs="仿宋"/>
          <w:color w:val="auto"/>
          <w:sz w:val="24"/>
          <w:szCs w:val="24"/>
        </w:rPr>
      </w:pPr>
    </w:p>
    <w:p w14:paraId="7AB2FEA5">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color w:val="auto"/>
          <w:sz w:val="24"/>
          <w:szCs w:val="24"/>
        </w:rPr>
        <w:t>附</w:t>
      </w:r>
      <w:bookmarkStart w:id="1315" w:name="_Toc267261698"/>
      <w:bookmarkStart w:id="1316" w:name="_Toc296346728"/>
      <w:bookmarkStart w:id="1317" w:name="_Toc296503227"/>
      <w:bookmarkStart w:id="1318" w:name="_Toc296944566"/>
      <w:bookmarkStart w:id="1319" w:name="_Toc296891055"/>
      <w:bookmarkStart w:id="1320" w:name="_Toc296347226"/>
      <w:bookmarkStart w:id="1321" w:name="_Toc296891267"/>
      <w:r>
        <w:rPr>
          <w:rFonts w:hint="eastAsia" w:ascii="仿宋" w:hAnsi="仿宋" w:eastAsia="仿宋" w:cs="仿宋"/>
          <w:color w:val="auto"/>
          <w:sz w:val="24"/>
          <w:szCs w:val="24"/>
        </w:rPr>
        <w:t>件5：</w:t>
      </w:r>
    </w:p>
    <w:bookmarkEnd w:id="1315"/>
    <w:bookmarkEnd w:id="1316"/>
    <w:bookmarkEnd w:id="1317"/>
    <w:bookmarkEnd w:id="1318"/>
    <w:bookmarkEnd w:id="1319"/>
    <w:bookmarkEnd w:id="1320"/>
    <w:bookmarkEnd w:id="1321"/>
    <w:p w14:paraId="34A5F734">
      <w:pPr>
        <w:pageBreakBefore w:val="0"/>
        <w:kinsoku/>
        <w:overflowPunct/>
        <w:topLinePunct w:val="0"/>
        <w:bidi w:val="0"/>
        <w:spacing w:before="156" w:beforeLines="50" w:after="156" w:afterLines="5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承包人用于本工程施工的机械设备表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5840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1001DD5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序号</w:t>
            </w:r>
          </w:p>
        </w:tc>
        <w:tc>
          <w:tcPr>
            <w:tcW w:w="1418" w:type="dxa"/>
            <w:tcBorders>
              <w:top w:val="single" w:color="auto" w:sz="12" w:space="0"/>
              <w:bottom w:val="double" w:color="auto" w:sz="6" w:space="0"/>
            </w:tcBorders>
            <w:noWrap w:val="0"/>
            <w:vAlign w:val="center"/>
          </w:tcPr>
          <w:p w14:paraId="7F97937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机械或设备名称</w:t>
            </w:r>
          </w:p>
        </w:tc>
        <w:tc>
          <w:tcPr>
            <w:tcW w:w="850" w:type="dxa"/>
            <w:tcBorders>
              <w:top w:val="single" w:color="auto" w:sz="12" w:space="0"/>
              <w:bottom w:val="double" w:color="auto" w:sz="6" w:space="0"/>
            </w:tcBorders>
            <w:noWrap w:val="0"/>
            <w:vAlign w:val="center"/>
          </w:tcPr>
          <w:p w14:paraId="6E2FAA5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规格型号</w:t>
            </w:r>
          </w:p>
        </w:tc>
        <w:tc>
          <w:tcPr>
            <w:tcW w:w="1058" w:type="dxa"/>
            <w:tcBorders>
              <w:top w:val="single" w:color="auto" w:sz="12" w:space="0"/>
              <w:bottom w:val="double" w:color="auto" w:sz="6" w:space="0"/>
            </w:tcBorders>
            <w:noWrap w:val="0"/>
            <w:vAlign w:val="center"/>
          </w:tcPr>
          <w:p w14:paraId="6CABBEA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数量</w:t>
            </w:r>
          </w:p>
        </w:tc>
        <w:tc>
          <w:tcPr>
            <w:tcW w:w="880" w:type="dxa"/>
            <w:tcBorders>
              <w:top w:val="single" w:color="auto" w:sz="12" w:space="0"/>
              <w:bottom w:val="double" w:color="auto" w:sz="6" w:space="0"/>
            </w:tcBorders>
            <w:noWrap w:val="0"/>
            <w:vAlign w:val="center"/>
          </w:tcPr>
          <w:p w14:paraId="4EB9751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产地</w:t>
            </w:r>
          </w:p>
        </w:tc>
        <w:tc>
          <w:tcPr>
            <w:tcW w:w="1020" w:type="dxa"/>
            <w:tcBorders>
              <w:top w:val="single" w:color="auto" w:sz="12" w:space="0"/>
              <w:bottom w:val="double" w:color="auto" w:sz="6" w:space="0"/>
            </w:tcBorders>
            <w:noWrap w:val="0"/>
            <w:vAlign w:val="center"/>
          </w:tcPr>
          <w:p w14:paraId="56F193C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制造年份</w:t>
            </w:r>
          </w:p>
        </w:tc>
        <w:tc>
          <w:tcPr>
            <w:tcW w:w="1480" w:type="dxa"/>
            <w:tcBorders>
              <w:top w:val="single" w:color="auto" w:sz="12" w:space="0"/>
              <w:bottom w:val="double" w:color="auto" w:sz="6" w:space="0"/>
            </w:tcBorders>
            <w:noWrap w:val="0"/>
            <w:vAlign w:val="center"/>
          </w:tcPr>
          <w:p w14:paraId="71EB904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额定功率(kW)</w:t>
            </w:r>
          </w:p>
        </w:tc>
        <w:tc>
          <w:tcPr>
            <w:tcW w:w="1020" w:type="dxa"/>
            <w:tcBorders>
              <w:top w:val="single" w:color="auto" w:sz="12" w:space="0"/>
              <w:bottom w:val="double" w:color="auto" w:sz="6" w:space="0"/>
            </w:tcBorders>
            <w:noWrap w:val="0"/>
            <w:vAlign w:val="center"/>
          </w:tcPr>
          <w:p w14:paraId="720CACB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生产能力</w:t>
            </w:r>
          </w:p>
        </w:tc>
        <w:tc>
          <w:tcPr>
            <w:tcW w:w="921" w:type="dxa"/>
            <w:tcBorders>
              <w:top w:val="single" w:color="auto" w:sz="12" w:space="0"/>
              <w:bottom w:val="double" w:color="auto" w:sz="6" w:space="0"/>
            </w:tcBorders>
            <w:noWrap w:val="0"/>
            <w:vAlign w:val="center"/>
          </w:tcPr>
          <w:p w14:paraId="4264FA4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备注</w:t>
            </w:r>
          </w:p>
        </w:tc>
      </w:tr>
      <w:tr w14:paraId="1C5760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6F1D600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tcBorders>
              <w:top w:val="double" w:color="auto" w:sz="6" w:space="0"/>
              <w:bottom w:val="single" w:color="auto" w:sz="6" w:space="0"/>
            </w:tcBorders>
            <w:noWrap w:val="0"/>
            <w:vAlign w:val="center"/>
          </w:tcPr>
          <w:p w14:paraId="60730FE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double" w:color="auto" w:sz="6" w:space="0"/>
              <w:bottom w:val="single" w:color="auto" w:sz="6" w:space="0"/>
            </w:tcBorders>
            <w:noWrap w:val="0"/>
            <w:vAlign w:val="center"/>
          </w:tcPr>
          <w:p w14:paraId="082F207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58" w:type="dxa"/>
            <w:tcBorders>
              <w:top w:val="double" w:color="auto" w:sz="6" w:space="0"/>
              <w:bottom w:val="single" w:color="auto" w:sz="6" w:space="0"/>
            </w:tcBorders>
            <w:noWrap w:val="0"/>
            <w:vAlign w:val="center"/>
          </w:tcPr>
          <w:p w14:paraId="2B97F1A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80" w:type="dxa"/>
            <w:tcBorders>
              <w:top w:val="double" w:color="auto" w:sz="6" w:space="0"/>
              <w:bottom w:val="single" w:color="auto" w:sz="6" w:space="0"/>
            </w:tcBorders>
            <w:noWrap w:val="0"/>
            <w:vAlign w:val="center"/>
          </w:tcPr>
          <w:p w14:paraId="71F1A3E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tcBorders>
              <w:top w:val="double" w:color="auto" w:sz="6" w:space="0"/>
              <w:bottom w:val="single" w:color="auto" w:sz="6" w:space="0"/>
            </w:tcBorders>
            <w:noWrap w:val="0"/>
            <w:vAlign w:val="center"/>
          </w:tcPr>
          <w:p w14:paraId="7DFF93F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0" w:type="dxa"/>
            <w:tcBorders>
              <w:top w:val="double" w:color="auto" w:sz="6" w:space="0"/>
              <w:bottom w:val="single" w:color="auto" w:sz="6" w:space="0"/>
            </w:tcBorders>
            <w:noWrap w:val="0"/>
            <w:vAlign w:val="center"/>
          </w:tcPr>
          <w:p w14:paraId="6D997A5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tcBorders>
              <w:top w:val="double" w:color="auto" w:sz="6" w:space="0"/>
              <w:bottom w:val="single" w:color="auto" w:sz="6" w:space="0"/>
            </w:tcBorders>
            <w:noWrap w:val="0"/>
            <w:vAlign w:val="center"/>
          </w:tcPr>
          <w:p w14:paraId="41CA4D2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21" w:type="dxa"/>
            <w:tcBorders>
              <w:top w:val="double" w:color="auto" w:sz="6" w:space="0"/>
              <w:bottom w:val="single" w:color="auto" w:sz="6" w:space="0"/>
            </w:tcBorders>
            <w:noWrap w:val="0"/>
            <w:vAlign w:val="center"/>
          </w:tcPr>
          <w:p w14:paraId="57302D1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3DD3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0D0FD0D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tcBorders>
              <w:top w:val="nil"/>
            </w:tcBorders>
            <w:noWrap w:val="0"/>
            <w:vAlign w:val="center"/>
          </w:tcPr>
          <w:p w14:paraId="0297AA8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tcBorders>
              <w:top w:val="nil"/>
            </w:tcBorders>
            <w:noWrap w:val="0"/>
            <w:vAlign w:val="center"/>
          </w:tcPr>
          <w:p w14:paraId="6F7444F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58" w:type="dxa"/>
            <w:tcBorders>
              <w:top w:val="nil"/>
            </w:tcBorders>
            <w:noWrap w:val="0"/>
            <w:vAlign w:val="center"/>
          </w:tcPr>
          <w:p w14:paraId="3C37589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80" w:type="dxa"/>
            <w:tcBorders>
              <w:top w:val="nil"/>
            </w:tcBorders>
            <w:noWrap w:val="0"/>
            <w:vAlign w:val="center"/>
          </w:tcPr>
          <w:p w14:paraId="42A20AF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tcBorders>
              <w:top w:val="nil"/>
            </w:tcBorders>
            <w:noWrap w:val="0"/>
            <w:vAlign w:val="center"/>
          </w:tcPr>
          <w:p w14:paraId="31F8679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0" w:type="dxa"/>
            <w:tcBorders>
              <w:top w:val="nil"/>
            </w:tcBorders>
            <w:noWrap w:val="0"/>
            <w:vAlign w:val="center"/>
          </w:tcPr>
          <w:p w14:paraId="10DAD00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tcBorders>
              <w:top w:val="nil"/>
            </w:tcBorders>
            <w:noWrap w:val="0"/>
            <w:vAlign w:val="center"/>
          </w:tcPr>
          <w:p w14:paraId="7A2AF2E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21" w:type="dxa"/>
            <w:tcBorders>
              <w:top w:val="nil"/>
            </w:tcBorders>
            <w:noWrap w:val="0"/>
            <w:vAlign w:val="center"/>
          </w:tcPr>
          <w:p w14:paraId="63D9AC0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79B60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651BC6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1B1FE07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7B6AC74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58" w:type="dxa"/>
            <w:noWrap w:val="0"/>
            <w:vAlign w:val="center"/>
          </w:tcPr>
          <w:p w14:paraId="2DC41C6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80" w:type="dxa"/>
            <w:noWrap w:val="0"/>
            <w:vAlign w:val="center"/>
          </w:tcPr>
          <w:p w14:paraId="2AC6403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4BB9486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0" w:type="dxa"/>
            <w:noWrap w:val="0"/>
            <w:vAlign w:val="center"/>
          </w:tcPr>
          <w:p w14:paraId="2FA9D27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5C77547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21" w:type="dxa"/>
            <w:noWrap w:val="0"/>
            <w:vAlign w:val="center"/>
          </w:tcPr>
          <w:p w14:paraId="34BC004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4A5F4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395C96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1C85B45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5B01C7E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58" w:type="dxa"/>
            <w:noWrap w:val="0"/>
            <w:vAlign w:val="center"/>
          </w:tcPr>
          <w:p w14:paraId="2BD265A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80" w:type="dxa"/>
            <w:noWrap w:val="0"/>
            <w:vAlign w:val="center"/>
          </w:tcPr>
          <w:p w14:paraId="0A3228F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63E62E8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0" w:type="dxa"/>
            <w:noWrap w:val="0"/>
            <w:vAlign w:val="center"/>
          </w:tcPr>
          <w:p w14:paraId="06BEDDC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50AB832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21" w:type="dxa"/>
            <w:noWrap w:val="0"/>
            <w:vAlign w:val="center"/>
          </w:tcPr>
          <w:p w14:paraId="4FBC468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92551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F56F20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16753DF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353DB32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58" w:type="dxa"/>
            <w:noWrap w:val="0"/>
            <w:vAlign w:val="center"/>
          </w:tcPr>
          <w:p w14:paraId="32ABB6E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80" w:type="dxa"/>
            <w:noWrap w:val="0"/>
            <w:vAlign w:val="center"/>
          </w:tcPr>
          <w:p w14:paraId="6C78A24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53B834C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0" w:type="dxa"/>
            <w:noWrap w:val="0"/>
            <w:vAlign w:val="center"/>
          </w:tcPr>
          <w:p w14:paraId="26296F8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6214E06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21" w:type="dxa"/>
            <w:noWrap w:val="0"/>
            <w:vAlign w:val="center"/>
          </w:tcPr>
          <w:p w14:paraId="59E79D9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7630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486E0C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00D1BEB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34A4345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58" w:type="dxa"/>
            <w:noWrap w:val="0"/>
            <w:vAlign w:val="center"/>
          </w:tcPr>
          <w:p w14:paraId="54398BF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80" w:type="dxa"/>
            <w:noWrap w:val="0"/>
            <w:vAlign w:val="center"/>
          </w:tcPr>
          <w:p w14:paraId="644ADA8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2D28AAA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0" w:type="dxa"/>
            <w:noWrap w:val="0"/>
            <w:vAlign w:val="center"/>
          </w:tcPr>
          <w:p w14:paraId="091BC20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4918717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21" w:type="dxa"/>
            <w:noWrap w:val="0"/>
            <w:vAlign w:val="center"/>
          </w:tcPr>
          <w:p w14:paraId="24F746B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9145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D7A949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73ED9F2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252DD6C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58" w:type="dxa"/>
            <w:noWrap w:val="0"/>
            <w:vAlign w:val="center"/>
          </w:tcPr>
          <w:p w14:paraId="02F3050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80" w:type="dxa"/>
            <w:noWrap w:val="0"/>
            <w:vAlign w:val="center"/>
          </w:tcPr>
          <w:p w14:paraId="1AF8650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0F2C729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0" w:type="dxa"/>
            <w:noWrap w:val="0"/>
            <w:vAlign w:val="center"/>
          </w:tcPr>
          <w:p w14:paraId="4293758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7B9FAAA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21" w:type="dxa"/>
            <w:noWrap w:val="0"/>
            <w:vAlign w:val="center"/>
          </w:tcPr>
          <w:p w14:paraId="1ECE51C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EA0A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7B9D32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18EFA61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139F33E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58" w:type="dxa"/>
            <w:noWrap w:val="0"/>
            <w:vAlign w:val="center"/>
          </w:tcPr>
          <w:p w14:paraId="2D40827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80" w:type="dxa"/>
            <w:noWrap w:val="0"/>
            <w:vAlign w:val="center"/>
          </w:tcPr>
          <w:p w14:paraId="50DC418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39814DA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0" w:type="dxa"/>
            <w:noWrap w:val="0"/>
            <w:vAlign w:val="center"/>
          </w:tcPr>
          <w:p w14:paraId="344A429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4902BCC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21" w:type="dxa"/>
            <w:noWrap w:val="0"/>
            <w:vAlign w:val="center"/>
          </w:tcPr>
          <w:p w14:paraId="6630512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7044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5D71524">
            <w:pPr>
              <w:pageBreakBefore w:val="0"/>
              <w:kinsoku/>
              <w:overflowPunct/>
              <w:topLinePunct w:val="0"/>
              <w:bidi w:val="0"/>
              <w:spacing w:line="440" w:lineRule="exact"/>
              <w:rPr>
                <w:rFonts w:hint="eastAsia" w:ascii="仿宋" w:hAnsi="仿宋" w:eastAsia="仿宋" w:cs="仿宋"/>
                <w:color w:val="auto"/>
                <w:sz w:val="24"/>
                <w:szCs w:val="24"/>
              </w:rPr>
            </w:pPr>
          </w:p>
        </w:tc>
        <w:tc>
          <w:tcPr>
            <w:tcW w:w="1418" w:type="dxa"/>
            <w:noWrap w:val="0"/>
            <w:vAlign w:val="top"/>
          </w:tcPr>
          <w:p w14:paraId="7436DD75">
            <w:pPr>
              <w:pageBreakBefore w:val="0"/>
              <w:kinsoku/>
              <w:overflowPunct/>
              <w:topLinePunct w:val="0"/>
              <w:bidi w:val="0"/>
              <w:spacing w:line="440" w:lineRule="exact"/>
              <w:rPr>
                <w:rFonts w:hint="eastAsia" w:ascii="仿宋" w:hAnsi="仿宋" w:eastAsia="仿宋" w:cs="仿宋"/>
                <w:color w:val="auto"/>
                <w:sz w:val="24"/>
                <w:szCs w:val="24"/>
              </w:rPr>
            </w:pPr>
          </w:p>
        </w:tc>
        <w:tc>
          <w:tcPr>
            <w:tcW w:w="850" w:type="dxa"/>
            <w:noWrap w:val="0"/>
            <w:vAlign w:val="top"/>
          </w:tcPr>
          <w:p w14:paraId="323562CE">
            <w:pPr>
              <w:pageBreakBefore w:val="0"/>
              <w:kinsoku/>
              <w:overflowPunct/>
              <w:topLinePunct w:val="0"/>
              <w:bidi w:val="0"/>
              <w:spacing w:line="440" w:lineRule="exact"/>
              <w:rPr>
                <w:rFonts w:hint="eastAsia" w:ascii="仿宋" w:hAnsi="仿宋" w:eastAsia="仿宋" w:cs="仿宋"/>
                <w:color w:val="auto"/>
                <w:sz w:val="24"/>
                <w:szCs w:val="24"/>
              </w:rPr>
            </w:pPr>
          </w:p>
        </w:tc>
        <w:tc>
          <w:tcPr>
            <w:tcW w:w="1058" w:type="dxa"/>
            <w:noWrap w:val="0"/>
            <w:vAlign w:val="top"/>
          </w:tcPr>
          <w:p w14:paraId="22EA63B8">
            <w:pPr>
              <w:pageBreakBefore w:val="0"/>
              <w:kinsoku/>
              <w:overflowPunct/>
              <w:topLinePunct w:val="0"/>
              <w:bidi w:val="0"/>
              <w:spacing w:line="440" w:lineRule="exact"/>
              <w:rPr>
                <w:rFonts w:hint="eastAsia" w:ascii="仿宋" w:hAnsi="仿宋" w:eastAsia="仿宋" w:cs="仿宋"/>
                <w:color w:val="auto"/>
                <w:sz w:val="24"/>
                <w:szCs w:val="24"/>
              </w:rPr>
            </w:pPr>
          </w:p>
        </w:tc>
        <w:tc>
          <w:tcPr>
            <w:tcW w:w="880" w:type="dxa"/>
            <w:noWrap w:val="0"/>
            <w:vAlign w:val="top"/>
          </w:tcPr>
          <w:p w14:paraId="06DD90DC">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308A4D5C">
            <w:pPr>
              <w:pageBreakBefore w:val="0"/>
              <w:kinsoku/>
              <w:overflowPunct/>
              <w:topLinePunct w:val="0"/>
              <w:bidi w:val="0"/>
              <w:spacing w:line="440" w:lineRule="exact"/>
              <w:rPr>
                <w:rFonts w:hint="eastAsia" w:ascii="仿宋" w:hAnsi="仿宋" w:eastAsia="仿宋" w:cs="仿宋"/>
                <w:color w:val="auto"/>
                <w:sz w:val="24"/>
                <w:szCs w:val="24"/>
              </w:rPr>
            </w:pPr>
          </w:p>
        </w:tc>
        <w:tc>
          <w:tcPr>
            <w:tcW w:w="1480" w:type="dxa"/>
            <w:noWrap w:val="0"/>
            <w:vAlign w:val="top"/>
          </w:tcPr>
          <w:p w14:paraId="430E90E2">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3D2CB2C4">
            <w:pPr>
              <w:pageBreakBefore w:val="0"/>
              <w:kinsoku/>
              <w:overflowPunct/>
              <w:topLinePunct w:val="0"/>
              <w:bidi w:val="0"/>
              <w:spacing w:line="440" w:lineRule="exact"/>
              <w:rPr>
                <w:rFonts w:hint="eastAsia" w:ascii="仿宋" w:hAnsi="仿宋" w:eastAsia="仿宋" w:cs="仿宋"/>
                <w:color w:val="auto"/>
                <w:sz w:val="24"/>
                <w:szCs w:val="24"/>
              </w:rPr>
            </w:pPr>
          </w:p>
        </w:tc>
        <w:tc>
          <w:tcPr>
            <w:tcW w:w="921" w:type="dxa"/>
            <w:noWrap w:val="0"/>
            <w:vAlign w:val="top"/>
          </w:tcPr>
          <w:p w14:paraId="640D0CA7">
            <w:pPr>
              <w:pageBreakBefore w:val="0"/>
              <w:kinsoku/>
              <w:overflowPunct/>
              <w:topLinePunct w:val="0"/>
              <w:bidi w:val="0"/>
              <w:spacing w:line="440" w:lineRule="exact"/>
              <w:rPr>
                <w:rFonts w:hint="eastAsia" w:ascii="仿宋" w:hAnsi="仿宋" w:eastAsia="仿宋" w:cs="仿宋"/>
                <w:color w:val="auto"/>
                <w:sz w:val="24"/>
                <w:szCs w:val="24"/>
              </w:rPr>
            </w:pPr>
          </w:p>
        </w:tc>
      </w:tr>
      <w:tr w14:paraId="3111C8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8F2E69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598A95C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0" w:type="dxa"/>
            <w:noWrap w:val="0"/>
            <w:vAlign w:val="center"/>
          </w:tcPr>
          <w:p w14:paraId="14A5854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58" w:type="dxa"/>
            <w:noWrap w:val="0"/>
            <w:vAlign w:val="center"/>
          </w:tcPr>
          <w:p w14:paraId="15C771D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80" w:type="dxa"/>
            <w:noWrap w:val="0"/>
            <w:vAlign w:val="center"/>
          </w:tcPr>
          <w:p w14:paraId="4454558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373BFDC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80" w:type="dxa"/>
            <w:noWrap w:val="0"/>
            <w:vAlign w:val="center"/>
          </w:tcPr>
          <w:p w14:paraId="3542CEF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020" w:type="dxa"/>
            <w:noWrap w:val="0"/>
            <w:vAlign w:val="center"/>
          </w:tcPr>
          <w:p w14:paraId="386BC5B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921" w:type="dxa"/>
            <w:noWrap w:val="0"/>
            <w:vAlign w:val="center"/>
          </w:tcPr>
          <w:p w14:paraId="013450C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45C79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6D34F1D">
            <w:pPr>
              <w:pageBreakBefore w:val="0"/>
              <w:kinsoku/>
              <w:overflowPunct/>
              <w:topLinePunct w:val="0"/>
              <w:bidi w:val="0"/>
              <w:spacing w:line="440" w:lineRule="exact"/>
              <w:rPr>
                <w:rFonts w:hint="eastAsia" w:ascii="仿宋" w:hAnsi="仿宋" w:eastAsia="仿宋" w:cs="仿宋"/>
                <w:color w:val="auto"/>
                <w:sz w:val="24"/>
                <w:szCs w:val="24"/>
              </w:rPr>
            </w:pPr>
          </w:p>
        </w:tc>
        <w:tc>
          <w:tcPr>
            <w:tcW w:w="1418" w:type="dxa"/>
            <w:noWrap w:val="0"/>
            <w:vAlign w:val="top"/>
          </w:tcPr>
          <w:p w14:paraId="5C9A032E">
            <w:pPr>
              <w:pageBreakBefore w:val="0"/>
              <w:kinsoku/>
              <w:overflowPunct/>
              <w:topLinePunct w:val="0"/>
              <w:bidi w:val="0"/>
              <w:spacing w:line="440" w:lineRule="exact"/>
              <w:rPr>
                <w:rFonts w:hint="eastAsia" w:ascii="仿宋" w:hAnsi="仿宋" w:eastAsia="仿宋" w:cs="仿宋"/>
                <w:color w:val="auto"/>
                <w:sz w:val="24"/>
                <w:szCs w:val="24"/>
              </w:rPr>
            </w:pPr>
          </w:p>
        </w:tc>
        <w:tc>
          <w:tcPr>
            <w:tcW w:w="850" w:type="dxa"/>
            <w:noWrap w:val="0"/>
            <w:vAlign w:val="top"/>
          </w:tcPr>
          <w:p w14:paraId="3200F795">
            <w:pPr>
              <w:pageBreakBefore w:val="0"/>
              <w:kinsoku/>
              <w:overflowPunct/>
              <w:topLinePunct w:val="0"/>
              <w:bidi w:val="0"/>
              <w:spacing w:line="440" w:lineRule="exact"/>
              <w:rPr>
                <w:rFonts w:hint="eastAsia" w:ascii="仿宋" w:hAnsi="仿宋" w:eastAsia="仿宋" w:cs="仿宋"/>
                <w:color w:val="auto"/>
                <w:sz w:val="24"/>
                <w:szCs w:val="24"/>
              </w:rPr>
            </w:pPr>
          </w:p>
        </w:tc>
        <w:tc>
          <w:tcPr>
            <w:tcW w:w="1058" w:type="dxa"/>
            <w:noWrap w:val="0"/>
            <w:vAlign w:val="top"/>
          </w:tcPr>
          <w:p w14:paraId="2450A3A5">
            <w:pPr>
              <w:pageBreakBefore w:val="0"/>
              <w:kinsoku/>
              <w:overflowPunct/>
              <w:topLinePunct w:val="0"/>
              <w:bidi w:val="0"/>
              <w:spacing w:line="440" w:lineRule="exact"/>
              <w:rPr>
                <w:rFonts w:hint="eastAsia" w:ascii="仿宋" w:hAnsi="仿宋" w:eastAsia="仿宋" w:cs="仿宋"/>
                <w:color w:val="auto"/>
                <w:sz w:val="24"/>
                <w:szCs w:val="24"/>
              </w:rPr>
            </w:pPr>
          </w:p>
        </w:tc>
        <w:tc>
          <w:tcPr>
            <w:tcW w:w="880" w:type="dxa"/>
            <w:noWrap w:val="0"/>
            <w:vAlign w:val="top"/>
          </w:tcPr>
          <w:p w14:paraId="0BC47DA1">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78AC1614">
            <w:pPr>
              <w:pageBreakBefore w:val="0"/>
              <w:kinsoku/>
              <w:overflowPunct/>
              <w:topLinePunct w:val="0"/>
              <w:bidi w:val="0"/>
              <w:spacing w:line="440" w:lineRule="exact"/>
              <w:rPr>
                <w:rFonts w:hint="eastAsia" w:ascii="仿宋" w:hAnsi="仿宋" w:eastAsia="仿宋" w:cs="仿宋"/>
                <w:color w:val="auto"/>
                <w:sz w:val="24"/>
                <w:szCs w:val="24"/>
              </w:rPr>
            </w:pPr>
          </w:p>
        </w:tc>
        <w:tc>
          <w:tcPr>
            <w:tcW w:w="1480" w:type="dxa"/>
            <w:noWrap w:val="0"/>
            <w:vAlign w:val="top"/>
          </w:tcPr>
          <w:p w14:paraId="663D5F31">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781002B3">
            <w:pPr>
              <w:pageBreakBefore w:val="0"/>
              <w:kinsoku/>
              <w:overflowPunct/>
              <w:topLinePunct w:val="0"/>
              <w:bidi w:val="0"/>
              <w:spacing w:line="440" w:lineRule="exact"/>
              <w:rPr>
                <w:rFonts w:hint="eastAsia" w:ascii="仿宋" w:hAnsi="仿宋" w:eastAsia="仿宋" w:cs="仿宋"/>
                <w:color w:val="auto"/>
                <w:sz w:val="24"/>
                <w:szCs w:val="24"/>
              </w:rPr>
            </w:pPr>
          </w:p>
        </w:tc>
        <w:tc>
          <w:tcPr>
            <w:tcW w:w="921" w:type="dxa"/>
            <w:noWrap w:val="0"/>
            <w:vAlign w:val="top"/>
          </w:tcPr>
          <w:p w14:paraId="56EBF8B4">
            <w:pPr>
              <w:pageBreakBefore w:val="0"/>
              <w:kinsoku/>
              <w:overflowPunct/>
              <w:topLinePunct w:val="0"/>
              <w:bidi w:val="0"/>
              <w:spacing w:line="440" w:lineRule="exact"/>
              <w:rPr>
                <w:rFonts w:hint="eastAsia" w:ascii="仿宋" w:hAnsi="仿宋" w:eastAsia="仿宋" w:cs="仿宋"/>
                <w:color w:val="auto"/>
                <w:sz w:val="24"/>
                <w:szCs w:val="24"/>
              </w:rPr>
            </w:pPr>
          </w:p>
        </w:tc>
      </w:tr>
      <w:tr w14:paraId="53EEEA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E7A450E">
            <w:pPr>
              <w:pageBreakBefore w:val="0"/>
              <w:kinsoku/>
              <w:overflowPunct/>
              <w:topLinePunct w:val="0"/>
              <w:bidi w:val="0"/>
              <w:spacing w:line="440" w:lineRule="exact"/>
              <w:rPr>
                <w:rFonts w:hint="eastAsia" w:ascii="仿宋" w:hAnsi="仿宋" w:eastAsia="仿宋" w:cs="仿宋"/>
                <w:color w:val="auto"/>
                <w:sz w:val="24"/>
                <w:szCs w:val="24"/>
              </w:rPr>
            </w:pPr>
          </w:p>
        </w:tc>
        <w:tc>
          <w:tcPr>
            <w:tcW w:w="1418" w:type="dxa"/>
            <w:noWrap w:val="0"/>
            <w:vAlign w:val="top"/>
          </w:tcPr>
          <w:p w14:paraId="355C81CB">
            <w:pPr>
              <w:pageBreakBefore w:val="0"/>
              <w:kinsoku/>
              <w:overflowPunct/>
              <w:topLinePunct w:val="0"/>
              <w:bidi w:val="0"/>
              <w:spacing w:line="440" w:lineRule="exact"/>
              <w:rPr>
                <w:rFonts w:hint="eastAsia" w:ascii="仿宋" w:hAnsi="仿宋" w:eastAsia="仿宋" w:cs="仿宋"/>
                <w:color w:val="auto"/>
                <w:sz w:val="24"/>
                <w:szCs w:val="24"/>
              </w:rPr>
            </w:pPr>
          </w:p>
        </w:tc>
        <w:tc>
          <w:tcPr>
            <w:tcW w:w="850" w:type="dxa"/>
            <w:noWrap w:val="0"/>
            <w:vAlign w:val="top"/>
          </w:tcPr>
          <w:p w14:paraId="70102653">
            <w:pPr>
              <w:pageBreakBefore w:val="0"/>
              <w:kinsoku/>
              <w:overflowPunct/>
              <w:topLinePunct w:val="0"/>
              <w:bidi w:val="0"/>
              <w:spacing w:line="440" w:lineRule="exact"/>
              <w:rPr>
                <w:rFonts w:hint="eastAsia" w:ascii="仿宋" w:hAnsi="仿宋" w:eastAsia="仿宋" w:cs="仿宋"/>
                <w:color w:val="auto"/>
                <w:sz w:val="24"/>
                <w:szCs w:val="24"/>
              </w:rPr>
            </w:pPr>
          </w:p>
        </w:tc>
        <w:tc>
          <w:tcPr>
            <w:tcW w:w="1058" w:type="dxa"/>
            <w:noWrap w:val="0"/>
            <w:vAlign w:val="top"/>
          </w:tcPr>
          <w:p w14:paraId="7C195B56">
            <w:pPr>
              <w:pageBreakBefore w:val="0"/>
              <w:kinsoku/>
              <w:overflowPunct/>
              <w:topLinePunct w:val="0"/>
              <w:bidi w:val="0"/>
              <w:spacing w:line="440" w:lineRule="exact"/>
              <w:rPr>
                <w:rFonts w:hint="eastAsia" w:ascii="仿宋" w:hAnsi="仿宋" w:eastAsia="仿宋" w:cs="仿宋"/>
                <w:color w:val="auto"/>
                <w:sz w:val="24"/>
                <w:szCs w:val="24"/>
              </w:rPr>
            </w:pPr>
          </w:p>
        </w:tc>
        <w:tc>
          <w:tcPr>
            <w:tcW w:w="880" w:type="dxa"/>
            <w:noWrap w:val="0"/>
            <w:vAlign w:val="top"/>
          </w:tcPr>
          <w:p w14:paraId="2D4C037F">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5893C5E7">
            <w:pPr>
              <w:pageBreakBefore w:val="0"/>
              <w:kinsoku/>
              <w:overflowPunct/>
              <w:topLinePunct w:val="0"/>
              <w:bidi w:val="0"/>
              <w:spacing w:line="440" w:lineRule="exact"/>
              <w:rPr>
                <w:rFonts w:hint="eastAsia" w:ascii="仿宋" w:hAnsi="仿宋" w:eastAsia="仿宋" w:cs="仿宋"/>
                <w:color w:val="auto"/>
                <w:sz w:val="24"/>
                <w:szCs w:val="24"/>
              </w:rPr>
            </w:pPr>
          </w:p>
        </w:tc>
        <w:tc>
          <w:tcPr>
            <w:tcW w:w="1480" w:type="dxa"/>
            <w:noWrap w:val="0"/>
            <w:vAlign w:val="top"/>
          </w:tcPr>
          <w:p w14:paraId="7BD9F09A">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06A610D0">
            <w:pPr>
              <w:pageBreakBefore w:val="0"/>
              <w:kinsoku/>
              <w:overflowPunct/>
              <w:topLinePunct w:val="0"/>
              <w:bidi w:val="0"/>
              <w:spacing w:line="440" w:lineRule="exact"/>
              <w:rPr>
                <w:rFonts w:hint="eastAsia" w:ascii="仿宋" w:hAnsi="仿宋" w:eastAsia="仿宋" w:cs="仿宋"/>
                <w:color w:val="auto"/>
                <w:sz w:val="24"/>
                <w:szCs w:val="24"/>
              </w:rPr>
            </w:pPr>
          </w:p>
        </w:tc>
        <w:tc>
          <w:tcPr>
            <w:tcW w:w="921" w:type="dxa"/>
            <w:noWrap w:val="0"/>
            <w:vAlign w:val="top"/>
          </w:tcPr>
          <w:p w14:paraId="231EDA00">
            <w:pPr>
              <w:pageBreakBefore w:val="0"/>
              <w:kinsoku/>
              <w:overflowPunct/>
              <w:topLinePunct w:val="0"/>
              <w:bidi w:val="0"/>
              <w:spacing w:line="440" w:lineRule="exact"/>
              <w:rPr>
                <w:rFonts w:hint="eastAsia" w:ascii="仿宋" w:hAnsi="仿宋" w:eastAsia="仿宋" w:cs="仿宋"/>
                <w:color w:val="auto"/>
                <w:sz w:val="24"/>
                <w:szCs w:val="24"/>
              </w:rPr>
            </w:pPr>
          </w:p>
        </w:tc>
      </w:tr>
      <w:tr w14:paraId="3B5C2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70D494B">
            <w:pPr>
              <w:pageBreakBefore w:val="0"/>
              <w:kinsoku/>
              <w:overflowPunct/>
              <w:topLinePunct w:val="0"/>
              <w:bidi w:val="0"/>
              <w:spacing w:line="440" w:lineRule="exact"/>
              <w:rPr>
                <w:rFonts w:hint="eastAsia" w:ascii="仿宋" w:hAnsi="仿宋" w:eastAsia="仿宋" w:cs="仿宋"/>
                <w:color w:val="auto"/>
                <w:sz w:val="24"/>
                <w:szCs w:val="24"/>
              </w:rPr>
            </w:pPr>
          </w:p>
        </w:tc>
        <w:tc>
          <w:tcPr>
            <w:tcW w:w="1418" w:type="dxa"/>
            <w:noWrap w:val="0"/>
            <w:vAlign w:val="top"/>
          </w:tcPr>
          <w:p w14:paraId="44FD5BEF">
            <w:pPr>
              <w:pageBreakBefore w:val="0"/>
              <w:kinsoku/>
              <w:overflowPunct/>
              <w:topLinePunct w:val="0"/>
              <w:bidi w:val="0"/>
              <w:spacing w:line="440" w:lineRule="exact"/>
              <w:rPr>
                <w:rFonts w:hint="eastAsia" w:ascii="仿宋" w:hAnsi="仿宋" w:eastAsia="仿宋" w:cs="仿宋"/>
                <w:color w:val="auto"/>
                <w:sz w:val="24"/>
                <w:szCs w:val="24"/>
              </w:rPr>
            </w:pPr>
          </w:p>
        </w:tc>
        <w:tc>
          <w:tcPr>
            <w:tcW w:w="850" w:type="dxa"/>
            <w:noWrap w:val="0"/>
            <w:vAlign w:val="top"/>
          </w:tcPr>
          <w:p w14:paraId="00E64CD8">
            <w:pPr>
              <w:pageBreakBefore w:val="0"/>
              <w:kinsoku/>
              <w:overflowPunct/>
              <w:topLinePunct w:val="0"/>
              <w:bidi w:val="0"/>
              <w:spacing w:line="440" w:lineRule="exact"/>
              <w:rPr>
                <w:rFonts w:hint="eastAsia" w:ascii="仿宋" w:hAnsi="仿宋" w:eastAsia="仿宋" w:cs="仿宋"/>
                <w:color w:val="auto"/>
                <w:sz w:val="24"/>
                <w:szCs w:val="24"/>
              </w:rPr>
            </w:pPr>
          </w:p>
        </w:tc>
        <w:tc>
          <w:tcPr>
            <w:tcW w:w="1058" w:type="dxa"/>
            <w:noWrap w:val="0"/>
            <w:vAlign w:val="top"/>
          </w:tcPr>
          <w:p w14:paraId="773747E8">
            <w:pPr>
              <w:pageBreakBefore w:val="0"/>
              <w:kinsoku/>
              <w:overflowPunct/>
              <w:topLinePunct w:val="0"/>
              <w:bidi w:val="0"/>
              <w:spacing w:line="440" w:lineRule="exact"/>
              <w:rPr>
                <w:rFonts w:hint="eastAsia" w:ascii="仿宋" w:hAnsi="仿宋" w:eastAsia="仿宋" w:cs="仿宋"/>
                <w:color w:val="auto"/>
                <w:sz w:val="24"/>
                <w:szCs w:val="24"/>
              </w:rPr>
            </w:pPr>
          </w:p>
        </w:tc>
        <w:tc>
          <w:tcPr>
            <w:tcW w:w="880" w:type="dxa"/>
            <w:noWrap w:val="0"/>
            <w:vAlign w:val="top"/>
          </w:tcPr>
          <w:p w14:paraId="1D935D98">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21CC1F14">
            <w:pPr>
              <w:pageBreakBefore w:val="0"/>
              <w:kinsoku/>
              <w:overflowPunct/>
              <w:topLinePunct w:val="0"/>
              <w:bidi w:val="0"/>
              <w:spacing w:line="440" w:lineRule="exact"/>
              <w:rPr>
                <w:rFonts w:hint="eastAsia" w:ascii="仿宋" w:hAnsi="仿宋" w:eastAsia="仿宋" w:cs="仿宋"/>
                <w:color w:val="auto"/>
                <w:sz w:val="24"/>
                <w:szCs w:val="24"/>
              </w:rPr>
            </w:pPr>
          </w:p>
        </w:tc>
        <w:tc>
          <w:tcPr>
            <w:tcW w:w="1480" w:type="dxa"/>
            <w:noWrap w:val="0"/>
            <w:vAlign w:val="top"/>
          </w:tcPr>
          <w:p w14:paraId="27733E2F">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670FB7F6">
            <w:pPr>
              <w:pageBreakBefore w:val="0"/>
              <w:kinsoku/>
              <w:overflowPunct/>
              <w:topLinePunct w:val="0"/>
              <w:bidi w:val="0"/>
              <w:spacing w:line="440" w:lineRule="exact"/>
              <w:rPr>
                <w:rFonts w:hint="eastAsia" w:ascii="仿宋" w:hAnsi="仿宋" w:eastAsia="仿宋" w:cs="仿宋"/>
                <w:color w:val="auto"/>
                <w:sz w:val="24"/>
                <w:szCs w:val="24"/>
              </w:rPr>
            </w:pPr>
          </w:p>
        </w:tc>
        <w:tc>
          <w:tcPr>
            <w:tcW w:w="921" w:type="dxa"/>
            <w:noWrap w:val="0"/>
            <w:vAlign w:val="top"/>
          </w:tcPr>
          <w:p w14:paraId="267682BA">
            <w:pPr>
              <w:pageBreakBefore w:val="0"/>
              <w:kinsoku/>
              <w:overflowPunct/>
              <w:topLinePunct w:val="0"/>
              <w:bidi w:val="0"/>
              <w:spacing w:line="440" w:lineRule="exact"/>
              <w:rPr>
                <w:rFonts w:hint="eastAsia" w:ascii="仿宋" w:hAnsi="仿宋" w:eastAsia="仿宋" w:cs="仿宋"/>
                <w:color w:val="auto"/>
                <w:sz w:val="24"/>
                <w:szCs w:val="24"/>
              </w:rPr>
            </w:pPr>
          </w:p>
        </w:tc>
      </w:tr>
      <w:tr w14:paraId="21455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DE1A271">
            <w:pPr>
              <w:pageBreakBefore w:val="0"/>
              <w:kinsoku/>
              <w:overflowPunct/>
              <w:topLinePunct w:val="0"/>
              <w:bidi w:val="0"/>
              <w:spacing w:line="440" w:lineRule="exact"/>
              <w:rPr>
                <w:rFonts w:hint="eastAsia" w:ascii="仿宋" w:hAnsi="仿宋" w:eastAsia="仿宋" w:cs="仿宋"/>
                <w:color w:val="auto"/>
                <w:sz w:val="24"/>
                <w:szCs w:val="24"/>
              </w:rPr>
            </w:pPr>
          </w:p>
        </w:tc>
        <w:tc>
          <w:tcPr>
            <w:tcW w:w="1418" w:type="dxa"/>
            <w:noWrap w:val="0"/>
            <w:vAlign w:val="top"/>
          </w:tcPr>
          <w:p w14:paraId="6C3646E9">
            <w:pPr>
              <w:pageBreakBefore w:val="0"/>
              <w:kinsoku/>
              <w:overflowPunct/>
              <w:topLinePunct w:val="0"/>
              <w:bidi w:val="0"/>
              <w:spacing w:line="440" w:lineRule="exact"/>
              <w:rPr>
                <w:rFonts w:hint="eastAsia" w:ascii="仿宋" w:hAnsi="仿宋" w:eastAsia="仿宋" w:cs="仿宋"/>
                <w:color w:val="auto"/>
                <w:sz w:val="24"/>
                <w:szCs w:val="24"/>
              </w:rPr>
            </w:pPr>
          </w:p>
        </w:tc>
        <w:tc>
          <w:tcPr>
            <w:tcW w:w="850" w:type="dxa"/>
            <w:noWrap w:val="0"/>
            <w:vAlign w:val="top"/>
          </w:tcPr>
          <w:p w14:paraId="41E350F9">
            <w:pPr>
              <w:pageBreakBefore w:val="0"/>
              <w:kinsoku/>
              <w:overflowPunct/>
              <w:topLinePunct w:val="0"/>
              <w:bidi w:val="0"/>
              <w:spacing w:line="440" w:lineRule="exact"/>
              <w:rPr>
                <w:rFonts w:hint="eastAsia" w:ascii="仿宋" w:hAnsi="仿宋" w:eastAsia="仿宋" w:cs="仿宋"/>
                <w:color w:val="auto"/>
                <w:sz w:val="24"/>
                <w:szCs w:val="24"/>
              </w:rPr>
            </w:pPr>
          </w:p>
        </w:tc>
        <w:tc>
          <w:tcPr>
            <w:tcW w:w="1058" w:type="dxa"/>
            <w:noWrap w:val="0"/>
            <w:vAlign w:val="top"/>
          </w:tcPr>
          <w:p w14:paraId="325B350F">
            <w:pPr>
              <w:pageBreakBefore w:val="0"/>
              <w:kinsoku/>
              <w:overflowPunct/>
              <w:topLinePunct w:val="0"/>
              <w:bidi w:val="0"/>
              <w:spacing w:line="440" w:lineRule="exact"/>
              <w:rPr>
                <w:rFonts w:hint="eastAsia" w:ascii="仿宋" w:hAnsi="仿宋" w:eastAsia="仿宋" w:cs="仿宋"/>
                <w:color w:val="auto"/>
                <w:sz w:val="24"/>
                <w:szCs w:val="24"/>
              </w:rPr>
            </w:pPr>
          </w:p>
        </w:tc>
        <w:tc>
          <w:tcPr>
            <w:tcW w:w="880" w:type="dxa"/>
            <w:noWrap w:val="0"/>
            <w:vAlign w:val="top"/>
          </w:tcPr>
          <w:p w14:paraId="6E0DF0CC">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318CF15A">
            <w:pPr>
              <w:pageBreakBefore w:val="0"/>
              <w:kinsoku/>
              <w:overflowPunct/>
              <w:topLinePunct w:val="0"/>
              <w:bidi w:val="0"/>
              <w:spacing w:line="440" w:lineRule="exact"/>
              <w:rPr>
                <w:rFonts w:hint="eastAsia" w:ascii="仿宋" w:hAnsi="仿宋" w:eastAsia="仿宋" w:cs="仿宋"/>
                <w:color w:val="auto"/>
                <w:sz w:val="24"/>
                <w:szCs w:val="24"/>
              </w:rPr>
            </w:pPr>
          </w:p>
        </w:tc>
        <w:tc>
          <w:tcPr>
            <w:tcW w:w="1480" w:type="dxa"/>
            <w:noWrap w:val="0"/>
            <w:vAlign w:val="top"/>
          </w:tcPr>
          <w:p w14:paraId="06C50EA2">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64E81F46">
            <w:pPr>
              <w:pageBreakBefore w:val="0"/>
              <w:kinsoku/>
              <w:overflowPunct/>
              <w:topLinePunct w:val="0"/>
              <w:bidi w:val="0"/>
              <w:spacing w:line="440" w:lineRule="exact"/>
              <w:rPr>
                <w:rFonts w:hint="eastAsia" w:ascii="仿宋" w:hAnsi="仿宋" w:eastAsia="仿宋" w:cs="仿宋"/>
                <w:color w:val="auto"/>
                <w:sz w:val="24"/>
                <w:szCs w:val="24"/>
              </w:rPr>
            </w:pPr>
          </w:p>
        </w:tc>
        <w:tc>
          <w:tcPr>
            <w:tcW w:w="921" w:type="dxa"/>
            <w:noWrap w:val="0"/>
            <w:vAlign w:val="top"/>
          </w:tcPr>
          <w:p w14:paraId="166E9E96">
            <w:pPr>
              <w:pageBreakBefore w:val="0"/>
              <w:kinsoku/>
              <w:overflowPunct/>
              <w:topLinePunct w:val="0"/>
              <w:bidi w:val="0"/>
              <w:spacing w:line="440" w:lineRule="exact"/>
              <w:rPr>
                <w:rFonts w:hint="eastAsia" w:ascii="仿宋" w:hAnsi="仿宋" w:eastAsia="仿宋" w:cs="仿宋"/>
                <w:color w:val="auto"/>
                <w:sz w:val="24"/>
                <w:szCs w:val="24"/>
              </w:rPr>
            </w:pPr>
          </w:p>
        </w:tc>
      </w:tr>
      <w:tr w14:paraId="27AC93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78FF5CD">
            <w:pPr>
              <w:pageBreakBefore w:val="0"/>
              <w:kinsoku/>
              <w:overflowPunct/>
              <w:topLinePunct w:val="0"/>
              <w:bidi w:val="0"/>
              <w:spacing w:line="440" w:lineRule="exact"/>
              <w:rPr>
                <w:rFonts w:hint="eastAsia" w:ascii="仿宋" w:hAnsi="仿宋" w:eastAsia="仿宋" w:cs="仿宋"/>
                <w:color w:val="auto"/>
                <w:sz w:val="24"/>
                <w:szCs w:val="24"/>
              </w:rPr>
            </w:pPr>
          </w:p>
        </w:tc>
        <w:tc>
          <w:tcPr>
            <w:tcW w:w="1418" w:type="dxa"/>
            <w:noWrap w:val="0"/>
            <w:vAlign w:val="top"/>
          </w:tcPr>
          <w:p w14:paraId="280478C6">
            <w:pPr>
              <w:pageBreakBefore w:val="0"/>
              <w:kinsoku/>
              <w:overflowPunct/>
              <w:topLinePunct w:val="0"/>
              <w:bidi w:val="0"/>
              <w:spacing w:line="440" w:lineRule="exact"/>
              <w:rPr>
                <w:rFonts w:hint="eastAsia" w:ascii="仿宋" w:hAnsi="仿宋" w:eastAsia="仿宋" w:cs="仿宋"/>
                <w:color w:val="auto"/>
                <w:sz w:val="24"/>
                <w:szCs w:val="24"/>
              </w:rPr>
            </w:pPr>
          </w:p>
        </w:tc>
        <w:tc>
          <w:tcPr>
            <w:tcW w:w="850" w:type="dxa"/>
            <w:noWrap w:val="0"/>
            <w:vAlign w:val="top"/>
          </w:tcPr>
          <w:p w14:paraId="091AFF94">
            <w:pPr>
              <w:pageBreakBefore w:val="0"/>
              <w:kinsoku/>
              <w:overflowPunct/>
              <w:topLinePunct w:val="0"/>
              <w:bidi w:val="0"/>
              <w:spacing w:line="440" w:lineRule="exact"/>
              <w:rPr>
                <w:rFonts w:hint="eastAsia" w:ascii="仿宋" w:hAnsi="仿宋" w:eastAsia="仿宋" w:cs="仿宋"/>
                <w:color w:val="auto"/>
                <w:sz w:val="24"/>
                <w:szCs w:val="24"/>
              </w:rPr>
            </w:pPr>
          </w:p>
        </w:tc>
        <w:tc>
          <w:tcPr>
            <w:tcW w:w="1058" w:type="dxa"/>
            <w:noWrap w:val="0"/>
            <w:vAlign w:val="top"/>
          </w:tcPr>
          <w:p w14:paraId="15E4BA6F">
            <w:pPr>
              <w:pageBreakBefore w:val="0"/>
              <w:kinsoku/>
              <w:overflowPunct/>
              <w:topLinePunct w:val="0"/>
              <w:bidi w:val="0"/>
              <w:spacing w:line="440" w:lineRule="exact"/>
              <w:rPr>
                <w:rFonts w:hint="eastAsia" w:ascii="仿宋" w:hAnsi="仿宋" w:eastAsia="仿宋" w:cs="仿宋"/>
                <w:color w:val="auto"/>
                <w:sz w:val="24"/>
                <w:szCs w:val="24"/>
              </w:rPr>
            </w:pPr>
          </w:p>
        </w:tc>
        <w:tc>
          <w:tcPr>
            <w:tcW w:w="880" w:type="dxa"/>
            <w:noWrap w:val="0"/>
            <w:vAlign w:val="top"/>
          </w:tcPr>
          <w:p w14:paraId="6EEA1F0F">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63520911">
            <w:pPr>
              <w:pageBreakBefore w:val="0"/>
              <w:kinsoku/>
              <w:overflowPunct/>
              <w:topLinePunct w:val="0"/>
              <w:bidi w:val="0"/>
              <w:spacing w:line="440" w:lineRule="exact"/>
              <w:rPr>
                <w:rFonts w:hint="eastAsia" w:ascii="仿宋" w:hAnsi="仿宋" w:eastAsia="仿宋" w:cs="仿宋"/>
                <w:color w:val="auto"/>
                <w:sz w:val="24"/>
                <w:szCs w:val="24"/>
              </w:rPr>
            </w:pPr>
          </w:p>
        </w:tc>
        <w:tc>
          <w:tcPr>
            <w:tcW w:w="1480" w:type="dxa"/>
            <w:noWrap w:val="0"/>
            <w:vAlign w:val="top"/>
          </w:tcPr>
          <w:p w14:paraId="22684B2E">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50D72A4A">
            <w:pPr>
              <w:pageBreakBefore w:val="0"/>
              <w:kinsoku/>
              <w:overflowPunct/>
              <w:topLinePunct w:val="0"/>
              <w:bidi w:val="0"/>
              <w:spacing w:line="440" w:lineRule="exact"/>
              <w:rPr>
                <w:rFonts w:hint="eastAsia" w:ascii="仿宋" w:hAnsi="仿宋" w:eastAsia="仿宋" w:cs="仿宋"/>
                <w:color w:val="auto"/>
                <w:sz w:val="24"/>
                <w:szCs w:val="24"/>
              </w:rPr>
            </w:pPr>
          </w:p>
        </w:tc>
        <w:tc>
          <w:tcPr>
            <w:tcW w:w="921" w:type="dxa"/>
            <w:noWrap w:val="0"/>
            <w:vAlign w:val="top"/>
          </w:tcPr>
          <w:p w14:paraId="32045ACF">
            <w:pPr>
              <w:pageBreakBefore w:val="0"/>
              <w:kinsoku/>
              <w:overflowPunct/>
              <w:topLinePunct w:val="0"/>
              <w:bidi w:val="0"/>
              <w:spacing w:line="440" w:lineRule="exact"/>
              <w:rPr>
                <w:rFonts w:hint="eastAsia" w:ascii="仿宋" w:hAnsi="仿宋" w:eastAsia="仿宋" w:cs="仿宋"/>
                <w:color w:val="auto"/>
                <w:sz w:val="24"/>
                <w:szCs w:val="24"/>
              </w:rPr>
            </w:pPr>
          </w:p>
        </w:tc>
      </w:tr>
      <w:tr w14:paraId="1A206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CAEAA9B">
            <w:pPr>
              <w:pageBreakBefore w:val="0"/>
              <w:kinsoku/>
              <w:overflowPunct/>
              <w:topLinePunct w:val="0"/>
              <w:bidi w:val="0"/>
              <w:spacing w:line="440" w:lineRule="exact"/>
              <w:rPr>
                <w:rFonts w:hint="eastAsia" w:ascii="仿宋" w:hAnsi="仿宋" w:eastAsia="仿宋" w:cs="仿宋"/>
                <w:color w:val="auto"/>
                <w:sz w:val="24"/>
                <w:szCs w:val="24"/>
              </w:rPr>
            </w:pPr>
          </w:p>
        </w:tc>
        <w:tc>
          <w:tcPr>
            <w:tcW w:w="1418" w:type="dxa"/>
            <w:noWrap w:val="0"/>
            <w:vAlign w:val="top"/>
          </w:tcPr>
          <w:p w14:paraId="0FA1D336">
            <w:pPr>
              <w:pageBreakBefore w:val="0"/>
              <w:kinsoku/>
              <w:overflowPunct/>
              <w:topLinePunct w:val="0"/>
              <w:bidi w:val="0"/>
              <w:spacing w:line="440" w:lineRule="exact"/>
              <w:rPr>
                <w:rFonts w:hint="eastAsia" w:ascii="仿宋" w:hAnsi="仿宋" w:eastAsia="仿宋" w:cs="仿宋"/>
                <w:color w:val="auto"/>
                <w:sz w:val="24"/>
                <w:szCs w:val="24"/>
              </w:rPr>
            </w:pPr>
          </w:p>
        </w:tc>
        <w:tc>
          <w:tcPr>
            <w:tcW w:w="850" w:type="dxa"/>
            <w:noWrap w:val="0"/>
            <w:vAlign w:val="top"/>
          </w:tcPr>
          <w:p w14:paraId="51272D9D">
            <w:pPr>
              <w:pageBreakBefore w:val="0"/>
              <w:kinsoku/>
              <w:overflowPunct/>
              <w:topLinePunct w:val="0"/>
              <w:bidi w:val="0"/>
              <w:spacing w:line="440" w:lineRule="exact"/>
              <w:rPr>
                <w:rFonts w:hint="eastAsia" w:ascii="仿宋" w:hAnsi="仿宋" w:eastAsia="仿宋" w:cs="仿宋"/>
                <w:color w:val="auto"/>
                <w:sz w:val="24"/>
                <w:szCs w:val="24"/>
              </w:rPr>
            </w:pPr>
          </w:p>
        </w:tc>
        <w:tc>
          <w:tcPr>
            <w:tcW w:w="1058" w:type="dxa"/>
            <w:noWrap w:val="0"/>
            <w:vAlign w:val="top"/>
          </w:tcPr>
          <w:p w14:paraId="0E6764CB">
            <w:pPr>
              <w:pageBreakBefore w:val="0"/>
              <w:kinsoku/>
              <w:overflowPunct/>
              <w:topLinePunct w:val="0"/>
              <w:bidi w:val="0"/>
              <w:spacing w:line="440" w:lineRule="exact"/>
              <w:rPr>
                <w:rFonts w:hint="eastAsia" w:ascii="仿宋" w:hAnsi="仿宋" w:eastAsia="仿宋" w:cs="仿宋"/>
                <w:color w:val="auto"/>
                <w:sz w:val="24"/>
                <w:szCs w:val="24"/>
              </w:rPr>
            </w:pPr>
          </w:p>
        </w:tc>
        <w:tc>
          <w:tcPr>
            <w:tcW w:w="880" w:type="dxa"/>
            <w:noWrap w:val="0"/>
            <w:vAlign w:val="top"/>
          </w:tcPr>
          <w:p w14:paraId="35C5AE64">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40F2A286">
            <w:pPr>
              <w:pageBreakBefore w:val="0"/>
              <w:kinsoku/>
              <w:overflowPunct/>
              <w:topLinePunct w:val="0"/>
              <w:bidi w:val="0"/>
              <w:spacing w:line="440" w:lineRule="exact"/>
              <w:rPr>
                <w:rFonts w:hint="eastAsia" w:ascii="仿宋" w:hAnsi="仿宋" w:eastAsia="仿宋" w:cs="仿宋"/>
                <w:color w:val="auto"/>
                <w:sz w:val="24"/>
                <w:szCs w:val="24"/>
              </w:rPr>
            </w:pPr>
          </w:p>
        </w:tc>
        <w:tc>
          <w:tcPr>
            <w:tcW w:w="1480" w:type="dxa"/>
            <w:noWrap w:val="0"/>
            <w:vAlign w:val="top"/>
          </w:tcPr>
          <w:p w14:paraId="18C383AD">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604BDE8D">
            <w:pPr>
              <w:pageBreakBefore w:val="0"/>
              <w:kinsoku/>
              <w:overflowPunct/>
              <w:topLinePunct w:val="0"/>
              <w:bidi w:val="0"/>
              <w:spacing w:line="440" w:lineRule="exact"/>
              <w:rPr>
                <w:rFonts w:hint="eastAsia" w:ascii="仿宋" w:hAnsi="仿宋" w:eastAsia="仿宋" w:cs="仿宋"/>
                <w:color w:val="auto"/>
                <w:sz w:val="24"/>
                <w:szCs w:val="24"/>
              </w:rPr>
            </w:pPr>
          </w:p>
        </w:tc>
        <w:tc>
          <w:tcPr>
            <w:tcW w:w="921" w:type="dxa"/>
            <w:noWrap w:val="0"/>
            <w:vAlign w:val="top"/>
          </w:tcPr>
          <w:p w14:paraId="006AB953">
            <w:pPr>
              <w:pageBreakBefore w:val="0"/>
              <w:kinsoku/>
              <w:overflowPunct/>
              <w:topLinePunct w:val="0"/>
              <w:bidi w:val="0"/>
              <w:spacing w:line="440" w:lineRule="exact"/>
              <w:rPr>
                <w:rFonts w:hint="eastAsia" w:ascii="仿宋" w:hAnsi="仿宋" w:eastAsia="仿宋" w:cs="仿宋"/>
                <w:color w:val="auto"/>
                <w:sz w:val="24"/>
                <w:szCs w:val="24"/>
              </w:rPr>
            </w:pPr>
          </w:p>
        </w:tc>
      </w:tr>
      <w:tr w14:paraId="07A6B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7A8A10B">
            <w:pPr>
              <w:pageBreakBefore w:val="0"/>
              <w:kinsoku/>
              <w:overflowPunct/>
              <w:topLinePunct w:val="0"/>
              <w:bidi w:val="0"/>
              <w:spacing w:line="440" w:lineRule="exact"/>
              <w:rPr>
                <w:rFonts w:hint="eastAsia" w:ascii="仿宋" w:hAnsi="仿宋" w:eastAsia="仿宋" w:cs="仿宋"/>
                <w:color w:val="auto"/>
                <w:sz w:val="24"/>
                <w:szCs w:val="24"/>
              </w:rPr>
            </w:pPr>
          </w:p>
        </w:tc>
        <w:tc>
          <w:tcPr>
            <w:tcW w:w="1418" w:type="dxa"/>
            <w:noWrap w:val="0"/>
            <w:vAlign w:val="top"/>
          </w:tcPr>
          <w:p w14:paraId="745EEA57">
            <w:pPr>
              <w:pageBreakBefore w:val="0"/>
              <w:kinsoku/>
              <w:overflowPunct/>
              <w:topLinePunct w:val="0"/>
              <w:bidi w:val="0"/>
              <w:spacing w:line="440" w:lineRule="exact"/>
              <w:rPr>
                <w:rFonts w:hint="eastAsia" w:ascii="仿宋" w:hAnsi="仿宋" w:eastAsia="仿宋" w:cs="仿宋"/>
                <w:color w:val="auto"/>
                <w:sz w:val="24"/>
                <w:szCs w:val="24"/>
              </w:rPr>
            </w:pPr>
          </w:p>
        </w:tc>
        <w:tc>
          <w:tcPr>
            <w:tcW w:w="850" w:type="dxa"/>
            <w:noWrap w:val="0"/>
            <w:vAlign w:val="top"/>
          </w:tcPr>
          <w:p w14:paraId="32CF8FAB">
            <w:pPr>
              <w:pageBreakBefore w:val="0"/>
              <w:kinsoku/>
              <w:overflowPunct/>
              <w:topLinePunct w:val="0"/>
              <w:bidi w:val="0"/>
              <w:spacing w:line="440" w:lineRule="exact"/>
              <w:rPr>
                <w:rFonts w:hint="eastAsia" w:ascii="仿宋" w:hAnsi="仿宋" w:eastAsia="仿宋" w:cs="仿宋"/>
                <w:color w:val="auto"/>
                <w:sz w:val="24"/>
                <w:szCs w:val="24"/>
              </w:rPr>
            </w:pPr>
          </w:p>
        </w:tc>
        <w:tc>
          <w:tcPr>
            <w:tcW w:w="1058" w:type="dxa"/>
            <w:noWrap w:val="0"/>
            <w:vAlign w:val="top"/>
          </w:tcPr>
          <w:p w14:paraId="6D0B59FA">
            <w:pPr>
              <w:pageBreakBefore w:val="0"/>
              <w:kinsoku/>
              <w:overflowPunct/>
              <w:topLinePunct w:val="0"/>
              <w:bidi w:val="0"/>
              <w:spacing w:line="440" w:lineRule="exact"/>
              <w:rPr>
                <w:rFonts w:hint="eastAsia" w:ascii="仿宋" w:hAnsi="仿宋" w:eastAsia="仿宋" w:cs="仿宋"/>
                <w:color w:val="auto"/>
                <w:sz w:val="24"/>
                <w:szCs w:val="24"/>
              </w:rPr>
            </w:pPr>
          </w:p>
        </w:tc>
        <w:tc>
          <w:tcPr>
            <w:tcW w:w="880" w:type="dxa"/>
            <w:noWrap w:val="0"/>
            <w:vAlign w:val="top"/>
          </w:tcPr>
          <w:p w14:paraId="7723C343">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633C2FFD">
            <w:pPr>
              <w:pageBreakBefore w:val="0"/>
              <w:kinsoku/>
              <w:overflowPunct/>
              <w:topLinePunct w:val="0"/>
              <w:bidi w:val="0"/>
              <w:spacing w:line="440" w:lineRule="exact"/>
              <w:rPr>
                <w:rFonts w:hint="eastAsia" w:ascii="仿宋" w:hAnsi="仿宋" w:eastAsia="仿宋" w:cs="仿宋"/>
                <w:color w:val="auto"/>
                <w:sz w:val="24"/>
                <w:szCs w:val="24"/>
              </w:rPr>
            </w:pPr>
          </w:p>
        </w:tc>
        <w:tc>
          <w:tcPr>
            <w:tcW w:w="1480" w:type="dxa"/>
            <w:noWrap w:val="0"/>
            <w:vAlign w:val="top"/>
          </w:tcPr>
          <w:p w14:paraId="5F2B0AD7">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2B9DDF80">
            <w:pPr>
              <w:pageBreakBefore w:val="0"/>
              <w:kinsoku/>
              <w:overflowPunct/>
              <w:topLinePunct w:val="0"/>
              <w:bidi w:val="0"/>
              <w:spacing w:line="440" w:lineRule="exact"/>
              <w:rPr>
                <w:rFonts w:hint="eastAsia" w:ascii="仿宋" w:hAnsi="仿宋" w:eastAsia="仿宋" w:cs="仿宋"/>
                <w:color w:val="auto"/>
                <w:sz w:val="24"/>
                <w:szCs w:val="24"/>
              </w:rPr>
            </w:pPr>
          </w:p>
        </w:tc>
        <w:tc>
          <w:tcPr>
            <w:tcW w:w="921" w:type="dxa"/>
            <w:noWrap w:val="0"/>
            <w:vAlign w:val="top"/>
          </w:tcPr>
          <w:p w14:paraId="229DE96B">
            <w:pPr>
              <w:pageBreakBefore w:val="0"/>
              <w:kinsoku/>
              <w:overflowPunct/>
              <w:topLinePunct w:val="0"/>
              <w:bidi w:val="0"/>
              <w:spacing w:line="440" w:lineRule="exact"/>
              <w:rPr>
                <w:rFonts w:hint="eastAsia" w:ascii="仿宋" w:hAnsi="仿宋" w:eastAsia="仿宋" w:cs="仿宋"/>
                <w:color w:val="auto"/>
                <w:sz w:val="24"/>
                <w:szCs w:val="24"/>
              </w:rPr>
            </w:pPr>
          </w:p>
        </w:tc>
      </w:tr>
      <w:tr w14:paraId="1DFA3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2FF6C0A">
            <w:pPr>
              <w:pageBreakBefore w:val="0"/>
              <w:kinsoku/>
              <w:overflowPunct/>
              <w:topLinePunct w:val="0"/>
              <w:bidi w:val="0"/>
              <w:spacing w:line="440" w:lineRule="exact"/>
              <w:rPr>
                <w:rFonts w:hint="eastAsia" w:ascii="仿宋" w:hAnsi="仿宋" w:eastAsia="仿宋" w:cs="仿宋"/>
                <w:color w:val="auto"/>
                <w:sz w:val="24"/>
                <w:szCs w:val="24"/>
              </w:rPr>
            </w:pPr>
          </w:p>
        </w:tc>
        <w:tc>
          <w:tcPr>
            <w:tcW w:w="1418" w:type="dxa"/>
            <w:noWrap w:val="0"/>
            <w:vAlign w:val="top"/>
          </w:tcPr>
          <w:p w14:paraId="4E1DADEA">
            <w:pPr>
              <w:pageBreakBefore w:val="0"/>
              <w:kinsoku/>
              <w:overflowPunct/>
              <w:topLinePunct w:val="0"/>
              <w:bidi w:val="0"/>
              <w:spacing w:line="440" w:lineRule="exact"/>
              <w:rPr>
                <w:rFonts w:hint="eastAsia" w:ascii="仿宋" w:hAnsi="仿宋" w:eastAsia="仿宋" w:cs="仿宋"/>
                <w:color w:val="auto"/>
                <w:sz w:val="24"/>
                <w:szCs w:val="24"/>
              </w:rPr>
            </w:pPr>
          </w:p>
        </w:tc>
        <w:tc>
          <w:tcPr>
            <w:tcW w:w="850" w:type="dxa"/>
            <w:noWrap w:val="0"/>
            <w:vAlign w:val="top"/>
          </w:tcPr>
          <w:p w14:paraId="58674AF6">
            <w:pPr>
              <w:pageBreakBefore w:val="0"/>
              <w:kinsoku/>
              <w:overflowPunct/>
              <w:topLinePunct w:val="0"/>
              <w:bidi w:val="0"/>
              <w:spacing w:line="440" w:lineRule="exact"/>
              <w:rPr>
                <w:rFonts w:hint="eastAsia" w:ascii="仿宋" w:hAnsi="仿宋" w:eastAsia="仿宋" w:cs="仿宋"/>
                <w:color w:val="auto"/>
                <w:sz w:val="24"/>
                <w:szCs w:val="24"/>
              </w:rPr>
            </w:pPr>
          </w:p>
        </w:tc>
        <w:tc>
          <w:tcPr>
            <w:tcW w:w="1058" w:type="dxa"/>
            <w:noWrap w:val="0"/>
            <w:vAlign w:val="top"/>
          </w:tcPr>
          <w:p w14:paraId="4A8B7D0B">
            <w:pPr>
              <w:pageBreakBefore w:val="0"/>
              <w:kinsoku/>
              <w:overflowPunct/>
              <w:topLinePunct w:val="0"/>
              <w:bidi w:val="0"/>
              <w:spacing w:line="440" w:lineRule="exact"/>
              <w:rPr>
                <w:rFonts w:hint="eastAsia" w:ascii="仿宋" w:hAnsi="仿宋" w:eastAsia="仿宋" w:cs="仿宋"/>
                <w:color w:val="auto"/>
                <w:sz w:val="24"/>
                <w:szCs w:val="24"/>
              </w:rPr>
            </w:pPr>
          </w:p>
        </w:tc>
        <w:tc>
          <w:tcPr>
            <w:tcW w:w="880" w:type="dxa"/>
            <w:noWrap w:val="0"/>
            <w:vAlign w:val="top"/>
          </w:tcPr>
          <w:p w14:paraId="1AA9B0E6">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6706DE47">
            <w:pPr>
              <w:pageBreakBefore w:val="0"/>
              <w:kinsoku/>
              <w:overflowPunct/>
              <w:topLinePunct w:val="0"/>
              <w:bidi w:val="0"/>
              <w:spacing w:line="440" w:lineRule="exact"/>
              <w:rPr>
                <w:rFonts w:hint="eastAsia" w:ascii="仿宋" w:hAnsi="仿宋" w:eastAsia="仿宋" w:cs="仿宋"/>
                <w:color w:val="auto"/>
                <w:sz w:val="24"/>
                <w:szCs w:val="24"/>
              </w:rPr>
            </w:pPr>
          </w:p>
        </w:tc>
        <w:tc>
          <w:tcPr>
            <w:tcW w:w="1480" w:type="dxa"/>
            <w:noWrap w:val="0"/>
            <w:vAlign w:val="top"/>
          </w:tcPr>
          <w:p w14:paraId="6137967A">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7A9FAAAB">
            <w:pPr>
              <w:pageBreakBefore w:val="0"/>
              <w:kinsoku/>
              <w:overflowPunct/>
              <w:topLinePunct w:val="0"/>
              <w:bidi w:val="0"/>
              <w:spacing w:line="440" w:lineRule="exact"/>
              <w:rPr>
                <w:rFonts w:hint="eastAsia" w:ascii="仿宋" w:hAnsi="仿宋" w:eastAsia="仿宋" w:cs="仿宋"/>
                <w:color w:val="auto"/>
                <w:sz w:val="24"/>
                <w:szCs w:val="24"/>
              </w:rPr>
            </w:pPr>
          </w:p>
        </w:tc>
        <w:tc>
          <w:tcPr>
            <w:tcW w:w="921" w:type="dxa"/>
            <w:noWrap w:val="0"/>
            <w:vAlign w:val="top"/>
          </w:tcPr>
          <w:p w14:paraId="1F9593ED">
            <w:pPr>
              <w:pageBreakBefore w:val="0"/>
              <w:kinsoku/>
              <w:overflowPunct/>
              <w:topLinePunct w:val="0"/>
              <w:bidi w:val="0"/>
              <w:spacing w:line="440" w:lineRule="exact"/>
              <w:rPr>
                <w:rFonts w:hint="eastAsia" w:ascii="仿宋" w:hAnsi="仿宋" w:eastAsia="仿宋" w:cs="仿宋"/>
                <w:color w:val="auto"/>
                <w:sz w:val="24"/>
                <w:szCs w:val="24"/>
              </w:rPr>
            </w:pPr>
          </w:p>
        </w:tc>
      </w:tr>
      <w:tr w14:paraId="36384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E310FAF">
            <w:pPr>
              <w:pageBreakBefore w:val="0"/>
              <w:kinsoku/>
              <w:overflowPunct/>
              <w:topLinePunct w:val="0"/>
              <w:bidi w:val="0"/>
              <w:spacing w:line="440" w:lineRule="exact"/>
              <w:rPr>
                <w:rFonts w:hint="eastAsia" w:ascii="仿宋" w:hAnsi="仿宋" w:eastAsia="仿宋" w:cs="仿宋"/>
                <w:color w:val="auto"/>
                <w:sz w:val="24"/>
                <w:szCs w:val="24"/>
              </w:rPr>
            </w:pPr>
          </w:p>
        </w:tc>
        <w:tc>
          <w:tcPr>
            <w:tcW w:w="1418" w:type="dxa"/>
            <w:noWrap w:val="0"/>
            <w:vAlign w:val="top"/>
          </w:tcPr>
          <w:p w14:paraId="4D4C5530">
            <w:pPr>
              <w:pageBreakBefore w:val="0"/>
              <w:kinsoku/>
              <w:overflowPunct/>
              <w:topLinePunct w:val="0"/>
              <w:bidi w:val="0"/>
              <w:spacing w:line="440" w:lineRule="exact"/>
              <w:rPr>
                <w:rFonts w:hint="eastAsia" w:ascii="仿宋" w:hAnsi="仿宋" w:eastAsia="仿宋" w:cs="仿宋"/>
                <w:color w:val="auto"/>
                <w:sz w:val="24"/>
                <w:szCs w:val="24"/>
              </w:rPr>
            </w:pPr>
          </w:p>
        </w:tc>
        <w:tc>
          <w:tcPr>
            <w:tcW w:w="850" w:type="dxa"/>
            <w:noWrap w:val="0"/>
            <w:vAlign w:val="top"/>
          </w:tcPr>
          <w:p w14:paraId="5D507FF0">
            <w:pPr>
              <w:pageBreakBefore w:val="0"/>
              <w:kinsoku/>
              <w:overflowPunct/>
              <w:topLinePunct w:val="0"/>
              <w:bidi w:val="0"/>
              <w:spacing w:line="440" w:lineRule="exact"/>
              <w:rPr>
                <w:rFonts w:hint="eastAsia" w:ascii="仿宋" w:hAnsi="仿宋" w:eastAsia="仿宋" w:cs="仿宋"/>
                <w:color w:val="auto"/>
                <w:sz w:val="24"/>
                <w:szCs w:val="24"/>
              </w:rPr>
            </w:pPr>
          </w:p>
        </w:tc>
        <w:tc>
          <w:tcPr>
            <w:tcW w:w="1058" w:type="dxa"/>
            <w:noWrap w:val="0"/>
            <w:vAlign w:val="top"/>
          </w:tcPr>
          <w:p w14:paraId="33E57DBE">
            <w:pPr>
              <w:pageBreakBefore w:val="0"/>
              <w:kinsoku/>
              <w:overflowPunct/>
              <w:topLinePunct w:val="0"/>
              <w:bidi w:val="0"/>
              <w:spacing w:line="440" w:lineRule="exact"/>
              <w:rPr>
                <w:rFonts w:hint="eastAsia" w:ascii="仿宋" w:hAnsi="仿宋" w:eastAsia="仿宋" w:cs="仿宋"/>
                <w:color w:val="auto"/>
                <w:sz w:val="24"/>
                <w:szCs w:val="24"/>
              </w:rPr>
            </w:pPr>
          </w:p>
        </w:tc>
        <w:tc>
          <w:tcPr>
            <w:tcW w:w="880" w:type="dxa"/>
            <w:noWrap w:val="0"/>
            <w:vAlign w:val="top"/>
          </w:tcPr>
          <w:p w14:paraId="03BCB0B0">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0E3EA35D">
            <w:pPr>
              <w:pageBreakBefore w:val="0"/>
              <w:kinsoku/>
              <w:overflowPunct/>
              <w:topLinePunct w:val="0"/>
              <w:bidi w:val="0"/>
              <w:spacing w:line="440" w:lineRule="exact"/>
              <w:rPr>
                <w:rFonts w:hint="eastAsia" w:ascii="仿宋" w:hAnsi="仿宋" w:eastAsia="仿宋" w:cs="仿宋"/>
                <w:color w:val="auto"/>
                <w:sz w:val="24"/>
                <w:szCs w:val="24"/>
              </w:rPr>
            </w:pPr>
          </w:p>
        </w:tc>
        <w:tc>
          <w:tcPr>
            <w:tcW w:w="1480" w:type="dxa"/>
            <w:noWrap w:val="0"/>
            <w:vAlign w:val="top"/>
          </w:tcPr>
          <w:p w14:paraId="5CF06C73">
            <w:pPr>
              <w:pageBreakBefore w:val="0"/>
              <w:kinsoku/>
              <w:overflowPunct/>
              <w:topLinePunct w:val="0"/>
              <w:bidi w:val="0"/>
              <w:spacing w:line="440" w:lineRule="exact"/>
              <w:rPr>
                <w:rFonts w:hint="eastAsia" w:ascii="仿宋" w:hAnsi="仿宋" w:eastAsia="仿宋" w:cs="仿宋"/>
                <w:color w:val="auto"/>
                <w:sz w:val="24"/>
                <w:szCs w:val="24"/>
              </w:rPr>
            </w:pPr>
          </w:p>
        </w:tc>
        <w:tc>
          <w:tcPr>
            <w:tcW w:w="1020" w:type="dxa"/>
            <w:noWrap w:val="0"/>
            <w:vAlign w:val="top"/>
          </w:tcPr>
          <w:p w14:paraId="42D741E3">
            <w:pPr>
              <w:pageBreakBefore w:val="0"/>
              <w:kinsoku/>
              <w:overflowPunct/>
              <w:topLinePunct w:val="0"/>
              <w:bidi w:val="0"/>
              <w:spacing w:line="440" w:lineRule="exact"/>
              <w:rPr>
                <w:rFonts w:hint="eastAsia" w:ascii="仿宋" w:hAnsi="仿宋" w:eastAsia="仿宋" w:cs="仿宋"/>
                <w:color w:val="auto"/>
                <w:sz w:val="24"/>
                <w:szCs w:val="24"/>
              </w:rPr>
            </w:pPr>
          </w:p>
        </w:tc>
        <w:tc>
          <w:tcPr>
            <w:tcW w:w="921" w:type="dxa"/>
            <w:noWrap w:val="0"/>
            <w:vAlign w:val="top"/>
          </w:tcPr>
          <w:p w14:paraId="3A991913">
            <w:pPr>
              <w:pageBreakBefore w:val="0"/>
              <w:kinsoku/>
              <w:overflowPunct/>
              <w:topLinePunct w:val="0"/>
              <w:bidi w:val="0"/>
              <w:spacing w:line="440" w:lineRule="exact"/>
              <w:rPr>
                <w:rFonts w:hint="eastAsia" w:ascii="仿宋" w:hAnsi="仿宋" w:eastAsia="仿宋" w:cs="仿宋"/>
                <w:color w:val="auto"/>
                <w:sz w:val="24"/>
                <w:szCs w:val="24"/>
              </w:rPr>
            </w:pPr>
          </w:p>
        </w:tc>
      </w:tr>
    </w:tbl>
    <w:p w14:paraId="512FAF41">
      <w:pPr>
        <w:pageBreakBefore w:val="0"/>
        <w:kinsoku/>
        <w:overflowPunct/>
        <w:topLinePunct w:val="0"/>
        <w:bidi w:val="0"/>
        <w:spacing w:line="440" w:lineRule="exact"/>
        <w:rPr>
          <w:rFonts w:hint="eastAsia" w:ascii="仿宋" w:hAnsi="仿宋" w:eastAsia="仿宋" w:cs="仿宋"/>
          <w:color w:val="auto"/>
          <w:sz w:val="24"/>
          <w:szCs w:val="24"/>
        </w:rPr>
      </w:pPr>
    </w:p>
    <w:p w14:paraId="4FAEDC7E">
      <w:pPr>
        <w:pageBreakBefore w:val="0"/>
        <w:kinsoku/>
        <w:overflowPunct/>
        <w:topLinePunct w:val="0"/>
        <w:bidi w:val="0"/>
        <w:spacing w:line="440" w:lineRule="exact"/>
        <w:rPr>
          <w:rFonts w:hint="eastAsia" w:ascii="仿宋" w:hAnsi="仿宋" w:eastAsia="仿宋" w:cs="仿宋"/>
          <w:color w:val="auto"/>
          <w:sz w:val="24"/>
          <w:szCs w:val="24"/>
        </w:rPr>
      </w:pPr>
    </w:p>
    <w:p w14:paraId="24752226">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附</w:t>
      </w:r>
      <w:bookmarkStart w:id="1322" w:name="_Toc296347227"/>
      <w:bookmarkStart w:id="1323" w:name="_Toc296891268"/>
      <w:bookmarkStart w:id="1324" w:name="_Toc296503228"/>
      <w:bookmarkStart w:id="1325" w:name="_Toc296346729"/>
      <w:bookmarkStart w:id="1326" w:name="_Toc267261699"/>
      <w:bookmarkStart w:id="1327" w:name="_Toc296891056"/>
      <w:bookmarkStart w:id="1328" w:name="_Toc296944567"/>
      <w:r>
        <w:rPr>
          <w:rFonts w:hint="eastAsia" w:ascii="仿宋" w:hAnsi="仿宋" w:eastAsia="仿宋" w:cs="仿宋"/>
          <w:color w:val="auto"/>
          <w:sz w:val="24"/>
          <w:szCs w:val="24"/>
        </w:rPr>
        <w:t>件6：</w:t>
      </w:r>
    </w:p>
    <w:bookmarkEnd w:id="1322"/>
    <w:bookmarkEnd w:id="1323"/>
    <w:bookmarkEnd w:id="1324"/>
    <w:bookmarkEnd w:id="1325"/>
    <w:bookmarkEnd w:id="1326"/>
    <w:bookmarkEnd w:id="1327"/>
    <w:bookmarkEnd w:id="1328"/>
    <w:p w14:paraId="7CA2050D">
      <w:pPr>
        <w:pageBreakBefore w:val="0"/>
        <w:kinsoku/>
        <w:overflowPunct/>
        <w:topLinePunct w:val="0"/>
        <w:bidi w:val="0"/>
        <w:spacing w:before="156" w:beforeLines="50" w:after="156" w:afterLines="5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承包人主要施工管理人员表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85AE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47BCF9E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名    称</w:t>
            </w:r>
          </w:p>
        </w:tc>
        <w:tc>
          <w:tcPr>
            <w:tcW w:w="1418" w:type="dxa"/>
            <w:tcBorders>
              <w:top w:val="single" w:color="auto" w:sz="12" w:space="0"/>
              <w:bottom w:val="double" w:color="auto" w:sz="6" w:space="0"/>
            </w:tcBorders>
            <w:noWrap w:val="0"/>
            <w:vAlign w:val="center"/>
          </w:tcPr>
          <w:p w14:paraId="0CDB412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姓名</w:t>
            </w:r>
          </w:p>
        </w:tc>
        <w:tc>
          <w:tcPr>
            <w:tcW w:w="1134" w:type="dxa"/>
            <w:tcBorders>
              <w:top w:val="single" w:color="auto" w:sz="12" w:space="0"/>
              <w:bottom w:val="double" w:color="auto" w:sz="6" w:space="0"/>
            </w:tcBorders>
            <w:noWrap w:val="0"/>
            <w:vAlign w:val="center"/>
          </w:tcPr>
          <w:p w14:paraId="4272CB5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职务</w:t>
            </w:r>
          </w:p>
        </w:tc>
        <w:tc>
          <w:tcPr>
            <w:tcW w:w="1134" w:type="dxa"/>
            <w:tcBorders>
              <w:top w:val="single" w:color="auto" w:sz="12" w:space="0"/>
              <w:bottom w:val="double" w:color="auto" w:sz="6" w:space="0"/>
            </w:tcBorders>
            <w:noWrap w:val="0"/>
            <w:vAlign w:val="center"/>
          </w:tcPr>
          <w:p w14:paraId="646934A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职称</w:t>
            </w:r>
          </w:p>
        </w:tc>
        <w:tc>
          <w:tcPr>
            <w:tcW w:w="4252" w:type="dxa"/>
            <w:tcBorders>
              <w:top w:val="single" w:color="auto" w:sz="12" w:space="0"/>
              <w:bottom w:val="double" w:color="auto" w:sz="6" w:space="0"/>
            </w:tcBorders>
            <w:noWrap w:val="0"/>
            <w:vAlign w:val="center"/>
          </w:tcPr>
          <w:p w14:paraId="0470D2F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主要资历、经验及承担过的项目</w:t>
            </w:r>
          </w:p>
        </w:tc>
      </w:tr>
      <w:tr w14:paraId="52090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41EA96E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一、总部人员</w:t>
            </w:r>
          </w:p>
        </w:tc>
      </w:tr>
      <w:tr w14:paraId="6C32A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CB619E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项目主管</w:t>
            </w:r>
          </w:p>
        </w:tc>
        <w:tc>
          <w:tcPr>
            <w:tcW w:w="1418" w:type="dxa"/>
            <w:tcBorders>
              <w:top w:val="nil"/>
            </w:tcBorders>
            <w:noWrap w:val="0"/>
            <w:vAlign w:val="center"/>
          </w:tcPr>
          <w:p w14:paraId="691DBA2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tcBorders>
              <w:top w:val="nil"/>
            </w:tcBorders>
            <w:noWrap w:val="0"/>
            <w:vAlign w:val="center"/>
          </w:tcPr>
          <w:p w14:paraId="5A2D09A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tcBorders>
              <w:top w:val="nil"/>
            </w:tcBorders>
            <w:noWrap w:val="0"/>
            <w:vAlign w:val="center"/>
          </w:tcPr>
          <w:p w14:paraId="1909FCE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tcBorders>
              <w:top w:val="nil"/>
            </w:tcBorders>
            <w:noWrap w:val="0"/>
            <w:vAlign w:val="center"/>
          </w:tcPr>
          <w:p w14:paraId="7E3F690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D74B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6D001E7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27FABF3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17632D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563D323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5622C32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14539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92637D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其他人员</w:t>
            </w:r>
          </w:p>
        </w:tc>
        <w:tc>
          <w:tcPr>
            <w:tcW w:w="1418" w:type="dxa"/>
            <w:noWrap w:val="0"/>
            <w:vAlign w:val="center"/>
          </w:tcPr>
          <w:p w14:paraId="30E9F1D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4DD8A2F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6E6F54E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1786FE9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C4AD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F73069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548BBD3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39EE991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4FBF17E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33D8880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F745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4DEEACB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二、现场人员</w:t>
            </w:r>
          </w:p>
        </w:tc>
      </w:tr>
      <w:tr w14:paraId="02C11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691C55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项目经理</w:t>
            </w:r>
          </w:p>
        </w:tc>
        <w:tc>
          <w:tcPr>
            <w:tcW w:w="1418" w:type="dxa"/>
            <w:noWrap w:val="0"/>
            <w:vAlign w:val="center"/>
          </w:tcPr>
          <w:p w14:paraId="3E4B4A0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4470AAF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105801A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7C4B04E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CB94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36E27A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项目副经理</w:t>
            </w:r>
          </w:p>
        </w:tc>
        <w:tc>
          <w:tcPr>
            <w:tcW w:w="1418" w:type="dxa"/>
            <w:noWrap w:val="0"/>
            <w:vAlign w:val="center"/>
          </w:tcPr>
          <w:p w14:paraId="56C9587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011F527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08D6C59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5C8298D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193A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451832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技术负责人</w:t>
            </w:r>
          </w:p>
        </w:tc>
        <w:tc>
          <w:tcPr>
            <w:tcW w:w="1418" w:type="dxa"/>
            <w:noWrap w:val="0"/>
            <w:vAlign w:val="center"/>
          </w:tcPr>
          <w:p w14:paraId="1A91C0F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4BFC89E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02839A6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746720C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467144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02ADE0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造价管理</w:t>
            </w:r>
          </w:p>
        </w:tc>
        <w:tc>
          <w:tcPr>
            <w:tcW w:w="1418" w:type="dxa"/>
            <w:noWrap w:val="0"/>
            <w:vAlign w:val="center"/>
          </w:tcPr>
          <w:p w14:paraId="50762FE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8D0505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1A13139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455CED1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3469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060099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质量管理</w:t>
            </w:r>
          </w:p>
        </w:tc>
        <w:tc>
          <w:tcPr>
            <w:tcW w:w="1418" w:type="dxa"/>
            <w:noWrap w:val="0"/>
            <w:vAlign w:val="center"/>
          </w:tcPr>
          <w:p w14:paraId="4341F07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A81D32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4F1B74D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46E5309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2EE4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6D1513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材料管理</w:t>
            </w:r>
          </w:p>
        </w:tc>
        <w:tc>
          <w:tcPr>
            <w:tcW w:w="1418" w:type="dxa"/>
            <w:noWrap w:val="0"/>
            <w:vAlign w:val="center"/>
          </w:tcPr>
          <w:p w14:paraId="1AE8BB0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5AE3EB2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1052A46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1360238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D02F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05200B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计划管理</w:t>
            </w:r>
          </w:p>
        </w:tc>
        <w:tc>
          <w:tcPr>
            <w:tcW w:w="1418" w:type="dxa"/>
            <w:noWrap w:val="0"/>
            <w:vAlign w:val="center"/>
          </w:tcPr>
          <w:p w14:paraId="3E82DB4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627AF0D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6DBF88E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3E201E4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7A3A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C81692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安全管理</w:t>
            </w:r>
          </w:p>
        </w:tc>
        <w:tc>
          <w:tcPr>
            <w:tcW w:w="1418" w:type="dxa"/>
            <w:noWrap w:val="0"/>
            <w:vAlign w:val="center"/>
          </w:tcPr>
          <w:p w14:paraId="2E500A6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06242A7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5FB8FA3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12683E1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434CF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0C6D25A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其他人员</w:t>
            </w:r>
          </w:p>
        </w:tc>
        <w:tc>
          <w:tcPr>
            <w:tcW w:w="1418" w:type="dxa"/>
            <w:noWrap w:val="0"/>
            <w:vAlign w:val="center"/>
          </w:tcPr>
          <w:p w14:paraId="342A754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1FA3310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095D94B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2581E51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4E891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17E008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tcBorders>
              <w:bottom w:val="nil"/>
            </w:tcBorders>
            <w:noWrap w:val="0"/>
            <w:vAlign w:val="center"/>
          </w:tcPr>
          <w:p w14:paraId="0D4D8AB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tcBorders>
              <w:bottom w:val="nil"/>
            </w:tcBorders>
            <w:noWrap w:val="0"/>
            <w:vAlign w:val="center"/>
          </w:tcPr>
          <w:p w14:paraId="6A4CEA8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tcBorders>
              <w:bottom w:val="nil"/>
            </w:tcBorders>
            <w:noWrap w:val="0"/>
            <w:vAlign w:val="center"/>
          </w:tcPr>
          <w:p w14:paraId="66507A5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tcBorders>
              <w:bottom w:val="nil"/>
            </w:tcBorders>
            <w:noWrap w:val="0"/>
            <w:vAlign w:val="center"/>
          </w:tcPr>
          <w:p w14:paraId="12C597E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45564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ED4EE2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5671C5E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76849D6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75E10C0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35D7291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E2B6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86F6FC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1E9993F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15B356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60EB9A4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57753FF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3967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F005ED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6C7F3EF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7B329CE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6DD048D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088E15F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4B0B3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4364E46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tcBorders>
              <w:bottom w:val="single" w:color="auto" w:sz="12" w:space="0"/>
            </w:tcBorders>
            <w:noWrap w:val="0"/>
            <w:vAlign w:val="center"/>
          </w:tcPr>
          <w:p w14:paraId="7F43368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tcBorders>
              <w:bottom w:val="single" w:color="auto" w:sz="12" w:space="0"/>
            </w:tcBorders>
            <w:noWrap w:val="0"/>
            <w:vAlign w:val="center"/>
          </w:tcPr>
          <w:p w14:paraId="608764A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tcBorders>
              <w:bottom w:val="single" w:color="auto" w:sz="12" w:space="0"/>
            </w:tcBorders>
            <w:noWrap w:val="0"/>
            <w:vAlign w:val="center"/>
          </w:tcPr>
          <w:p w14:paraId="3F3F31A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tcBorders>
              <w:bottom w:val="single" w:color="auto" w:sz="12" w:space="0"/>
            </w:tcBorders>
            <w:noWrap w:val="0"/>
            <w:vAlign w:val="center"/>
          </w:tcPr>
          <w:p w14:paraId="52D37C5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bl>
    <w:p w14:paraId="4964BC9D">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color w:val="auto"/>
          <w:sz w:val="24"/>
          <w:szCs w:val="24"/>
        </w:rPr>
        <w:t>附</w:t>
      </w:r>
      <w:bookmarkStart w:id="1329" w:name="_Toc296944568"/>
      <w:bookmarkStart w:id="1330" w:name="_Toc296503229"/>
      <w:bookmarkStart w:id="1331" w:name="_Toc296347228"/>
      <w:bookmarkStart w:id="1332" w:name="_Toc296346730"/>
      <w:bookmarkStart w:id="1333" w:name="_Toc296891269"/>
      <w:bookmarkStart w:id="1334" w:name="_Toc296891057"/>
      <w:r>
        <w:rPr>
          <w:rFonts w:hint="eastAsia" w:ascii="仿宋" w:hAnsi="仿宋" w:eastAsia="仿宋" w:cs="仿宋"/>
          <w:color w:val="auto"/>
          <w:sz w:val="24"/>
          <w:szCs w:val="24"/>
        </w:rPr>
        <w:t>件7：</w:t>
      </w:r>
    </w:p>
    <w:bookmarkEnd w:id="1329"/>
    <w:bookmarkEnd w:id="1330"/>
    <w:bookmarkEnd w:id="1331"/>
    <w:bookmarkEnd w:id="1332"/>
    <w:bookmarkEnd w:id="1333"/>
    <w:bookmarkEnd w:id="1334"/>
    <w:p w14:paraId="753083AA">
      <w:pPr>
        <w:pageBreakBefore w:val="0"/>
        <w:kinsoku/>
        <w:overflowPunct/>
        <w:topLinePunct w:val="0"/>
        <w:bidi w:val="0"/>
        <w:spacing w:before="156" w:beforeLines="50" w:after="156" w:afterLines="5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分包人主要施工管理人员表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32E1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32CB59C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名    称</w:t>
            </w:r>
          </w:p>
        </w:tc>
        <w:tc>
          <w:tcPr>
            <w:tcW w:w="1418" w:type="dxa"/>
            <w:tcBorders>
              <w:top w:val="single" w:color="auto" w:sz="12" w:space="0"/>
              <w:bottom w:val="double" w:color="auto" w:sz="6" w:space="0"/>
            </w:tcBorders>
            <w:noWrap w:val="0"/>
            <w:vAlign w:val="center"/>
          </w:tcPr>
          <w:p w14:paraId="44B5BB6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姓名</w:t>
            </w:r>
          </w:p>
        </w:tc>
        <w:tc>
          <w:tcPr>
            <w:tcW w:w="1134" w:type="dxa"/>
            <w:tcBorders>
              <w:top w:val="single" w:color="auto" w:sz="12" w:space="0"/>
              <w:bottom w:val="double" w:color="auto" w:sz="6" w:space="0"/>
            </w:tcBorders>
            <w:noWrap w:val="0"/>
            <w:vAlign w:val="center"/>
          </w:tcPr>
          <w:p w14:paraId="5505372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职务</w:t>
            </w:r>
          </w:p>
        </w:tc>
        <w:tc>
          <w:tcPr>
            <w:tcW w:w="1134" w:type="dxa"/>
            <w:tcBorders>
              <w:top w:val="single" w:color="auto" w:sz="12" w:space="0"/>
              <w:bottom w:val="double" w:color="auto" w:sz="6" w:space="0"/>
            </w:tcBorders>
            <w:noWrap w:val="0"/>
            <w:vAlign w:val="center"/>
          </w:tcPr>
          <w:p w14:paraId="55C79F1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职称</w:t>
            </w:r>
          </w:p>
        </w:tc>
        <w:tc>
          <w:tcPr>
            <w:tcW w:w="4252" w:type="dxa"/>
            <w:tcBorders>
              <w:top w:val="single" w:color="auto" w:sz="12" w:space="0"/>
              <w:bottom w:val="double" w:color="auto" w:sz="6" w:space="0"/>
            </w:tcBorders>
            <w:noWrap w:val="0"/>
            <w:vAlign w:val="center"/>
          </w:tcPr>
          <w:p w14:paraId="5F62724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主要资历、经验及承担过的项目</w:t>
            </w:r>
          </w:p>
        </w:tc>
      </w:tr>
      <w:tr w14:paraId="048BD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63DCE59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一、总部人员</w:t>
            </w:r>
          </w:p>
        </w:tc>
      </w:tr>
      <w:tr w14:paraId="33AA5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D5C7E1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项目主管</w:t>
            </w:r>
          </w:p>
        </w:tc>
        <w:tc>
          <w:tcPr>
            <w:tcW w:w="1418" w:type="dxa"/>
            <w:tcBorders>
              <w:top w:val="nil"/>
            </w:tcBorders>
            <w:noWrap w:val="0"/>
            <w:vAlign w:val="center"/>
          </w:tcPr>
          <w:p w14:paraId="612FF67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tcBorders>
              <w:top w:val="nil"/>
            </w:tcBorders>
            <w:noWrap w:val="0"/>
            <w:vAlign w:val="center"/>
          </w:tcPr>
          <w:p w14:paraId="74F9952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tcBorders>
              <w:top w:val="nil"/>
            </w:tcBorders>
            <w:noWrap w:val="0"/>
            <w:vAlign w:val="center"/>
          </w:tcPr>
          <w:p w14:paraId="1D82298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tcBorders>
              <w:top w:val="nil"/>
            </w:tcBorders>
            <w:noWrap w:val="0"/>
            <w:vAlign w:val="center"/>
          </w:tcPr>
          <w:p w14:paraId="7860184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A93C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3BE2593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34A1FE1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3E2EB8B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7A14AE1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299B4FB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42E8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FEA281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其他人员</w:t>
            </w:r>
          </w:p>
        </w:tc>
        <w:tc>
          <w:tcPr>
            <w:tcW w:w="1418" w:type="dxa"/>
            <w:noWrap w:val="0"/>
            <w:vAlign w:val="center"/>
          </w:tcPr>
          <w:p w14:paraId="72200BD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6BB0EE6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42F7D26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41A09C1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DFD3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402F37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6831D4F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159D29A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1D652A8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41AF5DD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0F5B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B67D6F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二、现场人员</w:t>
            </w:r>
          </w:p>
        </w:tc>
      </w:tr>
      <w:tr w14:paraId="13367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F16AEC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项目经理</w:t>
            </w:r>
          </w:p>
        </w:tc>
        <w:tc>
          <w:tcPr>
            <w:tcW w:w="1418" w:type="dxa"/>
            <w:noWrap w:val="0"/>
            <w:vAlign w:val="center"/>
          </w:tcPr>
          <w:p w14:paraId="35A801A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4523340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5E277FB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089E2DF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DE17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056BE6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项目副经理</w:t>
            </w:r>
          </w:p>
        </w:tc>
        <w:tc>
          <w:tcPr>
            <w:tcW w:w="1418" w:type="dxa"/>
            <w:noWrap w:val="0"/>
            <w:vAlign w:val="center"/>
          </w:tcPr>
          <w:p w14:paraId="01753FC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63875A3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48D81C8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1D6E8DE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1A05C5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F78FE0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技术负责人</w:t>
            </w:r>
          </w:p>
        </w:tc>
        <w:tc>
          <w:tcPr>
            <w:tcW w:w="1418" w:type="dxa"/>
            <w:noWrap w:val="0"/>
            <w:vAlign w:val="center"/>
          </w:tcPr>
          <w:p w14:paraId="4683AE4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0968B7B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7A7B024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3FBDA2B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D5F2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56B0FD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造价管理</w:t>
            </w:r>
          </w:p>
        </w:tc>
        <w:tc>
          <w:tcPr>
            <w:tcW w:w="1418" w:type="dxa"/>
            <w:noWrap w:val="0"/>
            <w:vAlign w:val="center"/>
          </w:tcPr>
          <w:p w14:paraId="6032E49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52339E7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F7AD93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1E3C1FA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0BF0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20B760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质量管理</w:t>
            </w:r>
          </w:p>
        </w:tc>
        <w:tc>
          <w:tcPr>
            <w:tcW w:w="1418" w:type="dxa"/>
            <w:noWrap w:val="0"/>
            <w:vAlign w:val="center"/>
          </w:tcPr>
          <w:p w14:paraId="38224BB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3392FCA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3FF3B8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5B1AE1D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B1EF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18F126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材料管理</w:t>
            </w:r>
          </w:p>
        </w:tc>
        <w:tc>
          <w:tcPr>
            <w:tcW w:w="1418" w:type="dxa"/>
            <w:noWrap w:val="0"/>
            <w:vAlign w:val="center"/>
          </w:tcPr>
          <w:p w14:paraId="481D170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53EF62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D07059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19E8FA6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28665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895BD8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计划管理</w:t>
            </w:r>
          </w:p>
        </w:tc>
        <w:tc>
          <w:tcPr>
            <w:tcW w:w="1418" w:type="dxa"/>
            <w:noWrap w:val="0"/>
            <w:vAlign w:val="center"/>
          </w:tcPr>
          <w:p w14:paraId="3B55520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DBD77B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7AE81E0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37B2E58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CD8E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767C67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安全管理</w:t>
            </w:r>
          </w:p>
        </w:tc>
        <w:tc>
          <w:tcPr>
            <w:tcW w:w="1418" w:type="dxa"/>
            <w:noWrap w:val="0"/>
            <w:vAlign w:val="center"/>
          </w:tcPr>
          <w:p w14:paraId="050057D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0AC70F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062D22C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0EDFB9A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C3220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3CB88A7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其他人员</w:t>
            </w:r>
          </w:p>
        </w:tc>
        <w:tc>
          <w:tcPr>
            <w:tcW w:w="1418" w:type="dxa"/>
            <w:noWrap w:val="0"/>
            <w:vAlign w:val="center"/>
          </w:tcPr>
          <w:p w14:paraId="05EB864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DF79C5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4D621FC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6C6D60E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1CC80E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456892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tcBorders>
              <w:bottom w:val="nil"/>
            </w:tcBorders>
            <w:noWrap w:val="0"/>
            <w:vAlign w:val="center"/>
          </w:tcPr>
          <w:p w14:paraId="60F9B80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tcBorders>
              <w:bottom w:val="nil"/>
            </w:tcBorders>
            <w:noWrap w:val="0"/>
            <w:vAlign w:val="center"/>
          </w:tcPr>
          <w:p w14:paraId="6ABF999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tcBorders>
              <w:bottom w:val="nil"/>
            </w:tcBorders>
            <w:noWrap w:val="0"/>
            <w:vAlign w:val="center"/>
          </w:tcPr>
          <w:p w14:paraId="01EBDFD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tcBorders>
              <w:bottom w:val="nil"/>
            </w:tcBorders>
            <w:noWrap w:val="0"/>
            <w:vAlign w:val="center"/>
          </w:tcPr>
          <w:p w14:paraId="5F21463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82E9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78F70E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555F593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7B32E31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154C5BA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028799C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4628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4D0537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49318D1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07250E6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A20544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482F7B7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D41F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B0F862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center"/>
          </w:tcPr>
          <w:p w14:paraId="518B45D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4068E4A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noWrap w:val="0"/>
            <w:vAlign w:val="center"/>
          </w:tcPr>
          <w:p w14:paraId="2E6D671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noWrap w:val="0"/>
            <w:vAlign w:val="center"/>
          </w:tcPr>
          <w:p w14:paraId="3727B2D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E0C9B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40F4079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tcBorders>
              <w:bottom w:val="single" w:color="auto" w:sz="12" w:space="0"/>
            </w:tcBorders>
            <w:noWrap w:val="0"/>
            <w:vAlign w:val="center"/>
          </w:tcPr>
          <w:p w14:paraId="009EF6A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tcBorders>
              <w:bottom w:val="single" w:color="auto" w:sz="12" w:space="0"/>
            </w:tcBorders>
            <w:noWrap w:val="0"/>
            <w:vAlign w:val="center"/>
          </w:tcPr>
          <w:p w14:paraId="6EAE497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134" w:type="dxa"/>
            <w:tcBorders>
              <w:bottom w:val="single" w:color="auto" w:sz="12" w:space="0"/>
            </w:tcBorders>
            <w:noWrap w:val="0"/>
            <w:vAlign w:val="center"/>
          </w:tcPr>
          <w:p w14:paraId="6C392AF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252" w:type="dxa"/>
            <w:tcBorders>
              <w:bottom w:val="single" w:color="auto" w:sz="12" w:space="0"/>
            </w:tcBorders>
            <w:noWrap w:val="0"/>
            <w:vAlign w:val="center"/>
          </w:tcPr>
          <w:p w14:paraId="68D6571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bl>
    <w:p w14:paraId="7FE0D84C">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br w:type="page"/>
      </w:r>
      <w:bookmarkStart w:id="1335" w:name="_Toc267261701"/>
      <w:r>
        <w:rPr>
          <w:rFonts w:hint="eastAsia" w:ascii="仿宋" w:hAnsi="仿宋" w:eastAsia="仿宋" w:cs="仿宋"/>
          <w:color w:val="auto"/>
          <w:sz w:val="24"/>
          <w:szCs w:val="24"/>
        </w:rPr>
        <w:t>附</w:t>
      </w:r>
      <w:bookmarkStart w:id="1336" w:name="_Toc296503231"/>
      <w:bookmarkStart w:id="1337" w:name="_Toc296891271"/>
      <w:bookmarkStart w:id="1338" w:name="_Toc296346732"/>
      <w:bookmarkStart w:id="1339" w:name="_Toc296347230"/>
      <w:bookmarkStart w:id="1340" w:name="_Toc296944570"/>
      <w:bookmarkStart w:id="1341" w:name="_Toc296891059"/>
      <w:r>
        <w:rPr>
          <w:rFonts w:hint="eastAsia" w:ascii="仿宋" w:hAnsi="仿宋" w:eastAsia="仿宋" w:cs="仿宋"/>
          <w:color w:val="auto"/>
          <w:sz w:val="24"/>
          <w:szCs w:val="24"/>
        </w:rPr>
        <w:t>件8：</w:t>
      </w:r>
    </w:p>
    <w:bookmarkEnd w:id="1335"/>
    <w:bookmarkEnd w:id="1336"/>
    <w:bookmarkEnd w:id="1337"/>
    <w:bookmarkEnd w:id="1338"/>
    <w:bookmarkEnd w:id="1339"/>
    <w:bookmarkEnd w:id="1340"/>
    <w:bookmarkEnd w:id="1341"/>
    <w:p w14:paraId="22CFE9BC">
      <w:pPr>
        <w:pageBreakBefore w:val="0"/>
        <w:kinsoku/>
        <w:overflowPunct/>
        <w:topLinePunct w:val="0"/>
        <w:bidi w:val="0"/>
        <w:spacing w:before="156" w:beforeLines="50" w:after="156" w:afterLines="5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履约担保</w:t>
      </w:r>
    </w:p>
    <w:p w14:paraId="3F218752">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（发包人名称）：</w:t>
      </w:r>
    </w:p>
    <w:p w14:paraId="140A3E4D">
      <w:pPr>
        <w:pageBreakBefore w:val="0"/>
        <w:kinsoku/>
        <w:overflowPunct/>
        <w:topLinePunct w:val="0"/>
        <w:bidi w:val="0"/>
        <w:spacing w:line="440" w:lineRule="exact"/>
        <w:rPr>
          <w:rFonts w:hint="eastAsia" w:ascii="仿宋" w:hAnsi="仿宋" w:eastAsia="仿宋" w:cs="仿宋"/>
          <w:color w:val="auto"/>
          <w:sz w:val="24"/>
          <w:szCs w:val="24"/>
        </w:rPr>
      </w:pPr>
    </w:p>
    <w:p w14:paraId="6C34F767">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鉴于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（发包人名称，以下简称“发包人”）与</w:t>
      </w:r>
    </w:p>
    <w:p w14:paraId="337D02DB">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（承包人名称）（以下称“承包人”）于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（工程名称）施工及有关事项协商一致共同签订《建设工程施工合同》。我方愿意无条件地、不可撤销地就承包人履行与你方签订的合同，向你方提供连带责任担保。 </w:t>
      </w:r>
    </w:p>
    <w:p w14:paraId="2E6831E9">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担保金额人民币（大写）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EE34479">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担保有效期自你方与承包人签订的合同生效之日起至你方签发或应签发工程接收证书之日止。</w:t>
      </w:r>
    </w:p>
    <w:p w14:paraId="5B7D3E76">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 在本担保有效期内，因承包人违反合同约定的义务给你方造成经济损失时，我方在收到你方以书面形式提出的在担保金额内的赔偿要求后，在7天内无条件支付。</w:t>
      </w:r>
    </w:p>
    <w:p w14:paraId="162764CC">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 你方和承包人按合同约定变更合同时，我方承担本担保规定的义务不变。</w:t>
      </w:r>
    </w:p>
    <w:p w14:paraId="1FCEC9FE">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 因本保函发生的纠纷，可由双方协商解决，协商不成的，任何一方均可提请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仲裁委员会仲裁。</w:t>
      </w:r>
    </w:p>
    <w:p w14:paraId="42C0F52A">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 本保函自我方法定代表人（或其授权代理人）签字并加盖公章之日起生效。</w:t>
      </w:r>
    </w:p>
    <w:p w14:paraId="701A26C3">
      <w:pPr>
        <w:pageBreakBefore w:val="0"/>
        <w:kinsoku/>
        <w:overflowPunct/>
        <w:topLinePunct w:val="0"/>
        <w:bidi w:val="0"/>
        <w:spacing w:line="440" w:lineRule="exact"/>
        <w:rPr>
          <w:rFonts w:hint="eastAsia" w:ascii="仿宋" w:hAnsi="仿宋" w:eastAsia="仿宋" w:cs="仿宋"/>
          <w:color w:val="auto"/>
          <w:sz w:val="24"/>
          <w:szCs w:val="24"/>
        </w:rPr>
      </w:pPr>
    </w:p>
    <w:p w14:paraId="2A2BBE69">
      <w:pPr>
        <w:pageBreakBefore w:val="0"/>
        <w:kinsoku/>
        <w:overflowPunct/>
        <w:topLinePunct w:val="0"/>
        <w:bidi w:val="0"/>
        <w:spacing w:line="440" w:lineRule="exact"/>
        <w:ind w:firstLine="1200" w:firstLineChars="500"/>
        <w:jc w:val="left"/>
        <w:rPr>
          <w:rFonts w:hint="eastAsia" w:ascii="仿宋" w:hAnsi="仿宋" w:eastAsia="仿宋" w:cs="仿宋"/>
          <w:color w:val="auto"/>
          <w:sz w:val="24"/>
          <w:szCs w:val="24"/>
        </w:rPr>
      </w:pPr>
      <w:r>
        <w:rPr>
          <w:rFonts w:hint="eastAsia" w:ascii="仿宋" w:hAnsi="仿宋" w:eastAsia="仿宋" w:cs="仿宋"/>
          <w:color w:val="auto"/>
          <w:sz w:val="24"/>
          <w:szCs w:val="24"/>
        </w:rPr>
        <w:t>担 保 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p>
    <w:p w14:paraId="077CCD27">
      <w:pPr>
        <w:pageBreakBefore w:val="0"/>
        <w:kinsoku/>
        <w:overflowPunct/>
        <w:topLinePunct w:val="0"/>
        <w:bidi w:val="0"/>
        <w:spacing w:line="440" w:lineRule="exact"/>
        <w:ind w:firstLine="1200" w:firstLineChars="500"/>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w:t>
      </w:r>
    </w:p>
    <w:p w14:paraId="2BF70C52">
      <w:pPr>
        <w:pageBreakBefore w:val="0"/>
        <w:kinsoku/>
        <w:overflowPunct/>
        <w:topLinePunct w:val="0"/>
        <w:bidi w:val="0"/>
        <w:spacing w:line="440" w:lineRule="exact"/>
        <w:ind w:firstLine="1200" w:firstLineChars="500"/>
        <w:jc w:val="left"/>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14:paraId="09373683">
      <w:pPr>
        <w:pageBreakBefore w:val="0"/>
        <w:kinsoku/>
        <w:overflowPunct/>
        <w:topLinePunct w:val="0"/>
        <w:bidi w:val="0"/>
        <w:spacing w:line="440" w:lineRule="exact"/>
        <w:ind w:firstLine="1200" w:firstLineChars="500"/>
        <w:jc w:val="left"/>
        <w:rPr>
          <w:rFonts w:hint="eastAsia" w:ascii="仿宋" w:hAnsi="仿宋" w:eastAsia="仿宋" w:cs="仿宋"/>
          <w:color w:val="auto"/>
          <w:sz w:val="24"/>
          <w:szCs w:val="24"/>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 xml:space="preserve">                                      </w:t>
      </w:r>
    </w:p>
    <w:p w14:paraId="66CC9130">
      <w:pPr>
        <w:pageBreakBefore w:val="0"/>
        <w:kinsoku/>
        <w:overflowPunct/>
        <w:topLinePunct w:val="0"/>
        <w:bidi w:val="0"/>
        <w:spacing w:line="440" w:lineRule="exact"/>
        <w:ind w:firstLine="1200" w:firstLineChars="5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rPr>
        <w:t xml:space="preserve">                                      </w:t>
      </w:r>
    </w:p>
    <w:p w14:paraId="6FEAC812">
      <w:pPr>
        <w:pageBreakBefore w:val="0"/>
        <w:kinsoku/>
        <w:overflowPunct/>
        <w:topLinePunct w:val="0"/>
        <w:bidi w:val="0"/>
        <w:spacing w:line="440" w:lineRule="exact"/>
        <w:ind w:firstLine="1200" w:firstLineChars="500"/>
        <w:jc w:val="left"/>
        <w:rPr>
          <w:rFonts w:hint="eastAsia" w:ascii="仿宋" w:hAnsi="仿宋" w:eastAsia="仿宋" w:cs="仿宋"/>
          <w:color w:val="auto"/>
          <w:sz w:val="24"/>
          <w:szCs w:val="24"/>
        </w:rPr>
      </w:pPr>
      <w:r>
        <w:rPr>
          <w:rFonts w:hint="eastAsia" w:ascii="仿宋" w:hAnsi="仿宋" w:eastAsia="仿宋" w:cs="仿宋"/>
          <w:color w:val="auto"/>
          <w:sz w:val="24"/>
          <w:szCs w:val="24"/>
        </w:rPr>
        <w:t>传    真：</w:t>
      </w:r>
      <w:r>
        <w:rPr>
          <w:rFonts w:hint="eastAsia" w:ascii="仿宋" w:hAnsi="仿宋" w:eastAsia="仿宋" w:cs="仿宋"/>
          <w:color w:val="auto"/>
          <w:sz w:val="24"/>
          <w:szCs w:val="24"/>
          <w:u w:val="single"/>
        </w:rPr>
        <w:t xml:space="preserve">                                      </w:t>
      </w:r>
    </w:p>
    <w:p w14:paraId="0142C617">
      <w:pPr>
        <w:pageBreakBefore w:val="0"/>
        <w:kinsoku/>
        <w:overflowPunct/>
        <w:topLinePunct w:val="0"/>
        <w:bidi w:val="0"/>
        <w:spacing w:line="440" w:lineRule="exact"/>
        <w:jc w:val="left"/>
        <w:rPr>
          <w:rFonts w:hint="eastAsia" w:ascii="仿宋" w:hAnsi="仿宋" w:eastAsia="仿宋" w:cs="仿宋"/>
          <w:color w:val="auto"/>
          <w:sz w:val="24"/>
          <w:szCs w:val="24"/>
          <w:u w:val="single"/>
        </w:rPr>
      </w:pPr>
    </w:p>
    <w:p w14:paraId="24A838F9">
      <w:pPr>
        <w:pageBreakBefore w:val="0"/>
        <w:kinsoku/>
        <w:overflowPunct/>
        <w:topLinePunct w:val="0"/>
        <w:bidi w:val="0"/>
        <w:spacing w:line="440" w:lineRule="exact"/>
        <w:ind w:left="1899" w:hanging="1519" w:hangingChars="633"/>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01F69A59">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color w:val="auto"/>
          <w:sz w:val="24"/>
          <w:szCs w:val="24"/>
        </w:rPr>
        <w:t>附</w:t>
      </w:r>
      <w:bookmarkStart w:id="1342" w:name="_Toc267261702"/>
      <w:bookmarkStart w:id="1343" w:name="_Toc296347231"/>
      <w:bookmarkStart w:id="1344" w:name="_Toc296503232"/>
      <w:bookmarkStart w:id="1345" w:name="_Toc296944571"/>
      <w:bookmarkStart w:id="1346" w:name="_Toc296346733"/>
      <w:bookmarkStart w:id="1347" w:name="_Toc296891272"/>
      <w:bookmarkStart w:id="1348" w:name="_Toc296891060"/>
      <w:r>
        <w:rPr>
          <w:rFonts w:hint="eastAsia" w:ascii="仿宋" w:hAnsi="仿宋" w:eastAsia="仿宋" w:cs="仿宋"/>
          <w:color w:val="auto"/>
          <w:sz w:val="24"/>
          <w:szCs w:val="24"/>
        </w:rPr>
        <w:t>件9 ：</w:t>
      </w:r>
    </w:p>
    <w:bookmarkEnd w:id="1342"/>
    <w:bookmarkEnd w:id="1343"/>
    <w:bookmarkEnd w:id="1344"/>
    <w:bookmarkEnd w:id="1345"/>
    <w:bookmarkEnd w:id="1346"/>
    <w:bookmarkEnd w:id="1347"/>
    <w:bookmarkEnd w:id="1348"/>
    <w:p w14:paraId="49F25CF8">
      <w:pPr>
        <w:pageBreakBefore w:val="0"/>
        <w:kinsoku/>
        <w:overflowPunct/>
        <w:topLinePunct w:val="0"/>
        <w:bidi w:val="0"/>
        <w:spacing w:before="156" w:beforeLines="50" w:after="156" w:afterLines="5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预付款担保</w:t>
      </w:r>
    </w:p>
    <w:p w14:paraId="02B289C1">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（发包人名称）：</w:t>
      </w:r>
    </w:p>
    <w:p w14:paraId="32FAAB20">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（承包人名称）（以下称“承包人”）与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（发包人名称）（以下简称“发包人”）</w:t>
      </w:r>
    </w:p>
    <w:p w14:paraId="66FDC4A9">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日签订的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（工程名称）《建设工程施工合同》，承包人按约定的金额向你方提交一份预付款担保，即有权得到你方支付相等金额的预付款。我方愿意就你方提供给承包人的预付款为承包人提供连带责任担保。</w:t>
      </w:r>
    </w:p>
    <w:p w14:paraId="49C6434F">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担保金额人民币（大写）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1B1E850">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 担保有效期自预付款支付给承包人起生效，至你方签发的进度款支付证书说明已完全扣清止。</w:t>
      </w:r>
    </w:p>
    <w:p w14:paraId="6E6C0272">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9A3A91F">
      <w:pPr>
        <w:pageBreakBefore w:val="0"/>
        <w:kinsoku/>
        <w:overflowPunct/>
        <w:topLinePunct w:val="0"/>
        <w:bidi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 你方和承包人按合同约定变更合同时，我方承担本保函规定的义务不变。</w:t>
      </w:r>
    </w:p>
    <w:p w14:paraId="6E0B1798">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 因本保函发生的纠纷，可由双方协商解决，协商不成的，任何一方均可提请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仲裁委员会仲裁。</w:t>
      </w:r>
    </w:p>
    <w:p w14:paraId="4DCC73C8">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 本保函自我方法定代表人（或其授权代理人）签字并加盖公章之日起生效。</w:t>
      </w:r>
    </w:p>
    <w:p w14:paraId="4DBB12EE">
      <w:pPr>
        <w:pageBreakBefore w:val="0"/>
        <w:kinsoku/>
        <w:overflowPunct/>
        <w:topLinePunct w:val="0"/>
        <w:bidi w:val="0"/>
        <w:spacing w:line="440" w:lineRule="exact"/>
        <w:rPr>
          <w:rFonts w:hint="eastAsia" w:ascii="仿宋" w:hAnsi="仿宋" w:eastAsia="仿宋" w:cs="仿宋"/>
          <w:color w:val="auto"/>
          <w:sz w:val="24"/>
          <w:szCs w:val="24"/>
        </w:rPr>
      </w:pPr>
    </w:p>
    <w:p w14:paraId="41BDD8B2">
      <w:pPr>
        <w:pageBreakBefore w:val="0"/>
        <w:kinsoku/>
        <w:overflowPunct/>
        <w:topLinePunct w:val="0"/>
        <w:bidi w:val="0"/>
        <w:spacing w:line="440" w:lineRule="exact"/>
        <w:jc w:val="right"/>
        <w:rPr>
          <w:rFonts w:hint="eastAsia" w:ascii="仿宋" w:hAnsi="仿宋" w:eastAsia="仿宋" w:cs="仿宋"/>
          <w:color w:val="auto"/>
          <w:sz w:val="24"/>
          <w:szCs w:val="24"/>
        </w:rPr>
      </w:pPr>
      <w:r>
        <w:rPr>
          <w:rFonts w:hint="eastAsia" w:ascii="仿宋" w:hAnsi="仿宋" w:eastAsia="仿宋" w:cs="仿宋"/>
          <w:color w:val="auto"/>
          <w:sz w:val="24"/>
          <w:szCs w:val="24"/>
        </w:rPr>
        <w:t>担保人：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（盖单位章）</w:t>
      </w:r>
    </w:p>
    <w:p w14:paraId="3437AE10">
      <w:pPr>
        <w:pageBreakBefore w:val="0"/>
        <w:kinsoku/>
        <w:overflowPunct/>
        <w:topLinePunct w:val="0"/>
        <w:bidi w:val="0"/>
        <w:spacing w:line="440" w:lineRule="exact"/>
        <w:jc w:val="right"/>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w:t>
      </w:r>
    </w:p>
    <w:p w14:paraId="6FE5AF80">
      <w:pPr>
        <w:pageBreakBefore w:val="0"/>
        <w:kinsoku/>
        <w:overflowPunct/>
        <w:topLinePunct w:val="0"/>
        <w:bidi w:val="0"/>
        <w:spacing w:line="440" w:lineRule="exact"/>
        <w:jc w:val="right"/>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1C8E5D44">
      <w:pPr>
        <w:pageBreakBefore w:val="0"/>
        <w:kinsoku/>
        <w:overflowPunct/>
        <w:topLinePunct w:val="0"/>
        <w:bidi w:val="0"/>
        <w:spacing w:line="440" w:lineRule="exact"/>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46FC0F0B">
      <w:pPr>
        <w:pageBreakBefore w:val="0"/>
        <w:kinsoku/>
        <w:overflowPunct/>
        <w:topLinePunct w:val="0"/>
        <w:bidi w:val="0"/>
        <w:spacing w:line="440" w:lineRule="exact"/>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0A909B66">
      <w:pPr>
        <w:pageBreakBefore w:val="0"/>
        <w:kinsoku/>
        <w:overflowPunct/>
        <w:topLinePunct w:val="0"/>
        <w:bidi w:val="0"/>
        <w:spacing w:line="440" w:lineRule="exact"/>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传    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ab/>
      </w:r>
    </w:p>
    <w:p w14:paraId="62382E3D">
      <w:pPr>
        <w:pageBreakBefore w:val="0"/>
        <w:kinsoku/>
        <w:overflowPunct/>
        <w:topLinePunct w:val="0"/>
        <w:bidi w:val="0"/>
        <w:spacing w:line="440" w:lineRule="exact"/>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35D580FB">
      <w:pPr>
        <w:pageBreakBefore w:val="0"/>
        <w:kinsoku/>
        <w:overflowPunct/>
        <w:topLinePunct w:val="0"/>
        <w:bidi w:val="0"/>
        <w:spacing w:line="440" w:lineRule="exact"/>
        <w:jc w:val="right"/>
        <w:rPr>
          <w:rFonts w:hint="eastAsia" w:ascii="仿宋" w:hAnsi="仿宋" w:eastAsia="仿宋" w:cs="仿宋"/>
          <w:color w:val="auto"/>
          <w:sz w:val="24"/>
          <w:szCs w:val="24"/>
          <w:u w:val="single"/>
        </w:rPr>
      </w:pPr>
    </w:p>
    <w:p w14:paraId="22809745">
      <w:pPr>
        <w:pageBreakBefore w:val="0"/>
        <w:kinsoku/>
        <w:overflowPunct/>
        <w:topLinePunct w:val="0"/>
        <w:bidi w:val="0"/>
        <w:spacing w:line="440" w:lineRule="exact"/>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5C4E272F">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b/>
          <w:color w:val="auto"/>
          <w:sz w:val="24"/>
          <w:szCs w:val="24"/>
        </w:rPr>
        <w:br w:type="page"/>
      </w:r>
      <w:r>
        <w:rPr>
          <w:rFonts w:hint="eastAsia" w:ascii="仿宋" w:hAnsi="仿宋" w:eastAsia="仿宋" w:cs="仿宋"/>
          <w:color w:val="auto"/>
          <w:sz w:val="24"/>
          <w:szCs w:val="24"/>
        </w:rPr>
        <w:t>附</w:t>
      </w:r>
      <w:bookmarkStart w:id="1349" w:name="_Toc296347232"/>
      <w:bookmarkStart w:id="1350" w:name="_Toc296891273"/>
      <w:bookmarkStart w:id="1351" w:name="_Toc296891061"/>
      <w:bookmarkStart w:id="1352" w:name="_Toc296944572"/>
      <w:bookmarkStart w:id="1353" w:name="_Toc296503233"/>
      <w:bookmarkStart w:id="1354" w:name="_Toc296346734"/>
      <w:r>
        <w:rPr>
          <w:rFonts w:hint="eastAsia" w:ascii="仿宋" w:hAnsi="仿宋" w:eastAsia="仿宋" w:cs="仿宋"/>
          <w:color w:val="auto"/>
          <w:sz w:val="24"/>
          <w:szCs w:val="24"/>
        </w:rPr>
        <w:t xml:space="preserve">件10:  </w:t>
      </w:r>
    </w:p>
    <w:bookmarkEnd w:id="1349"/>
    <w:bookmarkEnd w:id="1350"/>
    <w:bookmarkEnd w:id="1351"/>
    <w:bookmarkEnd w:id="1352"/>
    <w:bookmarkEnd w:id="1353"/>
    <w:bookmarkEnd w:id="1354"/>
    <w:p w14:paraId="0BBC23D8">
      <w:pPr>
        <w:pageBreakBefore w:val="0"/>
        <w:kinsoku/>
        <w:overflowPunct/>
        <w:topLinePunct w:val="0"/>
        <w:bidi w:val="0"/>
        <w:spacing w:before="156" w:beforeLines="50" w:after="156" w:afterLines="5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支付担保</w:t>
      </w:r>
    </w:p>
    <w:p w14:paraId="42C0D00D">
      <w:pPr>
        <w:pageBreakBefore w:val="0"/>
        <w:kinsoku/>
        <w:overflowPunct/>
        <w:topLinePunct w:val="0"/>
        <w:bidi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（承包人）：</w:t>
      </w:r>
    </w:p>
    <w:p w14:paraId="75EDCD1C">
      <w:pPr>
        <w:pageBreakBefore w:val="0"/>
        <w:kinsoku/>
        <w:overflowPunct/>
        <w:topLinePunct w:val="0"/>
        <w:bidi w:val="0"/>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鉴于你方作为承包人已经与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（发包人名称）（以下称“发包人”）于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日签订了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（工程名称）《建设工程施工合同》（以下称“主合同”），应发包人的申请，我方愿就发包人履行主合同约定的工程款支付义务以保证的方式向你方提供如下担保：</w:t>
      </w:r>
    </w:p>
    <w:p w14:paraId="21D77181">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一、保证的范围及保证金额</w:t>
      </w:r>
    </w:p>
    <w:p w14:paraId="2639237C">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1. 我方的保证范围是主合同约定的工程款。</w:t>
      </w:r>
    </w:p>
    <w:p w14:paraId="354951DA">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2. 本保函所称主合同约定的工程款是指主合同约定的除工程质量保证金以外的合同价款。</w:t>
      </w:r>
    </w:p>
    <w:p w14:paraId="25056816">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3. 我方保证的金额是主合同约定的工程款的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%，数额最高不超过人民币元（大写：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8559562">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二、保证的方式及保证期间</w:t>
      </w:r>
    </w:p>
    <w:p w14:paraId="09DD757D">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1. 我方保证的方式为：连带责任保证。</w:t>
      </w:r>
    </w:p>
    <w:p w14:paraId="08C44205">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2. 我方保证的期间为：自本合同生效之日起至主合同约定的工程款支付完毕之日后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日内。</w:t>
      </w:r>
    </w:p>
    <w:p w14:paraId="150E74B4">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3. 你方与发包人协议变更工程款支付日期的，经我方书面同意后，保证期间按照变更后的支付日期做相应调整。</w:t>
      </w:r>
    </w:p>
    <w:p w14:paraId="08E02C48">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三、承担保证责任的形式</w:t>
      </w:r>
    </w:p>
    <w:p w14:paraId="65F32DA8">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我方承担保证责任的形式是代为支付。发包人未按主合同约定向你方支付工程款的，由我方在保证金额内代为支付。</w:t>
      </w:r>
    </w:p>
    <w:p w14:paraId="422C97E6">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四、代偿的安排</w:t>
      </w:r>
    </w:p>
    <w:p w14:paraId="23FA9180">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1. 你方要求我方承担保证责任的，应向我方发出书面索赔通知及发包人未支付主合同约定工程款的证明材料。索赔通知应写明要求索赔的金额，支付款项应到达的账号。</w:t>
      </w:r>
    </w:p>
    <w:p w14:paraId="3F9B8783">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14:paraId="574B1255">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3. 我方收到你方的书面索赔通知及相应的证明材料后７天内无条件支付。</w:t>
      </w:r>
    </w:p>
    <w:p w14:paraId="6CA17973">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五、保证责任的解除</w:t>
      </w:r>
    </w:p>
    <w:p w14:paraId="501387E8">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1. 在本保函承诺的保证期间内，你方未书面向我方主张保证责任的，自保证期间届满次日起，我方保证责任解除。</w:t>
      </w:r>
    </w:p>
    <w:p w14:paraId="28B70466">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2. 发包人按主合同约定履行了工程款的全部支付义务的，自本保函承诺的保证期间届满次日起，我方保证责任解除。</w:t>
      </w:r>
    </w:p>
    <w:p w14:paraId="30050F39">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3. 我方按照本保函向你方履行保证责任所支付金额达到本保函保证金额时，自我方向你方支付（支付款项从我方账户划出）之日起，保证责任即解除。</w:t>
      </w:r>
    </w:p>
    <w:p w14:paraId="51D80AB4">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4. 按照法律法规的规定或出现应解除我方保证责任的其他情形的，我方在本保函项下的保证责任亦解除。</w:t>
      </w:r>
    </w:p>
    <w:p w14:paraId="370A1CF5">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5. 我方解除保证责任后，你方应自我方保证责任解除之日起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个工作日内，将本保函原件返还我方。</w:t>
      </w:r>
    </w:p>
    <w:p w14:paraId="4AAC3E80">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六、免责条款</w:t>
      </w:r>
    </w:p>
    <w:p w14:paraId="61FF05A3">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1. 因你方违约致使发包人不能履行义务的，我方不承担保证责任。</w:t>
      </w:r>
    </w:p>
    <w:p w14:paraId="4B415A3C">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2. 依照法律法规的规定或你方与发包人的另行约定，免除发包人部分或全部义务的，我方亦免除其相应的保证责任。</w:t>
      </w:r>
    </w:p>
    <w:p w14:paraId="4E6BA230">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14:paraId="5C09A06F">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4. 因不可抗力造成发包人不能履行义务的，我方不承担保证责任。</w:t>
      </w:r>
    </w:p>
    <w:p w14:paraId="435F23E7">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七、争议解决</w:t>
      </w:r>
    </w:p>
    <w:p w14:paraId="4D95AE69">
      <w:pPr>
        <w:pageBreakBefore w:val="0"/>
        <w:kinsoku/>
        <w:overflowPunct/>
        <w:topLinePunct w:val="0"/>
        <w:bidi w:val="0"/>
        <w:spacing w:after="120" w:line="440" w:lineRule="exact"/>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因本保函或本保函相关事项发生的纠纷，可由双方协商解决，协商不成的，按下列第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种方式解决：</w:t>
      </w:r>
    </w:p>
    <w:p w14:paraId="02146701">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（1）向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仲裁委员会申请仲裁；</w:t>
      </w:r>
    </w:p>
    <w:p w14:paraId="046DA5E7">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（2）向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人民法院起诉。</w:t>
      </w:r>
    </w:p>
    <w:p w14:paraId="332ED540">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八、保函的生效</w:t>
      </w:r>
    </w:p>
    <w:p w14:paraId="1A2A6EF6">
      <w:pPr>
        <w:pageBreakBefore w:val="0"/>
        <w:kinsoku/>
        <w:overflowPunct/>
        <w:topLinePunct w:val="0"/>
        <w:bidi w:val="0"/>
        <w:spacing w:line="440" w:lineRule="exact"/>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本保函自我方法定代表人（或其授权代理人）签字并加盖公章之日起生效。</w:t>
      </w:r>
    </w:p>
    <w:p w14:paraId="2E99DBEC">
      <w:pPr>
        <w:pageBreakBefore w:val="0"/>
        <w:kinsoku/>
        <w:overflowPunct/>
        <w:topLinePunct w:val="0"/>
        <w:bidi w:val="0"/>
        <w:spacing w:line="440" w:lineRule="exact"/>
        <w:ind w:right="6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担保人：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（盖章）</w:t>
      </w:r>
    </w:p>
    <w:p w14:paraId="7B364374">
      <w:pPr>
        <w:pageBreakBefore w:val="0"/>
        <w:kinsoku/>
        <w:overflowPunct/>
        <w:topLinePunct w:val="0"/>
        <w:bidi w:val="0"/>
        <w:spacing w:line="440" w:lineRule="exact"/>
        <w:ind w:right="1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w:t>
      </w:r>
    </w:p>
    <w:p w14:paraId="083FB4CD">
      <w:pPr>
        <w:pageBreakBefore w:val="0"/>
        <w:kinsoku/>
        <w:overflowPunct/>
        <w:topLinePunct w:val="0"/>
        <w:bidi w:val="0"/>
        <w:spacing w:line="440" w:lineRule="exact"/>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14:paraId="0ED2C5A0">
      <w:pPr>
        <w:pageBreakBefore w:val="0"/>
        <w:kinsoku/>
        <w:overflowPunct/>
        <w:topLinePunct w:val="0"/>
        <w:bidi w:val="0"/>
        <w:spacing w:line="440" w:lineRule="exact"/>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 xml:space="preserve">                                        </w:t>
      </w:r>
    </w:p>
    <w:p w14:paraId="7974EF02">
      <w:pPr>
        <w:pageBreakBefore w:val="0"/>
        <w:kinsoku/>
        <w:overflowPunct/>
        <w:topLinePunct w:val="0"/>
        <w:bidi w:val="0"/>
        <w:spacing w:line="440" w:lineRule="exact"/>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传    真：</w:t>
      </w:r>
      <w:r>
        <w:rPr>
          <w:rFonts w:hint="eastAsia" w:ascii="仿宋" w:hAnsi="仿宋" w:eastAsia="仿宋" w:cs="仿宋"/>
          <w:color w:val="auto"/>
          <w:sz w:val="24"/>
          <w:szCs w:val="24"/>
          <w:u w:val="single"/>
        </w:rPr>
        <w:t xml:space="preserve">                                        </w:t>
      </w:r>
    </w:p>
    <w:p w14:paraId="47A151A6">
      <w:pPr>
        <w:pageBreakBefore w:val="0"/>
        <w:kinsoku/>
        <w:overflowPunct/>
        <w:topLinePunct w:val="0"/>
        <w:bidi w:val="0"/>
        <w:spacing w:line="440" w:lineRule="exact"/>
        <w:ind w:right="150" w:firstLine="480" w:firstLineChars="200"/>
        <w:jc w:val="left"/>
        <w:outlineLvl w:val="9"/>
        <w:rPr>
          <w:rFonts w:hint="eastAsia" w:ascii="仿宋" w:hAnsi="仿宋" w:eastAsia="仿宋" w:cs="仿宋"/>
          <w:color w:val="auto"/>
          <w:sz w:val="24"/>
          <w:szCs w:val="24"/>
          <w:u w:val="single"/>
        </w:rPr>
      </w:pPr>
    </w:p>
    <w:p w14:paraId="691CA0AF">
      <w:pPr>
        <w:pageBreakBefore w:val="0"/>
        <w:kinsoku/>
        <w:overflowPunct/>
        <w:topLinePunct w:val="0"/>
        <w:bidi w:val="0"/>
        <w:spacing w:line="440" w:lineRule="exact"/>
        <w:ind w:right="150"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32EFEB26">
      <w:pPr>
        <w:pageBreakBefore w:val="0"/>
        <w:kinsoku/>
        <w:overflowPunct/>
        <w:topLinePunct w:val="0"/>
        <w:bidi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color w:val="auto"/>
          <w:sz w:val="24"/>
          <w:szCs w:val="24"/>
        </w:rPr>
        <w:t>附件11：</w:t>
      </w:r>
    </w:p>
    <w:p w14:paraId="50009516">
      <w:pPr>
        <w:pageBreakBefore w:val="0"/>
        <w:kinsoku/>
        <w:overflowPunct/>
        <w:topLinePunct w:val="0"/>
        <w:bidi w:val="0"/>
        <w:spacing w:before="156" w:beforeLines="50" w:after="156" w:afterLines="50" w:line="4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11-1：材料暂估价表</w:t>
      </w:r>
    </w:p>
    <w:tbl>
      <w:tblPr>
        <w:tblStyle w:val="20"/>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BEDB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7E06840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序号</w:t>
            </w:r>
          </w:p>
        </w:tc>
        <w:tc>
          <w:tcPr>
            <w:tcW w:w="1984" w:type="dxa"/>
            <w:tcBorders>
              <w:top w:val="single" w:color="auto" w:sz="12" w:space="0"/>
              <w:bottom w:val="double" w:color="auto" w:sz="6" w:space="0"/>
            </w:tcBorders>
            <w:noWrap w:val="0"/>
            <w:vAlign w:val="top"/>
          </w:tcPr>
          <w:p w14:paraId="672BDEA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名称</w:t>
            </w:r>
          </w:p>
        </w:tc>
        <w:tc>
          <w:tcPr>
            <w:tcW w:w="851" w:type="dxa"/>
            <w:tcBorders>
              <w:top w:val="single" w:color="auto" w:sz="12" w:space="0"/>
              <w:bottom w:val="double" w:color="auto" w:sz="6" w:space="0"/>
            </w:tcBorders>
            <w:noWrap w:val="0"/>
            <w:vAlign w:val="top"/>
          </w:tcPr>
          <w:p w14:paraId="1B5C7DE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单位</w:t>
            </w:r>
          </w:p>
        </w:tc>
        <w:tc>
          <w:tcPr>
            <w:tcW w:w="774" w:type="dxa"/>
            <w:tcBorders>
              <w:top w:val="single" w:color="auto" w:sz="12" w:space="0"/>
              <w:bottom w:val="double" w:color="auto" w:sz="6" w:space="0"/>
            </w:tcBorders>
            <w:noWrap w:val="0"/>
            <w:vAlign w:val="top"/>
          </w:tcPr>
          <w:p w14:paraId="2DA5BA3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数量</w:t>
            </w:r>
          </w:p>
        </w:tc>
        <w:tc>
          <w:tcPr>
            <w:tcW w:w="1352" w:type="dxa"/>
            <w:tcBorders>
              <w:top w:val="single" w:color="auto" w:sz="12" w:space="0"/>
              <w:bottom w:val="double" w:color="auto" w:sz="6" w:space="0"/>
            </w:tcBorders>
            <w:noWrap w:val="0"/>
            <w:vAlign w:val="top"/>
          </w:tcPr>
          <w:p w14:paraId="75E5E10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单价（元）</w:t>
            </w:r>
          </w:p>
        </w:tc>
        <w:tc>
          <w:tcPr>
            <w:tcW w:w="1418" w:type="dxa"/>
            <w:tcBorders>
              <w:top w:val="single" w:color="auto" w:sz="12" w:space="0"/>
              <w:bottom w:val="double" w:color="auto" w:sz="6" w:space="0"/>
            </w:tcBorders>
            <w:noWrap w:val="0"/>
            <w:vAlign w:val="top"/>
          </w:tcPr>
          <w:p w14:paraId="09A6291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合价（元）</w:t>
            </w:r>
          </w:p>
        </w:tc>
        <w:tc>
          <w:tcPr>
            <w:tcW w:w="1701" w:type="dxa"/>
            <w:tcBorders>
              <w:top w:val="single" w:color="auto" w:sz="12" w:space="0"/>
              <w:bottom w:val="double" w:color="auto" w:sz="6" w:space="0"/>
            </w:tcBorders>
            <w:noWrap w:val="0"/>
            <w:vAlign w:val="top"/>
          </w:tcPr>
          <w:p w14:paraId="13DD333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备注</w:t>
            </w:r>
          </w:p>
        </w:tc>
      </w:tr>
      <w:tr w14:paraId="22D0E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3E653B0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tcBorders>
              <w:top w:val="double" w:color="auto" w:sz="6" w:space="0"/>
              <w:bottom w:val="single" w:color="auto" w:sz="6" w:space="0"/>
            </w:tcBorders>
            <w:noWrap w:val="0"/>
            <w:vAlign w:val="top"/>
          </w:tcPr>
          <w:p w14:paraId="586D896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double" w:color="auto" w:sz="6" w:space="0"/>
              <w:bottom w:val="single" w:color="auto" w:sz="6" w:space="0"/>
            </w:tcBorders>
            <w:noWrap w:val="0"/>
            <w:vAlign w:val="top"/>
          </w:tcPr>
          <w:p w14:paraId="548CD1E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tcBorders>
              <w:top w:val="double" w:color="auto" w:sz="6" w:space="0"/>
              <w:bottom w:val="single" w:color="auto" w:sz="6" w:space="0"/>
            </w:tcBorders>
            <w:noWrap w:val="0"/>
            <w:vAlign w:val="top"/>
          </w:tcPr>
          <w:p w14:paraId="447E825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tcBorders>
              <w:top w:val="double" w:color="auto" w:sz="6" w:space="0"/>
              <w:bottom w:val="single" w:color="auto" w:sz="6" w:space="0"/>
            </w:tcBorders>
            <w:noWrap w:val="0"/>
            <w:vAlign w:val="top"/>
          </w:tcPr>
          <w:p w14:paraId="2BE51A4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tcBorders>
              <w:top w:val="double" w:color="auto" w:sz="6" w:space="0"/>
              <w:bottom w:val="single" w:color="auto" w:sz="6" w:space="0"/>
            </w:tcBorders>
            <w:noWrap w:val="0"/>
            <w:vAlign w:val="top"/>
          </w:tcPr>
          <w:p w14:paraId="36371BE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tcBorders>
              <w:top w:val="double" w:color="auto" w:sz="6" w:space="0"/>
              <w:bottom w:val="single" w:color="auto" w:sz="6" w:space="0"/>
            </w:tcBorders>
            <w:noWrap w:val="0"/>
            <w:vAlign w:val="top"/>
          </w:tcPr>
          <w:p w14:paraId="5C146DC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92D7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4683EFD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tcBorders>
              <w:top w:val="nil"/>
            </w:tcBorders>
            <w:noWrap w:val="0"/>
            <w:vAlign w:val="top"/>
          </w:tcPr>
          <w:p w14:paraId="6200068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nil"/>
            </w:tcBorders>
            <w:noWrap w:val="0"/>
            <w:vAlign w:val="top"/>
          </w:tcPr>
          <w:p w14:paraId="6E8B652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tcBorders>
              <w:top w:val="nil"/>
            </w:tcBorders>
            <w:noWrap w:val="0"/>
            <w:vAlign w:val="top"/>
          </w:tcPr>
          <w:p w14:paraId="6CA6718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tcBorders>
              <w:top w:val="nil"/>
            </w:tcBorders>
            <w:noWrap w:val="0"/>
            <w:vAlign w:val="top"/>
          </w:tcPr>
          <w:p w14:paraId="7E0AC68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tcBorders>
              <w:top w:val="nil"/>
            </w:tcBorders>
            <w:noWrap w:val="0"/>
            <w:vAlign w:val="top"/>
          </w:tcPr>
          <w:p w14:paraId="54E6816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tcBorders>
              <w:top w:val="nil"/>
            </w:tcBorders>
            <w:noWrap w:val="0"/>
            <w:vAlign w:val="top"/>
          </w:tcPr>
          <w:p w14:paraId="0B794A9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8C7C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C5E619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6243AA6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03ADDBF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2CE4834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6A8DAF6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2329C95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2B4E29B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B51D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587F6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A6FC19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3C39B9D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57AA8E1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5C3EF32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4760099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3F027E9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7B06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929355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685F89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69CEE26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7738997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5C26C76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21AC820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74A1094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1F857B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CBFE4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51BD742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11F8392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0253947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30B43D7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72F4CBA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59B4748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E876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9194C9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01A56B2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18651F3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1B77D03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185B644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67431A0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6060536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5B01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B414BB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00678C8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13F091E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79933AC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4A70F13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4B3FB80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07BD637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E428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7B1D1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2FD3DEE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0A734DA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166D2CA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2EED956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61DB04C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57B00AA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C414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9A5C87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238C80B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26421E0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6F27FB2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3BA47C6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5DF8FA3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65F3708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BBF3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CEA68C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04AAB49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71B8FAA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7BB6363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5EA60CB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54B2CC0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4102481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D57E8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7E75AA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0EEAF07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47DC29D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0E8C648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271A43C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4EF5B91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15FA115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2393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B2BC2A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7D19841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4BA037D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075C32C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3BE027A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50C66D3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097683A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208A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AA171D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E95017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57CE897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4617F35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211AEBE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2799CEC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478E6B4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5138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C22380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2EF475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08FC14D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6AE2BF2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5C69A51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0545DFE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093F4B2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A728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3F452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3F22F83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273457A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08A5B09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1BFEC3A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48F61B8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3A59B81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8741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14FEE6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07F705F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5CAF959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36F9170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1AF1AEF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7CBE904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2B896D5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EEDB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261E7E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7B9D886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612C04B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16E7127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26AD695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756E739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06F0106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B502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88EAB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3BDF5A6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268B538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68AFDC3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218FB8A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1E2BD86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6C481AE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43191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7EDEAC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3EB1723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1EE1831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621BF9A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72F0449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742BFBE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1C91CF2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7FAA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E88966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6BC5A9C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3CAB09F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1823F6F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0F9AC60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230A1DE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303FA98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DBD8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FDCBDD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176BF39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7EB4AC2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7499BD2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4BD39C3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12849A3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5EFDD3C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9E0C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F67E0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62FC46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108FF11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1931B70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01AB154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5134D2D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58FEBF6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3709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6C1624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031AA80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0F34BB8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3FCEB88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52CD847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4A69E1E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6FCE913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234F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0D6AB5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50B4BF1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5EFCAEC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4986FC1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42F8A9C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420E2ED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5064D1E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bl>
    <w:p w14:paraId="6AF7F1ED">
      <w:pPr>
        <w:pageBreakBefore w:val="0"/>
        <w:kinsoku/>
        <w:overflowPunct/>
        <w:topLinePunct w:val="0"/>
        <w:bidi w:val="0"/>
        <w:spacing w:before="156" w:beforeLines="50" w:after="156" w:afterLines="50" w:line="440" w:lineRule="exact"/>
        <w:rPr>
          <w:rFonts w:hint="eastAsia" w:ascii="仿宋" w:hAnsi="仿宋" w:eastAsia="仿宋" w:cs="仿宋"/>
          <w:color w:val="auto"/>
          <w:sz w:val="24"/>
          <w:szCs w:val="24"/>
        </w:rPr>
      </w:pPr>
    </w:p>
    <w:p w14:paraId="48C2FC93">
      <w:pPr>
        <w:pStyle w:val="2"/>
        <w:rPr>
          <w:rFonts w:hint="eastAsia"/>
          <w:color w:val="auto"/>
        </w:rPr>
      </w:pPr>
    </w:p>
    <w:p w14:paraId="1760CDC0">
      <w:pPr>
        <w:pageBreakBefore w:val="0"/>
        <w:kinsoku/>
        <w:overflowPunct/>
        <w:topLinePunct w:val="0"/>
        <w:bidi w:val="0"/>
        <w:spacing w:before="156" w:beforeLines="50" w:after="156" w:afterLines="5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11-2：工程设备暂估价表</w:t>
      </w:r>
    </w:p>
    <w:tbl>
      <w:tblPr>
        <w:tblStyle w:val="20"/>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3B79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69C161A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序号</w:t>
            </w:r>
          </w:p>
        </w:tc>
        <w:tc>
          <w:tcPr>
            <w:tcW w:w="1984" w:type="dxa"/>
            <w:tcBorders>
              <w:top w:val="single" w:color="auto" w:sz="12" w:space="0"/>
              <w:bottom w:val="double" w:color="auto" w:sz="6" w:space="0"/>
            </w:tcBorders>
            <w:noWrap w:val="0"/>
            <w:vAlign w:val="top"/>
          </w:tcPr>
          <w:p w14:paraId="06CE1D0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名称</w:t>
            </w:r>
          </w:p>
        </w:tc>
        <w:tc>
          <w:tcPr>
            <w:tcW w:w="851" w:type="dxa"/>
            <w:tcBorders>
              <w:top w:val="single" w:color="auto" w:sz="12" w:space="0"/>
              <w:bottom w:val="double" w:color="auto" w:sz="6" w:space="0"/>
            </w:tcBorders>
            <w:noWrap w:val="0"/>
            <w:vAlign w:val="top"/>
          </w:tcPr>
          <w:p w14:paraId="3B356AA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单位</w:t>
            </w:r>
          </w:p>
        </w:tc>
        <w:tc>
          <w:tcPr>
            <w:tcW w:w="774" w:type="dxa"/>
            <w:tcBorders>
              <w:top w:val="single" w:color="auto" w:sz="12" w:space="0"/>
              <w:bottom w:val="double" w:color="auto" w:sz="6" w:space="0"/>
            </w:tcBorders>
            <w:noWrap w:val="0"/>
            <w:vAlign w:val="top"/>
          </w:tcPr>
          <w:p w14:paraId="515D3D7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数量</w:t>
            </w:r>
          </w:p>
        </w:tc>
        <w:tc>
          <w:tcPr>
            <w:tcW w:w="1352" w:type="dxa"/>
            <w:tcBorders>
              <w:top w:val="single" w:color="auto" w:sz="12" w:space="0"/>
              <w:bottom w:val="double" w:color="auto" w:sz="6" w:space="0"/>
            </w:tcBorders>
            <w:noWrap w:val="0"/>
            <w:vAlign w:val="top"/>
          </w:tcPr>
          <w:p w14:paraId="52F1D7F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单价（元）</w:t>
            </w:r>
          </w:p>
        </w:tc>
        <w:tc>
          <w:tcPr>
            <w:tcW w:w="1418" w:type="dxa"/>
            <w:tcBorders>
              <w:top w:val="single" w:color="auto" w:sz="12" w:space="0"/>
              <w:bottom w:val="double" w:color="auto" w:sz="6" w:space="0"/>
            </w:tcBorders>
            <w:noWrap w:val="0"/>
            <w:vAlign w:val="top"/>
          </w:tcPr>
          <w:p w14:paraId="57488E3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合价（元）</w:t>
            </w:r>
          </w:p>
        </w:tc>
        <w:tc>
          <w:tcPr>
            <w:tcW w:w="1701" w:type="dxa"/>
            <w:tcBorders>
              <w:top w:val="single" w:color="auto" w:sz="12" w:space="0"/>
              <w:bottom w:val="double" w:color="auto" w:sz="6" w:space="0"/>
            </w:tcBorders>
            <w:noWrap w:val="0"/>
            <w:vAlign w:val="top"/>
          </w:tcPr>
          <w:p w14:paraId="0D1EEDA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备注</w:t>
            </w:r>
          </w:p>
        </w:tc>
      </w:tr>
      <w:tr w14:paraId="4F55A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5F8337B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tcBorders>
              <w:top w:val="double" w:color="auto" w:sz="6" w:space="0"/>
              <w:bottom w:val="single" w:color="auto" w:sz="6" w:space="0"/>
            </w:tcBorders>
            <w:noWrap w:val="0"/>
            <w:vAlign w:val="top"/>
          </w:tcPr>
          <w:p w14:paraId="152B312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double" w:color="auto" w:sz="6" w:space="0"/>
              <w:bottom w:val="single" w:color="auto" w:sz="6" w:space="0"/>
            </w:tcBorders>
            <w:noWrap w:val="0"/>
            <w:vAlign w:val="top"/>
          </w:tcPr>
          <w:p w14:paraId="79ADD30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tcBorders>
              <w:top w:val="double" w:color="auto" w:sz="6" w:space="0"/>
              <w:bottom w:val="single" w:color="auto" w:sz="6" w:space="0"/>
            </w:tcBorders>
            <w:noWrap w:val="0"/>
            <w:vAlign w:val="top"/>
          </w:tcPr>
          <w:p w14:paraId="21D0D97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tcBorders>
              <w:top w:val="double" w:color="auto" w:sz="6" w:space="0"/>
              <w:bottom w:val="single" w:color="auto" w:sz="6" w:space="0"/>
            </w:tcBorders>
            <w:noWrap w:val="0"/>
            <w:vAlign w:val="top"/>
          </w:tcPr>
          <w:p w14:paraId="0D1AF7B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tcBorders>
              <w:top w:val="double" w:color="auto" w:sz="6" w:space="0"/>
              <w:bottom w:val="single" w:color="auto" w:sz="6" w:space="0"/>
            </w:tcBorders>
            <w:noWrap w:val="0"/>
            <w:vAlign w:val="top"/>
          </w:tcPr>
          <w:p w14:paraId="1547341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tcBorders>
              <w:top w:val="double" w:color="auto" w:sz="6" w:space="0"/>
              <w:bottom w:val="single" w:color="auto" w:sz="6" w:space="0"/>
            </w:tcBorders>
            <w:noWrap w:val="0"/>
            <w:vAlign w:val="top"/>
          </w:tcPr>
          <w:p w14:paraId="7846193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8BDC2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14237E3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tcBorders>
              <w:top w:val="nil"/>
            </w:tcBorders>
            <w:noWrap w:val="0"/>
            <w:vAlign w:val="top"/>
          </w:tcPr>
          <w:p w14:paraId="7EFE361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tcBorders>
              <w:top w:val="nil"/>
            </w:tcBorders>
            <w:noWrap w:val="0"/>
            <w:vAlign w:val="top"/>
          </w:tcPr>
          <w:p w14:paraId="63285E0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tcBorders>
              <w:top w:val="nil"/>
            </w:tcBorders>
            <w:noWrap w:val="0"/>
            <w:vAlign w:val="top"/>
          </w:tcPr>
          <w:p w14:paraId="35FCB7C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tcBorders>
              <w:top w:val="nil"/>
            </w:tcBorders>
            <w:noWrap w:val="0"/>
            <w:vAlign w:val="top"/>
          </w:tcPr>
          <w:p w14:paraId="0A5F46E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tcBorders>
              <w:top w:val="nil"/>
            </w:tcBorders>
            <w:noWrap w:val="0"/>
            <w:vAlign w:val="top"/>
          </w:tcPr>
          <w:p w14:paraId="3B7E61D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tcBorders>
              <w:top w:val="nil"/>
            </w:tcBorders>
            <w:noWrap w:val="0"/>
            <w:vAlign w:val="top"/>
          </w:tcPr>
          <w:p w14:paraId="429170A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45BD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FA4097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F371F4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4E66BE2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13A8100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112BCF8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02F7C1D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2D0EE9F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5C86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B98F05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766A709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3B832F5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4817EA0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4A38035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6960870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20F6F25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46E2A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79F27F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282DAC7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75F06CE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687ECC6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68E6D1B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7956E31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4749A6F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76A1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95C09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52978CF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672DF85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3D08680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3C0E0FB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63664AB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17FCCAD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A28F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687CEA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37BF7DD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083C4EB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3FDDEE9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162C27D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5BDF4AE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33CD7A7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4F58B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4FF2E8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10715F4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432AB8B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331C4AE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7BF6286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51C4F24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136CE27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8526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25C272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7579A49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67E6AA4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4C7E38C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570FF37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2380A6A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719D2E4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C3F84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7F6F2E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190576E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66FB21A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494FA37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6BF30F3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34F3122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5C43C56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589B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EC3BB4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18295A8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459DC3C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3A758F1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5EB77B6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3FCD91D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1D47951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44E2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180078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2E6A152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285D2FF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5AD2AB2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76926D0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336D25D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5141693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5E1C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DE70E2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74C5122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5622F18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63EB82D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079006E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191D960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0C98BA5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691D2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7F6A5D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FC3AF4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47235E4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6B40863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1E085E9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70DC628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61F6395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13816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4552C9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5C18AA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432C4FA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384E77E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0EC5F54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03EEF53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2AFA7DB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17EF2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570040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5EE0FB7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183D4ED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2C9A77B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20842B3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22D204E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70194DF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EA9D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80FD4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365B0BF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2687E18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2874E4D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6F1B71E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3A4D77E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0B0CD3C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1001D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E7E2C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534371F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538D59E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31E9275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150B1E1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74E4CEE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58F4825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79210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ECD4D9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EF7D8E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57E1042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0E28E6E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561EF20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5A00FA4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092914B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9C4B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441566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7662759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621E47B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3FD6E49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6CBDE41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281AAEE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39D2A2F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DE90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69F32A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83A175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5808AC9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58A580A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70D8284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7C4B4EC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355791A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DC55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FD879E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3AFEE0B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4B4200A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4616B21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25C2AAC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603468F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77EF36A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6C86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A2BF1D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78C5EC5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2728A0A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48DAED4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1380735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23B09FD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358837D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9C85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BFB33A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C4A419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1CD23D7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6A6C1E9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6AC0F95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19EB4D5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0A16DDF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A07D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061786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08B9B6D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851" w:type="dxa"/>
            <w:noWrap w:val="0"/>
            <w:vAlign w:val="top"/>
          </w:tcPr>
          <w:p w14:paraId="471E86B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774" w:type="dxa"/>
            <w:noWrap w:val="0"/>
            <w:vAlign w:val="top"/>
          </w:tcPr>
          <w:p w14:paraId="504F991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352" w:type="dxa"/>
            <w:noWrap w:val="0"/>
            <w:vAlign w:val="top"/>
          </w:tcPr>
          <w:p w14:paraId="1A41938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418" w:type="dxa"/>
            <w:noWrap w:val="0"/>
            <w:vAlign w:val="top"/>
          </w:tcPr>
          <w:p w14:paraId="165AD8D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701" w:type="dxa"/>
            <w:noWrap w:val="0"/>
            <w:vAlign w:val="top"/>
          </w:tcPr>
          <w:p w14:paraId="1B71FEB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bl>
    <w:p w14:paraId="23DBDCA4">
      <w:pPr>
        <w:pageBreakBefore w:val="0"/>
        <w:kinsoku/>
        <w:overflowPunct/>
        <w:topLinePunct w:val="0"/>
        <w:bidi w:val="0"/>
        <w:spacing w:line="440" w:lineRule="exact"/>
        <w:rPr>
          <w:rFonts w:hint="eastAsia" w:ascii="仿宋" w:hAnsi="仿宋" w:eastAsia="仿宋" w:cs="仿宋"/>
          <w:color w:val="auto"/>
          <w:sz w:val="24"/>
          <w:szCs w:val="24"/>
        </w:rPr>
      </w:pPr>
    </w:p>
    <w:p w14:paraId="28F1371A">
      <w:pPr>
        <w:pageBreakBefore w:val="0"/>
        <w:kinsoku/>
        <w:overflowPunct/>
        <w:topLinePunct w:val="0"/>
        <w:bidi w:val="0"/>
        <w:spacing w:before="156" w:beforeLines="50" w:after="156" w:afterLines="50"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color w:val="auto"/>
          <w:sz w:val="24"/>
          <w:szCs w:val="24"/>
        </w:rPr>
        <w:t>11-3：专业工程暂估价表</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7DFFF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764A03E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序号</w:t>
            </w:r>
          </w:p>
        </w:tc>
        <w:tc>
          <w:tcPr>
            <w:tcW w:w="1984" w:type="dxa"/>
            <w:tcBorders>
              <w:top w:val="single" w:color="auto" w:sz="12" w:space="0"/>
              <w:bottom w:val="double" w:color="auto" w:sz="6" w:space="0"/>
            </w:tcBorders>
            <w:noWrap w:val="0"/>
            <w:vAlign w:val="top"/>
          </w:tcPr>
          <w:p w14:paraId="7795BBD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专业工程名称</w:t>
            </w:r>
          </w:p>
        </w:tc>
        <w:tc>
          <w:tcPr>
            <w:tcW w:w="4678" w:type="dxa"/>
            <w:tcBorders>
              <w:top w:val="single" w:color="auto" w:sz="12" w:space="0"/>
              <w:bottom w:val="double" w:color="auto" w:sz="6" w:space="0"/>
            </w:tcBorders>
            <w:noWrap w:val="0"/>
            <w:vAlign w:val="top"/>
          </w:tcPr>
          <w:p w14:paraId="743DEE3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工程内容</w:t>
            </w:r>
          </w:p>
        </w:tc>
        <w:tc>
          <w:tcPr>
            <w:tcW w:w="1276" w:type="dxa"/>
            <w:tcBorders>
              <w:top w:val="single" w:color="auto" w:sz="12" w:space="0"/>
              <w:bottom w:val="double" w:color="auto" w:sz="6" w:space="0"/>
            </w:tcBorders>
            <w:noWrap w:val="0"/>
            <w:vAlign w:val="top"/>
          </w:tcPr>
          <w:p w14:paraId="446A3DA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金额</w:t>
            </w:r>
          </w:p>
        </w:tc>
      </w:tr>
      <w:tr w14:paraId="43E90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1C6C63F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tcBorders>
              <w:top w:val="double" w:color="auto" w:sz="6" w:space="0"/>
              <w:bottom w:val="single" w:color="auto" w:sz="6" w:space="0"/>
            </w:tcBorders>
            <w:noWrap w:val="0"/>
            <w:vAlign w:val="top"/>
          </w:tcPr>
          <w:p w14:paraId="71C159A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tcBorders>
              <w:top w:val="double" w:color="auto" w:sz="6" w:space="0"/>
              <w:bottom w:val="single" w:color="auto" w:sz="6" w:space="0"/>
            </w:tcBorders>
            <w:noWrap w:val="0"/>
            <w:vAlign w:val="top"/>
          </w:tcPr>
          <w:p w14:paraId="41E6528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tcBorders>
              <w:top w:val="double" w:color="auto" w:sz="6" w:space="0"/>
              <w:bottom w:val="single" w:color="auto" w:sz="6" w:space="0"/>
            </w:tcBorders>
            <w:noWrap w:val="0"/>
            <w:vAlign w:val="top"/>
          </w:tcPr>
          <w:p w14:paraId="4D73FF5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4B0E2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49DC4AB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tcBorders>
              <w:top w:val="nil"/>
            </w:tcBorders>
            <w:noWrap w:val="0"/>
            <w:vAlign w:val="top"/>
          </w:tcPr>
          <w:p w14:paraId="77CA41F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tcBorders>
              <w:top w:val="nil"/>
            </w:tcBorders>
            <w:noWrap w:val="0"/>
            <w:vAlign w:val="top"/>
          </w:tcPr>
          <w:p w14:paraId="4230AD5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tcBorders>
              <w:top w:val="nil"/>
            </w:tcBorders>
            <w:noWrap w:val="0"/>
            <w:vAlign w:val="top"/>
          </w:tcPr>
          <w:p w14:paraId="1F8536F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A249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7D50BD9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tcBorders>
              <w:top w:val="nil"/>
            </w:tcBorders>
            <w:noWrap w:val="0"/>
            <w:vAlign w:val="top"/>
          </w:tcPr>
          <w:p w14:paraId="540C359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tcBorders>
              <w:top w:val="nil"/>
            </w:tcBorders>
            <w:noWrap w:val="0"/>
            <w:vAlign w:val="top"/>
          </w:tcPr>
          <w:p w14:paraId="689C6A7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tcBorders>
              <w:top w:val="nil"/>
            </w:tcBorders>
            <w:noWrap w:val="0"/>
            <w:vAlign w:val="top"/>
          </w:tcPr>
          <w:p w14:paraId="2EE7DB7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E2129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159D1B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6D350D1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041C8F6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15B7780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176F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D23F64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3108F3A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31EF272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1F30234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6CDC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95C972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7721A74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654E11E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1620AC0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E481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970C98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6BA125B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6C0C767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2384ACE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10110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DD0198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15F78A4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65D36AC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1698E23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77FD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1A01A7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14FE216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390D501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30F6522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9C4C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D46C18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3F000A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27546E3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1130ACC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4B4F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78C9C6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1ECF7FB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0817DDF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52A0A00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A9BC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FE8027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021C1E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3F5D360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1B47143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308A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0315B6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5160DA0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4140C27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294BC5F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D26D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20763A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212CB77D">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6872269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7508C5E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1045F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98B356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1AF4EAC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6CB021C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45E53F7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1887C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FEF5EE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2BD1286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09C74EC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328A788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0C07B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B80C4B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11B482F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1EEBF99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106F6C0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697CB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3C5A1B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0A5B2A6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05B2AC6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5E76E72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0B8A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E87955F">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A0874A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2D6AC79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17F68E6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0DAD1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6B25CB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667F7D0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20DE36C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4F6F66C5">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2AB3A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BFF32FB">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D80628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3EDA5B1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3715A22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E0DD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66AC8A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5CDFE86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233DAF97">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5C1869D2">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1BE72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A0F43AA">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06D6EFD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7455A278">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19DC52E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5C6C4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423A4D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1E128DD0">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7C99D63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21CDC699">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4D97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23622A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245BAA5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12A8F95E">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13E5BEC6">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7F8DD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8C87B6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984" w:type="dxa"/>
            <w:noWrap w:val="0"/>
            <w:vAlign w:val="top"/>
          </w:tcPr>
          <w:p w14:paraId="42DDFE83">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4678" w:type="dxa"/>
            <w:noWrap w:val="0"/>
            <w:vAlign w:val="top"/>
          </w:tcPr>
          <w:p w14:paraId="5B60B2B4">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c>
          <w:tcPr>
            <w:tcW w:w="1276" w:type="dxa"/>
            <w:noWrap w:val="0"/>
            <w:vAlign w:val="top"/>
          </w:tcPr>
          <w:p w14:paraId="2462D2B1">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p>
        </w:tc>
      </w:tr>
      <w:tr w14:paraId="362FE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367B071C">
            <w:pPr>
              <w:pStyle w:val="11"/>
              <w:keepNext/>
              <w:pageBreakBefore w:val="0"/>
              <w:kinsoku/>
              <w:overflowPunct/>
              <w:topLinePunct w:val="0"/>
              <w:bidi w:val="0"/>
              <w:spacing w:after="0" w:line="440" w:lineRule="exact"/>
              <w:ind w:left="63" w:right="63"/>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小计：</w:t>
            </w:r>
          </w:p>
        </w:tc>
      </w:tr>
    </w:tbl>
    <w:p w14:paraId="13F5B6B6">
      <w:pPr>
        <w:keepNext w:val="0"/>
        <w:keepLines w:val="0"/>
        <w:pageBreakBefore w:val="0"/>
        <w:widowControl/>
        <w:kinsoku/>
        <w:wordWrap/>
        <w:overflowPunct/>
        <w:topLinePunct w:val="0"/>
        <w:autoSpaceDE/>
        <w:autoSpaceDN/>
        <w:bidi w:val="0"/>
        <w:adjustRightInd/>
        <w:snapToGrid w:val="0"/>
        <w:spacing w:line="440" w:lineRule="exact"/>
        <w:jc w:val="left"/>
        <w:textAlignment w:val="bottom"/>
        <w:rPr>
          <w:rFonts w:hint="eastAsia" w:ascii="仿宋" w:hAnsi="仿宋" w:eastAsia="仿宋" w:cs="仿宋"/>
          <w:b w:val="0"/>
          <w:bCs w:val="0"/>
          <w:color w:val="auto"/>
          <w:kern w:val="0"/>
          <w:sz w:val="24"/>
          <w:szCs w:val="24"/>
          <w:lang w:bidi="ar"/>
        </w:rPr>
      </w:pPr>
    </w:p>
    <w:p w14:paraId="7FC0FBBC">
      <w:pPr>
        <w:pStyle w:val="3"/>
        <w:pageBreakBefore w:val="0"/>
        <w:wordWrap/>
        <w:topLinePunct w:val="0"/>
        <w:bidi w:val="0"/>
        <w:spacing w:line="480" w:lineRule="exact"/>
        <w:jc w:val="center"/>
        <w:rPr>
          <w:rFonts w:hint="eastAsia" w:ascii="仿宋" w:hAnsi="仿宋" w:eastAsia="仿宋" w:cs="仿宋"/>
          <w:color w:val="auto"/>
          <w:sz w:val="28"/>
          <w:szCs w:val="28"/>
        </w:rPr>
      </w:pPr>
      <w:bookmarkStart w:id="1355" w:name="_Toc11788"/>
      <w:r>
        <w:rPr>
          <w:rFonts w:hint="eastAsia" w:ascii="仿宋" w:hAnsi="仿宋" w:eastAsia="仿宋" w:cs="仿宋"/>
          <w:color w:val="auto"/>
          <w:sz w:val="28"/>
          <w:szCs w:val="28"/>
        </w:rPr>
        <w:t>第六章</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响应文件的格式</w:t>
      </w:r>
      <w:bookmarkEnd w:id="1355"/>
    </w:p>
    <w:p w14:paraId="3D872032">
      <w:pPr>
        <w:pageBreakBefore w:val="0"/>
        <w:wordWrap/>
        <w:topLinePunct w:val="0"/>
        <w:bidi w:val="0"/>
        <w:spacing w:line="480" w:lineRule="exact"/>
        <w:rPr>
          <w:rFonts w:hint="eastAsia" w:ascii="仿宋" w:hAnsi="仿宋" w:eastAsia="仿宋" w:cs="仿宋"/>
          <w:color w:val="auto"/>
          <w:sz w:val="24"/>
          <w:szCs w:val="24"/>
        </w:rPr>
      </w:pPr>
    </w:p>
    <w:p w14:paraId="57B86D99">
      <w:pPr>
        <w:pageBreakBefore w:val="0"/>
        <w:wordWrap/>
        <w:topLinePunct w:val="0"/>
        <w:bidi w:val="0"/>
        <w:spacing w:line="480" w:lineRule="exact"/>
        <w:rPr>
          <w:rFonts w:hint="eastAsia" w:ascii="仿宋" w:hAnsi="仿宋" w:eastAsia="仿宋" w:cs="仿宋"/>
          <w:color w:val="auto"/>
          <w:sz w:val="24"/>
          <w:szCs w:val="24"/>
        </w:rPr>
      </w:pPr>
    </w:p>
    <w:p w14:paraId="3234D91F">
      <w:pPr>
        <w:pageBreakBefore w:val="0"/>
        <w:wordWrap/>
        <w:topLinePunct w:val="0"/>
        <w:bidi w:val="0"/>
        <w:spacing w:line="480" w:lineRule="exact"/>
        <w:rPr>
          <w:rFonts w:hint="eastAsia" w:ascii="仿宋" w:hAnsi="仿宋" w:eastAsia="仿宋" w:cs="仿宋"/>
          <w:color w:val="auto"/>
          <w:sz w:val="24"/>
          <w:szCs w:val="24"/>
        </w:rPr>
      </w:pPr>
      <w:r>
        <w:rPr>
          <w:rFonts w:hint="eastAsia" w:ascii="仿宋" w:hAnsi="仿宋" w:eastAsia="仿宋" w:cs="仿宋"/>
          <w:color w:val="auto"/>
          <w:sz w:val="24"/>
          <w:szCs w:val="24"/>
        </w:rPr>
        <w:t>封面：</w:t>
      </w:r>
    </w:p>
    <w:p w14:paraId="6895694F">
      <w:pPr>
        <w:pageBreakBefore w:val="0"/>
        <w:wordWrap/>
        <w:topLinePunct w:val="0"/>
        <w:bidi w:val="0"/>
        <w:spacing w:line="480" w:lineRule="exact"/>
        <w:rPr>
          <w:rFonts w:hint="eastAsia" w:ascii="仿宋" w:hAnsi="仿宋" w:eastAsia="仿宋" w:cs="仿宋"/>
          <w:color w:val="auto"/>
          <w:sz w:val="24"/>
          <w:szCs w:val="24"/>
        </w:rPr>
      </w:pPr>
    </w:p>
    <w:p w14:paraId="09FB495F">
      <w:pPr>
        <w:pageBreakBefore w:val="0"/>
        <w:wordWrap/>
        <w:topLinePunct w:val="0"/>
        <w:bidi w:val="0"/>
        <w:spacing w:line="480" w:lineRule="exact"/>
        <w:rPr>
          <w:rFonts w:hint="eastAsia" w:ascii="仿宋" w:hAnsi="仿宋" w:eastAsia="仿宋" w:cs="仿宋"/>
          <w:color w:val="auto"/>
          <w:sz w:val="24"/>
          <w:szCs w:val="24"/>
        </w:rPr>
      </w:pPr>
    </w:p>
    <w:p w14:paraId="12E95D32">
      <w:pPr>
        <w:pageBreakBefore w:val="0"/>
        <w:wordWrap/>
        <w:topLinePunct w:val="0"/>
        <w:bidi w:val="0"/>
        <w:spacing w:line="480" w:lineRule="exact"/>
        <w:rPr>
          <w:rFonts w:hint="eastAsia" w:ascii="仿宋" w:hAnsi="仿宋" w:eastAsia="仿宋" w:cs="仿宋"/>
          <w:color w:val="auto"/>
          <w:sz w:val="24"/>
          <w:szCs w:val="24"/>
        </w:rPr>
      </w:pPr>
    </w:p>
    <w:p w14:paraId="731345F9">
      <w:pPr>
        <w:pageBreakBefore w:val="0"/>
        <w:wordWrap/>
        <w:topLinePunct w:val="0"/>
        <w:bidi w:val="0"/>
        <w:spacing w:line="480" w:lineRule="exact"/>
        <w:rPr>
          <w:rFonts w:hint="eastAsia" w:ascii="仿宋" w:hAnsi="仿宋" w:eastAsia="仿宋" w:cs="仿宋"/>
          <w:color w:val="auto"/>
          <w:sz w:val="24"/>
          <w:szCs w:val="24"/>
        </w:rPr>
      </w:pPr>
    </w:p>
    <w:p w14:paraId="1F55716F">
      <w:pPr>
        <w:pageBreakBefore w:val="0"/>
        <w:wordWrap/>
        <w:topLinePunct w:val="0"/>
        <w:bidi w:val="0"/>
        <w:spacing w:line="480" w:lineRule="exact"/>
        <w:rPr>
          <w:rFonts w:hint="eastAsia" w:ascii="仿宋" w:hAnsi="仿宋" w:eastAsia="仿宋" w:cs="仿宋"/>
          <w:color w:val="auto"/>
          <w:sz w:val="24"/>
          <w:szCs w:val="24"/>
        </w:rPr>
      </w:pPr>
    </w:p>
    <w:p w14:paraId="2B21A938">
      <w:pPr>
        <w:pageBreakBefore w:val="0"/>
        <w:wordWrap/>
        <w:topLinePunct w:val="0"/>
        <w:bidi w:val="0"/>
        <w:spacing w:line="480" w:lineRule="exact"/>
        <w:rPr>
          <w:rFonts w:hint="eastAsia" w:ascii="仿宋" w:hAnsi="仿宋" w:eastAsia="仿宋" w:cs="仿宋"/>
          <w:color w:val="auto"/>
          <w:sz w:val="24"/>
          <w:szCs w:val="24"/>
        </w:rPr>
      </w:pPr>
    </w:p>
    <w:p w14:paraId="29491096">
      <w:pPr>
        <w:pageBreakBefore w:val="0"/>
        <w:wordWrap/>
        <w:topLinePunct w:val="0"/>
        <w:bidi w:val="0"/>
        <w:spacing w:line="480" w:lineRule="exact"/>
        <w:jc w:val="center"/>
        <w:rPr>
          <w:rFonts w:hint="eastAsia" w:ascii="仿宋" w:hAnsi="仿宋" w:eastAsia="仿宋" w:cs="仿宋"/>
          <w:color w:val="auto"/>
          <w:sz w:val="40"/>
          <w:szCs w:val="40"/>
        </w:rPr>
      </w:pPr>
      <w:bookmarkStart w:id="1356" w:name="bookmark24"/>
      <w:bookmarkEnd w:id="1356"/>
      <w:r>
        <w:rPr>
          <w:rFonts w:hint="eastAsia" w:ascii="仿宋" w:hAnsi="仿宋" w:eastAsia="仿宋" w:cs="仿宋"/>
          <w:color w:val="auto"/>
          <w:sz w:val="40"/>
          <w:szCs w:val="40"/>
        </w:rPr>
        <w:t>响应文件</w:t>
      </w:r>
      <w:bookmarkStart w:id="1357" w:name="bookmark25"/>
      <w:bookmarkEnd w:id="1357"/>
      <w:bookmarkStart w:id="1358" w:name="bookmark24"/>
      <w:bookmarkEnd w:id="1358"/>
    </w:p>
    <w:p w14:paraId="25FD4F31">
      <w:pPr>
        <w:pageBreakBefore w:val="0"/>
        <w:wordWrap/>
        <w:topLinePunct w:val="0"/>
        <w:bidi w:val="0"/>
        <w:spacing w:line="480" w:lineRule="exact"/>
        <w:jc w:val="center"/>
        <w:rPr>
          <w:rFonts w:hint="eastAsia" w:ascii="仿宋" w:hAnsi="仿宋" w:eastAsia="仿宋" w:cs="仿宋"/>
          <w:color w:val="auto"/>
          <w:sz w:val="24"/>
          <w:szCs w:val="24"/>
        </w:rPr>
      </w:pPr>
    </w:p>
    <w:p w14:paraId="67D9CE3D">
      <w:pPr>
        <w:pageBreakBefore w:val="0"/>
        <w:wordWrap/>
        <w:topLinePunct w:val="0"/>
        <w:bidi w:val="0"/>
        <w:spacing w:line="480" w:lineRule="exact"/>
        <w:jc w:val="center"/>
        <w:rPr>
          <w:rFonts w:hint="eastAsia" w:ascii="仿宋" w:hAnsi="仿宋" w:eastAsia="仿宋" w:cs="仿宋"/>
          <w:color w:val="auto"/>
          <w:sz w:val="24"/>
          <w:szCs w:val="24"/>
        </w:rPr>
      </w:pPr>
    </w:p>
    <w:p w14:paraId="59BD5CF4">
      <w:pPr>
        <w:pageBreakBefore w:val="0"/>
        <w:wordWrap/>
        <w:topLinePunct w:val="0"/>
        <w:bidi w:val="0"/>
        <w:spacing w:line="480" w:lineRule="exact"/>
        <w:jc w:val="center"/>
        <w:rPr>
          <w:rFonts w:hint="eastAsia" w:ascii="仿宋" w:hAnsi="仿宋" w:eastAsia="仿宋" w:cs="仿宋"/>
          <w:color w:val="auto"/>
          <w:sz w:val="24"/>
          <w:szCs w:val="24"/>
        </w:rPr>
      </w:pPr>
    </w:p>
    <w:p w14:paraId="2DECB001">
      <w:pPr>
        <w:pageBreakBefore w:val="0"/>
        <w:wordWrap/>
        <w:topLinePunct w:val="0"/>
        <w:bidi w:val="0"/>
        <w:spacing w:line="480" w:lineRule="exact"/>
        <w:jc w:val="center"/>
        <w:rPr>
          <w:rFonts w:hint="eastAsia" w:ascii="仿宋" w:hAnsi="仿宋" w:eastAsia="仿宋" w:cs="仿宋"/>
          <w:color w:val="auto"/>
          <w:sz w:val="24"/>
          <w:szCs w:val="24"/>
        </w:rPr>
      </w:pPr>
    </w:p>
    <w:p w14:paraId="160306C0">
      <w:pPr>
        <w:pageBreakBefore w:val="0"/>
        <w:wordWrap/>
        <w:topLinePunct w:val="0"/>
        <w:bidi w:val="0"/>
        <w:spacing w:line="480" w:lineRule="exact"/>
        <w:jc w:val="center"/>
        <w:rPr>
          <w:rFonts w:hint="eastAsia" w:ascii="仿宋" w:hAnsi="仿宋" w:eastAsia="仿宋" w:cs="仿宋"/>
          <w:color w:val="auto"/>
          <w:sz w:val="24"/>
          <w:szCs w:val="24"/>
        </w:rPr>
      </w:pPr>
    </w:p>
    <w:p w14:paraId="4671CF77">
      <w:pPr>
        <w:pageBreakBefore w:val="0"/>
        <w:wordWrap/>
        <w:topLinePunct w:val="0"/>
        <w:bidi w:val="0"/>
        <w:spacing w:line="480" w:lineRule="exact"/>
        <w:jc w:val="center"/>
        <w:rPr>
          <w:rFonts w:hint="eastAsia" w:ascii="仿宋" w:hAnsi="仿宋" w:eastAsia="仿宋" w:cs="仿宋"/>
          <w:color w:val="auto"/>
          <w:sz w:val="24"/>
          <w:szCs w:val="24"/>
        </w:rPr>
      </w:pPr>
    </w:p>
    <w:p w14:paraId="1EE98F97">
      <w:pPr>
        <w:pageBreakBefore w:val="0"/>
        <w:wordWrap/>
        <w:topLinePunct w:val="0"/>
        <w:bidi w:val="0"/>
        <w:spacing w:line="48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项目编号：</w:t>
      </w:r>
    </w:p>
    <w:p w14:paraId="5DE37AB2">
      <w:pPr>
        <w:pageBreakBefore w:val="0"/>
        <w:wordWrap/>
        <w:topLinePunct w:val="0"/>
        <w:bidi w:val="0"/>
        <w:spacing w:line="48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项目名称：</w:t>
      </w:r>
    </w:p>
    <w:p w14:paraId="68585F59">
      <w:pPr>
        <w:pageBreakBefore w:val="0"/>
        <w:wordWrap/>
        <w:topLinePunct w:val="0"/>
        <w:bidi w:val="0"/>
        <w:spacing w:line="48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供应商：</w:t>
      </w:r>
    </w:p>
    <w:p w14:paraId="1C9DCE86">
      <w:pPr>
        <w:pageBreakBefore w:val="0"/>
        <w:wordWrap/>
        <w:topLinePunct w:val="0"/>
        <w:bidi w:val="0"/>
        <w:spacing w:line="480" w:lineRule="exact"/>
        <w:jc w:val="center"/>
        <w:rPr>
          <w:rFonts w:hint="eastAsia" w:ascii="仿宋" w:hAnsi="仿宋" w:eastAsia="仿宋" w:cs="仿宋"/>
          <w:color w:val="auto"/>
          <w:sz w:val="24"/>
          <w:szCs w:val="24"/>
        </w:rPr>
      </w:pPr>
    </w:p>
    <w:p w14:paraId="6A6A5A14">
      <w:pPr>
        <w:pageBreakBefore w:val="0"/>
        <w:wordWrap/>
        <w:topLinePunct w:val="0"/>
        <w:bidi w:val="0"/>
        <w:spacing w:line="480" w:lineRule="exact"/>
        <w:jc w:val="center"/>
        <w:rPr>
          <w:rFonts w:hint="eastAsia" w:ascii="仿宋" w:hAnsi="仿宋" w:eastAsia="仿宋" w:cs="仿宋"/>
          <w:color w:val="auto"/>
          <w:sz w:val="24"/>
          <w:szCs w:val="24"/>
        </w:rPr>
      </w:pPr>
    </w:p>
    <w:p w14:paraId="7921C807">
      <w:pPr>
        <w:pageBreakBefore w:val="0"/>
        <w:wordWrap/>
        <w:topLinePunct w:val="0"/>
        <w:bidi w:val="0"/>
        <w:spacing w:line="480" w:lineRule="exact"/>
        <w:jc w:val="center"/>
        <w:rPr>
          <w:rFonts w:hint="eastAsia" w:ascii="仿宋" w:hAnsi="仿宋" w:eastAsia="仿宋" w:cs="仿宋"/>
          <w:color w:val="auto"/>
          <w:sz w:val="24"/>
          <w:szCs w:val="24"/>
        </w:rPr>
      </w:pPr>
    </w:p>
    <w:p w14:paraId="17EC9264">
      <w:pPr>
        <w:pageBreakBefore w:val="0"/>
        <w:wordWrap/>
        <w:topLinePunct w:val="0"/>
        <w:bidi w:val="0"/>
        <w:spacing w:line="480" w:lineRule="exact"/>
        <w:jc w:val="center"/>
        <w:rPr>
          <w:rFonts w:hint="eastAsia" w:ascii="仿宋" w:hAnsi="仿宋" w:eastAsia="仿宋" w:cs="仿宋"/>
          <w:color w:val="auto"/>
          <w:sz w:val="24"/>
          <w:szCs w:val="24"/>
        </w:rPr>
      </w:pPr>
    </w:p>
    <w:p w14:paraId="0B311152">
      <w:pPr>
        <w:pageBreakBefore w:val="0"/>
        <w:wordWrap/>
        <w:topLinePunct w:val="0"/>
        <w:bidi w:val="0"/>
        <w:spacing w:line="480" w:lineRule="exact"/>
        <w:jc w:val="center"/>
        <w:rPr>
          <w:rFonts w:hint="eastAsia" w:ascii="仿宋" w:hAnsi="仿宋" w:eastAsia="仿宋" w:cs="仿宋"/>
          <w:color w:val="auto"/>
          <w:sz w:val="24"/>
          <w:szCs w:val="24"/>
        </w:rPr>
      </w:pPr>
    </w:p>
    <w:p w14:paraId="01280065">
      <w:pPr>
        <w:pageBreakBefore w:val="0"/>
        <w:wordWrap/>
        <w:topLinePunct w:val="0"/>
        <w:bidi w:val="0"/>
        <w:spacing w:line="480" w:lineRule="exact"/>
        <w:jc w:val="center"/>
        <w:rPr>
          <w:rFonts w:hint="eastAsia" w:ascii="仿宋" w:hAnsi="仿宋" w:eastAsia="仿宋" w:cs="仿宋"/>
          <w:color w:val="auto"/>
          <w:sz w:val="24"/>
          <w:szCs w:val="24"/>
        </w:rPr>
      </w:pPr>
    </w:p>
    <w:p w14:paraId="6DF136A7">
      <w:pPr>
        <w:pageBreakBefore w:val="0"/>
        <w:wordWrap/>
        <w:topLinePunct w:val="0"/>
        <w:bidi w:val="0"/>
        <w:spacing w:line="4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年月日</w:t>
      </w:r>
    </w:p>
    <w:p w14:paraId="0619767D">
      <w:pPr>
        <w:pageBreakBefore w:val="0"/>
        <w:wordWrap/>
        <w:topLinePunct w:val="0"/>
        <w:bidi w:val="0"/>
        <w:spacing w:line="480" w:lineRule="exact"/>
        <w:jc w:val="center"/>
        <w:rPr>
          <w:rFonts w:hint="eastAsia" w:ascii="仿宋" w:hAnsi="仿宋" w:eastAsia="仿宋" w:cs="仿宋"/>
          <w:color w:val="auto"/>
          <w:sz w:val="24"/>
          <w:szCs w:val="24"/>
        </w:rPr>
        <w:sectPr>
          <w:headerReference r:id="rId16" w:type="default"/>
          <w:footerReference r:id="rId17" w:type="default"/>
          <w:pgSz w:w="11906" w:h="16839"/>
          <w:pgMar w:top="1166" w:right="1785" w:bottom="1306" w:left="1785" w:header="829" w:footer="1037" w:gutter="0"/>
          <w:pgNumType w:fmt="decimal"/>
          <w:cols w:space="720" w:num="1"/>
        </w:sectPr>
      </w:pPr>
    </w:p>
    <w:p w14:paraId="1B96EEA6">
      <w:pPr>
        <w:pStyle w:val="27"/>
        <w:keepLines w:val="0"/>
        <w:pageBreakBefore w:val="0"/>
        <w:shd w:val="clear" w:color="auto" w:fill="auto"/>
        <w:wordWrap/>
        <w:topLinePunct w:val="0"/>
        <w:bidi w:val="0"/>
        <w:spacing w:line="480" w:lineRule="exact"/>
        <w:ind w:firstLine="482" w:firstLineChars="200"/>
        <w:jc w:val="both"/>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响应</w:t>
      </w:r>
      <w:r>
        <w:rPr>
          <w:rFonts w:hint="eastAsia" w:ascii="仿宋" w:hAnsi="仿宋" w:eastAsia="仿宋" w:cs="仿宋"/>
          <w:b/>
          <w:bCs w:val="0"/>
          <w:color w:val="auto"/>
          <w:sz w:val="24"/>
          <w:szCs w:val="24"/>
          <w:highlight w:val="none"/>
        </w:rPr>
        <w:t>文件组成</w:t>
      </w:r>
    </w:p>
    <w:p w14:paraId="0B04D408">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59" w:name="_Toc28295"/>
      <w:bookmarkStart w:id="1360" w:name="_Toc3479"/>
      <w:bookmarkStart w:id="1361" w:name="_Toc498343979"/>
      <w:r>
        <w:rPr>
          <w:rFonts w:hint="eastAsia" w:ascii="仿宋" w:hAnsi="仿宋" w:eastAsia="仿宋" w:cs="仿宋"/>
          <w:color w:val="auto"/>
          <w:sz w:val="24"/>
          <w:szCs w:val="24"/>
          <w:highlight w:val="none"/>
          <w:lang w:val="en-US" w:eastAsia="zh-CN"/>
        </w:rPr>
        <w:t>商务部分:</w:t>
      </w:r>
      <w:bookmarkEnd w:id="1359"/>
      <w:bookmarkEnd w:id="1360"/>
    </w:p>
    <w:p w14:paraId="5AC5CB5A">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62" w:name="_Toc15308"/>
      <w:bookmarkStart w:id="1363" w:name="_Toc29260"/>
      <w:r>
        <w:rPr>
          <w:rFonts w:hint="eastAsia" w:ascii="仿宋" w:hAnsi="仿宋" w:eastAsia="仿宋" w:cs="仿宋"/>
          <w:color w:val="auto"/>
          <w:sz w:val="24"/>
          <w:szCs w:val="24"/>
          <w:highlight w:val="none"/>
          <w:lang w:val="en-US" w:eastAsia="zh-CN"/>
        </w:rPr>
        <w:t>（1）投标函</w:t>
      </w:r>
      <w:bookmarkEnd w:id="1362"/>
      <w:bookmarkEnd w:id="1363"/>
    </w:p>
    <w:p w14:paraId="4A1BFE69">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64" w:name="_Toc11091"/>
      <w:bookmarkStart w:id="1365" w:name="_Toc5981"/>
      <w:r>
        <w:rPr>
          <w:rFonts w:hint="eastAsia" w:ascii="仿宋" w:hAnsi="仿宋" w:eastAsia="仿宋" w:cs="仿宋"/>
          <w:color w:val="auto"/>
          <w:sz w:val="24"/>
          <w:szCs w:val="24"/>
          <w:highlight w:val="none"/>
          <w:lang w:val="en-US" w:eastAsia="zh-CN"/>
        </w:rPr>
        <w:t>（2）投标承诺书</w:t>
      </w:r>
      <w:bookmarkEnd w:id="1364"/>
      <w:bookmarkEnd w:id="1365"/>
    </w:p>
    <w:p w14:paraId="37A0501F">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66" w:name="_Toc22285"/>
      <w:bookmarkStart w:id="1367" w:name="_Toc10662"/>
      <w:r>
        <w:rPr>
          <w:rFonts w:hint="eastAsia" w:ascii="仿宋" w:hAnsi="仿宋" w:eastAsia="仿宋" w:cs="仿宋"/>
          <w:color w:val="auto"/>
          <w:sz w:val="24"/>
          <w:szCs w:val="24"/>
          <w:highlight w:val="none"/>
          <w:lang w:val="en-US" w:eastAsia="zh-CN"/>
        </w:rPr>
        <w:t>（3）法定代表人授权委托书</w:t>
      </w:r>
      <w:bookmarkEnd w:id="1366"/>
      <w:bookmarkEnd w:id="1367"/>
    </w:p>
    <w:p w14:paraId="0A009039">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68" w:name="_Toc20999"/>
      <w:bookmarkStart w:id="1369" w:name="_Toc3878"/>
      <w:r>
        <w:rPr>
          <w:rFonts w:hint="eastAsia" w:ascii="仿宋" w:hAnsi="仿宋" w:eastAsia="仿宋" w:cs="仿宋"/>
          <w:color w:val="auto"/>
          <w:sz w:val="24"/>
          <w:szCs w:val="24"/>
          <w:highlight w:val="none"/>
          <w:lang w:val="en-US" w:eastAsia="zh-CN"/>
        </w:rPr>
        <w:t>（4）开标一览表</w:t>
      </w:r>
      <w:bookmarkEnd w:id="1368"/>
      <w:r>
        <w:rPr>
          <w:rFonts w:hint="eastAsia" w:ascii="仿宋" w:hAnsi="仿宋" w:eastAsia="仿宋" w:cs="仿宋"/>
          <w:color w:val="auto"/>
          <w:sz w:val="24"/>
          <w:szCs w:val="24"/>
          <w:highlight w:val="none"/>
          <w:lang w:val="en-US" w:eastAsia="zh-CN"/>
        </w:rPr>
        <w:t xml:space="preserve">  </w:t>
      </w:r>
      <w:bookmarkEnd w:id="1369"/>
    </w:p>
    <w:p w14:paraId="0FD32A4D">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70" w:name="_Toc10158"/>
      <w:bookmarkStart w:id="1371" w:name="_Toc7915"/>
      <w:r>
        <w:rPr>
          <w:rFonts w:hint="eastAsia" w:ascii="仿宋" w:hAnsi="仿宋" w:eastAsia="仿宋" w:cs="仿宋"/>
          <w:color w:val="auto"/>
          <w:sz w:val="24"/>
          <w:szCs w:val="24"/>
          <w:highlight w:val="none"/>
          <w:lang w:val="en-US" w:eastAsia="zh-CN"/>
        </w:rPr>
        <w:t>（5）</w:t>
      </w:r>
      <w:bookmarkEnd w:id="1370"/>
      <w:r>
        <w:rPr>
          <w:rFonts w:hint="eastAsia" w:ascii="仿宋" w:hAnsi="仿宋" w:eastAsia="仿宋" w:cs="仿宋"/>
          <w:color w:val="auto"/>
          <w:sz w:val="24"/>
          <w:szCs w:val="24"/>
          <w:highlight w:val="none"/>
          <w:lang w:val="en-US" w:eastAsia="zh-CN"/>
        </w:rPr>
        <w:t>磋商保证金</w:t>
      </w:r>
      <w:bookmarkEnd w:id="1371"/>
    </w:p>
    <w:p w14:paraId="3AD68B54">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72" w:name="_Toc15585"/>
      <w:bookmarkStart w:id="1373" w:name="_Toc31483"/>
      <w:r>
        <w:rPr>
          <w:rFonts w:hint="eastAsia" w:ascii="仿宋" w:hAnsi="仿宋" w:eastAsia="仿宋" w:cs="仿宋"/>
          <w:color w:val="auto"/>
          <w:sz w:val="24"/>
          <w:szCs w:val="24"/>
          <w:highlight w:val="none"/>
          <w:lang w:val="en-US" w:eastAsia="zh-CN"/>
        </w:rPr>
        <w:t>（6）供应商符合资格条件的证明文件</w:t>
      </w:r>
      <w:bookmarkEnd w:id="1372"/>
      <w:bookmarkEnd w:id="1373"/>
    </w:p>
    <w:p w14:paraId="64180813">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74" w:name="_Toc27142"/>
      <w:r>
        <w:rPr>
          <w:rFonts w:hint="eastAsia" w:ascii="仿宋" w:hAnsi="仿宋" w:eastAsia="仿宋" w:cs="仿宋"/>
          <w:color w:val="auto"/>
          <w:sz w:val="24"/>
          <w:szCs w:val="24"/>
          <w:highlight w:val="none"/>
          <w:lang w:val="en-US" w:eastAsia="zh-CN"/>
        </w:rPr>
        <w:t>（7）商务条款偏离表</w:t>
      </w:r>
      <w:bookmarkEnd w:id="1374"/>
    </w:p>
    <w:p w14:paraId="413569C5">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75" w:name="_Toc28899"/>
      <w:r>
        <w:rPr>
          <w:rFonts w:hint="eastAsia" w:ascii="仿宋" w:hAnsi="仿宋" w:eastAsia="仿宋" w:cs="仿宋"/>
          <w:color w:val="auto"/>
          <w:sz w:val="24"/>
          <w:szCs w:val="24"/>
          <w:highlight w:val="none"/>
          <w:lang w:val="en-US" w:eastAsia="zh-CN"/>
        </w:rPr>
        <w:t>（8）项目管理机构</w:t>
      </w:r>
      <w:bookmarkEnd w:id="1375"/>
    </w:p>
    <w:p w14:paraId="60D7C098">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76" w:name="_Toc12270"/>
      <w:bookmarkStart w:id="1377" w:name="_Toc1860"/>
      <w:r>
        <w:rPr>
          <w:rFonts w:hint="eastAsia" w:ascii="仿宋" w:hAnsi="仿宋" w:eastAsia="仿宋" w:cs="仿宋"/>
          <w:color w:val="auto"/>
          <w:sz w:val="24"/>
          <w:szCs w:val="24"/>
          <w:highlight w:val="none"/>
          <w:lang w:val="en-US" w:eastAsia="zh-CN"/>
        </w:rPr>
        <w:t>技术部分:</w:t>
      </w:r>
      <w:bookmarkEnd w:id="1376"/>
      <w:bookmarkEnd w:id="1377"/>
    </w:p>
    <w:p w14:paraId="0E13E6F7">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78" w:name="_Toc10288"/>
      <w:bookmarkStart w:id="1379" w:name="_Toc3686"/>
      <w:r>
        <w:rPr>
          <w:rFonts w:hint="eastAsia" w:ascii="仿宋" w:hAnsi="仿宋" w:eastAsia="仿宋" w:cs="仿宋"/>
          <w:color w:val="auto"/>
          <w:sz w:val="24"/>
          <w:szCs w:val="24"/>
          <w:highlight w:val="none"/>
          <w:lang w:val="en-US" w:eastAsia="zh-CN"/>
        </w:rPr>
        <w:t>（1）企业项目业绩表</w:t>
      </w:r>
      <w:bookmarkEnd w:id="1378"/>
      <w:bookmarkEnd w:id="1379"/>
    </w:p>
    <w:p w14:paraId="4436BC00">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80" w:name="_Toc729"/>
      <w:bookmarkStart w:id="1381" w:name="_Toc30880"/>
      <w:r>
        <w:rPr>
          <w:rFonts w:hint="eastAsia" w:ascii="仿宋" w:hAnsi="仿宋" w:eastAsia="仿宋" w:cs="仿宋"/>
          <w:color w:val="auto"/>
          <w:sz w:val="24"/>
          <w:szCs w:val="24"/>
          <w:highlight w:val="none"/>
          <w:lang w:val="en-US" w:eastAsia="zh-CN"/>
        </w:rPr>
        <w:t>（2）</w:t>
      </w:r>
      <w:bookmarkEnd w:id="1380"/>
      <w:bookmarkStart w:id="1382" w:name="_Toc16762"/>
      <w:r>
        <w:rPr>
          <w:rFonts w:hint="eastAsia" w:ascii="仿宋" w:hAnsi="仿宋" w:eastAsia="仿宋" w:cs="仿宋"/>
          <w:color w:val="auto"/>
          <w:sz w:val="24"/>
          <w:szCs w:val="24"/>
          <w:highlight w:val="none"/>
          <w:lang w:val="en-US" w:eastAsia="zh-CN"/>
        </w:rPr>
        <w:t>技术服务方案及保障措施</w:t>
      </w:r>
      <w:bookmarkEnd w:id="1381"/>
      <w:bookmarkEnd w:id="1382"/>
    </w:p>
    <w:p w14:paraId="722A4759">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83" w:name="_Toc3830"/>
      <w:bookmarkStart w:id="1384" w:name="_Toc24512"/>
      <w:r>
        <w:rPr>
          <w:rFonts w:hint="eastAsia" w:ascii="仿宋" w:hAnsi="仿宋" w:eastAsia="仿宋" w:cs="仿宋"/>
          <w:color w:val="auto"/>
          <w:sz w:val="24"/>
          <w:szCs w:val="24"/>
          <w:highlight w:val="none"/>
          <w:lang w:val="en-US" w:eastAsia="zh-CN"/>
        </w:rPr>
        <w:t>（3）其他服务承诺</w:t>
      </w:r>
      <w:bookmarkEnd w:id="1383"/>
      <w:bookmarkEnd w:id="1384"/>
    </w:p>
    <w:p w14:paraId="7F7BF963">
      <w:pPr>
        <w:pStyle w:val="27"/>
        <w:keepLines w:val="0"/>
        <w:pageBreakBefore w:val="0"/>
        <w:shd w:val="clear" w:color="auto" w:fill="auto"/>
        <w:wordWrap/>
        <w:topLinePunct w:val="0"/>
        <w:bidi w:val="0"/>
        <w:spacing w:line="480" w:lineRule="exact"/>
        <w:ind w:firstLine="480" w:firstLineChars="200"/>
        <w:jc w:val="both"/>
        <w:outlineLvl w:val="0"/>
        <w:rPr>
          <w:rFonts w:hint="eastAsia" w:ascii="仿宋" w:hAnsi="仿宋" w:eastAsia="仿宋" w:cs="仿宋"/>
          <w:color w:val="auto"/>
          <w:sz w:val="24"/>
          <w:szCs w:val="24"/>
          <w:highlight w:val="none"/>
          <w:lang w:val="en-US" w:eastAsia="zh-CN"/>
        </w:rPr>
      </w:pPr>
      <w:bookmarkStart w:id="1385" w:name="_Toc2796"/>
      <w:bookmarkStart w:id="1386" w:name="_Toc27355"/>
      <w:r>
        <w:rPr>
          <w:rFonts w:hint="eastAsia" w:ascii="仿宋" w:hAnsi="仿宋" w:eastAsia="仿宋" w:cs="仿宋"/>
          <w:color w:val="auto"/>
          <w:sz w:val="24"/>
          <w:szCs w:val="24"/>
          <w:highlight w:val="none"/>
          <w:lang w:val="en-US" w:eastAsia="zh-CN"/>
        </w:rPr>
        <w:t>（4）供应商认为需要提供的其他材料</w:t>
      </w:r>
      <w:bookmarkEnd w:id="1385"/>
      <w:bookmarkEnd w:id="1386"/>
    </w:p>
    <w:p w14:paraId="5785E65A">
      <w:pPr>
        <w:pStyle w:val="27"/>
        <w:keepLines w:val="0"/>
        <w:pageBreakBefore w:val="0"/>
        <w:shd w:val="clear" w:color="auto" w:fill="auto"/>
        <w:wordWrap/>
        <w:topLinePunct w:val="0"/>
        <w:bidi w:val="0"/>
        <w:spacing w:line="480" w:lineRule="exact"/>
        <w:ind w:firstLine="480" w:firstLineChars="200"/>
        <w:jc w:val="both"/>
        <w:outlineLvl w:val="9"/>
        <w:rPr>
          <w:rFonts w:hint="eastAsia" w:ascii="仿宋" w:hAnsi="仿宋" w:eastAsia="仿宋" w:cs="仿宋"/>
          <w:color w:val="auto"/>
          <w:sz w:val="24"/>
          <w:szCs w:val="24"/>
          <w:highlight w:val="none"/>
          <w:lang w:val="en-US" w:eastAsia="zh-CN"/>
        </w:rPr>
      </w:pPr>
    </w:p>
    <w:p w14:paraId="12800E97">
      <w:pPr>
        <w:pStyle w:val="27"/>
        <w:keepLines w:val="0"/>
        <w:pageBreakBefore w:val="0"/>
        <w:shd w:val="clear" w:color="auto" w:fill="auto"/>
        <w:wordWrap/>
        <w:topLinePunct w:val="0"/>
        <w:bidi w:val="0"/>
        <w:spacing w:line="480" w:lineRule="exact"/>
        <w:ind w:firstLine="480" w:firstLineChars="200"/>
        <w:jc w:val="both"/>
        <w:outlineLvl w:val="9"/>
        <w:rPr>
          <w:rFonts w:hint="eastAsia" w:ascii="仿宋" w:hAnsi="仿宋" w:eastAsia="仿宋" w:cs="仿宋"/>
          <w:color w:val="auto"/>
          <w:sz w:val="24"/>
          <w:szCs w:val="24"/>
          <w:highlight w:val="none"/>
        </w:rPr>
        <w:sectPr>
          <w:pgSz w:w="11906" w:h="16838"/>
          <w:pgMar w:top="1417" w:right="1418" w:bottom="1417" w:left="1418" w:header="851" w:footer="850" w:gutter="0"/>
          <w:pgNumType w:fmt="decimal"/>
          <w:cols w:space="720" w:num="1"/>
          <w:rtlGutter w:val="0"/>
          <w:docGrid w:type="lines" w:linePitch="312" w:charSpace="0"/>
        </w:sectPr>
      </w:pPr>
    </w:p>
    <w:p w14:paraId="4A09F783">
      <w:pPr>
        <w:pStyle w:val="27"/>
        <w:keepLines w:val="0"/>
        <w:pageBreakBefore w:val="0"/>
        <w:shd w:val="clear" w:color="auto" w:fill="auto"/>
        <w:wordWrap/>
        <w:topLinePunct w:val="0"/>
        <w:bidi w:val="0"/>
        <w:spacing w:line="480" w:lineRule="exact"/>
        <w:jc w:val="center"/>
        <w:outlineLvl w:val="1"/>
        <w:rPr>
          <w:rFonts w:hint="eastAsia" w:ascii="仿宋" w:hAnsi="仿宋" w:eastAsia="仿宋" w:cs="仿宋"/>
          <w:b/>
          <w:color w:val="auto"/>
          <w:sz w:val="24"/>
          <w:szCs w:val="24"/>
          <w:highlight w:val="none"/>
          <w:lang w:val="en-US" w:eastAsia="zh-CN"/>
        </w:rPr>
      </w:pPr>
      <w:bookmarkStart w:id="1387" w:name="_Toc16268"/>
      <w:r>
        <w:rPr>
          <w:rFonts w:hint="eastAsia" w:ascii="仿宋" w:hAnsi="仿宋" w:eastAsia="仿宋" w:cs="仿宋"/>
          <w:b/>
          <w:color w:val="auto"/>
          <w:sz w:val="24"/>
          <w:szCs w:val="24"/>
          <w:highlight w:val="none"/>
          <w:lang w:val="en-US" w:eastAsia="zh-CN"/>
        </w:rPr>
        <w:t>商务部分</w:t>
      </w:r>
    </w:p>
    <w:p w14:paraId="319D7631">
      <w:pPr>
        <w:pStyle w:val="27"/>
        <w:keepLines w:val="0"/>
        <w:pageBreakBefore w:val="0"/>
        <w:shd w:val="clear" w:color="auto" w:fill="auto"/>
        <w:wordWrap/>
        <w:topLinePunct w:val="0"/>
        <w:bidi w:val="0"/>
        <w:spacing w:line="480" w:lineRule="exact"/>
        <w:jc w:val="center"/>
        <w:outlineLvl w:val="1"/>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1、投标函</w:t>
      </w:r>
      <w:bookmarkEnd w:id="1361"/>
      <w:bookmarkEnd w:id="1387"/>
    </w:p>
    <w:p w14:paraId="1F0133B5">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w:t>
      </w:r>
    </w:p>
    <w:p w14:paraId="31376A79">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我们收到你们</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u w:val="single"/>
          <w:lang w:val="en-US" w:eastAsia="zh-CN"/>
        </w:rPr>
        <w:t>名称</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，经认真研究，我们决定参加投标。</w:t>
      </w:r>
    </w:p>
    <w:p w14:paraId="2551E64E">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⒈按照</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中的一切要求，提供投标总价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小写+大写）</w:t>
      </w:r>
      <w:r>
        <w:rPr>
          <w:rFonts w:hint="eastAsia" w:ascii="仿宋" w:hAnsi="仿宋" w:eastAsia="仿宋" w:cs="仿宋"/>
          <w:color w:val="auto"/>
          <w:sz w:val="24"/>
          <w:szCs w:val="24"/>
          <w:highlight w:val="none"/>
        </w:rPr>
        <w:t>。</w:t>
      </w:r>
    </w:p>
    <w:p w14:paraId="68B8C902">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⒉如果我们</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被接受，我们将履行</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中规定的每一项要求，按期、按质、按量完成交货和完工任务。</w:t>
      </w:r>
    </w:p>
    <w:p w14:paraId="5EEBAA0B">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⒊我们同意按</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的规定，本投标</w:t>
      </w:r>
      <w:r>
        <w:rPr>
          <w:rFonts w:hint="eastAsia" w:ascii="仿宋" w:hAnsi="仿宋" w:eastAsia="仿宋" w:cs="仿宋"/>
          <w:color w:val="auto"/>
          <w:sz w:val="24"/>
          <w:szCs w:val="24"/>
          <w:highlight w:val="none"/>
          <w:lang w:val="en-US" w:eastAsia="zh-CN"/>
        </w:rPr>
        <w:t>文件</w:t>
      </w:r>
      <w:r>
        <w:rPr>
          <w:rFonts w:hint="eastAsia" w:ascii="仿宋" w:hAnsi="仿宋" w:eastAsia="仿宋" w:cs="仿宋"/>
          <w:color w:val="auto"/>
          <w:sz w:val="24"/>
          <w:szCs w:val="24"/>
          <w:highlight w:val="none"/>
        </w:rPr>
        <w:t xml:space="preserve">的有效期为开标后 </w:t>
      </w:r>
      <w:r>
        <w:rPr>
          <w:rFonts w:hint="eastAsia" w:ascii="仿宋" w:hAnsi="仿宋" w:eastAsia="仿宋" w:cs="仿宋"/>
          <w:b/>
          <w:color w:val="auto"/>
          <w:sz w:val="24"/>
          <w:szCs w:val="24"/>
          <w:highlight w:val="none"/>
          <w:u w:val="single"/>
          <w:lang w:val="en-US" w:eastAsia="zh-CN"/>
        </w:rPr>
        <w:t>90</w:t>
      </w:r>
      <w:r>
        <w:rPr>
          <w:rFonts w:hint="eastAsia" w:ascii="仿宋" w:hAnsi="仿宋" w:eastAsia="仿宋" w:cs="仿宋"/>
          <w:color w:val="auto"/>
          <w:sz w:val="24"/>
          <w:szCs w:val="24"/>
          <w:highlight w:val="none"/>
        </w:rPr>
        <w:t xml:space="preserve"> 天。</w:t>
      </w:r>
    </w:p>
    <w:p w14:paraId="28933101">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⒋我们愿意提供</w:t>
      </w: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中要求的所有资料。</w:t>
      </w:r>
    </w:p>
    <w:p w14:paraId="22C30B0E">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我们愿按</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履行自己的全部责任。</w:t>
      </w:r>
    </w:p>
    <w:p w14:paraId="622FDCB1">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我们同意按</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规定，交纳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元的</w:t>
      </w:r>
      <w:r>
        <w:rPr>
          <w:rFonts w:hint="eastAsia" w:ascii="仿宋" w:hAnsi="仿宋" w:eastAsia="仿宋" w:cs="仿宋"/>
          <w:color w:val="auto"/>
          <w:sz w:val="24"/>
          <w:szCs w:val="24"/>
          <w:highlight w:val="none"/>
          <w:lang w:eastAsia="zh-CN"/>
        </w:rPr>
        <w:t>磋商保证金</w:t>
      </w:r>
      <w:r>
        <w:rPr>
          <w:rFonts w:hint="eastAsia" w:ascii="仿宋" w:hAnsi="仿宋" w:eastAsia="仿宋" w:cs="仿宋"/>
          <w:color w:val="auto"/>
          <w:sz w:val="24"/>
          <w:szCs w:val="24"/>
          <w:highlight w:val="none"/>
        </w:rPr>
        <w:t>。</w:t>
      </w:r>
    </w:p>
    <w:p w14:paraId="6760ABDF">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7.供应商保证在招标文件中规定的合同履行期限内完成此项目的管理工作，合同履行期限为：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p w14:paraId="55096602">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 我方承诺，与采购人聘请的为此项目提供施工的公司及任何附属机构均无关联，我方不是买方的附属机构。</w:t>
      </w:r>
    </w:p>
    <w:p w14:paraId="0C640B43">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9.供应商同意提供按照贵方可能要求的与其投标有关的一切数据或资料，完全理解贵方不一定接受最低价的投标或收到的任何投标。</w:t>
      </w:r>
    </w:p>
    <w:p w14:paraId="3FA2C7EB">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.所有有关本标书的函电，请按下列地址联系：</w:t>
      </w:r>
    </w:p>
    <w:p w14:paraId="59D3A463">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       位：</w:t>
      </w:r>
    </w:p>
    <w:p w14:paraId="22470CFD">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p w14:paraId="05C04ED2">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p w14:paraId="43BC44AE">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 政 编 码：</w:t>
      </w:r>
    </w:p>
    <w:p w14:paraId="6D85E13B">
      <w:pPr>
        <w:pStyle w:val="27"/>
        <w:keepLines w:val="0"/>
        <w:pageBreakBefore w:val="0"/>
        <w:shd w:val="clear" w:color="auto" w:fill="auto"/>
        <w:wordWrap/>
        <w:topLinePunct w:val="0"/>
        <w:bidi w:val="0"/>
        <w:spacing w:line="480" w:lineRule="exact"/>
        <w:ind w:firstLine="567"/>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   系  人：        </w:t>
      </w:r>
    </w:p>
    <w:p w14:paraId="102BA816">
      <w:pPr>
        <w:keepLines w:val="0"/>
        <w:pageBreakBefore w:val="0"/>
        <w:shd w:val="clear" w:color="auto" w:fill="auto"/>
        <w:wordWrap/>
        <w:topLinePunct w:val="0"/>
        <w:bidi w:val="0"/>
        <w:spacing w:line="480" w:lineRule="exact"/>
        <w:ind w:firstLine="5280" w:firstLineChars="2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供应商名称（盖章）：                            </w:t>
      </w:r>
    </w:p>
    <w:p w14:paraId="240C28A1">
      <w:pPr>
        <w:keepLines w:val="0"/>
        <w:pageBreakBefore w:val="0"/>
        <w:shd w:val="clear" w:color="auto" w:fill="auto"/>
        <w:wordWrap/>
        <w:topLinePunct w:val="0"/>
        <w:bidi w:val="0"/>
        <w:spacing w:line="48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1EC485EF">
      <w:pPr>
        <w:keepLines w:val="0"/>
        <w:pageBreakBefore w:val="0"/>
        <w:shd w:val="clear" w:color="auto" w:fill="auto"/>
        <w:wordWrap/>
        <w:topLinePunct w:val="0"/>
        <w:bidi w:val="0"/>
        <w:spacing w:line="480" w:lineRule="exact"/>
        <w:ind w:firstLine="1080" w:firstLineChars="450"/>
        <w:jc w:val="left"/>
        <w:rPr>
          <w:rFonts w:hint="eastAsia" w:ascii="仿宋" w:hAnsi="仿宋" w:eastAsia="仿宋" w:cs="仿宋"/>
          <w:color w:val="auto"/>
          <w:sz w:val="24"/>
          <w:szCs w:val="24"/>
          <w:highlight w:val="none"/>
          <w:lang w:val="en-US" w:eastAsia="zh-CN"/>
        </w:rPr>
        <w:sectPr>
          <w:pgSz w:w="11906" w:h="16838"/>
          <w:pgMar w:top="1418" w:right="1134" w:bottom="1418" w:left="1418" w:header="851" w:footer="851" w:gutter="0"/>
          <w:pgNumType w:fmt="decimal"/>
          <w:cols w:space="720" w:num="1"/>
          <w:docGrid w:type="linesAndChars" w:linePitch="312" w:charSpace="0"/>
        </w:sect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val="en-US" w:eastAsia="zh-CN"/>
        </w:rPr>
        <w:t>日</w:t>
      </w:r>
    </w:p>
    <w:p w14:paraId="1A54BE21">
      <w:pPr>
        <w:keepLines w:val="0"/>
        <w:pageBreakBefore w:val="0"/>
        <w:shd w:val="clear" w:color="auto" w:fill="auto"/>
        <w:wordWrap/>
        <w:topLinePunct w:val="0"/>
        <w:bidi w:val="0"/>
        <w:spacing w:line="480" w:lineRule="exact"/>
        <w:jc w:val="center"/>
        <w:rPr>
          <w:rFonts w:hint="eastAsia" w:ascii="仿宋" w:hAnsi="仿宋" w:eastAsia="仿宋" w:cs="仿宋"/>
          <w:b/>
          <w:bCs/>
          <w:color w:val="auto"/>
          <w:sz w:val="24"/>
          <w:szCs w:val="24"/>
          <w:highlight w:val="none"/>
          <w:lang w:eastAsia="zh-CN"/>
        </w:rPr>
      </w:pPr>
      <w:bookmarkStart w:id="1388" w:name="_Toc498343980"/>
      <w:bookmarkStart w:id="1389" w:name="_Toc15849"/>
      <w:bookmarkStart w:id="1390" w:name="_Toc498343981"/>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投标承诺书</w:t>
      </w:r>
    </w:p>
    <w:p w14:paraId="1340E8BD">
      <w:pPr>
        <w:keepLines w:val="0"/>
        <w:pageBreakBefore w:val="0"/>
        <w:shd w:val="clear" w:color="auto" w:fill="auto"/>
        <w:wordWrap/>
        <w:topLinePunct w:val="0"/>
        <w:bidi w:val="0"/>
        <w:spacing w:line="480" w:lineRule="exact"/>
        <w:ind w:left="424" w:leftChars="202"/>
        <w:rPr>
          <w:rFonts w:hint="eastAsia" w:ascii="仿宋" w:hAnsi="仿宋" w:eastAsia="仿宋" w:cs="仿宋"/>
          <w:b/>
          <w:color w:val="auto"/>
          <w:sz w:val="24"/>
          <w:szCs w:val="24"/>
          <w:highlight w:val="none"/>
        </w:rPr>
      </w:pPr>
    </w:p>
    <w:p w14:paraId="1758D8FC">
      <w:pPr>
        <w:keepLines w:val="0"/>
        <w:pageBreakBefore w:val="0"/>
        <w:shd w:val="clear" w:color="auto" w:fill="auto"/>
        <w:wordWrap/>
        <w:topLinePunct w:val="0"/>
        <w:bidi w:val="0"/>
        <w:spacing w:line="480" w:lineRule="exact"/>
        <w:ind w:left="424" w:leftChars="202"/>
        <w:jc w:val="center"/>
        <w:rPr>
          <w:rFonts w:hint="eastAsia" w:ascii="仿宋" w:hAnsi="仿宋" w:eastAsia="仿宋" w:cs="仿宋"/>
          <w:b/>
          <w:color w:val="auto"/>
          <w:sz w:val="24"/>
          <w:szCs w:val="24"/>
          <w:highlight w:val="none"/>
        </w:rPr>
      </w:pPr>
    </w:p>
    <w:p w14:paraId="395306C2">
      <w:pPr>
        <w:keepLines w:val="0"/>
        <w:pageBreakBefore w:val="0"/>
        <w:shd w:val="clear" w:color="auto" w:fill="auto"/>
        <w:wordWrap/>
        <w:topLinePunct w:val="0"/>
        <w:bidi w:val="0"/>
        <w:spacing w:line="480" w:lineRule="exact"/>
        <w:ind w:left="424" w:leftChars="202"/>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招标人：</w:t>
      </w:r>
      <w:r>
        <w:rPr>
          <w:rFonts w:hint="eastAsia" w:ascii="仿宋" w:hAnsi="仿宋" w:eastAsia="仿宋" w:cs="仿宋"/>
          <w:color w:val="auto"/>
          <w:sz w:val="24"/>
          <w:szCs w:val="24"/>
          <w:highlight w:val="none"/>
          <w:u w:val="single"/>
        </w:rPr>
        <w:t xml:space="preserve">             </w:t>
      </w:r>
    </w:p>
    <w:p w14:paraId="3D065459">
      <w:pPr>
        <w:keepLines w:val="0"/>
        <w:pageBreakBefore w:val="0"/>
        <w:shd w:val="clear" w:color="auto" w:fill="auto"/>
        <w:wordWrap/>
        <w:topLinePunct w:val="0"/>
        <w:bidi w:val="0"/>
        <w:spacing w:line="480" w:lineRule="exact"/>
        <w:ind w:left="424" w:left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若我公司</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后，项目负责人为：</w:t>
      </w:r>
    </w:p>
    <w:p w14:paraId="320872C2">
      <w:pPr>
        <w:keepLines w:val="0"/>
        <w:pageBreakBefore w:val="0"/>
        <w:shd w:val="clear" w:color="auto" w:fill="auto"/>
        <w:wordWrap/>
        <w:topLinePunct w:val="0"/>
        <w:bidi w:val="0"/>
        <w:spacing w:line="480" w:lineRule="exact"/>
        <w:ind w:left="424" w:leftChars="202"/>
        <w:rPr>
          <w:rFonts w:hint="eastAsia" w:ascii="仿宋" w:hAnsi="仿宋" w:eastAsia="仿宋" w:cs="仿宋"/>
          <w:color w:val="auto"/>
          <w:sz w:val="24"/>
          <w:szCs w:val="24"/>
          <w:highlight w:val="none"/>
        </w:rPr>
      </w:pPr>
    </w:p>
    <w:tbl>
      <w:tblPr>
        <w:tblStyle w:val="20"/>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2"/>
        <w:gridCol w:w="2119"/>
        <w:gridCol w:w="2324"/>
        <w:gridCol w:w="2309"/>
      </w:tblGrid>
      <w:tr w14:paraId="2C41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2" w:type="dxa"/>
            <w:noWrap w:val="0"/>
            <w:vAlign w:val="top"/>
          </w:tcPr>
          <w:p w14:paraId="6AAFD316">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2119" w:type="dxa"/>
            <w:noWrap w:val="0"/>
            <w:vAlign w:val="top"/>
          </w:tcPr>
          <w:p w14:paraId="5D2C9C67">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2324" w:type="dxa"/>
            <w:noWrap w:val="0"/>
            <w:vAlign w:val="top"/>
          </w:tcPr>
          <w:p w14:paraId="0F01BFB7">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证书编号</w:t>
            </w:r>
          </w:p>
        </w:tc>
        <w:tc>
          <w:tcPr>
            <w:tcW w:w="2309" w:type="dxa"/>
            <w:noWrap w:val="0"/>
            <w:vAlign w:val="top"/>
          </w:tcPr>
          <w:p w14:paraId="755FEA95">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r>
      <w:tr w14:paraId="3EC8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2" w:type="dxa"/>
            <w:noWrap w:val="0"/>
            <w:vAlign w:val="top"/>
          </w:tcPr>
          <w:p w14:paraId="519B8225">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资格证书</w:t>
            </w:r>
          </w:p>
        </w:tc>
        <w:tc>
          <w:tcPr>
            <w:tcW w:w="6752" w:type="dxa"/>
            <w:gridSpan w:val="3"/>
            <w:noWrap w:val="0"/>
            <w:vAlign w:val="top"/>
          </w:tcPr>
          <w:p w14:paraId="40B77568">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r>
      <w:tr w14:paraId="1408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12" w:type="dxa"/>
            <w:noWrap w:val="0"/>
            <w:vAlign w:val="top"/>
          </w:tcPr>
          <w:p w14:paraId="398B3DE9">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tc>
        <w:tc>
          <w:tcPr>
            <w:tcW w:w="6752" w:type="dxa"/>
            <w:gridSpan w:val="3"/>
            <w:noWrap w:val="0"/>
            <w:vAlign w:val="top"/>
          </w:tcPr>
          <w:p w14:paraId="44248CEB">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r>
    </w:tbl>
    <w:p w14:paraId="7266F3A1">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74F63EDA">
      <w:pPr>
        <w:keepLines w:val="0"/>
        <w:pageBreakBefore w:val="0"/>
        <w:shd w:val="clear" w:color="auto" w:fill="auto"/>
        <w:wordWrap/>
        <w:topLinePunct w:val="0"/>
        <w:bidi w:val="0"/>
        <w:spacing w:line="48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后，若由于特殊原因须更换时，我方将以不低于此项目负责人的人员替换，并报业主审查。经审查通过后，方可更换。若未经业主批准，我方擅自更换，我方愿以合同价的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作为赔偿金。</w:t>
      </w:r>
    </w:p>
    <w:p w14:paraId="54E0CA92">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74829C66">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5289E61C">
      <w:pPr>
        <w:pStyle w:val="28"/>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451EF184">
      <w:pPr>
        <w:pStyle w:val="28"/>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7BA260FB">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0B3D5D8D">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0E38265A">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（盖章）</w:t>
      </w:r>
    </w:p>
    <w:p w14:paraId="11F8E25C">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7E52576F">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5CF4FE6F">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1F63B6A7">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val="en-US" w:eastAsia="zh-CN"/>
        </w:rPr>
        <w:t>日</w:t>
      </w:r>
      <w:r>
        <w:rPr>
          <w:rFonts w:hint="eastAsia" w:ascii="仿宋" w:hAnsi="仿宋" w:eastAsia="仿宋" w:cs="仿宋"/>
          <w:color w:val="auto"/>
          <w:sz w:val="24"/>
          <w:szCs w:val="24"/>
          <w:highlight w:val="none"/>
        </w:rPr>
        <w:t xml:space="preserve">  </w:t>
      </w:r>
    </w:p>
    <w:p w14:paraId="0B279941">
      <w:pPr>
        <w:pStyle w:val="28"/>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2CCE3A04">
      <w:pPr>
        <w:pStyle w:val="28"/>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0142FA4A">
      <w:pPr>
        <w:pStyle w:val="28"/>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1262802C">
      <w:pPr>
        <w:pStyle w:val="28"/>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39AF5600">
      <w:pPr>
        <w:pStyle w:val="28"/>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0DF03C28">
      <w:pPr>
        <w:pStyle w:val="4"/>
        <w:keepLines w:val="0"/>
        <w:pageBreakBefore w:val="0"/>
        <w:numPr>
          <w:ilvl w:val="0"/>
          <w:numId w:val="0"/>
        </w:numPr>
        <w:shd w:val="clear" w:color="auto" w:fill="auto"/>
        <w:wordWrap/>
        <w:topLinePunct w:val="0"/>
        <w:bidi w:val="0"/>
        <w:spacing w:line="48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、法定代表人授权委托书</w:t>
      </w:r>
      <w:bookmarkEnd w:id="1388"/>
      <w:bookmarkEnd w:id="1389"/>
    </w:p>
    <w:p w14:paraId="5E1D1D7E">
      <w:pPr>
        <w:pStyle w:val="4"/>
        <w:keepLines w:val="0"/>
        <w:pageBreakBefore w:val="0"/>
        <w:numPr>
          <w:ilvl w:val="0"/>
          <w:numId w:val="0"/>
        </w:numPr>
        <w:shd w:val="clear" w:color="auto" w:fill="auto"/>
        <w:wordWrap/>
        <w:topLinePunct w:val="0"/>
        <w:bidi w:val="0"/>
        <w:spacing w:line="480" w:lineRule="exact"/>
        <w:jc w:val="left"/>
        <w:outlineLvl w:val="9"/>
        <w:rPr>
          <w:rFonts w:hint="eastAsia" w:ascii="仿宋" w:hAnsi="仿宋" w:eastAsia="仿宋" w:cs="仿宋"/>
          <w:b w:val="0"/>
          <w:snapToGrid w:val="0"/>
          <w:color w:val="auto"/>
          <w:kern w:val="0"/>
          <w:sz w:val="24"/>
          <w:szCs w:val="24"/>
          <w:highlight w:val="none"/>
          <w:lang w:val="en-US" w:eastAsia="zh-CN" w:bidi="ar-SA"/>
        </w:rPr>
      </w:pPr>
      <w:r>
        <w:rPr>
          <w:rFonts w:hint="eastAsia" w:ascii="仿宋" w:hAnsi="仿宋" w:eastAsia="仿宋" w:cs="仿宋"/>
          <w:b w:val="0"/>
          <w:snapToGrid w:val="0"/>
          <w:color w:val="auto"/>
          <w:kern w:val="0"/>
          <w:sz w:val="24"/>
          <w:szCs w:val="24"/>
          <w:highlight w:val="none"/>
          <w:lang w:val="en-US" w:eastAsia="zh-CN" w:bidi="ar-SA"/>
        </w:rPr>
        <w:t>附件1－1　法定代表人身份证明复印件(法定代表人参加投标)</w:t>
      </w:r>
    </w:p>
    <w:p w14:paraId="7151E2E8">
      <w:pPr>
        <w:pStyle w:val="4"/>
        <w:keepLines w:val="0"/>
        <w:pageBreakBefore w:val="0"/>
        <w:numPr>
          <w:ilvl w:val="0"/>
          <w:numId w:val="0"/>
        </w:numPr>
        <w:shd w:val="clear" w:color="auto" w:fill="auto"/>
        <w:wordWrap/>
        <w:topLinePunct w:val="0"/>
        <w:bidi w:val="0"/>
        <w:spacing w:line="480" w:lineRule="exact"/>
        <w:jc w:val="left"/>
        <w:outlineLvl w:val="9"/>
        <w:rPr>
          <w:rFonts w:hint="eastAsia" w:ascii="仿宋" w:hAnsi="仿宋" w:eastAsia="仿宋" w:cs="仿宋"/>
          <w:b w:val="0"/>
          <w:snapToGrid w:val="0"/>
          <w:color w:val="auto"/>
          <w:kern w:val="0"/>
          <w:sz w:val="24"/>
          <w:szCs w:val="24"/>
          <w:highlight w:val="none"/>
          <w:lang w:val="en-US" w:eastAsia="zh-CN" w:bidi="ar-SA"/>
        </w:rPr>
      </w:pPr>
    </w:p>
    <w:tbl>
      <w:tblPr>
        <w:tblStyle w:val="20"/>
        <w:tblW w:w="51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14:paraId="17124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118" w:type="dxa"/>
            <w:tcBorders>
              <w:top w:val="single" w:color="auto" w:sz="4" w:space="0"/>
              <w:bottom w:val="single" w:color="auto" w:sz="4" w:space="0"/>
            </w:tcBorders>
            <w:vAlign w:val="center"/>
          </w:tcPr>
          <w:p w14:paraId="3748A7BB">
            <w:pPr>
              <w:pStyle w:val="4"/>
              <w:keepLines w:val="0"/>
              <w:pageBreakBefore w:val="0"/>
              <w:numPr>
                <w:ilvl w:val="0"/>
                <w:numId w:val="0"/>
              </w:numPr>
              <w:shd w:val="clear" w:color="auto" w:fill="auto"/>
              <w:wordWrap/>
              <w:topLinePunct w:val="0"/>
              <w:bidi w:val="0"/>
              <w:spacing w:line="480" w:lineRule="exact"/>
              <w:jc w:val="center"/>
              <w:outlineLvl w:val="9"/>
              <w:rPr>
                <w:rFonts w:hint="eastAsia" w:ascii="仿宋" w:hAnsi="仿宋" w:eastAsia="仿宋" w:cs="仿宋"/>
                <w:b w:val="0"/>
                <w:snapToGrid w:val="0"/>
                <w:color w:val="auto"/>
                <w:kern w:val="0"/>
                <w:sz w:val="24"/>
                <w:szCs w:val="24"/>
                <w:highlight w:val="none"/>
                <w:lang w:val="en-US" w:eastAsia="zh-CN" w:bidi="ar-SA"/>
              </w:rPr>
            </w:pPr>
            <w:r>
              <w:rPr>
                <w:rFonts w:hint="eastAsia" w:ascii="仿宋" w:hAnsi="仿宋" w:eastAsia="仿宋" w:cs="仿宋"/>
                <w:b w:val="0"/>
                <w:snapToGrid w:val="0"/>
                <w:color w:val="auto"/>
                <w:kern w:val="0"/>
                <w:sz w:val="24"/>
                <w:szCs w:val="24"/>
                <w:highlight w:val="none"/>
                <w:lang w:val="en-US" w:eastAsia="zh-CN" w:bidi="ar-SA"/>
              </w:rPr>
              <w:t>法定代表人身份证明复印件</w:t>
            </w:r>
          </w:p>
          <w:p w14:paraId="3F7D24AD">
            <w:pPr>
              <w:pStyle w:val="4"/>
              <w:keepLines w:val="0"/>
              <w:pageBreakBefore w:val="0"/>
              <w:numPr>
                <w:ilvl w:val="0"/>
                <w:numId w:val="0"/>
              </w:numPr>
              <w:shd w:val="clear" w:color="auto" w:fill="auto"/>
              <w:wordWrap/>
              <w:topLinePunct w:val="0"/>
              <w:bidi w:val="0"/>
              <w:spacing w:line="480" w:lineRule="exact"/>
              <w:jc w:val="center"/>
              <w:outlineLvl w:val="9"/>
              <w:rPr>
                <w:rFonts w:hint="eastAsia" w:ascii="仿宋" w:hAnsi="仿宋" w:eastAsia="仿宋" w:cs="仿宋"/>
                <w:b w:val="0"/>
                <w:snapToGrid w:val="0"/>
                <w:color w:val="auto"/>
                <w:kern w:val="0"/>
                <w:sz w:val="24"/>
                <w:szCs w:val="24"/>
                <w:highlight w:val="none"/>
                <w:lang w:val="en-US" w:eastAsia="en-US" w:bidi="ar-SA"/>
              </w:rPr>
            </w:pPr>
            <w:r>
              <w:rPr>
                <w:rFonts w:hint="eastAsia" w:ascii="仿宋" w:hAnsi="仿宋" w:eastAsia="仿宋" w:cs="仿宋"/>
                <w:b w:val="0"/>
                <w:snapToGrid w:val="0"/>
                <w:color w:val="auto"/>
                <w:kern w:val="0"/>
                <w:sz w:val="24"/>
                <w:szCs w:val="24"/>
                <w:highlight w:val="none"/>
                <w:lang w:val="en-US" w:eastAsia="en-US" w:bidi="ar-SA"/>
              </w:rPr>
              <w:t>正反面</w:t>
            </w:r>
          </w:p>
        </w:tc>
      </w:tr>
    </w:tbl>
    <w:p w14:paraId="60493025">
      <w:pPr>
        <w:pStyle w:val="4"/>
        <w:keepLines w:val="0"/>
        <w:pageBreakBefore w:val="0"/>
        <w:numPr>
          <w:ilvl w:val="0"/>
          <w:numId w:val="0"/>
        </w:numPr>
        <w:shd w:val="clear" w:color="auto" w:fill="auto"/>
        <w:wordWrap/>
        <w:topLinePunct w:val="0"/>
        <w:bidi w:val="0"/>
        <w:spacing w:line="480" w:lineRule="exact"/>
        <w:jc w:val="left"/>
        <w:outlineLvl w:val="9"/>
        <w:rPr>
          <w:rFonts w:hint="eastAsia" w:ascii="仿宋" w:hAnsi="仿宋" w:eastAsia="仿宋" w:cs="仿宋"/>
          <w:b w:val="0"/>
          <w:snapToGrid w:val="0"/>
          <w:color w:val="auto"/>
          <w:kern w:val="0"/>
          <w:sz w:val="24"/>
          <w:szCs w:val="24"/>
          <w:highlight w:val="none"/>
          <w:lang w:val="en-US" w:eastAsia="en-US" w:bidi="ar-SA"/>
        </w:rPr>
      </w:pPr>
    </w:p>
    <w:p w14:paraId="386ED71F">
      <w:pPr>
        <w:pStyle w:val="4"/>
        <w:keepLines w:val="0"/>
        <w:pageBreakBefore w:val="0"/>
        <w:numPr>
          <w:ilvl w:val="0"/>
          <w:numId w:val="0"/>
        </w:numPr>
        <w:shd w:val="clear" w:color="auto" w:fill="auto"/>
        <w:wordWrap/>
        <w:topLinePunct w:val="0"/>
        <w:bidi w:val="0"/>
        <w:spacing w:line="480" w:lineRule="exact"/>
        <w:jc w:val="left"/>
        <w:outlineLvl w:val="9"/>
        <w:rPr>
          <w:rFonts w:hint="eastAsia" w:ascii="仿宋" w:hAnsi="仿宋" w:eastAsia="仿宋" w:cs="仿宋"/>
          <w:b w:val="0"/>
          <w:snapToGrid w:val="0"/>
          <w:color w:val="auto"/>
          <w:kern w:val="0"/>
          <w:sz w:val="24"/>
          <w:szCs w:val="24"/>
          <w:highlight w:val="none"/>
          <w:lang w:val="en-US" w:eastAsia="zh-CN" w:bidi="ar-SA"/>
        </w:rPr>
      </w:pPr>
      <w:r>
        <w:rPr>
          <w:rFonts w:hint="eastAsia" w:ascii="仿宋" w:hAnsi="仿宋" w:eastAsia="仿宋" w:cs="仿宋"/>
          <w:b w:val="0"/>
          <w:snapToGrid w:val="0"/>
          <w:color w:val="auto"/>
          <w:kern w:val="0"/>
          <w:sz w:val="24"/>
          <w:szCs w:val="24"/>
          <w:highlight w:val="none"/>
          <w:lang w:val="en-US" w:eastAsia="zh-CN" w:bidi="ar-SA"/>
        </w:rPr>
        <w:t>附件1－2　法定代表人授权委托书(授权代表参加投标)</w:t>
      </w:r>
    </w:p>
    <w:p w14:paraId="07618CCD">
      <w:pPr>
        <w:pStyle w:val="4"/>
        <w:keepLines w:val="0"/>
        <w:pageBreakBefore w:val="0"/>
        <w:numPr>
          <w:ilvl w:val="0"/>
          <w:numId w:val="0"/>
        </w:numPr>
        <w:shd w:val="clear" w:color="auto" w:fill="auto"/>
        <w:wordWrap/>
        <w:topLinePunct w:val="0"/>
        <w:bidi w:val="0"/>
        <w:spacing w:line="480" w:lineRule="exact"/>
        <w:jc w:val="center"/>
        <w:outlineLvl w:val="9"/>
        <w:rPr>
          <w:rFonts w:hint="eastAsia" w:ascii="仿宋" w:hAnsi="仿宋" w:eastAsia="仿宋" w:cs="仿宋"/>
          <w:b w:val="0"/>
          <w:snapToGrid w:val="0"/>
          <w:color w:val="auto"/>
          <w:kern w:val="0"/>
          <w:sz w:val="24"/>
          <w:szCs w:val="24"/>
          <w:highlight w:val="none"/>
          <w:lang w:val="en-US" w:eastAsia="en-US" w:bidi="ar-SA"/>
        </w:rPr>
      </w:pPr>
      <w:r>
        <w:rPr>
          <w:rFonts w:hint="eastAsia" w:ascii="仿宋" w:hAnsi="仿宋" w:eastAsia="仿宋" w:cs="仿宋"/>
          <w:b w:val="0"/>
          <w:snapToGrid w:val="0"/>
          <w:color w:val="auto"/>
          <w:kern w:val="0"/>
          <w:sz w:val="24"/>
          <w:szCs w:val="24"/>
          <w:highlight w:val="none"/>
          <w:lang w:val="en-US" w:eastAsia="en-US" w:bidi="ar-SA"/>
        </w:rPr>
        <w:t>法定代表人授权委托书</w:t>
      </w:r>
    </w:p>
    <w:p w14:paraId="3324A4F1">
      <w:pPr>
        <w:keepLines w:val="0"/>
        <w:pageBreakBefore w:val="0"/>
        <w:shd w:val="clear" w:color="auto" w:fill="auto"/>
        <w:wordWrap/>
        <w:topLinePunct w:val="0"/>
        <w:bidi w:val="0"/>
        <w:spacing w:line="480" w:lineRule="exact"/>
        <w:ind w:firstLine="6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本授权委托书声明：我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（供应商名称）的法定代表人，现授权委托</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 xml:space="preserve">（供应商名称）的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（姓名）为我的代理人，以本公司的名义参加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rPr>
        <w:t>项目的投标活动。代理人在参加整个项目招标投标活动过程中所签署的一切文件和处理与之有关的一切</w:t>
      </w:r>
      <w:r>
        <w:rPr>
          <w:rFonts w:hint="eastAsia" w:ascii="仿宋" w:hAnsi="仿宋" w:eastAsia="仿宋" w:cs="仿宋"/>
          <w:color w:val="auto"/>
          <w:sz w:val="24"/>
          <w:szCs w:val="24"/>
          <w:highlight w:val="none"/>
          <w:lang w:eastAsia="zh-CN"/>
        </w:rPr>
        <w:t>事务</w:t>
      </w:r>
      <w:r>
        <w:rPr>
          <w:rFonts w:hint="eastAsia" w:ascii="仿宋" w:hAnsi="仿宋" w:eastAsia="仿宋" w:cs="仿宋"/>
          <w:color w:val="auto"/>
          <w:sz w:val="24"/>
          <w:szCs w:val="24"/>
          <w:highlight w:val="none"/>
        </w:rPr>
        <w:t>，我均予以承认。</w:t>
      </w:r>
    </w:p>
    <w:p w14:paraId="6D5ED868">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w:t>
      </w:r>
    </w:p>
    <w:p w14:paraId="6913CBC2">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p>
    <w:p w14:paraId="4A259ECD">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部门：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14:paraId="260954D7">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代理人无转委权。特此委托。</w:t>
      </w:r>
    </w:p>
    <w:tbl>
      <w:tblPr>
        <w:tblStyle w:val="20"/>
        <w:tblpPr w:leftFromText="180" w:rightFromText="180" w:vertAnchor="text" w:horzAnchor="page" w:tblpX="2305" w:tblpY="42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40"/>
      </w:tblGrid>
      <w:tr w14:paraId="628FF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3" w:hRule="atLeast"/>
        </w:trPr>
        <w:tc>
          <w:tcPr>
            <w:tcW w:w="3340" w:type="dxa"/>
            <w:tcBorders>
              <w:top w:val="single" w:color="auto" w:sz="4" w:space="0"/>
              <w:bottom w:val="single" w:color="auto" w:sz="4" w:space="0"/>
            </w:tcBorders>
            <w:noWrap w:val="0"/>
            <w:vAlign w:val="center"/>
          </w:tcPr>
          <w:p w14:paraId="41FB85E9">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法定代表人身份证明复印件</w:t>
            </w:r>
          </w:p>
          <w:p w14:paraId="17D64220">
            <w:pPr>
              <w:keepLines w:val="0"/>
              <w:pageBreakBefore w:val="0"/>
              <w:shd w:val="clear" w:color="auto" w:fill="auto"/>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正反面</w:t>
            </w:r>
          </w:p>
        </w:tc>
      </w:tr>
    </w:tbl>
    <w:tbl>
      <w:tblPr>
        <w:tblStyle w:val="20"/>
        <w:tblpPr w:leftFromText="180" w:rightFromText="180" w:vertAnchor="text" w:horzAnchor="page" w:tblpX="6246" w:tblpY="427"/>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0"/>
      </w:tblGrid>
      <w:tr w14:paraId="79636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5" w:hRule="atLeast"/>
        </w:trPr>
        <w:tc>
          <w:tcPr>
            <w:tcW w:w="3260" w:type="dxa"/>
            <w:tcBorders>
              <w:top w:val="single" w:color="auto" w:sz="4" w:space="0"/>
              <w:bottom w:val="single" w:color="auto" w:sz="4" w:space="0"/>
            </w:tcBorders>
            <w:noWrap w:val="0"/>
            <w:vAlign w:val="center"/>
          </w:tcPr>
          <w:p w14:paraId="3899BE44">
            <w:pPr>
              <w:keepLines w:val="0"/>
              <w:pageBreakBefore w:val="0"/>
              <w:shd w:val="clear" w:color="auto" w:fill="auto"/>
              <w:kinsoku/>
              <w:wordWrap/>
              <w:overflowPunct/>
              <w:topLinePunct w:val="0"/>
              <w:autoSpaceDE/>
              <w:autoSpaceDN/>
              <w:bidi w:val="0"/>
              <w:spacing w:line="48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授权代表身份证明复印件</w:t>
            </w:r>
          </w:p>
          <w:p w14:paraId="3CC71485">
            <w:pPr>
              <w:keepLines w:val="0"/>
              <w:pageBreakBefore w:val="0"/>
              <w:shd w:val="clear" w:color="auto" w:fill="auto"/>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正反面</w:t>
            </w:r>
          </w:p>
        </w:tc>
      </w:tr>
    </w:tbl>
    <w:p w14:paraId="709E3428">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74E75371">
      <w:pPr>
        <w:pStyle w:val="4"/>
        <w:keepLines w:val="0"/>
        <w:pageBreakBefore w:val="0"/>
        <w:numPr>
          <w:ilvl w:val="0"/>
          <w:numId w:val="0"/>
        </w:numPr>
        <w:shd w:val="clear" w:color="auto" w:fill="auto"/>
        <w:wordWrap/>
        <w:topLinePunct w:val="0"/>
        <w:bidi w:val="0"/>
        <w:spacing w:line="480" w:lineRule="exact"/>
        <w:jc w:val="center"/>
        <w:outlineLvl w:val="9"/>
        <w:rPr>
          <w:rFonts w:hint="eastAsia" w:ascii="仿宋" w:hAnsi="仿宋" w:eastAsia="仿宋" w:cs="仿宋"/>
          <w:b w:val="0"/>
          <w:color w:val="auto"/>
          <w:sz w:val="24"/>
          <w:szCs w:val="24"/>
          <w:highlight w:val="none"/>
        </w:rPr>
      </w:pPr>
    </w:p>
    <w:p w14:paraId="1F6F42B5">
      <w:pPr>
        <w:pStyle w:val="4"/>
        <w:keepLines w:val="0"/>
        <w:pageBreakBefore w:val="0"/>
        <w:numPr>
          <w:ilvl w:val="0"/>
          <w:numId w:val="0"/>
        </w:numPr>
        <w:shd w:val="clear" w:color="auto" w:fill="auto"/>
        <w:wordWrap/>
        <w:topLinePunct w:val="0"/>
        <w:bidi w:val="0"/>
        <w:spacing w:line="480" w:lineRule="exact"/>
        <w:jc w:val="center"/>
        <w:outlineLvl w:val="9"/>
        <w:rPr>
          <w:rFonts w:hint="eastAsia" w:ascii="仿宋" w:hAnsi="仿宋" w:eastAsia="仿宋" w:cs="仿宋"/>
          <w:b w:val="0"/>
          <w:color w:val="auto"/>
          <w:sz w:val="24"/>
          <w:szCs w:val="24"/>
          <w:highlight w:val="none"/>
        </w:rPr>
      </w:pPr>
    </w:p>
    <w:p w14:paraId="2BAA0F67">
      <w:pPr>
        <w:pStyle w:val="4"/>
        <w:keepLines w:val="0"/>
        <w:pageBreakBefore w:val="0"/>
        <w:numPr>
          <w:ilvl w:val="0"/>
          <w:numId w:val="0"/>
        </w:numPr>
        <w:shd w:val="clear" w:color="auto" w:fill="auto"/>
        <w:wordWrap/>
        <w:topLinePunct w:val="0"/>
        <w:bidi w:val="0"/>
        <w:spacing w:line="480" w:lineRule="exact"/>
        <w:jc w:val="center"/>
        <w:outlineLvl w:val="9"/>
        <w:rPr>
          <w:rFonts w:hint="eastAsia" w:ascii="仿宋" w:hAnsi="仿宋" w:eastAsia="仿宋" w:cs="仿宋"/>
          <w:b w:val="0"/>
          <w:color w:val="auto"/>
          <w:sz w:val="24"/>
          <w:szCs w:val="24"/>
          <w:highlight w:val="none"/>
        </w:rPr>
      </w:pPr>
    </w:p>
    <w:p w14:paraId="4E1CF29E">
      <w:pPr>
        <w:pStyle w:val="4"/>
        <w:keepLines w:val="0"/>
        <w:pageBreakBefore w:val="0"/>
        <w:numPr>
          <w:ilvl w:val="0"/>
          <w:numId w:val="0"/>
        </w:numPr>
        <w:shd w:val="clear" w:color="auto" w:fill="auto"/>
        <w:wordWrap/>
        <w:topLinePunct w:val="0"/>
        <w:bidi w:val="0"/>
        <w:spacing w:line="480" w:lineRule="exact"/>
        <w:jc w:val="center"/>
        <w:outlineLvl w:val="9"/>
        <w:rPr>
          <w:rFonts w:hint="eastAsia" w:ascii="仿宋" w:hAnsi="仿宋" w:eastAsia="仿宋" w:cs="仿宋"/>
          <w:b w:val="0"/>
          <w:color w:val="auto"/>
          <w:sz w:val="24"/>
          <w:szCs w:val="24"/>
          <w:highlight w:val="none"/>
        </w:rPr>
      </w:pPr>
    </w:p>
    <w:p w14:paraId="20EE845C">
      <w:pPr>
        <w:keepLines w:val="0"/>
        <w:pageBreakBefore w:val="0"/>
        <w:shd w:val="clear" w:color="auto" w:fill="auto"/>
        <w:wordWrap/>
        <w:topLinePunct w:val="0"/>
        <w:bidi w:val="0"/>
        <w:spacing w:line="480" w:lineRule="exact"/>
        <w:rPr>
          <w:rFonts w:hint="eastAsia" w:ascii="仿宋" w:hAnsi="仿宋" w:eastAsia="仿宋" w:cs="仿宋"/>
          <w:b/>
          <w:color w:val="auto"/>
          <w:sz w:val="24"/>
          <w:szCs w:val="24"/>
          <w:highlight w:val="none"/>
        </w:rPr>
      </w:pPr>
    </w:p>
    <w:p w14:paraId="6F2BE467">
      <w:pPr>
        <w:pStyle w:val="4"/>
        <w:keepLines w:val="0"/>
        <w:pageBreakBefore w:val="0"/>
        <w:numPr>
          <w:ilvl w:val="0"/>
          <w:numId w:val="0"/>
        </w:numPr>
        <w:shd w:val="clear" w:color="auto" w:fill="auto"/>
        <w:wordWrap/>
        <w:topLinePunct w:val="0"/>
        <w:bidi w:val="0"/>
        <w:spacing w:line="480" w:lineRule="exact"/>
        <w:jc w:val="both"/>
        <w:outlineLvl w:val="9"/>
        <w:rPr>
          <w:rFonts w:hint="eastAsia" w:ascii="仿宋" w:hAnsi="仿宋" w:eastAsia="仿宋" w:cs="仿宋"/>
          <w:b w:val="0"/>
          <w:color w:val="auto"/>
          <w:sz w:val="24"/>
          <w:szCs w:val="24"/>
          <w:highlight w:val="none"/>
        </w:rPr>
      </w:pPr>
    </w:p>
    <w:p w14:paraId="545C2B29">
      <w:pPr>
        <w:keepLines w:val="0"/>
        <w:pageBreakBefore w:val="0"/>
        <w:shd w:val="clear" w:color="auto" w:fill="auto"/>
        <w:wordWrap/>
        <w:topLinePunct w:val="0"/>
        <w:bidi w:val="0"/>
        <w:spacing w:line="480" w:lineRule="exact"/>
        <w:ind w:firstLine="5280" w:firstLineChars="2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供应商名称（盖章）：                            </w:t>
      </w:r>
    </w:p>
    <w:p w14:paraId="37D5F009">
      <w:pPr>
        <w:keepLines w:val="0"/>
        <w:pageBreakBefore w:val="0"/>
        <w:shd w:val="clear" w:color="auto" w:fill="auto"/>
        <w:wordWrap/>
        <w:topLinePunct w:val="0"/>
        <w:bidi w:val="0"/>
        <w:spacing w:line="480" w:lineRule="exact"/>
        <w:ind w:left="0" w:leftChars="0" w:firstLine="4320" w:firstLineChars="18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256895E3">
      <w:pPr>
        <w:keepLines w:val="0"/>
        <w:pageBreakBefore w:val="0"/>
        <w:shd w:val="clear" w:color="auto" w:fill="auto"/>
        <w:wordWrap/>
        <w:topLinePunct w:val="0"/>
        <w:bidi w:val="0"/>
        <w:spacing w:line="480" w:lineRule="exact"/>
        <w:ind w:left="0" w:leftChars="0" w:firstLine="4320" w:firstLineChars="1800"/>
        <w:jc w:val="left"/>
        <w:rPr>
          <w:rFonts w:hint="eastAsia" w:ascii="仿宋" w:hAnsi="仿宋" w:eastAsia="仿宋" w:cs="仿宋"/>
          <w:color w:val="auto"/>
          <w:sz w:val="24"/>
          <w:szCs w:val="24"/>
          <w:highlight w:val="none"/>
        </w:rPr>
        <w:sectPr>
          <w:pgSz w:w="11906" w:h="16838"/>
          <w:pgMar w:top="1418" w:right="1134" w:bottom="1418" w:left="1418" w:header="851" w:footer="851" w:gutter="0"/>
          <w:pgNumType w:fmt="decimal"/>
          <w:cols w:space="720" w:num="1"/>
          <w:docGrid w:type="linesAndChars" w:linePitch="312" w:charSpace="0"/>
        </w:sect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A0BDA94">
      <w:pPr>
        <w:pStyle w:val="29"/>
        <w:keepLines w:val="0"/>
        <w:pageBreakBefore w:val="0"/>
        <w:numPr>
          <w:ilvl w:val="0"/>
          <w:numId w:val="0"/>
        </w:numPr>
        <w:shd w:val="clear" w:color="auto" w:fill="auto"/>
        <w:wordWrap/>
        <w:topLinePunct w:val="0"/>
        <w:bidi w:val="0"/>
        <w:spacing w:line="480" w:lineRule="exact"/>
        <w:jc w:val="center"/>
        <w:outlineLvl w:val="1"/>
        <w:rPr>
          <w:rFonts w:hint="eastAsia" w:ascii="仿宋" w:hAnsi="仿宋" w:eastAsia="仿宋" w:cs="仿宋"/>
          <w:b/>
          <w:bCs/>
          <w:color w:val="auto"/>
          <w:sz w:val="24"/>
          <w:szCs w:val="24"/>
          <w:highlight w:val="none"/>
        </w:rPr>
      </w:pPr>
      <w:bookmarkStart w:id="1391" w:name="_Toc28745"/>
      <w:r>
        <w:rPr>
          <w:rFonts w:hint="eastAsia" w:ascii="仿宋" w:hAnsi="仿宋" w:eastAsia="仿宋" w:cs="仿宋"/>
          <w:b/>
          <w:bCs/>
          <w:color w:val="auto"/>
          <w:sz w:val="24"/>
          <w:szCs w:val="24"/>
          <w:highlight w:val="none"/>
          <w:lang w:val="en-US" w:eastAsia="zh-CN"/>
        </w:rPr>
        <w:t>4、开标</w:t>
      </w:r>
      <w:r>
        <w:rPr>
          <w:rFonts w:hint="eastAsia" w:ascii="仿宋" w:hAnsi="仿宋" w:eastAsia="仿宋" w:cs="仿宋"/>
          <w:b/>
          <w:bCs/>
          <w:color w:val="auto"/>
          <w:sz w:val="24"/>
          <w:szCs w:val="24"/>
          <w:highlight w:val="none"/>
        </w:rPr>
        <w:t>一览表</w:t>
      </w:r>
      <w:bookmarkEnd w:id="1390"/>
      <w:bookmarkEnd w:id="1391"/>
    </w:p>
    <w:p w14:paraId="1D941661">
      <w:pPr>
        <w:pStyle w:val="29"/>
        <w:keepLines w:val="0"/>
        <w:pageBreakBefore w:val="0"/>
        <w:numPr>
          <w:ilvl w:val="0"/>
          <w:numId w:val="0"/>
        </w:numPr>
        <w:shd w:val="clear" w:color="auto" w:fill="auto"/>
        <w:wordWrap/>
        <w:topLinePunct w:val="0"/>
        <w:bidi w:val="0"/>
        <w:spacing w:line="480" w:lineRule="exact"/>
        <w:jc w:val="both"/>
        <w:outlineLvl w:val="9"/>
        <w:rPr>
          <w:rFonts w:hint="eastAsia" w:ascii="仿宋" w:hAnsi="仿宋" w:eastAsia="仿宋" w:cs="仿宋"/>
          <w:b/>
          <w:bCs/>
          <w:color w:val="auto"/>
          <w:sz w:val="24"/>
          <w:szCs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363"/>
        <w:gridCol w:w="5473"/>
      </w:tblGrid>
      <w:tr w14:paraId="5438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882" w:type="dxa"/>
            <w:noWrap w:val="0"/>
            <w:vAlign w:val="center"/>
          </w:tcPr>
          <w:p w14:paraId="1902FFD6">
            <w:pPr>
              <w:keepLines w:val="0"/>
              <w:pageBreakBefore w:val="0"/>
              <w:shd w:val="clear" w:color="auto" w:fill="auto"/>
              <w:kinsoku/>
              <w:wordWrap/>
              <w:overflowPunct/>
              <w:topLinePunct w:val="0"/>
              <w:bidi w:val="0"/>
              <w:spacing w:line="48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363" w:type="dxa"/>
            <w:noWrap w:val="0"/>
            <w:vAlign w:val="center"/>
          </w:tcPr>
          <w:p w14:paraId="5F1A247E">
            <w:pPr>
              <w:keepLines w:val="0"/>
              <w:pageBreakBefore w:val="0"/>
              <w:shd w:val="clear" w:color="auto" w:fill="auto"/>
              <w:kinsoku/>
              <w:wordWrap/>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5473" w:type="dxa"/>
            <w:noWrap w:val="0"/>
            <w:vAlign w:val="center"/>
          </w:tcPr>
          <w:p w14:paraId="7EF96777">
            <w:pPr>
              <w:keepLines w:val="0"/>
              <w:pageBreakBefore w:val="0"/>
              <w:shd w:val="clear" w:color="auto" w:fill="auto"/>
              <w:kinsoku/>
              <w:wordWrap/>
              <w:overflowPunct/>
              <w:topLinePunct w:val="0"/>
              <w:bidi w:val="0"/>
              <w:spacing w:line="480" w:lineRule="exact"/>
              <w:jc w:val="center"/>
              <w:rPr>
                <w:rFonts w:hint="eastAsia" w:ascii="仿宋" w:hAnsi="仿宋" w:eastAsia="仿宋" w:cs="仿宋"/>
                <w:color w:val="auto"/>
                <w:sz w:val="24"/>
                <w:szCs w:val="24"/>
                <w:highlight w:val="none"/>
              </w:rPr>
            </w:pPr>
          </w:p>
        </w:tc>
      </w:tr>
      <w:tr w14:paraId="46F5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2" w:type="dxa"/>
            <w:noWrap w:val="0"/>
            <w:vAlign w:val="center"/>
          </w:tcPr>
          <w:p w14:paraId="112265F9">
            <w:pPr>
              <w:keepLines w:val="0"/>
              <w:pageBreakBefore w:val="0"/>
              <w:shd w:val="clear" w:color="auto" w:fill="auto"/>
              <w:kinsoku/>
              <w:wordWrap/>
              <w:overflowPunct/>
              <w:topLinePunct w:val="0"/>
              <w:bidi w:val="0"/>
              <w:spacing w:line="480" w:lineRule="exact"/>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363" w:type="dxa"/>
            <w:noWrap w:val="0"/>
            <w:vAlign w:val="center"/>
          </w:tcPr>
          <w:p w14:paraId="1AB1C3A0">
            <w:pPr>
              <w:keepLines w:val="0"/>
              <w:pageBreakBefore w:val="0"/>
              <w:shd w:val="clear" w:color="auto" w:fill="auto"/>
              <w:kinsoku/>
              <w:wordWrap/>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c>
        <w:tc>
          <w:tcPr>
            <w:tcW w:w="5473" w:type="dxa"/>
            <w:noWrap w:val="0"/>
            <w:vAlign w:val="center"/>
          </w:tcPr>
          <w:p w14:paraId="2151FD3C">
            <w:pPr>
              <w:keepLines w:val="0"/>
              <w:pageBreakBefore w:val="0"/>
              <w:shd w:val="clear" w:color="auto" w:fill="auto"/>
              <w:kinsoku/>
              <w:wordWrap/>
              <w:overflowPunct/>
              <w:topLinePunct w:val="0"/>
              <w:bidi w:val="0"/>
              <w:spacing w:line="480" w:lineRule="exact"/>
              <w:jc w:val="center"/>
              <w:rPr>
                <w:rFonts w:hint="eastAsia" w:ascii="仿宋" w:hAnsi="仿宋" w:eastAsia="仿宋" w:cs="仿宋"/>
                <w:color w:val="auto"/>
                <w:sz w:val="24"/>
                <w:szCs w:val="24"/>
                <w:highlight w:val="none"/>
                <w:lang w:eastAsia="zh-CN"/>
              </w:rPr>
            </w:pPr>
          </w:p>
        </w:tc>
      </w:tr>
      <w:tr w14:paraId="7189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882" w:type="dxa"/>
            <w:noWrap w:val="0"/>
            <w:vAlign w:val="center"/>
          </w:tcPr>
          <w:p w14:paraId="190AC587">
            <w:pPr>
              <w:keepLines w:val="0"/>
              <w:pageBreakBefore w:val="0"/>
              <w:shd w:val="clear" w:color="auto" w:fill="auto"/>
              <w:kinsoku/>
              <w:wordWrap/>
              <w:overflowPunct/>
              <w:topLinePunct w:val="0"/>
              <w:bidi w:val="0"/>
              <w:spacing w:line="480" w:lineRule="exact"/>
              <w:ind w:left="0" w:leftChars="0"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2363" w:type="dxa"/>
            <w:noWrap w:val="0"/>
            <w:vAlign w:val="center"/>
          </w:tcPr>
          <w:p w14:paraId="77AF5380">
            <w:pPr>
              <w:keepLines w:val="0"/>
              <w:pageBreakBefore w:val="0"/>
              <w:shd w:val="clear" w:color="auto" w:fill="auto"/>
              <w:kinsoku/>
              <w:wordWrap/>
              <w:overflowPunct/>
              <w:topLinePunct w:val="0"/>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投标报价（</w:t>
            </w:r>
            <w:r>
              <w:rPr>
                <w:rFonts w:hint="eastAsia" w:ascii="仿宋" w:hAnsi="仿宋" w:eastAsia="仿宋" w:cs="仿宋"/>
                <w:color w:val="auto"/>
                <w:sz w:val="24"/>
                <w:szCs w:val="24"/>
                <w:highlight w:val="none"/>
                <w:lang w:val="en-US" w:eastAsia="zh-CN"/>
              </w:rPr>
              <w:t>元）</w:t>
            </w:r>
          </w:p>
        </w:tc>
        <w:tc>
          <w:tcPr>
            <w:tcW w:w="5473" w:type="dxa"/>
            <w:noWrap w:val="0"/>
            <w:vAlign w:val="center"/>
          </w:tcPr>
          <w:p w14:paraId="14A05DD5">
            <w:pPr>
              <w:keepLines w:val="0"/>
              <w:pageBreakBefore w:val="0"/>
              <w:shd w:val="clear" w:color="auto" w:fill="auto"/>
              <w:kinsoku/>
              <w:wordWrap/>
              <w:overflowPunct/>
              <w:topLinePunct w:val="0"/>
              <w:bidi w:val="0"/>
              <w:spacing w:line="48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小写+大写）</w:t>
            </w:r>
          </w:p>
        </w:tc>
      </w:tr>
      <w:tr w14:paraId="104E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82" w:type="dxa"/>
            <w:noWrap w:val="0"/>
            <w:vAlign w:val="center"/>
          </w:tcPr>
          <w:p w14:paraId="5DAB762D">
            <w:pPr>
              <w:keepLines w:val="0"/>
              <w:pageBreakBefore w:val="0"/>
              <w:shd w:val="clear" w:color="auto" w:fill="auto"/>
              <w:kinsoku/>
              <w:wordWrap/>
              <w:overflowPunct/>
              <w:topLinePunct w:val="0"/>
              <w:bidi w:val="0"/>
              <w:spacing w:line="480" w:lineRule="exact"/>
              <w:ind w:left="0" w:leftChars="0"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2363" w:type="dxa"/>
            <w:noWrap w:val="0"/>
            <w:vAlign w:val="center"/>
          </w:tcPr>
          <w:p w14:paraId="65925459">
            <w:pPr>
              <w:keepLines w:val="0"/>
              <w:pageBreakBefore w:val="0"/>
              <w:shd w:val="clear" w:color="auto" w:fill="auto"/>
              <w:kinsoku/>
              <w:wordWrap/>
              <w:overflowPunct/>
              <w:topLinePunct w:val="0"/>
              <w:bidi w:val="0"/>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合同履行期限</w:t>
            </w:r>
          </w:p>
        </w:tc>
        <w:tc>
          <w:tcPr>
            <w:tcW w:w="5473" w:type="dxa"/>
            <w:noWrap w:val="0"/>
            <w:vAlign w:val="center"/>
          </w:tcPr>
          <w:p w14:paraId="08670B2D">
            <w:pPr>
              <w:keepLines w:val="0"/>
              <w:pageBreakBefore w:val="0"/>
              <w:shd w:val="clear" w:color="auto" w:fill="auto"/>
              <w:kinsoku/>
              <w:wordWrap/>
              <w:overflowPunct/>
              <w:topLinePunct w:val="0"/>
              <w:bidi w:val="0"/>
              <w:spacing w:line="480" w:lineRule="exact"/>
              <w:jc w:val="center"/>
              <w:rPr>
                <w:rFonts w:hint="eastAsia" w:ascii="仿宋" w:hAnsi="仿宋" w:eastAsia="仿宋" w:cs="仿宋"/>
                <w:color w:val="auto"/>
                <w:sz w:val="24"/>
                <w:szCs w:val="24"/>
                <w:highlight w:val="none"/>
              </w:rPr>
            </w:pPr>
          </w:p>
        </w:tc>
      </w:tr>
      <w:tr w14:paraId="616C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82" w:type="dxa"/>
            <w:noWrap w:val="0"/>
            <w:vAlign w:val="center"/>
          </w:tcPr>
          <w:p w14:paraId="6F7B6208">
            <w:pPr>
              <w:keepLines w:val="0"/>
              <w:pageBreakBefore w:val="0"/>
              <w:shd w:val="clear" w:color="auto" w:fill="auto"/>
              <w:kinsoku/>
              <w:wordWrap/>
              <w:overflowPunct/>
              <w:topLinePunct w:val="0"/>
              <w:bidi w:val="0"/>
              <w:spacing w:line="480" w:lineRule="exact"/>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363" w:type="dxa"/>
            <w:noWrap w:val="0"/>
            <w:vAlign w:val="center"/>
          </w:tcPr>
          <w:p w14:paraId="5A3A868A">
            <w:pPr>
              <w:keepLines w:val="0"/>
              <w:pageBreakBefore w:val="0"/>
              <w:shd w:val="clear" w:color="auto" w:fill="auto"/>
              <w:kinsoku/>
              <w:wordWrap/>
              <w:overflowPunct/>
              <w:topLinePunct w:val="0"/>
              <w:bidi w:val="0"/>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质量标准</w:t>
            </w:r>
          </w:p>
        </w:tc>
        <w:tc>
          <w:tcPr>
            <w:tcW w:w="5473" w:type="dxa"/>
            <w:noWrap w:val="0"/>
            <w:vAlign w:val="center"/>
          </w:tcPr>
          <w:p w14:paraId="6FC81A8A">
            <w:pPr>
              <w:keepLines w:val="0"/>
              <w:pageBreakBefore w:val="0"/>
              <w:shd w:val="clear" w:color="auto" w:fill="auto"/>
              <w:kinsoku/>
              <w:wordWrap/>
              <w:overflowPunct/>
              <w:topLinePunct w:val="0"/>
              <w:bidi w:val="0"/>
              <w:spacing w:line="480" w:lineRule="exact"/>
              <w:jc w:val="center"/>
              <w:rPr>
                <w:rFonts w:hint="eastAsia" w:ascii="仿宋" w:hAnsi="仿宋" w:eastAsia="仿宋" w:cs="仿宋"/>
                <w:color w:val="auto"/>
                <w:sz w:val="24"/>
                <w:szCs w:val="24"/>
                <w:highlight w:val="none"/>
              </w:rPr>
            </w:pPr>
          </w:p>
        </w:tc>
      </w:tr>
      <w:tr w14:paraId="301D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82" w:type="dxa"/>
            <w:noWrap w:val="0"/>
            <w:vAlign w:val="center"/>
          </w:tcPr>
          <w:p w14:paraId="71A0A2B8">
            <w:pPr>
              <w:keepLines w:val="0"/>
              <w:pageBreakBefore w:val="0"/>
              <w:shd w:val="clear" w:color="auto" w:fill="auto"/>
              <w:kinsoku/>
              <w:wordWrap/>
              <w:overflowPunct/>
              <w:topLinePunct w:val="0"/>
              <w:bidi w:val="0"/>
              <w:spacing w:line="480" w:lineRule="exact"/>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363" w:type="dxa"/>
            <w:noWrap w:val="0"/>
            <w:vAlign w:val="center"/>
          </w:tcPr>
          <w:p w14:paraId="0C5D9F2A">
            <w:pPr>
              <w:keepLines w:val="0"/>
              <w:pageBreakBefore w:val="0"/>
              <w:shd w:val="clear" w:color="auto" w:fill="auto"/>
              <w:kinsoku/>
              <w:wordWrap/>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5473" w:type="dxa"/>
            <w:noWrap w:val="0"/>
            <w:vAlign w:val="center"/>
          </w:tcPr>
          <w:p w14:paraId="6139A745">
            <w:pPr>
              <w:keepLines w:val="0"/>
              <w:pageBreakBefore w:val="0"/>
              <w:shd w:val="clear" w:color="auto" w:fill="auto"/>
              <w:kinsoku/>
              <w:wordWrap/>
              <w:overflowPunct/>
              <w:topLinePunct w:val="0"/>
              <w:bidi w:val="0"/>
              <w:spacing w:line="480" w:lineRule="exact"/>
              <w:jc w:val="center"/>
              <w:rPr>
                <w:rFonts w:hint="eastAsia" w:ascii="仿宋" w:hAnsi="仿宋" w:eastAsia="仿宋" w:cs="仿宋"/>
                <w:color w:val="auto"/>
                <w:sz w:val="24"/>
                <w:szCs w:val="24"/>
                <w:highlight w:val="none"/>
              </w:rPr>
            </w:pPr>
          </w:p>
        </w:tc>
      </w:tr>
    </w:tbl>
    <w:p w14:paraId="116E9ABD">
      <w:pPr>
        <w:keepLines w:val="0"/>
        <w:pageBreakBefore w:val="0"/>
        <w:shd w:val="clear" w:color="auto" w:fill="auto"/>
        <w:wordWrap/>
        <w:topLinePunct w:val="0"/>
        <w:bidi w:val="0"/>
        <w:snapToGrid w:val="0"/>
        <w:spacing w:line="480" w:lineRule="exact"/>
        <w:ind w:firstLine="120" w:firstLineChars="50"/>
        <w:jc w:val="left"/>
        <w:rPr>
          <w:rFonts w:hint="eastAsia" w:ascii="仿宋" w:hAnsi="仿宋" w:eastAsia="仿宋" w:cs="仿宋"/>
          <w:color w:val="auto"/>
          <w:sz w:val="24"/>
          <w:szCs w:val="24"/>
          <w:highlight w:val="none"/>
        </w:rPr>
      </w:pPr>
    </w:p>
    <w:p w14:paraId="5A579E9C">
      <w:pPr>
        <w:keepLines w:val="0"/>
        <w:pageBreakBefore w:val="0"/>
        <w:shd w:val="clear" w:color="auto" w:fill="auto"/>
        <w:wordWrap/>
        <w:topLinePunct w:val="0"/>
        <w:bidi w:val="0"/>
        <w:snapToGrid w:val="0"/>
        <w:spacing w:line="480" w:lineRule="exact"/>
        <w:ind w:firstLine="120" w:firstLineChars="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 1、报价一经涂改，应在涂改处加盖单位公章或者由法定代表人或授权委托人签字或盖章，否则其投标作无效标处理。</w:t>
      </w:r>
    </w:p>
    <w:p w14:paraId="7B7D2E78">
      <w:pPr>
        <w:keepLines w:val="0"/>
        <w:pageBreakBefore w:val="0"/>
        <w:shd w:val="clear" w:color="auto" w:fill="auto"/>
        <w:wordWrap/>
        <w:topLinePunct w:val="0"/>
        <w:bidi w:val="0"/>
        <w:snapToGrid w:val="0"/>
        <w:spacing w:line="480" w:lineRule="exact"/>
        <w:ind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2、报价应与投标函一致。</w:t>
      </w:r>
    </w:p>
    <w:p w14:paraId="30B6A452">
      <w:pPr>
        <w:keepLines w:val="0"/>
        <w:pageBreakBefore w:val="0"/>
        <w:shd w:val="clear" w:color="auto" w:fill="auto"/>
        <w:wordWrap/>
        <w:topLinePunct w:val="0"/>
        <w:bidi w:val="0"/>
        <w:spacing w:line="480" w:lineRule="exact"/>
        <w:ind w:firstLine="5280" w:firstLineChars="22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57782206">
      <w:pPr>
        <w:keepLines w:val="0"/>
        <w:pageBreakBefore w:val="0"/>
        <w:shd w:val="clear" w:color="auto" w:fill="auto"/>
        <w:wordWrap/>
        <w:topLinePunct w:val="0"/>
        <w:bidi w:val="0"/>
        <w:spacing w:line="480" w:lineRule="exact"/>
        <w:ind w:firstLine="5280" w:firstLineChars="2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供应商名称（盖章）：                            </w:t>
      </w:r>
    </w:p>
    <w:p w14:paraId="7A03A765">
      <w:pPr>
        <w:keepLines w:val="0"/>
        <w:pageBreakBefore w:val="0"/>
        <w:shd w:val="clear" w:color="auto" w:fill="auto"/>
        <w:wordWrap/>
        <w:topLinePunct w:val="0"/>
        <w:bidi w:val="0"/>
        <w:spacing w:line="480" w:lineRule="exact"/>
        <w:jc w:val="left"/>
        <w:rPr>
          <w:rFonts w:hint="eastAsia" w:ascii="仿宋" w:hAnsi="仿宋" w:eastAsia="仿宋" w:cs="仿宋"/>
          <w:color w:val="auto"/>
          <w:sz w:val="24"/>
          <w:szCs w:val="24"/>
          <w:highlight w:val="none"/>
        </w:rPr>
      </w:pPr>
    </w:p>
    <w:p w14:paraId="232430E0">
      <w:pPr>
        <w:keepLines w:val="0"/>
        <w:pageBreakBefore w:val="0"/>
        <w:shd w:val="clear" w:color="auto" w:fill="auto"/>
        <w:wordWrap/>
        <w:topLinePunct w:val="0"/>
        <w:bidi w:val="0"/>
        <w:spacing w:line="48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0122E564">
      <w:pPr>
        <w:keepLines w:val="0"/>
        <w:pageBreakBefore w:val="0"/>
        <w:shd w:val="clear" w:color="auto" w:fill="auto"/>
        <w:wordWrap/>
        <w:topLinePunct w:val="0"/>
        <w:bidi w:val="0"/>
        <w:snapToGrid w:val="0"/>
        <w:spacing w:before="50" w:after="50" w:line="480" w:lineRule="exact"/>
        <w:ind w:left="5855" w:leftChars="331" w:right="-817" w:rightChars="-389" w:hanging="5160" w:hangingChars="2150"/>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val="en-US" w:eastAsia="zh-CN"/>
        </w:rPr>
        <w:t>日</w:t>
      </w:r>
    </w:p>
    <w:p w14:paraId="775895C0">
      <w:pPr>
        <w:keepLines w:val="0"/>
        <w:pageBreakBefore w:val="0"/>
        <w:shd w:val="clear" w:color="auto" w:fill="auto"/>
        <w:wordWrap/>
        <w:topLinePunct w:val="0"/>
        <w:bidi w:val="0"/>
        <w:spacing w:line="480" w:lineRule="exact"/>
        <w:ind w:left="0" w:leftChars="0" w:firstLine="0" w:firstLineChars="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br w:type="page"/>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磋商保证金</w:t>
      </w:r>
    </w:p>
    <w:p w14:paraId="335A4F33">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310575A4">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2B239BB9">
      <w:pPr>
        <w:pageBreakBefore w:val="0"/>
        <w:shd w:val="clear"/>
        <w:wordWrap/>
        <w:topLinePunct w:val="0"/>
        <w:bidi w:val="0"/>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说明：可提供付款凭证或金融机构、担保机构出具的保函。</w:t>
      </w:r>
    </w:p>
    <w:p w14:paraId="144AEA35">
      <w:pPr>
        <w:pageBreakBefore w:val="0"/>
        <w:shd w:val="clear"/>
        <w:wordWrap/>
        <w:topLinePunct w:val="0"/>
        <w:bidi w:val="0"/>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保证金汇款声明函(适用银行转账)</w:t>
      </w:r>
    </w:p>
    <w:p w14:paraId="79774672">
      <w:pPr>
        <w:pageBreakBefore w:val="0"/>
        <w:shd w:val="clear"/>
        <w:wordWrap/>
        <w:topLinePunct w:val="0"/>
        <w:bidi w:val="0"/>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致：______(采购人)</w:t>
      </w:r>
    </w:p>
    <w:p w14:paraId="27219E2C">
      <w:pPr>
        <w:pageBreakBefore w:val="0"/>
        <w:shd w:val="clear"/>
        <w:wordWrap/>
        <w:topLinePunct w:val="0"/>
        <w:bidi w:val="0"/>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我方为</w:t>
      </w:r>
      <w:r>
        <w:rPr>
          <w:rFonts w:hint="eastAsia" w:ascii="仿宋" w:hAnsi="仿宋" w:eastAsia="仿宋" w:cs="仿宋"/>
          <w:color w:val="auto"/>
          <w:sz w:val="24"/>
          <w:szCs w:val="24"/>
          <w:highlight w:val="none"/>
          <w:u w:val="single"/>
          <w:lang w:eastAsia="zh-CN"/>
        </w:rPr>
        <w:t>(项目名称)</w:t>
      </w:r>
      <w:r>
        <w:rPr>
          <w:rFonts w:hint="eastAsia" w:ascii="仿宋" w:hAnsi="仿宋" w:eastAsia="仿宋" w:cs="仿宋"/>
          <w:color w:val="auto"/>
          <w:sz w:val="24"/>
          <w:szCs w:val="24"/>
          <w:highlight w:val="none"/>
          <w:lang w:eastAsia="zh-CN"/>
        </w:rPr>
        <w:t>(项目编号：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)递交保证金人民币</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小写+大写）</w:t>
      </w:r>
      <w:r>
        <w:rPr>
          <w:rFonts w:hint="eastAsia" w:ascii="仿宋" w:hAnsi="仿宋" w:eastAsia="仿宋" w:cs="仿宋"/>
          <w:color w:val="auto"/>
          <w:sz w:val="24"/>
          <w:szCs w:val="24"/>
          <w:highlight w:val="none"/>
          <w:lang w:eastAsia="zh-CN"/>
        </w:rPr>
        <w:t>已于_____年____月____日以银行主动划账方式划入你方账户。</w:t>
      </w:r>
    </w:p>
    <w:p w14:paraId="7A7E9D0B">
      <w:pPr>
        <w:pageBreakBefore w:val="0"/>
        <w:shd w:val="clear"/>
        <w:wordWrap/>
        <w:topLinePunct w:val="0"/>
        <w:bidi w:val="0"/>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详见附件：银行出具的汇款单或转账凭证复印件。</w:t>
      </w:r>
    </w:p>
    <w:p w14:paraId="1DE1EE65">
      <w:pPr>
        <w:pageBreakBefore w:val="0"/>
        <w:shd w:val="clear"/>
        <w:wordWrap/>
        <w:topLinePunct w:val="0"/>
        <w:bidi w:val="0"/>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退还保证金时请按以下内容划入我方账户。若因内容不全、错误、字迹潦草模糊导致该项目保证金未能及时退还或退还过程中发生错误，我方将承担全部责任和损失。</w:t>
      </w:r>
    </w:p>
    <w:p w14:paraId="3867578C">
      <w:pPr>
        <w:pageBreakBefore w:val="0"/>
        <w:shd w:val="clear"/>
        <w:wordWrap/>
        <w:topLinePunct w:val="0"/>
        <w:bidi w:val="0"/>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单位全称：</w:t>
      </w:r>
    </w:p>
    <w:p w14:paraId="38CCD093">
      <w:pPr>
        <w:pageBreakBefore w:val="0"/>
        <w:shd w:val="clear"/>
        <w:wordWrap/>
        <w:topLinePunct w:val="0"/>
        <w:bidi w:val="0"/>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开户银行：</w:t>
      </w:r>
    </w:p>
    <w:p w14:paraId="3BE49DCB">
      <w:pPr>
        <w:pageBreakBefore w:val="0"/>
        <w:shd w:val="clear"/>
        <w:wordWrap/>
        <w:topLinePunct w:val="0"/>
        <w:bidi w:val="0"/>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开户账号：</w:t>
      </w:r>
    </w:p>
    <w:p w14:paraId="78DE4AF3">
      <w:pPr>
        <w:pageBreakBefore w:val="0"/>
        <w:shd w:val="clear"/>
        <w:wordWrap/>
        <w:topLinePunct w:val="0"/>
        <w:bidi w:val="0"/>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　</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　</w:t>
      </w:r>
    </w:p>
    <w:p w14:paraId="5F1DDD5B">
      <w:pPr>
        <w:pageBreakBefore w:val="0"/>
        <w:shd w:val="clear"/>
        <w:wordWrap/>
        <w:topLinePunct w:val="0"/>
        <w:bidi w:val="0"/>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地址：　</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　</w:t>
      </w:r>
    </w:p>
    <w:p w14:paraId="371AE977">
      <w:pPr>
        <w:pageBreakBefore w:val="0"/>
        <w:shd w:val="clear"/>
        <w:wordWrap/>
        <w:topLinePunct w:val="0"/>
        <w:bidi w:val="0"/>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项目联系人：</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　　</w:t>
      </w:r>
    </w:p>
    <w:p w14:paraId="3064F5C0">
      <w:pPr>
        <w:pageBreakBefore w:val="0"/>
        <w:shd w:val="clear"/>
        <w:wordWrap/>
        <w:topLinePunct w:val="0"/>
        <w:bidi w:val="0"/>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电话(手机)：　　</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ab/>
      </w:r>
    </w:p>
    <w:p w14:paraId="338E685C">
      <w:pPr>
        <w:pageBreakBefore w:val="0"/>
        <w:shd w:val="clear"/>
        <w:wordWrap/>
        <w:topLinePunct w:val="0"/>
        <w:bidi w:val="0"/>
        <w:spacing w:line="480" w:lineRule="exact"/>
        <w:rPr>
          <w:rFonts w:hint="eastAsia" w:ascii="仿宋" w:hAnsi="仿宋" w:eastAsia="仿宋" w:cs="仿宋"/>
          <w:color w:val="auto"/>
          <w:sz w:val="24"/>
          <w:szCs w:val="24"/>
          <w:highlight w:val="none"/>
          <w:lang w:eastAsia="zh-CN"/>
        </w:rPr>
      </w:pPr>
    </w:p>
    <w:tbl>
      <w:tblPr>
        <w:tblStyle w:val="20"/>
        <w:tblW w:w="59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3"/>
      </w:tblGrid>
      <w:tr w14:paraId="7E8AA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1" w:hRule="atLeast"/>
          <w:jc w:val="center"/>
        </w:trPr>
        <w:tc>
          <w:tcPr>
            <w:tcW w:w="5913" w:type="dxa"/>
            <w:tcBorders>
              <w:top w:val="single" w:color="auto" w:sz="4" w:space="0"/>
              <w:bottom w:val="single" w:color="auto" w:sz="4" w:space="0"/>
            </w:tcBorders>
            <w:vAlign w:val="center"/>
          </w:tcPr>
          <w:p w14:paraId="596290BE">
            <w:pPr>
              <w:pageBreakBefore w:val="0"/>
              <w:shd w:val="clear"/>
              <w:wordWrap/>
              <w:topLinePunct w:val="0"/>
              <w:bidi w:val="0"/>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汇款单或转账凭证复印件</w:t>
            </w:r>
          </w:p>
        </w:tc>
      </w:tr>
    </w:tbl>
    <w:p w14:paraId="41DCDE95">
      <w:pPr>
        <w:pageBreakBefore w:val="0"/>
        <w:shd w:val="clear"/>
        <w:wordWrap/>
        <w:topLinePunct w:val="0"/>
        <w:bidi w:val="0"/>
        <w:spacing w:line="480" w:lineRule="exact"/>
        <w:rPr>
          <w:rFonts w:hint="eastAsia" w:ascii="仿宋" w:hAnsi="仿宋" w:eastAsia="仿宋" w:cs="仿宋"/>
          <w:color w:val="auto"/>
          <w:sz w:val="24"/>
          <w:szCs w:val="24"/>
          <w:highlight w:val="none"/>
          <w:lang w:eastAsia="zh-CN"/>
        </w:rPr>
      </w:pPr>
    </w:p>
    <w:tbl>
      <w:tblPr>
        <w:tblStyle w:val="20"/>
        <w:tblW w:w="59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3"/>
      </w:tblGrid>
      <w:tr w14:paraId="05C05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1" w:hRule="atLeast"/>
          <w:jc w:val="center"/>
        </w:trPr>
        <w:tc>
          <w:tcPr>
            <w:tcW w:w="5913" w:type="dxa"/>
            <w:tcBorders>
              <w:top w:val="single" w:color="auto" w:sz="4" w:space="0"/>
              <w:bottom w:val="single" w:color="auto" w:sz="4" w:space="0"/>
            </w:tcBorders>
            <w:vAlign w:val="center"/>
          </w:tcPr>
          <w:p w14:paraId="18D78859">
            <w:pPr>
              <w:pageBreakBefore w:val="0"/>
              <w:shd w:val="clear"/>
              <w:wordWrap/>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开户行许可证复印件</w:t>
            </w:r>
          </w:p>
        </w:tc>
      </w:tr>
    </w:tbl>
    <w:p w14:paraId="442467D0">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sectPr>
          <w:headerReference r:id="rId18" w:type="default"/>
          <w:footerReference r:id="rId19" w:type="default"/>
          <w:pgSz w:w="11906" w:h="16838"/>
          <w:pgMar w:top="1417" w:right="1418" w:bottom="1417" w:left="1418" w:header="851" w:footer="850" w:gutter="0"/>
          <w:pgNumType w:fmt="decimal"/>
          <w:cols w:space="720" w:num="1"/>
          <w:rtlGutter w:val="0"/>
          <w:docGrid w:type="lines" w:linePitch="312" w:charSpace="0"/>
        </w:sectPr>
      </w:pPr>
    </w:p>
    <w:p w14:paraId="13C5CB55">
      <w:pPr>
        <w:keepLines w:val="0"/>
        <w:pageBreakBefore w:val="0"/>
        <w:shd w:val="clear" w:color="auto" w:fill="auto"/>
        <w:wordWrap/>
        <w:topLinePunct w:val="0"/>
        <w:bidi w:val="0"/>
        <w:spacing w:line="48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、供应商符合资格条件的证明文件</w:t>
      </w:r>
    </w:p>
    <w:p w14:paraId="69DB218B">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lang w:eastAsia="zh-CN"/>
        </w:rPr>
      </w:pPr>
      <w:bookmarkStart w:id="1392" w:name="_Toc498343986"/>
      <w:bookmarkStart w:id="1393" w:name="_Toc8222"/>
      <w:r>
        <w:rPr>
          <w:rFonts w:hint="eastAsia" w:ascii="仿宋" w:hAnsi="仿宋" w:eastAsia="仿宋" w:cs="仿宋"/>
          <w:color w:val="auto"/>
          <w:sz w:val="24"/>
          <w:szCs w:val="24"/>
          <w:highlight w:val="none"/>
          <w:lang w:eastAsia="zh-CN"/>
        </w:rPr>
        <w:t>附件</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－1 供应商基本情况表</w:t>
      </w:r>
    </w:p>
    <w:p w14:paraId="72752CDC">
      <w:pPr>
        <w:pStyle w:val="27"/>
        <w:keepLines w:val="0"/>
        <w:pageBreakBefore w:val="0"/>
        <w:shd w:val="clear" w:color="auto" w:fill="auto"/>
        <w:wordWrap/>
        <w:topLinePunct w:val="0"/>
        <w:bidi w:val="0"/>
        <w:spacing w:line="480" w:lineRule="exact"/>
        <w:jc w:val="center"/>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供应商基本情况表</w:t>
      </w:r>
    </w:p>
    <w:p w14:paraId="49679BFD">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0"/>
        <w:gridCol w:w="2281"/>
        <w:gridCol w:w="2468"/>
        <w:gridCol w:w="1750"/>
      </w:tblGrid>
      <w:tr w14:paraId="5E1F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vAlign w:val="center"/>
          </w:tcPr>
          <w:p w14:paraId="73292AA4">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p>
        </w:tc>
        <w:tc>
          <w:tcPr>
            <w:tcW w:w="1991" w:type="dxa"/>
            <w:vAlign w:val="center"/>
          </w:tcPr>
          <w:p w14:paraId="6CAF1D4F">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2154" w:type="dxa"/>
            <w:vAlign w:val="center"/>
          </w:tcPr>
          <w:p w14:paraId="326C72DB">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1528" w:type="dxa"/>
            <w:vAlign w:val="center"/>
          </w:tcPr>
          <w:p w14:paraId="67EC0E44">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r>
      <w:tr w14:paraId="6147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vAlign w:val="center"/>
          </w:tcPr>
          <w:p w14:paraId="08E5A712">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1991" w:type="dxa"/>
            <w:vAlign w:val="center"/>
          </w:tcPr>
          <w:p w14:paraId="41028B46">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2154" w:type="dxa"/>
            <w:vAlign w:val="center"/>
          </w:tcPr>
          <w:p w14:paraId="0E44E44B">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528" w:type="dxa"/>
            <w:vAlign w:val="center"/>
          </w:tcPr>
          <w:p w14:paraId="557893D8">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r>
      <w:tr w14:paraId="3CFE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vAlign w:val="center"/>
          </w:tcPr>
          <w:p w14:paraId="515E8677">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tc>
        <w:tc>
          <w:tcPr>
            <w:tcW w:w="1991" w:type="dxa"/>
            <w:vAlign w:val="center"/>
          </w:tcPr>
          <w:p w14:paraId="4D79070B">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2154" w:type="dxa"/>
            <w:vAlign w:val="center"/>
          </w:tcPr>
          <w:p w14:paraId="727CA89B">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1528" w:type="dxa"/>
            <w:vAlign w:val="center"/>
          </w:tcPr>
          <w:p w14:paraId="68E1F63F">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r>
      <w:tr w14:paraId="4222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vAlign w:val="center"/>
          </w:tcPr>
          <w:p w14:paraId="290ACD4E">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991" w:type="dxa"/>
            <w:vAlign w:val="center"/>
          </w:tcPr>
          <w:p w14:paraId="6019A71B">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2154" w:type="dxa"/>
            <w:vAlign w:val="center"/>
          </w:tcPr>
          <w:p w14:paraId="611101B0">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1528" w:type="dxa"/>
            <w:vAlign w:val="center"/>
          </w:tcPr>
          <w:p w14:paraId="63488CCB">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r>
      <w:tr w14:paraId="7F6C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vAlign w:val="center"/>
          </w:tcPr>
          <w:p w14:paraId="5B50EF58">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上年营业收入</w:t>
            </w:r>
          </w:p>
        </w:tc>
        <w:tc>
          <w:tcPr>
            <w:tcW w:w="1991" w:type="dxa"/>
            <w:vAlign w:val="center"/>
          </w:tcPr>
          <w:p w14:paraId="394B046A">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2154" w:type="dxa"/>
            <w:vAlign w:val="center"/>
          </w:tcPr>
          <w:p w14:paraId="2A5BF8EB">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员工总人数</w:t>
            </w:r>
          </w:p>
        </w:tc>
        <w:tc>
          <w:tcPr>
            <w:tcW w:w="1528" w:type="dxa"/>
            <w:vAlign w:val="center"/>
          </w:tcPr>
          <w:p w14:paraId="31CF8166">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r>
      <w:tr w14:paraId="2916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vAlign w:val="center"/>
          </w:tcPr>
          <w:p w14:paraId="46B12DED">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基本账户开户行及账号</w:t>
            </w:r>
          </w:p>
        </w:tc>
        <w:tc>
          <w:tcPr>
            <w:tcW w:w="1991" w:type="dxa"/>
            <w:vAlign w:val="center"/>
          </w:tcPr>
          <w:p w14:paraId="0FE0F9B8">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tc>
        <w:tc>
          <w:tcPr>
            <w:tcW w:w="2154" w:type="dxa"/>
            <w:vAlign w:val="center"/>
          </w:tcPr>
          <w:p w14:paraId="6505879B">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tc>
        <w:tc>
          <w:tcPr>
            <w:tcW w:w="1528" w:type="dxa"/>
            <w:vAlign w:val="center"/>
          </w:tcPr>
          <w:p w14:paraId="7048B2B3">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tc>
      </w:tr>
      <w:tr w14:paraId="3833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vAlign w:val="center"/>
          </w:tcPr>
          <w:p w14:paraId="5430E1EE">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税务登记机关</w:t>
            </w:r>
          </w:p>
        </w:tc>
        <w:tc>
          <w:tcPr>
            <w:tcW w:w="1991" w:type="dxa"/>
            <w:vAlign w:val="center"/>
          </w:tcPr>
          <w:p w14:paraId="19D9CD7B">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2154" w:type="dxa"/>
            <w:vAlign w:val="center"/>
          </w:tcPr>
          <w:p w14:paraId="6E70B0A7">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1528" w:type="dxa"/>
            <w:vAlign w:val="center"/>
          </w:tcPr>
          <w:p w14:paraId="158AD618">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r>
      <w:tr w14:paraId="348D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vAlign w:val="center"/>
          </w:tcPr>
          <w:p w14:paraId="115D6823">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资质名称</w:t>
            </w:r>
          </w:p>
        </w:tc>
        <w:tc>
          <w:tcPr>
            <w:tcW w:w="1991" w:type="dxa"/>
            <w:vAlign w:val="center"/>
          </w:tcPr>
          <w:p w14:paraId="3ACB0E9E">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等级</w:t>
            </w:r>
          </w:p>
        </w:tc>
        <w:tc>
          <w:tcPr>
            <w:tcW w:w="2154" w:type="dxa"/>
            <w:vAlign w:val="center"/>
          </w:tcPr>
          <w:p w14:paraId="1DCA0258">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发证机关</w:t>
            </w:r>
          </w:p>
        </w:tc>
        <w:tc>
          <w:tcPr>
            <w:tcW w:w="1528" w:type="dxa"/>
            <w:vAlign w:val="center"/>
          </w:tcPr>
          <w:p w14:paraId="7E65E3B2">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有效期</w:t>
            </w:r>
          </w:p>
        </w:tc>
      </w:tr>
      <w:tr w14:paraId="0844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vAlign w:val="center"/>
          </w:tcPr>
          <w:p w14:paraId="2636FADB">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1991" w:type="dxa"/>
            <w:vAlign w:val="center"/>
          </w:tcPr>
          <w:p w14:paraId="00AACDE9">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2154" w:type="dxa"/>
            <w:vAlign w:val="center"/>
          </w:tcPr>
          <w:p w14:paraId="77090148">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1528" w:type="dxa"/>
            <w:vAlign w:val="center"/>
          </w:tcPr>
          <w:p w14:paraId="2002CC7C">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r>
      <w:tr w14:paraId="3887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vAlign w:val="center"/>
          </w:tcPr>
          <w:p w14:paraId="58E09718">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1991" w:type="dxa"/>
            <w:vAlign w:val="center"/>
          </w:tcPr>
          <w:p w14:paraId="604914C9">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2154" w:type="dxa"/>
            <w:vAlign w:val="center"/>
          </w:tcPr>
          <w:p w14:paraId="1B2BFC7C">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1528" w:type="dxa"/>
            <w:vAlign w:val="center"/>
          </w:tcPr>
          <w:p w14:paraId="1FC86B19">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r>
      <w:tr w14:paraId="4597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3" w:type="dxa"/>
            <w:vAlign w:val="center"/>
          </w:tcPr>
          <w:p w14:paraId="03A89C27">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1991" w:type="dxa"/>
            <w:vAlign w:val="center"/>
          </w:tcPr>
          <w:p w14:paraId="5B13EFD0">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2154" w:type="dxa"/>
            <w:vAlign w:val="center"/>
          </w:tcPr>
          <w:p w14:paraId="005DA62B">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c>
          <w:tcPr>
            <w:tcW w:w="1528" w:type="dxa"/>
            <w:vAlign w:val="center"/>
          </w:tcPr>
          <w:p w14:paraId="0E056A86">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tc>
      </w:tr>
    </w:tbl>
    <w:p w14:paraId="51E9769D">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备注：本表后应附企业法人营业执照、</w:t>
      </w:r>
      <w:r>
        <w:rPr>
          <w:rFonts w:hint="eastAsia" w:ascii="仿宋" w:hAnsi="仿宋" w:eastAsia="仿宋" w:cs="仿宋"/>
          <w:color w:val="auto"/>
          <w:sz w:val="24"/>
          <w:szCs w:val="24"/>
          <w:highlight w:val="none"/>
          <w:lang w:val="en-US" w:eastAsia="zh-CN"/>
        </w:rPr>
        <w:t>供应商上一年度（2023年或2024年）</w:t>
      </w:r>
      <w:r>
        <w:rPr>
          <w:rFonts w:hint="eastAsia" w:ascii="仿宋" w:hAnsi="仿宋" w:eastAsia="仿宋" w:cs="仿宋"/>
          <w:color w:val="auto"/>
          <w:sz w:val="24"/>
          <w:szCs w:val="24"/>
          <w:highlight w:val="none"/>
          <w:lang w:eastAsia="zh-CN"/>
        </w:rPr>
        <w:t>经审计的财务报告（</w:t>
      </w:r>
      <w:r>
        <w:rPr>
          <w:rFonts w:hint="eastAsia" w:ascii="仿宋" w:hAnsi="仿宋" w:eastAsia="仿宋" w:cs="仿宋"/>
          <w:color w:val="auto"/>
          <w:sz w:val="24"/>
          <w:szCs w:val="24"/>
          <w:highlight w:val="none"/>
          <w:lang w:val="en-US" w:eastAsia="zh-CN"/>
        </w:rPr>
        <w:t>至少包含包括资产负债表、现金流量表、利润表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等材料。</w:t>
      </w:r>
    </w:p>
    <w:p w14:paraId="2C503C57">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2BB5C97A">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70550C76">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w:t>
      </w:r>
    </w:p>
    <w:p w14:paraId="771B8E93">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val="en-US" w:eastAsia="zh-CN"/>
        </w:rPr>
        <w:t>日</w:t>
      </w:r>
    </w:p>
    <w:p w14:paraId="27F3443D">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6FA9977">
      <w:pPr>
        <w:pageBreakBefore w:val="0"/>
        <w:kinsoku/>
        <w:wordWrap/>
        <w:overflowPunct/>
        <w:topLinePunct w:val="0"/>
        <w:bidi w:val="0"/>
        <w:spacing w:line="48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p>
    <w:p w14:paraId="1C1CBFDE">
      <w:pPr>
        <w:pageBreakBefore w:val="0"/>
        <w:kinsoku/>
        <w:wordWrap/>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rPr>
        <w:t>简历表</w:t>
      </w:r>
    </w:p>
    <w:p w14:paraId="15E62827">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rPr>
        <w:t>应附建造师注册证书、安全生产考核合格证书、身份证、职称证、学历证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未担任其他在施建设工程项目项目经理的承诺书，管理过的项目业绩须附</w:t>
      </w:r>
      <w:r>
        <w:rPr>
          <w:rFonts w:hint="eastAsia" w:ascii="仿宋" w:hAnsi="仿宋" w:eastAsia="仿宋" w:cs="仿宋"/>
          <w:color w:val="auto"/>
          <w:sz w:val="24"/>
          <w:szCs w:val="24"/>
          <w:highlight w:val="none"/>
          <w:lang w:val="en-US" w:eastAsia="zh-CN"/>
        </w:rPr>
        <w:t>中标（成交）通知书和</w:t>
      </w:r>
      <w:r>
        <w:rPr>
          <w:rFonts w:hint="eastAsia" w:ascii="仿宋" w:hAnsi="仿宋" w:eastAsia="仿宋" w:cs="仿宋"/>
          <w:color w:val="auto"/>
          <w:sz w:val="24"/>
          <w:szCs w:val="24"/>
          <w:highlight w:val="none"/>
        </w:rPr>
        <w:t>合同协议书复印件。</w:t>
      </w:r>
    </w:p>
    <w:p w14:paraId="1277E97C">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1035"/>
        <w:gridCol w:w="1134"/>
        <w:gridCol w:w="1275"/>
        <w:gridCol w:w="1843"/>
        <w:gridCol w:w="2126"/>
      </w:tblGrid>
      <w:tr w14:paraId="343C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643238BF">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035" w:type="dxa"/>
            <w:noWrap w:val="0"/>
            <w:vAlign w:val="center"/>
          </w:tcPr>
          <w:p w14:paraId="1F6DE16F">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1134" w:type="dxa"/>
            <w:noWrap w:val="0"/>
            <w:vAlign w:val="center"/>
          </w:tcPr>
          <w:p w14:paraId="2B71B14B">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p>
        </w:tc>
        <w:tc>
          <w:tcPr>
            <w:tcW w:w="1275" w:type="dxa"/>
            <w:noWrap w:val="0"/>
            <w:vAlign w:val="center"/>
          </w:tcPr>
          <w:p w14:paraId="0CDE6B58">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1843" w:type="dxa"/>
            <w:noWrap w:val="0"/>
            <w:vAlign w:val="center"/>
          </w:tcPr>
          <w:p w14:paraId="696E72B2">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2126" w:type="dxa"/>
            <w:noWrap w:val="0"/>
            <w:vAlign w:val="center"/>
          </w:tcPr>
          <w:p w14:paraId="3D8DC052">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r>
      <w:tr w14:paraId="0C40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500F05BD">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称</w:t>
            </w:r>
          </w:p>
        </w:tc>
        <w:tc>
          <w:tcPr>
            <w:tcW w:w="1035" w:type="dxa"/>
            <w:noWrap w:val="0"/>
            <w:vAlign w:val="center"/>
          </w:tcPr>
          <w:p w14:paraId="6C4FC88D">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1134" w:type="dxa"/>
            <w:noWrap w:val="0"/>
            <w:vAlign w:val="center"/>
          </w:tcPr>
          <w:p w14:paraId="19B4A9D8">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p>
        </w:tc>
        <w:tc>
          <w:tcPr>
            <w:tcW w:w="1275" w:type="dxa"/>
            <w:noWrap w:val="0"/>
            <w:vAlign w:val="center"/>
          </w:tcPr>
          <w:p w14:paraId="57875961">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1843" w:type="dxa"/>
            <w:noWrap w:val="0"/>
            <w:vAlign w:val="center"/>
          </w:tcPr>
          <w:p w14:paraId="3EEF8F57">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拟在本工程任职</w:t>
            </w:r>
          </w:p>
        </w:tc>
        <w:tc>
          <w:tcPr>
            <w:tcW w:w="2126" w:type="dxa"/>
            <w:noWrap w:val="0"/>
            <w:vAlign w:val="center"/>
          </w:tcPr>
          <w:p w14:paraId="62AFF296">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r>
      <w:tr w14:paraId="4DAA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noWrap w:val="0"/>
            <w:vAlign w:val="center"/>
          </w:tcPr>
          <w:p w14:paraId="5D895ACF">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注册建造师执业资格等级</w:t>
            </w:r>
          </w:p>
        </w:tc>
        <w:tc>
          <w:tcPr>
            <w:tcW w:w="1275" w:type="dxa"/>
            <w:noWrap w:val="0"/>
            <w:vAlign w:val="center"/>
          </w:tcPr>
          <w:p w14:paraId="41F15163">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级</w:t>
            </w:r>
          </w:p>
        </w:tc>
        <w:tc>
          <w:tcPr>
            <w:tcW w:w="1843" w:type="dxa"/>
            <w:noWrap w:val="0"/>
            <w:vAlign w:val="center"/>
          </w:tcPr>
          <w:p w14:paraId="5E47702A">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建造师专业</w:t>
            </w:r>
          </w:p>
        </w:tc>
        <w:tc>
          <w:tcPr>
            <w:tcW w:w="2126" w:type="dxa"/>
            <w:noWrap w:val="0"/>
            <w:vAlign w:val="center"/>
          </w:tcPr>
          <w:p w14:paraId="50B85E16">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r>
      <w:tr w14:paraId="7C1D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noWrap w:val="0"/>
            <w:vAlign w:val="center"/>
          </w:tcPr>
          <w:p w14:paraId="5DB791CA">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安全生产考核合格证书</w:t>
            </w:r>
          </w:p>
        </w:tc>
        <w:tc>
          <w:tcPr>
            <w:tcW w:w="5244" w:type="dxa"/>
            <w:gridSpan w:val="3"/>
            <w:noWrap w:val="0"/>
            <w:vAlign w:val="center"/>
          </w:tcPr>
          <w:p w14:paraId="59BF308F">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r>
      <w:tr w14:paraId="6313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4ED84BE7">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毕业学校</w:t>
            </w:r>
          </w:p>
        </w:tc>
        <w:tc>
          <w:tcPr>
            <w:tcW w:w="7413" w:type="dxa"/>
            <w:gridSpan w:val="5"/>
            <w:noWrap w:val="0"/>
            <w:vAlign w:val="center"/>
          </w:tcPr>
          <w:p w14:paraId="3865A70D">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年毕业于                  学校            专业</w:t>
            </w:r>
          </w:p>
        </w:tc>
      </w:tr>
      <w:tr w14:paraId="7F63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6"/>
            <w:noWrap w:val="0"/>
            <w:vAlign w:val="center"/>
          </w:tcPr>
          <w:p w14:paraId="18739BDC">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主要工作经历</w:t>
            </w:r>
          </w:p>
        </w:tc>
      </w:tr>
      <w:tr w14:paraId="1653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540522FF">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  间</w:t>
            </w:r>
          </w:p>
        </w:tc>
        <w:tc>
          <w:tcPr>
            <w:tcW w:w="3444" w:type="dxa"/>
            <w:gridSpan w:val="3"/>
            <w:noWrap w:val="0"/>
            <w:vAlign w:val="center"/>
          </w:tcPr>
          <w:p w14:paraId="5FC18CDC">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参加过的类似项目名称</w:t>
            </w:r>
          </w:p>
        </w:tc>
        <w:tc>
          <w:tcPr>
            <w:tcW w:w="1843" w:type="dxa"/>
            <w:noWrap w:val="0"/>
            <w:vAlign w:val="center"/>
          </w:tcPr>
          <w:p w14:paraId="6123A1F6">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工程概况说明</w:t>
            </w:r>
          </w:p>
        </w:tc>
        <w:tc>
          <w:tcPr>
            <w:tcW w:w="2126" w:type="dxa"/>
            <w:noWrap w:val="0"/>
            <w:vAlign w:val="center"/>
          </w:tcPr>
          <w:p w14:paraId="287A1C4E">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发包人及联系电话</w:t>
            </w:r>
          </w:p>
        </w:tc>
      </w:tr>
      <w:tr w14:paraId="37CD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164D9BF9">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3444" w:type="dxa"/>
            <w:gridSpan w:val="3"/>
            <w:noWrap w:val="0"/>
            <w:vAlign w:val="center"/>
          </w:tcPr>
          <w:p w14:paraId="12CFC195">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1843" w:type="dxa"/>
            <w:noWrap w:val="0"/>
            <w:vAlign w:val="center"/>
          </w:tcPr>
          <w:p w14:paraId="7A98AB48">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2126" w:type="dxa"/>
            <w:noWrap w:val="0"/>
            <w:vAlign w:val="center"/>
          </w:tcPr>
          <w:p w14:paraId="17C6FA78">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r>
      <w:tr w14:paraId="5CAD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39718A53">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3444" w:type="dxa"/>
            <w:gridSpan w:val="3"/>
            <w:noWrap w:val="0"/>
            <w:vAlign w:val="center"/>
          </w:tcPr>
          <w:p w14:paraId="589480D6">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1843" w:type="dxa"/>
            <w:noWrap w:val="0"/>
            <w:vAlign w:val="center"/>
          </w:tcPr>
          <w:p w14:paraId="5DE5760C">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2126" w:type="dxa"/>
            <w:noWrap w:val="0"/>
            <w:vAlign w:val="center"/>
          </w:tcPr>
          <w:p w14:paraId="76C106C2">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r>
      <w:tr w14:paraId="777F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741CE43A">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3444" w:type="dxa"/>
            <w:gridSpan w:val="3"/>
            <w:noWrap w:val="0"/>
            <w:vAlign w:val="center"/>
          </w:tcPr>
          <w:p w14:paraId="01E9C9B9">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1843" w:type="dxa"/>
            <w:noWrap w:val="0"/>
            <w:vAlign w:val="center"/>
          </w:tcPr>
          <w:p w14:paraId="746C331C">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2126" w:type="dxa"/>
            <w:noWrap w:val="0"/>
            <w:vAlign w:val="center"/>
          </w:tcPr>
          <w:p w14:paraId="1408C587">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r>
      <w:tr w14:paraId="56BB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08BB5986">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3444" w:type="dxa"/>
            <w:gridSpan w:val="3"/>
            <w:noWrap w:val="0"/>
            <w:vAlign w:val="center"/>
          </w:tcPr>
          <w:p w14:paraId="46F9D4D6">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1843" w:type="dxa"/>
            <w:noWrap w:val="0"/>
            <w:vAlign w:val="center"/>
          </w:tcPr>
          <w:p w14:paraId="50D96DE1">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2126" w:type="dxa"/>
            <w:noWrap w:val="0"/>
            <w:vAlign w:val="center"/>
          </w:tcPr>
          <w:p w14:paraId="35E21C41">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r>
      <w:tr w14:paraId="69A3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5AB52323">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3444" w:type="dxa"/>
            <w:gridSpan w:val="3"/>
            <w:noWrap w:val="0"/>
            <w:vAlign w:val="center"/>
          </w:tcPr>
          <w:p w14:paraId="64FF5F76">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1843" w:type="dxa"/>
            <w:noWrap w:val="0"/>
            <w:vAlign w:val="center"/>
          </w:tcPr>
          <w:p w14:paraId="4B127785">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2126" w:type="dxa"/>
            <w:noWrap w:val="0"/>
            <w:vAlign w:val="center"/>
          </w:tcPr>
          <w:p w14:paraId="0F9E478B">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r>
      <w:tr w14:paraId="44F1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38768F7C">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3444" w:type="dxa"/>
            <w:gridSpan w:val="3"/>
            <w:noWrap w:val="0"/>
            <w:vAlign w:val="center"/>
          </w:tcPr>
          <w:p w14:paraId="3D16CC3F">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1843" w:type="dxa"/>
            <w:noWrap w:val="0"/>
            <w:vAlign w:val="center"/>
          </w:tcPr>
          <w:p w14:paraId="550F4B00">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2126" w:type="dxa"/>
            <w:noWrap w:val="0"/>
            <w:vAlign w:val="center"/>
          </w:tcPr>
          <w:p w14:paraId="1910EA49">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r>
      <w:tr w14:paraId="02F5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691728C1">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3444" w:type="dxa"/>
            <w:gridSpan w:val="3"/>
            <w:noWrap w:val="0"/>
            <w:vAlign w:val="center"/>
          </w:tcPr>
          <w:p w14:paraId="763C589F">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1843" w:type="dxa"/>
            <w:noWrap w:val="0"/>
            <w:vAlign w:val="center"/>
          </w:tcPr>
          <w:p w14:paraId="44A3E0D9">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c>
          <w:tcPr>
            <w:tcW w:w="2126" w:type="dxa"/>
            <w:noWrap w:val="0"/>
            <w:vAlign w:val="center"/>
          </w:tcPr>
          <w:p w14:paraId="0450DDE5">
            <w:pPr>
              <w:keepNext w:val="0"/>
              <w:keepLines w:val="0"/>
              <w:pageBreakBefore w:val="0"/>
              <w:widowControl w:val="0"/>
              <w:suppressLineNumbers w:val="0"/>
              <w:kinsoku/>
              <w:wordWrap/>
              <w:overflowPunct/>
              <w:topLinePunct w:val="0"/>
              <w:bidi w:val="0"/>
              <w:spacing w:before="0" w:beforeAutospacing="0" w:after="0" w:afterAutospacing="0" w:line="480" w:lineRule="exact"/>
              <w:ind w:left="0" w:right="0"/>
              <w:jc w:val="center"/>
              <w:rPr>
                <w:rFonts w:hint="eastAsia" w:ascii="仿宋" w:hAnsi="仿宋" w:eastAsia="仿宋" w:cs="仿宋"/>
                <w:color w:val="auto"/>
                <w:sz w:val="24"/>
                <w:szCs w:val="24"/>
                <w:highlight w:val="none"/>
              </w:rPr>
            </w:pPr>
          </w:p>
        </w:tc>
      </w:tr>
    </w:tbl>
    <w:p w14:paraId="2504BC80">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7266841B">
      <w:pPr>
        <w:pageBreakBefore w:val="0"/>
        <w:widowControl/>
        <w:kinsoku/>
        <w:wordWrap/>
        <w:overflowPunct/>
        <w:topLinePunct w:val="0"/>
        <w:bidi w:val="0"/>
        <w:spacing w:line="48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p>
    <w:p w14:paraId="2252D15C">
      <w:pPr>
        <w:pageBreakBefore w:val="0"/>
        <w:kinsoku/>
        <w:wordWrap/>
        <w:overflowPunct/>
        <w:topLinePunct w:val="0"/>
        <w:bidi w:val="0"/>
        <w:spacing w:beforeLines="100" w:afterLines="100"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承诺书</w:t>
      </w:r>
    </w:p>
    <w:p w14:paraId="522B5B79">
      <w:pPr>
        <w:pageBreakBefore w:val="0"/>
        <w:kinsoku/>
        <w:wordWrap/>
        <w:overflowPunct/>
        <w:topLinePunct w:val="0"/>
        <w:bidi w:val="0"/>
        <w:spacing w:afterLines="100" w:line="480" w:lineRule="exact"/>
        <w:rPr>
          <w:rFonts w:hint="eastAsia" w:ascii="仿宋" w:hAnsi="仿宋" w:eastAsia="仿宋" w:cs="仿宋"/>
          <w:color w:val="auto"/>
          <w:sz w:val="24"/>
          <w:szCs w:val="24"/>
          <w:highlight w:val="none"/>
        </w:rPr>
      </w:pPr>
      <w:r>
        <w:rPr>
          <w:rFonts w:hint="eastAsia" w:ascii="仿宋" w:hAnsi="仿宋" w:eastAsia="仿宋" w:cs="仿宋"/>
          <w:color w:val="auto"/>
          <w:position w:val="-7"/>
          <w:sz w:val="24"/>
          <w:szCs w:val="24"/>
          <w:highlight w:val="none"/>
          <w:u w:val="single"/>
          <w:lang w:val="en-US" w:eastAsia="zh-CN"/>
        </w:rPr>
        <w:t xml:space="preserve">              </w:t>
      </w:r>
      <w:r>
        <w:rPr>
          <w:rFonts w:hint="eastAsia" w:ascii="仿宋" w:hAnsi="仿宋" w:eastAsia="仿宋" w:cs="仿宋"/>
          <w:color w:val="auto"/>
          <w:sz w:val="24"/>
          <w:szCs w:val="24"/>
          <w:highlight w:val="none"/>
        </w:rPr>
        <w:t>（采购人名称）：</w:t>
      </w:r>
    </w:p>
    <w:p w14:paraId="0A069433">
      <w:pPr>
        <w:pageBreakBefore w:val="0"/>
        <w:kinsoku/>
        <w:wordWrap/>
        <w:overflowPunct/>
        <w:topLinePunct w:val="0"/>
        <w:bidi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我方在此声明，我方拟派往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（项目名称）（以下简称“本工程”）的项目经理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（项目经理姓名）现阶段没有担任任何在施建设工程项目的项目经理。</w:t>
      </w:r>
    </w:p>
    <w:p w14:paraId="0BA5EBD8">
      <w:pPr>
        <w:pageBreakBefore w:val="0"/>
        <w:kinsoku/>
        <w:wordWrap/>
        <w:overflowPunct/>
        <w:topLinePunct w:val="0"/>
        <w:bidi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我方保证上述信息的真实和准确，并愿意承担因我方就此弄虚作假所引起的一切法律后果。</w:t>
      </w:r>
    </w:p>
    <w:p w14:paraId="38FFC67C">
      <w:pPr>
        <w:pageBreakBefore w:val="0"/>
        <w:tabs>
          <w:tab w:val="left" w:pos="568"/>
        </w:tabs>
        <w:kinsoku/>
        <w:wordWrap/>
        <w:overflowPunct/>
        <w:topLinePunct w:val="0"/>
        <w:bidi w:val="0"/>
        <w:spacing w:line="480" w:lineRule="exact"/>
        <w:rPr>
          <w:rFonts w:hint="eastAsia" w:ascii="仿宋" w:hAnsi="仿宋" w:eastAsia="仿宋" w:cs="仿宋"/>
          <w:color w:val="auto"/>
          <w:sz w:val="24"/>
          <w:szCs w:val="24"/>
          <w:highlight w:val="none"/>
          <w:lang w:eastAsia="zh-CN"/>
        </w:rPr>
      </w:pPr>
    </w:p>
    <w:p w14:paraId="0FEE1827">
      <w:pPr>
        <w:pageBreakBefore w:val="0"/>
        <w:kinsoku/>
        <w:wordWrap/>
        <w:overflowPunct/>
        <w:topLinePunct w:val="0"/>
        <w:bidi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538D54DF">
      <w:pPr>
        <w:pStyle w:val="27"/>
        <w:keepLines w:val="0"/>
        <w:pageBreakBefore w:val="0"/>
        <w:shd w:val="clear" w:color="auto" w:fill="auto"/>
        <w:wordWrap/>
        <w:topLinePunct w:val="0"/>
        <w:bidi w:val="0"/>
        <w:spacing w:line="480" w:lineRule="exact"/>
        <w:jc w:val="righ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w:t>
      </w:r>
    </w:p>
    <w:p w14:paraId="5C49807E">
      <w:pPr>
        <w:pStyle w:val="27"/>
        <w:keepLines w:val="0"/>
        <w:pageBreakBefore w:val="0"/>
        <w:shd w:val="clear" w:color="auto" w:fill="auto"/>
        <w:wordWrap/>
        <w:topLinePunct w:val="0"/>
        <w:bidi w:val="0"/>
        <w:spacing w:line="480" w:lineRule="exact"/>
        <w:jc w:val="righ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val="en-US" w:eastAsia="zh-CN"/>
        </w:rPr>
        <w:t>日</w:t>
      </w:r>
    </w:p>
    <w:p w14:paraId="7F2BCF41">
      <w:pPr>
        <w:pStyle w:val="2"/>
        <w:pageBreakBefore w:val="0"/>
        <w:kinsoku/>
        <w:wordWrap/>
        <w:overflowPunct/>
        <w:topLinePunct w:val="0"/>
        <w:bidi w:val="0"/>
        <w:spacing w:line="480" w:lineRule="exact"/>
        <w:rPr>
          <w:rFonts w:hint="eastAsia" w:ascii="仿宋" w:hAnsi="仿宋" w:eastAsia="仿宋" w:cs="仿宋"/>
          <w:color w:val="auto"/>
          <w:sz w:val="24"/>
          <w:szCs w:val="24"/>
        </w:rPr>
      </w:pPr>
    </w:p>
    <w:p w14:paraId="01720319">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19184A4C">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具有履行合同所必需的设备和专业技术能力(提供声明函格式自拟)即具有完成本项目采购能力</w:t>
      </w:r>
      <w:r>
        <w:rPr>
          <w:rFonts w:hint="eastAsia" w:ascii="仿宋" w:hAnsi="仿宋" w:eastAsia="仿宋" w:cs="仿宋"/>
          <w:color w:val="auto"/>
          <w:sz w:val="24"/>
          <w:szCs w:val="24"/>
          <w:highlight w:val="none"/>
        </w:rPr>
        <w:t>；</w:t>
      </w:r>
    </w:p>
    <w:p w14:paraId="60B6742F">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0240AF99">
      <w:pPr>
        <w:pStyle w:val="2"/>
        <w:pageBreakBefore w:val="0"/>
        <w:kinsoku/>
        <w:wordWrap/>
        <w:overflowPunct/>
        <w:topLinePunct w:val="0"/>
        <w:bidi w:val="0"/>
        <w:spacing w:line="480" w:lineRule="exact"/>
        <w:rPr>
          <w:rFonts w:hint="eastAsia" w:ascii="仿宋" w:hAnsi="仿宋" w:eastAsia="仿宋" w:cs="仿宋"/>
          <w:color w:val="auto"/>
          <w:sz w:val="24"/>
          <w:szCs w:val="24"/>
        </w:rPr>
      </w:pPr>
    </w:p>
    <w:p w14:paraId="120FB41E">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09BE13BD">
      <w:pPr>
        <w:pageBreakBefore w:val="0"/>
        <w:kinsoku/>
        <w:wordWrap/>
        <w:overflowPunct/>
        <w:topLinePunct w:val="0"/>
        <w:bidi w:val="0"/>
        <w:spacing w:line="48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  具有依法缴纳税收和社会保障资金的良好记录（提供本单位近三个月内任意一个月的依法缴纳税收和社会保障资金的相关材料）</w:t>
      </w:r>
      <w:r>
        <w:rPr>
          <w:rFonts w:hint="eastAsia" w:ascii="仿宋" w:hAnsi="仿宋" w:eastAsia="仿宋" w:cs="仿宋"/>
          <w:color w:val="auto"/>
          <w:sz w:val="24"/>
          <w:szCs w:val="24"/>
          <w:highlight w:val="none"/>
        </w:rPr>
        <w:t>；</w:t>
      </w:r>
    </w:p>
    <w:p w14:paraId="7CDA888A">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3DE94EC5">
      <w:pPr>
        <w:pStyle w:val="2"/>
        <w:pageBreakBefore w:val="0"/>
        <w:kinsoku/>
        <w:wordWrap/>
        <w:overflowPunct/>
        <w:topLinePunct w:val="0"/>
        <w:bidi w:val="0"/>
        <w:spacing w:line="480" w:lineRule="exact"/>
        <w:rPr>
          <w:rFonts w:hint="eastAsia" w:ascii="仿宋" w:hAnsi="仿宋" w:eastAsia="仿宋" w:cs="仿宋"/>
          <w:color w:val="auto"/>
          <w:sz w:val="24"/>
          <w:szCs w:val="24"/>
        </w:rPr>
      </w:pPr>
    </w:p>
    <w:p w14:paraId="5F61FC66">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1B6A6676">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val="en-US" w:eastAsia="zh-CN"/>
        </w:rPr>
        <w:t>单位负责人为同一人或者存在直接控股、管理关系的不同供应商，不得参加同一合同项下的政府采购活动(提供声明函格式自拟)；</w:t>
      </w:r>
    </w:p>
    <w:p w14:paraId="06814255">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586FAC58">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1DEBFD1B">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4E5E3724">
      <w:pPr>
        <w:pageBreakBefore w:val="0"/>
        <w:kinsoku/>
        <w:wordWrap/>
        <w:overflowPunct/>
        <w:topLinePunct w:val="0"/>
        <w:bidi w:val="0"/>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p>
    <w:p w14:paraId="122DCB8C">
      <w:pPr>
        <w:pageBreakBefore w:val="0"/>
        <w:kinsoku/>
        <w:wordWrap/>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参加政府采购活动前三年内在经营活动中</w:t>
      </w:r>
    </w:p>
    <w:p w14:paraId="0F2E5FAB">
      <w:pPr>
        <w:pageBreakBefore w:val="0"/>
        <w:kinsoku/>
        <w:wordWrap/>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没有重大违法记录的书面声明</w:t>
      </w:r>
    </w:p>
    <w:p w14:paraId="02FE8E67">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w:t>
      </w:r>
    </w:p>
    <w:p w14:paraId="78B2A69F">
      <w:pPr>
        <w:pageBreakBefore w:val="0"/>
        <w:kinsoku/>
        <w:wordWrap/>
        <w:overflowPunct/>
        <w:topLinePunct w:val="0"/>
        <w:bidi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我单位在参加采购活动前三年内在经营活动中没有《</w:t>
      </w:r>
      <w:r>
        <w:rPr>
          <w:rFonts w:hint="eastAsia" w:ascii="仿宋" w:hAnsi="仿宋" w:eastAsia="仿宋" w:cs="仿宋"/>
          <w:color w:val="auto"/>
          <w:sz w:val="24"/>
          <w:szCs w:val="24"/>
          <w:highlight w:val="none"/>
          <w:lang w:eastAsia="zh-CN"/>
        </w:rPr>
        <w:t>中华人民共和国政府采购法</w:t>
      </w:r>
      <w:r>
        <w:rPr>
          <w:rFonts w:hint="eastAsia" w:ascii="仿宋" w:hAnsi="仿宋" w:eastAsia="仿宋" w:cs="仿宋"/>
          <w:color w:val="auto"/>
          <w:sz w:val="24"/>
          <w:szCs w:val="24"/>
          <w:highlight w:val="none"/>
        </w:rPr>
        <w:t>》第二十二条第一款第(五)项所称重大违法记录，包括：</w:t>
      </w:r>
    </w:p>
    <w:p w14:paraId="19B56DB0">
      <w:pPr>
        <w:pageBreakBefore w:val="0"/>
        <w:kinsoku/>
        <w:wordWrap/>
        <w:overflowPunct/>
        <w:topLinePunct w:val="0"/>
        <w:bidi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我单位或者其法定代表人、董事、监事、高级管理人员未因经营活动中的违法行为受到刑事处罚或者责令停产停业、吊销许可证或者执照、较大数额罚款等行政处罚。</w:t>
      </w:r>
    </w:p>
    <w:p w14:paraId="301700DC">
      <w:pPr>
        <w:pageBreakBefore w:val="0"/>
        <w:kinsoku/>
        <w:wordWrap/>
        <w:overflowPunct/>
        <w:topLinePunct w:val="0"/>
        <w:bidi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75D5709E">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54D89FF0">
      <w:pPr>
        <w:pStyle w:val="27"/>
        <w:keepLines w:val="0"/>
        <w:pageBreakBefore w:val="0"/>
        <w:shd w:val="clear" w:color="auto" w:fill="auto"/>
        <w:wordWrap/>
        <w:topLinePunct w:val="0"/>
        <w:bidi w:val="0"/>
        <w:spacing w:line="480" w:lineRule="exact"/>
        <w:jc w:val="righ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w:t>
      </w:r>
    </w:p>
    <w:p w14:paraId="193D8B29">
      <w:pPr>
        <w:pStyle w:val="27"/>
        <w:keepLines w:val="0"/>
        <w:pageBreakBefore w:val="0"/>
        <w:shd w:val="clear" w:color="auto" w:fill="auto"/>
        <w:wordWrap/>
        <w:topLinePunct w:val="0"/>
        <w:bidi w:val="0"/>
        <w:spacing w:line="480" w:lineRule="exact"/>
        <w:jc w:val="righ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日期：_____年____月____日</w:t>
      </w:r>
    </w:p>
    <w:p w14:paraId="6E51022C">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p>
    <w:p w14:paraId="4F1C414B">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8 </w:t>
      </w:r>
      <w:r>
        <w:rPr>
          <w:rFonts w:hint="eastAsia" w:ascii="仿宋" w:hAnsi="仿宋" w:eastAsia="仿宋" w:cs="仿宋"/>
          <w:color w:val="auto"/>
          <w:sz w:val="24"/>
          <w:szCs w:val="24"/>
          <w:highlight w:val="none"/>
        </w:rPr>
        <w:t>无不良信用记录承诺函</w:t>
      </w:r>
    </w:p>
    <w:p w14:paraId="2EB5ABCE">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致____________(采购人或采购代理机构)：</w:t>
      </w:r>
    </w:p>
    <w:p w14:paraId="184963FE">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本单位郑重承诺，我单位无以下不良信用记录情形：</w:t>
      </w:r>
    </w:p>
    <w:p w14:paraId="30A24358">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1.被人民法院列入失信被执行人；</w:t>
      </w:r>
    </w:p>
    <w:p w14:paraId="287A4C45">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2.被税务部门列入</w:t>
      </w:r>
      <w:r>
        <w:rPr>
          <w:rFonts w:hint="eastAsia" w:ascii="仿宋" w:hAnsi="仿宋" w:eastAsia="仿宋" w:cs="仿宋"/>
          <w:color w:val="auto"/>
          <w:sz w:val="24"/>
          <w:szCs w:val="24"/>
          <w:highlight w:val="none"/>
          <w:lang w:eastAsia="zh-CN"/>
        </w:rPr>
        <w:t>重大税收违法失信主体名单</w:t>
      </w:r>
      <w:r>
        <w:rPr>
          <w:rFonts w:hint="eastAsia" w:ascii="仿宋" w:hAnsi="仿宋" w:eastAsia="仿宋" w:cs="仿宋"/>
          <w:color w:val="auto"/>
          <w:sz w:val="24"/>
          <w:szCs w:val="24"/>
          <w:highlight w:val="none"/>
        </w:rPr>
        <w:t>；</w:t>
      </w:r>
    </w:p>
    <w:p w14:paraId="04D1ACFD">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3.被政府采购监管部门列入政府采购严重违法失信行为记录名单；</w:t>
      </w:r>
    </w:p>
    <w:p w14:paraId="40097A18">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4.不符合《</w:t>
      </w:r>
      <w:r>
        <w:rPr>
          <w:rFonts w:hint="eastAsia" w:ascii="仿宋" w:hAnsi="仿宋" w:eastAsia="仿宋" w:cs="仿宋"/>
          <w:color w:val="auto"/>
          <w:sz w:val="24"/>
          <w:szCs w:val="24"/>
          <w:highlight w:val="none"/>
          <w:lang w:eastAsia="zh-CN"/>
        </w:rPr>
        <w:t>中华人民共和国政府采购法</w:t>
      </w:r>
      <w:r>
        <w:rPr>
          <w:rFonts w:hint="eastAsia" w:ascii="仿宋" w:hAnsi="仿宋" w:eastAsia="仿宋" w:cs="仿宋"/>
          <w:color w:val="auto"/>
          <w:sz w:val="24"/>
          <w:szCs w:val="24"/>
          <w:highlight w:val="none"/>
        </w:rPr>
        <w:t>》第二十二条规定的条件。</w:t>
      </w:r>
    </w:p>
    <w:p w14:paraId="3FC9555A">
      <w:pPr>
        <w:pageBreakBefore w:val="0"/>
        <w:kinsoku/>
        <w:wordWrap/>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我单位已就上述不良信用行为按照招标文件中供应商须知前附表规定进行了查询。我单位承诺：合同签订前，若我单位具有不良信用记录情形，贵方可取消我单位</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资格或者不授予合同，所有责任由我单位自行承担。同时，我单位愿意无条件接受监管部门的调查处理。</w:t>
      </w:r>
    </w:p>
    <w:p w14:paraId="0ED6A8A9">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468090E3">
      <w:pPr>
        <w:pStyle w:val="27"/>
        <w:keepLines w:val="0"/>
        <w:pageBreakBefore w:val="0"/>
        <w:shd w:val="clear" w:color="auto" w:fill="auto"/>
        <w:wordWrap/>
        <w:topLinePunct w:val="0"/>
        <w:bidi w:val="0"/>
        <w:spacing w:line="480" w:lineRule="exact"/>
        <w:jc w:val="righ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w:t>
      </w:r>
    </w:p>
    <w:p w14:paraId="30B7F131">
      <w:pPr>
        <w:pStyle w:val="27"/>
        <w:keepLines w:val="0"/>
        <w:pageBreakBefore w:val="0"/>
        <w:shd w:val="clear" w:color="auto" w:fill="auto"/>
        <w:wordWrap/>
        <w:topLinePunct w:val="0"/>
        <w:bidi w:val="0"/>
        <w:spacing w:line="480" w:lineRule="exact"/>
        <w:jc w:val="righ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日期：_____年____月____日</w:t>
      </w:r>
    </w:p>
    <w:p w14:paraId="6ACE404C">
      <w:pPr>
        <w:pStyle w:val="8"/>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343E9301">
      <w:pPr>
        <w:pageBreakBefore w:val="0"/>
        <w:kinsoku/>
        <w:wordWrap/>
        <w:overflowPunct/>
        <w:topLinePunct w:val="0"/>
        <w:bidi w:val="0"/>
        <w:spacing w:line="480" w:lineRule="exact"/>
        <w:rPr>
          <w:rFonts w:hint="eastAsia" w:ascii="仿宋" w:hAnsi="仿宋" w:eastAsia="仿宋" w:cs="仿宋"/>
          <w:color w:val="auto"/>
          <w:sz w:val="24"/>
          <w:szCs w:val="24"/>
          <w:highlight w:val="none"/>
        </w:rPr>
      </w:pPr>
    </w:p>
    <w:p w14:paraId="396CD268">
      <w:pPr>
        <w:pageBreakBefore w:val="0"/>
        <w:kinsoku/>
        <w:wordWrap/>
        <w:overflowPunct/>
        <w:topLinePunct w:val="0"/>
        <w:bidi w:val="0"/>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  供应商参加政府采购活动前三年内，在经营活动中没有重大违法记录，在“信用中国”网站（www.creditchina.gov.cn）、中国政府采购网（www.ccgp.gov.cn）没有被列入失信被执行人、重大税收违法失信主体名单、政府采购严重违法失信行为记录名单及其他不符合规定条件。</w:t>
      </w:r>
      <w:r>
        <w:rPr>
          <w:rFonts w:hint="eastAsia" w:ascii="仿宋" w:hAnsi="仿宋" w:eastAsia="仿宋" w:cs="仿宋"/>
          <w:color w:val="auto"/>
          <w:sz w:val="24"/>
          <w:szCs w:val="24"/>
          <w:highlight w:val="none"/>
          <w:lang w:eastAsia="zh-CN"/>
        </w:rPr>
        <w:t>（提供查询结果网页截图并加盖供应商公章）。</w:t>
      </w:r>
    </w:p>
    <w:p w14:paraId="54F0B448">
      <w:pPr>
        <w:pageBreakBefore w:val="0"/>
        <w:kinsoku/>
        <w:wordWrap/>
        <w:overflowPunct/>
        <w:topLinePunct w:val="0"/>
        <w:bidi w:val="0"/>
        <w:spacing w:line="480" w:lineRule="exact"/>
        <w:rPr>
          <w:rFonts w:hint="eastAsia" w:ascii="仿宋" w:hAnsi="仿宋" w:eastAsia="仿宋" w:cs="仿宋"/>
          <w:color w:val="auto"/>
          <w:sz w:val="24"/>
          <w:szCs w:val="24"/>
          <w:highlight w:val="none"/>
          <w:lang w:eastAsia="zh-CN"/>
        </w:rPr>
      </w:pPr>
    </w:p>
    <w:p w14:paraId="5FBDFCD9">
      <w:pPr>
        <w:pageBreakBefore w:val="0"/>
        <w:kinsoku/>
        <w:wordWrap/>
        <w:overflowPunct/>
        <w:topLinePunct w:val="0"/>
        <w:bidi w:val="0"/>
        <w:spacing w:line="480" w:lineRule="exact"/>
        <w:rPr>
          <w:rFonts w:hint="eastAsia" w:ascii="仿宋" w:hAnsi="仿宋" w:eastAsia="仿宋" w:cs="仿宋"/>
          <w:color w:val="auto"/>
          <w:sz w:val="24"/>
          <w:szCs w:val="24"/>
          <w:highlight w:val="none"/>
          <w:lang w:val="en-US" w:eastAsia="zh-CN"/>
        </w:rPr>
      </w:pPr>
    </w:p>
    <w:p w14:paraId="40FF0F8C">
      <w:pPr>
        <w:pageBreakBefore w:val="0"/>
        <w:kinsoku/>
        <w:wordWrap/>
        <w:overflowPunct/>
        <w:topLinePunct w:val="0"/>
        <w:bidi w:val="0"/>
        <w:spacing w:line="480" w:lineRule="exact"/>
        <w:rPr>
          <w:rFonts w:hint="eastAsia" w:ascii="仿宋" w:hAnsi="仿宋" w:eastAsia="仿宋" w:cs="仿宋"/>
          <w:color w:val="auto"/>
          <w:sz w:val="24"/>
          <w:szCs w:val="24"/>
          <w:highlight w:val="none"/>
          <w:lang w:val="en-US" w:eastAsia="zh-CN"/>
        </w:rPr>
      </w:pPr>
    </w:p>
    <w:p w14:paraId="092B1336">
      <w:pPr>
        <w:pageBreakBefore w:val="0"/>
        <w:kinsoku/>
        <w:wordWrap/>
        <w:overflowPunct/>
        <w:topLinePunct w:val="0"/>
        <w:bidi w:val="0"/>
        <w:spacing w:line="480" w:lineRule="exact"/>
        <w:rPr>
          <w:rFonts w:hint="eastAsia" w:ascii="仿宋" w:hAnsi="仿宋" w:eastAsia="仿宋" w:cs="仿宋"/>
          <w:color w:val="auto"/>
          <w:sz w:val="24"/>
          <w:szCs w:val="24"/>
          <w:highlight w:val="none"/>
          <w:lang w:val="en-US" w:eastAsia="zh-CN"/>
        </w:rPr>
      </w:pPr>
    </w:p>
    <w:p w14:paraId="77787598">
      <w:pPr>
        <w:pageBreakBefore w:val="0"/>
        <w:kinsoku/>
        <w:wordWrap/>
        <w:overflowPunct/>
        <w:topLinePunct w:val="0"/>
        <w:bidi w:val="0"/>
        <w:spacing w:line="480" w:lineRule="exact"/>
        <w:rPr>
          <w:rFonts w:hint="eastAsia" w:ascii="仿宋" w:hAnsi="仿宋" w:eastAsia="仿宋" w:cs="仿宋"/>
          <w:color w:val="auto"/>
          <w:sz w:val="24"/>
          <w:szCs w:val="24"/>
          <w:highlight w:val="none"/>
          <w:lang w:val="en-US" w:eastAsia="zh-CN"/>
        </w:rPr>
      </w:pPr>
    </w:p>
    <w:p w14:paraId="11DE6A5D">
      <w:pPr>
        <w:pageBreakBefore w:val="0"/>
        <w:kinsoku/>
        <w:wordWrap/>
        <w:overflowPunct/>
        <w:topLinePunct w:val="0"/>
        <w:bidi w:val="0"/>
        <w:spacing w:line="480" w:lineRule="exact"/>
        <w:rPr>
          <w:rFonts w:hint="eastAsia" w:ascii="仿宋" w:hAnsi="仿宋" w:eastAsia="仿宋" w:cs="仿宋"/>
          <w:color w:val="auto"/>
          <w:sz w:val="24"/>
          <w:szCs w:val="24"/>
          <w:highlight w:val="none"/>
          <w:lang w:val="en-US" w:eastAsia="zh-CN"/>
        </w:rPr>
      </w:pPr>
    </w:p>
    <w:p w14:paraId="26CFF134">
      <w:pPr>
        <w:pageBreakBefore w:val="0"/>
        <w:kinsoku/>
        <w:wordWrap/>
        <w:overflowPunct/>
        <w:topLinePunct w:val="0"/>
        <w:bidi w:val="0"/>
        <w:spacing w:line="480" w:lineRule="exact"/>
        <w:rPr>
          <w:rFonts w:hint="eastAsia" w:ascii="仿宋" w:hAnsi="仿宋" w:eastAsia="仿宋" w:cs="仿宋"/>
          <w:color w:val="auto"/>
          <w:sz w:val="24"/>
          <w:szCs w:val="24"/>
          <w:highlight w:val="none"/>
          <w:lang w:val="en-US" w:eastAsia="zh-CN"/>
        </w:rPr>
      </w:pPr>
    </w:p>
    <w:p w14:paraId="47412A4A">
      <w:pPr>
        <w:pageBreakBefore w:val="0"/>
        <w:kinsoku/>
        <w:wordWrap/>
        <w:overflowPunct/>
        <w:topLinePunct w:val="0"/>
        <w:bidi w:val="0"/>
        <w:spacing w:line="480" w:lineRule="exact"/>
        <w:rPr>
          <w:rFonts w:hint="eastAsia" w:ascii="仿宋" w:hAnsi="仿宋" w:eastAsia="仿宋" w:cs="仿宋"/>
          <w:color w:val="auto"/>
          <w:sz w:val="24"/>
          <w:szCs w:val="24"/>
          <w:highlight w:val="none"/>
          <w:lang w:val="en-US" w:eastAsia="zh-CN"/>
        </w:rPr>
      </w:pPr>
    </w:p>
    <w:p w14:paraId="70E84E37">
      <w:pPr>
        <w:pageBreakBefore w:val="0"/>
        <w:kinsoku/>
        <w:wordWrap/>
        <w:overflowPunct/>
        <w:topLinePunct w:val="0"/>
        <w:bidi w:val="0"/>
        <w:spacing w:line="480" w:lineRule="exact"/>
        <w:rPr>
          <w:rFonts w:hint="eastAsia" w:ascii="仿宋" w:hAnsi="仿宋" w:eastAsia="仿宋" w:cs="仿宋"/>
          <w:color w:val="auto"/>
          <w:sz w:val="24"/>
          <w:szCs w:val="24"/>
          <w:highlight w:val="none"/>
          <w:lang w:val="en-US" w:eastAsia="zh-CN"/>
        </w:rPr>
      </w:pPr>
    </w:p>
    <w:p w14:paraId="0E71812A">
      <w:pPr>
        <w:pageBreakBefore w:val="0"/>
        <w:kinsoku/>
        <w:wordWrap/>
        <w:overflowPunct/>
        <w:topLinePunct w:val="0"/>
        <w:bidi w:val="0"/>
        <w:spacing w:line="480" w:lineRule="exact"/>
        <w:rPr>
          <w:rFonts w:hint="eastAsia" w:ascii="仿宋" w:hAnsi="仿宋" w:eastAsia="仿宋" w:cs="仿宋"/>
          <w:color w:val="auto"/>
          <w:sz w:val="24"/>
          <w:szCs w:val="24"/>
          <w:highlight w:val="none"/>
          <w:lang w:val="en-US" w:eastAsia="zh-CN"/>
        </w:rPr>
      </w:pPr>
    </w:p>
    <w:p w14:paraId="2554D396">
      <w:pPr>
        <w:pageBreakBefore w:val="0"/>
        <w:kinsoku/>
        <w:wordWrap/>
        <w:overflowPunct/>
        <w:topLinePunct w:val="0"/>
        <w:bidi w:val="0"/>
        <w:spacing w:line="48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附件6-10  声明函</w:t>
      </w:r>
    </w:p>
    <w:p w14:paraId="5AB8D664">
      <w:pPr>
        <w:pStyle w:val="14"/>
        <w:keepNext w:val="0"/>
        <w:keepLines w:val="0"/>
        <w:pageBreakBefore w:val="0"/>
        <w:widowControl/>
        <w:suppressLineNumbers w:val="0"/>
        <w:kinsoku/>
        <w:wordWrap/>
        <w:overflowPunct/>
        <w:topLinePunct w:val="0"/>
        <w:bidi w:val="0"/>
        <w:spacing w:before="75" w:beforeAutospacing="0" w:after="75" w:afterAutospacing="0" w:line="480" w:lineRule="exact"/>
        <w:ind w:right="0"/>
        <w:jc w:val="center"/>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中小企业声明函（工程）</w:t>
      </w:r>
    </w:p>
    <w:p w14:paraId="6E257CD6">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本公司郑重声明，根据《政府采购促进中小企业发展管理办法》（财库〔2020〕46号）的规定，本公司参加</w:t>
      </w:r>
      <w:r>
        <w:rPr>
          <w:rStyle w:val="23"/>
          <w:rFonts w:hint="eastAsia" w:ascii="仿宋" w:hAnsi="仿宋" w:eastAsia="仿宋" w:cs="仿宋"/>
          <w:i w:val="0"/>
          <w:iCs w:val="0"/>
          <w:caps w:val="0"/>
          <w:color w:val="auto"/>
          <w:spacing w:val="0"/>
          <w:sz w:val="24"/>
          <w:szCs w:val="24"/>
          <w:u w:val="single"/>
        </w:rPr>
        <w:t>（单位名称）</w:t>
      </w:r>
      <w:r>
        <w:rPr>
          <w:rFonts w:hint="eastAsia" w:ascii="仿宋" w:hAnsi="仿宋" w:eastAsia="仿宋" w:cs="仿宋"/>
          <w:i w:val="0"/>
          <w:iCs w:val="0"/>
          <w:caps w:val="0"/>
          <w:color w:val="auto"/>
          <w:spacing w:val="0"/>
          <w:sz w:val="24"/>
          <w:szCs w:val="24"/>
        </w:rPr>
        <w:t>的</w:t>
      </w:r>
      <w:r>
        <w:rPr>
          <w:rStyle w:val="23"/>
          <w:rFonts w:hint="eastAsia" w:ascii="仿宋" w:hAnsi="仿宋" w:eastAsia="仿宋" w:cs="仿宋"/>
          <w:i w:val="0"/>
          <w:iCs w:val="0"/>
          <w:caps w:val="0"/>
          <w:color w:val="auto"/>
          <w:spacing w:val="0"/>
          <w:sz w:val="24"/>
          <w:szCs w:val="24"/>
          <w:u w:val="single"/>
        </w:rPr>
        <w:t>（项目名称）</w:t>
      </w:r>
      <w:r>
        <w:rPr>
          <w:rFonts w:hint="eastAsia" w:ascii="仿宋" w:hAnsi="仿宋" w:eastAsia="仿宋" w:cs="仿宋"/>
          <w:i w:val="0"/>
          <w:iCs w:val="0"/>
          <w:caps w:val="0"/>
          <w:color w:val="auto"/>
          <w:spacing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8441ED7">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1.</w:t>
      </w:r>
      <w:r>
        <w:rPr>
          <w:rStyle w:val="23"/>
          <w:rFonts w:hint="eastAsia" w:ascii="仿宋" w:hAnsi="仿宋" w:eastAsia="仿宋" w:cs="仿宋"/>
          <w:i w:val="0"/>
          <w:iCs w:val="0"/>
          <w:caps w:val="0"/>
          <w:color w:val="auto"/>
          <w:spacing w:val="0"/>
          <w:sz w:val="24"/>
          <w:szCs w:val="24"/>
          <w:u w:val="single"/>
        </w:rPr>
        <w:t>（标的名称）</w:t>
      </w:r>
      <w:r>
        <w:rPr>
          <w:rFonts w:hint="eastAsia" w:ascii="仿宋" w:hAnsi="仿宋" w:eastAsia="仿宋" w:cs="仿宋"/>
          <w:i w:val="0"/>
          <w:iCs w:val="0"/>
          <w:caps w:val="0"/>
          <w:color w:val="auto"/>
          <w:spacing w:val="0"/>
          <w:sz w:val="24"/>
          <w:szCs w:val="24"/>
        </w:rPr>
        <w:t>，属于</w:t>
      </w:r>
      <w:r>
        <w:rPr>
          <w:rFonts w:hint="eastAsia" w:ascii="仿宋" w:hAnsi="仿宋" w:eastAsia="仿宋" w:cs="仿宋"/>
          <w:b/>
          <w:bCs/>
          <w:i w:val="0"/>
          <w:iCs w:val="0"/>
          <w:caps w:val="0"/>
          <w:color w:val="auto"/>
          <w:spacing w:val="0"/>
          <w:sz w:val="24"/>
          <w:szCs w:val="24"/>
          <w:u w:val="single"/>
          <w:lang w:val="en-US" w:eastAsia="zh-CN"/>
        </w:rPr>
        <w:t>建筑业</w:t>
      </w:r>
      <w:r>
        <w:rPr>
          <w:rFonts w:hint="eastAsia" w:ascii="仿宋" w:hAnsi="仿宋" w:eastAsia="仿宋" w:cs="仿宋"/>
          <w:i w:val="0"/>
          <w:iCs w:val="0"/>
          <w:caps w:val="0"/>
          <w:color w:val="auto"/>
          <w:spacing w:val="0"/>
          <w:sz w:val="24"/>
          <w:szCs w:val="24"/>
        </w:rPr>
        <w:t>；承建（承接）企业为</w:t>
      </w:r>
      <w:r>
        <w:rPr>
          <w:rStyle w:val="23"/>
          <w:rFonts w:hint="eastAsia" w:ascii="仿宋" w:hAnsi="仿宋" w:eastAsia="仿宋" w:cs="仿宋"/>
          <w:i w:val="0"/>
          <w:iCs w:val="0"/>
          <w:caps w:val="0"/>
          <w:color w:val="auto"/>
          <w:spacing w:val="0"/>
          <w:sz w:val="24"/>
          <w:szCs w:val="24"/>
          <w:u w:val="single"/>
        </w:rPr>
        <w:t>（企业名称）</w:t>
      </w:r>
      <w:r>
        <w:rPr>
          <w:rFonts w:hint="eastAsia" w:ascii="仿宋" w:hAnsi="仿宋" w:eastAsia="仿宋" w:cs="仿宋"/>
          <w:i w:val="0"/>
          <w:iCs w:val="0"/>
          <w:caps w:val="0"/>
          <w:color w:val="auto"/>
          <w:spacing w:val="0"/>
          <w:sz w:val="24"/>
          <w:szCs w:val="24"/>
        </w:rPr>
        <w:t>，从业人员</w:t>
      </w:r>
      <w:r>
        <w:rPr>
          <w:rFonts w:hint="eastAsia" w:ascii="仿宋" w:hAnsi="仿宋" w:eastAsia="仿宋" w:cs="仿宋"/>
          <w:i w:val="0"/>
          <w:iCs w:val="0"/>
          <w:caps w:val="0"/>
          <w:color w:val="auto"/>
          <w:spacing w:val="0"/>
          <w:sz w:val="24"/>
          <w:szCs w:val="24"/>
          <w:u w:val="single"/>
        </w:rPr>
        <w:t>  </w:t>
      </w:r>
      <w:r>
        <w:rPr>
          <w:rFonts w:hint="eastAsia" w:ascii="仿宋" w:hAnsi="仿宋" w:eastAsia="仿宋" w:cs="仿宋"/>
          <w:i w:val="0"/>
          <w:iCs w:val="0"/>
          <w:caps w:val="0"/>
          <w:color w:val="auto"/>
          <w:spacing w:val="0"/>
          <w:sz w:val="24"/>
          <w:szCs w:val="24"/>
        </w:rPr>
        <w:t>人，营业收入为</w:t>
      </w:r>
      <w:r>
        <w:rPr>
          <w:rFonts w:hint="eastAsia" w:ascii="仿宋" w:hAnsi="仿宋" w:eastAsia="仿宋" w:cs="仿宋"/>
          <w:i w:val="0"/>
          <w:iCs w:val="0"/>
          <w:caps w:val="0"/>
          <w:color w:val="auto"/>
          <w:spacing w:val="0"/>
          <w:sz w:val="24"/>
          <w:szCs w:val="24"/>
          <w:u w:val="single"/>
        </w:rPr>
        <w:t>  </w:t>
      </w:r>
      <w:r>
        <w:rPr>
          <w:rFonts w:hint="eastAsia" w:ascii="仿宋" w:hAnsi="仿宋" w:eastAsia="仿宋" w:cs="仿宋"/>
          <w:i w:val="0"/>
          <w:iCs w:val="0"/>
          <w:caps w:val="0"/>
          <w:color w:val="auto"/>
          <w:spacing w:val="0"/>
          <w:sz w:val="24"/>
          <w:szCs w:val="24"/>
        </w:rPr>
        <w:t>万元，资产总额为</w:t>
      </w:r>
      <w:r>
        <w:rPr>
          <w:rFonts w:hint="eastAsia" w:ascii="仿宋" w:hAnsi="仿宋" w:eastAsia="仿宋" w:cs="仿宋"/>
          <w:i w:val="0"/>
          <w:iCs w:val="0"/>
          <w:caps w:val="0"/>
          <w:color w:val="auto"/>
          <w:spacing w:val="0"/>
          <w:sz w:val="24"/>
          <w:szCs w:val="24"/>
          <w:u w:val="single"/>
        </w:rPr>
        <w:t>  </w:t>
      </w:r>
      <w:r>
        <w:rPr>
          <w:rFonts w:hint="eastAsia" w:ascii="仿宋" w:hAnsi="仿宋" w:eastAsia="仿宋" w:cs="仿宋"/>
          <w:i w:val="0"/>
          <w:iCs w:val="0"/>
          <w:caps w:val="0"/>
          <w:color w:val="auto"/>
          <w:spacing w:val="0"/>
          <w:sz w:val="24"/>
          <w:szCs w:val="24"/>
        </w:rPr>
        <w:t>万元，属于</w:t>
      </w:r>
      <w:r>
        <w:rPr>
          <w:rStyle w:val="23"/>
          <w:rFonts w:hint="eastAsia" w:ascii="仿宋" w:hAnsi="仿宋" w:eastAsia="仿宋" w:cs="仿宋"/>
          <w:i w:val="0"/>
          <w:iCs w:val="0"/>
          <w:caps w:val="0"/>
          <w:color w:val="auto"/>
          <w:spacing w:val="0"/>
          <w:sz w:val="24"/>
          <w:szCs w:val="24"/>
          <w:u w:val="single"/>
        </w:rPr>
        <w:t>（中型企业、小型企业、微型企业）</w:t>
      </w:r>
      <w:r>
        <w:rPr>
          <w:rFonts w:hint="eastAsia" w:ascii="仿宋" w:hAnsi="仿宋" w:eastAsia="仿宋" w:cs="仿宋"/>
          <w:i w:val="0"/>
          <w:iCs w:val="0"/>
          <w:caps w:val="0"/>
          <w:color w:val="auto"/>
          <w:spacing w:val="0"/>
          <w:sz w:val="24"/>
          <w:szCs w:val="24"/>
        </w:rPr>
        <w:t>；</w:t>
      </w:r>
    </w:p>
    <w:p w14:paraId="3495DDB9">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2.</w:t>
      </w:r>
      <w:r>
        <w:rPr>
          <w:rStyle w:val="23"/>
          <w:rFonts w:hint="eastAsia" w:ascii="仿宋" w:hAnsi="仿宋" w:eastAsia="仿宋" w:cs="仿宋"/>
          <w:i w:val="0"/>
          <w:iCs w:val="0"/>
          <w:caps w:val="0"/>
          <w:color w:val="auto"/>
          <w:spacing w:val="0"/>
          <w:sz w:val="24"/>
          <w:szCs w:val="24"/>
          <w:u w:val="single"/>
        </w:rPr>
        <w:t>（标的名称）</w:t>
      </w:r>
      <w:r>
        <w:rPr>
          <w:rFonts w:hint="eastAsia" w:ascii="仿宋" w:hAnsi="仿宋" w:eastAsia="仿宋" w:cs="仿宋"/>
          <w:i w:val="0"/>
          <w:iCs w:val="0"/>
          <w:caps w:val="0"/>
          <w:color w:val="auto"/>
          <w:spacing w:val="0"/>
          <w:sz w:val="24"/>
          <w:szCs w:val="24"/>
        </w:rPr>
        <w:t>，属于</w:t>
      </w:r>
      <w:r>
        <w:rPr>
          <w:rFonts w:hint="eastAsia" w:ascii="仿宋" w:hAnsi="仿宋" w:eastAsia="仿宋" w:cs="仿宋"/>
          <w:b/>
          <w:bCs/>
          <w:i w:val="0"/>
          <w:iCs w:val="0"/>
          <w:caps w:val="0"/>
          <w:color w:val="auto"/>
          <w:spacing w:val="0"/>
          <w:sz w:val="24"/>
          <w:szCs w:val="24"/>
          <w:u w:val="single"/>
          <w:lang w:val="en-US" w:eastAsia="zh-CN"/>
        </w:rPr>
        <w:t>建筑业</w:t>
      </w:r>
      <w:r>
        <w:rPr>
          <w:rFonts w:hint="eastAsia" w:ascii="仿宋" w:hAnsi="仿宋" w:eastAsia="仿宋" w:cs="仿宋"/>
          <w:i w:val="0"/>
          <w:iCs w:val="0"/>
          <w:caps w:val="0"/>
          <w:color w:val="auto"/>
          <w:spacing w:val="0"/>
          <w:sz w:val="24"/>
          <w:szCs w:val="24"/>
        </w:rPr>
        <w:t>；承建（承接）企业为</w:t>
      </w:r>
      <w:r>
        <w:rPr>
          <w:rStyle w:val="23"/>
          <w:rFonts w:hint="eastAsia" w:ascii="仿宋" w:hAnsi="仿宋" w:eastAsia="仿宋" w:cs="仿宋"/>
          <w:i w:val="0"/>
          <w:iCs w:val="0"/>
          <w:caps w:val="0"/>
          <w:color w:val="auto"/>
          <w:spacing w:val="0"/>
          <w:sz w:val="24"/>
          <w:szCs w:val="24"/>
          <w:u w:val="single"/>
        </w:rPr>
        <w:t>（企业名称）</w:t>
      </w:r>
      <w:r>
        <w:rPr>
          <w:rFonts w:hint="eastAsia" w:ascii="仿宋" w:hAnsi="仿宋" w:eastAsia="仿宋" w:cs="仿宋"/>
          <w:i w:val="0"/>
          <w:iCs w:val="0"/>
          <w:caps w:val="0"/>
          <w:color w:val="auto"/>
          <w:spacing w:val="0"/>
          <w:sz w:val="24"/>
          <w:szCs w:val="24"/>
        </w:rPr>
        <w:t>，从业人员</w:t>
      </w:r>
      <w:r>
        <w:rPr>
          <w:rFonts w:hint="eastAsia" w:ascii="仿宋" w:hAnsi="仿宋" w:eastAsia="仿宋" w:cs="仿宋"/>
          <w:i w:val="0"/>
          <w:iCs w:val="0"/>
          <w:caps w:val="0"/>
          <w:color w:val="auto"/>
          <w:spacing w:val="0"/>
          <w:sz w:val="24"/>
          <w:szCs w:val="24"/>
          <w:u w:val="single"/>
        </w:rPr>
        <w:t>  </w:t>
      </w:r>
      <w:r>
        <w:rPr>
          <w:rFonts w:hint="eastAsia" w:ascii="仿宋" w:hAnsi="仿宋" w:eastAsia="仿宋" w:cs="仿宋"/>
          <w:i w:val="0"/>
          <w:iCs w:val="0"/>
          <w:caps w:val="0"/>
          <w:color w:val="auto"/>
          <w:spacing w:val="0"/>
          <w:sz w:val="24"/>
          <w:szCs w:val="24"/>
        </w:rPr>
        <w:t>人，营业收入为</w:t>
      </w:r>
      <w:r>
        <w:rPr>
          <w:rFonts w:hint="eastAsia" w:ascii="仿宋" w:hAnsi="仿宋" w:eastAsia="仿宋" w:cs="仿宋"/>
          <w:i w:val="0"/>
          <w:iCs w:val="0"/>
          <w:caps w:val="0"/>
          <w:color w:val="auto"/>
          <w:spacing w:val="0"/>
          <w:sz w:val="24"/>
          <w:szCs w:val="24"/>
          <w:u w:val="single"/>
        </w:rPr>
        <w:t>  </w:t>
      </w:r>
      <w:r>
        <w:rPr>
          <w:rFonts w:hint="eastAsia" w:ascii="仿宋" w:hAnsi="仿宋" w:eastAsia="仿宋" w:cs="仿宋"/>
          <w:i w:val="0"/>
          <w:iCs w:val="0"/>
          <w:caps w:val="0"/>
          <w:color w:val="auto"/>
          <w:spacing w:val="0"/>
          <w:sz w:val="24"/>
          <w:szCs w:val="24"/>
        </w:rPr>
        <w:t>万元，资产总额为</w:t>
      </w:r>
      <w:r>
        <w:rPr>
          <w:rFonts w:hint="eastAsia" w:ascii="仿宋" w:hAnsi="仿宋" w:eastAsia="仿宋" w:cs="仿宋"/>
          <w:i w:val="0"/>
          <w:iCs w:val="0"/>
          <w:caps w:val="0"/>
          <w:color w:val="auto"/>
          <w:spacing w:val="0"/>
          <w:sz w:val="24"/>
          <w:szCs w:val="24"/>
          <w:u w:val="single"/>
        </w:rPr>
        <w:t>  </w:t>
      </w:r>
      <w:r>
        <w:rPr>
          <w:rFonts w:hint="eastAsia" w:ascii="仿宋" w:hAnsi="仿宋" w:eastAsia="仿宋" w:cs="仿宋"/>
          <w:i w:val="0"/>
          <w:iCs w:val="0"/>
          <w:caps w:val="0"/>
          <w:color w:val="auto"/>
          <w:spacing w:val="0"/>
          <w:sz w:val="24"/>
          <w:szCs w:val="24"/>
        </w:rPr>
        <w:t>万元，属于</w:t>
      </w:r>
      <w:r>
        <w:rPr>
          <w:rStyle w:val="23"/>
          <w:rFonts w:hint="eastAsia" w:ascii="仿宋" w:hAnsi="仿宋" w:eastAsia="仿宋" w:cs="仿宋"/>
          <w:i w:val="0"/>
          <w:iCs w:val="0"/>
          <w:caps w:val="0"/>
          <w:color w:val="auto"/>
          <w:spacing w:val="0"/>
          <w:sz w:val="24"/>
          <w:szCs w:val="24"/>
          <w:u w:val="single"/>
        </w:rPr>
        <w:t>（中型企业、小型企业、微型企业）</w:t>
      </w:r>
      <w:r>
        <w:rPr>
          <w:rFonts w:hint="eastAsia" w:ascii="仿宋" w:hAnsi="仿宋" w:eastAsia="仿宋" w:cs="仿宋"/>
          <w:i w:val="0"/>
          <w:iCs w:val="0"/>
          <w:caps w:val="0"/>
          <w:color w:val="auto"/>
          <w:spacing w:val="0"/>
          <w:sz w:val="24"/>
          <w:szCs w:val="24"/>
        </w:rPr>
        <w:t>；</w:t>
      </w:r>
    </w:p>
    <w:p w14:paraId="5C44709D">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w:t>
      </w:r>
    </w:p>
    <w:p w14:paraId="3A0E74D7">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以上企业，不属于大企业的分支机构，不存在控股股东为大企业的情形，也不存在与大企业的负责人为同一人的情形。</w:t>
      </w:r>
    </w:p>
    <w:p w14:paraId="7053A970">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本企业对上述声明内容的真实性负责。如有虚假，将依法承担相应责任。</w:t>
      </w:r>
    </w:p>
    <w:p w14:paraId="766B8083">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 </w:t>
      </w:r>
    </w:p>
    <w:p w14:paraId="5D20A045">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                      企业名称（盖章）：</w:t>
      </w:r>
    </w:p>
    <w:p w14:paraId="27E467FD">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                      日期：</w:t>
      </w:r>
    </w:p>
    <w:p w14:paraId="1CA1CF1C">
      <w:pPr>
        <w:pStyle w:val="9"/>
        <w:pageBreakBefore w:val="0"/>
        <w:kinsoku/>
        <w:wordWrap/>
        <w:overflowPunct/>
        <w:topLinePunct w:val="0"/>
        <w:bidi w:val="0"/>
        <w:spacing w:line="480" w:lineRule="exact"/>
        <w:rPr>
          <w:rFonts w:hint="eastAsia" w:ascii="仿宋" w:hAnsi="仿宋" w:eastAsia="仿宋" w:cs="仿宋"/>
          <w:b w:val="0"/>
          <w:bCs/>
          <w:i w:val="0"/>
          <w:iCs w:val="0"/>
          <w:color w:val="auto"/>
          <w:sz w:val="24"/>
          <w:szCs w:val="24"/>
          <w:highlight w:val="none"/>
        </w:rPr>
      </w:pPr>
    </w:p>
    <w:p w14:paraId="62964FBA">
      <w:pPr>
        <w:pageBreakBefore w:val="0"/>
        <w:kinsoku/>
        <w:wordWrap/>
        <w:overflowPunct/>
        <w:topLinePunct w:val="0"/>
        <w:bidi w:val="0"/>
        <w:spacing w:line="480" w:lineRule="exact"/>
        <w:rPr>
          <w:rFonts w:hint="eastAsia" w:ascii="仿宋" w:hAnsi="仿宋" w:eastAsia="仿宋" w:cs="仿宋"/>
          <w:b w:val="0"/>
          <w:bCs/>
          <w:i w:val="0"/>
          <w:iCs w:val="0"/>
          <w:color w:val="auto"/>
          <w:sz w:val="24"/>
          <w:szCs w:val="24"/>
          <w:highlight w:val="none"/>
        </w:rPr>
      </w:pPr>
    </w:p>
    <w:p w14:paraId="315CBAB1">
      <w:pPr>
        <w:pageBreakBefore w:val="0"/>
        <w:widowControl/>
        <w:kinsoku/>
        <w:wordWrap/>
        <w:overflowPunct/>
        <w:topLinePunct w:val="0"/>
        <w:bidi w:val="0"/>
        <w:spacing w:line="480" w:lineRule="exact"/>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备注：1、从业人员、营业收入、资产总额填报上一年度数据，无上一年度数据的新成立企业可不填报。</w:t>
      </w:r>
    </w:p>
    <w:p w14:paraId="69E89F1F">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12747602">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1C010C02">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70710251">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4DE4FA89">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1186C616">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4430C35B">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1B971F1E">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694E2369">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附件</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 xml:space="preserve"> 供应商关联企业情况</w:t>
      </w:r>
    </w:p>
    <w:p w14:paraId="2EE739CC">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2F9C3F4E">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致____(采购人)：</w:t>
      </w:r>
    </w:p>
    <w:p w14:paraId="1854A074">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与我方的法定代表人（单位负责人）为同一人的企业如下：</w:t>
      </w:r>
    </w:p>
    <w:p w14:paraId="17FFE9FE">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5159C992">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我方的控股股东如下：</w:t>
      </w:r>
    </w:p>
    <w:p w14:paraId="6B0630BD">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51C13984">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我方直接控股的企业如下：</w:t>
      </w:r>
    </w:p>
    <w:p w14:paraId="23E0345C">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69EA58DF">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与我方存在管理、被管理关系的单位名称如下：</w:t>
      </w:r>
    </w:p>
    <w:p w14:paraId="5703F428">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lang w:eastAsia="zh-CN"/>
        </w:rPr>
      </w:pPr>
    </w:p>
    <w:p w14:paraId="75247D98">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如发现我单位提供的上述信息不实时，我单位将按照《中华人民共和国政府采购法》有关提供虚假材料的规定，接受处罚。</w:t>
      </w:r>
    </w:p>
    <w:p w14:paraId="522F6E9E">
      <w:pPr>
        <w:pStyle w:val="27"/>
        <w:keepLines w:val="0"/>
        <w:pageBreakBefore w:val="0"/>
        <w:shd w:val="clear" w:color="auto" w:fill="auto"/>
        <w:wordWrap/>
        <w:topLinePunct w:val="0"/>
        <w:bidi w:val="0"/>
        <w:spacing w:line="480" w:lineRule="exact"/>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特此声明。</w:t>
      </w:r>
    </w:p>
    <w:p w14:paraId="493687CC">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7EF3A40A">
      <w:pPr>
        <w:pStyle w:val="27"/>
        <w:keepLines w:val="0"/>
        <w:pageBreakBefore w:val="0"/>
        <w:shd w:val="clear" w:color="auto" w:fill="auto"/>
        <w:wordWrap/>
        <w:topLinePunct w:val="0"/>
        <w:bidi w:val="0"/>
        <w:spacing w:line="480" w:lineRule="exact"/>
        <w:jc w:val="righ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w:t>
      </w:r>
    </w:p>
    <w:p w14:paraId="4F1ED47A">
      <w:pPr>
        <w:pStyle w:val="27"/>
        <w:keepLines w:val="0"/>
        <w:pageBreakBefore w:val="0"/>
        <w:shd w:val="clear" w:color="auto" w:fill="auto"/>
        <w:wordWrap/>
        <w:topLinePunct w:val="0"/>
        <w:bidi w:val="0"/>
        <w:spacing w:line="480" w:lineRule="exact"/>
        <w:jc w:val="righ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日期：_____年____月____日</w:t>
      </w:r>
    </w:p>
    <w:p w14:paraId="0F22392A">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5DD01DFC">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480FF045">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244AD60A">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15FA549E">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5597ADC9">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5978EAE5">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6D92F4F9">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4F72178E">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6C6A2F1F">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701B4870">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2F78E5C5">
      <w:pPr>
        <w:pStyle w:val="27"/>
        <w:keepLines w:val="0"/>
        <w:pageBreakBefore w:val="0"/>
        <w:shd w:val="clear" w:color="auto" w:fill="auto"/>
        <w:wordWrap/>
        <w:topLinePunct w:val="0"/>
        <w:bidi w:val="0"/>
        <w:spacing w:line="480" w:lineRule="exact"/>
        <w:outlineLvl w:val="9"/>
        <w:rPr>
          <w:rFonts w:hint="eastAsia" w:ascii="仿宋" w:hAnsi="仿宋" w:eastAsia="仿宋" w:cs="仿宋"/>
          <w:color w:val="auto"/>
          <w:sz w:val="24"/>
          <w:szCs w:val="24"/>
          <w:highlight w:val="none"/>
        </w:rPr>
      </w:pPr>
    </w:p>
    <w:p w14:paraId="2F62DF8F">
      <w:pPr>
        <w:pStyle w:val="27"/>
        <w:keepLines w:val="0"/>
        <w:pageBreakBefore w:val="0"/>
        <w:shd w:val="clear" w:color="auto" w:fill="auto"/>
        <w:wordWrap/>
        <w:topLinePunct w:val="0"/>
        <w:bidi w:val="0"/>
        <w:spacing w:line="480" w:lineRule="exact"/>
        <w:jc w:val="center"/>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7、商务条款偏离表</w:t>
      </w:r>
    </w:p>
    <w:p w14:paraId="311CEAA1">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w:t>
      </w:r>
    </w:p>
    <w:p w14:paraId="28A17CFF">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p w14:paraId="0F8E65D4">
      <w:pPr>
        <w:pStyle w:val="27"/>
        <w:keepLines w:val="0"/>
        <w:pageBreakBefore w:val="0"/>
        <w:shd w:val="clear" w:color="auto" w:fill="auto"/>
        <w:wordWrap/>
        <w:topLinePunct w:val="0"/>
        <w:bidi w:val="0"/>
        <w:spacing w:line="480" w:lineRule="exact"/>
        <w:jc w:val="center"/>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供应商名称：　　　　　　　　                         项目编号：　　　　　　　</w:t>
      </w:r>
    </w:p>
    <w:tbl>
      <w:tblPr>
        <w:tblStyle w:val="20"/>
        <w:tblW w:w="887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9"/>
        <w:gridCol w:w="1832"/>
        <w:gridCol w:w="2268"/>
        <w:gridCol w:w="2136"/>
        <w:gridCol w:w="1030"/>
        <w:gridCol w:w="851"/>
      </w:tblGrid>
      <w:tr w14:paraId="172DC6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4FEA5C6F">
            <w:pPr>
              <w:pStyle w:val="27"/>
              <w:keepLines w:val="0"/>
              <w:pageBreakBefore w:val="0"/>
              <w:shd w:val="clear" w:color="auto" w:fill="auto"/>
              <w:wordWrap/>
              <w:topLinePunct w:val="0"/>
              <w:bidi w:val="0"/>
              <w:spacing w:line="480" w:lineRule="exact"/>
              <w:jc w:val="center"/>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序号</w:t>
            </w:r>
          </w:p>
        </w:tc>
        <w:tc>
          <w:tcPr>
            <w:tcW w:w="1832" w:type="dxa"/>
            <w:tcBorders>
              <w:top w:val="single" w:color="auto" w:sz="4" w:space="0"/>
              <w:left w:val="single" w:color="auto" w:sz="4" w:space="0"/>
              <w:bottom w:val="single" w:color="auto" w:sz="4" w:space="0"/>
              <w:right w:val="single" w:color="auto" w:sz="4" w:space="0"/>
            </w:tcBorders>
            <w:vAlign w:val="center"/>
          </w:tcPr>
          <w:p w14:paraId="04F817AC">
            <w:pPr>
              <w:pStyle w:val="27"/>
              <w:keepLines w:val="0"/>
              <w:pageBreakBefore w:val="0"/>
              <w:shd w:val="clear" w:color="auto" w:fill="auto"/>
              <w:wordWrap/>
              <w:topLinePunct w:val="0"/>
              <w:bidi w:val="0"/>
              <w:spacing w:line="480" w:lineRule="exact"/>
              <w:jc w:val="center"/>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磋商文件条目号</w:t>
            </w:r>
          </w:p>
        </w:tc>
        <w:tc>
          <w:tcPr>
            <w:tcW w:w="2268" w:type="dxa"/>
            <w:tcBorders>
              <w:top w:val="single" w:color="auto" w:sz="4" w:space="0"/>
              <w:left w:val="single" w:color="auto" w:sz="4" w:space="0"/>
              <w:bottom w:val="single" w:color="auto" w:sz="4" w:space="0"/>
              <w:right w:val="single" w:color="auto" w:sz="4" w:space="0"/>
            </w:tcBorders>
            <w:vAlign w:val="center"/>
          </w:tcPr>
          <w:p w14:paraId="039D7024">
            <w:pPr>
              <w:pStyle w:val="27"/>
              <w:keepLines w:val="0"/>
              <w:pageBreakBefore w:val="0"/>
              <w:shd w:val="clear" w:color="auto" w:fill="auto"/>
              <w:wordWrap/>
              <w:topLinePunct w:val="0"/>
              <w:bidi w:val="0"/>
              <w:spacing w:line="480" w:lineRule="exact"/>
              <w:jc w:val="center"/>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磋商文件的商务条款</w:t>
            </w:r>
          </w:p>
        </w:tc>
        <w:tc>
          <w:tcPr>
            <w:tcW w:w="2136" w:type="dxa"/>
            <w:tcBorders>
              <w:top w:val="single" w:color="auto" w:sz="4" w:space="0"/>
              <w:left w:val="single" w:color="auto" w:sz="4" w:space="0"/>
              <w:bottom w:val="single" w:color="auto" w:sz="4" w:space="0"/>
              <w:right w:val="single" w:color="auto" w:sz="4" w:space="0"/>
            </w:tcBorders>
            <w:vAlign w:val="center"/>
          </w:tcPr>
          <w:p w14:paraId="31F3F59F">
            <w:pPr>
              <w:pStyle w:val="27"/>
              <w:keepLines w:val="0"/>
              <w:pageBreakBefore w:val="0"/>
              <w:shd w:val="clear" w:color="auto" w:fill="auto"/>
              <w:wordWrap/>
              <w:topLinePunct w:val="0"/>
              <w:bidi w:val="0"/>
              <w:spacing w:line="480" w:lineRule="exact"/>
              <w:jc w:val="center"/>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响应文件的商务条款</w:t>
            </w:r>
          </w:p>
        </w:tc>
        <w:tc>
          <w:tcPr>
            <w:tcW w:w="1030" w:type="dxa"/>
            <w:tcBorders>
              <w:top w:val="single" w:color="auto" w:sz="4" w:space="0"/>
              <w:left w:val="single" w:color="auto" w:sz="4" w:space="0"/>
              <w:bottom w:val="single" w:color="auto" w:sz="4" w:space="0"/>
              <w:right w:val="single" w:color="auto" w:sz="4" w:space="0"/>
            </w:tcBorders>
            <w:vAlign w:val="center"/>
          </w:tcPr>
          <w:p w14:paraId="4AB5BABD">
            <w:pPr>
              <w:pStyle w:val="27"/>
              <w:keepLines w:val="0"/>
              <w:pageBreakBefore w:val="0"/>
              <w:shd w:val="clear" w:color="auto" w:fill="auto"/>
              <w:wordWrap/>
              <w:topLinePunct w:val="0"/>
              <w:bidi w:val="0"/>
              <w:spacing w:line="480" w:lineRule="exact"/>
              <w:jc w:val="center"/>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响应/偏离</w:t>
            </w:r>
          </w:p>
        </w:tc>
        <w:tc>
          <w:tcPr>
            <w:tcW w:w="851" w:type="dxa"/>
            <w:tcBorders>
              <w:top w:val="single" w:color="auto" w:sz="4" w:space="0"/>
              <w:left w:val="single" w:color="auto" w:sz="4" w:space="0"/>
              <w:bottom w:val="single" w:color="auto" w:sz="4" w:space="0"/>
              <w:right w:val="single" w:color="auto" w:sz="4" w:space="0"/>
            </w:tcBorders>
            <w:vAlign w:val="center"/>
          </w:tcPr>
          <w:p w14:paraId="182F6851">
            <w:pPr>
              <w:pStyle w:val="27"/>
              <w:keepLines w:val="0"/>
              <w:pageBreakBefore w:val="0"/>
              <w:shd w:val="clear" w:color="auto" w:fill="auto"/>
              <w:wordWrap/>
              <w:topLinePunct w:val="0"/>
              <w:bidi w:val="0"/>
              <w:spacing w:line="480" w:lineRule="exact"/>
              <w:jc w:val="center"/>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说明</w:t>
            </w:r>
          </w:p>
        </w:tc>
      </w:tr>
      <w:tr w14:paraId="340AF2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0BCBF7FD">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1C21C4B8">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268" w:type="dxa"/>
            <w:tcBorders>
              <w:top w:val="single" w:color="auto" w:sz="4" w:space="0"/>
              <w:left w:val="single" w:color="auto" w:sz="4" w:space="0"/>
              <w:bottom w:val="single" w:color="auto" w:sz="4" w:space="0"/>
              <w:right w:val="single" w:color="auto" w:sz="4" w:space="0"/>
            </w:tcBorders>
            <w:vAlign w:val="center"/>
          </w:tcPr>
          <w:p w14:paraId="19B021E9">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136" w:type="dxa"/>
            <w:tcBorders>
              <w:top w:val="single" w:color="auto" w:sz="4" w:space="0"/>
              <w:left w:val="single" w:color="auto" w:sz="4" w:space="0"/>
              <w:bottom w:val="single" w:color="auto" w:sz="4" w:space="0"/>
              <w:right w:val="single" w:color="auto" w:sz="4" w:space="0"/>
            </w:tcBorders>
            <w:vAlign w:val="center"/>
          </w:tcPr>
          <w:p w14:paraId="0CA7D703">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030" w:type="dxa"/>
            <w:tcBorders>
              <w:top w:val="single" w:color="auto" w:sz="4" w:space="0"/>
              <w:left w:val="single" w:color="auto" w:sz="4" w:space="0"/>
              <w:bottom w:val="single" w:color="auto" w:sz="4" w:space="0"/>
              <w:right w:val="single" w:color="auto" w:sz="4" w:space="0"/>
            </w:tcBorders>
            <w:vAlign w:val="center"/>
          </w:tcPr>
          <w:p w14:paraId="57FF77C9">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tcPr>
          <w:p w14:paraId="0607F312">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r>
      <w:tr w14:paraId="54A838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2076FB33">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04AB8BEB">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268" w:type="dxa"/>
            <w:tcBorders>
              <w:top w:val="single" w:color="auto" w:sz="4" w:space="0"/>
              <w:left w:val="single" w:color="auto" w:sz="4" w:space="0"/>
              <w:bottom w:val="single" w:color="auto" w:sz="4" w:space="0"/>
              <w:right w:val="single" w:color="auto" w:sz="4" w:space="0"/>
            </w:tcBorders>
            <w:vAlign w:val="center"/>
          </w:tcPr>
          <w:p w14:paraId="6BC69CAD">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136" w:type="dxa"/>
            <w:tcBorders>
              <w:top w:val="single" w:color="auto" w:sz="4" w:space="0"/>
              <w:left w:val="single" w:color="auto" w:sz="4" w:space="0"/>
              <w:bottom w:val="single" w:color="auto" w:sz="4" w:space="0"/>
              <w:right w:val="single" w:color="auto" w:sz="4" w:space="0"/>
            </w:tcBorders>
            <w:vAlign w:val="center"/>
          </w:tcPr>
          <w:p w14:paraId="11FB9EF2">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030" w:type="dxa"/>
            <w:tcBorders>
              <w:top w:val="single" w:color="auto" w:sz="4" w:space="0"/>
              <w:left w:val="single" w:color="auto" w:sz="4" w:space="0"/>
              <w:bottom w:val="single" w:color="auto" w:sz="4" w:space="0"/>
              <w:right w:val="single" w:color="auto" w:sz="4" w:space="0"/>
            </w:tcBorders>
            <w:vAlign w:val="center"/>
          </w:tcPr>
          <w:p w14:paraId="79D732C0">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tcPr>
          <w:p w14:paraId="3DE7A967">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r>
      <w:tr w14:paraId="226B22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01289B87">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7DE92B83">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268" w:type="dxa"/>
            <w:tcBorders>
              <w:top w:val="single" w:color="auto" w:sz="4" w:space="0"/>
              <w:left w:val="single" w:color="auto" w:sz="4" w:space="0"/>
              <w:bottom w:val="single" w:color="auto" w:sz="4" w:space="0"/>
              <w:right w:val="single" w:color="auto" w:sz="4" w:space="0"/>
            </w:tcBorders>
            <w:vAlign w:val="center"/>
          </w:tcPr>
          <w:p w14:paraId="10E01A76">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136" w:type="dxa"/>
            <w:tcBorders>
              <w:top w:val="single" w:color="auto" w:sz="4" w:space="0"/>
              <w:left w:val="single" w:color="auto" w:sz="4" w:space="0"/>
              <w:bottom w:val="single" w:color="auto" w:sz="4" w:space="0"/>
              <w:right w:val="single" w:color="auto" w:sz="4" w:space="0"/>
            </w:tcBorders>
            <w:vAlign w:val="center"/>
          </w:tcPr>
          <w:p w14:paraId="56C420B5">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030" w:type="dxa"/>
            <w:tcBorders>
              <w:top w:val="single" w:color="auto" w:sz="4" w:space="0"/>
              <w:left w:val="single" w:color="auto" w:sz="4" w:space="0"/>
              <w:bottom w:val="single" w:color="auto" w:sz="4" w:space="0"/>
              <w:right w:val="single" w:color="auto" w:sz="4" w:space="0"/>
            </w:tcBorders>
            <w:vAlign w:val="center"/>
          </w:tcPr>
          <w:p w14:paraId="3D4480FC">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tcPr>
          <w:p w14:paraId="7B2B74E5">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r>
      <w:tr w14:paraId="442C7C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32587140">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4EB191BA">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268" w:type="dxa"/>
            <w:tcBorders>
              <w:top w:val="single" w:color="auto" w:sz="4" w:space="0"/>
              <w:left w:val="single" w:color="auto" w:sz="4" w:space="0"/>
              <w:bottom w:val="single" w:color="auto" w:sz="4" w:space="0"/>
              <w:right w:val="single" w:color="auto" w:sz="4" w:space="0"/>
            </w:tcBorders>
            <w:vAlign w:val="center"/>
          </w:tcPr>
          <w:p w14:paraId="21F16866">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136" w:type="dxa"/>
            <w:tcBorders>
              <w:top w:val="single" w:color="auto" w:sz="4" w:space="0"/>
              <w:left w:val="single" w:color="auto" w:sz="4" w:space="0"/>
              <w:bottom w:val="single" w:color="auto" w:sz="4" w:space="0"/>
              <w:right w:val="single" w:color="auto" w:sz="4" w:space="0"/>
            </w:tcBorders>
            <w:vAlign w:val="center"/>
          </w:tcPr>
          <w:p w14:paraId="59CB8141">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030" w:type="dxa"/>
            <w:tcBorders>
              <w:top w:val="single" w:color="auto" w:sz="4" w:space="0"/>
              <w:left w:val="single" w:color="auto" w:sz="4" w:space="0"/>
              <w:bottom w:val="single" w:color="auto" w:sz="4" w:space="0"/>
              <w:right w:val="single" w:color="auto" w:sz="4" w:space="0"/>
            </w:tcBorders>
            <w:vAlign w:val="center"/>
          </w:tcPr>
          <w:p w14:paraId="6B621FB0">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tcPr>
          <w:p w14:paraId="65D4686D">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r>
      <w:tr w14:paraId="44DDDC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4CF28E2C">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4D899648">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268" w:type="dxa"/>
            <w:tcBorders>
              <w:top w:val="single" w:color="auto" w:sz="4" w:space="0"/>
              <w:left w:val="single" w:color="auto" w:sz="4" w:space="0"/>
              <w:bottom w:val="single" w:color="auto" w:sz="4" w:space="0"/>
              <w:right w:val="single" w:color="auto" w:sz="4" w:space="0"/>
            </w:tcBorders>
            <w:vAlign w:val="center"/>
          </w:tcPr>
          <w:p w14:paraId="17ACCC86">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136" w:type="dxa"/>
            <w:tcBorders>
              <w:top w:val="single" w:color="auto" w:sz="4" w:space="0"/>
              <w:left w:val="single" w:color="auto" w:sz="4" w:space="0"/>
              <w:bottom w:val="single" w:color="auto" w:sz="4" w:space="0"/>
              <w:right w:val="single" w:color="auto" w:sz="4" w:space="0"/>
            </w:tcBorders>
            <w:vAlign w:val="center"/>
          </w:tcPr>
          <w:p w14:paraId="1C96EFE1">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030" w:type="dxa"/>
            <w:tcBorders>
              <w:top w:val="single" w:color="auto" w:sz="4" w:space="0"/>
              <w:left w:val="single" w:color="auto" w:sz="4" w:space="0"/>
              <w:bottom w:val="single" w:color="auto" w:sz="4" w:space="0"/>
              <w:right w:val="single" w:color="auto" w:sz="4" w:space="0"/>
            </w:tcBorders>
            <w:vAlign w:val="center"/>
          </w:tcPr>
          <w:p w14:paraId="431FE934">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tcPr>
          <w:p w14:paraId="4BAC80C4">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r>
      <w:tr w14:paraId="51DDC6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373DDECA">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379E4040">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268" w:type="dxa"/>
            <w:tcBorders>
              <w:top w:val="single" w:color="auto" w:sz="4" w:space="0"/>
              <w:left w:val="single" w:color="auto" w:sz="4" w:space="0"/>
              <w:bottom w:val="single" w:color="auto" w:sz="4" w:space="0"/>
              <w:right w:val="single" w:color="auto" w:sz="4" w:space="0"/>
            </w:tcBorders>
            <w:vAlign w:val="center"/>
          </w:tcPr>
          <w:p w14:paraId="5D688257">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136" w:type="dxa"/>
            <w:tcBorders>
              <w:top w:val="single" w:color="auto" w:sz="4" w:space="0"/>
              <w:left w:val="single" w:color="auto" w:sz="4" w:space="0"/>
              <w:bottom w:val="single" w:color="auto" w:sz="4" w:space="0"/>
              <w:right w:val="single" w:color="auto" w:sz="4" w:space="0"/>
            </w:tcBorders>
            <w:vAlign w:val="center"/>
          </w:tcPr>
          <w:p w14:paraId="4AFABC8B">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030" w:type="dxa"/>
            <w:tcBorders>
              <w:top w:val="single" w:color="auto" w:sz="4" w:space="0"/>
              <w:left w:val="single" w:color="auto" w:sz="4" w:space="0"/>
              <w:bottom w:val="single" w:color="auto" w:sz="4" w:space="0"/>
              <w:right w:val="single" w:color="auto" w:sz="4" w:space="0"/>
            </w:tcBorders>
            <w:vAlign w:val="center"/>
          </w:tcPr>
          <w:p w14:paraId="4C1D61C4">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tcPr>
          <w:p w14:paraId="18351D67">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r>
      <w:tr w14:paraId="66EA04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0341CCA4">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6D0B9B18">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268" w:type="dxa"/>
            <w:tcBorders>
              <w:top w:val="single" w:color="auto" w:sz="4" w:space="0"/>
              <w:left w:val="single" w:color="auto" w:sz="4" w:space="0"/>
              <w:bottom w:val="single" w:color="auto" w:sz="4" w:space="0"/>
              <w:right w:val="single" w:color="auto" w:sz="4" w:space="0"/>
            </w:tcBorders>
            <w:vAlign w:val="center"/>
          </w:tcPr>
          <w:p w14:paraId="1A585E0E">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136" w:type="dxa"/>
            <w:tcBorders>
              <w:top w:val="single" w:color="auto" w:sz="4" w:space="0"/>
              <w:left w:val="single" w:color="auto" w:sz="4" w:space="0"/>
              <w:bottom w:val="single" w:color="auto" w:sz="4" w:space="0"/>
              <w:right w:val="single" w:color="auto" w:sz="4" w:space="0"/>
            </w:tcBorders>
            <w:vAlign w:val="center"/>
          </w:tcPr>
          <w:p w14:paraId="1EA91E16">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030" w:type="dxa"/>
            <w:tcBorders>
              <w:top w:val="single" w:color="auto" w:sz="4" w:space="0"/>
              <w:left w:val="single" w:color="auto" w:sz="4" w:space="0"/>
              <w:bottom w:val="single" w:color="auto" w:sz="4" w:space="0"/>
              <w:right w:val="single" w:color="auto" w:sz="4" w:space="0"/>
            </w:tcBorders>
            <w:vAlign w:val="center"/>
          </w:tcPr>
          <w:p w14:paraId="79449C0A">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tcPr>
          <w:p w14:paraId="08BC7AF9">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r>
      <w:tr w14:paraId="4B8C0D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79D9AD7E">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66E4111E">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268" w:type="dxa"/>
            <w:tcBorders>
              <w:top w:val="single" w:color="auto" w:sz="4" w:space="0"/>
              <w:left w:val="single" w:color="auto" w:sz="4" w:space="0"/>
              <w:bottom w:val="single" w:color="auto" w:sz="4" w:space="0"/>
              <w:right w:val="single" w:color="auto" w:sz="4" w:space="0"/>
            </w:tcBorders>
            <w:vAlign w:val="center"/>
          </w:tcPr>
          <w:p w14:paraId="7B3F26C9">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136" w:type="dxa"/>
            <w:tcBorders>
              <w:top w:val="single" w:color="auto" w:sz="4" w:space="0"/>
              <w:left w:val="single" w:color="auto" w:sz="4" w:space="0"/>
              <w:bottom w:val="single" w:color="auto" w:sz="4" w:space="0"/>
              <w:right w:val="single" w:color="auto" w:sz="4" w:space="0"/>
            </w:tcBorders>
            <w:vAlign w:val="center"/>
          </w:tcPr>
          <w:p w14:paraId="70482C5B">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030" w:type="dxa"/>
            <w:tcBorders>
              <w:top w:val="single" w:color="auto" w:sz="4" w:space="0"/>
              <w:left w:val="single" w:color="auto" w:sz="4" w:space="0"/>
              <w:bottom w:val="single" w:color="auto" w:sz="4" w:space="0"/>
              <w:right w:val="single" w:color="auto" w:sz="4" w:space="0"/>
            </w:tcBorders>
            <w:vAlign w:val="center"/>
          </w:tcPr>
          <w:p w14:paraId="2303F5C0">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tcPr>
          <w:p w14:paraId="666BC070">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r>
      <w:tr w14:paraId="42CE69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4A55C92B">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14:paraId="5D40CBAB">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268" w:type="dxa"/>
            <w:tcBorders>
              <w:top w:val="single" w:color="auto" w:sz="4" w:space="0"/>
              <w:left w:val="single" w:color="auto" w:sz="4" w:space="0"/>
              <w:bottom w:val="single" w:color="auto" w:sz="4" w:space="0"/>
              <w:right w:val="single" w:color="auto" w:sz="4" w:space="0"/>
            </w:tcBorders>
            <w:vAlign w:val="center"/>
          </w:tcPr>
          <w:p w14:paraId="78C77099">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2136" w:type="dxa"/>
            <w:tcBorders>
              <w:top w:val="single" w:color="auto" w:sz="4" w:space="0"/>
              <w:left w:val="single" w:color="auto" w:sz="4" w:space="0"/>
              <w:bottom w:val="single" w:color="auto" w:sz="4" w:space="0"/>
              <w:right w:val="single" w:color="auto" w:sz="4" w:space="0"/>
            </w:tcBorders>
            <w:vAlign w:val="center"/>
          </w:tcPr>
          <w:p w14:paraId="3C5BF754">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1030" w:type="dxa"/>
            <w:tcBorders>
              <w:top w:val="single" w:color="auto" w:sz="4" w:space="0"/>
              <w:left w:val="single" w:color="auto" w:sz="4" w:space="0"/>
              <w:bottom w:val="single" w:color="auto" w:sz="4" w:space="0"/>
              <w:right w:val="single" w:color="auto" w:sz="4" w:space="0"/>
            </w:tcBorders>
            <w:vAlign w:val="center"/>
          </w:tcPr>
          <w:p w14:paraId="19C838F3">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tcPr>
          <w:p w14:paraId="2E34CD0C">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tc>
      </w:tr>
    </w:tbl>
    <w:p w14:paraId="59F8ED81">
      <w:pPr>
        <w:pStyle w:val="27"/>
        <w:keepLines w:val="0"/>
        <w:pageBreakBefore w:val="0"/>
        <w:shd w:val="clear" w:color="auto" w:fill="auto"/>
        <w:wordWrap/>
        <w:topLinePunct w:val="0"/>
        <w:bidi w:val="0"/>
        <w:spacing w:line="480" w:lineRule="exact"/>
        <w:jc w:val="left"/>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注：投标人应表明响应文件实质上响应了磋商文件中的关键条款。在偏差表中注明相应偏差在响应文件中的具体页码。如有偏离，则必须注明“偏离”；未注明偏离的，视为完全响应。</w:t>
      </w:r>
    </w:p>
    <w:p w14:paraId="61F56C88">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val="0"/>
          <w:bCs w:val="0"/>
          <w:color w:val="auto"/>
          <w:sz w:val="24"/>
          <w:szCs w:val="24"/>
          <w:highlight w:val="none"/>
          <w:lang w:val="en-US" w:eastAsia="zh-CN"/>
        </w:rPr>
      </w:pPr>
    </w:p>
    <w:p w14:paraId="1B6453EC">
      <w:pPr>
        <w:pStyle w:val="27"/>
        <w:keepLines w:val="0"/>
        <w:pageBreakBefore w:val="0"/>
        <w:shd w:val="clear" w:color="auto" w:fill="auto"/>
        <w:wordWrap/>
        <w:topLinePunct w:val="0"/>
        <w:bidi w:val="0"/>
        <w:spacing w:line="480" w:lineRule="exact"/>
        <w:jc w:val="right"/>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供应商名称(盖章)：</w:t>
      </w:r>
    </w:p>
    <w:p w14:paraId="78A16429">
      <w:pPr>
        <w:pStyle w:val="27"/>
        <w:keepLines w:val="0"/>
        <w:pageBreakBefore w:val="0"/>
        <w:shd w:val="clear" w:color="auto" w:fill="auto"/>
        <w:wordWrap/>
        <w:topLinePunct w:val="0"/>
        <w:bidi w:val="0"/>
        <w:spacing w:line="480" w:lineRule="exact"/>
        <w:jc w:val="right"/>
        <w:outlineLvl w:val="1"/>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日期：____年____月____日</w:t>
      </w:r>
    </w:p>
    <w:p w14:paraId="0B5F4095">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bCs/>
          <w:color w:val="auto"/>
          <w:sz w:val="24"/>
          <w:szCs w:val="24"/>
          <w:highlight w:val="none"/>
          <w:lang w:val="en-US" w:eastAsia="zh-CN"/>
        </w:rPr>
      </w:pPr>
    </w:p>
    <w:p w14:paraId="4AD76D7C">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bCs/>
          <w:color w:val="auto"/>
          <w:sz w:val="24"/>
          <w:szCs w:val="24"/>
          <w:highlight w:val="none"/>
          <w:lang w:val="en-US" w:eastAsia="zh-CN"/>
        </w:rPr>
      </w:pPr>
    </w:p>
    <w:p w14:paraId="0995F4D8">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bCs/>
          <w:color w:val="auto"/>
          <w:sz w:val="24"/>
          <w:szCs w:val="24"/>
          <w:highlight w:val="none"/>
          <w:lang w:val="en-US" w:eastAsia="zh-CN"/>
        </w:rPr>
      </w:pPr>
    </w:p>
    <w:p w14:paraId="5382CC7E">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bCs/>
          <w:color w:val="auto"/>
          <w:sz w:val="24"/>
          <w:szCs w:val="24"/>
          <w:highlight w:val="none"/>
          <w:lang w:val="en-US" w:eastAsia="zh-CN"/>
        </w:rPr>
      </w:pPr>
    </w:p>
    <w:p w14:paraId="46D0CF16">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bCs/>
          <w:color w:val="auto"/>
          <w:sz w:val="24"/>
          <w:szCs w:val="24"/>
          <w:highlight w:val="none"/>
          <w:lang w:val="en-US" w:eastAsia="zh-CN"/>
        </w:rPr>
      </w:pPr>
    </w:p>
    <w:p w14:paraId="1DD55113">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bCs/>
          <w:color w:val="auto"/>
          <w:sz w:val="24"/>
          <w:szCs w:val="24"/>
          <w:highlight w:val="none"/>
          <w:lang w:val="en-US" w:eastAsia="zh-CN"/>
        </w:rPr>
      </w:pPr>
    </w:p>
    <w:p w14:paraId="4E913097">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bCs/>
          <w:color w:val="auto"/>
          <w:sz w:val="24"/>
          <w:szCs w:val="24"/>
          <w:highlight w:val="none"/>
          <w:lang w:val="en-US" w:eastAsia="zh-CN"/>
        </w:rPr>
      </w:pPr>
    </w:p>
    <w:p w14:paraId="4DD3B873">
      <w:pPr>
        <w:pStyle w:val="2"/>
        <w:pageBreakBefore w:val="0"/>
        <w:wordWrap/>
        <w:topLinePunct w:val="0"/>
        <w:bidi w:val="0"/>
        <w:spacing w:line="480" w:lineRule="exact"/>
        <w:rPr>
          <w:rFonts w:hint="eastAsia" w:ascii="仿宋" w:hAnsi="仿宋" w:eastAsia="仿宋" w:cs="仿宋"/>
          <w:b/>
          <w:bCs/>
          <w:color w:val="auto"/>
          <w:lang w:val="en-US" w:eastAsia="zh-CN"/>
        </w:rPr>
      </w:pPr>
    </w:p>
    <w:p w14:paraId="5DB59F03">
      <w:pPr>
        <w:pStyle w:val="2"/>
        <w:pageBreakBefore w:val="0"/>
        <w:wordWrap/>
        <w:topLinePunct w:val="0"/>
        <w:bidi w:val="0"/>
        <w:spacing w:line="48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8、项目管理机构</w:t>
      </w:r>
    </w:p>
    <w:p w14:paraId="79EB418E">
      <w:pPr>
        <w:pStyle w:val="2"/>
        <w:pageBreakBefore w:val="0"/>
        <w:wordWrap/>
        <w:topLinePunct w:val="0"/>
        <w:bidi w:val="0"/>
        <w:spacing w:line="480" w:lineRule="exact"/>
        <w:rPr>
          <w:rFonts w:hint="eastAsia" w:ascii="仿宋" w:hAnsi="仿宋" w:eastAsia="仿宋" w:cs="仿宋"/>
          <w:color w:val="auto"/>
          <w:sz w:val="24"/>
          <w:szCs w:val="24"/>
          <w:lang w:val="en-US" w:eastAsia="zh-CN"/>
        </w:rPr>
      </w:pPr>
    </w:p>
    <w:p w14:paraId="7279F758">
      <w:pPr>
        <w:pStyle w:val="11"/>
        <w:keepNext w:val="0"/>
        <w:keepLines w:val="0"/>
        <w:pageBreakBefore w:val="0"/>
        <w:widowControl/>
        <w:shd w:val="clear"/>
        <w:kinsoku w:val="0"/>
        <w:wordWrap/>
        <w:overflowPunct/>
        <w:topLinePunct w:val="0"/>
        <w:autoSpaceDE w:val="0"/>
        <w:autoSpaceDN w:val="0"/>
        <w:bidi w:val="0"/>
        <w:adjustRightInd w:val="0"/>
        <w:snapToGrid w:val="0"/>
        <w:spacing w:before="65" w:line="480" w:lineRule="exact"/>
        <w:ind w:left="39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（现场技术力量配备）</w:t>
      </w:r>
    </w:p>
    <w:p w14:paraId="3655E281">
      <w:pPr>
        <w:pStyle w:val="11"/>
        <w:keepNext w:val="0"/>
        <w:keepLines w:val="0"/>
        <w:pageBreakBefore w:val="0"/>
        <w:widowControl/>
        <w:shd w:val="clear"/>
        <w:kinsoku w:val="0"/>
        <w:wordWrap/>
        <w:overflowPunct/>
        <w:topLinePunct w:val="0"/>
        <w:autoSpaceDE w:val="0"/>
        <w:autoSpaceDN w:val="0"/>
        <w:bidi w:val="0"/>
        <w:adjustRightInd w:val="0"/>
        <w:snapToGrid w:val="0"/>
        <w:spacing w:before="134" w:line="480" w:lineRule="exact"/>
        <w:ind w:left="133"/>
        <w:jc w:val="center"/>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（一）项目管理机构人员组成表</w:t>
      </w:r>
    </w:p>
    <w:p w14:paraId="2196C8BB">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bl>
      <w:tblPr>
        <w:tblStyle w:val="26"/>
        <w:tblW w:w="99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1124"/>
        <w:gridCol w:w="906"/>
        <w:gridCol w:w="1250"/>
        <w:gridCol w:w="1431"/>
        <w:gridCol w:w="1540"/>
        <w:gridCol w:w="1503"/>
        <w:gridCol w:w="728"/>
      </w:tblGrid>
      <w:tr w14:paraId="5DDBA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37" w:type="dxa"/>
            <w:vMerge w:val="restart"/>
            <w:tcBorders>
              <w:bottom w:val="nil"/>
            </w:tcBorders>
            <w:vAlign w:val="top"/>
          </w:tcPr>
          <w:p w14:paraId="15047C64">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p w14:paraId="251D0533">
            <w:pPr>
              <w:pStyle w:val="25"/>
              <w:keepNext w:val="0"/>
              <w:keepLines w:val="0"/>
              <w:pageBreakBefore w:val="0"/>
              <w:widowControl/>
              <w:shd w:val="clear"/>
              <w:kinsoku w:val="0"/>
              <w:wordWrap/>
              <w:overflowPunct/>
              <w:topLinePunct w:val="0"/>
              <w:autoSpaceDE w:val="0"/>
              <w:autoSpaceDN w:val="0"/>
              <w:bidi w:val="0"/>
              <w:adjustRightInd w:val="0"/>
              <w:snapToGrid w:val="0"/>
              <w:spacing w:before="65" w:line="480" w:lineRule="exact"/>
              <w:ind w:left="5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职务</w:t>
            </w:r>
          </w:p>
        </w:tc>
        <w:tc>
          <w:tcPr>
            <w:tcW w:w="1124" w:type="dxa"/>
            <w:vMerge w:val="restart"/>
            <w:tcBorders>
              <w:bottom w:val="nil"/>
            </w:tcBorders>
            <w:vAlign w:val="top"/>
          </w:tcPr>
          <w:p w14:paraId="1BCAA6E9">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p w14:paraId="6A55B3A2">
            <w:pPr>
              <w:pStyle w:val="25"/>
              <w:keepNext w:val="0"/>
              <w:keepLines w:val="0"/>
              <w:pageBreakBefore w:val="0"/>
              <w:widowControl/>
              <w:shd w:val="clear"/>
              <w:kinsoku w:val="0"/>
              <w:wordWrap/>
              <w:overflowPunct/>
              <w:topLinePunct w:val="0"/>
              <w:autoSpaceDE w:val="0"/>
              <w:autoSpaceDN w:val="0"/>
              <w:bidi w:val="0"/>
              <w:adjustRightInd w:val="0"/>
              <w:snapToGrid w:val="0"/>
              <w:spacing w:before="65" w:line="480" w:lineRule="exact"/>
              <w:ind w:left="35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p>
        </w:tc>
        <w:tc>
          <w:tcPr>
            <w:tcW w:w="906" w:type="dxa"/>
            <w:vMerge w:val="restart"/>
            <w:tcBorders>
              <w:bottom w:val="nil"/>
            </w:tcBorders>
            <w:vAlign w:val="top"/>
          </w:tcPr>
          <w:p w14:paraId="13B17CD7">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p w14:paraId="48EC5FF3">
            <w:pPr>
              <w:pStyle w:val="25"/>
              <w:keepNext w:val="0"/>
              <w:keepLines w:val="0"/>
              <w:pageBreakBefore w:val="0"/>
              <w:widowControl/>
              <w:shd w:val="clear"/>
              <w:kinsoku w:val="0"/>
              <w:wordWrap/>
              <w:overflowPunct/>
              <w:topLinePunct w:val="0"/>
              <w:autoSpaceDE w:val="0"/>
              <w:autoSpaceDN w:val="0"/>
              <w:bidi w:val="0"/>
              <w:adjustRightInd w:val="0"/>
              <w:snapToGrid w:val="0"/>
              <w:spacing w:before="65" w:line="480" w:lineRule="exact"/>
              <w:ind w:left="24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职称</w:t>
            </w:r>
          </w:p>
        </w:tc>
        <w:tc>
          <w:tcPr>
            <w:tcW w:w="5724" w:type="dxa"/>
            <w:gridSpan w:val="4"/>
            <w:vAlign w:val="top"/>
          </w:tcPr>
          <w:p w14:paraId="3A4C9568">
            <w:pPr>
              <w:pStyle w:val="25"/>
              <w:keepNext w:val="0"/>
              <w:keepLines w:val="0"/>
              <w:pageBreakBefore w:val="0"/>
              <w:widowControl/>
              <w:shd w:val="clear"/>
              <w:kinsoku w:val="0"/>
              <w:wordWrap/>
              <w:overflowPunct/>
              <w:topLinePunct w:val="0"/>
              <w:autoSpaceDE w:val="0"/>
              <w:autoSpaceDN w:val="0"/>
              <w:bidi w:val="0"/>
              <w:adjustRightInd w:val="0"/>
              <w:snapToGrid w:val="0"/>
              <w:spacing w:before="177" w:line="480" w:lineRule="exact"/>
              <w:ind w:left="19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执业或职业资格证明</w:t>
            </w:r>
          </w:p>
        </w:tc>
        <w:tc>
          <w:tcPr>
            <w:tcW w:w="728" w:type="dxa"/>
            <w:vAlign w:val="top"/>
          </w:tcPr>
          <w:p w14:paraId="09857AC4">
            <w:pPr>
              <w:pStyle w:val="25"/>
              <w:keepNext w:val="0"/>
              <w:keepLines w:val="0"/>
              <w:pageBreakBefore w:val="0"/>
              <w:widowControl/>
              <w:shd w:val="clear"/>
              <w:kinsoku w:val="0"/>
              <w:wordWrap/>
              <w:overflowPunct/>
              <w:topLinePunct w:val="0"/>
              <w:autoSpaceDE w:val="0"/>
              <w:autoSpaceDN w:val="0"/>
              <w:bidi w:val="0"/>
              <w:adjustRightInd w:val="0"/>
              <w:snapToGrid w:val="0"/>
              <w:spacing w:before="178" w:line="480" w:lineRule="exact"/>
              <w:ind w:left="16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备注</w:t>
            </w:r>
          </w:p>
        </w:tc>
      </w:tr>
      <w:tr w14:paraId="56EEE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37" w:type="dxa"/>
            <w:vMerge w:val="continue"/>
            <w:tcBorders>
              <w:top w:val="nil"/>
            </w:tcBorders>
            <w:vAlign w:val="top"/>
          </w:tcPr>
          <w:p w14:paraId="7D458E32">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124" w:type="dxa"/>
            <w:vMerge w:val="continue"/>
            <w:tcBorders>
              <w:top w:val="nil"/>
            </w:tcBorders>
            <w:vAlign w:val="top"/>
          </w:tcPr>
          <w:p w14:paraId="485E405F">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906" w:type="dxa"/>
            <w:vMerge w:val="continue"/>
            <w:tcBorders>
              <w:top w:val="nil"/>
            </w:tcBorders>
            <w:vAlign w:val="top"/>
          </w:tcPr>
          <w:p w14:paraId="15B4272F">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50" w:type="dxa"/>
            <w:vAlign w:val="top"/>
          </w:tcPr>
          <w:p w14:paraId="6744473F">
            <w:pPr>
              <w:pStyle w:val="25"/>
              <w:keepNext w:val="0"/>
              <w:keepLines w:val="0"/>
              <w:pageBreakBefore w:val="0"/>
              <w:widowControl/>
              <w:shd w:val="clear"/>
              <w:kinsoku w:val="0"/>
              <w:wordWrap/>
              <w:overflowPunct/>
              <w:topLinePunct w:val="0"/>
              <w:autoSpaceDE w:val="0"/>
              <w:autoSpaceDN w:val="0"/>
              <w:bidi w:val="0"/>
              <w:adjustRightInd w:val="0"/>
              <w:snapToGrid w:val="0"/>
              <w:spacing w:before="172" w:line="480" w:lineRule="exact"/>
              <w:ind w:left="2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证书名称</w:t>
            </w:r>
          </w:p>
        </w:tc>
        <w:tc>
          <w:tcPr>
            <w:tcW w:w="1431" w:type="dxa"/>
            <w:vAlign w:val="top"/>
          </w:tcPr>
          <w:p w14:paraId="6B8B528E">
            <w:pPr>
              <w:pStyle w:val="25"/>
              <w:keepNext w:val="0"/>
              <w:keepLines w:val="0"/>
              <w:pageBreakBefore w:val="0"/>
              <w:widowControl/>
              <w:shd w:val="clear"/>
              <w:kinsoku w:val="0"/>
              <w:wordWrap/>
              <w:overflowPunct/>
              <w:topLinePunct w:val="0"/>
              <w:autoSpaceDE w:val="0"/>
              <w:autoSpaceDN w:val="0"/>
              <w:bidi w:val="0"/>
              <w:adjustRightInd w:val="0"/>
              <w:snapToGrid w:val="0"/>
              <w:spacing w:before="173" w:line="480" w:lineRule="exact"/>
              <w:ind w:left="5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级别</w:t>
            </w:r>
          </w:p>
        </w:tc>
        <w:tc>
          <w:tcPr>
            <w:tcW w:w="1540" w:type="dxa"/>
            <w:vAlign w:val="top"/>
          </w:tcPr>
          <w:p w14:paraId="5A98FFED">
            <w:pPr>
              <w:pStyle w:val="25"/>
              <w:keepNext w:val="0"/>
              <w:keepLines w:val="0"/>
              <w:pageBreakBefore w:val="0"/>
              <w:widowControl/>
              <w:shd w:val="clear"/>
              <w:kinsoku w:val="0"/>
              <w:wordWrap/>
              <w:overflowPunct/>
              <w:topLinePunct w:val="0"/>
              <w:autoSpaceDE w:val="0"/>
              <w:autoSpaceDN w:val="0"/>
              <w:bidi w:val="0"/>
              <w:adjustRightInd w:val="0"/>
              <w:snapToGrid w:val="0"/>
              <w:spacing w:before="172" w:line="480" w:lineRule="exact"/>
              <w:ind w:left="56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证号</w:t>
            </w:r>
          </w:p>
        </w:tc>
        <w:tc>
          <w:tcPr>
            <w:tcW w:w="1503" w:type="dxa"/>
            <w:vAlign w:val="top"/>
          </w:tcPr>
          <w:p w14:paraId="2DD05C8D">
            <w:pPr>
              <w:pStyle w:val="25"/>
              <w:keepNext w:val="0"/>
              <w:keepLines w:val="0"/>
              <w:pageBreakBefore w:val="0"/>
              <w:widowControl/>
              <w:shd w:val="clear"/>
              <w:kinsoku w:val="0"/>
              <w:wordWrap/>
              <w:overflowPunct/>
              <w:topLinePunct w:val="0"/>
              <w:autoSpaceDE w:val="0"/>
              <w:autoSpaceDN w:val="0"/>
              <w:bidi w:val="0"/>
              <w:adjustRightInd w:val="0"/>
              <w:snapToGrid w:val="0"/>
              <w:spacing w:before="173" w:line="480" w:lineRule="exact"/>
              <w:ind w:left="55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专业</w:t>
            </w:r>
          </w:p>
        </w:tc>
        <w:tc>
          <w:tcPr>
            <w:tcW w:w="728" w:type="dxa"/>
            <w:vAlign w:val="top"/>
          </w:tcPr>
          <w:p w14:paraId="412D5982">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62413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37" w:type="dxa"/>
            <w:vAlign w:val="top"/>
          </w:tcPr>
          <w:p w14:paraId="1A40BD93">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124" w:type="dxa"/>
            <w:vAlign w:val="top"/>
          </w:tcPr>
          <w:p w14:paraId="6E3DD807">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906" w:type="dxa"/>
            <w:vAlign w:val="top"/>
          </w:tcPr>
          <w:p w14:paraId="50AFA70E">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50" w:type="dxa"/>
            <w:vAlign w:val="top"/>
          </w:tcPr>
          <w:p w14:paraId="40805B2D">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431" w:type="dxa"/>
            <w:vAlign w:val="top"/>
          </w:tcPr>
          <w:p w14:paraId="21A9F8E0">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40" w:type="dxa"/>
            <w:vAlign w:val="top"/>
          </w:tcPr>
          <w:p w14:paraId="7F2C22A5">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03" w:type="dxa"/>
            <w:vAlign w:val="top"/>
          </w:tcPr>
          <w:p w14:paraId="3E7D1A71">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728" w:type="dxa"/>
            <w:vAlign w:val="top"/>
          </w:tcPr>
          <w:p w14:paraId="3146CE92">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327A5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37" w:type="dxa"/>
            <w:vAlign w:val="top"/>
          </w:tcPr>
          <w:p w14:paraId="0A85C8B0">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124" w:type="dxa"/>
            <w:vAlign w:val="top"/>
          </w:tcPr>
          <w:p w14:paraId="3395FAE2">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906" w:type="dxa"/>
            <w:vAlign w:val="top"/>
          </w:tcPr>
          <w:p w14:paraId="6A104757">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50" w:type="dxa"/>
            <w:vAlign w:val="top"/>
          </w:tcPr>
          <w:p w14:paraId="2DDF5280">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431" w:type="dxa"/>
            <w:vAlign w:val="top"/>
          </w:tcPr>
          <w:p w14:paraId="000FAE89">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40" w:type="dxa"/>
            <w:vAlign w:val="top"/>
          </w:tcPr>
          <w:p w14:paraId="17216B1A">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03" w:type="dxa"/>
            <w:vAlign w:val="top"/>
          </w:tcPr>
          <w:p w14:paraId="18CE030E">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728" w:type="dxa"/>
            <w:vAlign w:val="top"/>
          </w:tcPr>
          <w:p w14:paraId="626CFB3C">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009A9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37" w:type="dxa"/>
            <w:vAlign w:val="top"/>
          </w:tcPr>
          <w:p w14:paraId="647C56BA">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124" w:type="dxa"/>
            <w:vAlign w:val="top"/>
          </w:tcPr>
          <w:p w14:paraId="333DE6FE">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906" w:type="dxa"/>
            <w:vAlign w:val="top"/>
          </w:tcPr>
          <w:p w14:paraId="6B0F4F1B">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50" w:type="dxa"/>
            <w:vAlign w:val="top"/>
          </w:tcPr>
          <w:p w14:paraId="4B53E437">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431" w:type="dxa"/>
            <w:vAlign w:val="top"/>
          </w:tcPr>
          <w:p w14:paraId="0C391733">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40" w:type="dxa"/>
            <w:vAlign w:val="top"/>
          </w:tcPr>
          <w:p w14:paraId="61C61846">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03" w:type="dxa"/>
            <w:vAlign w:val="top"/>
          </w:tcPr>
          <w:p w14:paraId="0F0616E5">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728" w:type="dxa"/>
            <w:vAlign w:val="top"/>
          </w:tcPr>
          <w:p w14:paraId="49327BE3">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2DC4B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37" w:type="dxa"/>
            <w:vAlign w:val="top"/>
          </w:tcPr>
          <w:p w14:paraId="545099AE">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124" w:type="dxa"/>
            <w:vAlign w:val="top"/>
          </w:tcPr>
          <w:p w14:paraId="5E0A7F14">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906" w:type="dxa"/>
            <w:vAlign w:val="top"/>
          </w:tcPr>
          <w:p w14:paraId="2B9FDF6A">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50" w:type="dxa"/>
            <w:vAlign w:val="top"/>
          </w:tcPr>
          <w:p w14:paraId="6D43E3C2">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431" w:type="dxa"/>
            <w:vAlign w:val="top"/>
          </w:tcPr>
          <w:p w14:paraId="2E99800A">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40" w:type="dxa"/>
            <w:vAlign w:val="top"/>
          </w:tcPr>
          <w:p w14:paraId="2B5CEE01">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03" w:type="dxa"/>
            <w:vAlign w:val="top"/>
          </w:tcPr>
          <w:p w14:paraId="2192BE2F">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728" w:type="dxa"/>
            <w:vAlign w:val="top"/>
          </w:tcPr>
          <w:p w14:paraId="54DC6896">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5ED09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37" w:type="dxa"/>
            <w:vAlign w:val="top"/>
          </w:tcPr>
          <w:p w14:paraId="00FBC4AC">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124" w:type="dxa"/>
            <w:vAlign w:val="top"/>
          </w:tcPr>
          <w:p w14:paraId="2033A5C5">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906" w:type="dxa"/>
            <w:vAlign w:val="top"/>
          </w:tcPr>
          <w:p w14:paraId="1F3FECDE">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50" w:type="dxa"/>
            <w:vAlign w:val="top"/>
          </w:tcPr>
          <w:p w14:paraId="446C488F">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431" w:type="dxa"/>
            <w:vAlign w:val="top"/>
          </w:tcPr>
          <w:p w14:paraId="5DBD2AB2">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40" w:type="dxa"/>
            <w:vAlign w:val="top"/>
          </w:tcPr>
          <w:p w14:paraId="6283D5AD">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03" w:type="dxa"/>
            <w:vAlign w:val="top"/>
          </w:tcPr>
          <w:p w14:paraId="455CF3CA">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728" w:type="dxa"/>
            <w:vAlign w:val="top"/>
          </w:tcPr>
          <w:p w14:paraId="33CDF956">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46DB6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37" w:type="dxa"/>
            <w:vAlign w:val="top"/>
          </w:tcPr>
          <w:p w14:paraId="7D73088D">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124" w:type="dxa"/>
            <w:vAlign w:val="top"/>
          </w:tcPr>
          <w:p w14:paraId="31424DFB">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906" w:type="dxa"/>
            <w:vAlign w:val="top"/>
          </w:tcPr>
          <w:p w14:paraId="652BC8A7">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50" w:type="dxa"/>
            <w:vAlign w:val="top"/>
          </w:tcPr>
          <w:p w14:paraId="5BA0E6C2">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431" w:type="dxa"/>
            <w:vAlign w:val="top"/>
          </w:tcPr>
          <w:p w14:paraId="21359C9D">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40" w:type="dxa"/>
            <w:vAlign w:val="top"/>
          </w:tcPr>
          <w:p w14:paraId="221B8040">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03" w:type="dxa"/>
            <w:vAlign w:val="top"/>
          </w:tcPr>
          <w:p w14:paraId="72DB1A8E">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728" w:type="dxa"/>
            <w:vAlign w:val="top"/>
          </w:tcPr>
          <w:p w14:paraId="6B7CDF32">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34F15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37" w:type="dxa"/>
            <w:vAlign w:val="top"/>
          </w:tcPr>
          <w:p w14:paraId="52F97934">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124" w:type="dxa"/>
            <w:vAlign w:val="top"/>
          </w:tcPr>
          <w:p w14:paraId="6D812FD8">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906" w:type="dxa"/>
            <w:vAlign w:val="top"/>
          </w:tcPr>
          <w:p w14:paraId="66C9D627">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50" w:type="dxa"/>
            <w:vAlign w:val="top"/>
          </w:tcPr>
          <w:p w14:paraId="6614B889">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431" w:type="dxa"/>
            <w:vAlign w:val="top"/>
          </w:tcPr>
          <w:p w14:paraId="5CFF70B8">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40" w:type="dxa"/>
            <w:vAlign w:val="top"/>
          </w:tcPr>
          <w:p w14:paraId="5A54ECEE">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03" w:type="dxa"/>
            <w:vAlign w:val="top"/>
          </w:tcPr>
          <w:p w14:paraId="2B3C81CD">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728" w:type="dxa"/>
            <w:vAlign w:val="top"/>
          </w:tcPr>
          <w:p w14:paraId="0157D956">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3FB9C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37" w:type="dxa"/>
            <w:vAlign w:val="top"/>
          </w:tcPr>
          <w:p w14:paraId="5CFD0CD4">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124" w:type="dxa"/>
            <w:vAlign w:val="top"/>
          </w:tcPr>
          <w:p w14:paraId="7190477E">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906" w:type="dxa"/>
            <w:vAlign w:val="top"/>
          </w:tcPr>
          <w:p w14:paraId="5BC50ED6">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50" w:type="dxa"/>
            <w:vAlign w:val="top"/>
          </w:tcPr>
          <w:p w14:paraId="4EBEE13F">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431" w:type="dxa"/>
            <w:vAlign w:val="top"/>
          </w:tcPr>
          <w:p w14:paraId="7036A0B3">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40" w:type="dxa"/>
            <w:vAlign w:val="top"/>
          </w:tcPr>
          <w:p w14:paraId="296930A8">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03" w:type="dxa"/>
            <w:vAlign w:val="top"/>
          </w:tcPr>
          <w:p w14:paraId="32C5C23E">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728" w:type="dxa"/>
            <w:vAlign w:val="top"/>
          </w:tcPr>
          <w:p w14:paraId="596DDF1D">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3D207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37" w:type="dxa"/>
            <w:vAlign w:val="top"/>
          </w:tcPr>
          <w:p w14:paraId="42476230">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124" w:type="dxa"/>
            <w:vAlign w:val="top"/>
          </w:tcPr>
          <w:p w14:paraId="46F95EDD">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906" w:type="dxa"/>
            <w:vAlign w:val="top"/>
          </w:tcPr>
          <w:p w14:paraId="3A6D0221">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50" w:type="dxa"/>
            <w:vAlign w:val="top"/>
          </w:tcPr>
          <w:p w14:paraId="15C1B1C4">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431" w:type="dxa"/>
            <w:vAlign w:val="top"/>
          </w:tcPr>
          <w:p w14:paraId="2A7456E3">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40" w:type="dxa"/>
            <w:vAlign w:val="top"/>
          </w:tcPr>
          <w:p w14:paraId="22869556">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503" w:type="dxa"/>
            <w:vAlign w:val="top"/>
          </w:tcPr>
          <w:p w14:paraId="3062D782">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728" w:type="dxa"/>
            <w:vAlign w:val="top"/>
          </w:tcPr>
          <w:p w14:paraId="7E0CC278">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bl>
    <w:p w14:paraId="7E2FCB1F">
      <w:pPr>
        <w:pStyle w:val="11"/>
        <w:keepNext w:val="0"/>
        <w:keepLines w:val="0"/>
        <w:pageBreakBefore w:val="0"/>
        <w:widowControl/>
        <w:shd w:val="clear"/>
        <w:kinsoku w:val="0"/>
        <w:wordWrap/>
        <w:overflowPunct/>
        <w:topLinePunct w:val="0"/>
        <w:autoSpaceDE w:val="0"/>
        <w:autoSpaceDN w:val="0"/>
        <w:bidi w:val="0"/>
        <w:adjustRightInd w:val="0"/>
        <w:snapToGrid w:val="0"/>
        <w:spacing w:before="172" w:line="480" w:lineRule="exact"/>
        <w:ind w:left="329"/>
        <w:textAlignment w:val="baseline"/>
        <w:outlineLvl w:val="9"/>
        <w:rPr>
          <w:rFonts w:hint="eastAsia" w:ascii="仿宋" w:hAnsi="仿宋" w:eastAsia="仿宋" w:cs="仿宋"/>
          <w:color w:val="auto"/>
          <w:spacing w:val="8"/>
          <w:position w:val="18"/>
          <w:sz w:val="24"/>
          <w:szCs w:val="24"/>
          <w:highlight w:val="none"/>
        </w:rPr>
      </w:pPr>
      <w:r>
        <w:rPr>
          <w:rFonts w:hint="eastAsia" w:ascii="仿宋" w:hAnsi="仿宋" w:eastAsia="仿宋" w:cs="仿宋"/>
          <w:color w:val="auto"/>
          <w:spacing w:val="8"/>
          <w:position w:val="18"/>
          <w:sz w:val="24"/>
          <w:szCs w:val="24"/>
          <w:highlight w:val="none"/>
        </w:rPr>
        <w:t>注：本工程一旦我单位</w:t>
      </w:r>
      <w:r>
        <w:rPr>
          <w:rFonts w:hint="eastAsia" w:ascii="仿宋" w:hAnsi="仿宋" w:eastAsia="仿宋" w:cs="仿宋"/>
          <w:color w:val="auto"/>
          <w:spacing w:val="8"/>
          <w:position w:val="18"/>
          <w:sz w:val="24"/>
          <w:szCs w:val="24"/>
          <w:highlight w:val="none"/>
          <w:lang w:eastAsia="zh-CN"/>
        </w:rPr>
        <w:t>成交</w:t>
      </w:r>
      <w:r>
        <w:rPr>
          <w:rFonts w:hint="eastAsia" w:ascii="仿宋" w:hAnsi="仿宋" w:eastAsia="仿宋" w:cs="仿宋"/>
          <w:color w:val="auto"/>
          <w:spacing w:val="8"/>
          <w:position w:val="18"/>
          <w:sz w:val="24"/>
          <w:szCs w:val="24"/>
          <w:highlight w:val="none"/>
        </w:rPr>
        <w:t>，将配备上述项目管理人员。上述填报内容真实，如不真实，将按照有关规定接受处理。</w:t>
      </w:r>
    </w:p>
    <w:p w14:paraId="27E77B9E">
      <w:pPr>
        <w:pStyle w:val="11"/>
        <w:keepNext w:val="0"/>
        <w:keepLines w:val="0"/>
        <w:pageBreakBefore w:val="0"/>
        <w:widowControl/>
        <w:shd w:val="clear"/>
        <w:kinsoku w:val="0"/>
        <w:wordWrap/>
        <w:overflowPunct/>
        <w:topLinePunct w:val="0"/>
        <w:autoSpaceDE w:val="0"/>
        <w:autoSpaceDN w:val="0"/>
        <w:bidi w:val="0"/>
        <w:adjustRightInd w:val="0"/>
        <w:snapToGrid w:val="0"/>
        <w:spacing w:before="180" w:line="480" w:lineRule="exact"/>
        <w:jc w:val="center"/>
        <w:textAlignment w:val="baseline"/>
        <w:outlineLvl w:val="9"/>
        <w:rPr>
          <w:rFonts w:hint="eastAsia" w:ascii="仿宋" w:hAnsi="仿宋" w:eastAsia="仿宋" w:cs="仿宋"/>
          <w:color w:val="auto"/>
          <w:spacing w:val="7"/>
          <w:sz w:val="24"/>
          <w:szCs w:val="24"/>
          <w:highlight w:val="none"/>
        </w:rPr>
      </w:pPr>
    </w:p>
    <w:p w14:paraId="6DF10AA9">
      <w:pPr>
        <w:pStyle w:val="11"/>
        <w:keepNext w:val="0"/>
        <w:keepLines w:val="0"/>
        <w:pageBreakBefore w:val="0"/>
        <w:widowControl/>
        <w:shd w:val="clear"/>
        <w:kinsoku w:val="0"/>
        <w:wordWrap/>
        <w:overflowPunct/>
        <w:topLinePunct w:val="0"/>
        <w:autoSpaceDE w:val="0"/>
        <w:autoSpaceDN w:val="0"/>
        <w:bidi w:val="0"/>
        <w:adjustRightInd w:val="0"/>
        <w:snapToGrid w:val="0"/>
        <w:spacing w:before="180" w:line="480" w:lineRule="exact"/>
        <w:jc w:val="center"/>
        <w:textAlignment w:val="baseline"/>
        <w:outlineLvl w:val="9"/>
        <w:rPr>
          <w:rFonts w:hint="eastAsia" w:ascii="仿宋" w:hAnsi="仿宋" w:eastAsia="仿宋" w:cs="仿宋"/>
          <w:color w:val="auto"/>
          <w:spacing w:val="7"/>
          <w:sz w:val="24"/>
          <w:szCs w:val="24"/>
          <w:highlight w:val="none"/>
        </w:rPr>
      </w:pPr>
    </w:p>
    <w:p w14:paraId="193BCA64">
      <w:pPr>
        <w:pStyle w:val="11"/>
        <w:keepNext w:val="0"/>
        <w:keepLines w:val="0"/>
        <w:pageBreakBefore w:val="0"/>
        <w:widowControl/>
        <w:shd w:val="clear"/>
        <w:kinsoku w:val="0"/>
        <w:wordWrap/>
        <w:overflowPunct/>
        <w:topLinePunct w:val="0"/>
        <w:autoSpaceDE w:val="0"/>
        <w:autoSpaceDN w:val="0"/>
        <w:bidi w:val="0"/>
        <w:adjustRightInd w:val="0"/>
        <w:snapToGrid w:val="0"/>
        <w:spacing w:before="180" w:line="480" w:lineRule="exact"/>
        <w:jc w:val="center"/>
        <w:textAlignment w:val="baseline"/>
        <w:outlineLvl w:val="9"/>
        <w:rPr>
          <w:rFonts w:hint="eastAsia" w:ascii="仿宋" w:hAnsi="仿宋" w:eastAsia="仿宋" w:cs="仿宋"/>
          <w:color w:val="auto"/>
          <w:spacing w:val="7"/>
          <w:sz w:val="24"/>
          <w:szCs w:val="24"/>
          <w:highlight w:val="none"/>
        </w:rPr>
      </w:pPr>
    </w:p>
    <w:p w14:paraId="6EFDF2FD">
      <w:pPr>
        <w:pStyle w:val="11"/>
        <w:keepNext w:val="0"/>
        <w:keepLines w:val="0"/>
        <w:pageBreakBefore w:val="0"/>
        <w:widowControl/>
        <w:shd w:val="clear"/>
        <w:kinsoku w:val="0"/>
        <w:wordWrap/>
        <w:overflowPunct/>
        <w:topLinePunct w:val="0"/>
        <w:autoSpaceDE w:val="0"/>
        <w:autoSpaceDN w:val="0"/>
        <w:bidi w:val="0"/>
        <w:adjustRightInd w:val="0"/>
        <w:snapToGrid w:val="0"/>
        <w:spacing w:before="180" w:line="480" w:lineRule="exact"/>
        <w:jc w:val="center"/>
        <w:textAlignment w:val="baseline"/>
        <w:outlineLvl w:val="9"/>
        <w:rPr>
          <w:rFonts w:hint="eastAsia" w:ascii="仿宋" w:hAnsi="仿宋" w:eastAsia="仿宋" w:cs="仿宋"/>
          <w:color w:val="auto"/>
          <w:spacing w:val="7"/>
          <w:sz w:val="24"/>
          <w:szCs w:val="24"/>
          <w:highlight w:val="none"/>
        </w:rPr>
      </w:pPr>
    </w:p>
    <w:p w14:paraId="283B1618">
      <w:pPr>
        <w:pStyle w:val="11"/>
        <w:keepNext w:val="0"/>
        <w:keepLines w:val="0"/>
        <w:pageBreakBefore w:val="0"/>
        <w:widowControl/>
        <w:shd w:val="clear"/>
        <w:kinsoku w:val="0"/>
        <w:wordWrap/>
        <w:overflowPunct/>
        <w:topLinePunct w:val="0"/>
        <w:autoSpaceDE w:val="0"/>
        <w:autoSpaceDN w:val="0"/>
        <w:bidi w:val="0"/>
        <w:adjustRightInd w:val="0"/>
        <w:snapToGrid w:val="0"/>
        <w:spacing w:before="180" w:line="480" w:lineRule="exact"/>
        <w:jc w:val="center"/>
        <w:textAlignment w:val="baseline"/>
        <w:outlineLvl w:val="9"/>
        <w:rPr>
          <w:rFonts w:hint="eastAsia" w:ascii="仿宋" w:hAnsi="仿宋" w:eastAsia="仿宋" w:cs="仿宋"/>
          <w:color w:val="auto"/>
          <w:spacing w:val="7"/>
          <w:sz w:val="24"/>
          <w:szCs w:val="24"/>
          <w:highlight w:val="none"/>
        </w:rPr>
      </w:pPr>
    </w:p>
    <w:p w14:paraId="4F701BC8">
      <w:pPr>
        <w:pStyle w:val="11"/>
        <w:keepNext w:val="0"/>
        <w:keepLines w:val="0"/>
        <w:pageBreakBefore w:val="0"/>
        <w:widowControl/>
        <w:shd w:val="clear"/>
        <w:kinsoku w:val="0"/>
        <w:wordWrap/>
        <w:overflowPunct/>
        <w:topLinePunct w:val="0"/>
        <w:autoSpaceDE w:val="0"/>
        <w:autoSpaceDN w:val="0"/>
        <w:bidi w:val="0"/>
        <w:adjustRightInd w:val="0"/>
        <w:snapToGrid w:val="0"/>
        <w:spacing w:before="180" w:line="480" w:lineRule="exact"/>
        <w:jc w:val="center"/>
        <w:textAlignment w:val="baseline"/>
        <w:outlineLvl w:val="9"/>
        <w:rPr>
          <w:rFonts w:hint="eastAsia" w:ascii="仿宋" w:hAnsi="仿宋" w:eastAsia="仿宋" w:cs="仿宋"/>
          <w:color w:val="auto"/>
          <w:spacing w:val="7"/>
          <w:sz w:val="24"/>
          <w:szCs w:val="24"/>
          <w:highlight w:val="none"/>
        </w:rPr>
      </w:pPr>
    </w:p>
    <w:p w14:paraId="25CEE36B">
      <w:pPr>
        <w:pStyle w:val="11"/>
        <w:keepNext w:val="0"/>
        <w:keepLines w:val="0"/>
        <w:pageBreakBefore w:val="0"/>
        <w:widowControl/>
        <w:shd w:val="clear"/>
        <w:kinsoku w:val="0"/>
        <w:wordWrap/>
        <w:overflowPunct/>
        <w:topLinePunct w:val="0"/>
        <w:autoSpaceDE w:val="0"/>
        <w:autoSpaceDN w:val="0"/>
        <w:bidi w:val="0"/>
        <w:adjustRightInd w:val="0"/>
        <w:snapToGrid w:val="0"/>
        <w:spacing w:before="180" w:line="480" w:lineRule="exact"/>
        <w:jc w:val="both"/>
        <w:textAlignment w:val="baseline"/>
        <w:outlineLvl w:val="9"/>
        <w:rPr>
          <w:rFonts w:hint="eastAsia" w:ascii="仿宋" w:hAnsi="仿宋" w:eastAsia="仿宋" w:cs="仿宋"/>
          <w:color w:val="auto"/>
          <w:spacing w:val="7"/>
          <w:sz w:val="24"/>
          <w:szCs w:val="24"/>
          <w:highlight w:val="none"/>
        </w:rPr>
      </w:pPr>
    </w:p>
    <w:p w14:paraId="2B643761">
      <w:pPr>
        <w:pStyle w:val="11"/>
        <w:keepNext w:val="0"/>
        <w:keepLines w:val="0"/>
        <w:pageBreakBefore w:val="0"/>
        <w:widowControl/>
        <w:shd w:val="clear"/>
        <w:kinsoku w:val="0"/>
        <w:wordWrap/>
        <w:overflowPunct/>
        <w:topLinePunct w:val="0"/>
        <w:autoSpaceDE w:val="0"/>
        <w:autoSpaceDN w:val="0"/>
        <w:bidi w:val="0"/>
        <w:adjustRightInd w:val="0"/>
        <w:snapToGrid w:val="0"/>
        <w:spacing w:before="180" w:line="480" w:lineRule="exact"/>
        <w:jc w:val="center"/>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（二）主要人员简历表</w:t>
      </w:r>
    </w:p>
    <w:p w14:paraId="332D9946">
      <w:pPr>
        <w:pStyle w:val="11"/>
        <w:keepNext w:val="0"/>
        <w:keepLines w:val="0"/>
        <w:pageBreakBefore w:val="0"/>
        <w:widowControl/>
        <w:shd w:val="clear"/>
        <w:kinsoku w:val="0"/>
        <w:wordWrap/>
        <w:overflowPunct/>
        <w:topLinePunct w:val="0"/>
        <w:autoSpaceDE w:val="0"/>
        <w:autoSpaceDN w:val="0"/>
        <w:bidi w:val="0"/>
        <w:adjustRightInd w:val="0"/>
        <w:snapToGrid w:val="0"/>
        <w:spacing w:before="178" w:line="480" w:lineRule="exact"/>
        <w:ind w:left="17"/>
        <w:jc w:val="center"/>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附</w:t>
      </w:r>
      <w:r>
        <w:rPr>
          <w:rFonts w:hint="eastAsia" w:ascii="仿宋" w:hAnsi="仿宋" w:eastAsia="仿宋" w:cs="仿宋"/>
          <w:color w:val="auto"/>
          <w:spacing w:val="-21"/>
          <w:sz w:val="24"/>
          <w:szCs w:val="24"/>
          <w:highlight w:val="none"/>
          <w:lang w:val="en-US" w:eastAsia="zh-CN"/>
        </w:rPr>
        <w:t>件</w:t>
      </w:r>
      <w:r>
        <w:rPr>
          <w:rFonts w:hint="eastAsia" w:ascii="仿宋" w:hAnsi="仿宋" w:eastAsia="仿宋" w:cs="仿宋"/>
          <w:color w:val="auto"/>
          <w:spacing w:val="4"/>
          <w:sz w:val="24"/>
          <w:szCs w:val="24"/>
          <w:highlight w:val="none"/>
        </w:rPr>
        <w:t>1：项目经理简历表</w:t>
      </w:r>
    </w:p>
    <w:p w14:paraId="06FC3247">
      <w:pPr>
        <w:pStyle w:val="11"/>
        <w:keepNext w:val="0"/>
        <w:keepLines w:val="0"/>
        <w:pageBreakBefore w:val="0"/>
        <w:widowControl/>
        <w:shd w:val="clear"/>
        <w:kinsoku w:val="0"/>
        <w:wordWrap/>
        <w:overflowPunct/>
        <w:topLinePunct w:val="0"/>
        <w:autoSpaceDE w:val="0"/>
        <w:autoSpaceDN w:val="0"/>
        <w:bidi w:val="0"/>
        <w:adjustRightInd w:val="0"/>
        <w:snapToGrid w:val="0"/>
        <w:spacing w:before="173" w:line="480" w:lineRule="exact"/>
        <w:ind w:firstLine="42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项目经理应附建造师注册证书、安全生产考核证书、身份证、职称</w:t>
      </w:r>
      <w:r>
        <w:rPr>
          <w:rFonts w:hint="eastAsia" w:ascii="仿宋" w:hAnsi="仿宋" w:eastAsia="仿宋" w:cs="仿宋"/>
          <w:color w:val="auto"/>
          <w:spacing w:val="9"/>
          <w:sz w:val="24"/>
          <w:szCs w:val="24"/>
          <w:highlight w:val="none"/>
        </w:rPr>
        <w:t>证（如有）、学历证等资料复印件</w:t>
      </w:r>
      <w:r>
        <w:rPr>
          <w:rFonts w:hint="eastAsia" w:ascii="仿宋" w:hAnsi="仿宋" w:eastAsia="仿宋" w:cs="仿宋"/>
          <w:color w:val="auto"/>
          <w:spacing w:val="10"/>
          <w:sz w:val="24"/>
          <w:szCs w:val="24"/>
          <w:highlight w:val="none"/>
        </w:rPr>
        <w:t>及未担任其他在施建设工程项目经理的承诺书，管理过的项目业绩须附</w:t>
      </w:r>
      <w:r>
        <w:rPr>
          <w:rFonts w:hint="eastAsia" w:ascii="仿宋" w:hAnsi="仿宋" w:eastAsia="仿宋" w:cs="仿宋"/>
          <w:color w:val="auto"/>
          <w:spacing w:val="10"/>
          <w:sz w:val="24"/>
          <w:szCs w:val="24"/>
          <w:highlight w:val="none"/>
          <w:lang w:eastAsia="zh-CN"/>
        </w:rPr>
        <w:t>中标（成交）</w:t>
      </w:r>
      <w:r>
        <w:rPr>
          <w:rFonts w:hint="eastAsia" w:ascii="仿宋" w:hAnsi="仿宋" w:eastAsia="仿宋" w:cs="仿宋"/>
          <w:color w:val="auto"/>
          <w:spacing w:val="10"/>
          <w:sz w:val="24"/>
          <w:szCs w:val="24"/>
          <w:highlight w:val="none"/>
        </w:rPr>
        <w:t>通知</w:t>
      </w:r>
      <w:r>
        <w:rPr>
          <w:rFonts w:hint="eastAsia" w:ascii="仿宋" w:hAnsi="仿宋" w:eastAsia="仿宋" w:cs="仿宋"/>
          <w:color w:val="auto"/>
          <w:spacing w:val="9"/>
          <w:sz w:val="24"/>
          <w:szCs w:val="24"/>
          <w:highlight w:val="none"/>
        </w:rPr>
        <w:t>书、合同协议书复印件。</w:t>
      </w:r>
    </w:p>
    <w:tbl>
      <w:tblPr>
        <w:tblStyle w:val="26"/>
        <w:tblW w:w="98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4"/>
        <w:gridCol w:w="1155"/>
        <w:gridCol w:w="1266"/>
        <w:gridCol w:w="1423"/>
        <w:gridCol w:w="2058"/>
        <w:gridCol w:w="2732"/>
      </w:tblGrid>
      <w:tr w14:paraId="2E263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1224" w:type="dxa"/>
            <w:vAlign w:val="top"/>
          </w:tcPr>
          <w:p w14:paraId="740CE313">
            <w:pPr>
              <w:pStyle w:val="25"/>
              <w:keepNext w:val="0"/>
              <w:keepLines w:val="0"/>
              <w:pageBreakBefore w:val="0"/>
              <w:widowControl/>
              <w:shd w:val="clear"/>
              <w:kinsoku w:val="0"/>
              <w:wordWrap/>
              <w:overflowPunct/>
              <w:topLinePunct w:val="0"/>
              <w:autoSpaceDE w:val="0"/>
              <w:autoSpaceDN w:val="0"/>
              <w:bidi w:val="0"/>
              <w:adjustRightInd w:val="0"/>
              <w:snapToGrid w:val="0"/>
              <w:spacing w:before="127" w:line="480" w:lineRule="exact"/>
              <w:ind w:left="2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名</w:t>
            </w:r>
          </w:p>
        </w:tc>
        <w:tc>
          <w:tcPr>
            <w:tcW w:w="1155" w:type="dxa"/>
            <w:vAlign w:val="top"/>
          </w:tcPr>
          <w:p w14:paraId="52CC3063">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66" w:type="dxa"/>
            <w:vAlign w:val="top"/>
          </w:tcPr>
          <w:p w14:paraId="21235218">
            <w:pPr>
              <w:pStyle w:val="25"/>
              <w:keepNext w:val="0"/>
              <w:keepLines w:val="0"/>
              <w:pageBreakBefore w:val="0"/>
              <w:widowControl/>
              <w:shd w:val="clear"/>
              <w:kinsoku w:val="0"/>
              <w:wordWrap/>
              <w:overflowPunct/>
              <w:topLinePunct w:val="0"/>
              <w:autoSpaceDE w:val="0"/>
              <w:autoSpaceDN w:val="0"/>
              <w:bidi w:val="0"/>
              <w:adjustRightInd w:val="0"/>
              <w:snapToGrid w:val="0"/>
              <w:spacing w:before="127" w:line="480" w:lineRule="exact"/>
              <w:ind w:left="2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z w:val="24"/>
                <w:szCs w:val="24"/>
                <w:highlight w:val="none"/>
              </w:rPr>
              <w:t>龄</w:t>
            </w:r>
          </w:p>
        </w:tc>
        <w:tc>
          <w:tcPr>
            <w:tcW w:w="1423" w:type="dxa"/>
            <w:vAlign w:val="top"/>
          </w:tcPr>
          <w:p w14:paraId="68067924">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058" w:type="dxa"/>
            <w:vAlign w:val="top"/>
          </w:tcPr>
          <w:p w14:paraId="334B7C65">
            <w:pPr>
              <w:pStyle w:val="25"/>
              <w:keepNext w:val="0"/>
              <w:keepLines w:val="0"/>
              <w:pageBreakBefore w:val="0"/>
              <w:widowControl/>
              <w:shd w:val="clear"/>
              <w:kinsoku w:val="0"/>
              <w:wordWrap/>
              <w:overflowPunct/>
              <w:topLinePunct w:val="0"/>
              <w:autoSpaceDE w:val="0"/>
              <w:autoSpaceDN w:val="0"/>
              <w:bidi w:val="0"/>
              <w:adjustRightInd w:val="0"/>
              <w:snapToGrid w:val="0"/>
              <w:spacing w:before="127" w:line="480" w:lineRule="exact"/>
              <w:ind w:left="7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学历</w:t>
            </w:r>
          </w:p>
        </w:tc>
        <w:tc>
          <w:tcPr>
            <w:tcW w:w="2732" w:type="dxa"/>
            <w:vAlign w:val="top"/>
          </w:tcPr>
          <w:p w14:paraId="558EB96B">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67C41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1224" w:type="dxa"/>
            <w:vAlign w:val="top"/>
          </w:tcPr>
          <w:p w14:paraId="79A6BC95">
            <w:pPr>
              <w:pStyle w:val="25"/>
              <w:keepNext w:val="0"/>
              <w:keepLines w:val="0"/>
              <w:pageBreakBefore w:val="0"/>
              <w:widowControl/>
              <w:shd w:val="clear"/>
              <w:kinsoku w:val="0"/>
              <w:wordWrap/>
              <w:overflowPunct/>
              <w:topLinePunct w:val="0"/>
              <w:autoSpaceDE w:val="0"/>
              <w:autoSpaceDN w:val="0"/>
              <w:bidi w:val="0"/>
              <w:adjustRightInd w:val="0"/>
              <w:snapToGrid w:val="0"/>
              <w:spacing w:before="122" w:line="480" w:lineRule="exact"/>
              <w:ind w:left="2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z w:val="24"/>
                <w:szCs w:val="24"/>
                <w:highlight w:val="none"/>
              </w:rPr>
              <w:t>称</w:t>
            </w:r>
          </w:p>
        </w:tc>
        <w:tc>
          <w:tcPr>
            <w:tcW w:w="1155" w:type="dxa"/>
            <w:vAlign w:val="top"/>
          </w:tcPr>
          <w:p w14:paraId="21094EEA">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66" w:type="dxa"/>
            <w:vAlign w:val="top"/>
          </w:tcPr>
          <w:p w14:paraId="4EB5F363">
            <w:pPr>
              <w:pStyle w:val="25"/>
              <w:keepNext w:val="0"/>
              <w:keepLines w:val="0"/>
              <w:pageBreakBefore w:val="0"/>
              <w:widowControl/>
              <w:shd w:val="clear"/>
              <w:kinsoku w:val="0"/>
              <w:wordWrap/>
              <w:overflowPunct/>
              <w:topLinePunct w:val="0"/>
              <w:autoSpaceDE w:val="0"/>
              <w:autoSpaceDN w:val="0"/>
              <w:bidi w:val="0"/>
              <w:adjustRightInd w:val="0"/>
              <w:snapToGrid w:val="0"/>
              <w:spacing w:before="122" w:line="480" w:lineRule="exact"/>
              <w:ind w:left="2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务</w:t>
            </w:r>
          </w:p>
        </w:tc>
        <w:tc>
          <w:tcPr>
            <w:tcW w:w="1423" w:type="dxa"/>
            <w:vAlign w:val="top"/>
          </w:tcPr>
          <w:p w14:paraId="323A33E0">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058" w:type="dxa"/>
            <w:vAlign w:val="top"/>
          </w:tcPr>
          <w:p w14:paraId="30BBB50A">
            <w:pPr>
              <w:pStyle w:val="25"/>
              <w:keepNext w:val="0"/>
              <w:keepLines w:val="0"/>
              <w:pageBreakBefore w:val="0"/>
              <w:widowControl/>
              <w:shd w:val="clear"/>
              <w:kinsoku w:val="0"/>
              <w:wordWrap/>
              <w:overflowPunct/>
              <w:topLinePunct w:val="0"/>
              <w:autoSpaceDE w:val="0"/>
              <w:autoSpaceDN w:val="0"/>
              <w:bidi w:val="0"/>
              <w:adjustRightInd w:val="0"/>
              <w:snapToGrid w:val="0"/>
              <w:spacing w:before="122" w:line="480" w:lineRule="exact"/>
              <w:ind w:left="19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拟在本工程任职</w:t>
            </w:r>
          </w:p>
        </w:tc>
        <w:tc>
          <w:tcPr>
            <w:tcW w:w="2732" w:type="dxa"/>
            <w:vAlign w:val="top"/>
          </w:tcPr>
          <w:p w14:paraId="293F81DE">
            <w:pPr>
              <w:pStyle w:val="25"/>
              <w:keepNext w:val="0"/>
              <w:keepLines w:val="0"/>
              <w:pageBreakBefore w:val="0"/>
              <w:widowControl/>
              <w:shd w:val="clear"/>
              <w:kinsoku w:val="0"/>
              <w:wordWrap/>
              <w:overflowPunct/>
              <w:topLinePunct w:val="0"/>
              <w:autoSpaceDE w:val="0"/>
              <w:autoSpaceDN w:val="0"/>
              <w:bidi w:val="0"/>
              <w:adjustRightInd w:val="0"/>
              <w:snapToGrid w:val="0"/>
              <w:spacing w:before="123" w:line="480" w:lineRule="exact"/>
              <w:ind w:left="8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项目经理</w:t>
            </w:r>
          </w:p>
        </w:tc>
      </w:tr>
      <w:tr w14:paraId="64149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jc w:val="center"/>
        </w:trPr>
        <w:tc>
          <w:tcPr>
            <w:tcW w:w="3645" w:type="dxa"/>
            <w:gridSpan w:val="3"/>
            <w:vAlign w:val="top"/>
          </w:tcPr>
          <w:p w14:paraId="7876D92A">
            <w:pPr>
              <w:pStyle w:val="25"/>
              <w:keepNext w:val="0"/>
              <w:keepLines w:val="0"/>
              <w:pageBreakBefore w:val="0"/>
              <w:widowControl/>
              <w:shd w:val="clear"/>
              <w:kinsoku w:val="0"/>
              <w:wordWrap/>
              <w:overflowPunct/>
              <w:topLinePunct w:val="0"/>
              <w:autoSpaceDE w:val="0"/>
              <w:autoSpaceDN w:val="0"/>
              <w:bidi w:val="0"/>
              <w:adjustRightInd w:val="0"/>
              <w:snapToGrid w:val="0"/>
              <w:spacing w:before="124" w:line="480" w:lineRule="exact"/>
              <w:ind w:left="4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注册建造师执业资格等级</w:t>
            </w:r>
          </w:p>
        </w:tc>
        <w:tc>
          <w:tcPr>
            <w:tcW w:w="1423" w:type="dxa"/>
            <w:vAlign w:val="top"/>
          </w:tcPr>
          <w:p w14:paraId="53BF116C">
            <w:pPr>
              <w:pStyle w:val="25"/>
              <w:keepNext w:val="0"/>
              <w:keepLines w:val="0"/>
              <w:pageBreakBefore w:val="0"/>
              <w:widowControl/>
              <w:shd w:val="clear"/>
              <w:kinsoku w:val="0"/>
              <w:wordWrap/>
              <w:overflowPunct/>
              <w:topLinePunct w:val="0"/>
              <w:autoSpaceDE w:val="0"/>
              <w:autoSpaceDN w:val="0"/>
              <w:bidi w:val="0"/>
              <w:adjustRightInd w:val="0"/>
              <w:snapToGrid w:val="0"/>
              <w:spacing w:before="124" w:line="480" w:lineRule="exact"/>
              <w:ind w:left="8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级</w:t>
            </w:r>
          </w:p>
        </w:tc>
        <w:tc>
          <w:tcPr>
            <w:tcW w:w="2058" w:type="dxa"/>
            <w:vAlign w:val="top"/>
          </w:tcPr>
          <w:p w14:paraId="6573E9CF">
            <w:pPr>
              <w:pStyle w:val="25"/>
              <w:keepNext w:val="0"/>
              <w:keepLines w:val="0"/>
              <w:pageBreakBefore w:val="0"/>
              <w:widowControl/>
              <w:shd w:val="clear"/>
              <w:kinsoku w:val="0"/>
              <w:wordWrap/>
              <w:overflowPunct/>
              <w:topLinePunct w:val="0"/>
              <w:autoSpaceDE w:val="0"/>
              <w:autoSpaceDN w:val="0"/>
              <w:bidi w:val="0"/>
              <w:adjustRightInd w:val="0"/>
              <w:snapToGrid w:val="0"/>
              <w:spacing w:before="124" w:line="480" w:lineRule="exact"/>
              <w:ind w:left="4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建造师专业</w:t>
            </w:r>
          </w:p>
        </w:tc>
        <w:tc>
          <w:tcPr>
            <w:tcW w:w="2732" w:type="dxa"/>
            <w:vAlign w:val="top"/>
          </w:tcPr>
          <w:p w14:paraId="29223155">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31365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3645" w:type="dxa"/>
            <w:gridSpan w:val="3"/>
            <w:vAlign w:val="top"/>
          </w:tcPr>
          <w:p w14:paraId="39EFE23F">
            <w:pPr>
              <w:pStyle w:val="25"/>
              <w:keepNext w:val="0"/>
              <w:keepLines w:val="0"/>
              <w:pageBreakBefore w:val="0"/>
              <w:widowControl/>
              <w:shd w:val="clear"/>
              <w:kinsoku w:val="0"/>
              <w:wordWrap/>
              <w:overflowPunct/>
              <w:topLinePunct w:val="0"/>
              <w:autoSpaceDE w:val="0"/>
              <w:autoSpaceDN w:val="0"/>
              <w:bidi w:val="0"/>
              <w:adjustRightInd w:val="0"/>
              <w:snapToGrid w:val="0"/>
              <w:spacing w:before="123" w:line="480" w:lineRule="exact"/>
              <w:ind w:left="59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安全生产考核合格证书</w:t>
            </w:r>
          </w:p>
        </w:tc>
        <w:tc>
          <w:tcPr>
            <w:tcW w:w="6213" w:type="dxa"/>
            <w:gridSpan w:val="3"/>
            <w:vAlign w:val="top"/>
          </w:tcPr>
          <w:p w14:paraId="5E5803F6">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1537D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1224" w:type="dxa"/>
            <w:vAlign w:val="top"/>
          </w:tcPr>
          <w:p w14:paraId="5F4A47C7">
            <w:pPr>
              <w:pStyle w:val="25"/>
              <w:keepNext w:val="0"/>
              <w:keepLines w:val="0"/>
              <w:pageBreakBefore w:val="0"/>
              <w:widowControl/>
              <w:shd w:val="clear"/>
              <w:kinsoku w:val="0"/>
              <w:wordWrap/>
              <w:overflowPunct/>
              <w:topLinePunct w:val="0"/>
              <w:autoSpaceDE w:val="0"/>
              <w:autoSpaceDN w:val="0"/>
              <w:bidi w:val="0"/>
              <w:adjustRightInd w:val="0"/>
              <w:snapToGrid w:val="0"/>
              <w:spacing w:before="122" w:line="480" w:lineRule="exact"/>
              <w:ind w:left="1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毕业学校</w:t>
            </w:r>
          </w:p>
        </w:tc>
        <w:tc>
          <w:tcPr>
            <w:tcW w:w="8634" w:type="dxa"/>
            <w:gridSpan w:val="5"/>
            <w:vAlign w:val="top"/>
          </w:tcPr>
          <w:p w14:paraId="11AA65C1">
            <w:pPr>
              <w:pStyle w:val="25"/>
              <w:keepNext w:val="0"/>
              <w:keepLines w:val="0"/>
              <w:pageBreakBefore w:val="0"/>
              <w:widowControl/>
              <w:shd w:val="clear"/>
              <w:kinsoku w:val="0"/>
              <w:wordWrap/>
              <w:overflowPunct/>
              <w:topLinePunct w:val="0"/>
              <w:autoSpaceDE w:val="0"/>
              <w:autoSpaceDN w:val="0"/>
              <w:bidi w:val="0"/>
              <w:adjustRightInd w:val="0"/>
              <w:snapToGrid w:val="0"/>
              <w:spacing w:before="122" w:line="480" w:lineRule="exact"/>
              <w:ind w:left="95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年毕业于</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学校</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5"/>
                <w:sz w:val="24"/>
                <w:szCs w:val="24"/>
                <w:highlight w:val="none"/>
              </w:rPr>
              <w:t>专业</w:t>
            </w:r>
          </w:p>
        </w:tc>
      </w:tr>
      <w:tr w14:paraId="6F81D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9858" w:type="dxa"/>
            <w:gridSpan w:val="6"/>
            <w:vAlign w:val="top"/>
          </w:tcPr>
          <w:p w14:paraId="0B5378AA">
            <w:pPr>
              <w:pStyle w:val="25"/>
              <w:keepNext w:val="0"/>
              <w:keepLines w:val="0"/>
              <w:pageBreakBefore w:val="0"/>
              <w:widowControl/>
              <w:shd w:val="clear"/>
              <w:kinsoku w:val="0"/>
              <w:wordWrap/>
              <w:overflowPunct/>
              <w:topLinePunct w:val="0"/>
              <w:autoSpaceDE w:val="0"/>
              <w:autoSpaceDN w:val="0"/>
              <w:bidi w:val="0"/>
              <w:adjustRightInd w:val="0"/>
              <w:snapToGrid w:val="0"/>
              <w:spacing w:before="124" w:line="480" w:lineRule="exact"/>
              <w:ind w:left="378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主要工作经历</w:t>
            </w:r>
          </w:p>
        </w:tc>
      </w:tr>
      <w:tr w14:paraId="21FCB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1224" w:type="dxa"/>
            <w:vAlign w:val="top"/>
          </w:tcPr>
          <w:p w14:paraId="15144564">
            <w:pPr>
              <w:pStyle w:val="25"/>
              <w:keepNext w:val="0"/>
              <w:keepLines w:val="0"/>
              <w:pageBreakBefore w:val="0"/>
              <w:widowControl/>
              <w:shd w:val="clear"/>
              <w:kinsoku w:val="0"/>
              <w:wordWrap/>
              <w:overflowPunct/>
              <w:topLinePunct w:val="0"/>
              <w:autoSpaceDE w:val="0"/>
              <w:autoSpaceDN w:val="0"/>
              <w:bidi w:val="0"/>
              <w:adjustRightInd w:val="0"/>
              <w:snapToGrid w:val="0"/>
              <w:spacing w:before="123" w:line="480" w:lineRule="exact"/>
              <w:ind w:left="24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时</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5"/>
                <w:sz w:val="24"/>
                <w:szCs w:val="24"/>
                <w:highlight w:val="none"/>
              </w:rPr>
              <w:t>间</w:t>
            </w:r>
          </w:p>
        </w:tc>
        <w:tc>
          <w:tcPr>
            <w:tcW w:w="3844" w:type="dxa"/>
            <w:gridSpan w:val="3"/>
            <w:vAlign w:val="top"/>
          </w:tcPr>
          <w:p w14:paraId="4A0594A0">
            <w:pPr>
              <w:pStyle w:val="25"/>
              <w:keepNext w:val="0"/>
              <w:keepLines w:val="0"/>
              <w:pageBreakBefore w:val="0"/>
              <w:widowControl/>
              <w:shd w:val="clear"/>
              <w:kinsoku w:val="0"/>
              <w:wordWrap/>
              <w:overflowPunct/>
              <w:topLinePunct w:val="0"/>
              <w:autoSpaceDE w:val="0"/>
              <w:autoSpaceDN w:val="0"/>
              <w:bidi w:val="0"/>
              <w:adjustRightInd w:val="0"/>
              <w:snapToGrid w:val="0"/>
              <w:spacing w:before="123" w:line="480" w:lineRule="exact"/>
              <w:ind w:left="67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参加过的类似项目名称</w:t>
            </w:r>
          </w:p>
        </w:tc>
        <w:tc>
          <w:tcPr>
            <w:tcW w:w="2058" w:type="dxa"/>
            <w:vAlign w:val="top"/>
          </w:tcPr>
          <w:p w14:paraId="05AFB245">
            <w:pPr>
              <w:pStyle w:val="25"/>
              <w:keepNext w:val="0"/>
              <w:keepLines w:val="0"/>
              <w:pageBreakBefore w:val="0"/>
              <w:widowControl/>
              <w:shd w:val="clear"/>
              <w:kinsoku w:val="0"/>
              <w:wordWrap/>
              <w:overflowPunct/>
              <w:topLinePunct w:val="0"/>
              <w:autoSpaceDE w:val="0"/>
              <w:autoSpaceDN w:val="0"/>
              <w:bidi w:val="0"/>
              <w:adjustRightInd w:val="0"/>
              <w:snapToGrid w:val="0"/>
              <w:spacing w:before="123" w:line="480" w:lineRule="exact"/>
              <w:ind w:left="3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工程概况说明</w:t>
            </w:r>
          </w:p>
        </w:tc>
        <w:tc>
          <w:tcPr>
            <w:tcW w:w="2732" w:type="dxa"/>
            <w:vAlign w:val="top"/>
          </w:tcPr>
          <w:p w14:paraId="26A285E6">
            <w:pPr>
              <w:pStyle w:val="25"/>
              <w:keepNext w:val="0"/>
              <w:keepLines w:val="0"/>
              <w:pageBreakBefore w:val="0"/>
              <w:widowControl/>
              <w:shd w:val="clear"/>
              <w:kinsoku w:val="0"/>
              <w:wordWrap/>
              <w:overflowPunct/>
              <w:topLinePunct w:val="0"/>
              <w:autoSpaceDE w:val="0"/>
              <w:autoSpaceDN w:val="0"/>
              <w:bidi w:val="0"/>
              <w:adjustRightInd w:val="0"/>
              <w:snapToGrid w:val="0"/>
              <w:spacing w:before="124" w:line="480" w:lineRule="exact"/>
              <w:ind w:left="39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发包人及联系电话</w:t>
            </w:r>
          </w:p>
        </w:tc>
      </w:tr>
      <w:tr w14:paraId="73723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1224" w:type="dxa"/>
            <w:vAlign w:val="top"/>
          </w:tcPr>
          <w:p w14:paraId="6A0B81F7">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3844" w:type="dxa"/>
            <w:gridSpan w:val="3"/>
            <w:vAlign w:val="top"/>
          </w:tcPr>
          <w:p w14:paraId="175F60EB">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058" w:type="dxa"/>
            <w:vAlign w:val="top"/>
          </w:tcPr>
          <w:p w14:paraId="3D84F9A4">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732" w:type="dxa"/>
            <w:vAlign w:val="top"/>
          </w:tcPr>
          <w:p w14:paraId="79426FAD">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7ED88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1224" w:type="dxa"/>
            <w:vAlign w:val="top"/>
          </w:tcPr>
          <w:p w14:paraId="4F1BAC3C">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3844" w:type="dxa"/>
            <w:gridSpan w:val="3"/>
            <w:vAlign w:val="top"/>
          </w:tcPr>
          <w:p w14:paraId="4C6B83A3">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058" w:type="dxa"/>
            <w:vAlign w:val="top"/>
          </w:tcPr>
          <w:p w14:paraId="0621B9BC">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732" w:type="dxa"/>
            <w:vAlign w:val="top"/>
          </w:tcPr>
          <w:p w14:paraId="34B40111">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538B9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1224" w:type="dxa"/>
            <w:vAlign w:val="top"/>
          </w:tcPr>
          <w:p w14:paraId="2A1DEE73">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3844" w:type="dxa"/>
            <w:gridSpan w:val="3"/>
            <w:vAlign w:val="top"/>
          </w:tcPr>
          <w:p w14:paraId="04477A48">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058" w:type="dxa"/>
            <w:vAlign w:val="top"/>
          </w:tcPr>
          <w:p w14:paraId="6EF9056A">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732" w:type="dxa"/>
            <w:vAlign w:val="top"/>
          </w:tcPr>
          <w:p w14:paraId="4C05BABF">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2EAB1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1224" w:type="dxa"/>
            <w:vAlign w:val="top"/>
          </w:tcPr>
          <w:p w14:paraId="17A6AEF6">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3844" w:type="dxa"/>
            <w:gridSpan w:val="3"/>
            <w:vAlign w:val="top"/>
          </w:tcPr>
          <w:p w14:paraId="2176D4E0">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058" w:type="dxa"/>
            <w:vAlign w:val="top"/>
          </w:tcPr>
          <w:p w14:paraId="0B21BD42">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732" w:type="dxa"/>
            <w:vAlign w:val="top"/>
          </w:tcPr>
          <w:p w14:paraId="4D53A78E">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2746F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1224" w:type="dxa"/>
            <w:vAlign w:val="top"/>
          </w:tcPr>
          <w:p w14:paraId="42BE49B1">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3844" w:type="dxa"/>
            <w:gridSpan w:val="3"/>
            <w:vAlign w:val="top"/>
          </w:tcPr>
          <w:p w14:paraId="383FDD95">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058" w:type="dxa"/>
            <w:vAlign w:val="top"/>
          </w:tcPr>
          <w:p w14:paraId="4A35B7FA">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732" w:type="dxa"/>
            <w:vAlign w:val="top"/>
          </w:tcPr>
          <w:p w14:paraId="643DB39C">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383CA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1224" w:type="dxa"/>
            <w:vAlign w:val="top"/>
          </w:tcPr>
          <w:p w14:paraId="049C467D">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3844" w:type="dxa"/>
            <w:gridSpan w:val="3"/>
            <w:vAlign w:val="top"/>
          </w:tcPr>
          <w:p w14:paraId="79539AA2">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058" w:type="dxa"/>
            <w:vAlign w:val="top"/>
          </w:tcPr>
          <w:p w14:paraId="0348FF2D">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732" w:type="dxa"/>
            <w:vAlign w:val="top"/>
          </w:tcPr>
          <w:p w14:paraId="7874E49C">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4D348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224" w:type="dxa"/>
            <w:vAlign w:val="top"/>
          </w:tcPr>
          <w:p w14:paraId="44F8B80E">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3844" w:type="dxa"/>
            <w:gridSpan w:val="3"/>
            <w:vAlign w:val="top"/>
          </w:tcPr>
          <w:p w14:paraId="5F578CBC">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058" w:type="dxa"/>
            <w:vAlign w:val="top"/>
          </w:tcPr>
          <w:p w14:paraId="7D600405">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2732" w:type="dxa"/>
            <w:vAlign w:val="top"/>
          </w:tcPr>
          <w:p w14:paraId="35489955">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bl>
    <w:p w14:paraId="13F68535">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p w14:paraId="0FFCC9FC">
      <w:pPr>
        <w:pStyle w:val="11"/>
        <w:keepNext w:val="0"/>
        <w:keepLines w:val="0"/>
        <w:pageBreakBefore w:val="0"/>
        <w:widowControl/>
        <w:shd w:val="clear"/>
        <w:kinsoku w:val="0"/>
        <w:wordWrap/>
        <w:overflowPunct/>
        <w:topLinePunct w:val="0"/>
        <w:autoSpaceDE w:val="0"/>
        <w:autoSpaceDN w:val="0"/>
        <w:bidi w:val="0"/>
        <w:adjustRightInd w:val="0"/>
        <w:snapToGrid w:val="0"/>
        <w:spacing w:before="66" w:line="480" w:lineRule="exact"/>
        <w:ind w:right="16"/>
        <w:jc w:val="left"/>
        <w:textAlignment w:val="baseline"/>
        <w:outlineLvl w:val="9"/>
        <w:rPr>
          <w:rFonts w:hint="eastAsia" w:ascii="仿宋" w:hAnsi="仿宋" w:eastAsia="仿宋" w:cs="仿宋"/>
          <w:b/>
          <w:bCs/>
          <w:color w:val="auto"/>
          <w:spacing w:val="10"/>
          <w:position w:val="14"/>
          <w:sz w:val="24"/>
          <w:szCs w:val="24"/>
          <w:highlight w:val="none"/>
        </w:rPr>
      </w:pPr>
      <w:r>
        <w:rPr>
          <w:rFonts w:hint="eastAsia" w:ascii="仿宋" w:hAnsi="仿宋" w:eastAsia="仿宋" w:cs="仿宋"/>
          <w:b/>
          <w:bCs/>
          <w:color w:val="auto"/>
          <w:spacing w:val="10"/>
          <w:position w:val="14"/>
          <w:sz w:val="24"/>
          <w:szCs w:val="24"/>
          <w:highlight w:val="none"/>
        </w:rPr>
        <w:t>注：</w:t>
      </w:r>
      <w:r>
        <w:rPr>
          <w:rFonts w:hint="eastAsia" w:ascii="仿宋" w:hAnsi="仿宋" w:eastAsia="仿宋" w:cs="仿宋"/>
          <w:color w:val="auto"/>
          <w:spacing w:val="10"/>
          <w:position w:val="14"/>
          <w:sz w:val="24"/>
          <w:szCs w:val="24"/>
          <w:highlight w:val="none"/>
        </w:rPr>
        <w:t xml:space="preserve"> </w:t>
      </w:r>
      <w:r>
        <w:rPr>
          <w:rFonts w:hint="eastAsia" w:ascii="仿宋" w:hAnsi="仿宋" w:eastAsia="仿宋" w:cs="仿宋"/>
          <w:b/>
          <w:bCs/>
          <w:color w:val="auto"/>
          <w:spacing w:val="10"/>
          <w:position w:val="14"/>
          <w:sz w:val="24"/>
          <w:szCs w:val="24"/>
          <w:highlight w:val="none"/>
        </w:rPr>
        <w:t>承包人若需要更换本工程响应文件中原有建造师及人员时须经发包人同意。未经发包人同意，承包人更换人员应承担违约责任。</w:t>
      </w:r>
    </w:p>
    <w:p w14:paraId="33E00A32">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sectPr>
          <w:footerReference r:id="rId20" w:type="default"/>
          <w:pgSz w:w="11906" w:h="16839"/>
          <w:pgMar w:top="1431" w:right="1166" w:bottom="1166" w:left="1087" w:header="0" w:footer="987" w:gutter="0"/>
          <w:pgNumType w:fmt="decimal"/>
          <w:cols w:space="720" w:num="1"/>
        </w:sectPr>
      </w:pPr>
    </w:p>
    <w:p w14:paraId="4D062D4C">
      <w:pPr>
        <w:pStyle w:val="11"/>
        <w:keepNext w:val="0"/>
        <w:keepLines w:val="0"/>
        <w:pageBreakBefore w:val="0"/>
        <w:widowControl/>
        <w:shd w:val="clear"/>
        <w:kinsoku w:val="0"/>
        <w:wordWrap/>
        <w:overflowPunct/>
        <w:topLinePunct w:val="0"/>
        <w:autoSpaceDE w:val="0"/>
        <w:autoSpaceDN w:val="0"/>
        <w:bidi w:val="0"/>
        <w:adjustRightInd w:val="0"/>
        <w:snapToGrid w:val="0"/>
        <w:spacing w:before="166" w:line="480" w:lineRule="exact"/>
        <w:ind w:left="3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附</w:t>
      </w:r>
      <w:r>
        <w:rPr>
          <w:rFonts w:hint="eastAsia" w:ascii="仿宋" w:hAnsi="仿宋" w:eastAsia="仿宋" w:cs="仿宋"/>
          <w:color w:val="auto"/>
          <w:spacing w:val="-25"/>
          <w:sz w:val="24"/>
          <w:szCs w:val="24"/>
          <w:highlight w:val="none"/>
          <w:lang w:val="en-US" w:eastAsia="zh-CN"/>
        </w:rPr>
        <w:t>件</w:t>
      </w:r>
      <w:r>
        <w:rPr>
          <w:rFonts w:hint="eastAsia" w:ascii="仿宋" w:hAnsi="仿宋" w:eastAsia="仿宋" w:cs="仿宋"/>
          <w:color w:val="auto"/>
          <w:spacing w:val="6"/>
          <w:sz w:val="24"/>
          <w:szCs w:val="24"/>
          <w:highlight w:val="none"/>
        </w:rPr>
        <w:t>2：主要项目管理人员简历表</w:t>
      </w:r>
    </w:p>
    <w:p w14:paraId="6B373CF3">
      <w:pPr>
        <w:pStyle w:val="11"/>
        <w:keepNext w:val="0"/>
        <w:keepLines w:val="0"/>
        <w:pageBreakBefore w:val="0"/>
        <w:widowControl/>
        <w:shd w:val="clear"/>
        <w:kinsoku w:val="0"/>
        <w:wordWrap/>
        <w:overflowPunct/>
        <w:topLinePunct w:val="0"/>
        <w:autoSpaceDE w:val="0"/>
        <w:autoSpaceDN w:val="0"/>
        <w:bidi w:val="0"/>
        <w:adjustRightInd w:val="0"/>
        <w:snapToGrid w:val="0"/>
        <w:spacing w:before="173" w:line="480" w:lineRule="exact"/>
        <w:ind w:left="9" w:firstLine="41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主要项目管理人员指项目副经理</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lang w:val="en-US" w:eastAsia="zh-CN"/>
        </w:rPr>
        <w:t>如有</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rPr>
        <w:t>、技术负责人、专职安全生产管理人员等岗位人员。应附人员</w:t>
      </w:r>
      <w:r>
        <w:rPr>
          <w:rFonts w:hint="eastAsia" w:ascii="仿宋" w:hAnsi="仿宋" w:eastAsia="仿宋" w:cs="仿宋"/>
          <w:color w:val="auto"/>
          <w:spacing w:val="8"/>
          <w:sz w:val="24"/>
          <w:szCs w:val="24"/>
          <w:highlight w:val="none"/>
          <w:lang w:val="en-US" w:eastAsia="zh-CN"/>
        </w:rPr>
        <w:t>证件扫描件</w:t>
      </w:r>
      <w:r>
        <w:rPr>
          <w:rFonts w:hint="eastAsia" w:ascii="仿宋" w:hAnsi="仿宋" w:eastAsia="仿宋" w:cs="仿宋"/>
          <w:color w:val="auto"/>
          <w:spacing w:val="8"/>
          <w:sz w:val="24"/>
          <w:szCs w:val="24"/>
          <w:highlight w:val="none"/>
        </w:rPr>
        <w:t>。</w:t>
      </w:r>
    </w:p>
    <w:tbl>
      <w:tblPr>
        <w:tblStyle w:val="26"/>
        <w:tblW w:w="89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2"/>
        <w:gridCol w:w="3447"/>
        <w:gridCol w:w="1270"/>
        <w:gridCol w:w="2321"/>
      </w:tblGrid>
      <w:tr w14:paraId="61444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8980" w:type="dxa"/>
            <w:gridSpan w:val="4"/>
            <w:vAlign w:val="top"/>
          </w:tcPr>
          <w:p w14:paraId="445C5318">
            <w:pPr>
              <w:pStyle w:val="25"/>
              <w:keepNext w:val="0"/>
              <w:keepLines w:val="0"/>
              <w:pageBreakBefore w:val="0"/>
              <w:widowControl/>
              <w:shd w:val="clear"/>
              <w:kinsoku w:val="0"/>
              <w:wordWrap/>
              <w:overflowPunct/>
              <w:topLinePunct w:val="0"/>
              <w:autoSpaceDE w:val="0"/>
              <w:autoSpaceDN w:val="0"/>
              <w:bidi w:val="0"/>
              <w:adjustRightInd w:val="0"/>
              <w:snapToGrid w:val="0"/>
              <w:spacing w:before="190" w:line="480" w:lineRule="exact"/>
              <w:ind w:left="138"/>
              <w:textAlignment w:val="baseline"/>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rPr>
              <w:t>岗位名称</w:t>
            </w:r>
            <w:r>
              <w:rPr>
                <w:rFonts w:hint="eastAsia" w:ascii="仿宋" w:hAnsi="仿宋" w:eastAsia="仿宋" w:cs="仿宋"/>
                <w:color w:val="auto"/>
                <w:spacing w:val="1"/>
                <w:sz w:val="24"/>
                <w:szCs w:val="24"/>
                <w:highlight w:val="none"/>
                <w:lang w:eastAsia="zh-CN"/>
              </w:rPr>
              <w:t>：</w:t>
            </w:r>
          </w:p>
        </w:tc>
      </w:tr>
      <w:tr w14:paraId="012D5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942" w:type="dxa"/>
            <w:vAlign w:val="top"/>
          </w:tcPr>
          <w:p w14:paraId="7F295053">
            <w:pPr>
              <w:pStyle w:val="25"/>
              <w:keepNext w:val="0"/>
              <w:keepLines w:val="0"/>
              <w:pageBreakBefore w:val="0"/>
              <w:widowControl/>
              <w:shd w:val="clear"/>
              <w:kinsoku w:val="0"/>
              <w:wordWrap/>
              <w:overflowPunct/>
              <w:topLinePunct w:val="0"/>
              <w:autoSpaceDE w:val="0"/>
              <w:autoSpaceDN w:val="0"/>
              <w:bidi w:val="0"/>
              <w:adjustRightInd w:val="0"/>
              <w:snapToGrid w:val="0"/>
              <w:spacing w:before="185" w:line="480" w:lineRule="exact"/>
              <w:ind w:left="1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p>
        </w:tc>
        <w:tc>
          <w:tcPr>
            <w:tcW w:w="3447" w:type="dxa"/>
            <w:vAlign w:val="top"/>
          </w:tcPr>
          <w:p w14:paraId="21429243">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70" w:type="dxa"/>
            <w:vAlign w:val="top"/>
          </w:tcPr>
          <w:p w14:paraId="69B3C196">
            <w:pPr>
              <w:pStyle w:val="25"/>
              <w:keepNext w:val="0"/>
              <w:keepLines w:val="0"/>
              <w:pageBreakBefore w:val="0"/>
              <w:widowControl/>
              <w:shd w:val="clear"/>
              <w:kinsoku w:val="0"/>
              <w:wordWrap/>
              <w:overflowPunct/>
              <w:topLinePunct w:val="0"/>
              <w:autoSpaceDE w:val="0"/>
              <w:autoSpaceDN w:val="0"/>
              <w:bidi w:val="0"/>
              <w:adjustRightInd w:val="0"/>
              <w:snapToGrid w:val="0"/>
              <w:spacing w:before="185" w:line="480" w:lineRule="exact"/>
              <w:ind w:left="1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年龄</w:t>
            </w:r>
          </w:p>
        </w:tc>
        <w:tc>
          <w:tcPr>
            <w:tcW w:w="2321" w:type="dxa"/>
            <w:vAlign w:val="top"/>
          </w:tcPr>
          <w:p w14:paraId="5FC9F786">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3D12B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1942" w:type="dxa"/>
            <w:vAlign w:val="top"/>
          </w:tcPr>
          <w:p w14:paraId="0D4111CD">
            <w:pPr>
              <w:pStyle w:val="25"/>
              <w:keepNext w:val="0"/>
              <w:keepLines w:val="0"/>
              <w:pageBreakBefore w:val="0"/>
              <w:widowControl/>
              <w:shd w:val="clear"/>
              <w:kinsoku w:val="0"/>
              <w:wordWrap/>
              <w:overflowPunct/>
              <w:topLinePunct w:val="0"/>
              <w:autoSpaceDE w:val="0"/>
              <w:autoSpaceDN w:val="0"/>
              <w:bidi w:val="0"/>
              <w:adjustRightInd w:val="0"/>
              <w:snapToGrid w:val="0"/>
              <w:spacing w:before="175" w:line="480" w:lineRule="exact"/>
              <w:ind w:lef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性别</w:t>
            </w:r>
          </w:p>
        </w:tc>
        <w:tc>
          <w:tcPr>
            <w:tcW w:w="3447" w:type="dxa"/>
            <w:vAlign w:val="top"/>
          </w:tcPr>
          <w:p w14:paraId="1ED8DAA8">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70" w:type="dxa"/>
            <w:vAlign w:val="top"/>
          </w:tcPr>
          <w:p w14:paraId="7AD0880A">
            <w:pPr>
              <w:pStyle w:val="25"/>
              <w:keepNext w:val="0"/>
              <w:keepLines w:val="0"/>
              <w:pageBreakBefore w:val="0"/>
              <w:widowControl/>
              <w:shd w:val="clear"/>
              <w:kinsoku w:val="0"/>
              <w:wordWrap/>
              <w:overflowPunct/>
              <w:topLinePunct w:val="0"/>
              <w:autoSpaceDE w:val="0"/>
              <w:autoSpaceDN w:val="0"/>
              <w:bidi w:val="0"/>
              <w:adjustRightInd w:val="0"/>
              <w:snapToGrid w:val="0"/>
              <w:spacing w:before="175" w:line="480" w:lineRule="exact"/>
              <w:ind w:lef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毕业学校</w:t>
            </w:r>
          </w:p>
        </w:tc>
        <w:tc>
          <w:tcPr>
            <w:tcW w:w="2321" w:type="dxa"/>
            <w:vAlign w:val="top"/>
          </w:tcPr>
          <w:p w14:paraId="2226B44D">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60E0F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jc w:val="center"/>
        </w:trPr>
        <w:tc>
          <w:tcPr>
            <w:tcW w:w="1942" w:type="dxa"/>
            <w:vAlign w:val="top"/>
          </w:tcPr>
          <w:p w14:paraId="4D0358E1">
            <w:pPr>
              <w:pStyle w:val="25"/>
              <w:keepNext w:val="0"/>
              <w:keepLines w:val="0"/>
              <w:pageBreakBefore w:val="0"/>
              <w:widowControl/>
              <w:shd w:val="clear"/>
              <w:kinsoku w:val="0"/>
              <w:wordWrap/>
              <w:overflowPunct/>
              <w:topLinePunct w:val="0"/>
              <w:autoSpaceDE w:val="0"/>
              <w:autoSpaceDN w:val="0"/>
              <w:bidi w:val="0"/>
              <w:adjustRightInd w:val="0"/>
              <w:snapToGrid w:val="0"/>
              <w:spacing w:before="173" w:line="480" w:lineRule="exact"/>
              <w:ind w:left="11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学历和专业</w:t>
            </w:r>
          </w:p>
        </w:tc>
        <w:tc>
          <w:tcPr>
            <w:tcW w:w="3447" w:type="dxa"/>
            <w:vAlign w:val="top"/>
          </w:tcPr>
          <w:p w14:paraId="1989CD54">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70" w:type="dxa"/>
            <w:vAlign w:val="top"/>
          </w:tcPr>
          <w:p w14:paraId="739AC88F">
            <w:pPr>
              <w:pStyle w:val="25"/>
              <w:keepNext w:val="0"/>
              <w:keepLines w:val="0"/>
              <w:pageBreakBefore w:val="0"/>
              <w:widowControl/>
              <w:shd w:val="clear"/>
              <w:kinsoku w:val="0"/>
              <w:wordWrap/>
              <w:overflowPunct/>
              <w:topLinePunct w:val="0"/>
              <w:autoSpaceDE w:val="0"/>
              <w:autoSpaceDN w:val="0"/>
              <w:bidi w:val="0"/>
              <w:adjustRightInd w:val="0"/>
              <w:snapToGrid w:val="0"/>
              <w:spacing w:before="172" w:line="480" w:lineRule="exact"/>
              <w:ind w:lef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毕业时间</w:t>
            </w:r>
          </w:p>
        </w:tc>
        <w:tc>
          <w:tcPr>
            <w:tcW w:w="2321" w:type="dxa"/>
            <w:vAlign w:val="top"/>
          </w:tcPr>
          <w:p w14:paraId="2B0CDA09">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3A767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jc w:val="center"/>
        </w:trPr>
        <w:tc>
          <w:tcPr>
            <w:tcW w:w="1942" w:type="dxa"/>
            <w:vAlign w:val="top"/>
          </w:tcPr>
          <w:p w14:paraId="6AC23652">
            <w:pPr>
              <w:pStyle w:val="25"/>
              <w:keepNext w:val="0"/>
              <w:keepLines w:val="0"/>
              <w:pageBreakBefore w:val="0"/>
              <w:widowControl/>
              <w:shd w:val="clear"/>
              <w:kinsoku w:val="0"/>
              <w:wordWrap/>
              <w:overflowPunct/>
              <w:topLinePunct w:val="0"/>
              <w:autoSpaceDE w:val="0"/>
              <w:autoSpaceDN w:val="0"/>
              <w:bidi w:val="0"/>
              <w:adjustRightInd w:val="0"/>
              <w:snapToGrid w:val="0"/>
              <w:spacing w:before="173" w:line="480" w:lineRule="exact"/>
              <w:ind w:left="1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拥有的执业资格</w:t>
            </w:r>
          </w:p>
        </w:tc>
        <w:tc>
          <w:tcPr>
            <w:tcW w:w="3447" w:type="dxa"/>
            <w:vAlign w:val="top"/>
          </w:tcPr>
          <w:p w14:paraId="71E3CCD1">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70" w:type="dxa"/>
            <w:vAlign w:val="top"/>
          </w:tcPr>
          <w:p w14:paraId="1D10EE59">
            <w:pPr>
              <w:pStyle w:val="25"/>
              <w:keepNext w:val="0"/>
              <w:keepLines w:val="0"/>
              <w:pageBreakBefore w:val="0"/>
              <w:widowControl/>
              <w:shd w:val="clear"/>
              <w:kinsoku w:val="0"/>
              <w:wordWrap/>
              <w:overflowPunct/>
              <w:topLinePunct w:val="0"/>
              <w:autoSpaceDE w:val="0"/>
              <w:autoSpaceDN w:val="0"/>
              <w:bidi w:val="0"/>
              <w:adjustRightInd w:val="0"/>
              <w:snapToGrid w:val="0"/>
              <w:spacing w:before="173" w:line="480" w:lineRule="exact"/>
              <w:ind w:left="1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专业职称</w:t>
            </w:r>
          </w:p>
        </w:tc>
        <w:tc>
          <w:tcPr>
            <w:tcW w:w="2321" w:type="dxa"/>
            <w:vAlign w:val="top"/>
          </w:tcPr>
          <w:p w14:paraId="1CEC65F9">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3140B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jc w:val="center"/>
        </w:trPr>
        <w:tc>
          <w:tcPr>
            <w:tcW w:w="1942" w:type="dxa"/>
            <w:vAlign w:val="top"/>
          </w:tcPr>
          <w:p w14:paraId="3420B832">
            <w:pPr>
              <w:pStyle w:val="25"/>
              <w:keepNext w:val="0"/>
              <w:keepLines w:val="0"/>
              <w:pageBreakBefore w:val="0"/>
              <w:widowControl/>
              <w:shd w:val="clear"/>
              <w:kinsoku w:val="0"/>
              <w:wordWrap/>
              <w:overflowPunct/>
              <w:topLinePunct w:val="0"/>
              <w:autoSpaceDE w:val="0"/>
              <w:autoSpaceDN w:val="0"/>
              <w:bidi w:val="0"/>
              <w:adjustRightInd w:val="0"/>
              <w:snapToGrid w:val="0"/>
              <w:spacing w:before="185" w:line="480" w:lineRule="exact"/>
              <w:ind w:left="115"/>
              <w:jc w:val="center"/>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执业资格证书编号</w:t>
            </w:r>
          </w:p>
        </w:tc>
        <w:tc>
          <w:tcPr>
            <w:tcW w:w="3447" w:type="dxa"/>
            <w:vAlign w:val="top"/>
          </w:tcPr>
          <w:p w14:paraId="42D07B0A">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c>
          <w:tcPr>
            <w:tcW w:w="1270" w:type="dxa"/>
            <w:vAlign w:val="top"/>
          </w:tcPr>
          <w:p w14:paraId="5F920754">
            <w:pPr>
              <w:pStyle w:val="25"/>
              <w:keepNext w:val="0"/>
              <w:keepLines w:val="0"/>
              <w:pageBreakBefore w:val="0"/>
              <w:widowControl/>
              <w:shd w:val="clear"/>
              <w:kinsoku w:val="0"/>
              <w:wordWrap/>
              <w:overflowPunct/>
              <w:topLinePunct w:val="0"/>
              <w:autoSpaceDE w:val="0"/>
              <w:autoSpaceDN w:val="0"/>
              <w:bidi w:val="0"/>
              <w:adjustRightInd w:val="0"/>
              <w:snapToGrid w:val="0"/>
              <w:spacing w:before="185" w:line="480" w:lineRule="exact"/>
              <w:ind w:left="1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工作年限</w:t>
            </w:r>
          </w:p>
        </w:tc>
        <w:tc>
          <w:tcPr>
            <w:tcW w:w="2321" w:type="dxa"/>
            <w:vAlign w:val="top"/>
          </w:tcPr>
          <w:p w14:paraId="7C5F58D5">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rPr>
            </w:pPr>
          </w:p>
        </w:tc>
      </w:tr>
      <w:tr w14:paraId="63FF4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6" w:hRule="atLeast"/>
          <w:jc w:val="center"/>
        </w:trPr>
        <w:tc>
          <w:tcPr>
            <w:tcW w:w="8980" w:type="dxa"/>
            <w:gridSpan w:val="4"/>
            <w:vAlign w:val="top"/>
          </w:tcPr>
          <w:p w14:paraId="54BBA13A">
            <w:pPr>
              <w:keepNext w:val="0"/>
              <w:keepLines w:val="0"/>
              <w:pageBreakBefore w:val="0"/>
              <w:widowControl/>
              <w:shd w:val="clear"/>
              <w:kinsoku w:val="0"/>
              <w:wordWrap/>
              <w:overflowPunct/>
              <w:topLinePunct w:val="0"/>
              <w:autoSpaceDE w:val="0"/>
              <w:autoSpaceDN w:val="0"/>
              <w:bidi w:val="0"/>
              <w:adjustRightInd w:val="0"/>
              <w:snapToGrid w:val="0"/>
              <w:spacing w:line="480" w:lineRule="exact"/>
              <w:textAlignment w:val="baseline"/>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主要工作业绩及担任的主要工作：</w:t>
            </w:r>
          </w:p>
        </w:tc>
      </w:tr>
    </w:tbl>
    <w:p w14:paraId="7368B592">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bCs/>
          <w:color w:val="auto"/>
          <w:sz w:val="24"/>
          <w:szCs w:val="24"/>
          <w:highlight w:val="none"/>
          <w:lang w:val="en-US" w:eastAsia="zh-CN"/>
        </w:rPr>
      </w:pPr>
    </w:p>
    <w:p w14:paraId="1FAA16E8">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bCs/>
          <w:color w:val="auto"/>
          <w:sz w:val="24"/>
          <w:szCs w:val="24"/>
          <w:highlight w:val="none"/>
          <w:lang w:val="en-US" w:eastAsia="zh-CN"/>
        </w:rPr>
      </w:pPr>
    </w:p>
    <w:p w14:paraId="0D7258A8">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bCs/>
          <w:color w:val="auto"/>
          <w:sz w:val="24"/>
          <w:szCs w:val="24"/>
          <w:highlight w:val="none"/>
          <w:lang w:val="en-US" w:eastAsia="zh-CN"/>
        </w:rPr>
      </w:pPr>
    </w:p>
    <w:p w14:paraId="297EA64D">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bCs/>
          <w:color w:val="auto"/>
          <w:sz w:val="24"/>
          <w:szCs w:val="24"/>
          <w:highlight w:val="none"/>
          <w:lang w:val="en-US" w:eastAsia="zh-CN"/>
        </w:rPr>
      </w:pPr>
    </w:p>
    <w:p w14:paraId="01D44014">
      <w:pPr>
        <w:pStyle w:val="27"/>
        <w:keepLines w:val="0"/>
        <w:pageBreakBefore w:val="0"/>
        <w:shd w:val="clear" w:color="auto" w:fill="auto"/>
        <w:wordWrap/>
        <w:topLinePunct w:val="0"/>
        <w:bidi w:val="0"/>
        <w:spacing w:line="480" w:lineRule="exact"/>
        <w:jc w:val="center"/>
        <w:outlineLvl w:val="9"/>
        <w:rPr>
          <w:rFonts w:hint="eastAsia" w:ascii="仿宋" w:hAnsi="仿宋" w:eastAsia="仿宋" w:cs="仿宋"/>
          <w:b/>
          <w:bCs/>
          <w:color w:val="auto"/>
          <w:sz w:val="24"/>
          <w:szCs w:val="24"/>
          <w:highlight w:val="none"/>
          <w:lang w:val="en-US" w:eastAsia="zh-CN"/>
        </w:rPr>
      </w:pPr>
    </w:p>
    <w:p w14:paraId="10DD91CA">
      <w:pPr>
        <w:pStyle w:val="27"/>
        <w:keepLines w:val="0"/>
        <w:pageBreakBefore w:val="0"/>
        <w:shd w:val="clear" w:color="auto" w:fill="auto"/>
        <w:wordWrap/>
        <w:topLinePunct w:val="0"/>
        <w:bidi w:val="0"/>
        <w:spacing w:line="480" w:lineRule="exact"/>
        <w:jc w:val="center"/>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技术部分</w:t>
      </w:r>
    </w:p>
    <w:p w14:paraId="1796CE76">
      <w:pPr>
        <w:pStyle w:val="27"/>
        <w:keepLines w:val="0"/>
        <w:pageBreakBefore w:val="0"/>
        <w:shd w:val="clear" w:color="auto" w:fill="auto"/>
        <w:wordWrap/>
        <w:topLinePunct w:val="0"/>
        <w:bidi w:val="0"/>
        <w:spacing w:line="480" w:lineRule="exact"/>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1、企业</w:t>
      </w:r>
      <w:r>
        <w:rPr>
          <w:rFonts w:hint="eastAsia" w:ascii="仿宋" w:hAnsi="仿宋" w:eastAsia="仿宋" w:cs="仿宋"/>
          <w:b/>
          <w:color w:val="auto"/>
          <w:sz w:val="24"/>
          <w:szCs w:val="24"/>
          <w:highlight w:val="none"/>
        </w:rPr>
        <w:t>项目业绩表</w:t>
      </w:r>
      <w:bookmarkEnd w:id="1392"/>
      <w:bookmarkEnd w:id="1393"/>
    </w:p>
    <w:p w14:paraId="5E0AEED3">
      <w:pPr>
        <w:pStyle w:val="27"/>
        <w:keepLines w:val="0"/>
        <w:pageBreakBefore w:val="0"/>
        <w:shd w:val="clear" w:color="auto" w:fill="auto"/>
        <w:wordWrap/>
        <w:topLinePunct w:val="0"/>
        <w:bidi w:val="0"/>
        <w:spacing w:line="480" w:lineRule="exact"/>
        <w:jc w:val="center"/>
        <w:rPr>
          <w:rFonts w:hint="eastAsia" w:ascii="仿宋" w:hAnsi="仿宋" w:eastAsia="仿宋" w:cs="仿宋"/>
          <w:color w:val="auto"/>
          <w:sz w:val="24"/>
          <w:szCs w:val="24"/>
          <w:highlight w:val="none"/>
        </w:rPr>
      </w:pPr>
    </w:p>
    <w:p w14:paraId="2066C970">
      <w:pPr>
        <w:pStyle w:val="27"/>
        <w:keepLines w:val="0"/>
        <w:pageBreakBefore w:val="0"/>
        <w:shd w:val="clear" w:color="auto" w:fill="auto"/>
        <w:wordWrap/>
        <w:topLinePunct w:val="0"/>
        <w:bidi w:val="0"/>
        <w:spacing w:line="480" w:lineRule="exact"/>
        <w:ind w:left="239" w:leftChars="114" w:firstLine="931" w:firstLineChars="38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项目名称：                         </w:t>
      </w:r>
      <w:r>
        <w:rPr>
          <w:rFonts w:hint="eastAsia" w:ascii="仿宋" w:hAnsi="仿宋" w:eastAsia="仿宋" w:cs="仿宋"/>
          <w:color w:val="auto"/>
          <w:sz w:val="24"/>
          <w:szCs w:val="24"/>
          <w:highlight w:val="none"/>
        </w:rPr>
        <w:t xml:space="preserve">                                                          </w:t>
      </w:r>
    </w:p>
    <w:tbl>
      <w:tblPr>
        <w:tblStyle w:val="20"/>
        <w:tblW w:w="92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815"/>
        <w:gridCol w:w="1920"/>
        <w:gridCol w:w="2070"/>
        <w:gridCol w:w="1335"/>
        <w:gridCol w:w="1485"/>
      </w:tblGrid>
      <w:tr w14:paraId="4391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78" w:type="dxa"/>
            <w:noWrap w:val="0"/>
            <w:vAlign w:val="center"/>
          </w:tcPr>
          <w:p w14:paraId="34751EEB">
            <w:pPr>
              <w:pStyle w:val="27"/>
              <w:keepLines w:val="0"/>
              <w:pageBreakBefore w:val="0"/>
              <w:shd w:val="clear" w:color="auto" w:fill="auto"/>
              <w:wordWrap/>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15" w:type="dxa"/>
            <w:noWrap w:val="0"/>
            <w:vAlign w:val="center"/>
          </w:tcPr>
          <w:p w14:paraId="452B01E8">
            <w:pPr>
              <w:pStyle w:val="27"/>
              <w:keepLines w:val="0"/>
              <w:pageBreakBefore w:val="0"/>
              <w:shd w:val="clear" w:color="auto" w:fill="auto"/>
              <w:wordWrap/>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920" w:type="dxa"/>
            <w:noWrap w:val="0"/>
            <w:vAlign w:val="center"/>
          </w:tcPr>
          <w:p w14:paraId="3B33BB14">
            <w:pPr>
              <w:pStyle w:val="27"/>
              <w:keepLines w:val="0"/>
              <w:pageBreakBefore w:val="0"/>
              <w:shd w:val="clear" w:color="auto" w:fill="auto"/>
              <w:wordWrap/>
              <w:topLinePunct w:val="0"/>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项目简介</w:t>
            </w:r>
          </w:p>
        </w:tc>
        <w:tc>
          <w:tcPr>
            <w:tcW w:w="2070" w:type="dxa"/>
            <w:noWrap w:val="0"/>
            <w:vAlign w:val="center"/>
          </w:tcPr>
          <w:p w14:paraId="31C2E599">
            <w:pPr>
              <w:pStyle w:val="27"/>
              <w:keepLines w:val="0"/>
              <w:pageBreakBefore w:val="0"/>
              <w:shd w:val="clear" w:color="auto" w:fill="auto"/>
              <w:wordWrap/>
              <w:topLinePunct w:val="0"/>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合同金额（元）</w:t>
            </w:r>
          </w:p>
        </w:tc>
        <w:tc>
          <w:tcPr>
            <w:tcW w:w="1335" w:type="dxa"/>
            <w:noWrap w:val="0"/>
            <w:vAlign w:val="center"/>
          </w:tcPr>
          <w:p w14:paraId="40485DB0">
            <w:pPr>
              <w:pStyle w:val="27"/>
              <w:keepLines w:val="0"/>
              <w:pageBreakBefore w:val="0"/>
              <w:shd w:val="clear" w:color="auto" w:fill="auto"/>
              <w:wordWrap/>
              <w:topLinePunct w:val="0"/>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目前状态</w:t>
            </w:r>
          </w:p>
        </w:tc>
        <w:tc>
          <w:tcPr>
            <w:tcW w:w="1485" w:type="dxa"/>
            <w:noWrap w:val="0"/>
            <w:vAlign w:val="center"/>
          </w:tcPr>
          <w:p w14:paraId="01C2ECDC">
            <w:pPr>
              <w:pStyle w:val="27"/>
              <w:keepLines w:val="0"/>
              <w:pageBreakBefore w:val="0"/>
              <w:shd w:val="clear" w:color="auto" w:fill="auto"/>
              <w:wordWrap/>
              <w:topLinePunct w:val="0"/>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项目时间</w:t>
            </w:r>
          </w:p>
        </w:tc>
      </w:tr>
      <w:tr w14:paraId="56C3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noWrap w:val="0"/>
            <w:vAlign w:val="top"/>
          </w:tcPr>
          <w:p w14:paraId="20F9990B">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815" w:type="dxa"/>
            <w:noWrap w:val="0"/>
            <w:vAlign w:val="top"/>
          </w:tcPr>
          <w:p w14:paraId="2ECF8067">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920" w:type="dxa"/>
            <w:noWrap w:val="0"/>
            <w:vAlign w:val="top"/>
          </w:tcPr>
          <w:p w14:paraId="178EE955">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2070" w:type="dxa"/>
            <w:noWrap w:val="0"/>
            <w:vAlign w:val="top"/>
          </w:tcPr>
          <w:p w14:paraId="11363B0D">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335" w:type="dxa"/>
            <w:noWrap w:val="0"/>
            <w:vAlign w:val="top"/>
          </w:tcPr>
          <w:p w14:paraId="0BF2C661">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485" w:type="dxa"/>
            <w:noWrap w:val="0"/>
            <w:vAlign w:val="top"/>
          </w:tcPr>
          <w:p w14:paraId="3F4C3469">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r>
      <w:tr w14:paraId="7234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noWrap w:val="0"/>
            <w:vAlign w:val="top"/>
          </w:tcPr>
          <w:p w14:paraId="2005DEA8">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815" w:type="dxa"/>
            <w:noWrap w:val="0"/>
            <w:vAlign w:val="top"/>
          </w:tcPr>
          <w:p w14:paraId="1BAEBA90">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920" w:type="dxa"/>
            <w:noWrap w:val="0"/>
            <w:vAlign w:val="top"/>
          </w:tcPr>
          <w:p w14:paraId="3B3A6FE7">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2070" w:type="dxa"/>
            <w:noWrap w:val="0"/>
            <w:vAlign w:val="top"/>
          </w:tcPr>
          <w:p w14:paraId="7B514DE9">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335" w:type="dxa"/>
            <w:noWrap w:val="0"/>
            <w:vAlign w:val="top"/>
          </w:tcPr>
          <w:p w14:paraId="4AC2E06D">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485" w:type="dxa"/>
            <w:noWrap w:val="0"/>
            <w:vAlign w:val="top"/>
          </w:tcPr>
          <w:p w14:paraId="59E47EE7">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r>
      <w:tr w14:paraId="6139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noWrap w:val="0"/>
            <w:vAlign w:val="top"/>
          </w:tcPr>
          <w:p w14:paraId="3E869C98">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815" w:type="dxa"/>
            <w:noWrap w:val="0"/>
            <w:vAlign w:val="top"/>
          </w:tcPr>
          <w:p w14:paraId="2395B4DE">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920" w:type="dxa"/>
            <w:noWrap w:val="0"/>
            <w:vAlign w:val="top"/>
          </w:tcPr>
          <w:p w14:paraId="3640F498">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2070" w:type="dxa"/>
            <w:noWrap w:val="0"/>
            <w:vAlign w:val="top"/>
          </w:tcPr>
          <w:p w14:paraId="0CAF6EEA">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335" w:type="dxa"/>
            <w:noWrap w:val="0"/>
            <w:vAlign w:val="top"/>
          </w:tcPr>
          <w:p w14:paraId="044F70CE">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485" w:type="dxa"/>
            <w:noWrap w:val="0"/>
            <w:vAlign w:val="top"/>
          </w:tcPr>
          <w:p w14:paraId="54DB09E3">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r>
      <w:tr w14:paraId="088A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noWrap w:val="0"/>
            <w:vAlign w:val="top"/>
          </w:tcPr>
          <w:p w14:paraId="38E2ACFF">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815" w:type="dxa"/>
            <w:noWrap w:val="0"/>
            <w:vAlign w:val="top"/>
          </w:tcPr>
          <w:p w14:paraId="58ED49DF">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920" w:type="dxa"/>
            <w:noWrap w:val="0"/>
            <w:vAlign w:val="top"/>
          </w:tcPr>
          <w:p w14:paraId="5E6DEE6F">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2070" w:type="dxa"/>
            <w:noWrap w:val="0"/>
            <w:vAlign w:val="top"/>
          </w:tcPr>
          <w:p w14:paraId="1857F3C6">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335" w:type="dxa"/>
            <w:noWrap w:val="0"/>
            <w:vAlign w:val="top"/>
          </w:tcPr>
          <w:p w14:paraId="207342BC">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485" w:type="dxa"/>
            <w:noWrap w:val="0"/>
            <w:vAlign w:val="top"/>
          </w:tcPr>
          <w:p w14:paraId="27A84F71">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r>
      <w:tr w14:paraId="2BCF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noWrap w:val="0"/>
            <w:vAlign w:val="top"/>
          </w:tcPr>
          <w:p w14:paraId="291D5E10">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815" w:type="dxa"/>
            <w:noWrap w:val="0"/>
            <w:vAlign w:val="top"/>
          </w:tcPr>
          <w:p w14:paraId="50D1E2CE">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920" w:type="dxa"/>
            <w:noWrap w:val="0"/>
            <w:vAlign w:val="top"/>
          </w:tcPr>
          <w:p w14:paraId="6ABA575B">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2070" w:type="dxa"/>
            <w:noWrap w:val="0"/>
            <w:vAlign w:val="top"/>
          </w:tcPr>
          <w:p w14:paraId="4565AF85">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335" w:type="dxa"/>
            <w:noWrap w:val="0"/>
            <w:vAlign w:val="top"/>
          </w:tcPr>
          <w:p w14:paraId="090F8458">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485" w:type="dxa"/>
            <w:noWrap w:val="0"/>
            <w:vAlign w:val="top"/>
          </w:tcPr>
          <w:p w14:paraId="62335FC1">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r>
      <w:tr w14:paraId="3A55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noWrap w:val="0"/>
            <w:vAlign w:val="top"/>
          </w:tcPr>
          <w:p w14:paraId="68A75B5C">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815" w:type="dxa"/>
            <w:noWrap w:val="0"/>
            <w:vAlign w:val="top"/>
          </w:tcPr>
          <w:p w14:paraId="24F736D7">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920" w:type="dxa"/>
            <w:noWrap w:val="0"/>
            <w:vAlign w:val="top"/>
          </w:tcPr>
          <w:p w14:paraId="178720B0">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2070" w:type="dxa"/>
            <w:noWrap w:val="0"/>
            <w:vAlign w:val="top"/>
          </w:tcPr>
          <w:p w14:paraId="47BBA482">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335" w:type="dxa"/>
            <w:noWrap w:val="0"/>
            <w:vAlign w:val="top"/>
          </w:tcPr>
          <w:p w14:paraId="2CB4F8F6">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485" w:type="dxa"/>
            <w:noWrap w:val="0"/>
            <w:vAlign w:val="top"/>
          </w:tcPr>
          <w:p w14:paraId="5B9E0B29">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r>
      <w:tr w14:paraId="4F16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noWrap w:val="0"/>
            <w:vAlign w:val="top"/>
          </w:tcPr>
          <w:p w14:paraId="5DFBF052">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815" w:type="dxa"/>
            <w:noWrap w:val="0"/>
            <w:vAlign w:val="top"/>
          </w:tcPr>
          <w:p w14:paraId="138F54A0">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920" w:type="dxa"/>
            <w:noWrap w:val="0"/>
            <w:vAlign w:val="top"/>
          </w:tcPr>
          <w:p w14:paraId="5E936146">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2070" w:type="dxa"/>
            <w:noWrap w:val="0"/>
            <w:vAlign w:val="top"/>
          </w:tcPr>
          <w:p w14:paraId="177FCE3D">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335" w:type="dxa"/>
            <w:noWrap w:val="0"/>
            <w:vAlign w:val="top"/>
          </w:tcPr>
          <w:p w14:paraId="4D58FB51">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485" w:type="dxa"/>
            <w:noWrap w:val="0"/>
            <w:vAlign w:val="top"/>
          </w:tcPr>
          <w:p w14:paraId="76A197B2">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r>
      <w:tr w14:paraId="54B5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78" w:type="dxa"/>
            <w:noWrap w:val="0"/>
            <w:vAlign w:val="top"/>
          </w:tcPr>
          <w:p w14:paraId="69BF51D4">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815" w:type="dxa"/>
            <w:noWrap w:val="0"/>
            <w:vAlign w:val="top"/>
          </w:tcPr>
          <w:p w14:paraId="0CC3AD69">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920" w:type="dxa"/>
            <w:noWrap w:val="0"/>
            <w:vAlign w:val="top"/>
          </w:tcPr>
          <w:p w14:paraId="3707B6AC">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2070" w:type="dxa"/>
            <w:noWrap w:val="0"/>
            <w:vAlign w:val="top"/>
          </w:tcPr>
          <w:p w14:paraId="12A22FF2">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335" w:type="dxa"/>
            <w:noWrap w:val="0"/>
            <w:vAlign w:val="top"/>
          </w:tcPr>
          <w:p w14:paraId="6848286B">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c>
          <w:tcPr>
            <w:tcW w:w="1485" w:type="dxa"/>
            <w:noWrap w:val="0"/>
            <w:vAlign w:val="top"/>
          </w:tcPr>
          <w:p w14:paraId="5E90E2C2">
            <w:pPr>
              <w:pStyle w:val="27"/>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tc>
      </w:tr>
    </w:tbl>
    <w:p w14:paraId="605FB091">
      <w:pPr>
        <w:pStyle w:val="11"/>
        <w:keepLines w:val="0"/>
        <w:pageBreakBefore w:val="0"/>
        <w:shd w:val="clear" w:color="auto" w:fill="auto"/>
        <w:wordWrap/>
        <w:topLinePunct w:val="0"/>
        <w:bidi w:val="0"/>
        <w:spacing w:line="48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val="0"/>
          <w:bCs w:val="0"/>
          <w:color w:val="auto"/>
          <w:sz w:val="24"/>
          <w:szCs w:val="24"/>
          <w:highlight w:val="none"/>
        </w:rPr>
        <w:t xml:space="preserve"> 注：</w:t>
      </w:r>
      <w:r>
        <w:rPr>
          <w:rFonts w:hint="eastAsia" w:ascii="仿宋" w:hAnsi="仿宋" w:eastAsia="仿宋" w:cs="仿宋"/>
          <w:b w:val="0"/>
          <w:bCs w:val="0"/>
          <w:color w:val="auto"/>
          <w:sz w:val="24"/>
          <w:szCs w:val="24"/>
          <w:highlight w:val="none"/>
          <w:lang w:val="en-US" w:eastAsia="zh-CN"/>
        </w:rPr>
        <w:t>供应商企业须提供中标（成交）通知书和合同协议书等业绩证明材料复印件。</w:t>
      </w:r>
    </w:p>
    <w:p w14:paraId="0E2FE456">
      <w:pPr>
        <w:pStyle w:val="11"/>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2D4C3E07">
      <w:pPr>
        <w:keepLines w:val="0"/>
        <w:pageBreakBefore w:val="0"/>
        <w:shd w:val="clear" w:color="auto" w:fill="auto"/>
        <w:wordWrap/>
        <w:topLinePunct w:val="0"/>
        <w:bidi w:val="0"/>
        <w:spacing w:line="480" w:lineRule="exact"/>
        <w:ind w:firstLine="5760" w:firstLineChars="2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供应商名称（盖章）：                            </w:t>
      </w:r>
    </w:p>
    <w:p w14:paraId="32922CE4">
      <w:pPr>
        <w:keepLines w:val="0"/>
        <w:pageBreakBefore w:val="0"/>
        <w:shd w:val="clear" w:color="auto" w:fill="auto"/>
        <w:wordWrap/>
        <w:topLinePunct w:val="0"/>
        <w:bidi w:val="0"/>
        <w:snapToGrid w:val="0"/>
        <w:spacing w:before="50" w:after="50" w:line="480" w:lineRule="exact"/>
        <w:ind w:left="6335" w:leftChars="331" w:right="-817" w:rightChars="-389" w:hanging="5640" w:hangingChars="235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val="en-US" w:eastAsia="zh-CN"/>
        </w:rPr>
        <w:t>日</w:t>
      </w:r>
    </w:p>
    <w:p w14:paraId="49D4E71D">
      <w:pPr>
        <w:keepLines w:val="0"/>
        <w:pageBreakBefore w:val="0"/>
        <w:shd w:val="clear" w:color="auto" w:fill="auto"/>
        <w:wordWrap/>
        <w:topLinePunct w:val="0"/>
        <w:bidi w:val="0"/>
        <w:spacing w:line="480" w:lineRule="exact"/>
        <w:ind w:firstLine="482" w:firstLineChars="200"/>
        <w:rPr>
          <w:rFonts w:hint="eastAsia" w:ascii="仿宋" w:hAnsi="仿宋" w:eastAsia="仿宋" w:cs="仿宋"/>
          <w:b/>
          <w:color w:val="auto"/>
          <w:kern w:val="0"/>
          <w:sz w:val="24"/>
          <w:szCs w:val="24"/>
          <w:highlight w:val="none"/>
        </w:rPr>
      </w:pPr>
    </w:p>
    <w:p w14:paraId="3AE0F175">
      <w:pPr>
        <w:keepLines w:val="0"/>
        <w:pageBreakBefore w:val="0"/>
        <w:shd w:val="clear" w:color="auto" w:fill="auto"/>
        <w:wordWrap/>
        <w:topLinePunct w:val="0"/>
        <w:bidi w:val="0"/>
        <w:spacing w:line="480" w:lineRule="exact"/>
        <w:ind w:firstLine="482" w:firstLineChars="200"/>
        <w:rPr>
          <w:rFonts w:hint="eastAsia" w:ascii="仿宋" w:hAnsi="仿宋" w:eastAsia="仿宋" w:cs="仿宋"/>
          <w:b/>
          <w:color w:val="auto"/>
          <w:kern w:val="0"/>
          <w:sz w:val="24"/>
          <w:szCs w:val="24"/>
          <w:highlight w:val="none"/>
        </w:rPr>
      </w:pPr>
    </w:p>
    <w:p w14:paraId="5D6866E3">
      <w:pPr>
        <w:keepLines w:val="0"/>
        <w:pageBreakBefore w:val="0"/>
        <w:shd w:val="clear" w:color="auto" w:fill="auto"/>
        <w:wordWrap/>
        <w:topLinePunct w:val="0"/>
        <w:bidi w:val="0"/>
        <w:spacing w:line="480" w:lineRule="exact"/>
        <w:ind w:firstLine="482" w:firstLineChars="200"/>
        <w:rPr>
          <w:rFonts w:hint="eastAsia" w:ascii="仿宋" w:hAnsi="仿宋" w:eastAsia="仿宋" w:cs="仿宋"/>
          <w:b/>
          <w:color w:val="auto"/>
          <w:kern w:val="0"/>
          <w:sz w:val="24"/>
          <w:szCs w:val="24"/>
          <w:highlight w:val="none"/>
        </w:rPr>
      </w:pPr>
    </w:p>
    <w:p w14:paraId="2481B36B">
      <w:pPr>
        <w:keepLines w:val="0"/>
        <w:pageBreakBefore w:val="0"/>
        <w:shd w:val="clear" w:color="auto" w:fill="auto"/>
        <w:wordWrap/>
        <w:topLinePunct w:val="0"/>
        <w:bidi w:val="0"/>
        <w:spacing w:line="480" w:lineRule="exact"/>
        <w:ind w:firstLine="482" w:firstLineChars="200"/>
        <w:rPr>
          <w:rFonts w:hint="eastAsia" w:ascii="仿宋" w:hAnsi="仿宋" w:eastAsia="仿宋" w:cs="仿宋"/>
          <w:b/>
          <w:color w:val="auto"/>
          <w:kern w:val="0"/>
          <w:sz w:val="24"/>
          <w:szCs w:val="24"/>
          <w:highlight w:val="none"/>
        </w:rPr>
      </w:pPr>
    </w:p>
    <w:p w14:paraId="0EF6C92F">
      <w:pPr>
        <w:keepLines w:val="0"/>
        <w:pageBreakBefore w:val="0"/>
        <w:shd w:val="clear" w:color="auto" w:fill="auto"/>
        <w:wordWrap/>
        <w:topLinePunct w:val="0"/>
        <w:bidi w:val="0"/>
        <w:spacing w:line="480" w:lineRule="exact"/>
        <w:ind w:firstLine="482" w:firstLineChars="200"/>
        <w:rPr>
          <w:rFonts w:hint="eastAsia" w:ascii="仿宋" w:hAnsi="仿宋" w:eastAsia="仿宋" w:cs="仿宋"/>
          <w:b/>
          <w:color w:val="auto"/>
          <w:kern w:val="0"/>
          <w:sz w:val="24"/>
          <w:szCs w:val="24"/>
          <w:highlight w:val="none"/>
        </w:rPr>
      </w:pPr>
    </w:p>
    <w:p w14:paraId="055FAD5A">
      <w:pPr>
        <w:pStyle w:val="27"/>
        <w:keepLines w:val="0"/>
        <w:pageBreakBefore w:val="0"/>
        <w:shd w:val="clear" w:color="auto" w:fill="auto"/>
        <w:wordWrap/>
        <w:topLinePunct w:val="0"/>
        <w:bidi w:val="0"/>
        <w:spacing w:line="480" w:lineRule="exact"/>
        <w:rPr>
          <w:rFonts w:hint="eastAsia" w:ascii="仿宋" w:hAnsi="仿宋" w:eastAsia="仿宋" w:cs="仿宋"/>
          <w:bCs/>
          <w:color w:val="auto"/>
          <w:sz w:val="24"/>
          <w:szCs w:val="24"/>
          <w:highlight w:val="none"/>
        </w:rPr>
      </w:pPr>
    </w:p>
    <w:p w14:paraId="5F87A803">
      <w:pPr>
        <w:pStyle w:val="27"/>
        <w:keepLines w:val="0"/>
        <w:pageBreakBefore w:val="0"/>
        <w:shd w:val="clear" w:color="auto" w:fill="auto"/>
        <w:wordWrap/>
        <w:topLinePunct w:val="0"/>
        <w:bidi w:val="0"/>
        <w:spacing w:line="480" w:lineRule="exact"/>
        <w:rPr>
          <w:rFonts w:hint="eastAsia" w:ascii="仿宋" w:hAnsi="仿宋" w:eastAsia="仿宋" w:cs="仿宋"/>
          <w:bCs/>
          <w:color w:val="auto"/>
          <w:sz w:val="24"/>
          <w:szCs w:val="24"/>
          <w:highlight w:val="none"/>
        </w:rPr>
      </w:pPr>
    </w:p>
    <w:p w14:paraId="3F0724A0">
      <w:pPr>
        <w:pStyle w:val="27"/>
        <w:keepLines w:val="0"/>
        <w:pageBreakBefore w:val="0"/>
        <w:shd w:val="clear" w:color="auto" w:fill="auto"/>
        <w:wordWrap/>
        <w:topLinePunct w:val="0"/>
        <w:bidi w:val="0"/>
        <w:spacing w:line="480" w:lineRule="exact"/>
        <w:rPr>
          <w:rFonts w:hint="eastAsia" w:ascii="仿宋" w:hAnsi="仿宋" w:eastAsia="仿宋" w:cs="仿宋"/>
          <w:bCs/>
          <w:color w:val="auto"/>
          <w:sz w:val="24"/>
          <w:szCs w:val="24"/>
          <w:highlight w:val="none"/>
        </w:rPr>
      </w:pPr>
    </w:p>
    <w:p w14:paraId="14B09C5B">
      <w:pPr>
        <w:pStyle w:val="27"/>
        <w:keepLines w:val="0"/>
        <w:pageBreakBefore w:val="0"/>
        <w:shd w:val="clear" w:color="auto" w:fill="auto"/>
        <w:wordWrap/>
        <w:topLinePunct w:val="0"/>
        <w:bidi w:val="0"/>
        <w:spacing w:line="480" w:lineRule="exact"/>
        <w:rPr>
          <w:rFonts w:hint="eastAsia" w:ascii="仿宋" w:hAnsi="仿宋" w:eastAsia="仿宋" w:cs="仿宋"/>
          <w:bCs/>
          <w:color w:val="auto"/>
          <w:sz w:val="24"/>
          <w:szCs w:val="24"/>
          <w:highlight w:val="none"/>
        </w:rPr>
      </w:pPr>
    </w:p>
    <w:p w14:paraId="679E15D5">
      <w:pPr>
        <w:pStyle w:val="31"/>
        <w:keepLines w:val="0"/>
        <w:pageBreakBefore w:val="0"/>
        <w:numPr>
          <w:ilvl w:val="0"/>
          <w:numId w:val="0"/>
        </w:numPr>
        <w:shd w:val="clear" w:color="auto" w:fill="auto"/>
        <w:wordWrap/>
        <w:topLinePunct w:val="0"/>
        <w:bidi w:val="0"/>
        <w:spacing w:line="480" w:lineRule="exact"/>
        <w:jc w:val="both"/>
        <w:outlineLvl w:val="0"/>
        <w:rPr>
          <w:rFonts w:hint="eastAsia" w:ascii="仿宋" w:hAnsi="仿宋" w:eastAsia="仿宋" w:cs="仿宋"/>
          <w:b/>
          <w:bCs w:val="0"/>
          <w:color w:val="auto"/>
          <w:sz w:val="24"/>
          <w:szCs w:val="24"/>
          <w:highlight w:val="none"/>
        </w:rPr>
      </w:pPr>
      <w:bookmarkStart w:id="1394" w:name="_Toc18551"/>
      <w:bookmarkStart w:id="1395" w:name="_Toc9396"/>
      <w:r>
        <w:rPr>
          <w:rFonts w:hint="eastAsia" w:ascii="仿宋" w:hAnsi="仿宋" w:eastAsia="仿宋" w:cs="仿宋"/>
          <w:b/>
          <w:color w:val="auto"/>
          <w:sz w:val="24"/>
          <w:szCs w:val="24"/>
          <w:highlight w:val="none"/>
          <w:lang w:val="en-US" w:eastAsia="zh-CN"/>
        </w:rPr>
        <w:t>2</w:t>
      </w:r>
      <w:r>
        <w:rPr>
          <w:rFonts w:hint="eastAsia" w:ascii="仿宋" w:hAnsi="仿宋" w:eastAsia="仿宋" w:cs="仿宋"/>
          <w:b/>
          <w:bCs w:val="0"/>
          <w:color w:val="auto"/>
          <w:sz w:val="24"/>
          <w:szCs w:val="24"/>
          <w:highlight w:val="none"/>
          <w:lang w:val="en-US" w:eastAsia="zh-CN"/>
        </w:rPr>
        <w:t>、</w:t>
      </w:r>
      <w:r>
        <w:rPr>
          <w:rFonts w:hint="eastAsia" w:ascii="仿宋" w:hAnsi="仿宋" w:eastAsia="仿宋" w:cs="仿宋"/>
          <w:b/>
          <w:bCs w:val="0"/>
          <w:color w:val="auto"/>
          <w:sz w:val="24"/>
          <w:szCs w:val="24"/>
          <w:highlight w:val="none"/>
        </w:rPr>
        <w:t>技术</w:t>
      </w:r>
      <w:r>
        <w:rPr>
          <w:rFonts w:hint="eastAsia" w:ascii="仿宋" w:hAnsi="仿宋" w:eastAsia="仿宋" w:cs="仿宋"/>
          <w:b/>
          <w:bCs w:val="0"/>
          <w:color w:val="auto"/>
          <w:sz w:val="24"/>
          <w:szCs w:val="24"/>
          <w:highlight w:val="none"/>
          <w:lang w:val="en-US" w:eastAsia="zh-CN"/>
        </w:rPr>
        <w:t>服务</w:t>
      </w:r>
      <w:r>
        <w:rPr>
          <w:rFonts w:hint="eastAsia" w:ascii="仿宋" w:hAnsi="仿宋" w:eastAsia="仿宋" w:cs="仿宋"/>
          <w:b/>
          <w:bCs w:val="0"/>
          <w:color w:val="auto"/>
          <w:sz w:val="24"/>
          <w:szCs w:val="24"/>
          <w:highlight w:val="none"/>
        </w:rPr>
        <w:t>方案及保障措施</w:t>
      </w:r>
      <w:bookmarkEnd w:id="1394"/>
      <w:bookmarkEnd w:id="1395"/>
    </w:p>
    <w:p w14:paraId="26A96AAE">
      <w:pPr>
        <w:keepLines w:val="0"/>
        <w:pageBreakBefore w:val="0"/>
        <w:shd w:val="clear" w:color="auto" w:fill="auto"/>
        <w:wordWrap/>
        <w:topLinePunct w:val="0"/>
        <w:bidi w:val="0"/>
        <w:spacing w:before="120" w:beforeLines="50"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根据自身情况在</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文件中提供针对本项目的</w:t>
      </w:r>
      <w:r>
        <w:rPr>
          <w:rFonts w:hint="eastAsia" w:ascii="仿宋" w:hAnsi="仿宋" w:eastAsia="仿宋" w:cs="仿宋"/>
          <w:color w:val="auto"/>
          <w:kern w:val="0"/>
          <w:sz w:val="24"/>
          <w:szCs w:val="24"/>
          <w:highlight w:val="none"/>
          <w:lang w:val="en-US" w:eastAsia="zh-CN"/>
        </w:rPr>
        <w:t>实施</w:t>
      </w:r>
      <w:r>
        <w:rPr>
          <w:rFonts w:hint="eastAsia" w:ascii="仿宋" w:hAnsi="仿宋" w:eastAsia="仿宋" w:cs="仿宋"/>
          <w:color w:val="auto"/>
          <w:kern w:val="0"/>
          <w:sz w:val="24"/>
          <w:szCs w:val="24"/>
          <w:highlight w:val="none"/>
        </w:rPr>
        <w:t>方案。</w:t>
      </w:r>
      <w:r>
        <w:rPr>
          <w:rFonts w:hint="eastAsia" w:ascii="仿宋" w:hAnsi="仿宋" w:eastAsia="仿宋" w:cs="仿宋"/>
          <w:color w:val="auto"/>
          <w:kern w:val="0"/>
          <w:sz w:val="24"/>
          <w:szCs w:val="24"/>
          <w:highlight w:val="none"/>
          <w:lang w:val="en-US" w:eastAsia="zh-CN"/>
        </w:rPr>
        <w:t>实施</w:t>
      </w:r>
      <w:r>
        <w:rPr>
          <w:rFonts w:hint="eastAsia" w:ascii="仿宋" w:hAnsi="仿宋" w:eastAsia="仿宋" w:cs="仿宋"/>
          <w:color w:val="auto"/>
          <w:kern w:val="0"/>
          <w:sz w:val="24"/>
          <w:szCs w:val="24"/>
          <w:highlight w:val="none"/>
        </w:rPr>
        <w:t>方案应包括但不限于以下内容：</w:t>
      </w:r>
    </w:p>
    <w:p w14:paraId="31E8409C">
      <w:pPr>
        <w:keepLines w:val="0"/>
        <w:pageBreakBefore w:val="0"/>
        <w:shd w:val="clear" w:color="auto" w:fill="auto"/>
        <w:wordWrap/>
        <w:topLinePunct w:val="0"/>
        <w:bidi w:val="0"/>
        <w:spacing w:before="120" w:beforeLines="50" w:line="480" w:lineRule="exact"/>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施工方案</w:t>
      </w:r>
    </w:p>
    <w:p w14:paraId="0BCE8516">
      <w:pPr>
        <w:keepLines w:val="0"/>
        <w:pageBreakBefore w:val="0"/>
        <w:shd w:val="clear" w:color="auto" w:fill="auto"/>
        <w:wordWrap/>
        <w:topLinePunct w:val="0"/>
        <w:bidi w:val="0"/>
        <w:spacing w:before="120" w:beforeLines="50"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sz w:val="24"/>
          <w:szCs w:val="24"/>
          <w:highlight w:val="none"/>
          <w:lang w:val="en-US" w:eastAsia="zh-CN"/>
        </w:rPr>
        <w:t>施工总进度及保证措施</w:t>
      </w:r>
    </w:p>
    <w:p w14:paraId="2AA30A9C">
      <w:pPr>
        <w:keepLines w:val="0"/>
        <w:pageBreakBefore w:val="0"/>
        <w:shd w:val="clear" w:color="auto" w:fill="auto"/>
        <w:wordWrap/>
        <w:topLinePunct w:val="0"/>
        <w:bidi w:val="0"/>
        <w:spacing w:before="120" w:beforeLines="50"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sz w:val="24"/>
          <w:szCs w:val="24"/>
          <w:highlight w:val="none"/>
          <w:lang w:val="en-US" w:eastAsia="zh-CN"/>
        </w:rPr>
        <w:t>施工安全措施计划</w:t>
      </w:r>
    </w:p>
    <w:p w14:paraId="22852DC7">
      <w:pPr>
        <w:keepLines w:val="0"/>
        <w:pageBreakBefore w:val="0"/>
        <w:shd w:val="clear" w:color="auto" w:fill="auto"/>
        <w:wordWrap/>
        <w:topLinePunct w:val="0"/>
        <w:bidi w:val="0"/>
        <w:spacing w:before="120" w:beforeLines="50"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sz w:val="24"/>
          <w:szCs w:val="24"/>
          <w:highlight w:val="none"/>
          <w:lang w:val="en-US" w:eastAsia="zh-CN"/>
        </w:rPr>
        <w:t>质量保证措施</w:t>
      </w:r>
    </w:p>
    <w:p w14:paraId="601300EE">
      <w:pPr>
        <w:keepLines w:val="0"/>
        <w:pageBreakBefore w:val="0"/>
        <w:shd w:val="clear" w:color="auto" w:fill="auto"/>
        <w:wordWrap/>
        <w:topLinePunct w:val="0"/>
        <w:bidi w:val="0"/>
        <w:spacing w:before="120" w:beforeLines="50" w:line="480" w:lineRule="exact"/>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5、</w:t>
      </w:r>
      <w:r>
        <w:rPr>
          <w:rFonts w:hint="eastAsia" w:ascii="仿宋" w:hAnsi="仿宋" w:eastAsia="仿宋" w:cs="仿宋"/>
          <w:color w:val="auto"/>
          <w:sz w:val="24"/>
          <w:szCs w:val="24"/>
          <w:highlight w:val="none"/>
          <w:lang w:val="en-US" w:eastAsia="zh-CN"/>
        </w:rPr>
        <w:t>施工环保措施</w:t>
      </w:r>
    </w:p>
    <w:p w14:paraId="38FDB055">
      <w:pPr>
        <w:keepLines w:val="0"/>
        <w:pageBreakBefore w:val="0"/>
        <w:shd w:val="clear" w:color="auto" w:fill="auto"/>
        <w:wordWrap/>
        <w:topLinePunct w:val="0"/>
        <w:bidi w:val="0"/>
        <w:spacing w:before="120" w:beforeLines="50"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sz w:val="24"/>
          <w:szCs w:val="24"/>
          <w:highlight w:val="none"/>
          <w:lang w:eastAsia="zh-CN"/>
        </w:rPr>
        <w:t>工作重点、难点分析及合理化建议</w:t>
      </w:r>
    </w:p>
    <w:p w14:paraId="2343DEBE">
      <w:pPr>
        <w:keepLines w:val="0"/>
        <w:pageBreakBefore w:val="0"/>
        <w:shd w:val="clear" w:color="auto" w:fill="auto"/>
        <w:wordWrap/>
        <w:topLinePunct w:val="0"/>
        <w:bidi w:val="0"/>
        <w:spacing w:line="480" w:lineRule="exact"/>
        <w:ind w:left="0" w:leftChars="0" w:firstLine="0" w:firstLineChars="0"/>
        <w:rPr>
          <w:rFonts w:hint="eastAsia" w:ascii="仿宋" w:hAnsi="仿宋" w:eastAsia="仿宋" w:cs="仿宋"/>
          <w:b/>
          <w:color w:val="auto"/>
          <w:sz w:val="24"/>
          <w:szCs w:val="24"/>
          <w:highlight w:val="none"/>
          <w:lang w:val="en-US" w:eastAsia="zh-CN"/>
        </w:rPr>
      </w:pPr>
    </w:p>
    <w:p w14:paraId="1A97309A">
      <w:pPr>
        <w:keepLines w:val="0"/>
        <w:pageBreakBefore w:val="0"/>
        <w:shd w:val="clear" w:color="auto" w:fill="auto"/>
        <w:wordWrap/>
        <w:topLinePunct w:val="0"/>
        <w:bidi w:val="0"/>
        <w:spacing w:line="480" w:lineRule="exact"/>
        <w:ind w:left="0" w:leftChars="0" w:firstLine="0" w:firstLineChars="0"/>
        <w:rPr>
          <w:rFonts w:hint="eastAsia" w:ascii="仿宋" w:hAnsi="仿宋" w:eastAsia="仿宋" w:cs="仿宋"/>
          <w:b/>
          <w:color w:val="auto"/>
          <w:sz w:val="24"/>
          <w:szCs w:val="24"/>
          <w:highlight w:val="none"/>
          <w:lang w:val="en-US" w:eastAsia="zh-CN"/>
        </w:rPr>
      </w:pPr>
    </w:p>
    <w:p w14:paraId="55B11431">
      <w:pPr>
        <w:keepLines w:val="0"/>
        <w:pageBreakBefore w:val="0"/>
        <w:shd w:val="clear" w:color="auto" w:fill="auto"/>
        <w:wordWrap/>
        <w:topLinePunct w:val="0"/>
        <w:bidi w:val="0"/>
        <w:spacing w:line="480" w:lineRule="exact"/>
        <w:ind w:left="0" w:leftChars="0" w:firstLine="0" w:firstLineChars="0"/>
        <w:rPr>
          <w:rFonts w:hint="eastAsia" w:ascii="仿宋" w:hAnsi="仿宋" w:eastAsia="仿宋" w:cs="仿宋"/>
          <w:b/>
          <w:color w:val="auto"/>
          <w:sz w:val="24"/>
          <w:szCs w:val="24"/>
          <w:highlight w:val="none"/>
          <w:lang w:val="en-US" w:eastAsia="zh-CN"/>
        </w:rPr>
      </w:pPr>
    </w:p>
    <w:p w14:paraId="6EC1E89B">
      <w:pPr>
        <w:pStyle w:val="16"/>
        <w:pageBreakBefore w:val="0"/>
        <w:wordWrap/>
        <w:topLinePunct w:val="0"/>
        <w:bidi w:val="0"/>
        <w:spacing w:line="480" w:lineRule="exact"/>
        <w:rPr>
          <w:rFonts w:hint="eastAsia" w:ascii="仿宋" w:hAnsi="仿宋" w:eastAsia="仿宋" w:cs="仿宋"/>
          <w:b/>
          <w:color w:val="auto"/>
          <w:sz w:val="24"/>
          <w:szCs w:val="24"/>
          <w:highlight w:val="none"/>
          <w:lang w:val="en-US" w:eastAsia="zh-CN"/>
        </w:rPr>
      </w:pPr>
    </w:p>
    <w:p w14:paraId="35350121">
      <w:pPr>
        <w:keepLines w:val="0"/>
        <w:pageBreakBefore w:val="0"/>
        <w:shd w:val="clear" w:color="auto" w:fill="auto"/>
        <w:wordWrap/>
        <w:topLinePunct w:val="0"/>
        <w:bidi w:val="0"/>
        <w:spacing w:line="480" w:lineRule="exact"/>
        <w:ind w:left="0" w:leftChars="0" w:firstLine="0" w:firstLineChars="0"/>
        <w:outlineLvl w:val="0"/>
        <w:rPr>
          <w:rFonts w:hint="eastAsia" w:ascii="仿宋" w:hAnsi="仿宋" w:eastAsia="仿宋" w:cs="仿宋"/>
          <w:b w:val="0"/>
          <w:bCs/>
          <w:color w:val="auto"/>
          <w:sz w:val="24"/>
          <w:szCs w:val="24"/>
          <w:highlight w:val="none"/>
          <w:lang w:val="en-US" w:eastAsia="zh-CN"/>
        </w:rPr>
      </w:pPr>
      <w:bookmarkStart w:id="1396" w:name="_Toc14539"/>
      <w:bookmarkStart w:id="1397" w:name="_Toc12451"/>
      <w:r>
        <w:rPr>
          <w:rFonts w:hint="eastAsia" w:ascii="仿宋" w:hAnsi="仿宋" w:eastAsia="仿宋" w:cs="仿宋"/>
          <w:b/>
          <w:color w:val="auto"/>
          <w:sz w:val="24"/>
          <w:szCs w:val="24"/>
          <w:highlight w:val="none"/>
          <w:lang w:val="en-US" w:eastAsia="zh-CN"/>
        </w:rPr>
        <w:t>3、其他服务承诺</w:t>
      </w:r>
      <w:bookmarkEnd w:id="1396"/>
      <w:bookmarkEnd w:id="1397"/>
    </w:p>
    <w:p w14:paraId="051D9685">
      <w:pPr>
        <w:pStyle w:val="7"/>
        <w:keepLines w:val="0"/>
        <w:pageBreakBefore w:val="0"/>
        <w:shd w:val="clear" w:color="auto" w:fill="auto"/>
        <w:wordWrap/>
        <w:topLinePunct w:val="0"/>
        <w:bidi w:val="0"/>
        <w:spacing w:line="480" w:lineRule="exac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（格式自拟）</w:t>
      </w:r>
    </w:p>
    <w:p w14:paraId="0FB231C9">
      <w:pPr>
        <w:keepLines w:val="0"/>
        <w:pageBreakBefore w:val="0"/>
        <w:shd w:val="clear" w:color="auto" w:fill="auto"/>
        <w:wordWrap/>
        <w:topLinePunct w:val="0"/>
        <w:bidi w:val="0"/>
        <w:spacing w:line="480" w:lineRule="exact"/>
        <w:ind w:left="0" w:leftChars="0" w:firstLine="0" w:firstLineChars="0"/>
        <w:rPr>
          <w:rFonts w:hint="eastAsia" w:ascii="仿宋" w:hAnsi="仿宋" w:eastAsia="仿宋" w:cs="仿宋"/>
          <w:b/>
          <w:color w:val="auto"/>
          <w:sz w:val="24"/>
          <w:szCs w:val="24"/>
          <w:highlight w:val="none"/>
          <w:lang w:val="en-US" w:eastAsia="zh-CN"/>
        </w:rPr>
      </w:pPr>
    </w:p>
    <w:p w14:paraId="51FA0565">
      <w:pPr>
        <w:keepLines w:val="0"/>
        <w:pageBreakBefore w:val="0"/>
        <w:shd w:val="clear" w:color="auto" w:fill="auto"/>
        <w:wordWrap/>
        <w:topLinePunct w:val="0"/>
        <w:bidi w:val="0"/>
        <w:spacing w:line="480" w:lineRule="exact"/>
        <w:ind w:left="0" w:leftChars="0" w:firstLine="0" w:firstLineChars="0"/>
        <w:rPr>
          <w:rFonts w:hint="eastAsia" w:ascii="仿宋" w:hAnsi="仿宋" w:eastAsia="仿宋" w:cs="仿宋"/>
          <w:b/>
          <w:color w:val="auto"/>
          <w:sz w:val="24"/>
          <w:szCs w:val="24"/>
          <w:highlight w:val="none"/>
          <w:lang w:val="en-US" w:eastAsia="zh-CN"/>
        </w:rPr>
      </w:pPr>
    </w:p>
    <w:p w14:paraId="67507C94">
      <w:pPr>
        <w:keepLines w:val="0"/>
        <w:pageBreakBefore w:val="0"/>
        <w:shd w:val="clear" w:color="auto" w:fill="auto"/>
        <w:wordWrap/>
        <w:topLinePunct w:val="0"/>
        <w:bidi w:val="0"/>
        <w:spacing w:line="480" w:lineRule="exact"/>
        <w:ind w:left="0" w:leftChars="0" w:firstLine="0" w:firstLineChars="0"/>
        <w:rPr>
          <w:rFonts w:hint="eastAsia" w:ascii="仿宋" w:hAnsi="仿宋" w:eastAsia="仿宋" w:cs="仿宋"/>
          <w:b/>
          <w:color w:val="auto"/>
          <w:sz w:val="24"/>
          <w:szCs w:val="24"/>
          <w:highlight w:val="none"/>
          <w:lang w:val="en-US" w:eastAsia="zh-CN"/>
        </w:rPr>
      </w:pPr>
    </w:p>
    <w:p w14:paraId="026DBD90">
      <w:pPr>
        <w:keepLines w:val="0"/>
        <w:pageBreakBefore w:val="0"/>
        <w:shd w:val="clear" w:color="auto" w:fill="auto"/>
        <w:wordWrap/>
        <w:topLinePunct w:val="0"/>
        <w:bidi w:val="0"/>
        <w:spacing w:line="480" w:lineRule="exact"/>
        <w:ind w:left="0" w:leftChars="0" w:firstLine="0" w:firstLineChars="0"/>
        <w:outlineLvl w:val="0"/>
        <w:rPr>
          <w:rFonts w:hint="eastAsia" w:ascii="仿宋" w:hAnsi="仿宋" w:eastAsia="仿宋" w:cs="仿宋"/>
          <w:b/>
          <w:color w:val="auto"/>
          <w:sz w:val="24"/>
          <w:szCs w:val="24"/>
          <w:highlight w:val="none"/>
          <w:lang w:val="en-US" w:eastAsia="zh-CN"/>
        </w:rPr>
      </w:pPr>
      <w:bookmarkStart w:id="1398" w:name="_Toc770"/>
      <w:bookmarkStart w:id="1399" w:name="_Toc19745"/>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认为</w:t>
      </w:r>
      <w:r>
        <w:rPr>
          <w:rFonts w:hint="eastAsia" w:ascii="仿宋" w:hAnsi="仿宋" w:eastAsia="仿宋" w:cs="仿宋"/>
          <w:b/>
          <w:color w:val="auto"/>
          <w:sz w:val="24"/>
          <w:szCs w:val="24"/>
          <w:highlight w:val="none"/>
          <w:lang w:val="en-US" w:eastAsia="zh-CN"/>
        </w:rPr>
        <w:t>需要提供的其他材料</w:t>
      </w:r>
      <w:bookmarkEnd w:id="1398"/>
      <w:bookmarkEnd w:id="1399"/>
    </w:p>
    <w:p w14:paraId="27BE7188">
      <w:pPr>
        <w:pStyle w:val="7"/>
        <w:keepLines w:val="0"/>
        <w:pageBreakBefore w:val="0"/>
        <w:shd w:val="clear" w:color="auto" w:fill="auto"/>
        <w:wordWrap/>
        <w:topLinePunct w:val="0"/>
        <w:bidi w:val="0"/>
        <w:spacing w:line="480" w:lineRule="exact"/>
        <w:outlineLvl w:val="0"/>
        <w:rPr>
          <w:rFonts w:hint="eastAsia" w:ascii="仿宋" w:hAnsi="仿宋" w:eastAsia="仿宋" w:cs="仿宋"/>
          <w:color w:val="auto"/>
          <w:sz w:val="24"/>
          <w:szCs w:val="24"/>
          <w:highlight w:val="none"/>
        </w:rPr>
      </w:pPr>
      <w:bookmarkStart w:id="1400" w:name="_Toc12275"/>
      <w:r>
        <w:rPr>
          <w:rFonts w:hint="eastAsia" w:ascii="仿宋" w:hAnsi="仿宋" w:eastAsia="仿宋" w:cs="仿宋"/>
          <w:b w:val="0"/>
          <w:bCs/>
          <w:color w:val="auto"/>
          <w:sz w:val="24"/>
          <w:szCs w:val="24"/>
          <w:highlight w:val="none"/>
          <w:lang w:val="en-US" w:eastAsia="zh-CN"/>
        </w:rPr>
        <w:t>（格式自拟）</w:t>
      </w:r>
      <w:bookmarkEnd w:id="1400"/>
    </w:p>
    <w:p w14:paraId="79E175C6">
      <w:pPr>
        <w:pStyle w:val="8"/>
        <w:keepLines w:val="0"/>
        <w:pageBreakBefore w:val="0"/>
        <w:shd w:val="clear" w:color="auto" w:fill="auto"/>
        <w:wordWrap/>
        <w:topLinePunct w:val="0"/>
        <w:bidi w:val="0"/>
        <w:spacing w:line="480" w:lineRule="exact"/>
        <w:ind w:left="0" w:leftChars="0" w:firstLine="0" w:firstLineChars="0"/>
        <w:rPr>
          <w:rFonts w:hint="eastAsia" w:ascii="仿宋" w:hAnsi="仿宋" w:eastAsia="仿宋" w:cs="仿宋"/>
          <w:color w:val="auto"/>
          <w:sz w:val="24"/>
          <w:szCs w:val="24"/>
          <w:highlight w:val="none"/>
        </w:rPr>
      </w:pPr>
    </w:p>
    <w:p w14:paraId="2882188C">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14CE0108">
      <w:pPr>
        <w:pStyle w:val="8"/>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5BD3B4D0">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16902D7F">
      <w:pPr>
        <w:pStyle w:val="8"/>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7A3BE4C7">
      <w:pPr>
        <w:keepLines w:val="0"/>
        <w:pageBreakBefore w:val="0"/>
        <w:shd w:val="clear" w:color="auto" w:fill="auto"/>
        <w:wordWrap/>
        <w:topLinePunct w:val="0"/>
        <w:bidi w:val="0"/>
        <w:spacing w:line="480" w:lineRule="exact"/>
        <w:rPr>
          <w:rFonts w:hint="eastAsia" w:ascii="仿宋" w:hAnsi="仿宋" w:eastAsia="仿宋" w:cs="仿宋"/>
          <w:color w:val="auto"/>
          <w:sz w:val="24"/>
          <w:szCs w:val="24"/>
          <w:highlight w:val="none"/>
        </w:rPr>
      </w:pPr>
    </w:p>
    <w:p w14:paraId="14D18A10">
      <w:pPr>
        <w:pStyle w:val="11"/>
        <w:keepLines w:val="0"/>
        <w:pageBreakBefore w:val="0"/>
        <w:shd w:val="clear" w:color="auto" w:fill="auto"/>
        <w:wordWrap/>
        <w:topLinePunct w:val="0"/>
        <w:bidi w:val="0"/>
        <w:spacing w:line="360" w:lineRule="auto"/>
        <w:jc w:val="center"/>
        <w:outlineLvl w:val="1"/>
        <w:rPr>
          <w:rFonts w:hint="eastAsia" w:ascii="仿宋" w:hAnsi="仿宋" w:eastAsia="仿宋" w:cs="仿宋"/>
          <w:b/>
          <w:bCs/>
          <w:color w:val="auto"/>
          <w:sz w:val="24"/>
          <w:szCs w:val="24"/>
          <w:highlight w:val="none"/>
        </w:rPr>
      </w:pPr>
      <w:bookmarkStart w:id="1401" w:name="_Toc26934"/>
      <w:bookmarkStart w:id="1402" w:name="_Toc13070"/>
    </w:p>
    <w:p w14:paraId="7904B02B">
      <w:pPr>
        <w:pStyle w:val="11"/>
        <w:keepLines w:val="0"/>
        <w:pageBreakBefore w:val="0"/>
        <w:shd w:val="clear" w:color="auto" w:fill="auto"/>
        <w:wordWrap/>
        <w:topLinePunct w:val="0"/>
        <w:bidi w:val="0"/>
        <w:spacing w:line="360" w:lineRule="auto"/>
        <w:jc w:val="center"/>
        <w:outlineLvl w:val="1"/>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竞争性</w:t>
      </w:r>
      <w:r>
        <w:rPr>
          <w:rFonts w:hint="eastAsia" w:ascii="仿宋" w:hAnsi="仿宋" w:eastAsia="仿宋" w:cs="仿宋"/>
          <w:b/>
          <w:bCs/>
          <w:color w:val="auto"/>
          <w:sz w:val="24"/>
          <w:szCs w:val="24"/>
          <w:highlight w:val="none"/>
          <w:lang w:val="en-US" w:eastAsia="zh-CN"/>
        </w:rPr>
        <w:t>磋商</w:t>
      </w: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val="en-US" w:eastAsia="zh-CN"/>
        </w:rPr>
        <w:t>轮</w:t>
      </w:r>
      <w:r>
        <w:rPr>
          <w:rFonts w:hint="eastAsia" w:ascii="仿宋" w:hAnsi="仿宋" w:eastAsia="仿宋" w:cs="仿宋"/>
          <w:b/>
          <w:bCs/>
          <w:color w:val="auto"/>
          <w:sz w:val="24"/>
          <w:szCs w:val="24"/>
          <w:highlight w:val="none"/>
        </w:rPr>
        <w:t>报价单（最终报价时上传附件）</w:t>
      </w:r>
      <w:bookmarkEnd w:id="1401"/>
      <w:bookmarkEnd w:id="1402"/>
    </w:p>
    <w:p w14:paraId="4225ECA3">
      <w:pPr>
        <w:pStyle w:val="11"/>
        <w:keepLines w:val="0"/>
        <w:pageBreakBefore w:val="0"/>
        <w:shd w:val="clear" w:color="auto" w:fill="auto"/>
        <w:wordWrap/>
        <w:topLinePunct w:val="0"/>
        <w:bidi w:val="0"/>
        <w:spacing w:line="360" w:lineRule="auto"/>
        <w:rPr>
          <w:rFonts w:hint="eastAsia" w:ascii="仿宋" w:hAnsi="仿宋" w:eastAsia="仿宋" w:cs="仿宋"/>
          <w:color w:val="auto"/>
          <w:sz w:val="24"/>
          <w:szCs w:val="24"/>
          <w:highlight w:val="none"/>
          <w:lang w:val="en-US" w:eastAsia="zh-CN"/>
        </w:rPr>
      </w:pPr>
    </w:p>
    <w:p w14:paraId="2B1CC5E2">
      <w:pPr>
        <w:pStyle w:val="11"/>
        <w:keepLines w:val="0"/>
        <w:pageBreakBefore w:val="0"/>
        <w:shd w:val="clear" w:color="auto" w:fill="auto"/>
        <w:wordWrap/>
        <w:topLinePunct w:val="0"/>
        <w:bidi w:val="0"/>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b/>
          <w:bCs/>
          <w:color w:val="auto"/>
          <w:sz w:val="24"/>
          <w:szCs w:val="24"/>
          <w:highlight w:val="none"/>
          <w:u w:val="single"/>
          <w:lang w:val="en-US" w:eastAsia="zh-CN"/>
        </w:rPr>
        <w:t>昌吉市园林绿化管理中心：</w:t>
      </w:r>
    </w:p>
    <w:p w14:paraId="3CC85C4A">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竞争性磋商文件</w:t>
      </w:r>
      <w:r>
        <w:rPr>
          <w:rFonts w:hint="eastAsia" w:ascii="仿宋" w:hAnsi="仿宋" w:eastAsia="仿宋" w:cs="仿宋"/>
          <w:color w:val="auto"/>
          <w:sz w:val="24"/>
          <w:szCs w:val="24"/>
          <w:highlight w:val="none"/>
        </w:rPr>
        <w:t>上明确的各项要求，本人经请示公司领导同意并代表本公司对</w:t>
      </w:r>
      <w:r>
        <w:rPr>
          <w:rFonts w:hint="eastAsia" w:ascii="仿宋" w:hAnsi="仿宋" w:eastAsia="仿宋" w:cs="仿宋"/>
          <w:color w:val="auto"/>
          <w:sz w:val="24"/>
          <w:szCs w:val="24"/>
          <w:highlight w:val="none"/>
          <w:u w:val="single"/>
          <w:lang w:val="en-US" w:eastAsia="zh-CN"/>
        </w:rPr>
        <w:t xml:space="preserve">         昌吉市公园游园整治提升项目</w:t>
      </w: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做出最终报价（人民币）如下：</w:t>
      </w:r>
    </w:p>
    <w:p w14:paraId="13642D0A">
      <w:pPr>
        <w:pStyle w:val="11"/>
        <w:keepLines w:val="0"/>
        <w:pageBreakBefore w:val="0"/>
        <w:shd w:val="clear" w:color="auto" w:fill="auto"/>
        <w:wordWrap/>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1B47B69">
      <w:pPr>
        <w:pStyle w:val="11"/>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报价：  </w:t>
      </w:r>
      <w:r>
        <w:rPr>
          <w:rFonts w:hint="eastAsia" w:ascii="仿宋" w:hAnsi="仿宋" w:eastAsia="仿宋" w:cs="仿宋"/>
          <w:color w:val="auto"/>
          <w:sz w:val="24"/>
          <w:szCs w:val="24"/>
          <w:highlight w:val="none"/>
          <w:lang w:val="en-US" w:eastAsia="zh-CN"/>
        </w:rPr>
        <w:t xml:space="preserve">                    （小写）</w:t>
      </w:r>
      <w:r>
        <w:rPr>
          <w:rFonts w:hint="eastAsia" w:ascii="仿宋" w:hAnsi="仿宋" w:eastAsia="仿宋" w:cs="仿宋"/>
          <w:color w:val="auto"/>
          <w:sz w:val="24"/>
          <w:szCs w:val="24"/>
          <w:highlight w:val="none"/>
        </w:rPr>
        <w:t xml:space="preserve">     </w:t>
      </w:r>
    </w:p>
    <w:p w14:paraId="5E4F6F2A">
      <w:pPr>
        <w:pStyle w:val="11"/>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（大写）</w:t>
      </w:r>
      <w:r>
        <w:rPr>
          <w:rFonts w:hint="eastAsia" w:ascii="仿宋" w:hAnsi="仿宋" w:eastAsia="仿宋" w:cs="仿宋"/>
          <w:color w:val="auto"/>
          <w:sz w:val="24"/>
          <w:szCs w:val="24"/>
          <w:highlight w:val="none"/>
        </w:rPr>
        <w:t xml:space="preserve">            </w:t>
      </w:r>
    </w:p>
    <w:p w14:paraId="757D6726">
      <w:pPr>
        <w:pStyle w:val="11"/>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相关补充说明：</w:t>
      </w:r>
    </w:p>
    <w:p w14:paraId="53E70484">
      <w:pPr>
        <w:pStyle w:val="11"/>
        <w:keepLines w:val="0"/>
        <w:pageBreakBefore w:val="0"/>
        <w:shd w:val="clear" w:color="auto" w:fill="auto"/>
        <w:wordWrap/>
        <w:topLinePunct w:val="0"/>
        <w:bidi w:val="0"/>
        <w:spacing w:line="360" w:lineRule="auto"/>
        <w:rPr>
          <w:rFonts w:hint="eastAsia" w:ascii="仿宋" w:hAnsi="仿宋" w:eastAsia="仿宋" w:cs="仿宋"/>
          <w:color w:val="auto"/>
          <w:sz w:val="24"/>
          <w:szCs w:val="24"/>
          <w:highlight w:val="none"/>
        </w:rPr>
      </w:pPr>
    </w:p>
    <w:p w14:paraId="5232E09E">
      <w:pPr>
        <w:keepNext w:val="0"/>
        <w:keepLines w:val="0"/>
        <w:pageBreakBefore w:val="0"/>
        <w:widowControl w:val="0"/>
        <w:shd w:val="clear" w:color="auto" w:fill="auto"/>
        <w:kinsoku/>
        <w:wordWrap w:val="0"/>
        <w:overflowPunct/>
        <w:topLinePunct w:val="0"/>
        <w:autoSpaceDE w:val="0"/>
        <w:autoSpaceDN w:val="0"/>
        <w:bidi w:val="0"/>
        <w:adjustRightInd/>
        <w:snapToGrid/>
        <w:spacing w:line="360" w:lineRule="auto"/>
        <w:ind w:firstLine="480" w:firstLineChars="200"/>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除以上列出的内容外，对首次递交的响应文件其余内容均无变动。</w:t>
      </w:r>
    </w:p>
    <w:p w14:paraId="02A9EC5D">
      <w:pPr>
        <w:keepLines w:val="0"/>
        <w:pageBreakBefore w:val="0"/>
        <w:shd w:val="clear" w:color="auto" w:fill="auto"/>
        <w:wordWrap/>
        <w:topLinePunct w:val="0"/>
        <w:bidi w:val="0"/>
        <w:spacing w:line="360" w:lineRule="auto"/>
        <w:ind w:firstLine="5280" w:firstLineChars="2200"/>
        <w:jc w:val="center"/>
        <w:rPr>
          <w:rFonts w:hint="eastAsia" w:ascii="仿宋" w:hAnsi="仿宋" w:eastAsia="仿宋" w:cs="仿宋"/>
          <w:color w:val="auto"/>
          <w:sz w:val="24"/>
          <w:szCs w:val="24"/>
          <w:highlight w:val="none"/>
        </w:rPr>
      </w:pPr>
    </w:p>
    <w:p w14:paraId="1EF96CC7">
      <w:pPr>
        <w:keepLines w:val="0"/>
        <w:pageBreakBefore w:val="0"/>
        <w:shd w:val="clear" w:color="auto" w:fill="auto"/>
        <w:wordWrap/>
        <w:topLinePunct w:val="0"/>
        <w:bidi w:val="0"/>
        <w:spacing w:line="360" w:lineRule="auto"/>
        <w:ind w:firstLine="5280" w:firstLineChars="2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供应商名称（盖章）：                            </w:t>
      </w:r>
    </w:p>
    <w:p w14:paraId="24AB6765">
      <w:pPr>
        <w:keepLines w:val="0"/>
        <w:pageBreakBefore w:val="0"/>
        <w:shd w:val="clear" w:color="auto" w:fill="auto"/>
        <w:wordWrap/>
        <w:topLinePunct w:val="0"/>
        <w:bidi w:val="0"/>
        <w:spacing w:line="480" w:lineRule="exact"/>
        <w:ind w:firstLine="4560" w:firstLineChars="19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法定代表人或授权代表（签字或盖章）：</w:t>
      </w:r>
    </w:p>
    <w:p w14:paraId="5E12C3F0">
      <w:pPr>
        <w:keepLines w:val="0"/>
        <w:pageBreakBefore w:val="0"/>
        <w:shd w:val="clear" w:color="auto" w:fill="auto"/>
        <w:wordWrap/>
        <w:topLinePunct w:val="0"/>
        <w:bidi w:val="0"/>
        <w:snapToGrid w:val="0"/>
        <w:spacing w:before="50" w:after="50" w:line="480" w:lineRule="exact"/>
        <w:ind w:left="5615" w:leftChars="331" w:right="-817" w:rightChars="-389" w:hanging="4920" w:hangingChars="20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val="en-US" w:eastAsia="zh-CN"/>
        </w:rPr>
        <w:t>日</w:t>
      </w:r>
    </w:p>
    <w:p w14:paraId="65D8990A">
      <w:pPr>
        <w:pStyle w:val="11"/>
        <w:keepLines w:val="0"/>
        <w:pageBreakBefore w:val="0"/>
        <w:shd w:val="clear" w:color="auto" w:fill="auto"/>
        <w:wordWrap/>
        <w:topLinePunct w:val="0"/>
        <w:bidi w:val="0"/>
        <w:spacing w:line="480" w:lineRule="exact"/>
        <w:rPr>
          <w:rFonts w:hint="eastAsia" w:ascii="仿宋" w:hAnsi="仿宋" w:eastAsia="仿宋" w:cs="仿宋"/>
          <w:b/>
          <w:bCs/>
          <w:color w:val="auto"/>
          <w:sz w:val="24"/>
          <w:szCs w:val="24"/>
          <w:highlight w:val="none"/>
          <w:u w:val="single"/>
          <w:lang w:eastAsia="zh-CN"/>
        </w:rPr>
      </w:pPr>
    </w:p>
    <w:p w14:paraId="2F1CD3CB">
      <w:pPr>
        <w:pStyle w:val="11"/>
        <w:keepLines w:val="0"/>
        <w:pageBreakBefore w:val="0"/>
        <w:shd w:val="clear" w:color="auto" w:fill="auto"/>
        <w:wordWrap/>
        <w:topLinePunct w:val="0"/>
        <w:bidi w:val="0"/>
        <w:spacing w:line="480" w:lineRule="exact"/>
        <w:rPr>
          <w:rFonts w:hint="eastAsia" w:ascii="仿宋" w:hAnsi="仿宋" w:eastAsia="仿宋" w:cs="仿宋"/>
          <w:b/>
          <w:bCs/>
          <w:color w:val="auto"/>
          <w:sz w:val="24"/>
          <w:szCs w:val="24"/>
          <w:highlight w:val="none"/>
          <w:u w:val="single"/>
          <w:lang w:eastAsia="zh-CN"/>
        </w:rPr>
      </w:pPr>
      <w:bookmarkStart w:id="1403" w:name="_GoBack"/>
      <w:bookmarkEnd w:id="1403"/>
    </w:p>
    <w:p w14:paraId="47455933">
      <w:pPr>
        <w:keepLines w:val="0"/>
        <w:pageBreakBefore w:val="0"/>
        <w:wordWrap/>
        <w:topLinePunct w:val="0"/>
        <w:bidi w:val="0"/>
        <w:spacing w:line="480" w:lineRule="exact"/>
        <w:rPr>
          <w:rFonts w:hint="eastAsia" w:ascii="仿宋" w:hAnsi="仿宋" w:eastAsia="仿宋" w:cs="仿宋"/>
          <w:color w:val="auto"/>
          <w:sz w:val="24"/>
          <w:szCs w:val="24"/>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rPr>
        <w:t>说明：若成交供应商的竞争性磋商最后报价函的报价与首次递交的报价函在报价有差异，则首次响应文件中所列明的已标价的工程量清单的各项单价和合价，应在符合适用法律法规和相关政策的基础上按最后报价与首次报价的变化幅度进行调整，收到成交通知书后的 7 天内提交给采购人；对采购人提出的审查意见在合同签订前修改完成)。</w:t>
      </w:r>
    </w:p>
    <w:p w14:paraId="78B9206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仿宋" w:hAnsi="仿宋" w:eastAsia="仿宋" w:cs="仿宋"/>
          <w:color w:val="auto"/>
          <w:sz w:val="24"/>
          <w:szCs w:val="24"/>
        </w:rPr>
      </w:pPr>
    </w:p>
    <w:sectPr>
      <w:headerReference r:id="rId21" w:type="default"/>
      <w:footerReference r:id="rId22" w:type="default"/>
      <w:pgSz w:w="11906" w:h="16838"/>
      <w:pgMar w:top="1417" w:right="1418" w:bottom="1417" w:left="1418" w:header="851" w:footer="850"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1F07B">
    <w:pPr>
      <w:pStyle w:val="11"/>
      <w:spacing w:line="238" w:lineRule="auto"/>
      <w:ind w:left="4680"/>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B6EB7">
    <w:pPr>
      <w:pStyle w:val="1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62C76">
                          <w:pPr>
                            <w:pStyle w:val="17"/>
                          </w:pPr>
                          <w:r>
                            <w:fldChar w:fldCharType="begin"/>
                          </w:r>
                          <w:r>
                            <w:instrText xml:space="preserve"> PAGE  \* MERGEFORMAT </w:instrText>
                          </w:r>
                          <w:r>
                            <w:fldChar w:fldCharType="separate"/>
                          </w:r>
                          <w:r>
                            <w:t>154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E962C76">
                    <w:pPr>
                      <w:pStyle w:val="17"/>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1C9AD">
    <w:pPr>
      <w:pStyle w:val="1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9F530">
                          <w:pPr>
                            <w:pStyle w:val="17"/>
                          </w:pPr>
                          <w:r>
                            <w:fldChar w:fldCharType="begin"/>
                          </w:r>
                          <w:r>
                            <w:instrText xml:space="preserve"> PAGE  \* MERGEFORMAT </w:instrText>
                          </w:r>
                          <w:r>
                            <w:fldChar w:fldCharType="separate"/>
                          </w:r>
                          <w:r>
                            <w:t>156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B99F530">
                    <w:pPr>
                      <w:pStyle w:val="17"/>
                    </w:pPr>
                    <w:r>
                      <w:fldChar w:fldCharType="begin"/>
                    </w:r>
                    <w:r>
                      <w:instrText xml:space="preserve"> PAGE  \* MERGEFORMAT </w:instrText>
                    </w:r>
                    <w:r>
                      <w:fldChar w:fldCharType="separate"/>
                    </w:r>
                    <w:r>
                      <w:t>156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DCB72">
    <w:pPr>
      <w:pStyle w:val="1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C3BBB">
                          <w:pPr>
                            <w:pStyle w:val="17"/>
                          </w:pPr>
                          <w:r>
                            <w:fldChar w:fldCharType="begin"/>
                          </w:r>
                          <w:r>
                            <w:instrText xml:space="preserve"> PAGE  \* MERGEFORMAT </w:instrText>
                          </w:r>
                          <w:r>
                            <w:fldChar w:fldCharType="separate"/>
                          </w:r>
                          <w:r>
                            <w:t>166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B3C3BBB">
                    <w:pPr>
                      <w:pStyle w:val="17"/>
                    </w:pPr>
                    <w:r>
                      <w:fldChar w:fldCharType="begin"/>
                    </w:r>
                    <w:r>
                      <w:instrText xml:space="preserve"> PAGE  \* MERGEFORMAT </w:instrText>
                    </w:r>
                    <w:r>
                      <w:fldChar w:fldCharType="separate"/>
                    </w:r>
                    <w:r>
                      <w:t>166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3822">
    <w:pPr>
      <w:pStyle w:val="11"/>
      <w:spacing w:line="238" w:lineRule="auto"/>
      <w:ind w:left="468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C9530">
    <w:pPr>
      <w:pStyle w:val="11"/>
      <w:spacing w:line="238" w:lineRule="auto"/>
      <w:ind w:left="4680"/>
      <w:rPr>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27136">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9527136">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07501">
    <w:pPr>
      <w:pStyle w:val="11"/>
      <w:spacing w:line="238" w:lineRule="auto"/>
      <w:ind w:left="4365"/>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72C68">
                          <w:pPr>
                            <w:pStyle w:val="1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C472C68">
                    <w:pPr>
                      <w:pStyle w:val="1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E31B8">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74042">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4974042">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5311E">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F0568">
                          <w:pPr>
                            <w:pStyle w:val="1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E1F0568">
                    <w:pPr>
                      <w:pStyle w:val="1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03B4A">
    <w:pPr>
      <w:pStyle w:val="17"/>
      <w:jc w:val="center"/>
      <w:rPr>
        <w:rFonts w:ascii="Times New Roman" w:hAnsi="Times New Roman" w:eastAsia="仿宋_GB2312"/>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6E0C0">
                          <w:pPr>
                            <w:pStyle w:val="1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3D6E0C0">
                    <w:pPr>
                      <w:pStyle w:val="1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C6C27">
    <w:pPr>
      <w:pStyle w:val="1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AFA7A">
                          <w:pPr>
                            <w:pStyle w:val="1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6CAFA7A">
                    <w:pPr>
                      <w:pStyle w:val="1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5742C">
    <w:pPr>
      <w:pStyle w:val="11"/>
      <w:spacing w:line="238" w:lineRule="auto"/>
      <w:ind w:left="3985"/>
      <w:rPr>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35C86">
                          <w:pPr>
                            <w:pStyle w:val="17"/>
                          </w:pPr>
                          <w:r>
                            <w:fldChar w:fldCharType="begin"/>
                          </w:r>
                          <w:r>
                            <w:instrText xml:space="preserve"> PAGE  \* MERGEFORMAT </w:instrText>
                          </w:r>
                          <w:r>
                            <w:fldChar w:fldCharType="separate"/>
                          </w:r>
                          <w:r>
                            <w:t>135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D435C86">
                    <w:pPr>
                      <w:pStyle w:val="17"/>
                    </w:pPr>
                    <w:r>
                      <w:fldChar w:fldCharType="begin"/>
                    </w:r>
                    <w:r>
                      <w:instrText xml:space="preserve"> PAGE  \* MERGEFORMAT </w:instrText>
                    </w:r>
                    <w:r>
                      <w:fldChar w:fldCharType="separate"/>
                    </w:r>
                    <w:r>
                      <w:t>135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E8DEF">
    <w:pPr>
      <w:pStyle w:val="18"/>
      <w:jc w:val="right"/>
    </w:pPr>
    <w:r>
      <w:rPr>
        <w:rFonts w:hint="eastAsia"/>
        <w:lang w:eastAsia="zh-CN"/>
      </w:rPr>
      <w:drawing>
        <wp:inline distT="0" distB="0" distL="114300" distR="114300">
          <wp:extent cx="2664460" cy="278765"/>
          <wp:effectExtent l="0" t="0" r="0" b="6985"/>
          <wp:docPr id="1" name="图片 1" descr="353afe324ad3cad658bf12ab6d32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3afe324ad3cad658bf12ab6d32f44"/>
                  <pic:cNvPicPr>
                    <a:picLocks noChangeAspect="1"/>
                  </pic:cNvPicPr>
                </pic:nvPicPr>
                <pic:blipFill>
                  <a:blip r:embed="rId1"/>
                  <a:stretch>
                    <a:fillRect/>
                  </a:stretch>
                </pic:blipFill>
                <pic:spPr>
                  <a:xfrm>
                    <a:off x="0" y="0"/>
                    <a:ext cx="2664460" cy="27876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97FD8">
    <w:pPr>
      <w:pStyle w:val="18"/>
      <w:jc w:val="right"/>
    </w:pPr>
    <w:r>
      <w:rPr>
        <w:rFonts w:hint="eastAsia"/>
        <w:lang w:eastAsia="zh-CN"/>
      </w:rPr>
      <w:drawing>
        <wp:inline distT="0" distB="0" distL="114300" distR="114300">
          <wp:extent cx="2664460" cy="278765"/>
          <wp:effectExtent l="0" t="0" r="0" b="6985"/>
          <wp:docPr id="6" name="图片 6" descr="353afe324ad3cad658bf12ab6d32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53afe324ad3cad658bf12ab6d32f44"/>
                  <pic:cNvPicPr>
                    <a:picLocks noChangeAspect="1"/>
                  </pic:cNvPicPr>
                </pic:nvPicPr>
                <pic:blipFill>
                  <a:blip r:embed="rId1"/>
                  <a:stretch>
                    <a:fillRect/>
                  </a:stretch>
                </pic:blipFill>
                <pic:spPr>
                  <a:xfrm>
                    <a:off x="0" y="0"/>
                    <a:ext cx="2664460" cy="27876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8EB80">
    <w:pPr>
      <w:pStyle w:val="18"/>
      <w:jc w:val="right"/>
    </w:pPr>
    <w:r>
      <w:rPr>
        <w:rFonts w:hint="eastAsia"/>
        <w:lang w:eastAsia="zh-CN"/>
      </w:rPr>
      <w:drawing>
        <wp:inline distT="0" distB="0" distL="114300" distR="114300">
          <wp:extent cx="2664460" cy="278765"/>
          <wp:effectExtent l="0" t="0" r="0" b="6985"/>
          <wp:docPr id="5" name="图片 5" descr="353afe324ad3cad658bf12ab6d32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53afe324ad3cad658bf12ab6d32f44"/>
                  <pic:cNvPicPr>
                    <a:picLocks noChangeAspect="1"/>
                  </pic:cNvPicPr>
                </pic:nvPicPr>
                <pic:blipFill>
                  <a:blip r:embed="rId1"/>
                  <a:stretch>
                    <a:fillRect/>
                  </a:stretch>
                </pic:blipFill>
                <pic:spPr>
                  <a:xfrm>
                    <a:off x="0" y="0"/>
                    <a:ext cx="2664460" cy="27876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9B0D1">
    <w:pPr>
      <w:pStyle w:val="18"/>
      <w:jc w:val="right"/>
    </w:pPr>
    <w:r>
      <w:rPr>
        <w:rFonts w:hint="eastAsia"/>
        <w:lang w:eastAsia="zh-CN"/>
      </w:rPr>
      <w:drawing>
        <wp:inline distT="0" distB="0" distL="114300" distR="114300">
          <wp:extent cx="2664460" cy="278765"/>
          <wp:effectExtent l="0" t="0" r="0" b="6985"/>
          <wp:docPr id="8" name="图片 8" descr="353afe324ad3cad658bf12ab6d32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53afe324ad3cad658bf12ab6d32f44"/>
                  <pic:cNvPicPr>
                    <a:picLocks noChangeAspect="1"/>
                  </pic:cNvPicPr>
                </pic:nvPicPr>
                <pic:blipFill>
                  <a:blip r:embed="rId1"/>
                  <a:stretch>
                    <a:fillRect/>
                  </a:stretch>
                </pic:blipFill>
                <pic:spPr>
                  <a:xfrm>
                    <a:off x="0" y="0"/>
                    <a:ext cx="2664460" cy="27876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77BA0">
    <w:pPr>
      <w:pStyle w:val="18"/>
      <w:pBdr>
        <w:bottom w:val="none" w:color="auto" w:sz="0" w:space="1"/>
      </w:pBdr>
      <w:jc w:val="right"/>
      <w:rPr>
        <w:rFonts w:hint="eastAsia"/>
      </w:rPr>
    </w:pPr>
    <w:r>
      <w:rPr>
        <w:rFonts w:hint="eastAsia"/>
        <w:lang w:eastAsia="zh-CN"/>
      </w:rPr>
      <w:drawing>
        <wp:inline distT="0" distB="0" distL="114300" distR="114300">
          <wp:extent cx="2664460" cy="278765"/>
          <wp:effectExtent l="0" t="0" r="0" b="6985"/>
          <wp:docPr id="3" name="图片 1" descr="353afe324ad3cad658bf12ab6d32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353afe324ad3cad658bf12ab6d32f44"/>
                  <pic:cNvPicPr>
                    <a:picLocks noChangeAspect="1"/>
                  </pic:cNvPicPr>
                </pic:nvPicPr>
                <pic:blipFill>
                  <a:blip r:embed="rId1"/>
                  <a:stretch>
                    <a:fillRect/>
                  </a:stretch>
                </pic:blipFill>
                <pic:spPr>
                  <a:xfrm>
                    <a:off x="0" y="0"/>
                    <a:ext cx="2664460" cy="27876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CDAC">
    <w:pPr>
      <w:pStyle w:val="18"/>
      <w:pBdr>
        <w:bottom w:val="none" w:color="auto" w:sz="0" w:space="1"/>
      </w:pBdr>
      <w:jc w:val="right"/>
      <w:rPr>
        <w:rFonts w:hint="eastAsia"/>
      </w:rPr>
    </w:pPr>
    <w:r>
      <w:rPr>
        <w:rFonts w:hint="eastAsia"/>
        <w:lang w:eastAsia="zh-CN"/>
      </w:rPr>
      <w:drawing>
        <wp:inline distT="0" distB="0" distL="114300" distR="114300">
          <wp:extent cx="2664460" cy="278765"/>
          <wp:effectExtent l="0" t="0" r="0" b="6985"/>
          <wp:docPr id="2" name="图片 2" descr="353afe324ad3cad658bf12ab6d32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53afe324ad3cad658bf12ab6d32f44"/>
                  <pic:cNvPicPr>
                    <a:picLocks noChangeAspect="1"/>
                  </pic:cNvPicPr>
                </pic:nvPicPr>
                <pic:blipFill>
                  <a:blip r:embed="rId1"/>
                  <a:stretch>
                    <a:fillRect/>
                  </a:stretch>
                </pic:blipFill>
                <pic:spPr>
                  <a:xfrm>
                    <a:off x="0" y="0"/>
                    <a:ext cx="2664460" cy="2787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DA793"/>
    <w:multiLevelType w:val="singleLevel"/>
    <w:tmpl w:val="973DA793"/>
    <w:lvl w:ilvl="0" w:tentative="0">
      <w:start w:val="2"/>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000000B"/>
    <w:multiLevelType w:val="singleLevel"/>
    <w:tmpl w:val="0000000B"/>
    <w:lvl w:ilvl="0" w:tentative="0">
      <w:start w:val="1"/>
      <w:numFmt w:val="upperLetter"/>
      <w:pStyle w:val="4"/>
      <w:lvlText w:val="%1."/>
      <w:lvlJc w:val="left"/>
      <w:pPr>
        <w:tabs>
          <w:tab w:val="left" w:pos="420"/>
        </w:tabs>
        <w:ind w:left="420" w:hanging="330"/>
      </w:pPr>
    </w:lvl>
  </w:abstractNum>
  <w:abstractNum w:abstractNumId="3">
    <w:nsid w:val="110A591B"/>
    <w:multiLevelType w:val="multilevel"/>
    <w:tmpl w:val="110A591B"/>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6"/>
      <w:lvlText w:val="5.2.%4"/>
      <w:lvlJc w:val="left"/>
      <w:pPr>
        <w:tabs>
          <w:tab w:val="left" w:pos="1080"/>
        </w:tabs>
        <w:ind w:left="1620"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38FFF10A"/>
    <w:multiLevelType w:val="singleLevel"/>
    <w:tmpl w:val="38FFF10A"/>
    <w:lvl w:ilvl="0" w:tentative="0">
      <w:start w:val="3"/>
      <w:numFmt w:val="chineseCounting"/>
      <w:suff w:val="space"/>
      <w:lvlText w:val="第%1部分"/>
      <w:lvlJc w:val="left"/>
      <w:rPr>
        <w:rFonts w:hint="eastAsia"/>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B3E5E"/>
    <w:rsid w:val="00AE4805"/>
    <w:rsid w:val="00FC206D"/>
    <w:rsid w:val="014B08FF"/>
    <w:rsid w:val="019E0B3B"/>
    <w:rsid w:val="01B800CA"/>
    <w:rsid w:val="01EA0118"/>
    <w:rsid w:val="021128BE"/>
    <w:rsid w:val="02781BC8"/>
    <w:rsid w:val="027F4D04"/>
    <w:rsid w:val="03710AF1"/>
    <w:rsid w:val="03B53475"/>
    <w:rsid w:val="03CD4595"/>
    <w:rsid w:val="03D36D49"/>
    <w:rsid w:val="043B2EAD"/>
    <w:rsid w:val="04A47A17"/>
    <w:rsid w:val="057D431F"/>
    <w:rsid w:val="063A3B6C"/>
    <w:rsid w:val="06585BE1"/>
    <w:rsid w:val="06715388"/>
    <w:rsid w:val="06974E58"/>
    <w:rsid w:val="077E1A2E"/>
    <w:rsid w:val="07C3580B"/>
    <w:rsid w:val="080F2686"/>
    <w:rsid w:val="082D70C9"/>
    <w:rsid w:val="08485B98"/>
    <w:rsid w:val="08E21B49"/>
    <w:rsid w:val="08F42EB0"/>
    <w:rsid w:val="097D1872"/>
    <w:rsid w:val="099F1FFD"/>
    <w:rsid w:val="0A0239D6"/>
    <w:rsid w:val="0A5061ED"/>
    <w:rsid w:val="0ABD5BFD"/>
    <w:rsid w:val="0B52270F"/>
    <w:rsid w:val="0B5605CC"/>
    <w:rsid w:val="0BD22349"/>
    <w:rsid w:val="0BEB340A"/>
    <w:rsid w:val="0CC021A1"/>
    <w:rsid w:val="0D3E7405"/>
    <w:rsid w:val="0D421E6D"/>
    <w:rsid w:val="0D4C3E39"/>
    <w:rsid w:val="0D8D47CA"/>
    <w:rsid w:val="0DA65ED1"/>
    <w:rsid w:val="0E1F4751"/>
    <w:rsid w:val="0E250E55"/>
    <w:rsid w:val="0E5E1C72"/>
    <w:rsid w:val="0F821719"/>
    <w:rsid w:val="11531836"/>
    <w:rsid w:val="119836EC"/>
    <w:rsid w:val="120D40DA"/>
    <w:rsid w:val="12260CF8"/>
    <w:rsid w:val="12521AED"/>
    <w:rsid w:val="1299771C"/>
    <w:rsid w:val="12B26558"/>
    <w:rsid w:val="12D1335A"/>
    <w:rsid w:val="12F26E2C"/>
    <w:rsid w:val="135C0866"/>
    <w:rsid w:val="135D2127"/>
    <w:rsid w:val="13CF716E"/>
    <w:rsid w:val="146D0DFF"/>
    <w:rsid w:val="149C30E8"/>
    <w:rsid w:val="14B0603E"/>
    <w:rsid w:val="156404B5"/>
    <w:rsid w:val="159B7450"/>
    <w:rsid w:val="15D3486C"/>
    <w:rsid w:val="180D792A"/>
    <w:rsid w:val="183323C1"/>
    <w:rsid w:val="18C148B0"/>
    <w:rsid w:val="198C4155"/>
    <w:rsid w:val="1A367BB6"/>
    <w:rsid w:val="1BF70E86"/>
    <w:rsid w:val="1D4E2316"/>
    <w:rsid w:val="1DF0665E"/>
    <w:rsid w:val="1E4E592A"/>
    <w:rsid w:val="1E5E6B54"/>
    <w:rsid w:val="1E827DD3"/>
    <w:rsid w:val="1F43113D"/>
    <w:rsid w:val="201E646E"/>
    <w:rsid w:val="204333BD"/>
    <w:rsid w:val="212925B3"/>
    <w:rsid w:val="216F7310"/>
    <w:rsid w:val="21AB4667"/>
    <w:rsid w:val="22424F31"/>
    <w:rsid w:val="22625822"/>
    <w:rsid w:val="22683964"/>
    <w:rsid w:val="22B83BEE"/>
    <w:rsid w:val="233C48BB"/>
    <w:rsid w:val="239F4DAE"/>
    <w:rsid w:val="23A91789"/>
    <w:rsid w:val="246156FE"/>
    <w:rsid w:val="252C2B95"/>
    <w:rsid w:val="25302162"/>
    <w:rsid w:val="25441769"/>
    <w:rsid w:val="25643920"/>
    <w:rsid w:val="258254F2"/>
    <w:rsid w:val="26276E4A"/>
    <w:rsid w:val="262B3E5E"/>
    <w:rsid w:val="26967288"/>
    <w:rsid w:val="26D151AA"/>
    <w:rsid w:val="26F07CA0"/>
    <w:rsid w:val="270F0990"/>
    <w:rsid w:val="271E5FEA"/>
    <w:rsid w:val="276C5CB3"/>
    <w:rsid w:val="278D68E5"/>
    <w:rsid w:val="27914A0E"/>
    <w:rsid w:val="27D24E61"/>
    <w:rsid w:val="27D33279"/>
    <w:rsid w:val="27E049CE"/>
    <w:rsid w:val="284162CF"/>
    <w:rsid w:val="286B525F"/>
    <w:rsid w:val="290F208E"/>
    <w:rsid w:val="29491A44"/>
    <w:rsid w:val="298C36DF"/>
    <w:rsid w:val="29B13146"/>
    <w:rsid w:val="2ADC0696"/>
    <w:rsid w:val="2B8F395A"/>
    <w:rsid w:val="2BA03472"/>
    <w:rsid w:val="2C0F56CA"/>
    <w:rsid w:val="2C1125C1"/>
    <w:rsid w:val="2C2D12E6"/>
    <w:rsid w:val="2C3D33B6"/>
    <w:rsid w:val="2C5223C6"/>
    <w:rsid w:val="2C6B1F6C"/>
    <w:rsid w:val="2D99286E"/>
    <w:rsid w:val="2DBD655D"/>
    <w:rsid w:val="2DDB2E87"/>
    <w:rsid w:val="2EDC6EB7"/>
    <w:rsid w:val="2FC62ACC"/>
    <w:rsid w:val="30F304E8"/>
    <w:rsid w:val="315076E8"/>
    <w:rsid w:val="31950DD9"/>
    <w:rsid w:val="323B0398"/>
    <w:rsid w:val="32690A61"/>
    <w:rsid w:val="32700042"/>
    <w:rsid w:val="32A444AB"/>
    <w:rsid w:val="332638F5"/>
    <w:rsid w:val="33D353CB"/>
    <w:rsid w:val="34312E17"/>
    <w:rsid w:val="34CE2561"/>
    <w:rsid w:val="36376D1A"/>
    <w:rsid w:val="36F909D9"/>
    <w:rsid w:val="37105BFE"/>
    <w:rsid w:val="376E32E0"/>
    <w:rsid w:val="38C31D8F"/>
    <w:rsid w:val="38FB752D"/>
    <w:rsid w:val="397A79F8"/>
    <w:rsid w:val="3A484D03"/>
    <w:rsid w:val="3AF17846"/>
    <w:rsid w:val="3BC1546A"/>
    <w:rsid w:val="3BFA4B07"/>
    <w:rsid w:val="3D1B32A0"/>
    <w:rsid w:val="3D2D0B07"/>
    <w:rsid w:val="3DD1570D"/>
    <w:rsid w:val="3DE15D8D"/>
    <w:rsid w:val="3DE87797"/>
    <w:rsid w:val="3F4323FA"/>
    <w:rsid w:val="3F8C3FE1"/>
    <w:rsid w:val="3FC574F3"/>
    <w:rsid w:val="3FCB5CD5"/>
    <w:rsid w:val="40421253"/>
    <w:rsid w:val="419B49AF"/>
    <w:rsid w:val="41AE46E3"/>
    <w:rsid w:val="41E9396D"/>
    <w:rsid w:val="43CC2BFE"/>
    <w:rsid w:val="43ED79B4"/>
    <w:rsid w:val="4471704C"/>
    <w:rsid w:val="449E2EEB"/>
    <w:rsid w:val="44A41DCD"/>
    <w:rsid w:val="453E4F18"/>
    <w:rsid w:val="45833790"/>
    <w:rsid w:val="45986047"/>
    <w:rsid w:val="462211FB"/>
    <w:rsid w:val="463F0B36"/>
    <w:rsid w:val="46681E73"/>
    <w:rsid w:val="4723522B"/>
    <w:rsid w:val="483E1699"/>
    <w:rsid w:val="487D096B"/>
    <w:rsid w:val="48D013E2"/>
    <w:rsid w:val="48D34A2F"/>
    <w:rsid w:val="49480C37"/>
    <w:rsid w:val="4A6A13C3"/>
    <w:rsid w:val="4A895CED"/>
    <w:rsid w:val="4A8E5235"/>
    <w:rsid w:val="4B6202EC"/>
    <w:rsid w:val="4C596BC6"/>
    <w:rsid w:val="4C630976"/>
    <w:rsid w:val="4DEA4CF4"/>
    <w:rsid w:val="4E8B1381"/>
    <w:rsid w:val="4EC72940"/>
    <w:rsid w:val="4F0F3A8F"/>
    <w:rsid w:val="4F226C34"/>
    <w:rsid w:val="50B05655"/>
    <w:rsid w:val="518D3B9D"/>
    <w:rsid w:val="51BD44CE"/>
    <w:rsid w:val="52902C3D"/>
    <w:rsid w:val="529B4AB4"/>
    <w:rsid w:val="538C5F06"/>
    <w:rsid w:val="545D78A2"/>
    <w:rsid w:val="555948DC"/>
    <w:rsid w:val="55621614"/>
    <w:rsid w:val="558F1CDD"/>
    <w:rsid w:val="55B94FAC"/>
    <w:rsid w:val="562A59E7"/>
    <w:rsid w:val="56475DD6"/>
    <w:rsid w:val="56534B15"/>
    <w:rsid w:val="56C73360"/>
    <w:rsid w:val="57D955CD"/>
    <w:rsid w:val="589A10C5"/>
    <w:rsid w:val="597865A7"/>
    <w:rsid w:val="59A301AC"/>
    <w:rsid w:val="59CB00AF"/>
    <w:rsid w:val="5A2E799C"/>
    <w:rsid w:val="5A590C06"/>
    <w:rsid w:val="5AA224B3"/>
    <w:rsid w:val="5AD52888"/>
    <w:rsid w:val="5B614C76"/>
    <w:rsid w:val="5B8932F0"/>
    <w:rsid w:val="5BC07095"/>
    <w:rsid w:val="5C4E0BE3"/>
    <w:rsid w:val="5C6E4D42"/>
    <w:rsid w:val="5D1237BA"/>
    <w:rsid w:val="5D2633A3"/>
    <w:rsid w:val="5E5166CA"/>
    <w:rsid w:val="5E8F2D4E"/>
    <w:rsid w:val="5EAB6A71"/>
    <w:rsid w:val="5ED97D1A"/>
    <w:rsid w:val="5FB30897"/>
    <w:rsid w:val="60086481"/>
    <w:rsid w:val="610C4B2A"/>
    <w:rsid w:val="61377532"/>
    <w:rsid w:val="61B440C1"/>
    <w:rsid w:val="61E61E2E"/>
    <w:rsid w:val="624B51DE"/>
    <w:rsid w:val="62594319"/>
    <w:rsid w:val="62D04D7C"/>
    <w:rsid w:val="62EB41D6"/>
    <w:rsid w:val="63302D52"/>
    <w:rsid w:val="63784C49"/>
    <w:rsid w:val="63A677AF"/>
    <w:rsid w:val="645667E8"/>
    <w:rsid w:val="647924D6"/>
    <w:rsid w:val="65034937"/>
    <w:rsid w:val="65206DF6"/>
    <w:rsid w:val="652124DD"/>
    <w:rsid w:val="65436640"/>
    <w:rsid w:val="660D2ED6"/>
    <w:rsid w:val="66782720"/>
    <w:rsid w:val="674768BC"/>
    <w:rsid w:val="67A07071"/>
    <w:rsid w:val="68242759"/>
    <w:rsid w:val="68961B2E"/>
    <w:rsid w:val="691741BA"/>
    <w:rsid w:val="6A5C442C"/>
    <w:rsid w:val="6B4D1FC7"/>
    <w:rsid w:val="6B6B47CD"/>
    <w:rsid w:val="6C643A6C"/>
    <w:rsid w:val="6C994ADE"/>
    <w:rsid w:val="6CF057FC"/>
    <w:rsid w:val="6D394EF9"/>
    <w:rsid w:val="6D750E76"/>
    <w:rsid w:val="6DC74A88"/>
    <w:rsid w:val="6DF41B82"/>
    <w:rsid w:val="6E1141A4"/>
    <w:rsid w:val="6E9A07B7"/>
    <w:rsid w:val="6F0B4673"/>
    <w:rsid w:val="6F354F36"/>
    <w:rsid w:val="71542301"/>
    <w:rsid w:val="71F47640"/>
    <w:rsid w:val="72273572"/>
    <w:rsid w:val="727C2B53"/>
    <w:rsid w:val="72847876"/>
    <w:rsid w:val="738F5872"/>
    <w:rsid w:val="73B80DC0"/>
    <w:rsid w:val="73C6500C"/>
    <w:rsid w:val="7447614D"/>
    <w:rsid w:val="74E2279A"/>
    <w:rsid w:val="75341257"/>
    <w:rsid w:val="75E95BCF"/>
    <w:rsid w:val="783A55A4"/>
    <w:rsid w:val="78A000BA"/>
    <w:rsid w:val="78BF389A"/>
    <w:rsid w:val="79116D2A"/>
    <w:rsid w:val="791A3E30"/>
    <w:rsid w:val="797505C2"/>
    <w:rsid w:val="79C67B14"/>
    <w:rsid w:val="79D5224B"/>
    <w:rsid w:val="7A392094"/>
    <w:rsid w:val="7A4D10D5"/>
    <w:rsid w:val="7AE2272C"/>
    <w:rsid w:val="7AE71AF0"/>
    <w:rsid w:val="7B9E7125"/>
    <w:rsid w:val="7C695EE4"/>
    <w:rsid w:val="7C995A40"/>
    <w:rsid w:val="7CF36423"/>
    <w:rsid w:val="7D2D3A06"/>
    <w:rsid w:val="7D3C1FAA"/>
    <w:rsid w:val="7DED1B13"/>
    <w:rsid w:val="7F90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numPr>
        <w:ilvl w:val="0"/>
        <w:numId w:val="1"/>
      </w:numPr>
      <w:spacing w:line="360" w:lineRule="auto"/>
      <w:outlineLvl w:val="1"/>
    </w:pPr>
    <w:rPr>
      <w:b/>
      <w:sz w:val="24"/>
      <w:szCs w:val="24"/>
    </w:rPr>
  </w:style>
  <w:style w:type="paragraph" w:styleId="5">
    <w:name w:val="heading 3"/>
    <w:basedOn w:val="1"/>
    <w:next w:val="1"/>
    <w:qFormat/>
    <w:uiPriority w:val="99"/>
    <w:pPr>
      <w:keepNext/>
      <w:keepLines/>
      <w:spacing w:before="260" w:after="260" w:line="413" w:lineRule="auto"/>
      <w:outlineLvl w:val="2"/>
    </w:pPr>
    <w:rPr>
      <w:b/>
      <w:sz w:val="32"/>
    </w:rPr>
  </w:style>
  <w:style w:type="paragraph" w:styleId="6">
    <w:name w:val="heading 4"/>
    <w:basedOn w:val="1"/>
    <w:next w:val="1"/>
    <w:qFormat/>
    <w:uiPriority w:val="0"/>
    <w:pPr>
      <w:widowControl/>
      <w:numPr>
        <w:ilvl w:val="3"/>
        <w:numId w:val="2"/>
      </w:numPr>
      <w:spacing w:before="120" w:after="120" w:line="360" w:lineRule="auto"/>
      <w:outlineLvl w:val="3"/>
    </w:pPr>
    <w:rPr>
      <w:rFonts w:ascii="华文宋体" w:hAnsi="华文宋体" w:eastAsia="华文宋体"/>
      <w:kern w:val="0"/>
      <w:sz w:val="24"/>
      <w:szCs w:val="2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0"/>
  </w:style>
  <w:style w:type="paragraph" w:styleId="7">
    <w:name w:val="Normal Indent"/>
    <w:basedOn w:val="1"/>
    <w:qFormat/>
    <w:uiPriority w:val="0"/>
    <w:pPr>
      <w:ind w:firstLine="420" w:firstLineChars="200"/>
    </w:pPr>
    <w:rPr>
      <w:szCs w:val="24"/>
    </w:rPr>
  </w:style>
  <w:style w:type="paragraph" w:styleId="8">
    <w:name w:val="toa heading"/>
    <w:basedOn w:val="1"/>
    <w:next w:val="1"/>
    <w:qFormat/>
    <w:uiPriority w:val="0"/>
    <w:pPr>
      <w:spacing w:before="120"/>
    </w:pPr>
    <w:rPr>
      <w:rFonts w:ascii="Cambria" w:hAnsi="Cambria" w:cs="Times New Roman"/>
      <w:sz w:val="24"/>
    </w:rPr>
  </w:style>
  <w:style w:type="paragraph" w:styleId="9">
    <w:name w:val="index 6"/>
    <w:basedOn w:val="1"/>
    <w:next w:val="1"/>
    <w:qFormat/>
    <w:uiPriority w:val="99"/>
    <w:pPr>
      <w:ind w:left="2100"/>
    </w:pPr>
  </w:style>
  <w:style w:type="paragraph" w:styleId="10">
    <w:name w:val="Body Text 3"/>
    <w:next w:val="1"/>
    <w:qFormat/>
    <w:uiPriority w:val="0"/>
    <w:pPr>
      <w:kinsoku w:val="0"/>
      <w:autoSpaceDE w:val="0"/>
      <w:autoSpaceDN w:val="0"/>
      <w:adjustRightInd w:val="0"/>
      <w:snapToGrid w:val="0"/>
      <w:spacing w:after="120" w:line="540" w:lineRule="exact"/>
      <w:ind w:firstLine="200" w:firstLineChars="200"/>
      <w:jc w:val="left"/>
      <w:textAlignment w:val="baseline"/>
    </w:pPr>
    <w:rPr>
      <w:rFonts w:ascii="Arial" w:hAnsi="Arial" w:eastAsia="仿宋_GB2312" w:cs="Arial"/>
      <w:snapToGrid w:val="0"/>
      <w:color w:val="000000"/>
      <w:kern w:val="0"/>
      <w:sz w:val="16"/>
      <w:szCs w:val="16"/>
      <w:lang w:val="en-US" w:eastAsia="en-US" w:bidi="ar-SA"/>
    </w:rPr>
  </w:style>
  <w:style w:type="paragraph" w:styleId="11">
    <w:name w:val="Body Text"/>
    <w:basedOn w:val="1"/>
    <w:next w:val="12"/>
    <w:semiHidden/>
    <w:qFormat/>
    <w:uiPriority w:val="0"/>
    <w:rPr>
      <w:rFonts w:ascii="宋体" w:hAnsi="宋体" w:eastAsia="宋体" w:cs="宋体"/>
      <w:sz w:val="35"/>
      <w:szCs w:val="35"/>
      <w:lang w:val="en-US" w:eastAsia="en-US" w:bidi="ar-SA"/>
    </w:rPr>
  </w:style>
  <w:style w:type="paragraph" w:styleId="12">
    <w:name w:val="toc 4"/>
    <w:basedOn w:val="1"/>
    <w:next w:val="1"/>
    <w:qFormat/>
    <w:uiPriority w:val="0"/>
    <w:pPr>
      <w:ind w:left="1260" w:leftChars="600"/>
    </w:pPr>
  </w:style>
  <w:style w:type="paragraph" w:styleId="13">
    <w:name w:val="Body Text Indent"/>
    <w:basedOn w:val="1"/>
    <w:next w:val="14"/>
    <w:qFormat/>
    <w:uiPriority w:val="0"/>
    <w:pPr>
      <w:spacing w:after="120"/>
      <w:ind w:left="200" w:leftChars="200"/>
    </w:pPr>
  </w:style>
  <w:style w:type="paragraph" w:styleId="14">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styleId="15">
    <w:name w:val="Plain Text"/>
    <w:basedOn w:val="1"/>
    <w:qFormat/>
    <w:uiPriority w:val="0"/>
    <w:rPr>
      <w:rFonts w:ascii="宋体" w:hAnsi="Courier New"/>
      <w:szCs w:val="20"/>
    </w:rPr>
  </w:style>
  <w:style w:type="paragraph" w:styleId="16">
    <w:name w:val="Body Text Indent 2"/>
    <w:basedOn w:val="1"/>
    <w:qFormat/>
    <w:uiPriority w:val="0"/>
    <w:pPr>
      <w:ind w:firstLine="1040" w:firstLineChars="200"/>
      <w:jc w:val="center"/>
    </w:pPr>
    <w:rPr>
      <w:rFonts w:ascii="黑体" w:hAnsi="黑体" w:eastAsia="黑体"/>
      <w:sz w:val="36"/>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Body Text First Indent 2"/>
    <w:basedOn w:val="13"/>
    <w:semiHidden/>
    <w:unhideWhenUsed/>
    <w:qFormat/>
    <w:uiPriority w:val="99"/>
    <w:pPr>
      <w:widowControl w:val="0"/>
      <w:spacing w:after="120"/>
      <w:ind w:left="420" w:leftChars="200" w:firstLine="420" w:firstLineChars="200"/>
    </w:pPr>
    <w:rPr>
      <w:rFonts w:hint="eastAsia" w:ascii="宋体" w:hAnsi="宋体" w:eastAsia="Calibri" w:cs="Times New Roman"/>
      <w:kern w:val="2"/>
      <w:sz w:val="21"/>
      <w:szCs w:val="21"/>
      <w:lang w:val="en-US" w:eastAsia="zh-CN" w:bidi="ar-SA"/>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mphasis"/>
    <w:basedOn w:val="22"/>
    <w:qFormat/>
    <w:uiPriority w:val="0"/>
    <w:rPr>
      <w:i/>
    </w:rPr>
  </w:style>
  <w:style w:type="character" w:styleId="24">
    <w:name w:val="Hyperlink"/>
    <w:basedOn w:val="22"/>
    <w:qFormat/>
    <w:uiPriority w:val="0"/>
    <w:rPr>
      <w:color w:val="262626"/>
      <w:u w:val="none"/>
    </w:rPr>
  </w:style>
  <w:style w:type="paragraph" w:customStyle="1" w:styleId="25">
    <w:name w:val="Table Text"/>
    <w:basedOn w:val="1"/>
    <w:semiHidden/>
    <w:qFormat/>
    <w:uiPriority w:val="0"/>
    <w:rPr>
      <w:rFonts w:ascii="宋体" w:hAnsi="宋体" w:eastAsia="宋体" w:cs="宋体"/>
      <w:sz w:val="24"/>
      <w:szCs w:val="24"/>
      <w:lang w:val="en-US" w:eastAsia="en-US" w:bidi="ar-SA"/>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Default Text"/>
    <w:qFormat/>
    <w:uiPriority w:val="0"/>
    <w:pPr>
      <w:widowControl w:val="0"/>
      <w:autoSpaceDE w:val="0"/>
      <w:autoSpaceDN w:val="0"/>
      <w:adjustRightInd w:val="0"/>
    </w:pPr>
    <w:rPr>
      <w:rFonts w:ascii="Calibri" w:hAnsi="Calibri" w:eastAsia="宋体" w:cs="宋体"/>
      <w:color w:val="000000"/>
      <w:sz w:val="24"/>
      <w:szCs w:val="24"/>
      <w:lang w:val="en-US" w:eastAsia="zh-CN" w:bidi="ar-SA"/>
    </w:rPr>
  </w:style>
  <w:style w:type="paragraph" w:customStyle="1" w:styleId="2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9">
    <w:name w:val="È±Ê¡ÎÄ±¾"/>
    <w:basedOn w:val="1"/>
    <w:qFormat/>
    <w:uiPriority w:val="0"/>
    <w:pPr>
      <w:widowControl/>
      <w:overflowPunct w:val="0"/>
      <w:autoSpaceDE w:val="0"/>
      <w:autoSpaceDN w:val="0"/>
      <w:adjustRightInd w:val="0"/>
      <w:jc w:val="left"/>
    </w:pPr>
    <w:rPr>
      <w:kern w:val="0"/>
      <w:sz w:val="24"/>
    </w:rPr>
  </w:style>
  <w:style w:type="paragraph" w:customStyle="1" w:styleId="30">
    <w:name w:val="正文3"/>
    <w:qFormat/>
    <w:uiPriority w:val="0"/>
    <w:pPr>
      <w:widowControl w:val="0"/>
      <w:adjustRightInd w:val="0"/>
      <w:spacing w:line="312" w:lineRule="atLeast"/>
      <w:jc w:val="both"/>
    </w:pPr>
    <w:rPr>
      <w:rFonts w:ascii="宋体" w:hAnsi="Calibri" w:eastAsia="宋体" w:cs="Times New Roman"/>
      <w:sz w:val="24"/>
      <w:lang w:val="en-US" w:eastAsia="zh-CN" w:bidi="ar-SA"/>
    </w:rPr>
  </w:style>
  <w:style w:type="paragraph" w:customStyle="1" w:styleId="31">
    <w:name w:val="样式 标题 2 + Times New Roman 四号 非加粗 段前: 5 磅 段后: 0 磅 行距: 固定值 20..."/>
    <w:basedOn w:val="4"/>
    <w:qFormat/>
    <w:uiPriority w:val="0"/>
    <w:pPr>
      <w:autoSpaceDE/>
      <w:autoSpaceDN/>
      <w:adjustRightInd/>
      <w:spacing w:before="100" w:line="400" w:lineRule="exact"/>
      <w:jc w:val="both"/>
    </w:pPr>
    <w:rPr>
      <w:rFonts w:ascii="Times New Roman" w:hAnsi="Times New Roman" w:cs="宋体"/>
      <w:b w:val="0"/>
      <w:kern w:val="2"/>
      <w:sz w:val="28"/>
    </w:rPr>
  </w:style>
  <w:style w:type="paragraph" w:customStyle="1" w:styleId="32">
    <w:name w:val="_Style 6"/>
    <w:basedOn w:val="3"/>
    <w:next w:val="1"/>
    <w:qFormat/>
    <w:uiPriority w:val="0"/>
    <w:pPr>
      <w:tabs>
        <w:tab w:val="left" w:pos="360"/>
      </w:tabs>
      <w:outlineLvl w:val="9"/>
    </w:pPr>
  </w:style>
  <w:style w:type="paragraph" w:customStyle="1" w:styleId="3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7.wmf"/><Relationship Id="rId32" Type="http://schemas.openxmlformats.org/officeDocument/2006/relationships/oleObject" Target="embeddings/oleObject5.bin"/><Relationship Id="rId31" Type="http://schemas.openxmlformats.org/officeDocument/2006/relationships/image" Target="media/image6.wmf"/><Relationship Id="rId30" Type="http://schemas.openxmlformats.org/officeDocument/2006/relationships/oleObject" Target="embeddings/oleObject4.bin"/><Relationship Id="rId3" Type="http://schemas.openxmlformats.org/officeDocument/2006/relationships/footnotes" Target="footnotes.xml"/><Relationship Id="rId29" Type="http://schemas.openxmlformats.org/officeDocument/2006/relationships/image" Target="media/image5.wmf"/><Relationship Id="rId28" Type="http://schemas.openxmlformats.org/officeDocument/2006/relationships/oleObject" Target="embeddings/oleObject3.bin"/><Relationship Id="rId27" Type="http://schemas.openxmlformats.org/officeDocument/2006/relationships/image" Target="media/image4.wmf"/><Relationship Id="rId26" Type="http://schemas.openxmlformats.org/officeDocument/2006/relationships/oleObject" Target="embeddings/oleObject2.bin"/><Relationship Id="rId25" Type="http://schemas.openxmlformats.org/officeDocument/2006/relationships/image" Target="media/image3.wmf"/><Relationship Id="rId24" Type="http://schemas.openxmlformats.org/officeDocument/2006/relationships/oleObject" Target="embeddings/oleObject1.bin"/><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header" Target="header6.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5.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171</Pages>
  <Words>24091</Words>
  <Characters>25978</Characters>
  <Lines>0</Lines>
  <Paragraphs>0</Paragraphs>
  <TotalTime>29</TotalTime>
  <ScaleCrop>false</ScaleCrop>
  <LinksUpToDate>false</LinksUpToDate>
  <CharactersWithSpaces>26098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2025-03-28T12:43:00Z</dcterms:created>
  <dc:creator>Nurjáz</dc:creator>
  <cp:lastModifiedBy>朱启明</cp:lastModifiedBy>
  <dcterms:modified xsi:type="dcterms:W3CDTF">2025-06-18T10:18:43Z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28DC8176F62B43F5BF1FED42558062E5_11</vt:lpwstr>
  </property>
  <property fmtid="{D5CDD505-2E9C-101B-9397-08002B2CF9AE}" pid="4" name="KSOTemplateDocerSaveRecord">
    <vt:lpwstr>eyJoZGlkIjoiMjc5MTJlZWFiZTY4MTNmNWIwOWU3NGY1YTQ0NjY4NDMiLCJ1c2VySWQiOiIyOTg4MDcxOCJ9</vt:lpwstr>
  </property>
</Properties>
</file>