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9B133">
      <w:pPr>
        <w:tabs>
          <w:tab w:val="left" w:pos="1134"/>
          <w:tab w:val="left" w:pos="5481"/>
          <w:tab w:val="left" w:pos="5859"/>
        </w:tabs>
        <w:rPr>
          <w:rFonts w:ascii="黑体" w:hAnsi="黑体" w:eastAsia="黑体"/>
          <w:color w:val="auto"/>
          <w:sz w:val="10"/>
          <w:szCs w:val="10"/>
          <w:highlight w:val="none"/>
        </w:rPr>
      </w:pPr>
    </w:p>
    <w:p w14:paraId="09DD7E24">
      <w:pPr>
        <w:spacing w:before="120" w:beforeLines="50" w:after="240" w:afterLines="100"/>
        <w:jc w:val="center"/>
        <w:rPr>
          <w:rFonts w:ascii="宋体" w:hAnsi="宋体" w:cs="宋体"/>
          <w:b/>
          <w:color w:val="auto"/>
          <w:sz w:val="40"/>
          <w:szCs w:val="32"/>
          <w:highlight w:val="none"/>
        </w:rPr>
      </w:pPr>
    </w:p>
    <w:p w14:paraId="4A275ACF">
      <w:pPr>
        <w:spacing w:before="120" w:beforeLines="50" w:after="240" w:afterLines="100"/>
        <w:jc w:val="center"/>
        <w:rPr>
          <w:rFonts w:hint="eastAsia" w:ascii="宋体" w:hAnsi="宋体" w:cs="宋体"/>
          <w:b/>
          <w:bCs w:val="0"/>
          <w:color w:val="auto"/>
          <w:sz w:val="56"/>
          <w:szCs w:val="48"/>
          <w:highlight w:val="none"/>
          <w:lang w:eastAsia="zh-CN"/>
        </w:rPr>
      </w:pPr>
      <w:r>
        <w:rPr>
          <w:rFonts w:hint="eastAsia" w:ascii="宋体" w:hAnsi="宋体" w:cs="宋体"/>
          <w:b/>
          <w:bCs w:val="0"/>
          <w:color w:val="auto"/>
          <w:sz w:val="56"/>
          <w:szCs w:val="48"/>
          <w:highlight w:val="none"/>
          <w:lang w:eastAsia="zh-CN"/>
        </w:rPr>
        <w:t>木垒通用机场项目工程场地地震安全性评价</w:t>
      </w:r>
    </w:p>
    <w:p w14:paraId="0184BB7C">
      <w:pPr>
        <w:spacing w:before="120" w:beforeLines="50" w:after="240" w:afterLines="100"/>
        <w:jc w:val="center"/>
        <w:rPr>
          <w:rFonts w:hint="eastAsia" w:ascii="宋体" w:hAnsi="宋体" w:cs="宋体"/>
          <w:b/>
          <w:bCs w:val="0"/>
          <w:color w:val="auto"/>
          <w:sz w:val="56"/>
          <w:szCs w:val="48"/>
          <w:highlight w:val="none"/>
          <w:lang w:eastAsia="zh-CN"/>
        </w:rPr>
      </w:pPr>
    </w:p>
    <w:p w14:paraId="69B339E6">
      <w:pPr>
        <w:spacing w:before="120" w:beforeLines="50" w:after="240" w:afterLines="100"/>
        <w:jc w:val="center"/>
        <w:rPr>
          <w:rFonts w:hint="eastAsia" w:ascii="宋体" w:hAnsi="宋体" w:eastAsia="宋体" w:cs="宋体"/>
          <w:b/>
          <w:color w:val="auto"/>
          <w:sz w:val="40"/>
          <w:szCs w:val="32"/>
          <w:highlight w:val="none"/>
          <w:lang w:eastAsia="zh-CN"/>
        </w:rPr>
      </w:pPr>
    </w:p>
    <w:p w14:paraId="11FD4B56">
      <w:pPr>
        <w:spacing w:before="120" w:beforeLines="50" w:after="240" w:afterLines="100"/>
        <w:jc w:val="center"/>
        <w:rPr>
          <w:rFonts w:ascii="宋体" w:hAnsi="宋体" w:cs="宋体"/>
          <w:b/>
          <w:color w:val="auto"/>
          <w:sz w:val="32"/>
          <w:szCs w:val="32"/>
          <w:highlight w:val="none"/>
        </w:rPr>
      </w:pPr>
    </w:p>
    <w:p w14:paraId="03E2EE01">
      <w:pPr>
        <w:adjustRightInd w:val="0"/>
        <w:snapToGrid w:val="0"/>
        <w:spacing w:line="400" w:lineRule="exact"/>
        <w:jc w:val="center"/>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rPr>
        <w:t>编号：</w:t>
      </w:r>
      <w:r>
        <w:rPr>
          <w:rFonts w:hint="eastAsia" w:ascii="宋体" w:hAnsi="宋体" w:cs="宋体"/>
          <w:b/>
          <w:color w:val="auto"/>
          <w:sz w:val="32"/>
          <w:szCs w:val="32"/>
          <w:highlight w:val="none"/>
          <w:lang w:val="en-US" w:eastAsia="zh-CN"/>
        </w:rPr>
        <w:t>JPWY</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2025</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012-AP</w:t>
      </w:r>
    </w:p>
    <w:p w14:paraId="3D8D0556">
      <w:pPr>
        <w:adjustRightInd w:val="0"/>
        <w:snapToGrid w:val="0"/>
        <w:spacing w:line="400" w:lineRule="exact"/>
        <w:jc w:val="center"/>
        <w:rPr>
          <w:rFonts w:ascii="宋体" w:hAnsi="宋体" w:cs="宋体"/>
          <w:color w:val="auto"/>
          <w:highlight w:val="none"/>
        </w:rPr>
      </w:pPr>
    </w:p>
    <w:p w14:paraId="158754AD">
      <w:pPr>
        <w:pStyle w:val="33"/>
        <w:ind w:firstLine="1126"/>
        <w:rPr>
          <w:rFonts w:ascii="宋体" w:hAnsi="宋体" w:eastAsia="宋体" w:cs="宋体"/>
          <w:color w:val="auto"/>
          <w:highlight w:val="none"/>
        </w:rPr>
      </w:pPr>
    </w:p>
    <w:p w14:paraId="30677214">
      <w:pPr>
        <w:pStyle w:val="33"/>
        <w:ind w:firstLine="1126"/>
        <w:rPr>
          <w:rFonts w:ascii="宋体" w:hAnsi="宋体" w:eastAsia="宋体" w:cs="宋体"/>
          <w:color w:val="auto"/>
          <w:highlight w:val="none"/>
        </w:rPr>
      </w:pPr>
    </w:p>
    <w:p w14:paraId="27E0348A">
      <w:pPr>
        <w:pStyle w:val="33"/>
        <w:ind w:firstLine="1126"/>
        <w:rPr>
          <w:rFonts w:ascii="宋体" w:hAnsi="宋体" w:eastAsia="宋体" w:cs="宋体"/>
          <w:color w:val="auto"/>
          <w:highlight w:val="none"/>
        </w:rPr>
      </w:pPr>
    </w:p>
    <w:p w14:paraId="31023D12">
      <w:pPr>
        <w:adjustRightInd w:val="0"/>
        <w:snapToGrid w:val="0"/>
        <w:jc w:val="center"/>
        <w:rPr>
          <w:rFonts w:ascii="宋体" w:hAnsi="宋体" w:cs="宋体"/>
          <w:b/>
          <w:bCs/>
          <w:color w:val="auto"/>
          <w:sz w:val="96"/>
          <w:szCs w:val="36"/>
          <w:highlight w:val="none"/>
        </w:rPr>
      </w:pPr>
      <w:r>
        <w:rPr>
          <w:rFonts w:hint="eastAsia" w:ascii="宋体" w:hAnsi="宋体" w:cs="宋体"/>
          <w:b/>
          <w:bCs/>
          <w:color w:val="auto"/>
          <w:sz w:val="72"/>
          <w:szCs w:val="32"/>
          <w:highlight w:val="none"/>
        </w:rPr>
        <w:t>竞争性磋商文件</w:t>
      </w:r>
    </w:p>
    <w:p w14:paraId="0CA2D01B">
      <w:pPr>
        <w:adjustRightInd w:val="0"/>
        <w:snapToGrid w:val="0"/>
        <w:spacing w:line="400" w:lineRule="exact"/>
        <w:jc w:val="center"/>
        <w:rPr>
          <w:rFonts w:ascii="宋体" w:hAnsi="宋体" w:cs="宋体"/>
          <w:b/>
          <w:bCs/>
          <w:color w:val="auto"/>
          <w:kern w:val="0"/>
          <w:sz w:val="28"/>
          <w:szCs w:val="28"/>
          <w:highlight w:val="none"/>
        </w:rPr>
      </w:pPr>
    </w:p>
    <w:p w14:paraId="22FC95F1">
      <w:pPr>
        <w:adjustRightInd w:val="0"/>
        <w:snapToGrid w:val="0"/>
        <w:spacing w:line="400" w:lineRule="exact"/>
        <w:jc w:val="center"/>
        <w:rPr>
          <w:rFonts w:ascii="宋体" w:hAnsi="宋体" w:cs="宋体"/>
          <w:color w:val="auto"/>
          <w:highlight w:val="none"/>
        </w:rPr>
      </w:pPr>
    </w:p>
    <w:p w14:paraId="66403DC4">
      <w:pPr>
        <w:adjustRightInd w:val="0"/>
        <w:snapToGrid w:val="0"/>
        <w:spacing w:line="400" w:lineRule="exact"/>
        <w:jc w:val="center"/>
        <w:rPr>
          <w:rFonts w:ascii="宋体" w:hAnsi="宋体" w:cs="宋体"/>
          <w:color w:val="auto"/>
          <w:highlight w:val="none"/>
        </w:rPr>
      </w:pPr>
    </w:p>
    <w:p w14:paraId="14683455">
      <w:pPr>
        <w:adjustRightInd w:val="0"/>
        <w:snapToGrid w:val="0"/>
        <w:spacing w:line="400" w:lineRule="exact"/>
        <w:jc w:val="center"/>
        <w:rPr>
          <w:rFonts w:ascii="宋体" w:hAnsi="宋体" w:cs="宋体"/>
          <w:color w:val="auto"/>
          <w:highlight w:val="none"/>
        </w:rPr>
      </w:pPr>
    </w:p>
    <w:p w14:paraId="182D606A">
      <w:pPr>
        <w:pStyle w:val="33"/>
        <w:ind w:firstLine="0" w:firstLineChars="0"/>
        <w:rPr>
          <w:rFonts w:ascii="宋体" w:hAnsi="宋体" w:eastAsia="宋体" w:cs="宋体"/>
          <w:color w:val="auto"/>
          <w:highlight w:val="none"/>
        </w:rPr>
      </w:pPr>
    </w:p>
    <w:p w14:paraId="75BFE6A6">
      <w:pPr>
        <w:adjustRightInd w:val="0"/>
        <w:snapToGrid w:val="0"/>
        <w:spacing w:line="400" w:lineRule="exact"/>
        <w:jc w:val="center"/>
        <w:rPr>
          <w:rFonts w:ascii="宋体" w:hAnsi="宋体" w:cs="宋体"/>
          <w:color w:val="auto"/>
          <w:highlight w:val="none"/>
        </w:rPr>
      </w:pPr>
    </w:p>
    <w:p w14:paraId="3C51C7C3">
      <w:pPr>
        <w:adjustRightInd w:val="0"/>
        <w:snapToGrid w:val="0"/>
        <w:spacing w:line="400" w:lineRule="exact"/>
        <w:jc w:val="center"/>
        <w:rPr>
          <w:rFonts w:ascii="宋体" w:hAnsi="宋体" w:cs="宋体"/>
          <w:color w:val="auto"/>
          <w:highlight w:val="none"/>
        </w:rPr>
      </w:pPr>
    </w:p>
    <w:p w14:paraId="28FAB606">
      <w:pPr>
        <w:pStyle w:val="33"/>
        <w:ind w:firstLine="1126"/>
        <w:rPr>
          <w:rFonts w:ascii="宋体" w:hAnsi="宋体" w:eastAsia="宋体" w:cs="宋体"/>
          <w:color w:val="auto"/>
          <w:highlight w:val="none"/>
        </w:rPr>
      </w:pPr>
    </w:p>
    <w:p w14:paraId="204AAC05">
      <w:pPr>
        <w:adjustRightInd w:val="0"/>
        <w:snapToGrid w:val="0"/>
        <w:spacing w:line="400" w:lineRule="exact"/>
        <w:jc w:val="center"/>
        <w:rPr>
          <w:rFonts w:ascii="宋体" w:hAnsi="宋体" w:cs="宋体"/>
          <w:color w:val="auto"/>
          <w:highlight w:val="none"/>
        </w:rPr>
      </w:pPr>
    </w:p>
    <w:p w14:paraId="6E20B970">
      <w:pPr>
        <w:spacing w:line="360" w:lineRule="auto"/>
        <w:ind w:firstLine="1285" w:firstLineChars="400"/>
        <w:rPr>
          <w:rFonts w:hint="eastAsia" w:ascii="宋体" w:hAnsi="宋体" w:eastAsia="宋体" w:cs="宋体"/>
          <w:b/>
          <w:color w:val="auto"/>
          <w:sz w:val="32"/>
          <w:szCs w:val="24"/>
          <w:highlight w:val="none"/>
          <w:lang w:val="en-US" w:eastAsia="zh-CN"/>
        </w:rPr>
      </w:pPr>
      <w:r>
        <w:rPr>
          <w:rFonts w:hint="eastAsia" w:ascii="宋体" w:hAnsi="宋体" w:cs="宋体"/>
          <w:b/>
          <w:color w:val="auto"/>
          <w:sz w:val="32"/>
          <w:szCs w:val="24"/>
          <w:highlight w:val="none"/>
        </w:rPr>
        <w:t>采购人：</w:t>
      </w:r>
      <w:r>
        <w:rPr>
          <w:rFonts w:hint="eastAsia" w:ascii="宋体" w:hAnsi="宋体" w:cs="宋体"/>
          <w:b/>
          <w:color w:val="auto"/>
          <w:sz w:val="32"/>
          <w:szCs w:val="24"/>
          <w:highlight w:val="none"/>
          <w:lang w:eastAsia="zh-CN"/>
        </w:rPr>
        <w:t xml:space="preserve">木垒哈萨克自治县交通运输局 </w:t>
      </w:r>
    </w:p>
    <w:p w14:paraId="654C8741">
      <w:pPr>
        <w:spacing w:line="360" w:lineRule="auto"/>
        <w:ind w:firstLine="1285" w:firstLineChars="400"/>
        <w:rPr>
          <w:rFonts w:ascii="宋体" w:hAnsi="宋体" w:cs="宋体"/>
          <w:b/>
          <w:color w:val="auto"/>
          <w:sz w:val="32"/>
          <w:szCs w:val="24"/>
          <w:highlight w:val="none"/>
        </w:rPr>
      </w:pPr>
      <w:r>
        <w:rPr>
          <w:rFonts w:hint="eastAsia" w:ascii="宋体" w:hAnsi="宋体" w:cs="宋体"/>
          <w:b/>
          <w:color w:val="auto"/>
          <w:sz w:val="32"/>
          <w:szCs w:val="24"/>
          <w:highlight w:val="none"/>
        </w:rPr>
        <w:t>采购代理机构：</w:t>
      </w:r>
      <w:r>
        <w:rPr>
          <w:rFonts w:hint="eastAsia" w:ascii="宋体" w:hAnsi="宋体" w:cs="宋体"/>
          <w:b/>
          <w:color w:val="auto"/>
          <w:sz w:val="32"/>
          <w:szCs w:val="24"/>
          <w:highlight w:val="none"/>
          <w:lang w:eastAsia="zh-CN"/>
        </w:rPr>
        <w:t>新疆建鹏伟业工程管理服务有限公司</w:t>
      </w:r>
      <w:r>
        <w:rPr>
          <w:rFonts w:hint="eastAsia" w:ascii="宋体" w:hAnsi="宋体" w:cs="宋体"/>
          <w:b/>
          <w:color w:val="auto"/>
          <w:sz w:val="32"/>
          <w:szCs w:val="24"/>
          <w:highlight w:val="none"/>
        </w:rPr>
        <w:t xml:space="preserve"> </w:t>
      </w:r>
    </w:p>
    <w:p w14:paraId="639E765F">
      <w:pPr>
        <w:pStyle w:val="33"/>
        <w:spacing w:line="360" w:lineRule="auto"/>
        <w:ind w:firstLine="0" w:firstLineChars="0"/>
        <w:jc w:val="center"/>
        <w:rPr>
          <w:rFonts w:ascii="宋体" w:hAnsi="宋体" w:eastAsia="宋体" w:cs="宋体"/>
          <w:color w:val="auto"/>
          <w:sz w:val="36"/>
          <w:szCs w:val="36"/>
          <w:highlight w:val="none"/>
        </w:rPr>
      </w:pPr>
      <w:r>
        <w:rPr>
          <w:rFonts w:hint="eastAsia" w:ascii="宋体" w:hAnsi="宋体" w:eastAsia="宋体" w:cs="宋体"/>
          <w:b/>
          <w:color w:val="auto"/>
          <w:szCs w:val="24"/>
          <w:highlight w:val="none"/>
          <w:lang w:val="en-US" w:eastAsia="zh-CN"/>
        </w:rPr>
        <w:t>2025</w:t>
      </w:r>
      <w:r>
        <w:rPr>
          <w:rFonts w:hint="eastAsia" w:ascii="宋体" w:hAnsi="宋体" w:eastAsia="宋体" w:cs="宋体"/>
          <w:b/>
          <w:color w:val="auto"/>
          <w:szCs w:val="24"/>
          <w:highlight w:val="none"/>
        </w:rPr>
        <w:t>年</w:t>
      </w:r>
      <w:r>
        <w:rPr>
          <w:rFonts w:hint="eastAsia" w:ascii="宋体" w:hAnsi="宋体" w:eastAsia="宋体" w:cs="宋体"/>
          <w:b/>
          <w:color w:val="auto"/>
          <w:szCs w:val="24"/>
          <w:highlight w:val="none"/>
          <w:lang w:val="en-US" w:eastAsia="zh-CN"/>
        </w:rPr>
        <w:t>7</w:t>
      </w:r>
      <w:r>
        <w:rPr>
          <w:rFonts w:hint="eastAsia" w:ascii="宋体" w:hAnsi="宋体" w:eastAsia="宋体" w:cs="宋体"/>
          <w:b/>
          <w:color w:val="auto"/>
          <w:szCs w:val="24"/>
          <w:highlight w:val="none"/>
        </w:rPr>
        <w:t>月</w:t>
      </w:r>
    </w:p>
    <w:p w14:paraId="0610BFDB">
      <w:pPr>
        <w:jc w:val="center"/>
        <w:rPr>
          <w:rFonts w:hint="eastAsia" w:hAnsi="宋体"/>
          <w:b/>
          <w:color w:val="auto"/>
          <w:sz w:val="48"/>
          <w:szCs w:val="48"/>
          <w:highlight w:val="none"/>
        </w:rPr>
        <w:sectPr>
          <w:pgSz w:w="11906" w:h="16838"/>
          <w:pgMar w:top="1440" w:right="1080" w:bottom="1440" w:left="1080" w:header="851" w:footer="992" w:gutter="0"/>
          <w:pgNumType w:fmt="decimal" w:start="7"/>
          <w:cols w:space="425" w:num="1"/>
          <w:docGrid w:linePitch="312" w:charSpace="0"/>
        </w:sectPr>
      </w:pPr>
    </w:p>
    <w:p w14:paraId="425314A9">
      <w:pPr>
        <w:jc w:val="center"/>
        <w:rPr>
          <w:rFonts w:hint="eastAsia" w:hAnsi="宋体"/>
          <w:b/>
          <w:color w:val="auto"/>
          <w:sz w:val="48"/>
          <w:szCs w:val="48"/>
          <w:highlight w:val="none"/>
        </w:rPr>
      </w:pPr>
    </w:p>
    <w:p w14:paraId="1D8D6F44">
      <w:pPr>
        <w:jc w:val="center"/>
        <w:rPr>
          <w:rFonts w:hAnsi="宋体"/>
          <w:b/>
          <w:color w:val="auto"/>
          <w:sz w:val="48"/>
          <w:szCs w:val="48"/>
          <w:highlight w:val="none"/>
        </w:rPr>
      </w:pPr>
      <w:r>
        <w:rPr>
          <w:rFonts w:hint="eastAsia" w:hAnsi="宋体"/>
          <w:b/>
          <w:color w:val="auto"/>
          <w:sz w:val="48"/>
          <w:szCs w:val="48"/>
          <w:highlight w:val="none"/>
        </w:rPr>
        <w:t>竞争性磋商文件</w:t>
      </w:r>
    </w:p>
    <w:p w14:paraId="63F7A098">
      <w:pPr>
        <w:spacing w:line="600" w:lineRule="exact"/>
        <w:jc w:val="left"/>
        <w:rPr>
          <w:rFonts w:hAnsi="宋体"/>
          <w:b/>
          <w:color w:val="auto"/>
          <w:sz w:val="32"/>
          <w:szCs w:val="32"/>
          <w:highlight w:val="none"/>
        </w:rPr>
      </w:pPr>
    </w:p>
    <w:p w14:paraId="150E0B5A">
      <w:pPr>
        <w:spacing w:line="600" w:lineRule="exact"/>
        <w:jc w:val="left"/>
        <w:rPr>
          <w:rFonts w:hint="eastAsia" w:ascii="宋体" w:hAnsi="宋体" w:cs="宋体"/>
          <w:b/>
          <w:color w:val="auto"/>
          <w:sz w:val="28"/>
          <w:szCs w:val="28"/>
          <w:highlight w:val="none"/>
        </w:rPr>
      </w:pPr>
    </w:p>
    <w:p w14:paraId="21F40205">
      <w:pPr>
        <w:widowControl/>
        <w:spacing w:line="700" w:lineRule="exact"/>
        <w:ind w:firstLine="281" w:firstLineChars="1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项目名称：木垒通用机场项目工程场地地震安全性评价</w:t>
      </w:r>
    </w:p>
    <w:p w14:paraId="7522354D">
      <w:pPr>
        <w:widowControl/>
        <w:spacing w:line="700" w:lineRule="exact"/>
        <w:ind w:firstLine="281" w:firstLineChars="1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招 标 人：</w:t>
      </w:r>
      <w:r>
        <w:rPr>
          <w:rFonts w:hint="eastAsia" w:ascii="宋体" w:hAnsi="宋体" w:cs="宋体"/>
          <w:b/>
          <w:color w:val="auto"/>
          <w:sz w:val="28"/>
          <w:szCs w:val="28"/>
          <w:highlight w:val="none"/>
          <w:lang w:eastAsia="zh-CN"/>
        </w:rPr>
        <w:t xml:space="preserve">木垒哈萨克自治县交通运输局  </w:t>
      </w:r>
    </w:p>
    <w:p w14:paraId="0003C888">
      <w:pPr>
        <w:spacing w:line="600" w:lineRule="exact"/>
        <w:ind w:firstLine="281" w:firstLineChars="100"/>
        <w:rPr>
          <w:rFonts w:ascii="宋体" w:hAnsi="宋体" w:cs="宋体"/>
          <w:b/>
          <w:color w:val="auto"/>
          <w:sz w:val="28"/>
          <w:szCs w:val="28"/>
          <w:highlight w:val="none"/>
        </w:rPr>
      </w:pPr>
      <w:r>
        <w:rPr>
          <w:rFonts w:hint="eastAsia" w:ascii="宋体" w:hAnsi="宋体" w:cs="宋体"/>
          <w:b/>
          <w:color w:val="auto"/>
          <w:sz w:val="28"/>
          <w:szCs w:val="28"/>
          <w:highlight w:val="none"/>
        </w:rPr>
        <w:t xml:space="preserve">法定代表人或授权委托人（签章）： </w:t>
      </w:r>
    </w:p>
    <w:p w14:paraId="0B3561B7">
      <w:pPr>
        <w:widowControl/>
        <w:spacing w:line="700" w:lineRule="exact"/>
        <w:ind w:firstLine="281" w:firstLineChars="100"/>
        <w:jc w:val="left"/>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rPr>
        <w:t>联 系 人：</w:t>
      </w:r>
      <w:r>
        <w:rPr>
          <w:rFonts w:hint="eastAsia" w:ascii="宋体" w:hAnsi="宋体" w:cs="宋体"/>
          <w:b/>
          <w:color w:val="auto"/>
          <w:sz w:val="28"/>
          <w:szCs w:val="28"/>
          <w:highlight w:val="none"/>
          <w:lang w:eastAsia="zh-CN"/>
        </w:rPr>
        <w:t>张先生</w:t>
      </w:r>
    </w:p>
    <w:p w14:paraId="58DDE900">
      <w:pPr>
        <w:widowControl/>
        <w:spacing w:line="700" w:lineRule="exact"/>
        <w:ind w:firstLine="281" w:firstLineChars="1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联系电话：13909940145</w:t>
      </w:r>
    </w:p>
    <w:p w14:paraId="3E6FA629">
      <w:pPr>
        <w:spacing w:line="480" w:lineRule="exact"/>
        <w:rPr>
          <w:rFonts w:ascii="宋体" w:hAnsi="宋体" w:cs="宋体"/>
          <w:b/>
          <w:color w:val="auto"/>
          <w:sz w:val="28"/>
          <w:szCs w:val="28"/>
          <w:highlight w:val="none"/>
        </w:rPr>
      </w:pPr>
    </w:p>
    <w:p w14:paraId="6EBF8FE6">
      <w:pPr>
        <w:pStyle w:val="13"/>
        <w:ind w:firstLine="562"/>
        <w:rPr>
          <w:rFonts w:ascii="宋体" w:hAnsi="宋体" w:cs="宋体"/>
          <w:b/>
          <w:color w:val="auto"/>
          <w:sz w:val="28"/>
          <w:szCs w:val="28"/>
          <w:highlight w:val="none"/>
        </w:rPr>
      </w:pPr>
    </w:p>
    <w:p w14:paraId="7CAC8594">
      <w:pPr>
        <w:pStyle w:val="13"/>
        <w:ind w:firstLine="562"/>
        <w:rPr>
          <w:rFonts w:ascii="宋体" w:hAnsi="宋体" w:cs="宋体"/>
          <w:b/>
          <w:color w:val="auto"/>
          <w:sz w:val="28"/>
          <w:szCs w:val="28"/>
          <w:highlight w:val="none"/>
        </w:rPr>
      </w:pPr>
    </w:p>
    <w:p w14:paraId="55AF4364">
      <w:pPr>
        <w:spacing w:line="700" w:lineRule="exact"/>
        <w:ind w:firstLine="281" w:firstLineChars="100"/>
        <w:rPr>
          <w:rFonts w:ascii="宋体" w:hAnsi="宋体" w:cs="宋体"/>
          <w:b/>
          <w:color w:val="auto"/>
          <w:sz w:val="28"/>
          <w:szCs w:val="28"/>
          <w:highlight w:val="none"/>
        </w:rPr>
      </w:pPr>
      <w:r>
        <w:rPr>
          <w:rFonts w:hint="eastAsia" w:ascii="宋体" w:hAnsi="宋体" w:cs="宋体"/>
          <w:b/>
          <w:color w:val="auto"/>
          <w:sz w:val="28"/>
          <w:szCs w:val="28"/>
          <w:highlight w:val="none"/>
        </w:rPr>
        <w:t>招标代理机构：</w:t>
      </w:r>
      <w:r>
        <w:rPr>
          <w:rFonts w:hint="eastAsia" w:ascii="宋体" w:hAnsi="宋体" w:cs="宋体"/>
          <w:b/>
          <w:color w:val="auto"/>
          <w:sz w:val="28"/>
          <w:szCs w:val="28"/>
          <w:highlight w:val="none"/>
          <w:lang w:eastAsia="zh-CN"/>
        </w:rPr>
        <w:t>新疆建鹏伟业工程管理服务有限公司</w:t>
      </w:r>
      <w:r>
        <w:rPr>
          <w:rFonts w:hint="eastAsia" w:ascii="宋体" w:hAnsi="宋体" w:cs="宋体"/>
          <w:b/>
          <w:color w:val="auto"/>
          <w:sz w:val="28"/>
          <w:szCs w:val="28"/>
          <w:highlight w:val="none"/>
        </w:rPr>
        <w:t xml:space="preserve"> </w:t>
      </w:r>
    </w:p>
    <w:p w14:paraId="60D2B8AF">
      <w:pPr>
        <w:spacing w:line="700" w:lineRule="exact"/>
        <w:ind w:firstLine="281" w:firstLineChars="100"/>
        <w:rPr>
          <w:rFonts w:ascii="宋体" w:hAnsi="宋体" w:cs="宋体"/>
          <w:b/>
          <w:color w:val="auto"/>
          <w:sz w:val="28"/>
          <w:szCs w:val="28"/>
          <w:highlight w:val="none"/>
        </w:rPr>
      </w:pPr>
      <w:r>
        <w:rPr>
          <w:rFonts w:hint="eastAsia" w:ascii="宋体" w:hAnsi="宋体" w:cs="宋体"/>
          <w:b/>
          <w:color w:val="auto"/>
          <w:sz w:val="28"/>
          <w:szCs w:val="28"/>
          <w:highlight w:val="none"/>
        </w:rPr>
        <w:t>法定代表人或授权委托人（签章）：</w:t>
      </w:r>
    </w:p>
    <w:p w14:paraId="0E359F5E">
      <w:pPr>
        <w:spacing w:line="700" w:lineRule="exact"/>
        <w:ind w:firstLine="281" w:firstLineChars="10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联 系 人：</w:t>
      </w:r>
      <w:r>
        <w:rPr>
          <w:rFonts w:hint="eastAsia" w:ascii="宋体" w:hAnsi="宋体" w:cs="宋体"/>
          <w:b/>
          <w:color w:val="auto"/>
          <w:sz w:val="28"/>
          <w:szCs w:val="28"/>
          <w:highlight w:val="none"/>
          <w:lang w:val="en-US" w:eastAsia="zh-CN"/>
        </w:rPr>
        <w:t>王先生</w:t>
      </w:r>
    </w:p>
    <w:p w14:paraId="52C62F40">
      <w:pPr>
        <w:spacing w:line="700" w:lineRule="exact"/>
        <w:ind w:firstLine="281" w:firstLineChars="100"/>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电    话：</w:t>
      </w:r>
      <w:r>
        <w:rPr>
          <w:rFonts w:hint="eastAsia" w:ascii="宋体" w:hAnsi="宋体" w:cs="宋体"/>
          <w:b/>
          <w:color w:val="auto"/>
          <w:sz w:val="28"/>
          <w:szCs w:val="28"/>
          <w:highlight w:val="none"/>
          <w:lang w:val="en-US" w:eastAsia="zh-CN"/>
        </w:rPr>
        <w:t>0994-2333267</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lang w:val="en-US" w:eastAsia="zh-CN"/>
        </w:rPr>
        <w:t xml:space="preserve"> 15199673007</w:t>
      </w:r>
    </w:p>
    <w:p w14:paraId="590764DF">
      <w:pPr>
        <w:widowControl/>
        <w:spacing w:line="700" w:lineRule="exact"/>
        <w:ind w:firstLine="281" w:firstLineChars="1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联系地址：</w:t>
      </w:r>
      <w:r>
        <w:rPr>
          <w:rFonts w:hint="eastAsia" w:ascii="宋体" w:hAnsi="宋体" w:cs="宋体"/>
          <w:b/>
          <w:color w:val="auto"/>
          <w:sz w:val="28"/>
          <w:szCs w:val="28"/>
          <w:highlight w:val="none"/>
          <w:lang w:eastAsia="zh-CN"/>
        </w:rPr>
        <w:t>昌吉市南公园西路融投小镇市民服务中心</w:t>
      </w:r>
      <w:r>
        <w:rPr>
          <w:rFonts w:hint="eastAsia" w:ascii="宋体" w:hAnsi="宋体" w:cs="宋体"/>
          <w:b/>
          <w:color w:val="auto"/>
          <w:sz w:val="28"/>
          <w:szCs w:val="28"/>
          <w:highlight w:val="none"/>
          <w:lang w:val="en-US" w:eastAsia="zh-CN"/>
        </w:rPr>
        <w:t>3楼</w:t>
      </w:r>
    </w:p>
    <w:p w14:paraId="16D149DD">
      <w:pPr>
        <w:widowControl/>
        <w:spacing w:line="700" w:lineRule="exact"/>
        <w:ind w:firstLine="281" w:firstLineChars="100"/>
        <w:jc w:val="left"/>
        <w:rPr>
          <w:rFonts w:ascii="宋体" w:hAnsi="宋体" w:cs="宋体"/>
          <w:b/>
          <w:color w:val="auto"/>
          <w:sz w:val="28"/>
          <w:szCs w:val="28"/>
          <w:highlight w:val="none"/>
        </w:rPr>
      </w:pPr>
    </w:p>
    <w:p w14:paraId="47A3FD73">
      <w:pPr>
        <w:spacing w:line="480" w:lineRule="exact"/>
        <w:rPr>
          <w:rFonts w:ascii="宋体" w:hAnsi="宋体" w:cs="宋体"/>
          <w:b/>
          <w:color w:val="auto"/>
          <w:sz w:val="28"/>
          <w:szCs w:val="28"/>
          <w:highlight w:val="none"/>
        </w:rPr>
      </w:pPr>
    </w:p>
    <w:p w14:paraId="5347581E">
      <w:pPr>
        <w:spacing w:line="480" w:lineRule="auto"/>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2025</w:t>
      </w:r>
      <w:r>
        <w:rPr>
          <w:rFonts w:hint="eastAsia" w:ascii="宋体" w:hAnsi="宋体" w:cs="宋体"/>
          <w:b/>
          <w:bCs/>
          <w:color w:val="auto"/>
          <w:sz w:val="28"/>
          <w:szCs w:val="28"/>
          <w:highlight w:val="none"/>
          <w:lang w:eastAsia="zh-CN"/>
        </w:rPr>
        <w:t>年</w:t>
      </w:r>
      <w:r>
        <w:rPr>
          <w:rFonts w:hint="eastAsia" w:ascii="宋体" w:hAnsi="宋体" w:cs="宋体"/>
          <w:b/>
          <w:bCs/>
          <w:color w:val="auto"/>
          <w:sz w:val="28"/>
          <w:szCs w:val="28"/>
          <w:highlight w:val="none"/>
          <w:lang w:val="en-US" w:eastAsia="zh-CN"/>
        </w:rPr>
        <w:t>7</w:t>
      </w:r>
      <w:r>
        <w:rPr>
          <w:rFonts w:hint="eastAsia" w:ascii="宋体" w:hAnsi="宋体" w:cs="宋体"/>
          <w:b/>
          <w:bCs/>
          <w:color w:val="auto"/>
          <w:sz w:val="28"/>
          <w:szCs w:val="28"/>
          <w:highlight w:val="none"/>
          <w:lang w:eastAsia="zh-CN"/>
        </w:rPr>
        <w:t>月</w:t>
      </w:r>
    </w:p>
    <w:p w14:paraId="17E21827">
      <w:pPr>
        <w:jc w:val="center"/>
        <w:rPr>
          <w:rFonts w:ascii="宋体" w:hAnsi="宋体" w:cs="宋体"/>
          <w:bCs/>
          <w:color w:val="auto"/>
          <w:sz w:val="28"/>
          <w:szCs w:val="28"/>
          <w:highlight w:val="none"/>
        </w:rPr>
      </w:pPr>
    </w:p>
    <w:p w14:paraId="591DDC61">
      <w:pPr>
        <w:pStyle w:val="33"/>
        <w:ind w:firstLine="986"/>
        <w:rPr>
          <w:rFonts w:ascii="宋体" w:hAnsi="宋体" w:eastAsia="宋体" w:cs="宋体"/>
          <w:bCs/>
          <w:color w:val="auto"/>
          <w:sz w:val="28"/>
          <w:szCs w:val="28"/>
          <w:highlight w:val="none"/>
        </w:rPr>
      </w:pPr>
    </w:p>
    <w:p w14:paraId="6DE4F00C">
      <w:pPr>
        <w:pStyle w:val="33"/>
        <w:ind w:firstLine="1555"/>
        <w:rPr>
          <w:rFonts w:ascii="宋体" w:hAnsi="宋体"/>
          <w:b/>
          <w:color w:val="auto"/>
          <w:sz w:val="44"/>
          <w:highlight w:val="none"/>
          <w:lang w:val="zh-CN"/>
        </w:rPr>
      </w:pPr>
    </w:p>
    <w:p w14:paraId="0E6C6BED">
      <w:pPr>
        <w:pStyle w:val="21"/>
        <w:adjustRightInd w:val="0"/>
        <w:snapToGrid w:val="0"/>
        <w:spacing w:line="360" w:lineRule="auto"/>
        <w:jc w:val="center"/>
        <w:rPr>
          <w:rFonts w:hint="eastAsia" w:hAnsi="宋体" w:cs="宋体"/>
          <w:b/>
          <w:color w:val="auto"/>
          <w:spacing w:val="160"/>
          <w:sz w:val="32"/>
          <w:szCs w:val="32"/>
          <w:highlight w:val="none"/>
        </w:rPr>
        <w:sectPr>
          <w:footerReference r:id="rId3" w:type="default"/>
          <w:pgSz w:w="11906" w:h="16838"/>
          <w:pgMar w:top="1440" w:right="1080" w:bottom="1440" w:left="1080" w:header="851" w:footer="992" w:gutter="0"/>
          <w:pgNumType w:fmt="decimal" w:start="1"/>
          <w:cols w:space="425" w:num="1"/>
          <w:docGrid w:linePitch="312" w:charSpace="0"/>
        </w:sectPr>
      </w:pPr>
    </w:p>
    <w:p w14:paraId="31C7D9FF">
      <w:pPr>
        <w:pStyle w:val="21"/>
        <w:adjustRightInd w:val="0"/>
        <w:snapToGrid w:val="0"/>
        <w:spacing w:line="360" w:lineRule="auto"/>
        <w:jc w:val="center"/>
        <w:rPr>
          <w:rFonts w:hAnsi="宋体" w:cs="宋体"/>
          <w:b/>
          <w:color w:val="auto"/>
          <w:spacing w:val="160"/>
          <w:sz w:val="32"/>
          <w:szCs w:val="32"/>
          <w:highlight w:val="none"/>
        </w:rPr>
      </w:pPr>
      <w:r>
        <w:rPr>
          <w:rFonts w:hint="eastAsia" w:hAnsi="宋体" w:cs="宋体"/>
          <w:b/>
          <w:color w:val="auto"/>
          <w:spacing w:val="160"/>
          <w:sz w:val="32"/>
          <w:szCs w:val="32"/>
          <w:highlight w:val="none"/>
        </w:rPr>
        <w:t>目录</w:t>
      </w:r>
    </w:p>
    <w:p w14:paraId="6E9DBCE7">
      <w:pPr>
        <w:autoSpaceDE w:val="0"/>
        <w:autoSpaceDN w:val="0"/>
        <w:adjustRightInd w:val="0"/>
        <w:snapToGrid w:val="0"/>
        <w:spacing w:line="360" w:lineRule="auto"/>
        <w:rPr>
          <w:rFonts w:ascii="宋体" w:hAnsi="宋体" w:cs="宋体"/>
          <w:color w:val="auto"/>
          <w:szCs w:val="21"/>
          <w:highlight w:val="none"/>
        </w:rPr>
      </w:pPr>
    </w:p>
    <w:sdt>
      <w:sdtPr>
        <w:rPr>
          <w:rFonts w:ascii="宋体" w:hAnsi="宋体" w:eastAsia="仿宋_GB2312"/>
          <w:color w:val="auto"/>
          <w:sz w:val="32"/>
          <w:szCs w:val="20"/>
          <w:highlight w:val="none"/>
        </w:rPr>
        <w:id w:val="147460987"/>
        <w15:color w:val="DBDBDB"/>
        <w:docPartObj>
          <w:docPartGallery w:val="Table of Contents"/>
          <w:docPartUnique/>
        </w:docPartObj>
      </w:sdtPr>
      <w:sdtEndPr>
        <w:rPr>
          <w:rFonts w:hint="eastAsia" w:ascii="宋体" w:hAnsi="宋体" w:eastAsia="仿宋_GB2312" w:cs="宋体"/>
          <w:color w:val="auto"/>
          <w:spacing w:val="160"/>
          <w:sz w:val="32"/>
          <w:szCs w:val="24"/>
          <w:highlight w:val="none"/>
        </w:rPr>
      </w:sdtEndPr>
      <w:sdtContent>
        <w:p w14:paraId="11F41113">
          <w:pPr>
            <w:jc w:val="center"/>
            <w:rPr>
              <w:color w:val="auto"/>
              <w:highlight w:val="none"/>
            </w:rPr>
          </w:pPr>
        </w:p>
        <w:p w14:paraId="6AF2152B">
          <w:pPr>
            <w:pStyle w:val="96"/>
            <w:tabs>
              <w:tab w:val="right" w:leader="dot" w:pos="9746"/>
            </w:tabs>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60"/>
              <w:sz w:val="28"/>
              <w:szCs w:val="28"/>
              <w:highlight w:val="none"/>
            </w:rPr>
            <w:fldChar w:fldCharType="begin"/>
          </w:r>
          <w:r>
            <w:rPr>
              <w:rFonts w:hint="eastAsia" w:asciiTheme="minorEastAsia" w:hAnsiTheme="minorEastAsia" w:eastAsiaTheme="minorEastAsia" w:cstheme="minorEastAsia"/>
              <w:color w:val="auto"/>
              <w:spacing w:val="160"/>
              <w:sz w:val="28"/>
              <w:szCs w:val="28"/>
              <w:highlight w:val="none"/>
            </w:rPr>
            <w:instrText xml:space="preserve">TOC \o "1-1" \h \u </w:instrText>
          </w:r>
          <w:r>
            <w:rPr>
              <w:rFonts w:hint="eastAsia" w:asciiTheme="minorEastAsia" w:hAnsiTheme="minorEastAsia" w:eastAsiaTheme="minorEastAsia" w:cstheme="minorEastAsia"/>
              <w:color w:val="auto"/>
              <w:spacing w:val="160"/>
              <w:sz w:val="28"/>
              <w:szCs w:val="28"/>
              <w:highlight w:val="none"/>
            </w:rPr>
            <w:fldChar w:fldCharType="separate"/>
          </w:r>
          <w:r>
            <w:rPr>
              <w:color w:val="auto"/>
              <w:highlight w:val="none"/>
            </w:rPr>
            <w:fldChar w:fldCharType="begin"/>
          </w:r>
          <w:r>
            <w:rPr>
              <w:color w:val="auto"/>
              <w:highlight w:val="none"/>
            </w:rPr>
            <w:instrText xml:space="preserve"> HYPERLINK \l "_Toc28491"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第一章 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_Toc28491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4705E72">
          <w:pPr>
            <w:pStyle w:val="96"/>
            <w:tabs>
              <w:tab w:val="right" w:leader="dot" w:pos="9746"/>
            </w:tabs>
            <w:spacing w:line="60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"_Toc19733"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_Toc19733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87C271A">
          <w:pPr>
            <w:pStyle w:val="96"/>
            <w:tabs>
              <w:tab w:val="right" w:leader="dot" w:pos="9746"/>
            </w:tabs>
            <w:spacing w:line="60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"_Toc10016"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_Toc10016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47AD607">
          <w:pPr>
            <w:pStyle w:val="96"/>
            <w:tabs>
              <w:tab w:val="right" w:leader="dot" w:pos="9746"/>
            </w:tabs>
            <w:spacing w:line="60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"_Toc10229"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第四章 评审方法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_Toc10229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E50BD45">
          <w:pPr>
            <w:pStyle w:val="96"/>
            <w:tabs>
              <w:tab w:val="right" w:leader="dot" w:pos="9746"/>
            </w:tabs>
            <w:spacing w:line="60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"_Toc32004"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第五章 合同格式及合同条款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_Toc32004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53AD9EF">
          <w:pPr>
            <w:pStyle w:val="96"/>
            <w:tabs>
              <w:tab w:val="right" w:leader="dot" w:pos="9746"/>
            </w:tabs>
            <w:spacing w:line="600" w:lineRule="exact"/>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"_Toc10721"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第六章 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_Toc10721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D10A299">
          <w:pPr>
            <w:pStyle w:val="96"/>
            <w:tabs>
              <w:tab w:val="right" w:leader="dot" w:pos="9746"/>
            </w:tabs>
            <w:spacing w:line="600" w:lineRule="exact"/>
            <w:rPr>
              <w:rFonts w:asciiTheme="minorEastAsia" w:hAnsiTheme="minorEastAsia" w:eastAsiaTheme="minorEastAsia" w:cstheme="minorEastAsia"/>
              <w:color w:val="auto"/>
              <w:sz w:val="28"/>
              <w:szCs w:val="28"/>
              <w:highlight w:val="none"/>
            </w:rPr>
          </w:pPr>
        </w:p>
        <w:p w14:paraId="1B158FFC">
          <w:pPr>
            <w:pStyle w:val="33"/>
            <w:spacing w:line="600" w:lineRule="exact"/>
            <w:ind w:firstLine="0" w:firstLineChars="0"/>
            <w:rPr>
              <w:rFonts w:ascii="宋体" w:hAnsi="宋体" w:cs="宋体"/>
              <w:color w:val="auto"/>
              <w:spacing w:val="160"/>
              <w:szCs w:val="24"/>
              <w:highlight w:val="none"/>
            </w:rPr>
          </w:pPr>
          <w:r>
            <w:rPr>
              <w:rFonts w:hint="eastAsia" w:asciiTheme="minorEastAsia" w:hAnsiTheme="minorEastAsia" w:eastAsiaTheme="minorEastAsia" w:cstheme="minorEastAsia"/>
              <w:color w:val="auto"/>
              <w:spacing w:val="160"/>
              <w:sz w:val="28"/>
              <w:szCs w:val="28"/>
              <w:highlight w:val="none"/>
            </w:rPr>
            <w:fldChar w:fldCharType="end"/>
          </w:r>
        </w:p>
      </w:sdtContent>
    </w:sdt>
    <w:p w14:paraId="64C7F6A8">
      <w:pPr>
        <w:pStyle w:val="33"/>
        <w:ind w:firstLine="0" w:firstLineChars="0"/>
        <w:rPr>
          <w:rFonts w:ascii="宋体" w:hAnsi="宋体" w:cs="宋体"/>
          <w:color w:val="auto"/>
          <w:spacing w:val="160"/>
          <w:szCs w:val="24"/>
          <w:highlight w:val="none"/>
        </w:rPr>
      </w:pPr>
    </w:p>
    <w:p w14:paraId="59426EAC">
      <w:pPr>
        <w:pStyle w:val="33"/>
        <w:ind w:firstLine="0" w:firstLineChars="0"/>
        <w:rPr>
          <w:rFonts w:ascii="宋体" w:hAnsi="宋体" w:cs="宋体"/>
          <w:color w:val="auto"/>
          <w:spacing w:val="160"/>
          <w:szCs w:val="24"/>
          <w:highlight w:val="none"/>
        </w:rPr>
      </w:pPr>
    </w:p>
    <w:p w14:paraId="018777C6">
      <w:pPr>
        <w:pStyle w:val="33"/>
        <w:ind w:firstLine="0" w:firstLineChars="0"/>
        <w:rPr>
          <w:rFonts w:ascii="宋体" w:hAnsi="宋体" w:cs="宋体"/>
          <w:color w:val="auto"/>
          <w:spacing w:val="160"/>
          <w:szCs w:val="24"/>
          <w:highlight w:val="none"/>
        </w:rPr>
      </w:pPr>
    </w:p>
    <w:p w14:paraId="1F86972A">
      <w:pPr>
        <w:pStyle w:val="33"/>
        <w:ind w:firstLine="0" w:firstLineChars="0"/>
        <w:rPr>
          <w:rFonts w:ascii="宋体" w:hAnsi="宋体" w:cs="宋体"/>
          <w:color w:val="auto"/>
          <w:spacing w:val="160"/>
          <w:szCs w:val="24"/>
          <w:highlight w:val="none"/>
        </w:rPr>
      </w:pPr>
    </w:p>
    <w:p w14:paraId="29FE3D50">
      <w:pPr>
        <w:pStyle w:val="33"/>
        <w:ind w:firstLine="0" w:firstLineChars="0"/>
        <w:rPr>
          <w:rFonts w:ascii="宋体" w:hAnsi="宋体" w:cs="宋体"/>
          <w:color w:val="auto"/>
          <w:spacing w:val="160"/>
          <w:szCs w:val="24"/>
          <w:highlight w:val="none"/>
        </w:rPr>
      </w:pPr>
    </w:p>
    <w:p w14:paraId="28F30FF3">
      <w:pPr>
        <w:pStyle w:val="33"/>
        <w:ind w:firstLine="0" w:firstLineChars="0"/>
        <w:rPr>
          <w:rFonts w:ascii="宋体" w:hAnsi="宋体" w:cs="宋体"/>
          <w:color w:val="auto"/>
          <w:spacing w:val="160"/>
          <w:szCs w:val="24"/>
          <w:highlight w:val="none"/>
        </w:rPr>
      </w:pPr>
    </w:p>
    <w:p w14:paraId="2583B43F">
      <w:pPr>
        <w:pStyle w:val="33"/>
        <w:ind w:firstLine="0" w:firstLineChars="0"/>
        <w:rPr>
          <w:rFonts w:ascii="宋体" w:hAnsi="宋体" w:cs="宋体"/>
          <w:color w:val="auto"/>
          <w:spacing w:val="160"/>
          <w:szCs w:val="24"/>
          <w:highlight w:val="none"/>
        </w:rPr>
      </w:pPr>
    </w:p>
    <w:p w14:paraId="619EC087">
      <w:pPr>
        <w:pStyle w:val="33"/>
        <w:ind w:firstLine="0" w:firstLineChars="0"/>
        <w:rPr>
          <w:rFonts w:ascii="宋体" w:hAnsi="宋体" w:cs="宋体"/>
          <w:color w:val="auto"/>
          <w:spacing w:val="160"/>
          <w:szCs w:val="24"/>
          <w:highlight w:val="none"/>
        </w:rPr>
      </w:pPr>
    </w:p>
    <w:p w14:paraId="4CE88B52">
      <w:pPr>
        <w:pStyle w:val="33"/>
        <w:ind w:firstLine="0" w:firstLineChars="0"/>
        <w:rPr>
          <w:rFonts w:ascii="宋体" w:hAnsi="宋体" w:cs="宋体"/>
          <w:color w:val="auto"/>
          <w:spacing w:val="160"/>
          <w:szCs w:val="24"/>
          <w:highlight w:val="none"/>
        </w:rPr>
      </w:pPr>
    </w:p>
    <w:p w14:paraId="3C676B9B">
      <w:pPr>
        <w:pStyle w:val="33"/>
        <w:ind w:firstLine="0" w:firstLineChars="0"/>
        <w:rPr>
          <w:rFonts w:ascii="宋体" w:hAnsi="宋体" w:cs="宋体"/>
          <w:color w:val="auto"/>
          <w:spacing w:val="160"/>
          <w:szCs w:val="24"/>
          <w:highlight w:val="none"/>
        </w:rPr>
      </w:pPr>
    </w:p>
    <w:p w14:paraId="0D6E10BD">
      <w:pPr>
        <w:pStyle w:val="33"/>
        <w:ind w:firstLine="0" w:firstLineChars="0"/>
        <w:rPr>
          <w:rFonts w:ascii="宋体" w:hAnsi="宋体" w:cs="宋体"/>
          <w:color w:val="auto"/>
          <w:spacing w:val="160"/>
          <w:szCs w:val="24"/>
          <w:highlight w:val="none"/>
        </w:rPr>
      </w:pPr>
    </w:p>
    <w:p w14:paraId="08A92311">
      <w:pPr>
        <w:pStyle w:val="33"/>
        <w:ind w:firstLine="0" w:firstLineChars="0"/>
        <w:rPr>
          <w:rFonts w:ascii="宋体" w:hAnsi="宋体" w:cs="宋体"/>
          <w:color w:val="auto"/>
          <w:spacing w:val="160"/>
          <w:szCs w:val="24"/>
          <w:highlight w:val="none"/>
        </w:rPr>
      </w:pPr>
    </w:p>
    <w:p w14:paraId="16E39932">
      <w:pPr>
        <w:pStyle w:val="33"/>
        <w:ind w:firstLine="0" w:firstLineChars="0"/>
        <w:rPr>
          <w:rFonts w:ascii="宋体" w:hAnsi="宋体" w:cs="宋体"/>
          <w:color w:val="auto"/>
          <w:spacing w:val="160"/>
          <w:szCs w:val="24"/>
          <w:highlight w:val="none"/>
        </w:rPr>
      </w:pPr>
    </w:p>
    <w:p w14:paraId="40A38760">
      <w:pPr>
        <w:pStyle w:val="33"/>
        <w:ind w:firstLine="0" w:firstLineChars="0"/>
        <w:rPr>
          <w:rFonts w:ascii="宋体" w:hAnsi="宋体" w:cs="宋体"/>
          <w:color w:val="auto"/>
          <w:spacing w:val="160"/>
          <w:szCs w:val="24"/>
          <w:highlight w:val="none"/>
        </w:rPr>
      </w:pPr>
    </w:p>
    <w:p w14:paraId="0304228E">
      <w:pPr>
        <w:pStyle w:val="33"/>
        <w:ind w:firstLine="0" w:firstLineChars="0"/>
        <w:rPr>
          <w:rFonts w:ascii="宋体" w:hAnsi="宋体" w:cs="宋体"/>
          <w:color w:val="auto"/>
          <w:spacing w:val="160"/>
          <w:szCs w:val="24"/>
          <w:highlight w:val="none"/>
        </w:rPr>
      </w:pPr>
    </w:p>
    <w:p w14:paraId="5AC3BC6E">
      <w:pPr>
        <w:pStyle w:val="33"/>
        <w:ind w:firstLine="0" w:firstLineChars="0"/>
        <w:rPr>
          <w:rFonts w:ascii="宋体" w:hAnsi="宋体" w:cs="宋体"/>
          <w:color w:val="auto"/>
          <w:spacing w:val="160"/>
          <w:szCs w:val="24"/>
          <w:highlight w:val="none"/>
        </w:rPr>
      </w:pPr>
    </w:p>
    <w:p w14:paraId="391FA431">
      <w:pPr>
        <w:pStyle w:val="33"/>
        <w:ind w:firstLine="0" w:firstLineChars="0"/>
        <w:rPr>
          <w:rFonts w:ascii="宋体" w:hAnsi="宋体" w:cs="宋体"/>
          <w:color w:val="auto"/>
          <w:spacing w:val="160"/>
          <w:szCs w:val="24"/>
          <w:highlight w:val="none"/>
        </w:rPr>
      </w:pPr>
    </w:p>
    <w:p w14:paraId="0054F5F3">
      <w:pPr>
        <w:pStyle w:val="33"/>
        <w:ind w:firstLine="0" w:firstLineChars="0"/>
        <w:rPr>
          <w:rFonts w:ascii="宋体" w:hAnsi="宋体" w:cs="宋体"/>
          <w:color w:val="auto"/>
          <w:spacing w:val="160"/>
          <w:szCs w:val="24"/>
          <w:highlight w:val="none"/>
        </w:rPr>
      </w:pPr>
    </w:p>
    <w:p w14:paraId="6594527F">
      <w:pPr>
        <w:pStyle w:val="4"/>
        <w:numPr>
          <w:ilvl w:val="0"/>
          <w:numId w:val="1"/>
        </w:numPr>
        <w:spacing w:before="0" w:after="0" w:line="240" w:lineRule="auto"/>
        <w:rPr>
          <w:color w:val="auto"/>
          <w:highlight w:val="none"/>
        </w:rPr>
        <w:sectPr>
          <w:footerReference r:id="rId4" w:type="default"/>
          <w:pgSz w:w="11906" w:h="16838"/>
          <w:pgMar w:top="1440" w:right="1080" w:bottom="1440" w:left="1080" w:header="851" w:footer="992" w:gutter="0"/>
          <w:pgNumType w:fmt="decimal" w:start="1"/>
          <w:cols w:space="425" w:num="1"/>
          <w:docGrid w:linePitch="312" w:charSpace="0"/>
        </w:sectPr>
      </w:pPr>
      <w:bookmarkStart w:id="0" w:name="_Toc21151"/>
      <w:bookmarkStart w:id="1" w:name="_Toc456718476"/>
    </w:p>
    <w:p w14:paraId="3EFEF4D6">
      <w:pPr>
        <w:pStyle w:val="4"/>
        <w:numPr>
          <w:ilvl w:val="0"/>
          <w:numId w:val="1"/>
        </w:numPr>
        <w:spacing w:before="0" w:after="0" w:line="240" w:lineRule="auto"/>
        <w:rPr>
          <w:color w:val="auto"/>
          <w:highlight w:val="none"/>
        </w:rPr>
      </w:pPr>
      <w:r>
        <w:rPr>
          <w:rFonts w:hint="eastAsia"/>
          <w:color w:val="auto"/>
          <w:highlight w:val="none"/>
        </w:rPr>
        <w:t xml:space="preserve"> </w:t>
      </w:r>
      <w:bookmarkStart w:id="2" w:name="_Toc4209"/>
      <w:bookmarkStart w:id="3" w:name="_Toc6006"/>
      <w:bookmarkStart w:id="4" w:name="_Toc28491"/>
      <w:r>
        <w:rPr>
          <w:rFonts w:hint="eastAsia"/>
          <w:color w:val="auto"/>
          <w:highlight w:val="none"/>
        </w:rPr>
        <w:t>竞争性磋商</w:t>
      </w:r>
      <w:bookmarkEnd w:id="0"/>
      <w:r>
        <w:rPr>
          <w:rFonts w:hint="eastAsia"/>
          <w:color w:val="auto"/>
          <w:highlight w:val="none"/>
        </w:rPr>
        <w:t>公告</w:t>
      </w:r>
      <w:bookmarkEnd w:id="2"/>
      <w:bookmarkEnd w:id="3"/>
      <w:bookmarkEnd w:id="4"/>
    </w:p>
    <w:p w14:paraId="3E762C81">
      <w:pPr>
        <w:spacing w:line="500" w:lineRule="exact"/>
        <w:ind w:firstLine="843" w:firstLineChars="300"/>
        <w:jc w:val="center"/>
        <w:rPr>
          <w:rFonts w:hint="eastAsia" w:hAnsi="宋体" w:cs="宋体"/>
          <w:b/>
          <w:bCs/>
          <w:color w:val="auto"/>
          <w:sz w:val="28"/>
          <w:szCs w:val="28"/>
          <w:highlight w:val="none"/>
          <w:lang w:eastAsia="zh-CN"/>
        </w:rPr>
      </w:pPr>
      <w:bookmarkStart w:id="5" w:name="_Toc10571"/>
      <w:bookmarkStart w:id="6" w:name="_Toc1347"/>
      <w:r>
        <w:rPr>
          <w:rFonts w:hint="eastAsia" w:hAnsi="宋体" w:cs="宋体"/>
          <w:b/>
          <w:bCs/>
          <w:color w:val="auto"/>
          <w:sz w:val="28"/>
          <w:szCs w:val="28"/>
          <w:highlight w:val="none"/>
          <w:lang w:eastAsia="zh-CN"/>
        </w:rPr>
        <w:t>木垒通用机场项目工程地质详细勘察</w:t>
      </w:r>
    </w:p>
    <w:p w14:paraId="050DC1A4">
      <w:pPr>
        <w:spacing w:line="500" w:lineRule="exact"/>
        <w:ind w:firstLine="843" w:firstLineChars="300"/>
        <w:jc w:val="center"/>
        <w:rPr>
          <w:rFonts w:hAnsi="宋体" w:cs="宋体"/>
          <w:b/>
          <w:bCs/>
          <w:color w:val="auto"/>
          <w:sz w:val="28"/>
          <w:szCs w:val="28"/>
          <w:highlight w:val="none"/>
        </w:rPr>
      </w:pPr>
      <w:r>
        <w:rPr>
          <w:rFonts w:hint="eastAsia" w:hAnsi="宋体" w:cs="宋体"/>
          <w:b/>
          <w:bCs/>
          <w:color w:val="auto"/>
          <w:sz w:val="28"/>
          <w:szCs w:val="28"/>
          <w:highlight w:val="none"/>
        </w:rPr>
        <w:t>竞争性磋商公告</w:t>
      </w:r>
    </w:p>
    <w:tbl>
      <w:tblPr>
        <w:tblStyle w:val="34"/>
        <w:tblW w:w="9846" w:type="dxa"/>
        <w:tblInd w:w="-98" w:type="dxa"/>
        <w:tblLayout w:type="fixed"/>
        <w:tblCellMar>
          <w:top w:w="15" w:type="dxa"/>
          <w:left w:w="15" w:type="dxa"/>
          <w:bottom w:w="15" w:type="dxa"/>
          <w:right w:w="15" w:type="dxa"/>
        </w:tblCellMar>
      </w:tblPr>
      <w:tblGrid>
        <w:gridCol w:w="9846"/>
      </w:tblGrid>
      <w:tr w14:paraId="3C69FCF5">
        <w:tblPrEx>
          <w:tblCellMar>
            <w:top w:w="15" w:type="dxa"/>
            <w:left w:w="15" w:type="dxa"/>
            <w:bottom w:w="15" w:type="dxa"/>
            <w:right w:w="15" w:type="dxa"/>
          </w:tblCellMar>
        </w:tblPrEx>
        <w:trPr>
          <w:trHeight w:val="1902" w:hRule="atLeast"/>
        </w:trPr>
        <w:tc>
          <w:tcPr>
            <w:tcW w:w="98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4F86FD">
            <w:pPr>
              <w:spacing w:line="500" w:lineRule="exact"/>
              <w:rPr>
                <w:rFonts w:cs="宋体"/>
                <w:color w:val="auto"/>
                <w:sz w:val="24"/>
                <w:szCs w:val="24"/>
                <w:highlight w:val="none"/>
              </w:rPr>
            </w:pPr>
            <w:r>
              <w:rPr>
                <w:rFonts w:hint="eastAsia" w:cs="宋体"/>
                <w:color w:val="auto"/>
                <w:sz w:val="24"/>
                <w:szCs w:val="24"/>
                <w:highlight w:val="none"/>
              </w:rPr>
              <w:t>项目概况：</w:t>
            </w:r>
          </w:p>
          <w:p w14:paraId="222BA7CB">
            <w:pPr>
              <w:spacing w:line="500" w:lineRule="exact"/>
              <w:ind w:firstLine="480" w:firstLineChars="200"/>
              <w:rPr>
                <w:rFonts w:ascii="宋体" w:hAnsi="Times New Roman" w:cs="宋体"/>
                <w:color w:val="auto"/>
                <w:sz w:val="24"/>
                <w:szCs w:val="24"/>
                <w:highlight w:val="none"/>
              </w:rPr>
            </w:pPr>
            <w:r>
              <w:rPr>
                <w:rFonts w:hint="eastAsia" w:hAnsi="Times New Roman" w:cs="宋体"/>
                <w:color w:val="auto"/>
                <w:sz w:val="24"/>
                <w:szCs w:val="24"/>
                <w:highlight w:val="none"/>
              </w:rPr>
              <w:t>木垒通用机场项目工程场地地震安全性评价的</w:t>
            </w:r>
            <w:r>
              <w:rPr>
                <w:rFonts w:hint="eastAsia" w:cs="宋体"/>
                <w:color w:val="auto"/>
                <w:sz w:val="24"/>
                <w:szCs w:val="24"/>
                <w:highlight w:val="none"/>
              </w:rPr>
              <w:t>潜在供应商应</w:t>
            </w:r>
            <w:r>
              <w:rPr>
                <w:rFonts w:hint="eastAsia" w:cs="宋体"/>
                <w:color w:val="auto"/>
                <w:sz w:val="24"/>
                <w:szCs w:val="24"/>
                <w:highlight w:val="none"/>
              </w:rPr>
              <w:t>在政采云平台报名成功后获取采购文件，并于</w:t>
            </w:r>
            <w:r>
              <w:rPr>
                <w:rFonts w:hint="eastAsia" w:cs="宋体"/>
                <w:color w:val="auto"/>
                <w:sz w:val="24"/>
                <w:szCs w:val="24"/>
                <w:highlight w:val="none"/>
                <w:lang w:eastAsia="zh-CN"/>
              </w:rPr>
              <w:t>202</w:t>
            </w:r>
            <w:r>
              <w:rPr>
                <w:rFonts w:hint="eastAsia" w:cs="宋体"/>
                <w:color w:val="auto"/>
                <w:sz w:val="24"/>
                <w:szCs w:val="24"/>
                <w:highlight w:val="none"/>
                <w:lang w:val="en-US" w:eastAsia="zh-CN"/>
              </w:rPr>
              <w:t>5</w:t>
            </w:r>
            <w:r>
              <w:rPr>
                <w:rFonts w:hint="eastAsia" w:cs="宋体"/>
                <w:color w:val="auto"/>
                <w:sz w:val="24"/>
                <w:szCs w:val="24"/>
                <w:highlight w:val="none"/>
                <w:lang w:eastAsia="zh-CN"/>
              </w:rPr>
              <w:t>年</w:t>
            </w:r>
            <w:r>
              <w:rPr>
                <w:rFonts w:hint="eastAsia" w:cs="宋体"/>
                <w:color w:val="auto"/>
                <w:sz w:val="24"/>
                <w:szCs w:val="24"/>
                <w:highlight w:val="none"/>
                <w:lang w:val="en-US" w:eastAsia="zh-CN"/>
              </w:rPr>
              <w:t>7</w:t>
            </w:r>
            <w:r>
              <w:rPr>
                <w:rFonts w:hint="eastAsia" w:cs="宋体"/>
                <w:color w:val="auto"/>
                <w:sz w:val="24"/>
                <w:szCs w:val="24"/>
                <w:highlight w:val="none"/>
                <w:lang w:eastAsia="zh-CN"/>
              </w:rPr>
              <w:t>月</w:t>
            </w:r>
            <w:r>
              <w:rPr>
                <w:rFonts w:hint="eastAsia" w:cs="宋体"/>
                <w:color w:val="auto"/>
                <w:sz w:val="24"/>
                <w:szCs w:val="24"/>
                <w:highlight w:val="none"/>
                <w:lang w:val="en-US" w:eastAsia="zh-CN"/>
              </w:rPr>
              <w:t>14</w:t>
            </w:r>
            <w:r>
              <w:rPr>
                <w:rFonts w:hint="eastAsia" w:cs="宋体"/>
                <w:color w:val="auto"/>
                <w:sz w:val="24"/>
                <w:szCs w:val="24"/>
                <w:highlight w:val="none"/>
                <w:lang w:eastAsia="zh-CN"/>
              </w:rPr>
              <w:t>日 1</w:t>
            </w:r>
            <w:r>
              <w:rPr>
                <w:rFonts w:hint="eastAsia" w:cs="宋体"/>
                <w:color w:val="auto"/>
                <w:sz w:val="24"/>
                <w:szCs w:val="24"/>
                <w:highlight w:val="none"/>
                <w:lang w:val="en-US" w:eastAsia="zh-CN"/>
              </w:rPr>
              <w:t>0</w:t>
            </w:r>
            <w:r>
              <w:rPr>
                <w:rFonts w:hint="eastAsia" w:cs="宋体"/>
                <w:color w:val="auto"/>
                <w:sz w:val="24"/>
                <w:szCs w:val="24"/>
                <w:highlight w:val="none"/>
                <w:lang w:eastAsia="zh-CN"/>
              </w:rPr>
              <w:t>:</w:t>
            </w:r>
            <w:r>
              <w:rPr>
                <w:rFonts w:hint="eastAsia" w:cs="宋体"/>
                <w:color w:val="auto"/>
                <w:sz w:val="24"/>
                <w:szCs w:val="24"/>
                <w:highlight w:val="none"/>
                <w:lang w:val="en-US" w:eastAsia="zh-CN"/>
              </w:rPr>
              <w:t>30</w:t>
            </w:r>
            <w:r>
              <w:rPr>
                <w:rFonts w:hint="eastAsia" w:cs="宋体"/>
                <w:color w:val="auto"/>
                <w:sz w:val="24"/>
                <w:szCs w:val="24"/>
                <w:highlight w:val="none"/>
                <w:lang w:eastAsia="zh-CN"/>
              </w:rPr>
              <w:t>（北京时间）</w:t>
            </w:r>
            <w:r>
              <w:rPr>
                <w:rFonts w:hint="eastAsia" w:cs="宋体"/>
                <w:color w:val="auto"/>
                <w:sz w:val="24"/>
                <w:szCs w:val="24"/>
                <w:highlight w:val="none"/>
              </w:rPr>
              <w:t>前提交响应文件。</w:t>
            </w:r>
          </w:p>
        </w:tc>
      </w:tr>
    </w:tbl>
    <w:p w14:paraId="7C374120">
      <w:pPr>
        <w:spacing w:line="400" w:lineRule="exact"/>
        <w:rPr>
          <w:rFonts w:cs="宋体"/>
          <w:b/>
          <w:bCs/>
          <w:color w:val="auto"/>
          <w:sz w:val="24"/>
          <w:szCs w:val="24"/>
          <w:highlight w:val="none"/>
        </w:rPr>
      </w:pPr>
      <w:r>
        <w:rPr>
          <w:rFonts w:hint="eastAsia" w:cs="宋体"/>
          <w:b/>
          <w:bCs/>
          <w:color w:val="auto"/>
          <w:sz w:val="24"/>
          <w:szCs w:val="24"/>
          <w:highlight w:val="none"/>
        </w:rPr>
        <w:t>一、项目基本情况</w:t>
      </w:r>
    </w:p>
    <w:p w14:paraId="63748607">
      <w:pPr>
        <w:spacing w:line="400" w:lineRule="exact"/>
        <w:ind w:firstLine="480" w:firstLineChars="200"/>
        <w:rPr>
          <w:rFonts w:hint="default" w:hAnsi="Times New Roman" w:cs="宋体"/>
          <w:color w:val="auto"/>
          <w:sz w:val="24"/>
          <w:szCs w:val="24"/>
          <w:highlight w:val="none"/>
          <w:lang w:val="en-US" w:eastAsia="zh-CN"/>
        </w:rPr>
      </w:pPr>
      <w:r>
        <w:rPr>
          <w:rFonts w:hint="eastAsia" w:cs="宋体"/>
          <w:color w:val="auto"/>
          <w:sz w:val="24"/>
          <w:szCs w:val="24"/>
          <w:highlight w:val="none"/>
        </w:rPr>
        <w:t>项目编</w:t>
      </w:r>
      <w:r>
        <w:rPr>
          <w:rFonts w:hint="eastAsia" w:hAnsi="Times New Roman" w:cs="宋体"/>
          <w:color w:val="auto"/>
          <w:sz w:val="24"/>
          <w:szCs w:val="24"/>
          <w:highlight w:val="none"/>
        </w:rPr>
        <w:t>号：</w:t>
      </w:r>
      <w:r>
        <w:rPr>
          <w:rFonts w:hint="eastAsia" w:hAnsi="Times New Roman" w:cs="宋体"/>
          <w:color w:val="auto"/>
          <w:sz w:val="24"/>
          <w:szCs w:val="24"/>
          <w:highlight w:val="none"/>
          <w:lang w:val="en-US" w:eastAsia="zh-CN"/>
        </w:rPr>
        <w:t>JPWY</w:t>
      </w:r>
      <w:r>
        <w:rPr>
          <w:rFonts w:hint="eastAsia" w:hAnsi="Times New Roman" w:cs="宋体"/>
          <w:color w:val="auto"/>
          <w:sz w:val="24"/>
          <w:szCs w:val="24"/>
          <w:highlight w:val="none"/>
        </w:rPr>
        <w:t>-</w:t>
      </w:r>
      <w:r>
        <w:rPr>
          <w:rFonts w:hint="eastAsia" w:hAnsi="Times New Roman" w:cs="宋体"/>
          <w:color w:val="auto"/>
          <w:sz w:val="24"/>
          <w:szCs w:val="24"/>
          <w:highlight w:val="none"/>
          <w:lang w:val="en-US" w:eastAsia="zh-CN"/>
        </w:rPr>
        <w:t>2025</w:t>
      </w:r>
      <w:r>
        <w:rPr>
          <w:rFonts w:hint="eastAsia" w:hAnsi="Times New Roman" w:cs="宋体"/>
          <w:color w:val="auto"/>
          <w:sz w:val="24"/>
          <w:szCs w:val="24"/>
          <w:highlight w:val="none"/>
        </w:rPr>
        <w:t>-</w:t>
      </w:r>
      <w:r>
        <w:rPr>
          <w:rFonts w:hint="eastAsia" w:hAnsi="Times New Roman" w:cs="宋体"/>
          <w:color w:val="auto"/>
          <w:sz w:val="24"/>
          <w:szCs w:val="24"/>
          <w:highlight w:val="none"/>
          <w:lang w:val="en-US" w:eastAsia="zh-CN"/>
        </w:rPr>
        <w:t>012-AP</w:t>
      </w:r>
    </w:p>
    <w:p w14:paraId="721C5244">
      <w:pPr>
        <w:spacing w:line="400" w:lineRule="exact"/>
        <w:ind w:firstLine="480" w:firstLineChars="200"/>
        <w:rPr>
          <w:rFonts w:eastAsia="仿宋" w:cs="宋体"/>
          <w:color w:val="auto"/>
          <w:sz w:val="24"/>
          <w:szCs w:val="24"/>
          <w:highlight w:val="none"/>
        </w:rPr>
      </w:pPr>
      <w:r>
        <w:rPr>
          <w:rFonts w:hint="eastAsia" w:cs="宋体"/>
          <w:color w:val="auto"/>
          <w:sz w:val="24"/>
          <w:szCs w:val="24"/>
          <w:highlight w:val="none"/>
        </w:rPr>
        <w:t>项目名称：木垒通用机场项目工程场地地震安全性评价</w:t>
      </w:r>
    </w:p>
    <w:p w14:paraId="53CA9840">
      <w:pPr>
        <w:spacing w:line="400" w:lineRule="exact"/>
        <w:ind w:firstLine="480" w:firstLineChars="200"/>
        <w:rPr>
          <w:rFonts w:cs="宋体"/>
          <w:color w:val="auto"/>
          <w:sz w:val="24"/>
          <w:szCs w:val="24"/>
          <w:highlight w:val="none"/>
        </w:rPr>
      </w:pPr>
      <w:r>
        <w:rPr>
          <w:rFonts w:hint="eastAsia" w:cs="宋体"/>
          <w:color w:val="auto"/>
          <w:sz w:val="24"/>
          <w:szCs w:val="24"/>
          <w:highlight w:val="none"/>
        </w:rPr>
        <w:t>采购方式：竞争性磋商 </w:t>
      </w:r>
    </w:p>
    <w:p w14:paraId="2C4B7A55">
      <w:pPr>
        <w:spacing w:line="400" w:lineRule="exact"/>
        <w:ind w:firstLine="480" w:firstLineChars="200"/>
        <w:rPr>
          <w:rFonts w:hint="eastAsia" w:cs="宋体"/>
          <w:color w:val="auto"/>
          <w:sz w:val="24"/>
          <w:szCs w:val="24"/>
          <w:highlight w:val="none"/>
        </w:rPr>
      </w:pPr>
      <w:r>
        <w:rPr>
          <w:rFonts w:hint="eastAsia" w:cs="宋体"/>
          <w:color w:val="auto"/>
          <w:sz w:val="24"/>
          <w:szCs w:val="24"/>
          <w:highlight w:val="none"/>
        </w:rPr>
        <w:t>预算金额（元）：</w:t>
      </w:r>
      <w:r>
        <w:rPr>
          <w:rFonts w:hint="eastAsia" w:ascii="宋体" w:hAnsi="宋体" w:eastAsia="宋体" w:cs="宋体"/>
          <w:color w:val="auto"/>
          <w:sz w:val="24"/>
          <w:szCs w:val="24"/>
          <w:highlight w:val="none"/>
          <w:lang w:val="en-US" w:eastAsia="zh-CN"/>
        </w:rPr>
        <w:t>573000.00</w:t>
      </w:r>
      <w:r>
        <w:rPr>
          <w:rFonts w:hint="eastAsia" w:ascii="宋体" w:hAnsi="宋体" w:cs="宋体"/>
          <w:color w:val="auto"/>
          <w:sz w:val="24"/>
          <w:szCs w:val="24"/>
          <w:highlight w:val="none"/>
          <w:lang w:val="en-US" w:eastAsia="zh-CN"/>
        </w:rPr>
        <w:t>元</w:t>
      </w:r>
      <w:r>
        <w:rPr>
          <w:rFonts w:hint="eastAsia" w:cs="宋体"/>
          <w:color w:val="auto"/>
          <w:sz w:val="24"/>
          <w:szCs w:val="24"/>
          <w:highlight w:val="none"/>
        </w:rPr>
        <w:t>（大写：</w:t>
      </w:r>
      <w:r>
        <w:rPr>
          <w:rFonts w:hint="eastAsia" w:cs="宋体"/>
          <w:color w:val="auto"/>
          <w:sz w:val="24"/>
          <w:szCs w:val="24"/>
          <w:highlight w:val="none"/>
          <w:lang w:eastAsia="zh-CN"/>
        </w:rPr>
        <w:t>伍拾柒万叁仟元整</w:t>
      </w:r>
      <w:r>
        <w:rPr>
          <w:rFonts w:hint="eastAsia" w:cs="宋体"/>
          <w:color w:val="auto"/>
          <w:sz w:val="24"/>
          <w:szCs w:val="24"/>
          <w:highlight w:val="none"/>
        </w:rPr>
        <w:t>）</w:t>
      </w:r>
    </w:p>
    <w:p w14:paraId="07DD650C">
      <w:pPr>
        <w:spacing w:line="400" w:lineRule="exact"/>
        <w:ind w:firstLine="480" w:firstLineChars="200"/>
        <w:rPr>
          <w:rFonts w:hint="eastAsia" w:cs="宋体"/>
          <w:color w:val="auto"/>
          <w:sz w:val="24"/>
          <w:szCs w:val="24"/>
          <w:highlight w:val="none"/>
        </w:rPr>
      </w:pPr>
      <w:r>
        <w:rPr>
          <w:rFonts w:hint="eastAsia" w:cs="宋体"/>
          <w:color w:val="auto"/>
          <w:sz w:val="24"/>
          <w:szCs w:val="24"/>
          <w:highlight w:val="none"/>
        </w:rPr>
        <w:t>最高限价（元）：</w:t>
      </w:r>
      <w:r>
        <w:rPr>
          <w:rFonts w:hint="eastAsia" w:ascii="宋体" w:hAnsi="宋体" w:eastAsia="宋体" w:cs="宋体"/>
          <w:color w:val="auto"/>
          <w:sz w:val="24"/>
          <w:szCs w:val="24"/>
          <w:highlight w:val="none"/>
          <w:lang w:val="en-US" w:eastAsia="zh-CN"/>
        </w:rPr>
        <w:t>573000.00</w:t>
      </w:r>
      <w:r>
        <w:rPr>
          <w:rFonts w:hint="eastAsia" w:ascii="宋体" w:hAnsi="宋体" w:cs="宋体"/>
          <w:color w:val="auto"/>
          <w:sz w:val="24"/>
          <w:szCs w:val="24"/>
          <w:highlight w:val="none"/>
          <w:lang w:val="en-US" w:eastAsia="zh-CN"/>
        </w:rPr>
        <w:t>元</w:t>
      </w:r>
      <w:r>
        <w:rPr>
          <w:rFonts w:hint="eastAsia" w:cs="宋体"/>
          <w:color w:val="auto"/>
          <w:sz w:val="24"/>
          <w:szCs w:val="24"/>
          <w:highlight w:val="none"/>
        </w:rPr>
        <w:t>（大写：</w:t>
      </w:r>
      <w:r>
        <w:rPr>
          <w:rFonts w:hint="eastAsia" w:cs="宋体"/>
          <w:color w:val="auto"/>
          <w:sz w:val="24"/>
          <w:szCs w:val="24"/>
          <w:highlight w:val="none"/>
          <w:lang w:eastAsia="zh-CN"/>
        </w:rPr>
        <w:t>伍拾柒万叁仟元整</w:t>
      </w:r>
      <w:r>
        <w:rPr>
          <w:rFonts w:hint="eastAsia" w:cs="宋体"/>
          <w:color w:val="auto"/>
          <w:sz w:val="24"/>
          <w:szCs w:val="24"/>
          <w:highlight w:val="none"/>
        </w:rPr>
        <w:t>）</w:t>
      </w:r>
    </w:p>
    <w:tbl>
      <w:tblPr>
        <w:tblStyle w:val="34"/>
        <w:tblW w:w="8711" w:type="dxa"/>
        <w:tblInd w:w="0" w:type="dxa"/>
        <w:tblLayout w:type="fixed"/>
        <w:tblCellMar>
          <w:top w:w="15" w:type="dxa"/>
          <w:left w:w="15" w:type="dxa"/>
          <w:bottom w:w="15" w:type="dxa"/>
          <w:right w:w="15" w:type="dxa"/>
        </w:tblCellMar>
      </w:tblPr>
      <w:tblGrid>
        <w:gridCol w:w="1093"/>
        <w:gridCol w:w="3030"/>
        <w:gridCol w:w="1020"/>
        <w:gridCol w:w="3568"/>
      </w:tblGrid>
      <w:tr w14:paraId="043971FB">
        <w:tblPrEx>
          <w:tblCellMar>
            <w:top w:w="15" w:type="dxa"/>
            <w:left w:w="15" w:type="dxa"/>
            <w:bottom w:w="15" w:type="dxa"/>
            <w:right w:w="15" w:type="dxa"/>
          </w:tblCellMar>
        </w:tblPrEx>
        <w:trPr>
          <w:trHeight w:val="581"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91CFFB">
            <w:pPr>
              <w:spacing w:line="400" w:lineRule="exact"/>
              <w:jc w:val="center"/>
              <w:rPr>
                <w:rFonts w:ascii="宋体" w:hAnsi="Times New Roman" w:cs="宋体"/>
                <w:color w:val="auto"/>
                <w:sz w:val="24"/>
                <w:szCs w:val="24"/>
                <w:highlight w:val="none"/>
              </w:rPr>
            </w:pPr>
            <w:r>
              <w:rPr>
                <w:rFonts w:hint="eastAsia" w:ascii="宋体" w:hAnsi="Times New Roman" w:cs="宋体"/>
                <w:color w:val="auto"/>
                <w:sz w:val="24"/>
                <w:szCs w:val="24"/>
                <w:highlight w:val="none"/>
              </w:rPr>
              <w:t>标项序号</w:t>
            </w:r>
          </w:p>
        </w:tc>
        <w:tc>
          <w:tcPr>
            <w:tcW w:w="303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6F6B06">
            <w:pPr>
              <w:spacing w:line="400" w:lineRule="exact"/>
              <w:jc w:val="center"/>
              <w:rPr>
                <w:rFonts w:ascii="宋体" w:hAnsi="Times New Roman" w:cs="宋体"/>
                <w:color w:val="auto"/>
                <w:sz w:val="24"/>
                <w:szCs w:val="24"/>
                <w:highlight w:val="none"/>
              </w:rPr>
            </w:pPr>
            <w:r>
              <w:rPr>
                <w:rFonts w:hint="eastAsia" w:ascii="宋体" w:hAnsi="Times New Roman" w:cs="宋体"/>
                <w:color w:val="auto"/>
                <w:sz w:val="24"/>
                <w:szCs w:val="24"/>
                <w:highlight w:val="none"/>
              </w:rPr>
              <w:t>标项名称</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1FC5B4">
            <w:pPr>
              <w:spacing w:line="400" w:lineRule="exact"/>
              <w:jc w:val="center"/>
              <w:rPr>
                <w:rFonts w:ascii="宋体" w:hAnsi="Times New Roman" w:cs="宋体"/>
                <w:color w:val="auto"/>
                <w:sz w:val="24"/>
                <w:szCs w:val="24"/>
                <w:highlight w:val="none"/>
              </w:rPr>
            </w:pPr>
            <w:r>
              <w:rPr>
                <w:rFonts w:hint="eastAsia" w:ascii="宋体" w:hAnsi="Times New Roman" w:cs="宋体"/>
                <w:color w:val="auto"/>
                <w:sz w:val="24"/>
                <w:szCs w:val="24"/>
                <w:highlight w:val="none"/>
              </w:rPr>
              <w:t>单位</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7DBAAA">
            <w:pPr>
              <w:spacing w:line="400" w:lineRule="exact"/>
              <w:jc w:val="center"/>
              <w:rPr>
                <w:rFonts w:ascii="宋体" w:hAnsi="Times New Roman" w:cs="宋体"/>
                <w:color w:val="auto"/>
                <w:sz w:val="24"/>
                <w:szCs w:val="24"/>
                <w:highlight w:val="none"/>
              </w:rPr>
            </w:pPr>
            <w:r>
              <w:rPr>
                <w:rFonts w:hint="eastAsia" w:ascii="宋体" w:hAnsi="Times New Roman" w:cs="宋体"/>
                <w:color w:val="auto"/>
                <w:sz w:val="24"/>
                <w:szCs w:val="24"/>
                <w:highlight w:val="none"/>
              </w:rPr>
              <w:t>简要规格描述</w:t>
            </w:r>
          </w:p>
        </w:tc>
      </w:tr>
      <w:tr w14:paraId="47938B5D">
        <w:tblPrEx>
          <w:tblCellMar>
            <w:top w:w="15" w:type="dxa"/>
            <w:left w:w="15" w:type="dxa"/>
            <w:bottom w:w="15" w:type="dxa"/>
            <w:right w:w="15" w:type="dxa"/>
          </w:tblCellMar>
        </w:tblPrEx>
        <w:trPr>
          <w:cantSplit/>
          <w:trHeight w:val="910"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3746DE">
            <w:pPr>
              <w:spacing w:line="400" w:lineRule="exact"/>
              <w:jc w:val="center"/>
              <w:rPr>
                <w:rFonts w:ascii="宋体" w:hAnsi="Times New Roman" w:cs="宋体"/>
                <w:color w:val="auto"/>
                <w:sz w:val="24"/>
                <w:szCs w:val="24"/>
                <w:highlight w:val="none"/>
              </w:rPr>
            </w:pPr>
            <w:r>
              <w:rPr>
                <w:rFonts w:hint="eastAsia" w:ascii="宋体" w:hAnsi="Times New Roman" w:cs="宋体"/>
                <w:color w:val="auto"/>
                <w:sz w:val="24"/>
                <w:szCs w:val="24"/>
                <w:highlight w:val="none"/>
              </w:rPr>
              <w:t>1</w:t>
            </w:r>
          </w:p>
        </w:tc>
        <w:tc>
          <w:tcPr>
            <w:tcW w:w="303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2582B4">
            <w:pPr>
              <w:spacing w:line="400" w:lineRule="exact"/>
              <w:jc w:val="center"/>
              <w:rPr>
                <w:rFonts w:hint="eastAsia" w:ascii="宋体" w:hAnsi="Times New Roman" w:eastAsia="宋体" w:cs="宋体"/>
                <w:color w:val="auto"/>
                <w:sz w:val="24"/>
                <w:szCs w:val="24"/>
                <w:highlight w:val="none"/>
                <w:lang w:eastAsia="zh-CN"/>
              </w:rPr>
            </w:pPr>
            <w:r>
              <w:rPr>
                <w:rFonts w:hint="eastAsia" w:cs="宋体"/>
                <w:color w:val="auto"/>
                <w:sz w:val="24"/>
                <w:szCs w:val="24"/>
                <w:highlight w:val="none"/>
              </w:rPr>
              <w:t>木垒通用机场项目工程场地地震安全性评价</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D6590F">
            <w:pPr>
              <w:spacing w:line="400" w:lineRule="exact"/>
              <w:jc w:val="center"/>
              <w:rPr>
                <w:rFonts w:ascii="宋体" w:hAnsi="Times New Roman" w:cs="宋体"/>
                <w:color w:val="auto"/>
                <w:sz w:val="24"/>
                <w:szCs w:val="24"/>
                <w:highlight w:val="none"/>
              </w:rPr>
            </w:pPr>
            <w:r>
              <w:rPr>
                <w:rFonts w:hint="eastAsia" w:ascii="宋体" w:hAnsi="Times New Roman" w:cs="宋体"/>
                <w:color w:val="auto"/>
                <w:sz w:val="24"/>
                <w:szCs w:val="24"/>
                <w:highlight w:val="none"/>
              </w:rPr>
              <w:t>批</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0E56AF">
            <w:pPr>
              <w:spacing w:line="400" w:lineRule="exact"/>
              <w:jc w:val="center"/>
              <w:rPr>
                <w:rFonts w:hint="eastAsia" w:ascii="宋体" w:hAnsi="Times New Roman" w:eastAsia="宋体" w:cs="宋体"/>
                <w:color w:val="auto"/>
                <w:sz w:val="24"/>
                <w:szCs w:val="24"/>
                <w:highlight w:val="none"/>
                <w:lang w:eastAsia="zh-CN"/>
              </w:rPr>
            </w:pPr>
            <w:r>
              <w:rPr>
                <w:rFonts w:hint="eastAsia" w:cs="宋体"/>
                <w:color w:val="auto"/>
                <w:sz w:val="24"/>
                <w:szCs w:val="24"/>
                <w:highlight w:val="none"/>
              </w:rPr>
              <w:t>木垒通用机场项目工程场地地震安全性评价</w:t>
            </w:r>
          </w:p>
        </w:tc>
      </w:tr>
    </w:tbl>
    <w:p w14:paraId="1669FDFB">
      <w:pPr>
        <w:spacing w:line="400" w:lineRule="exac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rPr>
        <w:t>合同履行期限：</w:t>
      </w:r>
      <w:r>
        <w:rPr>
          <w:rFonts w:hint="eastAsia" w:ascii="宋体" w:hAnsi="宋体" w:eastAsia="宋体" w:cs="宋体"/>
          <w:color w:val="auto"/>
          <w:sz w:val="24"/>
          <w:szCs w:val="24"/>
          <w:highlight w:val="none"/>
          <w:lang w:eastAsia="zh-CN"/>
        </w:rPr>
        <w:t>自合同签订后</w:t>
      </w:r>
      <w:r>
        <w:rPr>
          <w:rFonts w:hint="eastAsia" w:ascii="宋体" w:hAnsi="宋体" w:eastAsia="宋体" w:cs="宋体"/>
          <w:color w:val="auto"/>
          <w:sz w:val="24"/>
          <w:szCs w:val="24"/>
          <w:highlight w:val="none"/>
          <w:lang w:val="en-US" w:eastAsia="zh-CN"/>
        </w:rPr>
        <w:t>1个月内完成。</w:t>
      </w:r>
    </w:p>
    <w:p w14:paraId="6E53D9C5">
      <w:pPr>
        <w:spacing w:line="400" w:lineRule="exact"/>
        <w:rPr>
          <w:rFonts w:cs="宋体"/>
          <w:b/>
          <w:bCs/>
          <w:color w:val="auto"/>
          <w:sz w:val="24"/>
          <w:szCs w:val="24"/>
          <w:highlight w:val="none"/>
        </w:rPr>
      </w:pPr>
      <w:r>
        <w:rPr>
          <w:rFonts w:hint="eastAsia" w:cs="宋体"/>
          <w:b/>
          <w:bCs/>
          <w:color w:val="auto"/>
          <w:sz w:val="24"/>
          <w:szCs w:val="24"/>
          <w:highlight w:val="none"/>
        </w:rPr>
        <w:t>二、申请人的资格要求：</w:t>
      </w:r>
    </w:p>
    <w:p w14:paraId="1E759E2C">
      <w:pPr>
        <w:spacing w:line="400" w:lineRule="exact"/>
        <w:ind w:firstLine="480" w:firstLineChars="200"/>
        <w:rPr>
          <w:rFonts w:cs="宋体"/>
          <w:color w:val="auto"/>
          <w:sz w:val="24"/>
          <w:szCs w:val="24"/>
          <w:highlight w:val="none"/>
        </w:rPr>
      </w:pPr>
      <w:r>
        <w:rPr>
          <w:rFonts w:hint="eastAsia" w:cs="宋体"/>
          <w:color w:val="auto"/>
          <w:sz w:val="24"/>
          <w:szCs w:val="24"/>
          <w:highlight w:val="none"/>
        </w:rPr>
        <w:t>1.满足《中华人民共和国政府采购法》第二十二条规定：具有独立承担民事责任的能力，能承担本项目服务能力，具有市场监督管理部门颁发的统一社会信用代码的有效营业执照；</w:t>
      </w:r>
    </w:p>
    <w:p w14:paraId="73C6D162">
      <w:pPr>
        <w:spacing w:line="400" w:lineRule="exact"/>
        <w:ind w:firstLine="480" w:firstLineChars="200"/>
        <w:rPr>
          <w:rFonts w:cs="宋体"/>
          <w:color w:val="auto"/>
          <w:sz w:val="24"/>
          <w:szCs w:val="24"/>
          <w:highlight w:val="none"/>
        </w:rPr>
      </w:pPr>
      <w:r>
        <w:rPr>
          <w:rFonts w:hint="eastAsia" w:cs="宋体"/>
          <w:color w:val="auto"/>
          <w:sz w:val="24"/>
          <w:szCs w:val="24"/>
          <w:highlight w:val="none"/>
        </w:rPr>
        <w:t>2.落实政府采购政策需满足的资格要求：</w:t>
      </w:r>
      <w:r>
        <w:rPr>
          <w:rFonts w:hint="eastAsia" w:cs="宋体"/>
          <w:color w:val="auto"/>
          <w:sz w:val="24"/>
          <w:szCs w:val="24"/>
          <w:highlight w:val="none"/>
          <w:lang w:eastAsia="zh-CN"/>
        </w:rPr>
        <w:t>专门面向中小微企业采购</w:t>
      </w:r>
      <w:r>
        <w:rPr>
          <w:rFonts w:hint="eastAsia" w:cs="宋体"/>
          <w:color w:val="auto"/>
          <w:sz w:val="24"/>
          <w:szCs w:val="24"/>
          <w:highlight w:val="none"/>
        </w:rPr>
        <w:t>。</w:t>
      </w:r>
    </w:p>
    <w:p w14:paraId="5381BDBE">
      <w:pPr>
        <w:spacing w:line="400" w:lineRule="exact"/>
        <w:ind w:firstLine="480" w:firstLineChars="200"/>
        <w:rPr>
          <w:rFonts w:cs="宋体"/>
          <w:color w:val="auto"/>
          <w:sz w:val="24"/>
          <w:szCs w:val="24"/>
          <w:highlight w:val="none"/>
        </w:rPr>
      </w:pPr>
      <w:r>
        <w:rPr>
          <w:rFonts w:hint="eastAsia" w:cs="宋体"/>
          <w:color w:val="auto"/>
          <w:sz w:val="24"/>
          <w:szCs w:val="24"/>
          <w:highlight w:val="none"/>
        </w:rPr>
        <w:t>3.本项目的特定资格要求：</w:t>
      </w:r>
    </w:p>
    <w:p w14:paraId="64CB68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法人代表或其委托代理人</w:t>
      </w:r>
      <w:r>
        <w:rPr>
          <w:rFonts w:hint="eastAsia" w:ascii="宋体" w:hAnsi="宋体" w:eastAsia="宋体" w:cs="宋体"/>
          <w:color w:val="auto"/>
          <w:sz w:val="24"/>
          <w:szCs w:val="24"/>
          <w:highlight w:val="none"/>
          <w:lang w:val="en-US" w:eastAsia="zh-CN"/>
        </w:rPr>
        <w:t>参与本项目的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rPr>
        <w:t>本人身份证，委托代理人</w:t>
      </w:r>
      <w:r>
        <w:rPr>
          <w:rFonts w:hint="eastAsia" w:ascii="宋体" w:hAnsi="宋体" w:eastAsia="宋体" w:cs="宋体"/>
          <w:color w:val="auto"/>
          <w:sz w:val="24"/>
          <w:szCs w:val="24"/>
          <w:highlight w:val="none"/>
          <w:lang w:val="en-US" w:eastAsia="zh-CN"/>
        </w:rPr>
        <w:t>参与本项目</w:t>
      </w:r>
      <w:r>
        <w:rPr>
          <w:rFonts w:hint="eastAsia" w:ascii="宋体" w:hAnsi="宋体" w:eastAsia="宋体" w:cs="宋体"/>
          <w:color w:val="auto"/>
          <w:sz w:val="24"/>
          <w:szCs w:val="24"/>
          <w:highlight w:val="none"/>
        </w:rPr>
        <w:t>还应</w:t>
      </w: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rPr>
        <w:t xml:space="preserve">《法人代表授权委托书》； </w:t>
      </w:r>
    </w:p>
    <w:p w14:paraId="78C75E4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2）具备有效的营业执照或事业单位法人证书；</w:t>
      </w:r>
    </w:p>
    <w:p w14:paraId="2E11AF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（3）属于中国灾害防御协会《关于公布全国地震安全性评价从业单位最新信息的通知》名单内的备案单位；</w:t>
      </w:r>
    </w:p>
    <w:p w14:paraId="1216B5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）投标单位人员、设备、资金等方面具有相应的</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能力</w:t>
      </w:r>
      <w:r>
        <w:rPr>
          <w:rFonts w:hint="eastAsia" w:ascii="宋体" w:hAnsi="宋体" w:eastAsia="宋体" w:cs="宋体"/>
          <w:color w:val="auto"/>
          <w:sz w:val="24"/>
          <w:szCs w:val="24"/>
          <w:highlight w:val="none"/>
          <w:lang w:eastAsia="zh-CN"/>
        </w:rPr>
        <w:t>；</w:t>
      </w:r>
    </w:p>
    <w:p w14:paraId="301504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26EA4A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）参加政府采购活动前三年内，在经营活动中没有重大违法记录；</w:t>
      </w:r>
    </w:p>
    <w:p w14:paraId="5B3304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）在“信用中国”（www.creditchina.gov.cn）和中国政府采购网（www.ccgp.gov.cn）网站上未被列入失信被执行人、重大税收违法案件当事人名单以及政府采购严重违法失信行为记录名单；</w:t>
      </w:r>
    </w:p>
    <w:p w14:paraId="462AA8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8</w:t>
      </w:r>
      <w:r>
        <w:rPr>
          <w:rFonts w:hint="eastAsia" w:cs="宋体"/>
          <w:color w:val="auto"/>
          <w:sz w:val="24"/>
          <w:szCs w:val="24"/>
          <w:highlight w:val="none"/>
        </w:rPr>
        <w:t>）本项目不接受联合体投标；</w:t>
      </w:r>
    </w:p>
    <w:p w14:paraId="0A5F0C12">
      <w:pPr>
        <w:spacing w:line="400" w:lineRule="exact"/>
        <w:rPr>
          <w:rFonts w:cs="宋体"/>
          <w:b/>
          <w:bCs/>
          <w:color w:val="auto"/>
          <w:sz w:val="24"/>
          <w:szCs w:val="24"/>
          <w:highlight w:val="none"/>
        </w:rPr>
      </w:pPr>
      <w:r>
        <w:rPr>
          <w:rFonts w:hint="eastAsia" w:cs="宋体"/>
          <w:b/>
          <w:bCs/>
          <w:color w:val="auto"/>
          <w:sz w:val="24"/>
          <w:szCs w:val="24"/>
          <w:highlight w:val="none"/>
        </w:rPr>
        <w:t>三、获取竞争性磋商文件方式：</w:t>
      </w:r>
    </w:p>
    <w:p w14:paraId="5B6ECD68">
      <w:pPr>
        <w:spacing w:line="400" w:lineRule="exact"/>
        <w:ind w:firstLine="480" w:firstLineChars="200"/>
        <w:rPr>
          <w:rFonts w:cs="宋体"/>
          <w:color w:val="auto"/>
          <w:sz w:val="24"/>
          <w:szCs w:val="24"/>
          <w:highlight w:val="none"/>
        </w:rPr>
      </w:pPr>
      <w:r>
        <w:rPr>
          <w:rFonts w:hint="eastAsia" w:cs="宋体"/>
          <w:color w:val="auto"/>
          <w:sz w:val="24"/>
          <w:szCs w:val="24"/>
          <w:highlight w:val="none"/>
        </w:rPr>
        <w:t>时间：</w:t>
      </w:r>
      <w:r>
        <w:rPr>
          <w:rFonts w:hint="eastAsia" w:cs="宋体"/>
          <w:color w:val="auto"/>
          <w:sz w:val="24"/>
          <w:szCs w:val="24"/>
          <w:highlight w:val="none"/>
          <w:lang w:val="en-US" w:eastAsia="zh-CN"/>
        </w:rPr>
        <w:t>2025年7月3日10:30(北京时间)至2025年7月10日19:00（北京时间）</w:t>
      </w:r>
      <w:r>
        <w:rPr>
          <w:rFonts w:cs="宋体"/>
          <w:color w:val="auto"/>
          <w:sz w:val="24"/>
          <w:szCs w:val="24"/>
          <w:highlight w:val="none"/>
        </w:rPr>
        <w:t xml:space="preserve"> </w:t>
      </w:r>
    </w:p>
    <w:p w14:paraId="24926663">
      <w:pPr>
        <w:spacing w:line="400" w:lineRule="exact"/>
        <w:ind w:firstLine="480" w:firstLineChars="200"/>
        <w:rPr>
          <w:rFonts w:cs="宋体"/>
          <w:color w:val="auto"/>
          <w:sz w:val="24"/>
          <w:szCs w:val="24"/>
          <w:highlight w:val="none"/>
        </w:rPr>
      </w:pPr>
      <w:r>
        <w:rPr>
          <w:rFonts w:hint="eastAsia" w:cs="宋体"/>
          <w:color w:val="auto"/>
          <w:sz w:val="24"/>
          <w:szCs w:val="24"/>
          <w:highlight w:val="none"/>
        </w:rPr>
        <w:t>方 式：</w:t>
      </w:r>
      <w:r>
        <w:rPr>
          <w:rFonts w:hint="eastAsia" w:cs="宋体"/>
          <w:color w:val="auto"/>
          <w:sz w:val="24"/>
          <w:szCs w:val="24"/>
          <w:highlight w:val="none"/>
          <w:lang w:eastAsia="zh-CN"/>
        </w:rPr>
        <w:t>政采云线上购买</w:t>
      </w:r>
    </w:p>
    <w:p w14:paraId="3D09BC31">
      <w:pPr>
        <w:spacing w:line="400" w:lineRule="exact"/>
        <w:ind w:firstLine="480" w:firstLineChars="200"/>
        <w:rPr>
          <w:rFonts w:hint="default" w:eastAsia="宋体" w:cs="宋体"/>
          <w:color w:val="auto"/>
          <w:sz w:val="24"/>
          <w:szCs w:val="24"/>
          <w:highlight w:val="none"/>
          <w:lang w:val="en-US" w:eastAsia="zh-CN"/>
        </w:rPr>
      </w:pPr>
      <w:r>
        <w:rPr>
          <w:rFonts w:hint="eastAsia" w:cs="宋体"/>
          <w:color w:val="auto"/>
          <w:sz w:val="24"/>
          <w:szCs w:val="24"/>
          <w:highlight w:val="none"/>
        </w:rPr>
        <w:t>售价（元）：</w:t>
      </w:r>
      <w:r>
        <w:rPr>
          <w:rFonts w:hint="eastAsia" w:cs="宋体"/>
          <w:color w:val="auto"/>
          <w:sz w:val="24"/>
          <w:szCs w:val="24"/>
          <w:highlight w:val="none"/>
          <w:lang w:val="en-US" w:eastAsia="zh-CN"/>
        </w:rPr>
        <w:t>0</w:t>
      </w:r>
    </w:p>
    <w:p w14:paraId="361E4B66">
      <w:pPr>
        <w:spacing w:line="400" w:lineRule="exact"/>
        <w:rPr>
          <w:rFonts w:hint="eastAsia" w:eastAsia="宋体" w:cs="宋体"/>
          <w:b/>
          <w:bCs/>
          <w:color w:val="auto"/>
          <w:sz w:val="24"/>
          <w:szCs w:val="24"/>
          <w:highlight w:val="none"/>
          <w:lang w:val="en-US" w:eastAsia="zh-CN"/>
        </w:rPr>
      </w:pPr>
      <w:r>
        <w:rPr>
          <w:rFonts w:hint="eastAsia" w:cs="宋体"/>
          <w:b/>
          <w:bCs/>
          <w:color w:val="auto"/>
          <w:sz w:val="24"/>
          <w:szCs w:val="24"/>
          <w:highlight w:val="none"/>
        </w:rPr>
        <w:t>四、响应文件提交</w:t>
      </w:r>
      <w:r>
        <w:rPr>
          <w:rFonts w:hint="eastAsia" w:cs="宋体"/>
          <w:b/>
          <w:bCs/>
          <w:color w:val="auto"/>
          <w:sz w:val="24"/>
          <w:szCs w:val="24"/>
          <w:highlight w:val="none"/>
          <w:lang w:val="en-US" w:eastAsia="zh-CN"/>
        </w:rPr>
        <w:t xml:space="preserve"> </w:t>
      </w:r>
    </w:p>
    <w:p w14:paraId="40D6063A">
      <w:pPr>
        <w:spacing w:line="400" w:lineRule="exact"/>
        <w:ind w:firstLine="480" w:firstLineChars="200"/>
        <w:rPr>
          <w:rFonts w:cs="宋体"/>
          <w:color w:val="auto"/>
          <w:sz w:val="24"/>
          <w:szCs w:val="24"/>
          <w:highlight w:val="none"/>
        </w:rPr>
      </w:pPr>
      <w:r>
        <w:rPr>
          <w:rFonts w:hint="eastAsia" w:cs="宋体"/>
          <w:color w:val="auto"/>
          <w:sz w:val="24"/>
          <w:szCs w:val="24"/>
          <w:highlight w:val="none"/>
        </w:rPr>
        <w:t>截止时间：</w:t>
      </w:r>
      <w:r>
        <w:rPr>
          <w:rFonts w:hint="eastAsia" w:cs="宋体"/>
          <w:color w:val="auto"/>
          <w:sz w:val="24"/>
          <w:szCs w:val="24"/>
          <w:highlight w:val="none"/>
          <w:lang w:val="en-US" w:eastAsia="zh-CN"/>
        </w:rPr>
        <w:t>2025年7月14日10:30（北京时间）</w:t>
      </w:r>
      <w:r>
        <w:rPr>
          <w:rFonts w:cs="宋体"/>
          <w:color w:val="auto"/>
          <w:sz w:val="24"/>
          <w:szCs w:val="24"/>
          <w:highlight w:val="none"/>
        </w:rPr>
        <w:t xml:space="preserve"> </w:t>
      </w:r>
    </w:p>
    <w:p w14:paraId="544F3E2C">
      <w:pPr>
        <w:spacing w:line="400" w:lineRule="exact"/>
        <w:ind w:firstLine="480" w:firstLineChars="200"/>
        <w:rPr>
          <w:rFonts w:cs="宋体"/>
          <w:color w:val="auto"/>
          <w:sz w:val="24"/>
          <w:szCs w:val="24"/>
          <w:highlight w:val="none"/>
        </w:rPr>
      </w:pPr>
      <w:r>
        <w:rPr>
          <w:rFonts w:hint="eastAsia" w:cs="宋体"/>
          <w:color w:val="auto"/>
          <w:sz w:val="24"/>
          <w:szCs w:val="24"/>
          <w:highlight w:val="none"/>
        </w:rPr>
        <w:t>地点：</w:t>
      </w:r>
      <w:r>
        <w:rPr>
          <w:rFonts w:hint="eastAsia" w:cs="宋体"/>
          <w:color w:val="auto"/>
          <w:sz w:val="24"/>
          <w:szCs w:val="24"/>
          <w:highlight w:val="none"/>
          <w:lang w:eastAsia="zh-CN"/>
        </w:rPr>
        <w:t>政采云全流程电子标</w:t>
      </w:r>
    </w:p>
    <w:p w14:paraId="1F2C0384">
      <w:pPr>
        <w:spacing w:line="400" w:lineRule="exact"/>
        <w:rPr>
          <w:rFonts w:cs="宋体"/>
          <w:b/>
          <w:bCs/>
          <w:color w:val="auto"/>
          <w:sz w:val="24"/>
          <w:szCs w:val="24"/>
          <w:highlight w:val="none"/>
        </w:rPr>
      </w:pPr>
      <w:r>
        <w:rPr>
          <w:rFonts w:hint="eastAsia" w:cs="宋体"/>
          <w:b/>
          <w:bCs/>
          <w:color w:val="auto"/>
          <w:sz w:val="24"/>
          <w:szCs w:val="24"/>
          <w:highlight w:val="none"/>
        </w:rPr>
        <w:t>五、响应文件开启</w:t>
      </w:r>
    </w:p>
    <w:p w14:paraId="47C53BF2">
      <w:pPr>
        <w:spacing w:line="400" w:lineRule="exact"/>
        <w:ind w:firstLine="480" w:firstLineChars="200"/>
        <w:rPr>
          <w:rFonts w:cs="宋体"/>
          <w:color w:val="auto"/>
          <w:sz w:val="24"/>
          <w:szCs w:val="24"/>
          <w:highlight w:val="none"/>
        </w:rPr>
      </w:pPr>
      <w:r>
        <w:rPr>
          <w:rFonts w:hint="eastAsia" w:cs="宋体"/>
          <w:color w:val="auto"/>
          <w:sz w:val="24"/>
          <w:szCs w:val="24"/>
          <w:highlight w:val="none"/>
        </w:rPr>
        <w:t>截止时间：</w:t>
      </w:r>
      <w:r>
        <w:rPr>
          <w:rFonts w:hint="eastAsia" w:cs="宋体"/>
          <w:color w:val="auto"/>
          <w:sz w:val="24"/>
          <w:szCs w:val="24"/>
          <w:highlight w:val="none"/>
          <w:lang w:val="en-US" w:eastAsia="zh-CN"/>
        </w:rPr>
        <w:t>2025年7月14日10:30（北京时间）</w:t>
      </w:r>
      <w:r>
        <w:rPr>
          <w:rFonts w:cs="宋体"/>
          <w:color w:val="auto"/>
          <w:sz w:val="24"/>
          <w:szCs w:val="24"/>
          <w:highlight w:val="none"/>
        </w:rPr>
        <w:t xml:space="preserve"> </w:t>
      </w:r>
    </w:p>
    <w:p w14:paraId="1EBC8225">
      <w:pPr>
        <w:spacing w:line="400" w:lineRule="exact"/>
        <w:ind w:firstLine="480" w:firstLineChars="200"/>
        <w:rPr>
          <w:rFonts w:cs="宋体"/>
          <w:color w:val="auto"/>
          <w:sz w:val="24"/>
          <w:szCs w:val="24"/>
          <w:highlight w:val="none"/>
        </w:rPr>
      </w:pPr>
      <w:r>
        <w:rPr>
          <w:rFonts w:hint="eastAsia" w:cs="宋体"/>
          <w:color w:val="auto"/>
          <w:sz w:val="24"/>
          <w:szCs w:val="24"/>
          <w:highlight w:val="none"/>
        </w:rPr>
        <w:t>地点：</w:t>
      </w:r>
      <w:r>
        <w:rPr>
          <w:rFonts w:hint="eastAsia" w:cs="宋体"/>
          <w:color w:val="auto"/>
          <w:sz w:val="24"/>
          <w:szCs w:val="24"/>
          <w:highlight w:val="none"/>
          <w:lang w:eastAsia="zh-CN"/>
        </w:rPr>
        <w:t>政采云全流程电子标</w:t>
      </w:r>
    </w:p>
    <w:p w14:paraId="5ADA2728">
      <w:pPr>
        <w:spacing w:line="400" w:lineRule="exact"/>
        <w:rPr>
          <w:rFonts w:cs="宋体"/>
          <w:b/>
          <w:bCs/>
          <w:color w:val="auto"/>
          <w:sz w:val="24"/>
          <w:szCs w:val="24"/>
          <w:highlight w:val="none"/>
        </w:rPr>
      </w:pPr>
      <w:r>
        <w:rPr>
          <w:rFonts w:hint="eastAsia" w:cs="宋体"/>
          <w:b/>
          <w:bCs/>
          <w:color w:val="auto"/>
          <w:sz w:val="24"/>
          <w:szCs w:val="24"/>
          <w:highlight w:val="none"/>
        </w:rPr>
        <w:t>六、公告期限</w:t>
      </w:r>
    </w:p>
    <w:p w14:paraId="59006C8C">
      <w:pPr>
        <w:spacing w:line="400" w:lineRule="exact"/>
        <w:ind w:firstLine="480" w:firstLineChars="200"/>
        <w:rPr>
          <w:rFonts w:cs="宋体"/>
          <w:color w:val="auto"/>
          <w:sz w:val="24"/>
          <w:szCs w:val="24"/>
          <w:highlight w:val="none"/>
        </w:rPr>
      </w:pPr>
      <w:r>
        <w:rPr>
          <w:rFonts w:hint="eastAsia" w:cs="宋体"/>
          <w:color w:val="auto"/>
          <w:sz w:val="24"/>
          <w:szCs w:val="24"/>
          <w:highlight w:val="none"/>
        </w:rPr>
        <w:t>自</w:t>
      </w:r>
      <w:r>
        <w:rPr>
          <w:rFonts w:hint="eastAsia" w:cs="宋体"/>
          <w:color w:val="auto"/>
          <w:sz w:val="24"/>
          <w:szCs w:val="24"/>
          <w:highlight w:val="none"/>
          <w:lang w:eastAsia="zh-CN"/>
        </w:rPr>
        <w:t>本公告发布之日起5个工作日</w:t>
      </w:r>
      <w:r>
        <w:rPr>
          <w:rFonts w:hint="eastAsia" w:cs="宋体"/>
          <w:color w:val="auto"/>
          <w:sz w:val="24"/>
          <w:szCs w:val="24"/>
          <w:highlight w:val="none"/>
        </w:rPr>
        <w:t>。</w:t>
      </w:r>
    </w:p>
    <w:p w14:paraId="68A868D1">
      <w:pPr>
        <w:spacing w:line="400" w:lineRule="exact"/>
        <w:rPr>
          <w:rFonts w:cs="宋体"/>
          <w:b/>
          <w:bCs/>
          <w:color w:val="auto"/>
          <w:sz w:val="24"/>
          <w:szCs w:val="24"/>
          <w:highlight w:val="none"/>
        </w:rPr>
      </w:pPr>
      <w:r>
        <w:rPr>
          <w:rFonts w:hint="eastAsia" w:cs="宋体"/>
          <w:b/>
          <w:bCs/>
          <w:color w:val="auto"/>
          <w:sz w:val="24"/>
          <w:szCs w:val="24"/>
          <w:highlight w:val="none"/>
        </w:rPr>
        <w:t>七、其他补充事宜</w:t>
      </w:r>
    </w:p>
    <w:p w14:paraId="13C00308">
      <w:pPr>
        <w:spacing w:line="400" w:lineRule="exact"/>
        <w:ind w:firstLine="480" w:firstLineChars="200"/>
        <w:rPr>
          <w:rFonts w:cs="宋体"/>
          <w:color w:val="auto"/>
          <w:sz w:val="24"/>
          <w:szCs w:val="24"/>
          <w:highlight w:val="none"/>
        </w:rPr>
      </w:pPr>
      <w:r>
        <w:rPr>
          <w:rFonts w:hint="eastAsia" w:cs="宋体"/>
          <w:color w:val="auto"/>
          <w:sz w:val="24"/>
          <w:szCs w:val="24"/>
          <w:highlight w:val="none"/>
        </w:rPr>
        <w:t>1.发布媒介：新疆政府采购网；</w:t>
      </w:r>
    </w:p>
    <w:p w14:paraId="7BF89960">
      <w:pPr>
        <w:spacing w:line="400" w:lineRule="exact"/>
        <w:ind w:firstLine="480" w:firstLineChars="200"/>
        <w:rPr>
          <w:rFonts w:cs="宋体"/>
          <w:color w:val="auto"/>
          <w:sz w:val="24"/>
          <w:szCs w:val="24"/>
          <w:highlight w:val="none"/>
        </w:rPr>
      </w:pPr>
      <w:r>
        <w:rPr>
          <w:rFonts w:hint="eastAsia" w:cs="宋体"/>
          <w:color w:val="auto"/>
          <w:sz w:val="24"/>
          <w:szCs w:val="24"/>
          <w:highlight w:val="none"/>
        </w:rPr>
        <w:t>2.请投标单位随时关注本项目的澄清、答疑、变更事项。</w:t>
      </w:r>
    </w:p>
    <w:p w14:paraId="739E9344">
      <w:pPr>
        <w:spacing w:line="400" w:lineRule="exact"/>
        <w:rPr>
          <w:rFonts w:cs="宋体"/>
          <w:b/>
          <w:bCs/>
          <w:color w:val="auto"/>
          <w:sz w:val="24"/>
          <w:szCs w:val="24"/>
          <w:highlight w:val="none"/>
        </w:rPr>
      </w:pPr>
      <w:r>
        <w:rPr>
          <w:rFonts w:hint="eastAsia" w:cs="宋体"/>
          <w:b/>
          <w:bCs/>
          <w:color w:val="auto"/>
          <w:sz w:val="24"/>
          <w:szCs w:val="24"/>
          <w:highlight w:val="none"/>
        </w:rPr>
        <w:t xml:space="preserve">八、对本次采购提出询问，请按以下方式联系 </w:t>
      </w:r>
    </w:p>
    <w:p w14:paraId="1BC075A9">
      <w:pPr>
        <w:spacing w:line="400" w:lineRule="exact"/>
        <w:ind w:firstLine="480" w:firstLineChars="200"/>
        <w:rPr>
          <w:rFonts w:cs="宋体"/>
          <w:color w:val="auto"/>
          <w:sz w:val="24"/>
          <w:szCs w:val="24"/>
          <w:highlight w:val="none"/>
        </w:rPr>
      </w:pPr>
      <w:r>
        <w:rPr>
          <w:rFonts w:hint="eastAsia" w:cs="宋体"/>
          <w:color w:val="auto"/>
          <w:sz w:val="24"/>
          <w:szCs w:val="24"/>
          <w:highlight w:val="none"/>
        </w:rPr>
        <w:t>1、采购人信息</w:t>
      </w:r>
    </w:p>
    <w:p w14:paraId="2126A475">
      <w:pPr>
        <w:spacing w:line="400" w:lineRule="exact"/>
        <w:ind w:firstLine="480" w:firstLineChars="200"/>
        <w:rPr>
          <w:rFonts w:hint="eastAsia" w:cs="宋体"/>
          <w:color w:val="auto"/>
          <w:sz w:val="24"/>
          <w:szCs w:val="24"/>
          <w:highlight w:val="none"/>
        </w:rPr>
      </w:pPr>
      <w:r>
        <w:rPr>
          <w:rFonts w:hint="eastAsia" w:cs="宋体"/>
          <w:color w:val="auto"/>
          <w:sz w:val="24"/>
          <w:szCs w:val="24"/>
          <w:highlight w:val="none"/>
          <w:lang w:eastAsia="zh-CN"/>
        </w:rPr>
        <w:t xml:space="preserve">名称：木垒哈萨克自治县交通运输局  </w:t>
      </w:r>
    </w:p>
    <w:p w14:paraId="1871DBC9">
      <w:pPr>
        <w:spacing w:line="400" w:lineRule="exact"/>
        <w:ind w:firstLine="480" w:firstLineChars="200"/>
        <w:rPr>
          <w:rFonts w:hint="default" w:eastAsia="宋体" w:cs="宋体"/>
          <w:color w:val="auto"/>
          <w:sz w:val="24"/>
          <w:szCs w:val="24"/>
          <w:highlight w:val="none"/>
          <w:lang w:val="en-US" w:eastAsia="zh-CN"/>
        </w:rPr>
      </w:pPr>
      <w:r>
        <w:rPr>
          <w:rFonts w:hint="eastAsia" w:cs="宋体"/>
          <w:color w:val="auto"/>
          <w:sz w:val="24"/>
          <w:szCs w:val="24"/>
          <w:highlight w:val="none"/>
        </w:rPr>
        <w:t>联 系 人：</w:t>
      </w:r>
      <w:r>
        <w:rPr>
          <w:rFonts w:hint="eastAsia" w:cs="宋体"/>
          <w:color w:val="auto"/>
          <w:sz w:val="24"/>
          <w:szCs w:val="24"/>
          <w:highlight w:val="none"/>
          <w:lang w:eastAsia="zh-CN"/>
        </w:rPr>
        <w:t>张先生</w:t>
      </w:r>
    </w:p>
    <w:p w14:paraId="4A82E210">
      <w:pPr>
        <w:spacing w:line="400" w:lineRule="exact"/>
        <w:ind w:firstLine="480" w:firstLineChars="200"/>
        <w:rPr>
          <w:rFonts w:hint="default" w:cs="宋体"/>
          <w:color w:val="auto"/>
          <w:sz w:val="24"/>
          <w:szCs w:val="24"/>
          <w:highlight w:val="none"/>
          <w:lang w:val="en-US" w:eastAsia="zh-CN"/>
        </w:rPr>
      </w:pPr>
      <w:r>
        <w:rPr>
          <w:rFonts w:hint="eastAsia" w:cs="宋体"/>
          <w:color w:val="auto"/>
          <w:sz w:val="24"/>
          <w:szCs w:val="24"/>
          <w:highlight w:val="none"/>
        </w:rPr>
        <w:t>联系电话：13909940145</w:t>
      </w:r>
    </w:p>
    <w:p w14:paraId="3BA7A68B">
      <w:pPr>
        <w:spacing w:line="400" w:lineRule="exact"/>
        <w:ind w:firstLine="480" w:firstLineChars="200"/>
        <w:rPr>
          <w:rFonts w:cs="宋体"/>
          <w:color w:val="auto"/>
          <w:sz w:val="24"/>
          <w:szCs w:val="24"/>
          <w:highlight w:val="none"/>
        </w:rPr>
      </w:pPr>
      <w:r>
        <w:rPr>
          <w:rFonts w:hint="eastAsia" w:cs="宋体"/>
          <w:color w:val="auto"/>
          <w:sz w:val="24"/>
          <w:szCs w:val="24"/>
          <w:highlight w:val="none"/>
        </w:rPr>
        <w:t>2、采购代理机构信息</w:t>
      </w:r>
    </w:p>
    <w:p w14:paraId="1359BFE8">
      <w:pPr>
        <w:spacing w:line="400" w:lineRule="exact"/>
        <w:ind w:firstLine="480" w:firstLineChars="200"/>
        <w:rPr>
          <w:rFonts w:cs="宋体"/>
          <w:color w:val="auto"/>
          <w:sz w:val="24"/>
          <w:szCs w:val="24"/>
          <w:highlight w:val="none"/>
        </w:rPr>
      </w:pPr>
      <w:r>
        <w:rPr>
          <w:rFonts w:hint="eastAsia" w:cs="宋体"/>
          <w:color w:val="auto"/>
          <w:sz w:val="24"/>
          <w:szCs w:val="24"/>
          <w:highlight w:val="none"/>
          <w:lang w:eastAsia="zh-CN"/>
        </w:rPr>
        <w:t>名称</w:t>
      </w:r>
      <w:r>
        <w:rPr>
          <w:rFonts w:hint="eastAsia" w:cs="宋体"/>
          <w:color w:val="auto"/>
          <w:sz w:val="24"/>
          <w:szCs w:val="24"/>
          <w:highlight w:val="none"/>
        </w:rPr>
        <w:t>：</w:t>
      </w:r>
      <w:r>
        <w:rPr>
          <w:rFonts w:hint="eastAsia" w:cs="宋体"/>
          <w:color w:val="auto"/>
          <w:sz w:val="24"/>
          <w:szCs w:val="24"/>
          <w:highlight w:val="none"/>
          <w:lang w:eastAsia="zh-CN"/>
        </w:rPr>
        <w:t>新疆建鹏伟业工程管理服务有限公司</w:t>
      </w:r>
      <w:r>
        <w:rPr>
          <w:rFonts w:hint="eastAsia" w:cs="宋体"/>
          <w:color w:val="auto"/>
          <w:sz w:val="24"/>
          <w:szCs w:val="24"/>
          <w:highlight w:val="none"/>
        </w:rPr>
        <w:t xml:space="preserve">  </w:t>
      </w:r>
    </w:p>
    <w:p w14:paraId="36CBEDF5">
      <w:pPr>
        <w:spacing w:line="400" w:lineRule="exact"/>
        <w:ind w:firstLine="480" w:firstLineChars="200"/>
        <w:rPr>
          <w:rFonts w:hint="default" w:cs="宋体"/>
          <w:color w:val="auto"/>
          <w:sz w:val="24"/>
          <w:szCs w:val="24"/>
          <w:highlight w:val="none"/>
          <w:lang w:val="en-US" w:eastAsia="zh-CN"/>
        </w:rPr>
      </w:pPr>
      <w:r>
        <w:rPr>
          <w:rFonts w:hint="eastAsia" w:cs="宋体"/>
          <w:color w:val="auto"/>
          <w:sz w:val="24"/>
          <w:szCs w:val="24"/>
          <w:highlight w:val="none"/>
        </w:rPr>
        <w:t xml:space="preserve">联 系 人： </w:t>
      </w:r>
      <w:r>
        <w:rPr>
          <w:rFonts w:hint="eastAsia" w:cs="宋体"/>
          <w:color w:val="auto"/>
          <w:sz w:val="24"/>
          <w:szCs w:val="24"/>
          <w:highlight w:val="none"/>
          <w:lang w:eastAsia="zh-CN"/>
        </w:rPr>
        <w:t>王先生</w:t>
      </w:r>
    </w:p>
    <w:p w14:paraId="6DAB7B18">
      <w:pPr>
        <w:spacing w:line="400" w:lineRule="exact"/>
        <w:ind w:firstLine="480" w:firstLineChars="200"/>
        <w:rPr>
          <w:rFonts w:hint="eastAsia" w:cs="宋体"/>
          <w:color w:val="auto"/>
          <w:sz w:val="24"/>
          <w:szCs w:val="24"/>
          <w:highlight w:val="none"/>
          <w:lang w:val="en-US" w:eastAsia="zh-CN"/>
        </w:rPr>
      </w:pPr>
      <w:r>
        <w:rPr>
          <w:rFonts w:hint="eastAsia" w:cs="宋体"/>
          <w:color w:val="auto"/>
          <w:sz w:val="24"/>
          <w:szCs w:val="24"/>
          <w:highlight w:val="none"/>
        </w:rPr>
        <w:t>电    话：</w:t>
      </w:r>
      <w:r>
        <w:rPr>
          <w:rFonts w:hint="eastAsia" w:cs="宋体"/>
          <w:color w:val="auto"/>
          <w:sz w:val="24"/>
          <w:szCs w:val="24"/>
          <w:highlight w:val="none"/>
          <w:lang w:val="en-US" w:eastAsia="zh-CN"/>
        </w:rPr>
        <w:t>0994-2333267</w:t>
      </w:r>
      <w:r>
        <w:rPr>
          <w:rFonts w:cs="宋体"/>
          <w:color w:val="auto"/>
          <w:sz w:val="24"/>
          <w:szCs w:val="24"/>
          <w:highlight w:val="none"/>
        </w:rPr>
        <w:t xml:space="preserve"> </w:t>
      </w:r>
      <w:r>
        <w:rPr>
          <w:rFonts w:hint="eastAsia" w:cs="宋体"/>
          <w:color w:val="auto"/>
          <w:sz w:val="24"/>
          <w:szCs w:val="24"/>
          <w:highlight w:val="none"/>
          <w:lang w:val="en-US" w:eastAsia="zh-CN"/>
        </w:rPr>
        <w:t xml:space="preserve"> 15199673007</w:t>
      </w:r>
    </w:p>
    <w:p w14:paraId="3B6835A5">
      <w:pPr>
        <w:spacing w:line="400" w:lineRule="exact"/>
        <w:ind w:firstLine="480" w:firstLineChars="200"/>
        <w:rPr>
          <w:rFonts w:hint="default" w:cs="宋体"/>
          <w:color w:val="auto"/>
          <w:sz w:val="24"/>
          <w:szCs w:val="24"/>
          <w:highlight w:val="none"/>
          <w:lang w:val="en-US" w:eastAsia="zh-CN"/>
        </w:rPr>
      </w:pPr>
      <w:r>
        <w:rPr>
          <w:rFonts w:hint="eastAsia" w:cs="宋体"/>
          <w:color w:val="auto"/>
          <w:sz w:val="24"/>
          <w:szCs w:val="24"/>
          <w:highlight w:val="none"/>
        </w:rPr>
        <w:t xml:space="preserve">联系地址： </w:t>
      </w:r>
      <w:r>
        <w:rPr>
          <w:rFonts w:hint="eastAsia" w:cs="宋体"/>
          <w:color w:val="auto"/>
          <w:sz w:val="24"/>
          <w:szCs w:val="24"/>
          <w:highlight w:val="none"/>
          <w:lang w:eastAsia="zh-CN"/>
        </w:rPr>
        <w:t>昌吉市南公园西路融投小镇市民服务中心</w:t>
      </w:r>
      <w:r>
        <w:rPr>
          <w:rFonts w:hint="eastAsia" w:cs="宋体"/>
          <w:color w:val="auto"/>
          <w:sz w:val="24"/>
          <w:szCs w:val="24"/>
          <w:highlight w:val="none"/>
          <w:lang w:val="en-US" w:eastAsia="zh-CN"/>
        </w:rPr>
        <w:t>3楼</w:t>
      </w:r>
    </w:p>
    <w:p w14:paraId="29A0029B">
      <w:pPr>
        <w:spacing w:line="400" w:lineRule="exact"/>
        <w:ind w:firstLine="480" w:firstLineChars="200"/>
        <w:rPr>
          <w:rFonts w:cs="宋体"/>
          <w:color w:val="auto"/>
          <w:sz w:val="24"/>
          <w:szCs w:val="24"/>
          <w:highlight w:val="none"/>
        </w:rPr>
      </w:pPr>
      <w:r>
        <w:rPr>
          <w:rFonts w:hint="eastAsia" w:cs="宋体"/>
          <w:color w:val="auto"/>
          <w:sz w:val="24"/>
          <w:szCs w:val="24"/>
          <w:highlight w:val="none"/>
        </w:rPr>
        <w:br w:type="page"/>
      </w:r>
    </w:p>
    <w:p w14:paraId="31D53302">
      <w:pPr>
        <w:pStyle w:val="4"/>
        <w:numPr>
          <w:ilvl w:val="0"/>
          <w:numId w:val="1"/>
        </w:numPr>
        <w:spacing w:before="0" w:after="0" w:line="240" w:lineRule="auto"/>
        <w:rPr>
          <w:color w:val="auto"/>
          <w:highlight w:val="none"/>
        </w:rPr>
      </w:pPr>
      <w:bookmarkStart w:id="7" w:name="_Toc19733"/>
      <w:bookmarkStart w:id="8" w:name="_Toc136"/>
      <w:bookmarkStart w:id="9" w:name="_Toc21077"/>
      <w:r>
        <w:rPr>
          <w:rFonts w:hint="eastAsia"/>
          <w:color w:val="auto"/>
          <w:highlight w:val="none"/>
        </w:rPr>
        <w:t>供应商须知</w:t>
      </w:r>
      <w:bookmarkEnd w:id="5"/>
      <w:bookmarkEnd w:id="6"/>
      <w:bookmarkEnd w:id="7"/>
      <w:bookmarkEnd w:id="8"/>
      <w:bookmarkEnd w:id="9"/>
      <w:bookmarkStart w:id="10" w:name="_Toc21720"/>
    </w:p>
    <w:p w14:paraId="6FA8149B">
      <w:pPr>
        <w:pStyle w:val="5"/>
        <w:rPr>
          <w:color w:val="auto"/>
          <w:highlight w:val="none"/>
        </w:rPr>
      </w:pPr>
      <w:r>
        <w:rPr>
          <w:rFonts w:hint="eastAsia"/>
          <w:color w:val="auto"/>
          <w:highlight w:val="none"/>
        </w:rPr>
        <w:t>供应商须知前附表</w:t>
      </w:r>
      <w:bookmarkEnd w:id="10"/>
    </w:p>
    <w:tbl>
      <w:tblPr>
        <w:tblStyle w:val="34"/>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47"/>
        <w:gridCol w:w="6038"/>
      </w:tblGrid>
      <w:tr w14:paraId="59C4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1117" w:type="dxa"/>
            <w:vAlign w:val="center"/>
          </w:tcPr>
          <w:p w14:paraId="038AE732">
            <w:pPr>
              <w:adjustRightInd w:val="0"/>
              <w:snapToGrid w:val="0"/>
              <w:spacing w:before="120"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序列号</w:t>
            </w:r>
          </w:p>
        </w:tc>
        <w:tc>
          <w:tcPr>
            <w:tcW w:w="2647" w:type="dxa"/>
            <w:vAlign w:val="center"/>
          </w:tcPr>
          <w:p w14:paraId="52748351">
            <w:pPr>
              <w:adjustRightInd w:val="0"/>
              <w:snapToGrid w:val="0"/>
              <w:spacing w:before="120"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6038" w:type="dxa"/>
            <w:vAlign w:val="center"/>
          </w:tcPr>
          <w:p w14:paraId="725500A5">
            <w:pPr>
              <w:adjustRightInd w:val="0"/>
              <w:snapToGrid w:val="0"/>
              <w:spacing w:before="120"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编列内容规定</w:t>
            </w:r>
          </w:p>
        </w:tc>
      </w:tr>
      <w:tr w14:paraId="69A6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17" w:type="dxa"/>
            <w:vAlign w:val="center"/>
          </w:tcPr>
          <w:p w14:paraId="2D7CDACE">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1.1.1</w:t>
            </w:r>
          </w:p>
        </w:tc>
        <w:tc>
          <w:tcPr>
            <w:tcW w:w="2647" w:type="dxa"/>
            <w:vAlign w:val="center"/>
          </w:tcPr>
          <w:p w14:paraId="0133B8C2">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6038" w:type="dxa"/>
            <w:vAlign w:val="center"/>
          </w:tcPr>
          <w:p w14:paraId="16285C29">
            <w:pPr>
              <w:adjustRightInd w:val="0"/>
              <w:snapToGrid w:val="0"/>
              <w:spacing w:before="120" w:beforeLines="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木垒通用机场项目工程场地地震安全性评价</w:t>
            </w:r>
          </w:p>
        </w:tc>
      </w:tr>
      <w:tr w14:paraId="6A0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7" w:type="dxa"/>
            <w:vAlign w:val="center"/>
          </w:tcPr>
          <w:p w14:paraId="4BC88C07">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1.2.1</w:t>
            </w:r>
          </w:p>
        </w:tc>
        <w:tc>
          <w:tcPr>
            <w:tcW w:w="2647" w:type="dxa"/>
            <w:vAlign w:val="center"/>
          </w:tcPr>
          <w:p w14:paraId="5E54EA81">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采购人</w:t>
            </w:r>
          </w:p>
        </w:tc>
        <w:tc>
          <w:tcPr>
            <w:tcW w:w="6038" w:type="dxa"/>
            <w:vAlign w:val="center"/>
          </w:tcPr>
          <w:p w14:paraId="72F8DAC1">
            <w:pPr>
              <w:adjustRightInd w:val="0"/>
              <w:snapToGrid w:val="0"/>
              <w:spacing w:before="120" w:beforeLines="50"/>
              <w:jc w:val="left"/>
              <w:rPr>
                <w:rFonts w:hint="eastAsia" w:cs="宋体"/>
                <w:color w:val="auto"/>
                <w:sz w:val="24"/>
                <w:szCs w:val="24"/>
                <w:highlight w:val="none"/>
              </w:rPr>
            </w:pPr>
            <w:r>
              <w:rPr>
                <w:rFonts w:hint="eastAsia" w:cs="宋体"/>
                <w:color w:val="auto"/>
                <w:sz w:val="24"/>
                <w:szCs w:val="24"/>
                <w:highlight w:val="none"/>
                <w:lang w:eastAsia="zh-CN"/>
              </w:rPr>
              <w:t xml:space="preserve">名称：木垒哈萨克自治县交通运输局  </w:t>
            </w:r>
          </w:p>
          <w:p w14:paraId="2F46A54E">
            <w:pPr>
              <w:adjustRightInd w:val="0"/>
              <w:snapToGrid w:val="0"/>
              <w:spacing w:before="120" w:beforeLines="50"/>
              <w:jc w:val="left"/>
              <w:rPr>
                <w:rFonts w:hint="eastAsia" w:eastAsia="宋体" w:cs="宋体"/>
                <w:color w:val="auto"/>
                <w:sz w:val="24"/>
                <w:szCs w:val="24"/>
                <w:highlight w:val="none"/>
                <w:lang w:eastAsia="zh-CN"/>
              </w:rPr>
            </w:pPr>
            <w:r>
              <w:rPr>
                <w:rFonts w:hint="eastAsia" w:cs="宋体"/>
                <w:color w:val="auto"/>
                <w:sz w:val="24"/>
                <w:szCs w:val="24"/>
                <w:highlight w:val="none"/>
              </w:rPr>
              <w:t>联 系 人：</w:t>
            </w:r>
            <w:r>
              <w:rPr>
                <w:rFonts w:hint="eastAsia" w:cs="宋体"/>
                <w:color w:val="auto"/>
                <w:sz w:val="24"/>
                <w:szCs w:val="24"/>
                <w:highlight w:val="none"/>
                <w:lang w:eastAsia="zh-CN"/>
              </w:rPr>
              <w:t>张先生</w:t>
            </w:r>
          </w:p>
          <w:p w14:paraId="0DBEC573">
            <w:pPr>
              <w:adjustRightInd w:val="0"/>
              <w:snapToGrid w:val="0"/>
              <w:spacing w:before="120" w:beforeLines="50"/>
              <w:jc w:val="left"/>
              <w:rPr>
                <w:rFonts w:ascii="宋体" w:hAnsi="宋体" w:cs="宋体"/>
                <w:color w:val="auto"/>
                <w:sz w:val="24"/>
                <w:szCs w:val="24"/>
                <w:highlight w:val="none"/>
              </w:rPr>
            </w:pPr>
            <w:r>
              <w:rPr>
                <w:rFonts w:hint="eastAsia" w:cs="宋体"/>
                <w:color w:val="auto"/>
                <w:sz w:val="24"/>
                <w:szCs w:val="24"/>
                <w:highlight w:val="none"/>
              </w:rPr>
              <w:t>联系电话：13909940145</w:t>
            </w:r>
            <w:r>
              <w:rPr>
                <w:rFonts w:hint="eastAsia" w:ascii="宋体" w:hAnsi="宋体" w:cs="宋体"/>
                <w:color w:val="auto"/>
                <w:sz w:val="24"/>
                <w:szCs w:val="24"/>
                <w:highlight w:val="none"/>
              </w:rPr>
              <w:t xml:space="preserve">      </w:t>
            </w:r>
          </w:p>
        </w:tc>
      </w:tr>
      <w:tr w14:paraId="738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117" w:type="dxa"/>
            <w:vAlign w:val="center"/>
          </w:tcPr>
          <w:p w14:paraId="0AE2E02B">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1.2.2</w:t>
            </w:r>
          </w:p>
        </w:tc>
        <w:tc>
          <w:tcPr>
            <w:tcW w:w="2647" w:type="dxa"/>
            <w:vAlign w:val="center"/>
          </w:tcPr>
          <w:p w14:paraId="2E0F7FCF">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采购代理机构</w:t>
            </w:r>
          </w:p>
        </w:tc>
        <w:tc>
          <w:tcPr>
            <w:tcW w:w="6038" w:type="dxa"/>
            <w:vAlign w:val="center"/>
          </w:tcPr>
          <w:p w14:paraId="62E6D66E">
            <w:pPr>
              <w:adjustRightInd w:val="0"/>
              <w:snapToGrid w:val="0"/>
              <w:spacing w:before="120" w:beforeLines="5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名称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新疆建鹏伟业工程管理服务有限公司</w:t>
            </w:r>
          </w:p>
          <w:p w14:paraId="6FCDA473">
            <w:pPr>
              <w:adjustRightInd w:val="0"/>
              <w:snapToGrid w:val="0"/>
              <w:spacing w:before="120" w:beforeLines="5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联 系 人： </w:t>
            </w:r>
            <w:r>
              <w:rPr>
                <w:rFonts w:hint="eastAsia" w:ascii="宋体" w:hAnsi="宋体" w:cs="宋体"/>
                <w:color w:val="auto"/>
                <w:sz w:val="24"/>
                <w:szCs w:val="24"/>
                <w:highlight w:val="none"/>
                <w:lang w:eastAsia="zh-CN"/>
              </w:rPr>
              <w:t>王先生</w:t>
            </w:r>
          </w:p>
          <w:p w14:paraId="25DDED3E">
            <w:pPr>
              <w:adjustRightInd w:val="0"/>
              <w:snapToGrid w:val="0"/>
              <w:spacing w:before="120" w:beforeLines="5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0994-2333267   15199673007</w:t>
            </w:r>
          </w:p>
          <w:p w14:paraId="68D05AAA">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联系地址： </w:t>
            </w:r>
            <w:r>
              <w:rPr>
                <w:rFonts w:hint="eastAsia" w:ascii="宋体" w:hAnsi="宋体" w:cs="宋体"/>
                <w:color w:val="auto"/>
                <w:sz w:val="24"/>
                <w:szCs w:val="24"/>
                <w:highlight w:val="none"/>
                <w:lang w:eastAsia="zh-CN"/>
              </w:rPr>
              <w:t>昌吉市南公园西路融投小镇市民服务中心</w:t>
            </w:r>
            <w:r>
              <w:rPr>
                <w:rFonts w:hint="eastAsia" w:ascii="宋体" w:hAnsi="宋体" w:cs="宋体"/>
                <w:color w:val="auto"/>
                <w:sz w:val="24"/>
                <w:szCs w:val="24"/>
                <w:highlight w:val="none"/>
                <w:lang w:val="en-US" w:eastAsia="zh-CN"/>
              </w:rPr>
              <w:t>3楼</w:t>
            </w:r>
          </w:p>
        </w:tc>
      </w:tr>
      <w:tr w14:paraId="69D1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17" w:type="dxa"/>
            <w:vAlign w:val="center"/>
          </w:tcPr>
          <w:p w14:paraId="6140E71F">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1.4.1</w:t>
            </w:r>
          </w:p>
        </w:tc>
        <w:tc>
          <w:tcPr>
            <w:tcW w:w="2647" w:type="dxa"/>
            <w:vAlign w:val="center"/>
          </w:tcPr>
          <w:p w14:paraId="23378AE3">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供应商资格条件</w:t>
            </w:r>
          </w:p>
        </w:tc>
        <w:tc>
          <w:tcPr>
            <w:tcW w:w="6038" w:type="dxa"/>
            <w:vAlign w:val="center"/>
          </w:tcPr>
          <w:p w14:paraId="29EE3880">
            <w:pPr>
              <w:spacing w:line="400" w:lineRule="exact"/>
              <w:ind w:firstLine="480" w:firstLineChars="200"/>
              <w:rPr>
                <w:rFonts w:cs="宋体"/>
                <w:color w:val="auto"/>
                <w:sz w:val="24"/>
                <w:szCs w:val="24"/>
                <w:highlight w:val="none"/>
              </w:rPr>
            </w:pPr>
            <w:r>
              <w:rPr>
                <w:rFonts w:hint="eastAsia" w:cs="宋体"/>
                <w:color w:val="auto"/>
                <w:sz w:val="24"/>
                <w:szCs w:val="24"/>
                <w:highlight w:val="none"/>
              </w:rPr>
              <w:t>1.满足《中华人民共和国政府采购法》第二十二条规定：具有独立承担民事责任的能力，能承担本项目服务能力，具有市场监督管理部门颁发的统一社会信用代码的有效营业执照；</w:t>
            </w:r>
          </w:p>
          <w:p w14:paraId="5C748594">
            <w:pPr>
              <w:spacing w:line="400" w:lineRule="exact"/>
              <w:ind w:firstLine="480" w:firstLineChars="200"/>
              <w:rPr>
                <w:rFonts w:cs="宋体"/>
                <w:color w:val="auto"/>
                <w:sz w:val="24"/>
                <w:szCs w:val="24"/>
                <w:highlight w:val="none"/>
              </w:rPr>
            </w:pPr>
            <w:r>
              <w:rPr>
                <w:rFonts w:hint="eastAsia" w:cs="宋体"/>
                <w:color w:val="auto"/>
                <w:sz w:val="24"/>
                <w:szCs w:val="24"/>
                <w:highlight w:val="none"/>
              </w:rPr>
              <w:t>2.落实政府采购政策需满足的资格要求：</w:t>
            </w:r>
            <w:r>
              <w:rPr>
                <w:rFonts w:hint="eastAsia" w:cs="宋体"/>
                <w:color w:val="auto"/>
                <w:sz w:val="24"/>
                <w:szCs w:val="24"/>
                <w:highlight w:val="none"/>
                <w:lang w:eastAsia="zh-CN"/>
              </w:rPr>
              <w:t>专门面向中小微企业采购</w:t>
            </w:r>
            <w:r>
              <w:rPr>
                <w:rFonts w:hint="eastAsia" w:cs="宋体"/>
                <w:color w:val="auto"/>
                <w:sz w:val="24"/>
                <w:szCs w:val="24"/>
                <w:highlight w:val="none"/>
              </w:rPr>
              <w:t>。</w:t>
            </w:r>
          </w:p>
          <w:p w14:paraId="2E45B35E">
            <w:pPr>
              <w:spacing w:line="400" w:lineRule="exact"/>
              <w:ind w:firstLine="480" w:firstLineChars="200"/>
              <w:rPr>
                <w:rFonts w:cs="宋体"/>
                <w:color w:val="auto"/>
                <w:sz w:val="24"/>
                <w:szCs w:val="24"/>
                <w:highlight w:val="none"/>
              </w:rPr>
            </w:pPr>
            <w:r>
              <w:rPr>
                <w:rFonts w:hint="eastAsia" w:cs="宋体"/>
                <w:color w:val="auto"/>
                <w:sz w:val="24"/>
                <w:szCs w:val="24"/>
                <w:highlight w:val="none"/>
              </w:rPr>
              <w:t>3.本项目的特定资格要求：</w:t>
            </w:r>
          </w:p>
          <w:p w14:paraId="328019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cs="宋体"/>
                <w:color w:val="auto"/>
                <w:sz w:val="24"/>
                <w:szCs w:val="24"/>
                <w:highlight w:val="none"/>
              </w:rPr>
              <w:t>法人代表或其委托代理人</w:t>
            </w:r>
            <w:r>
              <w:rPr>
                <w:rFonts w:hint="eastAsia" w:cs="宋体"/>
                <w:color w:val="auto"/>
                <w:sz w:val="24"/>
                <w:szCs w:val="24"/>
                <w:highlight w:val="none"/>
                <w:lang w:val="en-US" w:eastAsia="zh-CN"/>
              </w:rPr>
              <w:t>参与本项目的</w:t>
            </w:r>
            <w:r>
              <w:rPr>
                <w:rFonts w:hint="eastAsia" w:cs="宋体"/>
                <w:color w:val="auto"/>
                <w:sz w:val="24"/>
                <w:szCs w:val="24"/>
                <w:highlight w:val="none"/>
              </w:rPr>
              <w:t>应</w:t>
            </w:r>
            <w:r>
              <w:rPr>
                <w:rFonts w:hint="eastAsia" w:cs="宋体"/>
                <w:color w:val="auto"/>
                <w:sz w:val="24"/>
                <w:szCs w:val="24"/>
                <w:highlight w:val="none"/>
                <w:lang w:val="en-US" w:eastAsia="zh-CN"/>
              </w:rPr>
              <w:t>上传</w:t>
            </w:r>
            <w:r>
              <w:rPr>
                <w:rFonts w:hint="eastAsia" w:cs="宋体"/>
                <w:color w:val="auto"/>
                <w:sz w:val="24"/>
                <w:szCs w:val="24"/>
                <w:highlight w:val="none"/>
              </w:rPr>
              <w:t>本人身份证，委托代理人</w:t>
            </w:r>
            <w:r>
              <w:rPr>
                <w:rFonts w:hint="eastAsia" w:cs="宋体"/>
                <w:color w:val="auto"/>
                <w:sz w:val="24"/>
                <w:szCs w:val="24"/>
                <w:highlight w:val="none"/>
                <w:lang w:val="en-US" w:eastAsia="zh-CN"/>
              </w:rPr>
              <w:t>参与本项目</w:t>
            </w:r>
            <w:r>
              <w:rPr>
                <w:rFonts w:hint="eastAsia" w:cs="宋体"/>
                <w:color w:val="auto"/>
                <w:sz w:val="24"/>
                <w:szCs w:val="24"/>
                <w:highlight w:val="none"/>
              </w:rPr>
              <w:t>还应</w:t>
            </w:r>
            <w:r>
              <w:rPr>
                <w:rFonts w:hint="eastAsia" w:cs="宋体"/>
                <w:color w:val="auto"/>
                <w:sz w:val="24"/>
                <w:szCs w:val="24"/>
                <w:highlight w:val="none"/>
                <w:lang w:val="en-US" w:eastAsia="zh-CN"/>
              </w:rPr>
              <w:t>上传</w:t>
            </w:r>
            <w:r>
              <w:rPr>
                <w:rFonts w:hint="eastAsia" w:cs="宋体"/>
                <w:color w:val="auto"/>
                <w:sz w:val="24"/>
                <w:szCs w:val="24"/>
                <w:highlight w:val="none"/>
              </w:rPr>
              <w:t>《法人代表授权委托书》；</w:t>
            </w:r>
            <w:r>
              <w:rPr>
                <w:rFonts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（2）具备有效的营业执照或事业单位法人证书；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（3）属于中国灾害防御协会《关于公布全国地震安全性评价从业单位最新信息的通知》名单内的备案单位</w:t>
            </w:r>
          </w:p>
          <w:p w14:paraId="575FC03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）投标单位人员、设备、资金等方面具有相应的</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）参加政府采购活动前三年内，在经营活动中没有重大违法记录；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）在“信用中国”（www.creditchina.gov.cn）和中国政府采购网（www.ccgp.gov.cn）网站上未被列入失信被执行人、重大税收违法案件当事人名单以及政府采购严重违法失信行为记录名单；</w:t>
            </w:r>
          </w:p>
          <w:p w14:paraId="7A14C489">
            <w:pPr>
              <w:spacing w:line="400" w:lineRule="exact"/>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）本项目不接受联合体投标；</w:t>
            </w:r>
            <w:r>
              <w:rPr>
                <w:rFonts w:hint="eastAsia" w:cs="宋体"/>
                <w:color w:val="auto"/>
                <w:sz w:val="24"/>
                <w:szCs w:val="24"/>
                <w:highlight w:val="none"/>
              </w:rPr>
              <w:t xml:space="preserve">       </w:t>
            </w:r>
            <w:r>
              <w:rPr>
                <w:rFonts w:hint="eastAsia" w:ascii="宋体" w:hAnsi="宋体" w:cs="宋体"/>
                <w:color w:val="auto"/>
                <w:sz w:val="24"/>
                <w:szCs w:val="24"/>
                <w:highlight w:val="none"/>
              </w:rPr>
              <w:t xml:space="preserve">               </w:t>
            </w:r>
          </w:p>
        </w:tc>
      </w:tr>
      <w:tr w14:paraId="461A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17" w:type="dxa"/>
            <w:vAlign w:val="center"/>
          </w:tcPr>
          <w:p w14:paraId="167DDDBB">
            <w:pPr>
              <w:adjustRightInd w:val="0"/>
              <w:snapToGrid w:val="0"/>
              <w:spacing w:before="120" w:before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1.9.1</w:t>
            </w:r>
          </w:p>
        </w:tc>
        <w:tc>
          <w:tcPr>
            <w:tcW w:w="2647" w:type="dxa"/>
            <w:vAlign w:val="center"/>
          </w:tcPr>
          <w:p w14:paraId="1DA013D7">
            <w:pPr>
              <w:adjustRightInd w:val="0"/>
              <w:snapToGrid w:val="0"/>
              <w:spacing w:before="120" w:beforeLines="50" w:line="360" w:lineRule="auto"/>
              <w:jc w:val="center"/>
              <w:rPr>
                <w:rFonts w:ascii="宋体" w:hAnsi="宋体"/>
                <w:color w:val="auto"/>
                <w:sz w:val="28"/>
                <w:szCs w:val="28"/>
                <w:highlight w:val="none"/>
              </w:rPr>
            </w:pPr>
            <w:r>
              <w:rPr>
                <w:rFonts w:hint="eastAsia" w:ascii="宋体" w:hAnsi="宋体" w:cs="宋体"/>
                <w:b/>
                <w:bCs/>
                <w:color w:val="auto"/>
                <w:sz w:val="24"/>
                <w:szCs w:val="24"/>
                <w:highlight w:val="none"/>
              </w:rPr>
              <w:t>现场考察</w:t>
            </w:r>
          </w:p>
        </w:tc>
        <w:tc>
          <w:tcPr>
            <w:tcW w:w="6038" w:type="dxa"/>
            <w:vAlign w:val="center"/>
          </w:tcPr>
          <w:p w14:paraId="1671FC85">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rPr>
              <w:t>不组织</w:t>
            </w:r>
          </w:p>
        </w:tc>
      </w:tr>
      <w:tr w14:paraId="35A9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7" w:type="dxa"/>
            <w:vAlign w:val="center"/>
          </w:tcPr>
          <w:p w14:paraId="6915A8B8">
            <w:pPr>
              <w:adjustRightInd w:val="0"/>
              <w:snapToGrid w:val="0"/>
              <w:spacing w:before="120" w:before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1.10.1</w:t>
            </w:r>
          </w:p>
        </w:tc>
        <w:tc>
          <w:tcPr>
            <w:tcW w:w="2647" w:type="dxa"/>
            <w:vAlign w:val="center"/>
          </w:tcPr>
          <w:p w14:paraId="44FBE0CD">
            <w:pPr>
              <w:adjustRightInd w:val="0"/>
              <w:snapToGrid w:val="0"/>
              <w:spacing w:before="120" w:beforeLines="50" w:line="360" w:lineRule="auto"/>
              <w:jc w:val="center"/>
              <w:rPr>
                <w:rFonts w:ascii="宋体" w:hAnsi="宋体"/>
                <w:color w:val="auto"/>
                <w:sz w:val="28"/>
                <w:szCs w:val="28"/>
                <w:highlight w:val="none"/>
              </w:rPr>
            </w:pPr>
            <w:r>
              <w:rPr>
                <w:rFonts w:hint="eastAsia" w:ascii="宋体" w:hAnsi="宋体" w:cs="宋体"/>
                <w:b/>
                <w:bCs/>
                <w:color w:val="auto"/>
                <w:sz w:val="24"/>
                <w:szCs w:val="24"/>
                <w:highlight w:val="none"/>
              </w:rPr>
              <w:t>分包</w:t>
            </w:r>
          </w:p>
        </w:tc>
        <w:tc>
          <w:tcPr>
            <w:tcW w:w="6038" w:type="dxa"/>
            <w:vAlign w:val="center"/>
          </w:tcPr>
          <w:p w14:paraId="612C8B10">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rPr>
              <w:t>不允许</w:t>
            </w:r>
          </w:p>
        </w:tc>
      </w:tr>
      <w:tr w14:paraId="1FBA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17" w:type="dxa"/>
            <w:vAlign w:val="center"/>
          </w:tcPr>
          <w:p w14:paraId="4A6A2B71">
            <w:pPr>
              <w:adjustRightInd w:val="0"/>
              <w:snapToGrid w:val="0"/>
              <w:spacing w:before="120" w:before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1.11.4</w:t>
            </w:r>
          </w:p>
        </w:tc>
        <w:tc>
          <w:tcPr>
            <w:tcW w:w="2647" w:type="dxa"/>
            <w:vAlign w:val="center"/>
          </w:tcPr>
          <w:p w14:paraId="454D1F11">
            <w:pPr>
              <w:adjustRightInd w:val="0"/>
              <w:snapToGrid w:val="0"/>
              <w:spacing w:before="120" w:beforeLines="50" w:line="360" w:lineRule="auto"/>
              <w:jc w:val="center"/>
              <w:rPr>
                <w:rFonts w:ascii="宋体" w:hAnsi="宋体"/>
                <w:color w:val="auto"/>
                <w:sz w:val="28"/>
                <w:szCs w:val="28"/>
                <w:highlight w:val="none"/>
              </w:rPr>
            </w:pPr>
            <w:r>
              <w:rPr>
                <w:rFonts w:hint="eastAsia" w:ascii="宋体" w:hAnsi="宋体" w:cs="宋体"/>
                <w:b/>
                <w:bCs/>
                <w:color w:val="auto"/>
                <w:sz w:val="24"/>
                <w:szCs w:val="24"/>
                <w:highlight w:val="none"/>
              </w:rPr>
              <w:t>实质性要求和条件是否允许偏离</w:t>
            </w:r>
          </w:p>
        </w:tc>
        <w:tc>
          <w:tcPr>
            <w:tcW w:w="6038" w:type="dxa"/>
            <w:vAlign w:val="center"/>
          </w:tcPr>
          <w:p w14:paraId="6D53568A">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rPr>
              <w:t>不允许</w:t>
            </w:r>
          </w:p>
        </w:tc>
      </w:tr>
      <w:tr w14:paraId="548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14:paraId="7C8F9D05">
            <w:pPr>
              <w:adjustRightInd w:val="0"/>
              <w:snapToGrid w:val="0"/>
              <w:spacing w:before="120" w:before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3.4.8</w:t>
            </w:r>
          </w:p>
        </w:tc>
        <w:tc>
          <w:tcPr>
            <w:tcW w:w="2647" w:type="dxa"/>
            <w:vAlign w:val="center"/>
          </w:tcPr>
          <w:p w14:paraId="3E81805D">
            <w:pPr>
              <w:adjustRightInd w:val="0"/>
              <w:snapToGrid w:val="0"/>
              <w:spacing w:before="120"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最高限价</w:t>
            </w:r>
          </w:p>
        </w:tc>
        <w:tc>
          <w:tcPr>
            <w:tcW w:w="6038" w:type="dxa"/>
            <w:vAlign w:val="center"/>
          </w:tcPr>
          <w:p w14:paraId="0AF5AE28">
            <w:pPr>
              <w:adjustRightInd w:val="0"/>
              <w:snapToGrid w:val="0"/>
              <w:spacing w:before="120" w:beforeLines="5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本项目最高限价：</w:t>
            </w:r>
            <w:r>
              <w:rPr>
                <w:rFonts w:hint="eastAsia" w:ascii="宋体" w:hAnsi="宋体" w:eastAsia="宋体" w:cs="宋体"/>
                <w:color w:val="auto"/>
                <w:sz w:val="24"/>
                <w:szCs w:val="24"/>
                <w:highlight w:val="none"/>
                <w:lang w:val="en-US" w:eastAsia="zh-CN"/>
              </w:rPr>
              <w:t>573000.00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（大写：</w:t>
            </w:r>
            <w:r>
              <w:rPr>
                <w:rFonts w:hint="eastAsia" w:ascii="宋体" w:hAnsi="宋体" w:cs="宋体"/>
                <w:color w:val="auto"/>
                <w:sz w:val="24"/>
                <w:szCs w:val="24"/>
                <w:highlight w:val="none"/>
                <w:lang w:val="en-US" w:eastAsia="zh-CN"/>
              </w:rPr>
              <w:t>伍拾柒万叁仟元整</w:t>
            </w:r>
            <w:r>
              <w:rPr>
                <w:rFonts w:hint="eastAsia" w:ascii="宋体" w:hAnsi="宋体" w:eastAsia="宋体" w:cs="宋体"/>
                <w:color w:val="auto"/>
                <w:sz w:val="24"/>
                <w:szCs w:val="24"/>
                <w:highlight w:val="none"/>
                <w:lang w:val="en-US" w:eastAsia="zh-CN"/>
              </w:rPr>
              <w:t>）</w:t>
            </w:r>
          </w:p>
        </w:tc>
      </w:tr>
      <w:tr w14:paraId="115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7" w:type="dxa"/>
            <w:vAlign w:val="center"/>
          </w:tcPr>
          <w:p w14:paraId="1A2C65E0">
            <w:pPr>
              <w:adjustRightInd w:val="0"/>
              <w:snapToGrid w:val="0"/>
              <w:spacing w:before="120" w:before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3.4.9</w:t>
            </w:r>
          </w:p>
        </w:tc>
        <w:tc>
          <w:tcPr>
            <w:tcW w:w="2647" w:type="dxa"/>
            <w:vAlign w:val="center"/>
          </w:tcPr>
          <w:p w14:paraId="384A4B0F">
            <w:pPr>
              <w:adjustRightInd w:val="0"/>
              <w:snapToGrid w:val="0"/>
              <w:spacing w:before="120"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服务期要求</w:t>
            </w:r>
          </w:p>
        </w:tc>
        <w:tc>
          <w:tcPr>
            <w:tcW w:w="6038" w:type="dxa"/>
            <w:vAlign w:val="center"/>
          </w:tcPr>
          <w:p w14:paraId="0F33DA47">
            <w:pPr>
              <w:adjustRightInd w:val="0"/>
              <w:snapToGrid w:val="0"/>
              <w:spacing w:before="120" w:beforeLines="5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自合同签订后</w:t>
            </w:r>
            <w:r>
              <w:rPr>
                <w:rFonts w:hint="eastAsia" w:ascii="宋体" w:hAnsi="宋体" w:eastAsia="宋体" w:cs="宋体"/>
                <w:b/>
                <w:bCs/>
                <w:color w:val="auto"/>
                <w:sz w:val="24"/>
                <w:szCs w:val="24"/>
                <w:highlight w:val="none"/>
                <w:lang w:val="en-US" w:eastAsia="zh-CN"/>
              </w:rPr>
              <w:t>1个月内完成。</w:t>
            </w:r>
          </w:p>
        </w:tc>
      </w:tr>
      <w:tr w14:paraId="783A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14:paraId="39AB03C8">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3.5.1</w:t>
            </w:r>
          </w:p>
        </w:tc>
        <w:tc>
          <w:tcPr>
            <w:tcW w:w="2647" w:type="dxa"/>
            <w:vAlign w:val="center"/>
          </w:tcPr>
          <w:p w14:paraId="0F5BEFCA">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备选方案</w:t>
            </w:r>
          </w:p>
        </w:tc>
        <w:tc>
          <w:tcPr>
            <w:tcW w:w="6038" w:type="dxa"/>
            <w:vAlign w:val="center"/>
          </w:tcPr>
          <w:p w14:paraId="22685DF0">
            <w:pPr>
              <w:adjustRightInd w:val="0"/>
              <w:snapToGrid w:val="0"/>
              <w:spacing w:before="120" w:beforeLines="5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不接受            </w:t>
            </w:r>
          </w:p>
          <w:p w14:paraId="165E3185">
            <w:pPr>
              <w:adjustRightInd w:val="0"/>
              <w:snapToGrid w:val="0"/>
              <w:spacing w:before="120" w:beforeLines="5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接受</w:t>
            </w:r>
          </w:p>
        </w:tc>
      </w:tr>
      <w:tr w14:paraId="40F0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117" w:type="dxa"/>
            <w:vAlign w:val="center"/>
          </w:tcPr>
          <w:p w14:paraId="6DBFB3E8">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3.6.1</w:t>
            </w:r>
          </w:p>
        </w:tc>
        <w:tc>
          <w:tcPr>
            <w:tcW w:w="2647" w:type="dxa"/>
            <w:vAlign w:val="center"/>
          </w:tcPr>
          <w:p w14:paraId="44941C16">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磋商保证金</w:t>
            </w:r>
          </w:p>
        </w:tc>
        <w:tc>
          <w:tcPr>
            <w:tcW w:w="6038" w:type="dxa"/>
            <w:vAlign w:val="center"/>
          </w:tcPr>
          <w:p w14:paraId="11D1C056">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需缴纳投标保证金：壹万元整（10000.00元），投标保证金的缴纳截止时间为（2025年7月14日10：30分），投标人应充分考虑资金到账时间，在规定的时限前自行办妥投标保证金缴纳手续，投标保证金的缴付时间以电汇凭证和网银对账单上的时间为准，超过缴纳的时限缴纳投标保证金视为投标无效。 </w:t>
            </w:r>
          </w:p>
          <w:p w14:paraId="07582B10">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2、投标保证金必须由投标单位基本帐户汇至户名：</w:t>
            </w:r>
          </w:p>
          <w:p w14:paraId="100A1099">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新疆建鹏伟业工程管理服务有限公司，</w:t>
            </w:r>
          </w:p>
          <w:p w14:paraId="757BE648">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账号：8060 0101 2010 1463 85816；</w:t>
            </w:r>
          </w:p>
          <w:p w14:paraId="4481BC42">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开户行名称：新疆昌吉农村商业银行股份有限公司；</w:t>
            </w:r>
          </w:p>
          <w:p w14:paraId="5E9394DD">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行号4028 8500 0016</w:t>
            </w:r>
          </w:p>
          <w:p w14:paraId="259BAFD3">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不得以现金和其他形式缴纳，不得以分公司、办事处或其他机构名义缴纳，投标人在缴纳投标保证金时，需在进帐凭证上明确资金用途和项目名称，并注明联系人及电话，以便查对核实。 </w:t>
            </w:r>
          </w:p>
          <w:p w14:paraId="167E62EB">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color w:val="auto"/>
                <w:sz w:val="24"/>
                <w:szCs w:val="24"/>
                <w:highlight w:val="none"/>
                <w:lang w:val="en-US" w:eastAsia="zh-CN"/>
              </w:rPr>
            </w:pPr>
            <w:r>
              <w:rPr>
                <w:rFonts w:hint="eastAsia"/>
                <w:b/>
                <w:bCs/>
                <w:color w:val="auto"/>
                <w:sz w:val="24"/>
                <w:szCs w:val="24"/>
                <w:highlight w:val="none"/>
                <w:lang w:val="en-US" w:eastAsia="zh-CN"/>
              </w:rPr>
              <w:t>电子保函：</w:t>
            </w:r>
            <w:r>
              <w:rPr>
                <w:rFonts w:hint="eastAsia"/>
                <w:color w:val="auto"/>
                <w:sz w:val="24"/>
                <w:szCs w:val="24"/>
                <w:highlight w:val="none"/>
                <w:lang w:val="en-US" w:eastAsia="zh-CN"/>
              </w:rPr>
              <w:t>（1）供应商有权自主选择电子保函系统中公开征集的任意一家担保机构开具电子保函。</w:t>
            </w:r>
          </w:p>
          <w:p w14:paraId="21363B51">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（2）供应商应按要求提供开具电子保函所需的资料，并保证其真实性。</w:t>
            </w:r>
          </w:p>
          <w:p w14:paraId="70A427EB">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（3）供应商采用电子保函方式缴纳投标保证金的，应针对具体项目做到“一项目一保函”。</w:t>
            </w:r>
          </w:p>
          <w:p w14:paraId="4BF0AC11">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color w:val="auto"/>
                <w:highlight w:val="none"/>
                <w:lang w:val="en-US" w:eastAsia="zh-CN"/>
              </w:rPr>
            </w:pPr>
            <w:r>
              <w:rPr>
                <w:rFonts w:hint="eastAsia"/>
                <w:color w:val="auto"/>
                <w:sz w:val="24"/>
                <w:szCs w:val="24"/>
                <w:highlight w:val="none"/>
                <w:lang w:val="en-US" w:eastAsia="zh-CN"/>
              </w:rPr>
              <w:t>（4）已开具的电子保函，供应商不可单方面提出退保、注销等要求。</w:t>
            </w:r>
          </w:p>
        </w:tc>
      </w:tr>
      <w:tr w14:paraId="41D6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17" w:type="dxa"/>
            <w:vAlign w:val="center"/>
          </w:tcPr>
          <w:p w14:paraId="7EBA20CE">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3.7.1</w:t>
            </w:r>
          </w:p>
        </w:tc>
        <w:tc>
          <w:tcPr>
            <w:tcW w:w="2647" w:type="dxa"/>
            <w:vAlign w:val="center"/>
          </w:tcPr>
          <w:p w14:paraId="045BCCA9">
            <w:pPr>
              <w:adjustRightInd w:val="0"/>
              <w:snapToGrid w:val="0"/>
              <w:spacing w:before="120" w:beforeLines="50"/>
              <w:jc w:val="center"/>
              <w:rPr>
                <w:rFonts w:ascii="宋体" w:hAnsi="宋体"/>
                <w:color w:val="auto"/>
                <w:sz w:val="28"/>
                <w:szCs w:val="28"/>
                <w:highlight w:val="none"/>
              </w:rPr>
            </w:pPr>
            <w:r>
              <w:rPr>
                <w:rFonts w:hint="eastAsia" w:ascii="宋体" w:hAnsi="宋体" w:cs="宋体"/>
                <w:b/>
                <w:bCs/>
                <w:color w:val="auto"/>
                <w:sz w:val="24"/>
                <w:szCs w:val="24"/>
                <w:highlight w:val="none"/>
              </w:rPr>
              <w:t>磋商有效期</w:t>
            </w:r>
          </w:p>
        </w:tc>
        <w:tc>
          <w:tcPr>
            <w:tcW w:w="6038" w:type="dxa"/>
            <w:vAlign w:val="center"/>
          </w:tcPr>
          <w:p w14:paraId="03216679">
            <w:pPr>
              <w:ind w:left="520" w:leftChars="1" w:hanging="518" w:hangingChars="216"/>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日（日历日）</w:t>
            </w:r>
          </w:p>
        </w:tc>
      </w:tr>
      <w:tr w14:paraId="1C56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14:paraId="77BE1108">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4.1.1</w:t>
            </w:r>
          </w:p>
        </w:tc>
        <w:tc>
          <w:tcPr>
            <w:tcW w:w="2647" w:type="dxa"/>
            <w:vAlign w:val="center"/>
          </w:tcPr>
          <w:p w14:paraId="7FC306F7">
            <w:pPr>
              <w:adjustRightInd w:val="0"/>
              <w:snapToGrid w:val="0"/>
              <w:spacing w:before="120" w:beforeLines="50"/>
              <w:jc w:val="center"/>
              <w:rPr>
                <w:rFonts w:ascii="宋体" w:hAnsi="宋体"/>
                <w:color w:val="auto"/>
                <w:sz w:val="28"/>
                <w:szCs w:val="28"/>
                <w:highlight w:val="none"/>
              </w:rPr>
            </w:pPr>
            <w:r>
              <w:rPr>
                <w:rFonts w:hint="eastAsia" w:ascii="宋体" w:hAnsi="宋体" w:cs="宋体"/>
                <w:b/>
                <w:bCs/>
                <w:color w:val="auto"/>
                <w:sz w:val="24"/>
                <w:szCs w:val="24"/>
                <w:highlight w:val="none"/>
              </w:rPr>
              <w:t>响应文件份数</w:t>
            </w:r>
          </w:p>
        </w:tc>
        <w:tc>
          <w:tcPr>
            <w:tcW w:w="6038" w:type="dxa"/>
            <w:vAlign w:val="center"/>
          </w:tcPr>
          <w:p w14:paraId="1A24AA0E">
            <w:pPr>
              <w:autoSpaceDE w:val="0"/>
              <w:autoSpaceDN w:val="0"/>
              <w:adjustRightInd w:val="0"/>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电子版投标文件政采云网上上传。</w:t>
            </w:r>
          </w:p>
          <w:p w14:paraId="572FE217">
            <w:pPr>
              <w:autoSpaceDE w:val="0"/>
              <w:autoSpaceDN w:val="0"/>
              <w:adjustRightInd w:val="0"/>
              <w:rPr>
                <w:rFonts w:ascii="宋体" w:hAnsi="宋体" w:cs="宋体"/>
                <w:color w:val="auto"/>
                <w:sz w:val="24"/>
                <w:szCs w:val="24"/>
                <w:highlight w:val="none"/>
              </w:rPr>
            </w:pPr>
            <w:r>
              <w:rPr>
                <w:rFonts w:hint="eastAsia" w:ascii="宋体" w:hAnsi="宋体" w:cs="宋体"/>
                <w:b w:val="0"/>
                <w:bCs w:val="0"/>
                <w:color w:val="auto"/>
                <w:kern w:val="0"/>
                <w:sz w:val="24"/>
                <w:szCs w:val="24"/>
                <w:highlight w:val="none"/>
                <w:lang w:eastAsia="zh-CN"/>
              </w:rPr>
              <w:t>项目开标结束后，中标单位需提供</w:t>
            </w:r>
            <w:r>
              <w:rPr>
                <w:rFonts w:hint="eastAsia" w:ascii="宋体" w:hAnsi="宋体" w:cs="宋体"/>
                <w:b/>
                <w:bCs/>
                <w:color w:val="auto"/>
                <w:kern w:val="0"/>
                <w:sz w:val="24"/>
                <w:szCs w:val="24"/>
                <w:highlight w:val="none"/>
                <w:lang w:eastAsia="zh-CN"/>
              </w:rPr>
              <w:t>叁份</w:t>
            </w:r>
            <w:r>
              <w:rPr>
                <w:rFonts w:hint="eastAsia" w:ascii="宋体" w:hAnsi="宋体" w:cs="宋体"/>
                <w:b w:val="0"/>
                <w:bCs w:val="0"/>
                <w:color w:val="auto"/>
                <w:kern w:val="0"/>
                <w:sz w:val="24"/>
                <w:szCs w:val="24"/>
                <w:highlight w:val="none"/>
                <w:lang w:eastAsia="zh-CN"/>
              </w:rPr>
              <w:t>纸质投标文件至招标代理机构（可邮寄）；</w:t>
            </w:r>
            <w:r>
              <w:rPr>
                <w:rFonts w:hint="eastAsia" w:ascii="宋体" w:hAnsi="宋体" w:cs="宋体"/>
                <w:color w:val="auto"/>
                <w:kern w:val="0"/>
                <w:sz w:val="24"/>
                <w:szCs w:val="24"/>
                <w:highlight w:val="none"/>
              </w:rPr>
              <w:t>注：不分册装订，采用</w:t>
            </w:r>
            <w:r>
              <w:rPr>
                <w:rFonts w:hint="eastAsia" w:ascii="宋体" w:hAnsi="宋体" w:cs="宋体"/>
                <w:b/>
                <w:bCs/>
                <w:color w:val="auto"/>
                <w:kern w:val="0"/>
                <w:sz w:val="24"/>
                <w:szCs w:val="24"/>
                <w:highlight w:val="none"/>
                <w:u w:val="single"/>
              </w:rPr>
              <w:t>死页胶装</w:t>
            </w:r>
            <w:r>
              <w:rPr>
                <w:rFonts w:hint="eastAsia" w:ascii="宋体" w:hAnsi="宋体" w:cs="宋体"/>
                <w:color w:val="auto"/>
                <w:kern w:val="0"/>
                <w:sz w:val="24"/>
                <w:szCs w:val="24"/>
                <w:highlight w:val="none"/>
              </w:rPr>
              <w:t>方式装订,装订应牢固、不易拆散和换页，不得采用活页装订。</w:t>
            </w:r>
          </w:p>
        </w:tc>
      </w:tr>
      <w:tr w14:paraId="4134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17" w:type="dxa"/>
            <w:vAlign w:val="center"/>
          </w:tcPr>
          <w:p w14:paraId="44B9BB50">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5.1</w:t>
            </w:r>
          </w:p>
        </w:tc>
        <w:tc>
          <w:tcPr>
            <w:tcW w:w="2647" w:type="dxa"/>
            <w:vAlign w:val="center"/>
          </w:tcPr>
          <w:p w14:paraId="4769A413">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磋商时间及地点</w:t>
            </w:r>
          </w:p>
        </w:tc>
        <w:tc>
          <w:tcPr>
            <w:tcW w:w="6038" w:type="dxa"/>
            <w:vAlign w:val="center"/>
          </w:tcPr>
          <w:p w14:paraId="4A7B1589">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val="en-US" w:eastAsia="zh-CN"/>
              </w:rPr>
              <w:t>2025年7月14日10:30（北京时间）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p>
          <w:p w14:paraId="3C37138E">
            <w:pPr>
              <w:adjustRightInd w:val="0"/>
              <w:snapToGrid w:val="0"/>
              <w:spacing w:before="120" w:beforeLines="5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政采云网上全流程</w:t>
            </w:r>
          </w:p>
        </w:tc>
      </w:tr>
      <w:tr w14:paraId="2E66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117" w:type="dxa"/>
            <w:vMerge w:val="restart"/>
            <w:vAlign w:val="center"/>
          </w:tcPr>
          <w:p w14:paraId="5512568C">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5.2</w:t>
            </w:r>
          </w:p>
        </w:tc>
        <w:tc>
          <w:tcPr>
            <w:tcW w:w="2647" w:type="dxa"/>
            <w:vAlign w:val="center"/>
          </w:tcPr>
          <w:p w14:paraId="191DA961">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查验内容</w:t>
            </w:r>
          </w:p>
        </w:tc>
        <w:tc>
          <w:tcPr>
            <w:tcW w:w="6038" w:type="dxa"/>
            <w:vAlign w:val="center"/>
          </w:tcPr>
          <w:p w14:paraId="18170CFF">
            <w:pPr>
              <w:spacing w:line="40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政采云网上验证：</w:t>
            </w:r>
          </w:p>
          <w:p w14:paraId="634B6B9D">
            <w:pPr>
              <w:numPr>
                <w:ilvl w:val="0"/>
                <w:numId w:val="2"/>
              </w:numPr>
              <w:spacing w:line="400" w:lineRule="exact"/>
              <w:rPr>
                <w:rFonts w:hint="default" w:ascii="宋体" w:hAnsi="宋体" w:eastAsia="宋体" w:cs="宋体"/>
                <w:color w:val="auto"/>
                <w:sz w:val="24"/>
                <w:szCs w:val="24"/>
                <w:highlight w:val="none"/>
                <w:lang w:val="en-US" w:eastAsia="zh-CN"/>
              </w:rPr>
            </w:pPr>
            <w:r>
              <w:rPr>
                <w:rFonts w:hint="eastAsia" w:ascii="宋体" w:hAnsi="Times New Roman" w:cs="宋体"/>
                <w:color w:val="auto"/>
                <w:sz w:val="24"/>
                <w:szCs w:val="24"/>
                <w:highlight w:val="none"/>
              </w:rPr>
              <w:t>营业执照；（2）法人代表或其委托代理人身份证，《法人代表授权委托书》；</w:t>
            </w:r>
            <w:r>
              <w:rPr>
                <w:rFonts w:hint="eastAsia" w:ascii="宋体" w:hAnsi="Times New Roman" w:cs="宋体"/>
                <w:color w:val="auto"/>
                <w:sz w:val="24"/>
                <w:szCs w:val="24"/>
                <w:highlight w:val="none"/>
                <w:lang w:eastAsia="zh-CN"/>
              </w:rPr>
              <w:t>（</w:t>
            </w:r>
            <w:r>
              <w:rPr>
                <w:rFonts w:hint="eastAsia" w:ascii="宋体" w:hAnsi="Times New Roman" w:cs="宋体"/>
                <w:color w:val="auto"/>
                <w:sz w:val="24"/>
                <w:szCs w:val="24"/>
                <w:highlight w:val="none"/>
                <w:lang w:val="en-US" w:eastAsia="zh-CN"/>
              </w:rPr>
              <w:t>3）</w:t>
            </w:r>
            <w:r>
              <w:rPr>
                <w:rFonts w:hint="eastAsia" w:ascii="宋体" w:hAnsi="宋体" w:eastAsia="宋体" w:cs="宋体"/>
                <w:color w:val="auto"/>
                <w:sz w:val="24"/>
                <w:szCs w:val="24"/>
                <w:highlight w:val="none"/>
              </w:rPr>
              <w:t>属于中国灾害防御协会《关于公布全国地震安全性评价从业单位最新信息的通知》名单内的备案单位</w:t>
            </w:r>
            <w:r>
              <w:rPr>
                <w:rFonts w:hint="eastAsia" w:ascii="宋体" w:hAnsi="宋体" w:cs="宋体"/>
                <w:color w:val="auto"/>
                <w:sz w:val="24"/>
                <w:szCs w:val="24"/>
                <w:highlight w:val="none"/>
                <w:lang w:eastAsia="zh-CN"/>
              </w:rPr>
              <w:t>证明</w:t>
            </w:r>
            <w:r>
              <w:rPr>
                <w:rFonts w:hint="eastAsia" w:ascii="宋体" w:hAnsi="宋体" w:eastAsia="宋体" w:cs="宋体"/>
                <w:color w:val="auto"/>
                <w:kern w:val="2"/>
                <w:sz w:val="24"/>
                <w:szCs w:val="24"/>
                <w:highlight w:val="none"/>
                <w:shd w:val="clear" w:color="auto" w:fill="FBFDFE"/>
                <w:lang w:val="en-US" w:eastAsia="zh-CN" w:bidi="ar-SA"/>
              </w:rPr>
              <w:t>。</w:t>
            </w:r>
            <w:r>
              <w:rPr>
                <w:rFonts w:hint="eastAsia" w:ascii="宋体" w:hAnsi="Times New Roman" w:cs="宋体"/>
                <w:color w:val="auto"/>
                <w:sz w:val="24"/>
                <w:szCs w:val="24"/>
                <w:highlight w:val="none"/>
              </w:rPr>
              <w:t>（</w:t>
            </w:r>
            <w:r>
              <w:rPr>
                <w:rFonts w:hint="eastAsia" w:ascii="宋体" w:hAnsi="Times New Roman" w:cs="宋体"/>
                <w:color w:val="auto"/>
                <w:sz w:val="24"/>
                <w:szCs w:val="24"/>
                <w:highlight w:val="none"/>
                <w:lang w:val="en-US" w:eastAsia="zh-CN"/>
              </w:rPr>
              <w:t>4</w:t>
            </w:r>
            <w:r>
              <w:rPr>
                <w:rFonts w:hint="eastAsia" w:ascii="宋体" w:hAnsi="Times New Roman" w:cs="宋体"/>
                <w:color w:val="auto"/>
                <w:sz w:val="24"/>
                <w:szCs w:val="24"/>
                <w:highlight w:val="none"/>
              </w:rPr>
              <w:t>）“信用中国”网站和中国政府采购网的查询结果的截图打印件加盖公章（打印时间须在报名至开标截止时间内）。</w:t>
            </w:r>
          </w:p>
        </w:tc>
      </w:tr>
      <w:tr w14:paraId="4BF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17" w:type="dxa"/>
            <w:vMerge w:val="continue"/>
            <w:vAlign w:val="center"/>
          </w:tcPr>
          <w:p w14:paraId="14161C90">
            <w:pPr>
              <w:adjustRightInd w:val="0"/>
              <w:snapToGrid w:val="0"/>
              <w:spacing w:before="120" w:beforeLines="50"/>
              <w:jc w:val="center"/>
              <w:rPr>
                <w:rFonts w:ascii="宋体" w:hAnsi="宋体" w:cs="宋体"/>
                <w:b/>
                <w:bCs/>
                <w:color w:val="auto"/>
                <w:sz w:val="24"/>
                <w:szCs w:val="24"/>
                <w:highlight w:val="none"/>
              </w:rPr>
            </w:pPr>
          </w:p>
        </w:tc>
        <w:tc>
          <w:tcPr>
            <w:tcW w:w="2647" w:type="dxa"/>
            <w:vAlign w:val="center"/>
          </w:tcPr>
          <w:p w14:paraId="4F139839">
            <w:pPr>
              <w:spacing w:before="12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是否公开开启响应文件</w:t>
            </w:r>
          </w:p>
        </w:tc>
        <w:tc>
          <w:tcPr>
            <w:tcW w:w="6038" w:type="dxa"/>
            <w:vAlign w:val="center"/>
          </w:tcPr>
          <w:p w14:paraId="2E2668BA">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b/>
                <w:bCs/>
                <w:color w:val="auto"/>
                <w:sz w:val="24"/>
                <w:szCs w:val="24"/>
                <w:highlight w:val="none"/>
              </w:rPr>
              <w:t>是</w:t>
            </w:r>
          </w:p>
        </w:tc>
      </w:tr>
      <w:tr w14:paraId="1FBC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117" w:type="dxa"/>
            <w:vAlign w:val="center"/>
          </w:tcPr>
          <w:p w14:paraId="2A7B872A">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6.1.1</w:t>
            </w:r>
          </w:p>
        </w:tc>
        <w:tc>
          <w:tcPr>
            <w:tcW w:w="2647" w:type="dxa"/>
            <w:vAlign w:val="center"/>
          </w:tcPr>
          <w:p w14:paraId="2C0755F9">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磋商小组的组建及确定方式</w:t>
            </w:r>
          </w:p>
        </w:tc>
        <w:tc>
          <w:tcPr>
            <w:tcW w:w="6038" w:type="dxa"/>
            <w:vAlign w:val="center"/>
          </w:tcPr>
          <w:p w14:paraId="061DAB97">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rPr>
              <w:t>招标采购单位依法组建磋商小组共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人组成，其中采购人代表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人和专家评委__</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__人。</w:t>
            </w:r>
          </w:p>
          <w:p w14:paraId="11275104">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rPr>
              <w:t>小组确定方式：</w:t>
            </w:r>
          </w:p>
          <w:p w14:paraId="711F8318">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政府采购云平台线上自行抽取 </w:t>
            </w:r>
          </w:p>
          <w:p w14:paraId="05D5B553">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政府采购专家库随机抽取                         </w:t>
            </w:r>
          </w:p>
        </w:tc>
      </w:tr>
      <w:tr w14:paraId="738A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17" w:type="dxa"/>
            <w:vAlign w:val="center"/>
          </w:tcPr>
          <w:p w14:paraId="2B414CDC">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7.1.3</w:t>
            </w:r>
          </w:p>
        </w:tc>
        <w:tc>
          <w:tcPr>
            <w:tcW w:w="2647" w:type="dxa"/>
            <w:vAlign w:val="center"/>
          </w:tcPr>
          <w:p w14:paraId="1E17DBFB">
            <w:pPr>
              <w:adjustRightInd w:val="0"/>
              <w:snapToGrid w:val="0"/>
              <w:spacing w:before="120" w:beforeLine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成网交结果公告媒介</w:t>
            </w:r>
          </w:p>
        </w:tc>
        <w:tc>
          <w:tcPr>
            <w:tcW w:w="6038" w:type="dxa"/>
            <w:vAlign w:val="center"/>
          </w:tcPr>
          <w:p w14:paraId="1E498F57">
            <w:pPr>
              <w:adjustRightInd w:val="0"/>
              <w:snapToGrid w:val="0"/>
              <w:spacing w:before="120" w:beforeLines="50"/>
              <w:jc w:val="left"/>
              <w:rPr>
                <w:rFonts w:hint="eastAsia" w:ascii="宋体" w:hAnsi="宋体" w:eastAsia="宋体" w:cs="宋体"/>
                <w:color w:val="auto"/>
                <w:sz w:val="24"/>
                <w:szCs w:val="24"/>
                <w:highlight w:val="none"/>
                <w:lang w:eastAsia="zh-CN"/>
              </w:rPr>
            </w:pPr>
            <w:r>
              <w:rPr>
                <w:rFonts w:hint="eastAsia"/>
                <w:color w:val="auto"/>
                <w:sz w:val="24"/>
                <w:highlight w:val="none"/>
              </w:rPr>
              <w:t>新疆政府采购网</w:t>
            </w:r>
          </w:p>
        </w:tc>
      </w:tr>
      <w:tr w14:paraId="268D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802" w:type="dxa"/>
            <w:gridSpan w:val="3"/>
            <w:vAlign w:val="center"/>
          </w:tcPr>
          <w:p w14:paraId="36B65398">
            <w:pPr>
              <w:adjustRightInd w:val="0"/>
              <w:snapToGrid w:val="0"/>
              <w:spacing w:before="120" w:beforeLines="50"/>
              <w:jc w:val="left"/>
              <w:rPr>
                <w:rFonts w:ascii="宋体" w:hAnsi="宋体" w:cs="宋体"/>
                <w:color w:val="auto"/>
                <w:sz w:val="24"/>
                <w:szCs w:val="24"/>
                <w:highlight w:val="none"/>
              </w:rPr>
            </w:pPr>
            <w:r>
              <w:rPr>
                <w:rFonts w:hint="eastAsia" w:ascii="宋体" w:hAnsi="宋体" w:cs="宋体"/>
                <w:b/>
                <w:bCs/>
                <w:color w:val="auto"/>
                <w:sz w:val="24"/>
                <w:szCs w:val="24"/>
                <w:highlight w:val="none"/>
              </w:rPr>
              <w:t>采购人认为需要补充的其他内容</w:t>
            </w:r>
          </w:p>
        </w:tc>
      </w:tr>
      <w:tr w14:paraId="43F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17" w:type="dxa"/>
          </w:tcPr>
          <w:p w14:paraId="1B275157">
            <w:pPr>
              <w:spacing w:line="440" w:lineRule="exact"/>
              <w:rPr>
                <w:rFonts w:ascii="宋体" w:hAnsi="宋体" w:cs="宋体"/>
                <w:b/>
                <w:bCs/>
                <w:color w:val="auto"/>
                <w:sz w:val="24"/>
                <w:highlight w:val="none"/>
              </w:rPr>
            </w:pPr>
          </w:p>
          <w:p w14:paraId="2B906FD9">
            <w:pPr>
              <w:pStyle w:val="32"/>
              <w:ind w:firstLine="210"/>
              <w:rPr>
                <w:color w:val="auto"/>
                <w:highlight w:val="none"/>
              </w:rPr>
            </w:pPr>
          </w:p>
          <w:p w14:paraId="7FD9EF8D">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highlight w:val="none"/>
              </w:rPr>
              <w:t>7.2.1</w:t>
            </w:r>
          </w:p>
        </w:tc>
        <w:tc>
          <w:tcPr>
            <w:tcW w:w="8685" w:type="dxa"/>
            <w:gridSpan w:val="2"/>
          </w:tcPr>
          <w:p w14:paraId="06444713">
            <w:pPr>
              <w:spacing w:line="440" w:lineRule="exact"/>
              <w:rPr>
                <w:rFonts w:ascii="宋体" w:hAnsi="宋体" w:cs="宋体"/>
                <w:color w:val="auto"/>
                <w:sz w:val="24"/>
                <w:highlight w:val="none"/>
              </w:rPr>
            </w:pPr>
            <w:r>
              <w:rPr>
                <w:rFonts w:hint="eastAsia" w:ascii="宋体" w:hAnsi="宋体" w:cs="宋体"/>
                <w:color w:val="auto"/>
                <w:sz w:val="24"/>
                <w:highlight w:val="none"/>
              </w:rPr>
              <w:t>磋商代理服务费：</w:t>
            </w:r>
          </w:p>
          <w:p w14:paraId="3C189A1D">
            <w:pPr>
              <w:spacing w:line="440" w:lineRule="exact"/>
              <w:rPr>
                <w:rFonts w:ascii="宋体" w:hAnsi="宋体" w:cs="宋体"/>
                <w:color w:val="auto"/>
                <w:kern w:val="0"/>
                <w:sz w:val="24"/>
                <w:szCs w:val="24"/>
                <w:highlight w:val="none"/>
              </w:rPr>
            </w:pPr>
            <w:r>
              <w:rPr>
                <w:rFonts w:hint="eastAsia" w:ascii="宋体" w:hAnsi="宋体" w:cs="宋体"/>
                <w:color w:val="auto"/>
                <w:sz w:val="24"/>
                <w:highlight w:val="none"/>
              </w:rPr>
              <w:t>依据《招标代理服务收费管理暂行办法》（计价格[2002]1980号）、《关于招标代理服务费收费有关问题的通知》（发改办价格[2003]857号文）、《国家发展改革委关于进一步放开建设项目专业服务价格的通知（发改价格【2015】299号）》，本</w:t>
            </w:r>
            <w:r>
              <w:rPr>
                <w:rFonts w:hint="eastAsia" w:ascii="宋体" w:hAnsi="宋体" w:cs="宋体"/>
                <w:color w:val="auto"/>
                <w:sz w:val="24"/>
                <w:highlight w:val="none"/>
                <w:lang w:eastAsia="zh-CN"/>
              </w:rPr>
              <w:t>项目</w:t>
            </w:r>
            <w:r>
              <w:rPr>
                <w:rFonts w:hint="eastAsia" w:ascii="宋体" w:hAnsi="宋体" w:cs="宋体"/>
                <w:color w:val="auto"/>
                <w:sz w:val="24"/>
                <w:highlight w:val="none"/>
              </w:rPr>
              <w:t>招标代理服务费由中标人支付。</w:t>
            </w:r>
          </w:p>
        </w:tc>
      </w:tr>
      <w:tr w14:paraId="42F8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117" w:type="dxa"/>
          </w:tcPr>
          <w:p w14:paraId="3F3C68CB">
            <w:pPr>
              <w:spacing w:line="440" w:lineRule="exact"/>
              <w:jc w:val="center"/>
              <w:rPr>
                <w:rFonts w:ascii="宋体" w:hAnsi="宋体" w:cs="宋体"/>
                <w:b/>
                <w:bCs/>
                <w:color w:val="auto"/>
                <w:sz w:val="24"/>
                <w:highlight w:val="none"/>
              </w:rPr>
            </w:pPr>
          </w:p>
          <w:p w14:paraId="4484DDFD">
            <w:pPr>
              <w:spacing w:line="440" w:lineRule="exact"/>
              <w:jc w:val="center"/>
              <w:rPr>
                <w:rFonts w:ascii="宋体" w:hAnsi="宋体" w:cs="宋体"/>
                <w:b/>
                <w:bCs/>
                <w:color w:val="auto"/>
                <w:sz w:val="24"/>
                <w:highlight w:val="none"/>
              </w:rPr>
            </w:pPr>
          </w:p>
          <w:p w14:paraId="5ED2DEFD">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highlight w:val="none"/>
              </w:rPr>
              <w:t>7.2.2</w:t>
            </w:r>
          </w:p>
        </w:tc>
        <w:tc>
          <w:tcPr>
            <w:tcW w:w="8685" w:type="dxa"/>
            <w:gridSpan w:val="2"/>
          </w:tcPr>
          <w:p w14:paraId="56DDFBA7">
            <w:pPr>
              <w:spacing w:line="440" w:lineRule="exact"/>
              <w:rPr>
                <w:rFonts w:ascii="宋体" w:hAnsi="宋体" w:cs="宋体"/>
                <w:b/>
                <w:color w:val="auto"/>
                <w:sz w:val="24"/>
                <w:highlight w:val="none"/>
              </w:rPr>
            </w:pPr>
            <w:r>
              <w:rPr>
                <w:rFonts w:hint="eastAsia" w:ascii="宋体" w:hAnsi="宋体" w:cs="宋体"/>
                <w:b/>
                <w:color w:val="auto"/>
                <w:sz w:val="24"/>
                <w:highlight w:val="none"/>
              </w:rPr>
              <w:t>解释权:</w:t>
            </w:r>
          </w:p>
          <w:p w14:paraId="51608039">
            <w:pPr>
              <w:spacing w:line="440" w:lineRule="exact"/>
              <w:rPr>
                <w:rFonts w:ascii="宋体" w:hAnsi="宋体" w:cs="宋体"/>
                <w:color w:val="auto"/>
                <w:kern w:val="0"/>
                <w:sz w:val="24"/>
                <w:szCs w:val="24"/>
                <w:highlight w:val="none"/>
              </w:rPr>
            </w:pPr>
            <w:r>
              <w:rPr>
                <w:rFonts w:hint="eastAsia" w:ascii="宋体" w:hAnsi="宋体" w:cs="宋体"/>
                <w:color w:val="auto"/>
                <w:sz w:val="24"/>
                <w:highlight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3CFB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7" w:type="dxa"/>
            <w:vAlign w:val="center"/>
          </w:tcPr>
          <w:p w14:paraId="72FFB206">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highlight w:val="none"/>
              </w:rPr>
              <w:t>7.2.3</w:t>
            </w:r>
          </w:p>
        </w:tc>
        <w:tc>
          <w:tcPr>
            <w:tcW w:w="8685" w:type="dxa"/>
            <w:gridSpan w:val="2"/>
          </w:tcPr>
          <w:p w14:paraId="77634672">
            <w:pPr>
              <w:spacing w:line="440" w:lineRule="exact"/>
              <w:jc w:val="left"/>
              <w:rPr>
                <w:rFonts w:ascii="宋体" w:hAnsi="宋体" w:cs="宋体"/>
                <w:color w:val="auto"/>
                <w:sz w:val="24"/>
                <w:highlight w:val="none"/>
              </w:rPr>
            </w:pPr>
            <w:r>
              <w:rPr>
                <w:rFonts w:hint="eastAsia" w:ascii="宋体" w:hAnsi="宋体" w:cs="宋体"/>
                <w:color w:val="auto"/>
                <w:sz w:val="24"/>
                <w:highlight w:val="none"/>
              </w:rPr>
              <w:t>重大违法记录：</w:t>
            </w:r>
          </w:p>
          <w:p w14:paraId="1A5219F5">
            <w:pPr>
              <w:numPr>
                <w:ilvl w:val="0"/>
                <w:numId w:val="3"/>
              </w:numPr>
              <w:spacing w:line="440" w:lineRule="exact"/>
              <w:jc w:val="left"/>
              <w:rPr>
                <w:rFonts w:ascii="宋体" w:hAnsi="宋体" w:cs="宋体"/>
                <w:color w:val="auto"/>
                <w:sz w:val="24"/>
                <w:highlight w:val="none"/>
              </w:rPr>
            </w:pPr>
            <w:r>
              <w:rPr>
                <w:rFonts w:hint="eastAsia" w:ascii="宋体" w:hAnsi="宋体" w:cs="宋体"/>
                <w:color w:val="auto"/>
                <w:sz w:val="24"/>
                <w:highlight w:val="none"/>
              </w:rPr>
              <w:t>供应商因违法经营受到刑事处罚或者责令停产停业、吊销许可证或者执照、较大数额罚款等行政处罚；</w:t>
            </w:r>
          </w:p>
          <w:p w14:paraId="0907C4CA">
            <w:pPr>
              <w:numPr>
                <w:ilvl w:val="0"/>
                <w:numId w:val="3"/>
              </w:numPr>
              <w:spacing w:line="440" w:lineRule="exact"/>
              <w:jc w:val="left"/>
              <w:rPr>
                <w:rFonts w:ascii="宋体" w:hAnsi="宋体" w:cs="宋体"/>
                <w:color w:val="auto"/>
                <w:sz w:val="24"/>
                <w:highlight w:val="none"/>
              </w:rPr>
            </w:pPr>
            <w:r>
              <w:rPr>
                <w:rFonts w:hint="eastAsia" w:ascii="宋体" w:hAnsi="宋体" w:cs="宋体"/>
                <w:color w:val="auto"/>
                <w:sz w:val="24"/>
                <w:highlight w:val="none"/>
              </w:rPr>
              <w:t>在“信用中国”（www.creditchina.gov.cn）、中国政府采购网（www.ccgp.gov.cn）、国家企业信用信息公示系统（http://www.gsxt.gov.cn）上被列入失信被执行人、重大税收违法案件当事人名单、政府采购严重违法失信行为记录名单的（尚在处罚期内的）、经营异常名录的；</w:t>
            </w:r>
          </w:p>
          <w:p w14:paraId="5D28B673">
            <w:pPr>
              <w:spacing w:line="440" w:lineRule="exact"/>
              <w:jc w:val="left"/>
              <w:rPr>
                <w:rFonts w:ascii="宋体" w:hAnsi="宋体" w:cs="宋体"/>
                <w:color w:val="auto"/>
                <w:kern w:val="0"/>
                <w:sz w:val="24"/>
                <w:szCs w:val="24"/>
                <w:highlight w:val="none"/>
              </w:rPr>
            </w:pPr>
            <w:r>
              <w:rPr>
                <w:rFonts w:hint="eastAsia" w:ascii="宋体" w:hAnsi="宋体" w:cs="宋体"/>
                <w:color w:val="auto"/>
                <w:sz w:val="24"/>
                <w:highlight w:val="none"/>
              </w:rPr>
              <w:t>3、县级及以上行政主管部门文件明确记《不良行为记录》的情形。</w:t>
            </w:r>
          </w:p>
        </w:tc>
      </w:tr>
      <w:tr w14:paraId="0F04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7" w:type="dxa"/>
            <w:vAlign w:val="center"/>
          </w:tcPr>
          <w:p w14:paraId="64978C3A">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highlight w:val="none"/>
              </w:rPr>
              <w:t>7.2.4</w:t>
            </w:r>
          </w:p>
        </w:tc>
        <w:tc>
          <w:tcPr>
            <w:tcW w:w="8685" w:type="dxa"/>
            <w:gridSpan w:val="2"/>
          </w:tcPr>
          <w:p w14:paraId="1C76D37F">
            <w:pPr>
              <w:spacing w:line="440" w:lineRule="exact"/>
              <w:rPr>
                <w:rFonts w:ascii="宋体" w:hAnsi="宋体" w:cs="宋体"/>
                <w:color w:val="auto"/>
                <w:sz w:val="24"/>
                <w:highlight w:val="none"/>
              </w:rPr>
            </w:pPr>
            <w:r>
              <w:rPr>
                <w:rFonts w:hint="eastAsia" w:ascii="宋体" w:hAnsi="宋体" w:cs="宋体"/>
                <w:color w:val="auto"/>
                <w:sz w:val="24"/>
                <w:highlight w:val="none"/>
              </w:rPr>
              <w:t>履约担保的形式：支票、汇票、银行转账或银行保函、工程保证保险等</w:t>
            </w:r>
          </w:p>
          <w:p w14:paraId="16317834">
            <w:pPr>
              <w:spacing w:line="440" w:lineRule="exact"/>
              <w:jc w:val="left"/>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w:t>
            </w:r>
          </w:p>
        </w:tc>
      </w:tr>
      <w:tr w14:paraId="598B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17" w:type="dxa"/>
            <w:vAlign w:val="center"/>
          </w:tcPr>
          <w:p w14:paraId="3F7F7128">
            <w:pPr>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highlight w:val="none"/>
              </w:rPr>
              <w:t>注意事项</w:t>
            </w:r>
          </w:p>
        </w:tc>
        <w:tc>
          <w:tcPr>
            <w:tcW w:w="8685" w:type="dxa"/>
            <w:gridSpan w:val="2"/>
            <w:vAlign w:val="center"/>
          </w:tcPr>
          <w:p w14:paraId="24E24C36">
            <w:pPr>
              <w:spacing w:line="44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注：无论何种原因，即使投标人开标时携带了证书材料的，但在投标文件中未提供与之内容完全一致的扫描</w:t>
            </w:r>
            <w:r>
              <w:rPr>
                <w:rFonts w:ascii="宋体" w:hAnsi="宋体" w:cs="宋体"/>
                <w:bCs/>
                <w:color w:val="auto"/>
                <w:sz w:val="24"/>
                <w:highlight w:val="none"/>
              </w:rPr>
              <w:t>复印</w:t>
            </w:r>
            <w:r>
              <w:rPr>
                <w:rFonts w:hint="eastAsia" w:ascii="宋体" w:hAnsi="宋体" w:cs="宋体"/>
                <w:bCs/>
                <w:color w:val="auto"/>
                <w:sz w:val="24"/>
                <w:highlight w:val="none"/>
              </w:rPr>
              <w:t>件的，评标委员会可以视同其未提供。</w:t>
            </w:r>
          </w:p>
          <w:p w14:paraId="4697E5A5">
            <w:pPr>
              <w:spacing w:line="440" w:lineRule="exact"/>
              <w:jc w:val="both"/>
              <w:rPr>
                <w:rFonts w:hint="eastAsia" w:ascii="宋体" w:hAnsi="宋体" w:eastAsia="宋体" w:cs="宋体"/>
                <w:color w:val="auto"/>
                <w:kern w:val="0"/>
                <w:sz w:val="24"/>
                <w:szCs w:val="24"/>
                <w:highlight w:val="none"/>
                <w:lang w:eastAsia="zh-CN"/>
              </w:rPr>
            </w:pPr>
            <w:r>
              <w:rPr>
                <w:rFonts w:hint="eastAsia" w:ascii="宋体" w:hAnsi="宋体" w:cs="宋体"/>
                <w:b/>
                <w:bCs w:val="0"/>
                <w:color w:val="auto"/>
                <w:sz w:val="24"/>
                <w:highlight w:val="none"/>
                <w:lang w:eastAsia="zh-CN"/>
              </w:rPr>
              <w:t>本次磋商共有两次报价机会，以最终报价为准，按照比例调整工程量清单各子项。</w:t>
            </w:r>
          </w:p>
        </w:tc>
      </w:tr>
    </w:tbl>
    <w:p w14:paraId="2629BF85">
      <w:pPr>
        <w:spacing w:line="440" w:lineRule="exact"/>
        <w:rPr>
          <w:rFonts w:ascii="宋体" w:hAnsi="宋体" w:cs="宋体"/>
          <w:b/>
          <w:bCs/>
          <w:color w:val="auto"/>
          <w:kern w:val="0"/>
          <w:sz w:val="24"/>
          <w:highlight w:val="none"/>
        </w:rPr>
      </w:pPr>
    </w:p>
    <w:p w14:paraId="35F0EBB2">
      <w:pPr>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注：</w:t>
      </w:r>
      <w:r>
        <w:rPr>
          <w:rFonts w:hint="eastAsia" w:ascii="宋体" w:hAnsi="宋体" w:cs="宋体"/>
          <w:color w:val="auto"/>
          <w:sz w:val="24"/>
          <w:highlight w:val="none"/>
        </w:rPr>
        <w:t>1、本表内容与磋商文件其它内容不一致的，应当以本表内容为准。</w:t>
      </w:r>
    </w:p>
    <w:p w14:paraId="64A8DA6C">
      <w:pPr>
        <w:rPr>
          <w:color w:val="auto"/>
          <w:sz w:val="32"/>
          <w:szCs w:val="32"/>
          <w:highlight w:val="none"/>
        </w:rPr>
        <w:sectPr>
          <w:footerReference r:id="rId5" w:type="default"/>
          <w:pgSz w:w="11906" w:h="16838"/>
          <w:pgMar w:top="1440" w:right="1080" w:bottom="1440" w:left="1080" w:header="851" w:footer="992" w:gutter="0"/>
          <w:pgNumType w:fmt="decimal" w:start="1"/>
          <w:cols w:space="425" w:num="1"/>
          <w:docGrid w:linePitch="312" w:charSpace="0"/>
        </w:sectPr>
      </w:pPr>
      <w:r>
        <w:rPr>
          <w:rFonts w:hint="eastAsia" w:ascii="宋体" w:hAnsi="宋体" w:cs="宋体"/>
          <w:color w:val="auto"/>
          <w:kern w:val="0"/>
          <w:sz w:val="24"/>
          <w:highlight w:val="none"/>
        </w:rPr>
        <w:t>2、本表中“</w:t>
      </w:r>
      <w:r>
        <w:rPr>
          <w:rFonts w:hint="eastAsia" w:ascii="宋体" w:hAnsi="宋体" w:cs="宋体"/>
          <w:color w:val="auto"/>
          <w:kern w:val="0"/>
          <w:sz w:val="24"/>
          <w:highlight w:val="none"/>
        </w:rPr>
        <w:fldChar w:fldCharType="begin"/>
      </w:r>
      <w:r>
        <w:rPr>
          <w:rFonts w:hint="eastAsia" w:ascii="宋体" w:hAnsi="宋体" w:cs="宋体"/>
          <w:color w:val="auto"/>
          <w:kern w:val="0"/>
          <w:sz w:val="22"/>
          <w:highlight w:val="none"/>
        </w:rPr>
        <w:instrText xml:space="preserve"> eq \o\ac(</w:instrText>
      </w:r>
      <w:r>
        <w:rPr>
          <w:rFonts w:hint="eastAsia" w:ascii="宋体" w:hAnsi="宋体" w:cs="宋体"/>
          <w:color w:val="auto"/>
          <w:kern w:val="0"/>
          <w:position w:val="-4"/>
          <w:sz w:val="33"/>
          <w:highlight w:val="none"/>
        </w:rPr>
        <w:instrText xml:space="preserve">□</w:instrText>
      </w:r>
      <w:r>
        <w:rPr>
          <w:rFonts w:hint="eastAsia" w:ascii="宋体" w:hAnsi="宋体" w:cs="宋体"/>
          <w:color w:val="auto"/>
          <w:kern w:val="0"/>
          <w:sz w:val="22"/>
          <w:highlight w:val="none"/>
        </w:rPr>
        <w:instrText xml:space="preserve">,√)</w:instrTex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”标示选择使用该项。</w:t>
      </w:r>
    </w:p>
    <w:bookmarkEnd w:id="1"/>
    <w:p w14:paraId="4A3B9639">
      <w:pPr>
        <w:pStyle w:val="5"/>
        <w:spacing w:line="400" w:lineRule="exact"/>
        <w:rPr>
          <w:color w:val="auto"/>
          <w:highlight w:val="none"/>
        </w:rPr>
      </w:pPr>
      <w:bookmarkStart w:id="11" w:name="_Toc513029202"/>
      <w:bookmarkEnd w:id="11"/>
      <w:bookmarkStart w:id="12" w:name="_Toc20823274"/>
      <w:bookmarkEnd w:id="12"/>
      <w:bookmarkStart w:id="13" w:name="_Toc455227390"/>
      <w:bookmarkEnd w:id="13"/>
      <w:bookmarkStart w:id="14" w:name="_Toc120614213"/>
      <w:bookmarkEnd w:id="14"/>
      <w:bookmarkStart w:id="15" w:name="_Toc16938518"/>
      <w:bookmarkEnd w:id="15"/>
      <w:bookmarkStart w:id="16" w:name="_Toc20759"/>
      <w:bookmarkStart w:id="17" w:name="_Toc1621"/>
      <w:r>
        <w:rPr>
          <w:rFonts w:hint="eastAsia"/>
          <w:color w:val="auto"/>
          <w:highlight w:val="none"/>
        </w:rPr>
        <w:t>一、说明</w:t>
      </w:r>
      <w:bookmarkEnd w:id="16"/>
      <w:bookmarkEnd w:id="17"/>
    </w:p>
    <w:p w14:paraId="29844885">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1.1适用范围</w:t>
      </w:r>
    </w:p>
    <w:p w14:paraId="37A4030E">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1.1.1本磋商文件仅适用于本磋商文件中所述项目的采购。</w:t>
      </w:r>
    </w:p>
    <w:p w14:paraId="6814807B">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1.2定义</w:t>
      </w:r>
    </w:p>
    <w:p w14:paraId="21619BC1">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1.2.1“采购人”是指：详见供应商须知前附表。</w:t>
      </w:r>
    </w:p>
    <w:p w14:paraId="052495DF">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1.2.2“采购代理机构”是指：详见供应商须知前附表。</w:t>
      </w:r>
    </w:p>
    <w:p w14:paraId="7D342D9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1.2.3“监管部门”是指：详见供应商须知前附表。</w:t>
      </w:r>
    </w:p>
    <w:p w14:paraId="4664F02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1.2.4 “供应商”是指：响应磋商文件要求并且符合磋商文件规定资格条件和参加竞争性磋商的法人、其他组织或者自然人。</w:t>
      </w:r>
    </w:p>
    <w:p w14:paraId="327AB4B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1.2.5“成交供应商”是指：是指经磋商小组评审，授予合同的供应商。</w:t>
      </w:r>
    </w:p>
    <w:p w14:paraId="27AA735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1.2.6采购人和采购代理机构统称为招标采购单位。</w:t>
      </w:r>
    </w:p>
    <w:p w14:paraId="6184B4EB">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1.3服务</w:t>
      </w:r>
    </w:p>
    <w:p w14:paraId="00F4BEC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1.3.1“服务”是指：除货物和工程以外的其他政府采购对象。包括：政府自身需要的服务和政府向社会公众提供的公共服务。</w:t>
      </w:r>
    </w:p>
    <w:p w14:paraId="51636909">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1.4磋商供应商资格要求</w:t>
      </w:r>
    </w:p>
    <w:p w14:paraId="24670FDD">
      <w:pP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1.4.1 供应商的资格要求见</w:t>
      </w:r>
      <w:r>
        <w:rPr>
          <w:rFonts w:hint="eastAsia" w:ascii="宋体" w:hAnsi="宋体" w:cs="宋体"/>
          <w:b/>
          <w:color w:val="auto"/>
          <w:sz w:val="24"/>
          <w:highlight w:val="none"/>
        </w:rPr>
        <w:t>磋商须知前附表1</w:t>
      </w:r>
      <w:r>
        <w:rPr>
          <w:rFonts w:hint="eastAsia" w:ascii="宋体" w:hAnsi="宋体" w:cs="宋体"/>
          <w:color w:val="auto"/>
          <w:sz w:val="24"/>
          <w:highlight w:val="none"/>
        </w:rPr>
        <w:t>；</w:t>
      </w:r>
    </w:p>
    <w:p w14:paraId="55E3AE61">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1.4.2凡为本采购项目提供整体设计、规范编制或者项目管理、监理、检测等服务的供应商，不得参加报价。</w:t>
      </w:r>
    </w:p>
    <w:p w14:paraId="1C1CF9ED">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1.4.3一个供应商只能提交一个响应文件。但如果不同供应商之间的单位负责人为同一人或者存在直接控股、管理关系的，均作无效报价处理。</w:t>
      </w:r>
    </w:p>
    <w:p w14:paraId="6EFC5FE6">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1.4.4供应商存在下列情形之一的，将被认定为围标串标串通报价行为并作无效报价处理：</w:t>
      </w:r>
    </w:p>
    <w:p w14:paraId="75DE5BD2">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（1）不同供应商的响应文件错、漏之处一致或雷同，且不能合理解释的；</w:t>
      </w:r>
    </w:p>
    <w:p w14:paraId="5CA39D0D">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（2）由同一人或分别由几个有利害关系的人携带两个以上（含两个）供应商的企业资料参与资格审查、领取磋商资料，或代表两个以上（含两个）供应商参加磋商答疑会、交纳或退还磋商保证金、开标的；</w:t>
      </w:r>
    </w:p>
    <w:p w14:paraId="21E9EFA8">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（3）有关法律、法规或规章规定的其他围标串标行为。</w:t>
      </w:r>
    </w:p>
    <w:p w14:paraId="3EB04BD6">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1.5本项目不接受联合体</w:t>
      </w:r>
      <w:r>
        <w:rPr>
          <w:rFonts w:hAnsi="宋体" w:cs="宋体"/>
          <w:b/>
          <w:color w:val="auto"/>
          <w:sz w:val="24"/>
          <w:szCs w:val="24"/>
          <w:highlight w:val="none"/>
        </w:rPr>
        <w:t>投标</w:t>
      </w:r>
    </w:p>
    <w:p w14:paraId="34C5F6C4">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1.6磋商费用</w:t>
      </w:r>
    </w:p>
    <w:p w14:paraId="5D5FFC4B">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供应商应承担所有与准备和参加竞争性磋商有关的费用。不论磋商的结果如何，采购单位均无义务和责任承担这些费用。</w:t>
      </w:r>
    </w:p>
    <w:p w14:paraId="5C856B24">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1.7计量单位</w:t>
      </w:r>
    </w:p>
    <w:p w14:paraId="17A71C38">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除技术要求中另有规定外，本文件所要求使用的计量单位均应采用国家法定计量单位。</w:t>
      </w:r>
    </w:p>
    <w:p w14:paraId="75546E7E">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1.8竞争性磋商文件的约束力</w:t>
      </w:r>
    </w:p>
    <w:p w14:paraId="0EB673A4">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供应商一旦购买了本竞争性磋商文件并决定参加竞争性磋商，即被认为接受了本竞争性磋商文件的规定和约束。</w:t>
      </w:r>
    </w:p>
    <w:p w14:paraId="10560659">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1.9现场考察</w:t>
      </w:r>
    </w:p>
    <w:p w14:paraId="7BA93C9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1.9.1本项目是否统一组织投标人现场考察见供应商须知前附表中的规定。无论是否统一组织，投标人应对供货现场和周围环境进行勘察，以获取编制响应文件所需的资料。</w:t>
      </w:r>
    </w:p>
    <w:p w14:paraId="383522EE">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1.9.2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5CB353A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1.9.3除非有特殊要求，招标文件不单独提供供货使用地的自然环境、气候条件、公用设施等情况，投标人被视为熟悉上述与履行合同有关的一切情况。</w:t>
      </w:r>
    </w:p>
    <w:p w14:paraId="1DCA5ED2">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1.9.4除采购人原因外，投标人自行负责在现场考察中所发生的人员伤亡和财产损失。</w:t>
      </w:r>
    </w:p>
    <w:p w14:paraId="2D158F08">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1.10分包</w:t>
      </w:r>
    </w:p>
    <w:p w14:paraId="485AF6E2">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1.10.1投标人拟在中标后将中标项目的非主体设备进行分包的，应符合供应商须知前附表规定的分包内容、分包金额和资质要求等限制性条件，除供应商须知前附表规定的非主体设备外，其他工作不得分包。 </w:t>
      </w:r>
    </w:p>
    <w:p w14:paraId="6B8666D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1.10.2中标人不得向他人转让中标项目，接受分包的人不得再次分包。中标人应当就分包项目向采购人负责，接受分包的人就分包项目承担连带责任。</w:t>
      </w:r>
    </w:p>
    <w:p w14:paraId="0E194F0E">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1.11偏离</w:t>
      </w:r>
    </w:p>
    <w:p w14:paraId="15F43989">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1.11.1除法律、法规和规章规定外，磋商文件中用文字规定或标注“★”符号的条款为实质性要求和条件；未用文字规定或“★”符号标注的条款为非实质性要求和条件。</w:t>
      </w:r>
    </w:p>
    <w:p w14:paraId="4C8E5629">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1.11.2偏离是指响应文件不满足或者不响应磋商文件的要求。偏离分为偏离磋商文件的实质性要求和条件及偏离磋商文件的非实质性要求和条件。</w:t>
      </w:r>
    </w:p>
    <w:p w14:paraId="6DE3A98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1.11.3响应文件偏离磋商文件的实质性要求和条件，在评标时其投标将被否决。</w:t>
      </w:r>
    </w:p>
    <w:p w14:paraId="3E670828">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1.11.4响应文件偏离磋商文件的非实质性要求和条件见供应商须知前附表。</w:t>
      </w:r>
    </w:p>
    <w:p w14:paraId="4590ACC2">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1.12知识产权</w:t>
      </w:r>
    </w:p>
    <w:p w14:paraId="4E7D49B3">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3973DB8">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1.12.2招标人享有本项目实施过程中产生的知识成果及知识产权。</w:t>
      </w:r>
    </w:p>
    <w:p w14:paraId="0A572A25">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0F986D8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1.12.4如采用投标人所不拥有的知识产权，则在磋商报价中必须包括合法获取该知识产权的相关费用。</w:t>
      </w:r>
    </w:p>
    <w:p w14:paraId="25E6D272">
      <w:pPr>
        <w:pStyle w:val="5"/>
        <w:spacing w:line="400" w:lineRule="exact"/>
        <w:rPr>
          <w:color w:val="auto"/>
          <w:highlight w:val="none"/>
        </w:rPr>
      </w:pPr>
      <w:bookmarkStart w:id="18" w:name="_Toc293736011"/>
      <w:bookmarkStart w:id="19" w:name="_Toc293736054"/>
      <w:bookmarkStart w:id="20" w:name="_Toc3092"/>
      <w:bookmarkStart w:id="21" w:name="_Toc293738992"/>
      <w:bookmarkStart w:id="22" w:name="_Toc18317"/>
      <w:bookmarkStart w:id="23" w:name="_Toc446599311"/>
      <w:r>
        <w:rPr>
          <w:rFonts w:hint="eastAsia"/>
          <w:color w:val="auto"/>
          <w:highlight w:val="none"/>
        </w:rPr>
        <w:t>二、磋商文件</w:t>
      </w:r>
      <w:bookmarkEnd w:id="18"/>
      <w:bookmarkEnd w:id="19"/>
      <w:bookmarkEnd w:id="20"/>
      <w:bookmarkEnd w:id="21"/>
      <w:bookmarkEnd w:id="22"/>
      <w:bookmarkEnd w:id="23"/>
    </w:p>
    <w:p w14:paraId="14A82214">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2.1磋商文件的构成</w:t>
      </w:r>
    </w:p>
    <w:p w14:paraId="45CBED4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2.1.1磋商文件由下列文件以及在采购过程中发出的修正和补充文件组成：</w:t>
      </w:r>
    </w:p>
    <w:p w14:paraId="3F9E5749">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(1)磋商公告（邀请书）；</w:t>
      </w:r>
    </w:p>
    <w:p w14:paraId="2BC8FEA8">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(2)供应商须知；</w:t>
      </w:r>
    </w:p>
    <w:p w14:paraId="25D0455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(3)采购需求；</w:t>
      </w:r>
    </w:p>
    <w:p w14:paraId="0088D87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(4)评审方法；</w:t>
      </w:r>
    </w:p>
    <w:p w14:paraId="7DD4AEA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(5)合同格式及合同条款；</w:t>
      </w:r>
    </w:p>
    <w:p w14:paraId="3687475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(6)响应文件格式；</w:t>
      </w:r>
    </w:p>
    <w:p w14:paraId="208F4442">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(7)在磋商过程中由采购单位发出的澄清和补充文件等。</w:t>
      </w:r>
    </w:p>
    <w:p w14:paraId="61F22C25">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507A30EC">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2.2磋商文件的澄清</w:t>
      </w:r>
    </w:p>
    <w:p w14:paraId="1CC44425">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供应商应仔细阅读和检查磋商文件的全部内容。供应商若对磋商文件有任何疑问，均应在响应文件递交截止时间5日前递交书面文件或进行网上提问。采购单位对供应商所要求澄清的内容均予以答复（答复中不包括问题的来源）。必要时，采购单位将组织相关专家召开答疑会，并以书面文件或网站批露的形式向所有供应商公布澄清文件。澄清文件作为磋商文件的组成部分，对供应商具有同等约束作用。</w:t>
      </w:r>
    </w:p>
    <w:p w14:paraId="0EB94766">
      <w:pPr>
        <w:pStyle w:val="13"/>
        <w:spacing w:line="400" w:lineRule="exact"/>
        <w:ind w:firstLine="460" w:firstLineChars="202"/>
        <w:jc w:val="left"/>
        <w:rPr>
          <w:rFonts w:ascii="宋体" w:hAnsi="宋体" w:cs="宋体"/>
          <w:color w:val="auto"/>
          <w:sz w:val="24"/>
          <w:szCs w:val="24"/>
          <w:highlight w:val="none"/>
        </w:rPr>
      </w:pPr>
      <w:r>
        <w:rPr>
          <w:rFonts w:hint="eastAsia" w:ascii="宋体" w:hAnsi="宋体" w:cs="宋体"/>
          <w:color w:val="auto"/>
          <w:spacing w:val="-6"/>
          <w:sz w:val="24"/>
          <w:szCs w:val="24"/>
          <w:highlight w:val="none"/>
        </w:rPr>
        <w:t>2.2.2</w:t>
      </w:r>
      <w:r>
        <w:rPr>
          <w:rFonts w:hint="eastAsia" w:ascii="宋体" w:hAnsi="宋体" w:cs="宋体"/>
          <w:color w:val="auto"/>
          <w:sz w:val="24"/>
          <w:szCs w:val="24"/>
          <w:highlight w:val="none"/>
        </w:rPr>
        <w:t>供应商在本项目采购公告期限届满之日起七个工作日内未对磋商文件提出异议的，采购单位将视其为同意。在规定的时间后就磋商文件内容提出的质疑将不予受理。</w:t>
      </w:r>
    </w:p>
    <w:p w14:paraId="0ECC7310">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2.3磋商文件的修改</w:t>
      </w:r>
    </w:p>
    <w:p w14:paraId="3E4626E9">
      <w:pPr>
        <w:pStyle w:val="13"/>
        <w:spacing w:line="400" w:lineRule="exact"/>
        <w:ind w:firstLine="460" w:firstLineChars="202"/>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2.3.1采购单位可以对已发出的磋商文件进行必要的澄清或者修改。</w:t>
      </w:r>
      <w:r>
        <w:rPr>
          <w:rFonts w:hint="eastAsia" w:ascii="宋体" w:hAnsi="宋体" w:cs="宋体"/>
          <w:color w:val="auto"/>
          <w:sz w:val="24"/>
          <w:szCs w:val="24"/>
          <w:highlight w:val="none"/>
        </w:rPr>
        <w:t>澄清或者修改</w:t>
      </w:r>
      <w:r>
        <w:rPr>
          <w:rFonts w:hint="eastAsia" w:ascii="宋体" w:hAnsi="宋体" w:cs="宋体"/>
          <w:color w:val="auto"/>
          <w:spacing w:val="-6"/>
          <w:sz w:val="24"/>
          <w:szCs w:val="24"/>
          <w:highlight w:val="none"/>
        </w:rPr>
        <w:t>的内容可能影响响应文件编制的，采购单位将在响应文件递交截止时间5日前以</w:t>
      </w:r>
      <w:r>
        <w:rPr>
          <w:rFonts w:hint="eastAsia" w:ascii="宋体" w:hAnsi="宋体" w:cs="宋体"/>
          <w:color w:val="auto"/>
          <w:sz w:val="24"/>
          <w:szCs w:val="24"/>
          <w:highlight w:val="none"/>
        </w:rPr>
        <w:t>书面文件或网站批露的形式</w:t>
      </w:r>
      <w:r>
        <w:rPr>
          <w:rFonts w:hint="eastAsia" w:ascii="宋体" w:hAnsi="宋体" w:cs="宋体"/>
          <w:color w:val="auto"/>
          <w:spacing w:val="-6"/>
          <w:sz w:val="24"/>
          <w:szCs w:val="24"/>
          <w:highlight w:val="none"/>
        </w:rPr>
        <w:t xml:space="preserve">发布更正公告。 </w:t>
      </w:r>
    </w:p>
    <w:p w14:paraId="49CEAF44">
      <w:pPr>
        <w:pStyle w:val="13"/>
        <w:spacing w:line="400" w:lineRule="exact"/>
        <w:ind w:firstLine="460" w:firstLineChars="202"/>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2.3.2澄清或者修改的内容是磋商文件的组成部分，将以</w:t>
      </w:r>
      <w:r>
        <w:rPr>
          <w:rFonts w:hint="eastAsia" w:ascii="宋体" w:hAnsi="宋体" w:cs="宋体"/>
          <w:color w:val="auto"/>
          <w:sz w:val="24"/>
          <w:szCs w:val="24"/>
          <w:highlight w:val="none"/>
        </w:rPr>
        <w:t>书面文件或网站批露的形式</w:t>
      </w:r>
      <w:r>
        <w:rPr>
          <w:rFonts w:hint="eastAsia" w:ascii="宋体" w:hAnsi="宋体" w:cs="宋体"/>
          <w:color w:val="auto"/>
          <w:spacing w:val="-6"/>
          <w:sz w:val="24"/>
          <w:szCs w:val="24"/>
          <w:highlight w:val="none"/>
        </w:rPr>
        <w:t>向所有供应商公布澄清或者修改文件，澄清或者修改文件对供应商具有约束力。</w:t>
      </w:r>
    </w:p>
    <w:p w14:paraId="01071353">
      <w:pPr>
        <w:pStyle w:val="13"/>
        <w:spacing w:line="400" w:lineRule="exact"/>
        <w:ind w:firstLine="460" w:firstLineChars="202"/>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2.3.3为使供应商有充足的时间对磋商文件的修改部分进行研究，采购单位可适当推迟响应文件截止期，并通过</w:t>
      </w:r>
      <w:r>
        <w:rPr>
          <w:rFonts w:hint="eastAsia" w:ascii="宋体" w:hAnsi="宋体" w:cs="宋体"/>
          <w:color w:val="auto"/>
          <w:sz w:val="24"/>
          <w:szCs w:val="24"/>
          <w:highlight w:val="none"/>
        </w:rPr>
        <w:t>书面文件或网站批露的形式</w:t>
      </w:r>
      <w:r>
        <w:rPr>
          <w:rFonts w:hint="eastAsia" w:ascii="宋体" w:hAnsi="宋体" w:cs="宋体"/>
          <w:color w:val="auto"/>
          <w:spacing w:val="-6"/>
          <w:sz w:val="24"/>
          <w:szCs w:val="24"/>
          <w:highlight w:val="none"/>
        </w:rPr>
        <w:t>发布公告通知所有获取磋商文件的供应商。</w:t>
      </w:r>
    </w:p>
    <w:p w14:paraId="05785D50">
      <w:pPr>
        <w:pStyle w:val="13"/>
        <w:spacing w:line="400" w:lineRule="exact"/>
        <w:ind w:firstLine="460" w:firstLineChars="202"/>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2.3.4供应商应注意及时接收或浏览网上发布的澄清或修改通知，因供应商原因未及时获知澄清、修改或补充内容而导致的任何后果将由供应商自行承担。</w:t>
      </w:r>
    </w:p>
    <w:p w14:paraId="0AE81363">
      <w:pPr>
        <w:pStyle w:val="5"/>
        <w:spacing w:line="400" w:lineRule="exact"/>
        <w:rPr>
          <w:color w:val="auto"/>
          <w:highlight w:val="none"/>
        </w:rPr>
      </w:pPr>
      <w:bookmarkStart w:id="24" w:name="_Toc293738993"/>
      <w:bookmarkStart w:id="25" w:name="_Toc13231"/>
      <w:bookmarkStart w:id="26" w:name="_Toc293736055"/>
      <w:bookmarkStart w:id="27" w:name="_Toc446599312"/>
      <w:bookmarkStart w:id="28" w:name="_Toc1735"/>
      <w:bookmarkStart w:id="29" w:name="_Toc293736012"/>
      <w:r>
        <w:rPr>
          <w:rFonts w:hint="eastAsia"/>
          <w:color w:val="auto"/>
          <w:highlight w:val="none"/>
        </w:rPr>
        <w:t>三、响应文件的编制和数量</w:t>
      </w:r>
      <w:bookmarkEnd w:id="24"/>
      <w:bookmarkEnd w:id="25"/>
      <w:bookmarkEnd w:id="26"/>
      <w:bookmarkEnd w:id="27"/>
      <w:bookmarkEnd w:id="28"/>
      <w:bookmarkEnd w:id="29"/>
    </w:p>
    <w:p w14:paraId="06972939">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3.1响应文件的语言</w:t>
      </w:r>
    </w:p>
    <w:p w14:paraId="155D0FA3">
      <w:pPr>
        <w:pStyle w:val="13"/>
        <w:spacing w:line="400" w:lineRule="exact"/>
        <w:ind w:firstLine="460" w:firstLineChars="202"/>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58CCCFBD">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3.2响应文件的构成</w:t>
      </w:r>
    </w:p>
    <w:p w14:paraId="66C14A0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3.2.1供应商编制的响应文件应包括但不少于下列内容：</w:t>
      </w:r>
    </w:p>
    <w:p w14:paraId="7FF7A4D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6"/>
          <w:sz w:val="24"/>
          <w:szCs w:val="24"/>
          <w:highlight w:val="none"/>
        </w:rPr>
        <w:t>资格证明文件</w:t>
      </w:r>
    </w:p>
    <w:p w14:paraId="16DC4E27">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6"/>
          <w:sz w:val="24"/>
          <w:szCs w:val="24"/>
          <w:highlight w:val="none"/>
        </w:rPr>
        <w:t>商务</w:t>
      </w:r>
      <w:r>
        <w:rPr>
          <w:rFonts w:hint="eastAsia" w:ascii="宋体" w:hAnsi="宋体" w:cs="宋体"/>
          <w:color w:val="auto"/>
          <w:sz w:val="24"/>
          <w:szCs w:val="24"/>
          <w:highlight w:val="none"/>
        </w:rPr>
        <w:t>文件</w:t>
      </w:r>
    </w:p>
    <w:p w14:paraId="158E7B48">
      <w:pPr>
        <w:pStyle w:val="13"/>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ascii="宋体" w:hAnsi="宋体" w:cs="宋体"/>
          <w:b/>
          <w:bCs/>
          <w:color w:val="auto"/>
          <w:sz w:val="24"/>
          <w:szCs w:val="24"/>
          <w:highlight w:val="none"/>
        </w:rPr>
        <w:t>专业技术</w:t>
      </w:r>
      <w:r>
        <w:rPr>
          <w:rFonts w:hint="eastAsia" w:ascii="宋体" w:hAnsi="宋体" w:cs="宋体"/>
          <w:b/>
          <w:bCs/>
          <w:color w:val="auto"/>
          <w:sz w:val="24"/>
          <w:szCs w:val="24"/>
          <w:highlight w:val="none"/>
        </w:rPr>
        <w:t>服务文件</w:t>
      </w:r>
    </w:p>
    <w:p w14:paraId="75ABFFCF">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具体内容要求详见第六章“响应文件格式”。供应商在磋商和评审过程中做出的符合磋商文件要求的澄清、说明或补正，构成响应文件的组成部分。</w:t>
      </w:r>
    </w:p>
    <w:p w14:paraId="27F516D8">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3.3响应文件编制</w:t>
      </w:r>
    </w:p>
    <w:p w14:paraId="4528E629">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3.3.1响应文件应按照磋商文件要求进行制作编制，并对其提交的响应文件的真实性、合法性承担法律责任。保证目录清晰、内容完整。响应文件各类证件须与磋商供应商注册登记资料相一致。</w:t>
      </w:r>
    </w:p>
    <w:p w14:paraId="3875F03B">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3.3.2响应文件应当对磋商文件有关供货期、投标有效期、供货要求、招标范围等实质性内容作出响应。响应文件满足磋商文件实质性要求的基础上，可以提出比磋商文件要求更有利于采购人的承诺。</w:t>
      </w:r>
    </w:p>
    <w:p w14:paraId="1CA67A85">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6EF73A22">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3.3.4供应商应认真阅读、并充分理解本文件的全部内容（包括所有的澄清、修改等内容），承诺并履行磋商文件中各项条款规定及要求。</w:t>
      </w:r>
    </w:p>
    <w:p w14:paraId="3AEE9D84">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3.3.5响应文件必须按磋商文件的全部内容，包括所有的澄清、修改等通知及附件进行编制。</w:t>
      </w:r>
    </w:p>
    <w:p w14:paraId="4E29D3DD">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3.3.6如因供应商只填写和提供了磋商文件要求的部分内容和附件，而给评审造成困难，其可能导致的结果和责任由供应商自行承担。</w:t>
      </w:r>
    </w:p>
    <w:p w14:paraId="52E80397">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3.3.7供应商必须保证响应文件所提供的全部资料真实可靠，并接受采购单位对其中任何资料进一步核实的要求。 </w:t>
      </w:r>
    </w:p>
    <w:p w14:paraId="76C75645">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3.4磋商报价要求</w:t>
      </w:r>
    </w:p>
    <w:p w14:paraId="34D1E5D5">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3.4.1供应商所提供的服务均以人民币报价。</w:t>
      </w:r>
    </w:p>
    <w:p w14:paraId="370FF858">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3.4.2供商应按照“第三章 采购需求”规定的服务内容、责任范围以及合同条款进行报价。并按《磋商报价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381CED23">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3.4.3《竞争性磋商报价明细表》填写时应响应下列要求：</w:t>
      </w:r>
    </w:p>
    <w:p w14:paraId="076F79C2">
      <w:pPr>
        <w:pStyle w:val="13"/>
        <w:spacing w:line="400" w:lineRule="exact"/>
        <w:ind w:firstLine="484" w:firstLineChars="202"/>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（1）对于报价免费的项目应标明“免费”，</w:t>
      </w:r>
      <w:r>
        <w:rPr>
          <w:rFonts w:hint="eastAsia" w:ascii="宋体" w:hAnsi="宋体" w:cs="宋体"/>
          <w:b/>
          <w:bCs/>
          <w:color w:val="auto"/>
          <w:kern w:val="0"/>
          <w:sz w:val="24"/>
          <w:szCs w:val="24"/>
          <w:highlight w:val="none"/>
        </w:rPr>
        <w:t>未标明“免费”的视为无效文件；</w:t>
      </w:r>
    </w:p>
    <w:p w14:paraId="67F9FE82">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（2）所有根据合同或其它原因应由供应商支付的税款和其它应交纳的费用都要包括在供应商提交的磋商总价中；</w:t>
      </w:r>
    </w:p>
    <w:p w14:paraId="026E3D97">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（3）应包含货物运至最终目的地的运输、保险和伴随货物服务的有关费用。</w:t>
      </w:r>
    </w:p>
    <w:p w14:paraId="47B07086">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3.4.5每一种服务只允许有一个报价，否则将被视为无效投标。</w:t>
      </w:r>
    </w:p>
    <w:p w14:paraId="330A332E">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3.4.6供应商所报的总价在合同执行过程中是固定不变的，不得以任何理由予以变更。</w:t>
      </w:r>
    </w:p>
    <w:p w14:paraId="356E8417">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3.4.7供应商的最后磋商报价超过项目采购预算的为无效报价。</w:t>
      </w:r>
    </w:p>
    <w:p w14:paraId="4D256008">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3.4.8本项目预算金额见供应商须知前附表。采购人设有最高限价的，供应商的报价不得超过最高限价，否则其投标无效，最高限价在供应商须知前附表中载明。</w:t>
      </w:r>
    </w:p>
    <w:p w14:paraId="7DB95ACF">
      <w:pPr>
        <w:spacing w:line="400" w:lineRule="exact"/>
        <w:ind w:firstLine="482"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3.4.</w:t>
      </w:r>
      <w:r>
        <w:rPr>
          <w:rFonts w:hint="eastAsia" w:ascii="宋体" w:hAnsi="宋体" w:cs="宋体"/>
          <w:b/>
          <w:bCs/>
          <w:color w:val="auto"/>
          <w:sz w:val="24"/>
          <w:szCs w:val="24"/>
          <w:highlight w:val="none"/>
          <w:lang w:val="en-US" w:eastAsia="zh-CN"/>
        </w:rPr>
        <w:t>9 分项报价合计数与总报价不符将视为无效投标。</w:t>
      </w:r>
    </w:p>
    <w:p w14:paraId="576107CA">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3.5备选方案</w:t>
      </w:r>
    </w:p>
    <w:p w14:paraId="5CAC730A">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3.5.1供应商应按照供应商须知前附表要求编制磋商备选方案，否则将被视为无效响应文件。</w:t>
      </w:r>
    </w:p>
    <w:p w14:paraId="49A28A11">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3.6磋商保证金</w:t>
      </w:r>
    </w:p>
    <w:p w14:paraId="3CD62218">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3.6.1</w:t>
      </w:r>
      <w:r>
        <w:rPr>
          <w:rFonts w:hint="eastAsia" w:ascii="宋体" w:hAnsi="宋体" w:cs="宋体"/>
          <w:color w:val="auto"/>
          <w:kern w:val="0"/>
          <w:sz w:val="24"/>
          <w:szCs w:val="24"/>
          <w:highlight w:val="none"/>
        </w:rPr>
        <w:t>本项目磋商保证金收取要求见供应商须知前附表，磋商保证金应在磋商有效期内有效。保证金缴纳时间以该项目所对应的保证金收取账号中显示的到账时间为准。</w:t>
      </w:r>
    </w:p>
    <w:p w14:paraId="012D023F">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3.6.2对于未能按要求提交保证金的将视为未响应磋商文件的要求，其响应文件无效。</w:t>
      </w:r>
    </w:p>
    <w:p w14:paraId="1F8AE6C7">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DD941AF">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3.6.4成交供应商的磋商保证金,在供应商与采购人签订合同，并将合同报采购代理机构后5个工作日内，按照保证金的来款渠道原路退还至供应商缴纳保证金的企业银行账户内。</w:t>
      </w:r>
    </w:p>
    <w:p w14:paraId="5F2C98CB">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3.6.5有下列情形之一的，保证金将被没收：</w:t>
      </w:r>
    </w:p>
    <w:p w14:paraId="6F42C6C3">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（1）磋商供应商在磋商有效期内无正当理由撤回其磋商响应文件或者在磋商过程中无正当理由退出磋商活动；</w:t>
      </w:r>
    </w:p>
    <w:p w14:paraId="15DCF653">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（2）为谋取最终成交，磋商供应商在整个磋商过程中提供的相关文件被确认是虚假的、不真实的；</w:t>
      </w:r>
    </w:p>
    <w:p w14:paraId="30A425D0">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（3）参加磋商的供应商之间被证实有串通、欺诈行为或者恶意进行竞争，影响采购人合法权益的。</w:t>
      </w:r>
    </w:p>
    <w:p w14:paraId="0F5023C1">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（4）整个采购活动中采取不正当手段诋毁、排挤其他供应商的；</w:t>
      </w:r>
    </w:p>
    <w:p w14:paraId="4B7D4AE9">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（5）与采购人相关工作人员恶意串通的；</w:t>
      </w:r>
    </w:p>
    <w:p w14:paraId="110BF538">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（6）向采购人相关工作人员行贿或者提供其他不正当利益的；</w:t>
      </w:r>
    </w:p>
    <w:p w14:paraId="220D9738">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（7）成交供应商在规定期限内未能根据规定签订合同；</w:t>
      </w:r>
    </w:p>
    <w:p w14:paraId="3AD1CEB9">
      <w:pPr>
        <w:pStyle w:val="21"/>
        <w:spacing w:line="400" w:lineRule="exact"/>
        <w:ind w:firstLine="482" w:firstLineChars="201"/>
        <w:contextualSpacing/>
        <w:jc w:val="left"/>
        <w:rPr>
          <w:rFonts w:hAnsi="宋体" w:cs="宋体"/>
          <w:color w:val="auto"/>
          <w:kern w:val="0"/>
          <w:sz w:val="24"/>
          <w:szCs w:val="24"/>
          <w:highlight w:val="none"/>
        </w:rPr>
      </w:pPr>
      <w:r>
        <w:rPr>
          <w:rFonts w:hint="eastAsia" w:hAnsi="宋体" w:cs="宋体"/>
          <w:color w:val="auto"/>
          <w:kern w:val="0"/>
          <w:sz w:val="24"/>
          <w:szCs w:val="24"/>
          <w:highlight w:val="none"/>
        </w:rPr>
        <w:t>（8）成交供应商在规定期限内未能根据规定交纳履约保证金。</w:t>
      </w:r>
    </w:p>
    <w:p w14:paraId="78102F30">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3.7磋商的有效期</w:t>
      </w:r>
    </w:p>
    <w:p w14:paraId="6C3C1B06">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3.7.1磋商有效期详见供应商须知前附表。供应商响应文件中有效期不足的将被视为无效文件。</w:t>
      </w:r>
    </w:p>
    <w:p w14:paraId="41CB32ED">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3.7.2 有效期内供应商未经采购结果确认磋商达成一致不得改变其磋商最后报价及承诺的全部义务。</w:t>
      </w:r>
    </w:p>
    <w:p w14:paraId="0908D120">
      <w:pPr>
        <w:pStyle w:val="5"/>
        <w:spacing w:line="400" w:lineRule="exact"/>
        <w:rPr>
          <w:color w:val="auto"/>
          <w:highlight w:val="none"/>
        </w:rPr>
      </w:pPr>
      <w:bookmarkStart w:id="30" w:name="_Toc446599313"/>
      <w:bookmarkStart w:id="31" w:name="_Toc293736056"/>
      <w:bookmarkStart w:id="32" w:name="_Toc293738994"/>
      <w:bookmarkStart w:id="33" w:name="_Toc293736013"/>
      <w:r>
        <w:rPr>
          <w:rFonts w:hint="eastAsia"/>
          <w:color w:val="auto"/>
          <w:highlight w:val="none"/>
        </w:rPr>
        <w:t>四、响应文件的递交</w:t>
      </w:r>
      <w:bookmarkEnd w:id="30"/>
      <w:bookmarkEnd w:id="31"/>
      <w:bookmarkEnd w:id="32"/>
      <w:bookmarkEnd w:id="33"/>
    </w:p>
    <w:p w14:paraId="0FA27697">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w:t>
      </w:r>
      <w:r>
        <w:rPr>
          <w:rFonts w:hint="eastAsia" w:ascii="宋体" w:hAnsi="宋体" w:cs="宋体"/>
          <w:color w:val="auto"/>
          <w:kern w:val="0"/>
          <w:sz w:val="24"/>
          <w:szCs w:val="24"/>
          <w:highlight w:val="none"/>
          <w:lang w:eastAsia="zh-CN"/>
        </w:rPr>
        <w:t>响应文件应当政采云网上上传，整体加盖电子签章，保持内容完整清晰</w:t>
      </w:r>
      <w:r>
        <w:rPr>
          <w:rFonts w:hint="eastAsia" w:ascii="宋体" w:hAnsi="宋体" w:cs="宋体"/>
          <w:color w:val="auto"/>
          <w:kern w:val="0"/>
          <w:sz w:val="24"/>
          <w:szCs w:val="24"/>
          <w:highlight w:val="none"/>
        </w:rPr>
        <w:t>。</w:t>
      </w:r>
    </w:p>
    <w:p w14:paraId="68AA52EC">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4.</w:t>
      </w:r>
      <w:r>
        <w:rPr>
          <w:rFonts w:hint="eastAsia" w:hAnsi="宋体" w:cs="宋体"/>
          <w:b/>
          <w:color w:val="auto"/>
          <w:sz w:val="24"/>
          <w:szCs w:val="24"/>
          <w:highlight w:val="none"/>
          <w:lang w:val="en-US" w:eastAsia="zh-CN"/>
        </w:rPr>
        <w:t>2</w:t>
      </w:r>
      <w:r>
        <w:rPr>
          <w:rFonts w:hint="eastAsia" w:hAnsi="宋体" w:cs="宋体"/>
          <w:b/>
          <w:color w:val="auto"/>
          <w:sz w:val="24"/>
          <w:szCs w:val="24"/>
          <w:highlight w:val="none"/>
        </w:rPr>
        <w:t>响应文件的递交</w:t>
      </w:r>
    </w:p>
    <w:p w14:paraId="28E20B08">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4.3.1</w:t>
      </w:r>
      <w:r>
        <w:rPr>
          <w:rFonts w:hint="eastAsia" w:ascii="宋体" w:hAnsi="宋体" w:cs="宋体"/>
          <w:color w:val="auto"/>
          <w:kern w:val="0"/>
          <w:sz w:val="24"/>
          <w:szCs w:val="24"/>
          <w:highlight w:val="none"/>
          <w:lang w:eastAsia="zh-CN"/>
        </w:rPr>
        <w:t>响应文件应当政采云网上上传，整体加盖电子签章，保持内容完整清晰。</w:t>
      </w:r>
    </w:p>
    <w:p w14:paraId="167654AC">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w:t>
      </w:r>
      <w:r>
        <w:rPr>
          <w:rFonts w:hint="eastAsia" w:ascii="宋体" w:hAnsi="宋体" w:cs="宋体"/>
          <w:color w:val="auto"/>
          <w:sz w:val="24"/>
          <w:szCs w:val="24"/>
          <w:highlight w:val="none"/>
        </w:rPr>
        <w:t>.2采购</w:t>
      </w:r>
      <w:r>
        <w:rPr>
          <w:rFonts w:hint="eastAsia" w:ascii="宋体" w:hAnsi="宋体" w:cs="宋体"/>
          <w:color w:val="auto"/>
          <w:kern w:val="0"/>
          <w:sz w:val="24"/>
          <w:szCs w:val="24"/>
          <w:highlight w:val="none"/>
        </w:rPr>
        <w:t>单位将拒绝并原封退回在规定的响应文件递交截止期后送达的任何响应文件。</w:t>
      </w:r>
    </w:p>
    <w:p w14:paraId="37660918">
      <w:pPr>
        <w:pStyle w:val="21"/>
        <w:spacing w:line="400" w:lineRule="exact"/>
        <w:ind w:firstLine="484" w:firstLineChars="201"/>
        <w:contextualSpacing/>
        <w:jc w:val="left"/>
        <w:rPr>
          <w:rFonts w:hAnsi="宋体" w:cs="宋体"/>
          <w:color w:val="auto"/>
          <w:kern w:val="0"/>
          <w:sz w:val="24"/>
          <w:szCs w:val="24"/>
          <w:highlight w:val="none"/>
        </w:rPr>
      </w:pPr>
      <w:r>
        <w:rPr>
          <w:rFonts w:hint="eastAsia" w:hAnsi="宋体" w:cs="宋体"/>
          <w:b/>
          <w:color w:val="auto"/>
          <w:sz w:val="24"/>
          <w:szCs w:val="24"/>
          <w:highlight w:val="none"/>
        </w:rPr>
        <w:t>4.4响应文件的修改和撤回</w:t>
      </w:r>
    </w:p>
    <w:p w14:paraId="15704FEF">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4F37B8A">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4.4.2供应商所提交的响应文件在评审结束后，无论中标与否都不退还。</w:t>
      </w:r>
    </w:p>
    <w:p w14:paraId="3F6D8AB5">
      <w:pPr>
        <w:pStyle w:val="5"/>
        <w:spacing w:line="400" w:lineRule="exact"/>
        <w:rPr>
          <w:color w:val="auto"/>
          <w:highlight w:val="none"/>
        </w:rPr>
      </w:pPr>
      <w:r>
        <w:rPr>
          <w:rFonts w:hint="eastAsia"/>
          <w:color w:val="auto"/>
          <w:highlight w:val="none"/>
        </w:rPr>
        <w:t>五、开启响应文件</w:t>
      </w:r>
    </w:p>
    <w:p w14:paraId="257FC316">
      <w:pPr>
        <w:pStyle w:val="21"/>
        <w:spacing w:line="400" w:lineRule="exact"/>
        <w:ind w:firstLine="484" w:firstLineChars="201"/>
        <w:contextualSpacing/>
        <w:jc w:val="left"/>
        <w:rPr>
          <w:rFonts w:hAnsi="宋体" w:cs="宋体"/>
          <w:b/>
          <w:color w:val="auto"/>
          <w:sz w:val="24"/>
          <w:szCs w:val="24"/>
          <w:highlight w:val="none"/>
        </w:rPr>
      </w:pPr>
      <w:r>
        <w:rPr>
          <w:rFonts w:hint="eastAsia" w:hAnsi="宋体" w:cs="宋体"/>
          <w:b/>
          <w:color w:val="auto"/>
          <w:sz w:val="24"/>
          <w:szCs w:val="24"/>
          <w:highlight w:val="none"/>
        </w:rPr>
        <w:t>5.会议仪式</w:t>
      </w:r>
    </w:p>
    <w:p w14:paraId="60004B78">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采购人将在供应商须知前附表规定的时间和地点组织开启响应文件会议，邀请供应商法定代表人（单位负责人）或其授权代表携带有效证件准时参加，参加会议的代表需签名以证明其出席。未参加开启会议，视同认可会议结果。采购代理机构主持会议。</w:t>
      </w:r>
    </w:p>
    <w:p w14:paraId="32B51341">
      <w:pPr>
        <w:spacing w:line="400" w:lineRule="exact"/>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5.2主持人按下列程序主持仪式：</w:t>
      </w:r>
      <w:r>
        <w:rPr>
          <w:rFonts w:hint="eastAsia" w:ascii="宋体" w:hAnsi="宋体" w:cs="宋体"/>
          <w:b/>
          <w:bCs/>
          <w:color w:val="auto"/>
          <w:sz w:val="24"/>
          <w:szCs w:val="24"/>
          <w:highlight w:val="none"/>
          <w:lang w:eastAsia="zh-CN"/>
        </w:rPr>
        <w:t>会议流程见政采云网上开标流程。</w:t>
      </w:r>
    </w:p>
    <w:p w14:paraId="550C9C07">
      <w:pPr>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5.3会议异议</w:t>
      </w:r>
    </w:p>
    <w:p w14:paraId="0F13E430">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代表对会议过程和会议记录有异议的，以及认为采购人、采购代理机构相关工作人员有需要回避的情形，应当场提出询问或者回避申请，采购人、采购代理机构对投标人代表提出询问或者回避申请，当场作出答复，并制作记录。</w:t>
      </w:r>
    </w:p>
    <w:p w14:paraId="04B9D361">
      <w:pPr>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5.4在政府采购活动中，采购人员及相关人员与投标人有下列利害关系之一的，应当回避：</w:t>
      </w:r>
    </w:p>
    <w:p w14:paraId="1A8EA94F">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（一）参加采购活动前3年内与投标人存在劳动关系；</w:t>
      </w:r>
    </w:p>
    <w:p w14:paraId="6B1F631E">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（二）参加采购活动前3年内担任投标人的董事、监事；</w:t>
      </w:r>
    </w:p>
    <w:p w14:paraId="73AC9FD4">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（三）参加采购活动前3年内是投标人的控股股东或者实际控制人；</w:t>
      </w:r>
    </w:p>
    <w:p w14:paraId="3FFF6B2F">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（四）与投标人的法定代表人或者负责人有夫妻、直系血亲、三代以内旁系血亲或者近姻亲关系；</w:t>
      </w:r>
    </w:p>
    <w:p w14:paraId="3BA50B46">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（五）与投标人有其他可能影响政府采购活动公平、公正进行的关系。</w:t>
      </w:r>
    </w:p>
    <w:p w14:paraId="3A31E31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50FFEF42">
      <w:pPr>
        <w:pStyle w:val="5"/>
        <w:spacing w:line="400" w:lineRule="exact"/>
        <w:rPr>
          <w:color w:val="auto"/>
          <w:highlight w:val="none"/>
        </w:rPr>
      </w:pPr>
      <w:r>
        <w:rPr>
          <w:rFonts w:hint="eastAsia"/>
          <w:color w:val="auto"/>
          <w:highlight w:val="none"/>
        </w:rPr>
        <w:t>六、磋商和评审</w:t>
      </w:r>
    </w:p>
    <w:p w14:paraId="3C9E3B5C">
      <w:pPr>
        <w:widowControl/>
        <w:spacing w:line="400" w:lineRule="exact"/>
        <w:ind w:firstLine="482" w:firstLineChars="200"/>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6.1磋商小组的组成</w:t>
      </w:r>
    </w:p>
    <w:p w14:paraId="7AD0E1D6">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6.1.1除供应商须知前附表规定外，</w:t>
      </w:r>
      <w:r>
        <w:rPr>
          <w:rFonts w:hint="eastAsia" w:ascii="宋体" w:hAnsi="宋体" w:cs="宋体"/>
          <w:color w:val="auto"/>
          <w:sz w:val="24"/>
          <w:szCs w:val="24"/>
          <w:highlight w:val="none"/>
        </w:rPr>
        <w:t>采购人</w:t>
      </w:r>
      <w:r>
        <w:rPr>
          <w:rFonts w:ascii="宋体" w:hAnsi="宋体" w:cs="宋体"/>
          <w:color w:val="auto"/>
          <w:sz w:val="24"/>
          <w:szCs w:val="24"/>
          <w:highlight w:val="none"/>
        </w:rPr>
        <w:t>根据本项目的特点，依照《中华人民共和国政府采购法》、</w:t>
      </w:r>
      <w:r>
        <w:rPr>
          <w:rFonts w:hint="eastAsia" w:ascii="宋体" w:hAnsi="宋体" w:cs="宋体"/>
          <w:color w:val="auto"/>
          <w:sz w:val="24"/>
          <w:szCs w:val="24"/>
          <w:highlight w:val="none"/>
        </w:rPr>
        <w:t>《</w:t>
      </w:r>
      <w:r>
        <w:rPr>
          <w:rFonts w:ascii="宋体" w:hAnsi="宋体" w:cs="宋体"/>
          <w:color w:val="auto"/>
          <w:sz w:val="24"/>
          <w:szCs w:val="24"/>
          <w:highlight w:val="none"/>
        </w:rPr>
        <w:t>政府采购货物和服务招标投标管理办法</w:t>
      </w:r>
      <w:r>
        <w:rPr>
          <w:rFonts w:hint="eastAsia" w:ascii="宋体" w:hAnsi="宋体" w:cs="宋体"/>
          <w:color w:val="auto"/>
          <w:sz w:val="24"/>
          <w:szCs w:val="24"/>
          <w:highlight w:val="none"/>
        </w:rPr>
        <w:t>》</w:t>
      </w:r>
      <w:r>
        <w:rPr>
          <w:rFonts w:ascii="宋体" w:hAnsi="宋体" w:cs="宋体"/>
          <w:color w:val="auto"/>
          <w:sz w:val="24"/>
          <w:szCs w:val="24"/>
          <w:highlight w:val="none"/>
        </w:rPr>
        <w:t>《政府采购非招标采购方式管理办法》</w:t>
      </w:r>
      <w:r>
        <w:rPr>
          <w:rFonts w:hint="eastAsia" w:ascii="宋体" w:hAnsi="宋体" w:cs="宋体"/>
          <w:color w:val="auto"/>
          <w:sz w:val="24"/>
          <w:szCs w:val="24"/>
          <w:highlight w:val="none"/>
        </w:rPr>
        <w:t>、</w:t>
      </w:r>
      <w:r>
        <w:rPr>
          <w:rFonts w:ascii="宋体" w:hAnsi="宋体" w:cs="宋体"/>
          <w:color w:val="auto"/>
          <w:sz w:val="24"/>
          <w:szCs w:val="24"/>
          <w:highlight w:val="none"/>
        </w:rPr>
        <w:t>的有关规定组建</w:t>
      </w:r>
      <w:r>
        <w:rPr>
          <w:rFonts w:hint="eastAsia" w:ascii="宋体" w:hAnsi="宋体" w:cs="宋体"/>
          <w:color w:val="auto"/>
          <w:sz w:val="24"/>
          <w:szCs w:val="24"/>
          <w:highlight w:val="none"/>
        </w:rPr>
        <w:t>磋商</w:t>
      </w:r>
      <w:r>
        <w:rPr>
          <w:rFonts w:ascii="宋体" w:hAnsi="宋体" w:cs="宋体"/>
          <w:color w:val="auto"/>
          <w:sz w:val="24"/>
          <w:szCs w:val="24"/>
          <w:highlight w:val="none"/>
        </w:rPr>
        <w:t>小组，其成员由使用单位代表和有关技术、经济等方面的</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位评委专家组成。</w:t>
      </w:r>
    </w:p>
    <w:p w14:paraId="0028248E">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6.1.2磋商小组应以科学、公正的态度参加评审工作并推荐成交候选人。评审专家在评审过程中不受任何干扰，独立、负责地提出评审意见，并对自己的评审意见承担责任。</w:t>
      </w:r>
    </w:p>
    <w:p w14:paraId="242DE9A2">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6.1.3回避情形</w:t>
      </w:r>
    </w:p>
    <w:p w14:paraId="1234F703">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磋商小组成员有下列情形之一的，应当回避：</w:t>
      </w:r>
    </w:p>
    <w:p w14:paraId="230ECA72">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（1）参加采购活动前三年内,与供应商存在劳动关系,或者担任过供应商的董事、监事,或者是供应商的控股股东或实际控制人；</w:t>
      </w:r>
    </w:p>
    <w:p w14:paraId="651BF4A0">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（2）与供应商的法定代表人或者负责人有夫妻、直系血亲、三代以内旁系血亲或者近姻亲关系；</w:t>
      </w:r>
    </w:p>
    <w:p w14:paraId="0E9FF134">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（3）与供应商有其他可能影响政府采购活动公平、公正进行的关系。</w:t>
      </w:r>
    </w:p>
    <w:p w14:paraId="68D40D04">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磋商小组发现本人与参加本项目的供应商有利害关系的,应当主动提出回避。采购人或者采购代理机构发现磋商小组与参加采购活动的供应商有利害关系的,应当要求其回避。</w:t>
      </w:r>
    </w:p>
    <w:p w14:paraId="16F04764">
      <w:pPr>
        <w:pStyle w:val="13"/>
        <w:spacing w:line="400" w:lineRule="exact"/>
        <w:ind w:firstLine="487" w:firstLineChars="202"/>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6.2磋商方法</w:t>
      </w:r>
    </w:p>
    <w:p w14:paraId="499CEF67">
      <w:pPr>
        <w:spacing w:line="400" w:lineRule="exact"/>
        <w:ind w:firstLine="480" w:firstLineChars="200"/>
        <w:jc w:val="left"/>
        <w:rPr>
          <w:rFonts w:ascii="宋体" w:hAnsi="宋体" w:cs="宋体"/>
          <w:color w:val="auto"/>
          <w:sz w:val="24"/>
          <w:szCs w:val="24"/>
          <w:highlight w:val="none"/>
        </w:rPr>
      </w:pPr>
      <w:bookmarkStart w:id="34" w:name="_Toc21441"/>
      <w:bookmarkStart w:id="35" w:name="_Toc10373"/>
      <w:bookmarkStart w:id="36" w:name="_Toc293736015"/>
      <w:bookmarkStart w:id="37" w:name="_Toc446599315"/>
      <w:bookmarkStart w:id="38" w:name="_Toc293736058"/>
      <w:bookmarkStart w:id="39" w:name="_Toc293738996"/>
      <w:r>
        <w:rPr>
          <w:rFonts w:hint="eastAsia" w:ascii="宋体" w:hAnsi="宋体" w:cs="宋体"/>
          <w:color w:val="auto"/>
          <w:sz w:val="24"/>
          <w:szCs w:val="24"/>
          <w:highlight w:val="none"/>
        </w:rPr>
        <w:t>6.2.1初步评审</w:t>
      </w:r>
    </w:p>
    <w:p w14:paraId="180D7164">
      <w:pPr>
        <w:spacing w:line="400" w:lineRule="exact"/>
        <w:ind w:firstLine="480" w:firstLineChars="200"/>
        <w:jc w:val="left"/>
        <w:rPr>
          <w:color w:val="auto"/>
          <w:highlight w:val="none"/>
        </w:rPr>
      </w:pPr>
      <w:r>
        <w:rPr>
          <w:rFonts w:hint="eastAsia" w:ascii="宋体" w:hAnsi="宋体" w:cs="宋体"/>
          <w:color w:val="auto"/>
          <w:sz w:val="24"/>
          <w:szCs w:val="24"/>
          <w:highlight w:val="none"/>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14:paraId="2505C921">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6.2.2磋商</w:t>
      </w:r>
    </w:p>
    <w:p w14:paraId="470CE0E5">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磋商小组按照第四章“评审办法”规定的评审程序和评审标准对供应商递交的响应文件进行评审和比较，第四章“评审办法”没有规定的内容，不作为评审依据</w:t>
      </w:r>
      <w:r>
        <w:rPr>
          <w:rFonts w:hint="eastAsia" w:ascii="宋体" w:hAnsi="宋体" w:cs="宋体"/>
          <w:color w:val="auto"/>
          <w:sz w:val="24"/>
          <w:szCs w:val="24"/>
          <w:highlight w:val="none"/>
        </w:rPr>
        <w:t>。</w:t>
      </w:r>
    </w:p>
    <w:p w14:paraId="4528C242">
      <w:pPr>
        <w:pStyle w:val="5"/>
        <w:spacing w:line="400" w:lineRule="exact"/>
        <w:rPr>
          <w:color w:val="auto"/>
          <w:highlight w:val="none"/>
        </w:rPr>
      </w:pPr>
      <w:bookmarkStart w:id="40" w:name="_Toc29411"/>
      <w:bookmarkStart w:id="41" w:name="_Toc456291348"/>
      <w:bookmarkStart w:id="42" w:name="_Toc456291159"/>
      <w:bookmarkStart w:id="43" w:name="_Toc456291473"/>
      <w:bookmarkStart w:id="44" w:name="_Toc456291274"/>
      <w:bookmarkStart w:id="45" w:name="_Toc456291531"/>
      <w:bookmarkStart w:id="46" w:name="_Toc456291254"/>
      <w:bookmarkStart w:id="47" w:name="_Toc2"/>
      <w:r>
        <w:rPr>
          <w:rFonts w:hint="eastAsia"/>
          <w:color w:val="auto"/>
          <w:highlight w:val="none"/>
        </w:rPr>
        <w:t>七、推荐成交供应商</w:t>
      </w:r>
      <w:bookmarkEnd w:id="40"/>
      <w:bookmarkEnd w:id="41"/>
      <w:bookmarkEnd w:id="42"/>
      <w:bookmarkEnd w:id="43"/>
      <w:bookmarkEnd w:id="44"/>
      <w:bookmarkEnd w:id="45"/>
      <w:bookmarkEnd w:id="46"/>
      <w:bookmarkEnd w:id="47"/>
    </w:p>
    <w:p w14:paraId="1293B2E7">
      <w:pPr>
        <w:pStyle w:val="13"/>
        <w:spacing w:line="400" w:lineRule="exact"/>
        <w:ind w:firstLine="487" w:firstLineChars="202"/>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7.1推荐成交供应商</w:t>
      </w:r>
    </w:p>
    <w:p w14:paraId="29F981C0">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7.1.1磋商小组应当根据综合评分情况，按照评审得分由高到低的顺序推荐3名成交候选人，并编写评审报告。</w:t>
      </w:r>
    </w:p>
    <w:p w14:paraId="442CE49C">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72DE4E1">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7.1.3成交供应商确定后，采购代理机构将在供应商须知前附表规定的媒介发布成交公告，公告期为1个工作日，同时向成交供应商发出《成交通知书》。《成交通知书》是合同的组成部分,对成交供应商和采购人具有同等法律效力。</w:t>
      </w:r>
    </w:p>
    <w:p w14:paraId="5F4AA502">
      <w:pPr>
        <w:pStyle w:val="5"/>
        <w:spacing w:line="400" w:lineRule="exact"/>
        <w:rPr>
          <w:b/>
          <w:color w:val="auto"/>
          <w:sz w:val="28"/>
          <w:highlight w:val="none"/>
        </w:rPr>
      </w:pPr>
      <w:r>
        <w:rPr>
          <w:rFonts w:hint="eastAsia"/>
          <w:color w:val="auto"/>
          <w:highlight w:val="none"/>
        </w:rPr>
        <w:t>八、签订合同</w:t>
      </w:r>
      <w:bookmarkEnd w:id="34"/>
      <w:bookmarkEnd w:id="35"/>
      <w:bookmarkEnd w:id="36"/>
      <w:bookmarkEnd w:id="37"/>
      <w:bookmarkEnd w:id="38"/>
      <w:bookmarkEnd w:id="39"/>
    </w:p>
    <w:p w14:paraId="22FB8B74">
      <w:pPr>
        <w:pStyle w:val="13"/>
        <w:spacing w:line="400" w:lineRule="exact"/>
        <w:ind w:firstLine="487" w:firstLineChars="202"/>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8.1 签订合同</w:t>
      </w:r>
    </w:p>
    <w:p w14:paraId="6C799AAF">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8.1.1采购人应在成交通知书发出后30日内，根据成交结果和磋商文件、响应文件及有关补遗文件和确认磋商备忘录拟定的合同文本与成交供应商签订项目合同。</w:t>
      </w:r>
    </w:p>
    <w:p w14:paraId="40EF0F5B">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8.1.2采购人应按磋商文件要求和中标人的响应文件承诺订立书面合同，不得超出磋商文件和中标人响应文件的范围，也不得再另行订立背离合同实质性内容的其他协议。</w:t>
      </w:r>
    </w:p>
    <w:p w14:paraId="4D654C32">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8.1.3采购人应在《中标通知书》发出之日起30天内与中标人签订政府采购合同。签订政府采购合同后7个工作日内，采购人应将政府采购合同副本报政府采购监管部门备案。</w:t>
      </w:r>
    </w:p>
    <w:p w14:paraId="53038AD7">
      <w:pPr>
        <w:pStyle w:val="13"/>
        <w:spacing w:line="400" w:lineRule="exact"/>
        <w:ind w:firstLine="484" w:firstLineChars="2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604FCEB0">
      <w:pPr>
        <w:pStyle w:val="5"/>
        <w:spacing w:line="400" w:lineRule="exact"/>
        <w:rPr>
          <w:color w:val="auto"/>
          <w:highlight w:val="none"/>
        </w:rPr>
      </w:pPr>
      <w:bookmarkStart w:id="48" w:name="_Toc5694"/>
      <w:bookmarkStart w:id="49" w:name="_Toc456291276"/>
      <w:bookmarkStart w:id="50" w:name="_Toc456291161"/>
      <w:bookmarkStart w:id="51" w:name="_Toc456291256"/>
      <w:bookmarkStart w:id="52" w:name="_Toc456291350"/>
      <w:bookmarkStart w:id="53" w:name="_Toc456291475"/>
      <w:bookmarkStart w:id="54" w:name="_Toc456291533"/>
      <w:bookmarkStart w:id="55" w:name="_Toc7269"/>
      <w:r>
        <w:rPr>
          <w:rFonts w:hint="eastAsia"/>
          <w:color w:val="auto"/>
          <w:highlight w:val="none"/>
        </w:rPr>
        <w:t>九、质疑</w:t>
      </w:r>
      <w:bookmarkEnd w:id="48"/>
      <w:bookmarkEnd w:id="49"/>
      <w:bookmarkEnd w:id="50"/>
      <w:bookmarkEnd w:id="51"/>
      <w:bookmarkEnd w:id="52"/>
      <w:bookmarkEnd w:id="53"/>
      <w:bookmarkEnd w:id="54"/>
      <w:bookmarkEnd w:id="55"/>
    </w:p>
    <w:p w14:paraId="4D11BCD8">
      <w:pPr>
        <w:pStyle w:val="13"/>
        <w:spacing w:line="400" w:lineRule="exact"/>
        <w:ind w:firstLine="487" w:firstLineChars="202"/>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9.1质疑</w:t>
      </w:r>
    </w:p>
    <w:p w14:paraId="41FCA9B1">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9.1.1如果磋商供应商对此次采购活动有疑问，可依据《政府采购法》、《政府采购质疑和投诉办法》等相关规定，在规定时间内以书面形式向采购人和采购代理机构提出质疑。质疑书应当包括下列主要内容（质疑函格式见附件）：</w:t>
      </w:r>
    </w:p>
    <w:p w14:paraId="266C01D7">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①质疑人的名称、地址、电话等；</w:t>
      </w:r>
    </w:p>
    <w:p w14:paraId="3306139E">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②质疑人法人签章和单位公章；</w:t>
      </w:r>
    </w:p>
    <w:p w14:paraId="03463B13">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③具体的质疑事项及事实依据；</w:t>
      </w:r>
    </w:p>
    <w:p w14:paraId="5A8263AC">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④明确的请求和必要（合法来源）的证明材料；</w:t>
      </w:r>
    </w:p>
    <w:p w14:paraId="72A09AAD">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⑤以联合体形式参与磋商的，则必须联合体各方共同签署、盖章；</w:t>
      </w:r>
    </w:p>
    <w:p w14:paraId="0FDF4FFF">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⑥提起质疑的日期。</w:t>
      </w:r>
    </w:p>
    <w:p w14:paraId="18786393">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特注：未按上述程序规定的必备内容进行质疑的，政府采购机构将不予以受理。</w:t>
      </w:r>
    </w:p>
    <w:p w14:paraId="165B36A6">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9.1.2成交公告期限届满之日起7个工作日内如有质疑的，采购人或采购代理机构将依法给与答复，并将结果告知所有当事人。</w:t>
      </w:r>
    </w:p>
    <w:p w14:paraId="3CB513BA">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9.1.3质疑供应商对采购人或采购代理机构答复不满意，可在15个工作日内向监管部门投诉。</w:t>
      </w:r>
    </w:p>
    <w:p w14:paraId="3C355EC2">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9.1.4磋商供应商的质疑和投诉应有事实依据，若为无效投诉，监管部门将按有关规定给予处罚。</w:t>
      </w:r>
    </w:p>
    <w:p w14:paraId="5C805A25">
      <w:pPr>
        <w:pStyle w:val="5"/>
        <w:spacing w:line="400" w:lineRule="exact"/>
        <w:rPr>
          <w:color w:val="auto"/>
          <w:highlight w:val="none"/>
        </w:rPr>
      </w:pPr>
      <w:bookmarkStart w:id="56" w:name="_Toc456291534"/>
      <w:bookmarkStart w:id="57" w:name="_Toc456291257"/>
      <w:bookmarkStart w:id="58" w:name="_Toc456291162"/>
      <w:bookmarkStart w:id="59" w:name="_Toc11180"/>
      <w:bookmarkStart w:id="60" w:name="_Toc456291476"/>
      <w:bookmarkStart w:id="61" w:name="_Toc456291277"/>
      <w:bookmarkStart w:id="62" w:name="_Toc25716"/>
      <w:bookmarkStart w:id="63" w:name="_Toc456291351"/>
      <w:r>
        <w:rPr>
          <w:rFonts w:hint="eastAsia"/>
          <w:color w:val="auto"/>
          <w:highlight w:val="none"/>
        </w:rPr>
        <w:t>十、</w:t>
      </w:r>
      <w:bookmarkEnd w:id="56"/>
      <w:bookmarkEnd w:id="57"/>
      <w:bookmarkEnd w:id="58"/>
      <w:bookmarkEnd w:id="59"/>
      <w:bookmarkEnd w:id="60"/>
      <w:bookmarkEnd w:id="61"/>
      <w:bookmarkEnd w:id="62"/>
      <w:bookmarkEnd w:id="63"/>
      <w:r>
        <w:rPr>
          <w:rFonts w:hint="eastAsia"/>
          <w:color w:val="auto"/>
          <w:highlight w:val="none"/>
        </w:rPr>
        <w:t>纪律要求</w:t>
      </w:r>
    </w:p>
    <w:p w14:paraId="6C5D18E8">
      <w:pPr>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10.1对采购人的纪律要求</w:t>
      </w:r>
    </w:p>
    <w:p w14:paraId="07C760FA">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采购人不得泄露磋商采购活动中应当保密的情况和资料，不得与供应商串通损害国家利益、社会公共利益或者他人合法权益。</w:t>
      </w:r>
    </w:p>
    <w:p w14:paraId="0EBBBC73">
      <w:pPr>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10.2对供应商的纪律要求</w:t>
      </w:r>
    </w:p>
    <w:p w14:paraId="43262B4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供应商不得相互串通或者与采购人串通，不得向采购人或者磋商小组成员行贿谋取成交，不得以他人名义参加磋商采购活动或者以其他方式弄虚作假骗取成交；供应商不得以任何方式干扰、影响评审工作。</w:t>
      </w:r>
    </w:p>
    <w:p w14:paraId="3C7618C8">
      <w:pPr>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10.3对磋商小组成员的纪律要求</w:t>
      </w:r>
    </w:p>
    <w:p w14:paraId="4877C93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磋商小组成员不得收受他人的财务或者其他好处，不得向他人透露对响应文件的评审和比较、候选成交供应商的推荐情况以及评审有关的其他情况。在磋商活动中，磋商小组成员应当客观、公正地履行职责，遵守职业道德，不得擅离职守、影响磋商工作的正常进行，不得使用第四章“评审办法”没有规定的评审因素和标准进行评审。</w:t>
      </w:r>
    </w:p>
    <w:p w14:paraId="67B4CAE5">
      <w:pPr>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10.4对与磋商活动有关的工作人员的纪律要求</w:t>
      </w:r>
    </w:p>
    <w:p w14:paraId="14DD8EA7">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与磋商活动有关的工作人员不得收受他人的财务或者其他好处，不得向他人透露对响应文件的评审和比较、候选成交供应商的推荐情况以及评审有关的其他情况。在磋商活动中，与磋商活动有关的工作人员不得擅离职守、影响磋商工作的正常进行。    </w:t>
      </w:r>
    </w:p>
    <w:p w14:paraId="77747E4F">
      <w:pPr>
        <w:pStyle w:val="5"/>
        <w:spacing w:line="400" w:lineRule="exact"/>
        <w:rPr>
          <w:color w:val="auto"/>
          <w:highlight w:val="none"/>
        </w:rPr>
      </w:pPr>
      <w:r>
        <w:rPr>
          <w:rFonts w:hint="eastAsia"/>
          <w:color w:val="auto"/>
          <w:highlight w:val="none"/>
        </w:rPr>
        <w:t>十一、需要补充的其他内容</w:t>
      </w:r>
    </w:p>
    <w:p w14:paraId="192A6C80">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需要补充的其他内容：详见供应商须知前附表。</w:t>
      </w:r>
    </w:p>
    <w:p w14:paraId="54B6F144">
      <w:pPr>
        <w:pStyle w:val="13"/>
        <w:spacing w:line="500" w:lineRule="exact"/>
        <w:ind w:firstLine="565" w:firstLineChars="202"/>
        <w:jc w:val="left"/>
        <w:rPr>
          <w:rFonts w:ascii="宋体" w:hAnsi="宋体"/>
          <w:color w:val="auto"/>
          <w:sz w:val="28"/>
          <w:szCs w:val="28"/>
          <w:highlight w:val="none"/>
        </w:rPr>
      </w:pPr>
    </w:p>
    <w:p w14:paraId="0EB12A44">
      <w:pPr>
        <w:rPr>
          <w:color w:val="auto"/>
          <w:highlight w:val="none"/>
        </w:rPr>
      </w:pPr>
      <w:r>
        <w:rPr>
          <w:rFonts w:hint="eastAsia"/>
          <w:color w:val="auto"/>
          <w:highlight w:val="none"/>
        </w:rPr>
        <w:br w:type="page"/>
      </w:r>
    </w:p>
    <w:p w14:paraId="7498091C">
      <w:pPr>
        <w:pStyle w:val="32"/>
        <w:ind w:firstLine="210"/>
        <w:rPr>
          <w:color w:val="auto"/>
          <w:highlight w:val="none"/>
        </w:rPr>
      </w:pPr>
    </w:p>
    <w:p w14:paraId="1D025175">
      <w:pPr>
        <w:pStyle w:val="80"/>
        <w:rPr>
          <w:rFonts w:ascii="宋体" w:hAnsi="宋体" w:cs="宋体"/>
          <w:color w:val="auto"/>
          <w:sz w:val="24"/>
          <w:highlight w:val="none"/>
        </w:rPr>
      </w:pPr>
      <w:r>
        <w:rPr>
          <w:rFonts w:hint="eastAsia" w:ascii="宋体" w:hAnsi="宋体" w:cs="宋体"/>
          <w:color w:val="auto"/>
          <w:sz w:val="24"/>
          <w:highlight w:val="none"/>
        </w:rPr>
        <w:t>附件：</w:t>
      </w:r>
    </w:p>
    <w:p w14:paraId="211480E1">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质疑函范本</w:t>
      </w:r>
    </w:p>
    <w:p w14:paraId="05716EAE">
      <w:pPr>
        <w:adjustRightInd w:val="0"/>
        <w:snapToGrid w:val="0"/>
        <w:spacing w:before="240" w:beforeLines="10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一、质疑供应商基本信息</w:t>
      </w:r>
    </w:p>
    <w:p w14:paraId="5556B501">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r>
        <w:rPr>
          <w:rFonts w:hint="eastAsia" w:ascii="宋体" w:hAnsi="宋体" w:cs="宋体"/>
          <w:color w:val="auto"/>
          <w:sz w:val="24"/>
          <w:szCs w:val="24"/>
          <w:highlight w:val="none"/>
          <w:u w:val="dotted"/>
        </w:rPr>
        <w:t xml:space="preserve">                                                              </w:t>
      </w:r>
    </w:p>
    <w:p w14:paraId="13A00D8F">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14:paraId="78B00CEA">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p>
    <w:p w14:paraId="7429C850">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u w:val="dotted"/>
        </w:rPr>
        <w:t xml:space="preserve">                                                                 </w:t>
      </w:r>
    </w:p>
    <w:p w14:paraId="2188053E">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dotted"/>
        </w:rPr>
        <w:t xml:space="preserve">                                                                </w:t>
      </w:r>
    </w:p>
    <w:p w14:paraId="7C60F8F5">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dotted"/>
        </w:rPr>
        <w:t xml:space="preserve">                                     </w:t>
      </w:r>
    </w:p>
    <w:p w14:paraId="44D74E08">
      <w:pP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二、质疑项目基本情况</w:t>
      </w:r>
    </w:p>
    <w:p w14:paraId="2410763E">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质疑项目的名称：</w:t>
      </w:r>
      <w:r>
        <w:rPr>
          <w:rFonts w:hint="eastAsia" w:ascii="宋体" w:hAnsi="宋体" w:cs="宋体"/>
          <w:color w:val="auto"/>
          <w:sz w:val="24"/>
          <w:szCs w:val="24"/>
          <w:highlight w:val="none"/>
          <w:u w:val="dotted"/>
        </w:rPr>
        <w:t xml:space="preserve">                                                          </w:t>
      </w:r>
    </w:p>
    <w:p w14:paraId="5C8404A4">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质疑项目的编号：</w:t>
      </w:r>
      <w:r>
        <w:rPr>
          <w:rFonts w:hint="eastAsia" w:ascii="宋体" w:hAnsi="宋体" w:cs="宋体"/>
          <w:color w:val="auto"/>
          <w:sz w:val="24"/>
          <w:szCs w:val="24"/>
          <w:highlight w:val="none"/>
          <w:u w:val="dotted"/>
        </w:rPr>
        <w:t xml:space="preserve">                         </w:t>
      </w:r>
      <w:r>
        <w:rPr>
          <w:rFonts w:hint="eastAsia" w:ascii="宋体" w:hAnsi="宋体" w:cs="宋体"/>
          <w:color w:val="auto"/>
          <w:sz w:val="24"/>
          <w:szCs w:val="24"/>
          <w:highlight w:val="none"/>
        </w:rPr>
        <w:t>包号：</w:t>
      </w:r>
      <w:r>
        <w:rPr>
          <w:rFonts w:hint="eastAsia" w:ascii="宋体" w:hAnsi="宋体" w:cs="宋体"/>
          <w:color w:val="auto"/>
          <w:sz w:val="24"/>
          <w:szCs w:val="24"/>
          <w:highlight w:val="none"/>
          <w:u w:val="dotted"/>
        </w:rPr>
        <w:t xml:space="preserve">                           </w:t>
      </w:r>
    </w:p>
    <w:p w14:paraId="68FE7262">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u w:val="dotted"/>
        </w:rPr>
        <w:t xml:space="preserve">                                                              </w:t>
      </w:r>
    </w:p>
    <w:p w14:paraId="1A630D9B">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采购文件获取日期：</w:t>
      </w:r>
      <w:r>
        <w:rPr>
          <w:rFonts w:hint="eastAsia" w:ascii="宋体" w:hAnsi="宋体" w:cs="宋体"/>
          <w:color w:val="auto"/>
          <w:sz w:val="24"/>
          <w:szCs w:val="24"/>
          <w:highlight w:val="none"/>
          <w:u w:val="dotted"/>
        </w:rPr>
        <w:t xml:space="preserve">                                                        </w:t>
      </w:r>
    </w:p>
    <w:p w14:paraId="0A9F8E86">
      <w:pP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三、质疑事项具体内容</w:t>
      </w:r>
    </w:p>
    <w:p w14:paraId="3239C705">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质疑事项1：</w:t>
      </w:r>
      <w:r>
        <w:rPr>
          <w:rFonts w:hint="eastAsia" w:ascii="宋体" w:hAnsi="宋体" w:cs="宋体"/>
          <w:color w:val="auto"/>
          <w:sz w:val="24"/>
          <w:szCs w:val="24"/>
          <w:highlight w:val="none"/>
          <w:u w:val="dotted"/>
        </w:rPr>
        <w:t xml:space="preserve">                                                              </w:t>
      </w:r>
    </w:p>
    <w:p w14:paraId="7C2A9B9E">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r>
        <w:rPr>
          <w:rFonts w:hint="eastAsia" w:ascii="宋体" w:hAnsi="宋体" w:cs="宋体"/>
          <w:color w:val="auto"/>
          <w:sz w:val="24"/>
          <w:szCs w:val="24"/>
          <w:highlight w:val="none"/>
          <w:u w:val="dotted"/>
        </w:rPr>
        <w:t xml:space="preserve">                                                                </w:t>
      </w:r>
    </w:p>
    <w:p w14:paraId="0E1D1AE4">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dotted"/>
        </w:rPr>
        <w:t xml:space="preserve">                                                                           </w:t>
      </w:r>
    </w:p>
    <w:p w14:paraId="4A7598D5">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r>
        <w:rPr>
          <w:rFonts w:hint="eastAsia" w:ascii="宋体" w:hAnsi="宋体" w:cs="宋体"/>
          <w:color w:val="auto"/>
          <w:sz w:val="24"/>
          <w:szCs w:val="24"/>
          <w:highlight w:val="none"/>
          <w:u w:val="dotted"/>
        </w:rPr>
        <w:t xml:space="preserve">                                                                 </w:t>
      </w:r>
    </w:p>
    <w:p w14:paraId="56060F97">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u w:val="dotted"/>
        </w:rPr>
        <w:t xml:space="preserve">                                                                           </w:t>
      </w:r>
    </w:p>
    <w:p w14:paraId="3BCC1730">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质疑事项2</w:t>
      </w:r>
    </w:p>
    <w:p w14:paraId="28AAD832">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p w14:paraId="6955A3DE">
      <w:pP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四、与质疑事项相关的质疑请求</w:t>
      </w:r>
    </w:p>
    <w:p w14:paraId="6DE1E68F">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请求：</w:t>
      </w:r>
      <w:r>
        <w:rPr>
          <w:rFonts w:hint="eastAsia" w:ascii="宋体" w:hAnsi="宋体" w:cs="宋体"/>
          <w:color w:val="auto"/>
          <w:sz w:val="24"/>
          <w:szCs w:val="24"/>
          <w:highlight w:val="none"/>
          <w:u w:val="dotted"/>
        </w:rPr>
        <w:t xml:space="preserve">                                                                     </w:t>
      </w:r>
    </w:p>
    <w:p w14:paraId="6859178F">
      <w:pPr>
        <w:rPr>
          <w:rFonts w:ascii="宋体" w:hAnsi="宋体" w:cs="宋体"/>
          <w:color w:val="auto"/>
          <w:sz w:val="24"/>
          <w:szCs w:val="24"/>
          <w:highlight w:val="none"/>
        </w:rPr>
      </w:pPr>
      <w:r>
        <w:rPr>
          <w:rFonts w:hint="eastAsia" w:ascii="宋体" w:hAnsi="宋体" w:cs="宋体"/>
          <w:color w:val="auto"/>
          <w:sz w:val="24"/>
          <w:szCs w:val="24"/>
          <w:highlight w:val="none"/>
        </w:rPr>
        <w:t xml:space="preserve">签字(签章)：                   公章：                      </w:t>
      </w:r>
    </w:p>
    <w:p w14:paraId="78BD516D">
      <w:pPr>
        <w:rPr>
          <w:rFonts w:ascii="宋体" w:hAnsi="宋体" w:cs="宋体"/>
          <w:color w:val="auto"/>
          <w:sz w:val="24"/>
          <w:szCs w:val="24"/>
          <w:highlight w:val="none"/>
        </w:rPr>
      </w:pPr>
      <w:r>
        <w:rPr>
          <w:rFonts w:hint="eastAsia" w:ascii="宋体" w:hAnsi="宋体" w:cs="宋体"/>
          <w:color w:val="auto"/>
          <w:sz w:val="24"/>
          <w:szCs w:val="24"/>
          <w:highlight w:val="none"/>
        </w:rPr>
        <w:t xml:space="preserve">日期：    </w:t>
      </w:r>
    </w:p>
    <w:p w14:paraId="7BFBDBA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质疑函制作说明：</w:t>
      </w:r>
    </w:p>
    <w:p w14:paraId="2984A00B">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1.供应商提出质疑时，应提交质疑函和必要的证明材料。</w:t>
      </w:r>
    </w:p>
    <w:p w14:paraId="29AE1DA4">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14:paraId="578AB473">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3.质疑供应商若对项目的某一分包进行质疑，质疑函中应列明具体分包号。</w:t>
      </w:r>
    </w:p>
    <w:p w14:paraId="225D9305">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4.质疑函的质疑事项应具体、明确，并有必要的事实依据和法律依据。</w:t>
      </w:r>
    </w:p>
    <w:p w14:paraId="1284B220">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5.质疑函的质疑请求应与质疑事项相关。</w:t>
      </w:r>
    </w:p>
    <w:p w14:paraId="49D45F99">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9914883">
      <w:pPr>
        <w:pStyle w:val="13"/>
        <w:spacing w:line="500" w:lineRule="exact"/>
        <w:ind w:firstLine="0" w:firstLineChars="0"/>
        <w:jc w:val="left"/>
        <w:rPr>
          <w:rFonts w:ascii="宋体" w:hAnsi="宋体"/>
          <w:color w:val="auto"/>
          <w:sz w:val="28"/>
          <w:szCs w:val="28"/>
          <w:highlight w:val="none"/>
        </w:rPr>
      </w:pPr>
    </w:p>
    <w:p w14:paraId="13E2660E">
      <w:pPr>
        <w:rPr>
          <w:rFonts w:ascii="宋体" w:hAnsi="宋体"/>
          <w:color w:val="auto"/>
          <w:sz w:val="28"/>
          <w:szCs w:val="28"/>
          <w:highlight w:val="none"/>
        </w:rPr>
      </w:pPr>
      <w:r>
        <w:rPr>
          <w:rFonts w:hint="eastAsia" w:ascii="宋体" w:hAnsi="宋体"/>
          <w:color w:val="auto"/>
          <w:sz w:val="28"/>
          <w:szCs w:val="28"/>
          <w:highlight w:val="none"/>
        </w:rPr>
        <w:br w:type="page"/>
      </w:r>
    </w:p>
    <w:p w14:paraId="69D1E515">
      <w:pPr>
        <w:pStyle w:val="4"/>
        <w:numPr>
          <w:ilvl w:val="0"/>
          <w:numId w:val="1"/>
        </w:numPr>
        <w:spacing w:before="0" w:after="0" w:line="240" w:lineRule="auto"/>
        <w:rPr>
          <w:rFonts w:hint="eastAsia" w:ascii="仿宋" w:hAnsi="仿宋" w:eastAsia="仿宋" w:cs="仿宋"/>
          <w:color w:val="auto"/>
          <w:sz w:val="44"/>
          <w:szCs w:val="44"/>
          <w:highlight w:val="none"/>
          <w:lang w:val="en-US" w:eastAsia="zh-CN"/>
        </w:rPr>
      </w:pPr>
      <w:bookmarkStart w:id="64" w:name="_Toc293736019"/>
      <w:bookmarkStart w:id="65" w:name="_Toc293739000"/>
      <w:bookmarkStart w:id="66" w:name="_Toc293736062"/>
      <w:bookmarkStart w:id="67" w:name="_Toc28752"/>
      <w:bookmarkStart w:id="68" w:name="_Toc446599321"/>
      <w:bookmarkStart w:id="69" w:name="_Toc28105"/>
      <w:bookmarkStart w:id="70" w:name="_Toc293736063"/>
      <w:bookmarkStart w:id="71" w:name="_Toc293739001"/>
      <w:bookmarkStart w:id="72" w:name="_Toc293736020"/>
      <w:bookmarkStart w:id="73" w:name="_Toc446599322"/>
      <w:r>
        <w:rPr>
          <w:rFonts w:hint="eastAsia"/>
          <w:color w:val="auto"/>
          <w:highlight w:val="none"/>
        </w:rPr>
        <w:t xml:space="preserve"> </w:t>
      </w:r>
      <w:bookmarkStart w:id="74" w:name="_Toc21897"/>
      <w:bookmarkStart w:id="75" w:name="_Toc15716"/>
      <w:bookmarkStart w:id="76" w:name="_Toc10016"/>
      <w:r>
        <w:rPr>
          <w:rFonts w:hint="eastAsia"/>
          <w:color w:val="auto"/>
          <w:highlight w:val="none"/>
        </w:rPr>
        <w:t>采购</w:t>
      </w:r>
      <w:bookmarkEnd w:id="64"/>
      <w:bookmarkEnd w:id="65"/>
      <w:bookmarkEnd w:id="66"/>
      <w:bookmarkStart w:id="77" w:name="_Toc294515580"/>
      <w:r>
        <w:rPr>
          <w:rFonts w:hint="eastAsia"/>
          <w:color w:val="auto"/>
          <w:highlight w:val="none"/>
        </w:rPr>
        <w:t>需求</w:t>
      </w:r>
      <w:bookmarkEnd w:id="67"/>
      <w:bookmarkEnd w:id="68"/>
      <w:bookmarkEnd w:id="69"/>
      <w:bookmarkEnd w:id="74"/>
      <w:bookmarkEnd w:id="75"/>
      <w:bookmarkEnd w:id="76"/>
    </w:p>
    <w:p w14:paraId="64265D82">
      <w:pPr>
        <w:rPr>
          <w:rFonts w:hint="eastAsia"/>
          <w:color w:val="auto"/>
          <w:highlight w:val="none"/>
          <w:lang w:val="en-US" w:eastAsia="zh-CN"/>
        </w:rPr>
      </w:pPr>
    </w:p>
    <w:p w14:paraId="5A1D28DC">
      <w:pPr>
        <w:rPr>
          <w:rFonts w:hint="eastAsia"/>
          <w:color w:val="auto"/>
          <w:highlight w:val="none"/>
          <w:lang w:val="en-US" w:eastAsia="zh-CN"/>
        </w:rPr>
      </w:pPr>
    </w:p>
    <w:p w14:paraId="6F1B8754">
      <w:pPr>
        <w:rPr>
          <w:rFonts w:hint="eastAsia"/>
          <w:color w:val="auto"/>
          <w:highlight w:val="none"/>
          <w:lang w:val="en-US" w:eastAsia="zh-CN"/>
        </w:rPr>
      </w:pPr>
    </w:p>
    <w:p w14:paraId="796F05D7">
      <w:pPr>
        <w:rPr>
          <w:rFonts w:hint="eastAsia"/>
          <w:color w:val="auto"/>
          <w:highlight w:val="none"/>
          <w:lang w:val="en-US" w:eastAsia="zh-CN"/>
        </w:rPr>
      </w:pPr>
    </w:p>
    <w:p w14:paraId="1BD0A81D">
      <w:pPr>
        <w:widowControl/>
        <w:spacing w:line="4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评价报告编制：全面评估机场场地的地震相关因素，如地震活动环境、地质构造等，并形成专业的评价报告，且报告需通过评审和备案。</w:t>
      </w:r>
    </w:p>
    <w:p w14:paraId="50588172">
      <w:pPr>
        <w:widowControl/>
        <w:spacing w:line="4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专业勘探施工：如涉及地震地质钻孔勘探施工，以获取更详细的地质信息。</w:t>
      </w:r>
    </w:p>
    <w:p w14:paraId="7E27D63E">
      <w:pPr>
        <w:widowControl/>
        <w:spacing w:line="4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配套服务工作：配合业主或相关部门完成审查、查验、报批等工作，确保整个评价流程顺利通过相关部门的审核。</w:t>
      </w:r>
    </w:p>
    <w:p w14:paraId="01199ADD">
      <w:pPr>
        <w:widowControl/>
        <w:spacing w:line="4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成果质量要求：评价成果要符合国家及行业的相关标准和规范，保证资料的完整性、准确性和可靠性。</w:t>
      </w:r>
    </w:p>
    <w:p w14:paraId="645F7375">
      <w:pPr>
        <w:widowControl/>
        <w:spacing w:line="4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时间限制：严格按采购人规定时间内完成相关作业。</w:t>
      </w:r>
    </w:p>
    <w:p w14:paraId="66B7C9B9">
      <w:pPr>
        <w:rPr>
          <w:rFonts w:hint="eastAsia"/>
          <w:color w:val="auto"/>
          <w:highlight w:val="none"/>
          <w:lang w:val="en-US" w:eastAsia="zh-CN"/>
        </w:rPr>
      </w:pPr>
    </w:p>
    <w:p w14:paraId="1C4B45EB">
      <w:pPr>
        <w:rPr>
          <w:rFonts w:hint="eastAsia"/>
          <w:color w:val="auto"/>
          <w:highlight w:val="none"/>
          <w:lang w:val="en-US" w:eastAsia="zh-CN"/>
        </w:rPr>
      </w:pPr>
    </w:p>
    <w:p w14:paraId="1E32A51D">
      <w:pPr>
        <w:rPr>
          <w:rFonts w:hint="eastAsia"/>
          <w:color w:val="auto"/>
          <w:highlight w:val="none"/>
          <w:lang w:val="en-US" w:eastAsia="zh-CN"/>
        </w:rPr>
      </w:pPr>
    </w:p>
    <w:p w14:paraId="330C6890">
      <w:pPr>
        <w:rPr>
          <w:rFonts w:hint="eastAsia"/>
          <w:color w:val="auto"/>
          <w:highlight w:val="none"/>
          <w:lang w:val="en-US" w:eastAsia="zh-CN"/>
        </w:rPr>
      </w:pPr>
    </w:p>
    <w:p w14:paraId="79A88F0A">
      <w:pPr>
        <w:rPr>
          <w:rFonts w:hint="eastAsia"/>
          <w:color w:val="auto"/>
          <w:highlight w:val="none"/>
          <w:lang w:val="en-US" w:eastAsia="zh-CN"/>
        </w:rPr>
      </w:pPr>
    </w:p>
    <w:p w14:paraId="1D17DAE1">
      <w:pPr>
        <w:rPr>
          <w:rFonts w:hint="eastAsia"/>
          <w:color w:val="auto"/>
          <w:highlight w:val="none"/>
          <w:lang w:val="en-US" w:eastAsia="zh-CN"/>
        </w:rPr>
      </w:pPr>
    </w:p>
    <w:p w14:paraId="1C6CCEE6">
      <w:pPr>
        <w:rPr>
          <w:rFonts w:hint="eastAsia"/>
          <w:color w:val="auto"/>
          <w:highlight w:val="none"/>
          <w:lang w:val="en-US" w:eastAsia="zh-CN"/>
        </w:rPr>
      </w:pPr>
    </w:p>
    <w:p w14:paraId="03DE5A9C">
      <w:pPr>
        <w:rPr>
          <w:rFonts w:hint="eastAsia"/>
          <w:color w:val="auto"/>
          <w:highlight w:val="none"/>
          <w:lang w:val="en-US" w:eastAsia="zh-CN"/>
        </w:rPr>
      </w:pPr>
    </w:p>
    <w:p w14:paraId="77C6057E">
      <w:pPr>
        <w:rPr>
          <w:rFonts w:hint="eastAsia"/>
          <w:color w:val="auto"/>
          <w:highlight w:val="none"/>
          <w:lang w:val="en-US" w:eastAsia="zh-CN"/>
        </w:rPr>
      </w:pPr>
    </w:p>
    <w:p w14:paraId="658A1EDA">
      <w:pPr>
        <w:rPr>
          <w:rFonts w:hint="eastAsia"/>
          <w:color w:val="auto"/>
          <w:highlight w:val="none"/>
          <w:lang w:val="en-US" w:eastAsia="zh-CN"/>
        </w:rPr>
      </w:pPr>
    </w:p>
    <w:p w14:paraId="3071C1B6">
      <w:pPr>
        <w:rPr>
          <w:rFonts w:hint="eastAsia"/>
          <w:color w:val="auto"/>
          <w:highlight w:val="none"/>
          <w:lang w:val="en-US" w:eastAsia="zh-CN"/>
        </w:rPr>
      </w:pPr>
    </w:p>
    <w:p w14:paraId="7B8C0D45">
      <w:pPr>
        <w:rPr>
          <w:rFonts w:hint="eastAsia"/>
          <w:color w:val="auto"/>
          <w:highlight w:val="none"/>
          <w:lang w:val="en-US" w:eastAsia="zh-CN"/>
        </w:rPr>
      </w:pPr>
    </w:p>
    <w:p w14:paraId="09D64BAC">
      <w:pPr>
        <w:rPr>
          <w:rFonts w:hint="eastAsia"/>
          <w:color w:val="auto"/>
          <w:highlight w:val="none"/>
          <w:lang w:val="en-US" w:eastAsia="zh-CN"/>
        </w:rPr>
      </w:pPr>
    </w:p>
    <w:p w14:paraId="45EAB66B">
      <w:pPr>
        <w:rPr>
          <w:rFonts w:hint="eastAsia"/>
          <w:color w:val="auto"/>
          <w:highlight w:val="none"/>
          <w:lang w:val="en-US" w:eastAsia="zh-CN"/>
        </w:rPr>
      </w:pPr>
    </w:p>
    <w:p w14:paraId="53389680">
      <w:pPr>
        <w:rPr>
          <w:rFonts w:hint="eastAsia"/>
          <w:color w:val="auto"/>
          <w:highlight w:val="none"/>
          <w:lang w:val="en-US" w:eastAsia="zh-CN"/>
        </w:rPr>
      </w:pPr>
    </w:p>
    <w:p w14:paraId="5D2C97BF">
      <w:pPr>
        <w:rPr>
          <w:rFonts w:hint="eastAsia"/>
          <w:color w:val="auto"/>
          <w:highlight w:val="none"/>
          <w:lang w:val="en-US" w:eastAsia="zh-CN"/>
        </w:rPr>
      </w:pPr>
    </w:p>
    <w:p w14:paraId="220E342A">
      <w:pPr>
        <w:rPr>
          <w:rFonts w:hint="eastAsia"/>
          <w:color w:val="auto"/>
          <w:highlight w:val="none"/>
          <w:lang w:val="en-US" w:eastAsia="zh-CN"/>
        </w:rPr>
      </w:pPr>
    </w:p>
    <w:p w14:paraId="3318CBA6">
      <w:pPr>
        <w:rPr>
          <w:rFonts w:hint="eastAsia"/>
          <w:color w:val="auto"/>
          <w:highlight w:val="none"/>
          <w:lang w:val="en-US" w:eastAsia="zh-CN"/>
        </w:rPr>
      </w:pPr>
    </w:p>
    <w:p w14:paraId="527F7F58">
      <w:pPr>
        <w:rPr>
          <w:rFonts w:hint="eastAsia"/>
          <w:color w:val="auto"/>
          <w:highlight w:val="none"/>
          <w:lang w:val="en-US" w:eastAsia="zh-CN"/>
        </w:rPr>
      </w:pPr>
    </w:p>
    <w:p w14:paraId="63124668">
      <w:pPr>
        <w:rPr>
          <w:rFonts w:hint="eastAsia"/>
          <w:color w:val="auto"/>
          <w:highlight w:val="none"/>
          <w:lang w:val="en-US" w:eastAsia="zh-CN"/>
        </w:rPr>
      </w:pPr>
    </w:p>
    <w:p w14:paraId="1D9808AB">
      <w:pPr>
        <w:rPr>
          <w:rFonts w:hint="eastAsia"/>
          <w:color w:val="auto"/>
          <w:highlight w:val="none"/>
          <w:lang w:val="en-US" w:eastAsia="zh-CN"/>
        </w:rPr>
      </w:pPr>
    </w:p>
    <w:p w14:paraId="1F5C32FD">
      <w:pPr>
        <w:rPr>
          <w:rFonts w:hint="eastAsia"/>
          <w:color w:val="auto"/>
          <w:highlight w:val="none"/>
          <w:lang w:val="en-US" w:eastAsia="zh-CN"/>
        </w:rPr>
      </w:pPr>
    </w:p>
    <w:p w14:paraId="60DD091D">
      <w:pPr>
        <w:rPr>
          <w:rFonts w:hint="eastAsia"/>
          <w:color w:val="auto"/>
          <w:highlight w:val="none"/>
          <w:lang w:val="en-US" w:eastAsia="zh-CN"/>
        </w:rPr>
      </w:pPr>
    </w:p>
    <w:p w14:paraId="36BBB9C0">
      <w:pPr>
        <w:rPr>
          <w:rFonts w:hint="eastAsia"/>
          <w:color w:val="auto"/>
          <w:highlight w:val="none"/>
          <w:lang w:val="en-US" w:eastAsia="zh-CN"/>
        </w:rPr>
      </w:pPr>
    </w:p>
    <w:p w14:paraId="44809F9B">
      <w:pPr>
        <w:rPr>
          <w:rFonts w:hint="eastAsia"/>
          <w:color w:val="auto"/>
          <w:highlight w:val="none"/>
          <w:lang w:val="en-US" w:eastAsia="zh-CN"/>
        </w:rPr>
      </w:pPr>
    </w:p>
    <w:p w14:paraId="01417B73">
      <w:pPr>
        <w:rPr>
          <w:rFonts w:hint="eastAsia"/>
          <w:color w:val="auto"/>
          <w:highlight w:val="none"/>
          <w:lang w:val="en-US" w:eastAsia="zh-CN"/>
        </w:rPr>
      </w:pPr>
    </w:p>
    <w:p w14:paraId="6CA7C5A1">
      <w:pPr>
        <w:rPr>
          <w:rFonts w:hint="eastAsia"/>
          <w:color w:val="auto"/>
          <w:highlight w:val="none"/>
          <w:lang w:val="en-US" w:eastAsia="zh-CN"/>
        </w:rPr>
      </w:pPr>
    </w:p>
    <w:p w14:paraId="070DE382">
      <w:pPr>
        <w:rPr>
          <w:rFonts w:hint="eastAsia"/>
          <w:color w:val="auto"/>
          <w:highlight w:val="none"/>
          <w:lang w:val="en-US" w:eastAsia="zh-CN"/>
        </w:rPr>
      </w:pPr>
    </w:p>
    <w:p w14:paraId="58972293">
      <w:pPr>
        <w:rPr>
          <w:rFonts w:hint="eastAsia"/>
          <w:color w:val="auto"/>
          <w:highlight w:val="none"/>
          <w:lang w:val="en-US" w:eastAsia="zh-CN"/>
        </w:rPr>
      </w:pPr>
    </w:p>
    <w:p w14:paraId="7A2C64E2">
      <w:pPr>
        <w:rPr>
          <w:rFonts w:hint="eastAsia"/>
          <w:color w:val="auto"/>
          <w:highlight w:val="none"/>
          <w:lang w:val="en-US" w:eastAsia="zh-CN"/>
        </w:rPr>
      </w:pPr>
    </w:p>
    <w:p w14:paraId="056E0CC1">
      <w:pPr>
        <w:rPr>
          <w:rFonts w:hint="eastAsia"/>
          <w:color w:val="auto"/>
          <w:highlight w:val="none"/>
          <w:lang w:val="en-US" w:eastAsia="zh-CN"/>
        </w:rPr>
      </w:pPr>
    </w:p>
    <w:p w14:paraId="0A54C2B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62BAA7F9">
      <w:pPr>
        <w:pStyle w:val="2"/>
        <w:rPr>
          <w:rFonts w:hint="eastAsia"/>
          <w:color w:val="auto"/>
          <w:highlight w:val="none"/>
        </w:rPr>
      </w:pPr>
    </w:p>
    <w:p w14:paraId="19FA4096">
      <w:pPr>
        <w:pStyle w:val="15"/>
        <w:rPr>
          <w:rFonts w:hint="eastAsia" w:cs="宋体"/>
          <w:color w:val="auto"/>
          <w:sz w:val="24"/>
          <w:szCs w:val="24"/>
          <w:highlight w:val="none"/>
        </w:rPr>
      </w:pPr>
    </w:p>
    <w:p w14:paraId="4EEF9274">
      <w:pPr>
        <w:rPr>
          <w:rFonts w:hint="eastAsia" w:cs="宋体"/>
          <w:color w:val="auto"/>
          <w:sz w:val="24"/>
          <w:szCs w:val="24"/>
          <w:highlight w:val="none"/>
        </w:rPr>
      </w:pPr>
    </w:p>
    <w:p w14:paraId="2A0208FD">
      <w:pPr>
        <w:pStyle w:val="33"/>
        <w:rPr>
          <w:rFonts w:hint="eastAsia" w:cs="宋体"/>
          <w:color w:val="auto"/>
          <w:sz w:val="24"/>
          <w:szCs w:val="24"/>
          <w:highlight w:val="none"/>
        </w:rPr>
      </w:pPr>
    </w:p>
    <w:p w14:paraId="0F9386DF">
      <w:pPr>
        <w:rPr>
          <w:rFonts w:hint="eastAsia"/>
          <w:color w:val="auto"/>
          <w:highlight w:val="none"/>
        </w:rPr>
      </w:pPr>
    </w:p>
    <w:bookmarkEnd w:id="77"/>
    <w:p w14:paraId="4E586B50">
      <w:pPr>
        <w:pStyle w:val="4"/>
        <w:numPr>
          <w:ilvl w:val="0"/>
          <w:numId w:val="1"/>
        </w:numPr>
        <w:spacing w:before="0" w:after="0" w:line="240" w:lineRule="auto"/>
        <w:rPr>
          <w:color w:val="auto"/>
          <w:highlight w:val="none"/>
        </w:rPr>
      </w:pPr>
      <w:bookmarkStart w:id="78" w:name="_Toc10724"/>
      <w:bookmarkStart w:id="79" w:name="_Toc20816"/>
      <w:r>
        <w:rPr>
          <w:rFonts w:hint="eastAsia"/>
          <w:color w:val="auto"/>
          <w:highlight w:val="none"/>
        </w:rPr>
        <w:t xml:space="preserve"> </w:t>
      </w:r>
      <w:bookmarkStart w:id="80" w:name="_Toc23076"/>
      <w:bookmarkStart w:id="81" w:name="_Toc10229"/>
      <w:bookmarkStart w:id="82" w:name="_Toc5472"/>
      <w:r>
        <w:rPr>
          <w:rFonts w:hint="eastAsia"/>
          <w:color w:val="auto"/>
          <w:highlight w:val="none"/>
        </w:rPr>
        <w:t>评审方法</w:t>
      </w:r>
      <w:bookmarkEnd w:id="70"/>
      <w:bookmarkEnd w:id="71"/>
      <w:bookmarkEnd w:id="72"/>
      <w:bookmarkEnd w:id="73"/>
      <w:bookmarkEnd w:id="78"/>
      <w:bookmarkEnd w:id="79"/>
      <w:bookmarkEnd w:id="80"/>
      <w:bookmarkEnd w:id="81"/>
      <w:bookmarkEnd w:id="82"/>
    </w:p>
    <w:p w14:paraId="36754954">
      <w:pPr>
        <w:tabs>
          <w:tab w:val="left" w:pos="420"/>
          <w:tab w:val="left" w:pos="7560"/>
          <w:tab w:val="left" w:pos="7740"/>
          <w:tab w:val="left" w:pos="7920"/>
        </w:tabs>
        <w:adjustRightInd w:val="0"/>
        <w:snapToGrid w:val="0"/>
        <w:spacing w:line="360" w:lineRule="exact"/>
        <w:rPr>
          <w:rFonts w:ascii="宋体" w:hAnsi="宋体"/>
          <w:b/>
          <w:color w:val="auto"/>
          <w:sz w:val="28"/>
          <w:szCs w:val="24"/>
          <w:highlight w:val="none"/>
        </w:rPr>
      </w:pPr>
      <w:bookmarkStart w:id="83" w:name="_Toc293736024"/>
      <w:bookmarkStart w:id="84" w:name="_Toc293736067"/>
      <w:bookmarkStart w:id="85" w:name="_Toc293739005"/>
      <w:bookmarkStart w:id="86" w:name="_Toc446599330"/>
    </w:p>
    <w:p w14:paraId="74943B06">
      <w:pPr>
        <w:pStyle w:val="13"/>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采购政策功能落实：</w:t>
      </w:r>
    </w:p>
    <w:p w14:paraId="10716DF7">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1、小微型企业价格扣除</w:t>
      </w:r>
    </w:p>
    <w:p w14:paraId="2068567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（1）本项目</w:t>
      </w:r>
      <w:r>
        <w:rPr>
          <w:rFonts w:hint="eastAsia" w:ascii="宋体" w:hAnsi="宋体" w:cs="宋体"/>
          <w:color w:val="auto"/>
          <w:sz w:val="24"/>
          <w:szCs w:val="24"/>
          <w:highlight w:val="none"/>
          <w:lang w:eastAsia="zh-CN"/>
        </w:rPr>
        <w:t>专门面向中小微企业，</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中</w:t>
      </w:r>
      <w:r>
        <w:rPr>
          <w:rFonts w:hint="eastAsia" w:ascii="宋体" w:hAnsi="宋体" w:cs="宋体"/>
          <w:color w:val="auto"/>
          <w:sz w:val="24"/>
          <w:szCs w:val="24"/>
          <w:highlight w:val="none"/>
        </w:rPr>
        <w:t>小型和微型企业产品</w:t>
      </w:r>
      <w:r>
        <w:rPr>
          <w:rFonts w:hint="eastAsia" w:ascii="宋体" w:hAnsi="宋体" w:cs="宋体"/>
          <w:color w:val="auto"/>
          <w:sz w:val="24"/>
          <w:szCs w:val="24"/>
          <w:highlight w:val="none"/>
          <w:lang w:eastAsia="zh-CN"/>
        </w:rPr>
        <w:t>不</w:t>
      </w:r>
      <w:r>
        <w:rPr>
          <w:rFonts w:hint="eastAsia" w:ascii="宋体" w:hAnsi="宋体" w:cs="宋体"/>
          <w:color w:val="auto"/>
          <w:sz w:val="24"/>
          <w:szCs w:val="24"/>
          <w:highlight w:val="none"/>
        </w:rPr>
        <w:t>给予</w:t>
      </w:r>
      <w:r>
        <w:rPr>
          <w:rFonts w:hint="eastAsia" w:ascii="宋体" w:hAnsi="宋体" w:cs="宋体"/>
          <w:color w:val="auto"/>
          <w:sz w:val="24"/>
          <w:szCs w:val="24"/>
          <w:highlight w:val="none"/>
          <w:lang w:eastAsia="zh-CN"/>
        </w:rPr>
        <w:t>价格</w:t>
      </w:r>
      <w:r>
        <w:rPr>
          <w:rFonts w:hint="eastAsia" w:ascii="宋体" w:hAnsi="宋体" w:cs="宋体"/>
          <w:color w:val="auto"/>
          <w:sz w:val="24"/>
          <w:szCs w:val="24"/>
          <w:highlight w:val="none"/>
        </w:rPr>
        <w:t>扣除，用扣除后的价格参与评审。</w:t>
      </w:r>
    </w:p>
    <w:p w14:paraId="24539DD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（2）供应商需按照采购文件的要求提供相应的《企业声明函》。</w:t>
      </w:r>
    </w:p>
    <w:p w14:paraId="35BDC682">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（3）企业标准请参照《关于印发中小企业划型标准规定的通知》（工信部联企业[2011]300号）文件规定自行填写。</w:t>
      </w:r>
    </w:p>
    <w:p w14:paraId="705EC23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2、残疾人福利单位价格扣除</w:t>
      </w:r>
    </w:p>
    <w:p w14:paraId="5BF6F7CB">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（1）本项目对残疾人福利性单位视同小型、微型企业，给予</w:t>
      </w:r>
      <w:r>
        <w:rPr>
          <w:rFonts w:hint="eastAsia" w:ascii="宋体" w:hAnsi="宋体" w:cs="宋体"/>
          <w:color w:val="auto"/>
          <w:sz w:val="24"/>
          <w:szCs w:val="24"/>
          <w:highlight w:val="none"/>
          <w:lang w:eastAsia="zh-CN"/>
        </w:rPr>
        <w:t>10%</w:t>
      </w:r>
      <w:r>
        <w:rPr>
          <w:rFonts w:hint="eastAsia" w:ascii="宋体" w:hAnsi="宋体" w:cs="宋体"/>
          <w:color w:val="auto"/>
          <w:sz w:val="24"/>
          <w:szCs w:val="24"/>
          <w:highlight w:val="none"/>
        </w:rPr>
        <w:t>的价格扣除，用扣除后的价格参与评审。</w:t>
      </w:r>
    </w:p>
    <w:p w14:paraId="4574D987">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（2）残疾人福利单位需按照采购文件的要求提供《残疾人福利性单位声明函》。</w:t>
      </w:r>
    </w:p>
    <w:p w14:paraId="0C2ABAE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（3）残疾人福利单位标准请参照《关于促进残疾人就业政府采购政策的通知》（财库〔2017〕141号）。</w:t>
      </w:r>
    </w:p>
    <w:p w14:paraId="4A7F9911">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3、监狱和戒毒企业价格扣除</w:t>
      </w:r>
    </w:p>
    <w:p w14:paraId="6F8C8DA4">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（1）本项目对监狱和戒毒企业（简称监狱企业）视同小型、微型企业，给予</w:t>
      </w:r>
      <w:r>
        <w:rPr>
          <w:rFonts w:hint="eastAsia" w:ascii="宋体" w:hAnsi="宋体" w:cs="宋体"/>
          <w:color w:val="auto"/>
          <w:sz w:val="24"/>
          <w:szCs w:val="24"/>
          <w:highlight w:val="none"/>
          <w:lang w:eastAsia="zh-CN"/>
        </w:rPr>
        <w:t>10%</w:t>
      </w:r>
      <w:r>
        <w:rPr>
          <w:rFonts w:hint="eastAsia" w:ascii="宋体" w:hAnsi="宋体" w:cs="宋体"/>
          <w:color w:val="auto"/>
          <w:sz w:val="24"/>
          <w:szCs w:val="24"/>
          <w:highlight w:val="none"/>
        </w:rPr>
        <w:t>的价格扣除，用扣除后的价格参与评审。</w:t>
      </w:r>
    </w:p>
    <w:p w14:paraId="1A42B57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3469E44">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（3）监狱企业标准请参照《关于政府采购支持监狱企业发展有关问题的通知》（财库[2014]68号）。</w:t>
      </w:r>
    </w:p>
    <w:p w14:paraId="1E7FF6B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4、残疾人福利单位、监狱企业属于小型、微型企业的，不重复享受政策。</w:t>
      </w:r>
    </w:p>
    <w:p w14:paraId="0416D8E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C0AFFF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6、联合体各方均为小型、微型企业（残疾人福利单位、监狱企业）的，联合体享受</w:t>
      </w:r>
      <w:r>
        <w:rPr>
          <w:rFonts w:hint="eastAsia" w:ascii="宋体" w:hAnsi="宋体" w:cs="宋体"/>
          <w:color w:val="auto"/>
          <w:sz w:val="24"/>
          <w:szCs w:val="24"/>
          <w:highlight w:val="none"/>
          <w:lang w:eastAsia="zh-CN"/>
        </w:rPr>
        <w:t>10%</w:t>
      </w:r>
      <w:r>
        <w:rPr>
          <w:rFonts w:hint="eastAsia" w:ascii="宋体" w:hAnsi="宋体" w:cs="宋体"/>
          <w:color w:val="auto"/>
          <w:sz w:val="24"/>
          <w:szCs w:val="24"/>
          <w:highlight w:val="none"/>
        </w:rPr>
        <w:t>价格扣除，用扣除后的价格参与评审。</w:t>
      </w:r>
    </w:p>
    <w:p w14:paraId="10047D25">
      <w:pPr>
        <w:pStyle w:val="13"/>
        <w:spacing w:line="400" w:lineRule="exact"/>
        <w:ind w:firstLine="484" w:firstLineChars="202"/>
        <w:jc w:val="left"/>
        <w:rPr>
          <w:rFonts w:ascii="宋体" w:hAnsi="宋体" w:cs="宋体"/>
          <w:color w:val="auto"/>
          <w:sz w:val="24"/>
          <w:szCs w:val="24"/>
          <w:highlight w:val="none"/>
        </w:rPr>
      </w:pPr>
    </w:p>
    <w:p w14:paraId="360FBF45">
      <w:pPr>
        <w:rPr>
          <w:color w:val="auto"/>
          <w:highlight w:val="none"/>
        </w:rPr>
      </w:pPr>
      <w:r>
        <w:rPr>
          <w:rFonts w:hint="eastAsia"/>
          <w:color w:val="auto"/>
          <w:highlight w:val="none"/>
        </w:rPr>
        <w:br w:type="page"/>
      </w:r>
    </w:p>
    <w:p w14:paraId="41DCC971">
      <w:pPr>
        <w:pStyle w:val="97"/>
        <w:numPr>
          <w:ilvl w:val="0"/>
          <w:numId w:val="4"/>
        </w:numPr>
        <w:spacing w:line="500" w:lineRule="exact"/>
        <w:ind w:firstLineChars="0"/>
        <w:outlineLvl w:val="1"/>
        <w:rPr>
          <w:rFonts w:ascii="宋体" w:hAnsi="宋体" w:cs="宋体"/>
          <w:b/>
          <w:color w:val="auto"/>
          <w:sz w:val="28"/>
          <w:szCs w:val="28"/>
          <w:highlight w:val="none"/>
        </w:rPr>
      </w:pPr>
      <w:bookmarkStart w:id="87" w:name="_Toc12926"/>
      <w:bookmarkStart w:id="88" w:name="_Toc16809"/>
      <w:r>
        <w:rPr>
          <w:rFonts w:hint="eastAsia" w:ascii="宋体" w:hAnsi="宋体" w:cs="宋体"/>
          <w:b/>
          <w:color w:val="auto"/>
          <w:sz w:val="28"/>
          <w:szCs w:val="28"/>
          <w:highlight w:val="none"/>
        </w:rPr>
        <w:t>评审办法</w:t>
      </w:r>
      <w:r>
        <w:rPr>
          <w:rFonts w:ascii="宋体" w:hAnsi="宋体" w:cs="宋体"/>
          <w:b/>
          <w:color w:val="auto"/>
          <w:sz w:val="28"/>
          <w:szCs w:val="28"/>
          <w:highlight w:val="none"/>
        </w:rPr>
        <w:t>（</w:t>
      </w:r>
      <w:r>
        <w:rPr>
          <w:rFonts w:hint="eastAsia" w:ascii="宋体" w:hAnsi="宋体" w:cs="宋体"/>
          <w:b/>
          <w:color w:val="auto"/>
          <w:sz w:val="28"/>
          <w:szCs w:val="28"/>
          <w:highlight w:val="none"/>
        </w:rPr>
        <w:t>附表</w:t>
      </w:r>
      <w:r>
        <w:rPr>
          <w:rFonts w:ascii="宋体" w:hAnsi="宋体" w:cs="宋体"/>
          <w:b/>
          <w:color w:val="auto"/>
          <w:sz w:val="28"/>
          <w:szCs w:val="28"/>
          <w:highlight w:val="none"/>
        </w:rPr>
        <w:t>一、二）</w:t>
      </w:r>
      <w:bookmarkEnd w:id="87"/>
      <w:bookmarkEnd w:id="88"/>
    </w:p>
    <w:p w14:paraId="2BBF2C80">
      <w:pPr>
        <w:pStyle w:val="80"/>
        <w:rPr>
          <w:rFonts w:ascii="宋体" w:hAnsi="宋体" w:cs="宋体"/>
          <w:color w:val="auto"/>
          <w:sz w:val="22"/>
          <w:szCs w:val="22"/>
          <w:highlight w:val="none"/>
        </w:rPr>
      </w:pPr>
    </w:p>
    <w:p w14:paraId="7225E59F">
      <w:pPr>
        <w:pStyle w:val="80"/>
        <w:rPr>
          <w:rFonts w:ascii="宋体" w:hAnsi="宋体" w:cs="宋体"/>
          <w:color w:val="auto"/>
          <w:sz w:val="22"/>
          <w:szCs w:val="22"/>
          <w:highlight w:val="none"/>
        </w:rPr>
      </w:pPr>
      <w:r>
        <w:rPr>
          <w:rFonts w:hint="eastAsia" w:ascii="宋体" w:hAnsi="宋体" w:cs="宋体"/>
          <w:color w:val="auto"/>
          <w:sz w:val="22"/>
          <w:szCs w:val="22"/>
          <w:highlight w:val="none"/>
        </w:rPr>
        <w:t>附表一：</w:t>
      </w:r>
    </w:p>
    <w:p w14:paraId="347DCF5A">
      <w:pPr>
        <w:pStyle w:val="80"/>
        <w:jc w:val="center"/>
        <w:rPr>
          <w:rFonts w:ascii="宋体" w:hAnsi="宋体" w:cs="宋体"/>
          <w:color w:val="auto"/>
          <w:sz w:val="28"/>
          <w:szCs w:val="28"/>
          <w:highlight w:val="none"/>
        </w:rPr>
      </w:pPr>
      <w:r>
        <w:rPr>
          <w:rFonts w:hint="eastAsia" w:ascii="宋体" w:hAnsi="宋体" w:cs="宋体"/>
          <w:b/>
          <w:bCs/>
          <w:color w:val="auto"/>
          <w:sz w:val="28"/>
          <w:szCs w:val="32"/>
          <w:highlight w:val="none"/>
        </w:rPr>
        <w:t>初步评审－资格、符合性审查表</w:t>
      </w:r>
    </w:p>
    <w:tbl>
      <w:tblPr>
        <w:tblStyle w:val="3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889"/>
      </w:tblGrid>
      <w:tr w14:paraId="14D5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BBA9F35">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项目</w:t>
            </w:r>
          </w:p>
        </w:tc>
        <w:tc>
          <w:tcPr>
            <w:tcW w:w="7889" w:type="dxa"/>
            <w:noWrap w:val="0"/>
            <w:vAlign w:val="center"/>
          </w:tcPr>
          <w:p w14:paraId="1DA54759">
            <w:pPr>
              <w:spacing w:line="400" w:lineRule="exact"/>
              <w:jc w:val="center"/>
              <w:rPr>
                <w:rFonts w:ascii="宋体" w:hAnsi="宋体"/>
                <w:b/>
                <w:color w:val="auto"/>
                <w:szCs w:val="21"/>
                <w:highlight w:val="none"/>
              </w:rPr>
            </w:pPr>
            <w:r>
              <w:rPr>
                <w:rFonts w:ascii="宋体" w:hAnsi="宋体"/>
                <w:b/>
                <w:color w:val="auto"/>
                <w:szCs w:val="21"/>
                <w:highlight w:val="none"/>
              </w:rPr>
              <w:t>评审因素</w:t>
            </w:r>
          </w:p>
        </w:tc>
      </w:tr>
      <w:tr w14:paraId="012E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900" w:type="dxa"/>
            <w:vMerge w:val="restart"/>
            <w:noWrap w:val="0"/>
            <w:vAlign w:val="center"/>
          </w:tcPr>
          <w:p w14:paraId="3722E1F4">
            <w:pPr>
              <w:spacing w:line="400" w:lineRule="exact"/>
              <w:jc w:val="center"/>
              <w:rPr>
                <w:rFonts w:ascii="宋体" w:hAnsi="宋体"/>
                <w:b/>
                <w:color w:val="auto"/>
                <w:szCs w:val="21"/>
                <w:highlight w:val="none"/>
              </w:rPr>
            </w:pPr>
            <w:r>
              <w:rPr>
                <w:rFonts w:hint="eastAsia" w:ascii="宋体" w:hAnsi="宋体"/>
                <w:b/>
                <w:color w:val="auto"/>
                <w:szCs w:val="21"/>
                <w:highlight w:val="none"/>
              </w:rPr>
              <w:t>资格性检查</w:t>
            </w:r>
          </w:p>
        </w:tc>
        <w:tc>
          <w:tcPr>
            <w:tcW w:w="7889" w:type="dxa"/>
            <w:noWrap w:val="0"/>
            <w:vAlign w:val="center"/>
          </w:tcPr>
          <w:p w14:paraId="630E209E">
            <w:pPr>
              <w:spacing w:line="400" w:lineRule="exact"/>
              <w:rPr>
                <w:rFonts w:hint="eastAsia" w:ascii="宋体" w:hAnsi="宋体"/>
                <w:color w:val="auto"/>
                <w:szCs w:val="21"/>
                <w:highlight w:val="none"/>
              </w:rPr>
            </w:pPr>
            <w:r>
              <w:rPr>
                <w:rFonts w:hint="eastAsia" w:ascii="宋体" w:hAnsi="宋体"/>
                <w:color w:val="auto"/>
                <w:szCs w:val="21"/>
                <w:highlight w:val="none"/>
              </w:rPr>
              <w:t>1、符合《中华人民共和国政府采购法》第二十二条规定：</w:t>
            </w:r>
          </w:p>
          <w:p w14:paraId="7BB61F4F">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1）有效的营业执照复印件；</w:t>
            </w:r>
          </w:p>
          <w:p w14:paraId="6E7B6123">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2）属于中国灾害防御协会《关于公布全国地震安全性评价从业单位最新信息的通知》名单内的备案单位</w:t>
            </w:r>
            <w:r>
              <w:rPr>
                <w:rFonts w:hint="eastAsia" w:ascii="宋体" w:hAnsi="宋体" w:cs="Times New Roman"/>
                <w:color w:val="auto"/>
                <w:szCs w:val="21"/>
                <w:highlight w:val="none"/>
                <w:lang w:val="en-US" w:eastAsia="zh-CN"/>
              </w:rPr>
              <w:t>证明</w:t>
            </w:r>
          </w:p>
          <w:p w14:paraId="435549C1">
            <w:pPr>
              <w:spacing w:line="400" w:lineRule="exac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）投标声明按招标文件规定格式完整提供；</w:t>
            </w:r>
          </w:p>
          <w:p w14:paraId="472B423E">
            <w:pPr>
              <w:spacing w:line="400" w:lineRule="exact"/>
              <w:rPr>
                <w:rFonts w:hint="default"/>
                <w:color w:val="auto"/>
                <w:highlight w:val="none"/>
                <w:lang w:val="en-US" w:eastAsia="zh-CN"/>
              </w:rPr>
            </w:pPr>
            <w:r>
              <w:rPr>
                <w:rFonts w:hint="eastAsia" w:ascii="宋体" w:hAnsi="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中小企业申明函</w:t>
            </w:r>
            <w:r>
              <w:rPr>
                <w:rFonts w:hint="default" w:ascii="宋体" w:hAnsi="宋体" w:eastAsia="宋体" w:cs="Times New Roman"/>
                <w:color w:val="auto"/>
                <w:szCs w:val="21"/>
                <w:highlight w:val="none"/>
                <w:lang w:val="en-US" w:eastAsia="zh-CN"/>
              </w:rPr>
              <w:t>；</w:t>
            </w:r>
          </w:p>
        </w:tc>
      </w:tr>
      <w:tr w14:paraId="637E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310F0C5F">
            <w:pPr>
              <w:spacing w:line="400" w:lineRule="exact"/>
              <w:jc w:val="center"/>
              <w:rPr>
                <w:rFonts w:ascii="宋体" w:hAnsi="宋体"/>
                <w:color w:val="auto"/>
                <w:szCs w:val="21"/>
                <w:highlight w:val="none"/>
              </w:rPr>
            </w:pPr>
          </w:p>
        </w:tc>
        <w:tc>
          <w:tcPr>
            <w:tcW w:w="7889" w:type="dxa"/>
            <w:noWrap w:val="0"/>
            <w:vAlign w:val="center"/>
          </w:tcPr>
          <w:p w14:paraId="3DD807F6">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2、未超出经营范围投标</w:t>
            </w:r>
            <w:r>
              <w:rPr>
                <w:rFonts w:hint="eastAsia" w:ascii="宋体" w:hAnsi="宋体"/>
                <w:color w:val="auto"/>
                <w:szCs w:val="21"/>
                <w:highlight w:val="none"/>
                <w:lang w:eastAsia="zh-CN"/>
              </w:rPr>
              <w:t>；</w:t>
            </w:r>
          </w:p>
        </w:tc>
      </w:tr>
      <w:tr w14:paraId="1636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16D4B09C">
            <w:pPr>
              <w:spacing w:line="400" w:lineRule="exact"/>
              <w:jc w:val="center"/>
              <w:rPr>
                <w:rFonts w:ascii="宋体" w:hAnsi="宋体"/>
                <w:color w:val="auto"/>
                <w:szCs w:val="21"/>
                <w:highlight w:val="none"/>
              </w:rPr>
            </w:pPr>
          </w:p>
        </w:tc>
        <w:tc>
          <w:tcPr>
            <w:tcW w:w="7889" w:type="dxa"/>
            <w:noWrap w:val="0"/>
            <w:vAlign w:val="center"/>
          </w:tcPr>
          <w:p w14:paraId="699198F3">
            <w:pPr>
              <w:spacing w:line="400" w:lineRule="exac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、按规定交纳投标保证金</w:t>
            </w:r>
          </w:p>
        </w:tc>
      </w:tr>
      <w:tr w14:paraId="1FF8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restart"/>
            <w:noWrap w:val="0"/>
            <w:vAlign w:val="center"/>
          </w:tcPr>
          <w:p w14:paraId="39311BAB">
            <w:pPr>
              <w:spacing w:line="400" w:lineRule="exact"/>
              <w:jc w:val="center"/>
              <w:rPr>
                <w:rFonts w:ascii="宋体" w:hAnsi="宋体"/>
                <w:b/>
                <w:color w:val="auto"/>
                <w:szCs w:val="21"/>
                <w:highlight w:val="none"/>
              </w:rPr>
            </w:pPr>
            <w:r>
              <w:rPr>
                <w:rFonts w:hint="eastAsia" w:ascii="宋体" w:hAnsi="宋体"/>
                <w:b/>
                <w:color w:val="auto"/>
                <w:szCs w:val="21"/>
                <w:highlight w:val="none"/>
              </w:rPr>
              <w:t>符合性检查</w:t>
            </w:r>
          </w:p>
        </w:tc>
        <w:tc>
          <w:tcPr>
            <w:tcW w:w="7889" w:type="dxa"/>
            <w:noWrap w:val="0"/>
            <w:vAlign w:val="center"/>
          </w:tcPr>
          <w:p w14:paraId="5AE4F5F3">
            <w:pPr>
              <w:spacing w:line="40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供应商名称与购买文件时一致且有有效变更证明的；</w:t>
            </w:r>
          </w:p>
        </w:tc>
      </w:tr>
      <w:tr w14:paraId="6E2C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4631CDD8">
            <w:pPr>
              <w:spacing w:line="400" w:lineRule="exact"/>
              <w:jc w:val="center"/>
              <w:rPr>
                <w:rFonts w:ascii="宋体" w:hAnsi="宋体"/>
                <w:color w:val="auto"/>
                <w:szCs w:val="21"/>
                <w:highlight w:val="none"/>
              </w:rPr>
            </w:pPr>
          </w:p>
        </w:tc>
        <w:tc>
          <w:tcPr>
            <w:tcW w:w="7889" w:type="dxa"/>
            <w:noWrap w:val="0"/>
            <w:vAlign w:val="top"/>
          </w:tcPr>
          <w:p w14:paraId="78F8C631">
            <w:pPr>
              <w:spacing w:line="40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按照磋商文件要求交纳磋商保证金的；</w:t>
            </w:r>
          </w:p>
        </w:tc>
      </w:tr>
      <w:tr w14:paraId="42D3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368758ED">
            <w:pPr>
              <w:spacing w:line="400" w:lineRule="exact"/>
              <w:jc w:val="center"/>
              <w:rPr>
                <w:rFonts w:ascii="宋体" w:hAnsi="宋体"/>
                <w:color w:val="auto"/>
                <w:szCs w:val="21"/>
                <w:highlight w:val="none"/>
              </w:rPr>
            </w:pPr>
          </w:p>
        </w:tc>
        <w:tc>
          <w:tcPr>
            <w:tcW w:w="7889" w:type="dxa"/>
            <w:noWrap w:val="0"/>
            <w:vAlign w:val="center"/>
          </w:tcPr>
          <w:p w14:paraId="1E3611F3">
            <w:pPr>
              <w:spacing w:line="40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响应文件按照磋商文件规定要求密封、签署、盖章的；</w:t>
            </w:r>
          </w:p>
        </w:tc>
      </w:tr>
      <w:tr w14:paraId="7CAA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5E811CD2">
            <w:pPr>
              <w:spacing w:line="400" w:lineRule="exact"/>
              <w:jc w:val="center"/>
              <w:rPr>
                <w:rFonts w:ascii="宋体" w:hAnsi="宋体"/>
                <w:color w:val="auto"/>
                <w:szCs w:val="21"/>
                <w:highlight w:val="none"/>
              </w:rPr>
            </w:pPr>
          </w:p>
        </w:tc>
        <w:tc>
          <w:tcPr>
            <w:tcW w:w="7889" w:type="dxa"/>
            <w:noWrap w:val="0"/>
            <w:vAlign w:val="center"/>
          </w:tcPr>
          <w:p w14:paraId="1E20D0A0">
            <w:pPr>
              <w:spacing w:line="400" w:lineRule="exac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供应商报价低于磋商文件规定的预算金额（最高限价）；</w:t>
            </w:r>
          </w:p>
        </w:tc>
      </w:tr>
      <w:tr w14:paraId="69FE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2351645A">
            <w:pPr>
              <w:spacing w:line="400" w:lineRule="exact"/>
              <w:jc w:val="center"/>
              <w:rPr>
                <w:rFonts w:ascii="宋体" w:hAnsi="宋体"/>
                <w:color w:val="auto"/>
                <w:szCs w:val="21"/>
                <w:highlight w:val="none"/>
              </w:rPr>
            </w:pPr>
          </w:p>
        </w:tc>
        <w:tc>
          <w:tcPr>
            <w:tcW w:w="7889" w:type="dxa"/>
            <w:noWrap w:val="0"/>
            <w:vAlign w:val="center"/>
          </w:tcPr>
          <w:p w14:paraId="7DEF2171">
            <w:pPr>
              <w:spacing w:line="400" w:lineRule="exac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磋商有效期符合磋商文件中规定的；</w:t>
            </w:r>
          </w:p>
        </w:tc>
      </w:tr>
      <w:tr w14:paraId="1472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721A3936">
            <w:pPr>
              <w:spacing w:line="400" w:lineRule="exact"/>
              <w:jc w:val="center"/>
              <w:rPr>
                <w:rFonts w:ascii="宋体" w:hAnsi="宋体"/>
                <w:color w:val="auto"/>
                <w:szCs w:val="21"/>
                <w:highlight w:val="none"/>
              </w:rPr>
            </w:pPr>
          </w:p>
        </w:tc>
        <w:tc>
          <w:tcPr>
            <w:tcW w:w="7889" w:type="dxa"/>
            <w:noWrap w:val="0"/>
            <w:vAlign w:val="center"/>
          </w:tcPr>
          <w:p w14:paraId="62D9C840">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6、</w:t>
            </w:r>
            <w:r>
              <w:rPr>
                <w:rFonts w:hint="eastAsia" w:ascii="宋体" w:hAnsi="宋体" w:cs="宋体"/>
                <w:color w:val="auto"/>
                <w:szCs w:val="21"/>
                <w:highlight w:val="none"/>
              </w:rPr>
              <w:t>符合磋商文件中规定的实质性要求和条件的；</w:t>
            </w:r>
          </w:p>
        </w:tc>
      </w:tr>
      <w:tr w14:paraId="5B3C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31839BC6">
            <w:pPr>
              <w:spacing w:line="400" w:lineRule="exact"/>
              <w:jc w:val="center"/>
              <w:rPr>
                <w:rFonts w:ascii="宋体" w:hAnsi="宋体"/>
                <w:color w:val="auto"/>
                <w:szCs w:val="21"/>
                <w:highlight w:val="none"/>
              </w:rPr>
            </w:pPr>
          </w:p>
        </w:tc>
        <w:tc>
          <w:tcPr>
            <w:tcW w:w="7889" w:type="dxa"/>
            <w:noWrap w:val="0"/>
            <w:vAlign w:val="center"/>
          </w:tcPr>
          <w:p w14:paraId="51D396B4">
            <w:pPr>
              <w:spacing w:line="400" w:lineRule="exact"/>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没有串通投标或弄虚作假或有其他违法行为的；</w:t>
            </w:r>
          </w:p>
        </w:tc>
      </w:tr>
      <w:tr w14:paraId="3B0C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00B32E51">
            <w:pPr>
              <w:spacing w:line="400" w:lineRule="exact"/>
              <w:jc w:val="center"/>
              <w:rPr>
                <w:rFonts w:ascii="宋体" w:hAnsi="宋体"/>
                <w:color w:val="auto"/>
                <w:szCs w:val="21"/>
                <w:highlight w:val="none"/>
              </w:rPr>
            </w:pPr>
          </w:p>
        </w:tc>
        <w:tc>
          <w:tcPr>
            <w:tcW w:w="7889" w:type="dxa"/>
            <w:noWrap w:val="0"/>
            <w:vAlign w:val="center"/>
          </w:tcPr>
          <w:p w14:paraId="663F5AEF">
            <w:pPr>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响应文件中没有采购人不能接受的附加条件的；</w:t>
            </w:r>
          </w:p>
        </w:tc>
      </w:tr>
      <w:tr w14:paraId="7661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4CD814C9">
            <w:pPr>
              <w:spacing w:line="400" w:lineRule="exact"/>
              <w:jc w:val="center"/>
              <w:rPr>
                <w:rFonts w:ascii="宋体" w:hAnsi="宋体"/>
                <w:color w:val="auto"/>
                <w:szCs w:val="21"/>
                <w:highlight w:val="none"/>
              </w:rPr>
            </w:pPr>
          </w:p>
        </w:tc>
        <w:tc>
          <w:tcPr>
            <w:tcW w:w="7889" w:type="dxa"/>
            <w:noWrap w:val="0"/>
            <w:vAlign w:val="center"/>
          </w:tcPr>
          <w:p w14:paraId="0224720E">
            <w:pPr>
              <w:pStyle w:val="13"/>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符合法律、法规和磋商文件中规定的其他实质性要求的；</w:t>
            </w:r>
          </w:p>
        </w:tc>
      </w:tr>
      <w:tr w14:paraId="55E3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0" w:type="dxa"/>
            <w:vMerge w:val="continue"/>
            <w:noWrap w:val="0"/>
            <w:vAlign w:val="center"/>
          </w:tcPr>
          <w:p w14:paraId="230E1C73">
            <w:pPr>
              <w:spacing w:line="400" w:lineRule="exact"/>
              <w:jc w:val="center"/>
              <w:rPr>
                <w:rFonts w:ascii="宋体" w:hAnsi="宋体"/>
                <w:color w:val="auto"/>
                <w:szCs w:val="21"/>
                <w:highlight w:val="none"/>
              </w:rPr>
            </w:pPr>
          </w:p>
        </w:tc>
        <w:tc>
          <w:tcPr>
            <w:tcW w:w="7889" w:type="dxa"/>
            <w:noWrap w:val="0"/>
            <w:vAlign w:val="center"/>
          </w:tcPr>
          <w:p w14:paraId="1E4E01A9">
            <w:pPr>
              <w:pStyle w:val="13"/>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符合法律、法规及本磋商文件规定的其他情形。</w:t>
            </w:r>
          </w:p>
        </w:tc>
      </w:tr>
      <w:tr w14:paraId="244B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89" w:type="dxa"/>
            <w:gridSpan w:val="2"/>
            <w:noWrap w:val="0"/>
            <w:vAlign w:val="center"/>
          </w:tcPr>
          <w:p w14:paraId="3C48F211">
            <w:pPr>
              <w:spacing w:line="400" w:lineRule="exact"/>
              <w:rPr>
                <w:rFonts w:hint="eastAsia" w:ascii="宋体" w:hAnsi="宋体"/>
                <w:color w:val="auto"/>
                <w:szCs w:val="21"/>
                <w:highlight w:val="none"/>
              </w:rPr>
            </w:pPr>
            <w:r>
              <w:rPr>
                <w:rFonts w:hint="eastAsia" w:ascii="宋体" w:hAnsi="宋体" w:cs="宋体"/>
                <w:b/>
                <w:color w:val="auto"/>
                <w:szCs w:val="21"/>
                <w:highlight w:val="none"/>
              </w:rPr>
              <w:t>注：以上检查内容必须全部满足检查标准，否则视为无效投标。</w:t>
            </w:r>
          </w:p>
        </w:tc>
      </w:tr>
    </w:tbl>
    <w:p w14:paraId="6DF6B821">
      <w:pPr>
        <w:tabs>
          <w:tab w:val="left" w:pos="420"/>
          <w:tab w:val="left" w:pos="7560"/>
          <w:tab w:val="left" w:pos="7740"/>
          <w:tab w:val="left" w:pos="7920"/>
        </w:tabs>
        <w:adjustRightInd w:val="0"/>
        <w:snapToGrid w:val="0"/>
        <w:spacing w:line="360" w:lineRule="exact"/>
        <w:rPr>
          <w:rFonts w:ascii="宋体" w:hAnsi="宋体"/>
          <w:b/>
          <w:color w:val="auto"/>
          <w:sz w:val="28"/>
          <w:szCs w:val="24"/>
          <w:highlight w:val="none"/>
        </w:rPr>
      </w:pPr>
    </w:p>
    <w:p w14:paraId="2AA0CB64">
      <w:pPr>
        <w:pStyle w:val="33"/>
        <w:ind w:firstLine="1126"/>
        <w:rPr>
          <w:color w:val="auto"/>
          <w:highlight w:val="none"/>
        </w:rPr>
      </w:pPr>
    </w:p>
    <w:p w14:paraId="22AFD801">
      <w:pPr>
        <w:pStyle w:val="33"/>
        <w:ind w:firstLine="1126"/>
        <w:rPr>
          <w:color w:val="auto"/>
          <w:highlight w:val="none"/>
        </w:rPr>
      </w:pPr>
    </w:p>
    <w:p w14:paraId="005AF9F6">
      <w:pPr>
        <w:pStyle w:val="33"/>
        <w:ind w:firstLine="1126"/>
        <w:rPr>
          <w:color w:val="auto"/>
          <w:highlight w:val="none"/>
        </w:rPr>
      </w:pPr>
    </w:p>
    <w:p w14:paraId="6770AC9B">
      <w:pPr>
        <w:pStyle w:val="33"/>
        <w:ind w:firstLine="1126"/>
        <w:rPr>
          <w:color w:val="auto"/>
          <w:highlight w:val="none"/>
        </w:rPr>
      </w:pPr>
    </w:p>
    <w:p w14:paraId="6CB8EF6D">
      <w:pPr>
        <w:pStyle w:val="33"/>
        <w:ind w:firstLine="1126"/>
        <w:rPr>
          <w:color w:val="auto"/>
          <w:highlight w:val="none"/>
        </w:rPr>
      </w:pPr>
    </w:p>
    <w:p w14:paraId="434926EC">
      <w:pPr>
        <w:pStyle w:val="33"/>
        <w:ind w:firstLine="1126"/>
        <w:rPr>
          <w:color w:val="auto"/>
          <w:highlight w:val="none"/>
        </w:rPr>
      </w:pPr>
    </w:p>
    <w:p w14:paraId="543E3D5B">
      <w:pPr>
        <w:pStyle w:val="33"/>
        <w:ind w:firstLine="1126"/>
        <w:rPr>
          <w:color w:val="auto"/>
          <w:highlight w:val="none"/>
        </w:rPr>
      </w:pPr>
    </w:p>
    <w:p w14:paraId="2FB8D14A">
      <w:pPr>
        <w:pStyle w:val="33"/>
        <w:ind w:firstLine="1126"/>
        <w:rPr>
          <w:color w:val="auto"/>
          <w:highlight w:val="none"/>
        </w:rPr>
      </w:pPr>
    </w:p>
    <w:p w14:paraId="51C15A07">
      <w:pPr>
        <w:pStyle w:val="33"/>
        <w:ind w:firstLine="1126"/>
        <w:rPr>
          <w:color w:val="auto"/>
          <w:highlight w:val="none"/>
        </w:rPr>
      </w:pPr>
    </w:p>
    <w:p w14:paraId="02E6FC73">
      <w:pPr>
        <w:pStyle w:val="80"/>
        <w:rPr>
          <w:rFonts w:ascii="宋体" w:hAnsi="宋体" w:cs="宋体"/>
          <w:color w:val="auto"/>
          <w:sz w:val="22"/>
          <w:szCs w:val="22"/>
          <w:highlight w:val="none"/>
        </w:rPr>
      </w:pPr>
    </w:p>
    <w:p w14:paraId="510FD985">
      <w:pPr>
        <w:pStyle w:val="80"/>
        <w:rPr>
          <w:rFonts w:ascii="宋体" w:hAnsi="宋体" w:cs="宋体"/>
          <w:color w:val="auto"/>
          <w:sz w:val="22"/>
          <w:szCs w:val="22"/>
          <w:highlight w:val="none"/>
        </w:rPr>
      </w:pPr>
      <w:r>
        <w:rPr>
          <w:rFonts w:hint="eastAsia" w:ascii="宋体" w:hAnsi="宋体" w:cs="宋体"/>
          <w:color w:val="auto"/>
          <w:sz w:val="22"/>
          <w:szCs w:val="22"/>
          <w:highlight w:val="none"/>
        </w:rPr>
        <w:t>附表二：</w:t>
      </w:r>
    </w:p>
    <w:p w14:paraId="17478B81">
      <w:pPr>
        <w:tabs>
          <w:tab w:val="left" w:pos="0"/>
        </w:tabs>
        <w:adjustRightInd w:val="0"/>
        <w:snapToGrid w:val="0"/>
        <w:spacing w:before="156" w:beforeLines="50" w:line="360" w:lineRule="auto"/>
        <w:rPr>
          <w:rFonts w:hint="eastAsia" w:ascii="宋体" w:hAnsi="宋体"/>
          <w:b/>
          <w:color w:val="auto"/>
          <w:szCs w:val="21"/>
          <w:highlight w:val="none"/>
        </w:rPr>
      </w:pPr>
      <w:r>
        <w:rPr>
          <w:rFonts w:hint="eastAsia" w:ascii="宋体" w:hAnsi="宋体"/>
          <w:b/>
          <w:color w:val="auto"/>
          <w:szCs w:val="21"/>
          <w:highlight w:val="none"/>
        </w:rPr>
        <w:t>评分办法：各投标人的总评分</w:t>
      </w:r>
      <w:r>
        <w:rPr>
          <w:rFonts w:ascii="宋体" w:hAnsi="宋体"/>
          <w:b/>
          <w:color w:val="auto"/>
          <w:szCs w:val="21"/>
          <w:highlight w:val="none"/>
        </w:rPr>
        <w:t>=A+B</w:t>
      </w:r>
      <w:r>
        <w:rPr>
          <w:rFonts w:hint="eastAsia" w:ascii="宋体" w:hAnsi="宋体"/>
          <w:b/>
          <w:color w:val="auto"/>
          <w:szCs w:val="21"/>
          <w:highlight w:val="none"/>
        </w:rPr>
        <w:t>，具体评分细则如下：</w:t>
      </w:r>
    </w:p>
    <w:p w14:paraId="0E3CB98D">
      <w:pPr>
        <w:spacing w:line="460" w:lineRule="exact"/>
        <w:ind w:left="651" w:hanging="651" w:hangingChars="309"/>
        <w:rPr>
          <w:rFonts w:hint="eastAsia" w:ascii="宋体" w:hAnsi="宋体"/>
          <w:color w:val="auto"/>
          <w:szCs w:val="21"/>
          <w:highlight w:val="none"/>
        </w:rPr>
      </w:pPr>
      <w:r>
        <w:rPr>
          <w:rFonts w:hint="eastAsia" w:ascii="宋体" w:hAnsi="宋体"/>
          <w:b/>
          <w:bCs/>
          <w:color w:val="auto"/>
          <w:szCs w:val="21"/>
          <w:highlight w:val="none"/>
        </w:rPr>
        <w:t>评分细则</w:t>
      </w:r>
    </w:p>
    <w:tbl>
      <w:tblPr>
        <w:tblStyle w:val="3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371"/>
        <w:gridCol w:w="816"/>
      </w:tblGrid>
      <w:tr w14:paraId="3ABE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4AA709FF">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评分点</w:t>
            </w:r>
          </w:p>
        </w:tc>
        <w:tc>
          <w:tcPr>
            <w:tcW w:w="7371" w:type="dxa"/>
            <w:tcBorders>
              <w:top w:val="single" w:color="auto" w:sz="4" w:space="0"/>
              <w:left w:val="single" w:color="auto" w:sz="4" w:space="0"/>
              <w:bottom w:val="single" w:color="auto" w:sz="4" w:space="0"/>
              <w:right w:val="single" w:color="auto" w:sz="4" w:space="0"/>
            </w:tcBorders>
            <w:vAlign w:val="center"/>
          </w:tcPr>
          <w:p w14:paraId="05376930">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评分标准</w:t>
            </w:r>
          </w:p>
        </w:tc>
        <w:tc>
          <w:tcPr>
            <w:tcW w:w="816" w:type="dxa"/>
            <w:tcBorders>
              <w:top w:val="single" w:color="auto" w:sz="4" w:space="0"/>
              <w:left w:val="single" w:color="auto" w:sz="4" w:space="0"/>
              <w:bottom w:val="single" w:color="auto" w:sz="4" w:space="0"/>
              <w:right w:val="single" w:color="auto" w:sz="4" w:space="0"/>
            </w:tcBorders>
            <w:vAlign w:val="center"/>
          </w:tcPr>
          <w:p w14:paraId="39CAF8FB">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分值</w:t>
            </w:r>
          </w:p>
        </w:tc>
      </w:tr>
      <w:tr w14:paraId="5162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52" w:type="dxa"/>
            <w:gridSpan w:val="3"/>
            <w:tcBorders>
              <w:top w:val="single" w:color="auto" w:sz="4" w:space="0"/>
              <w:left w:val="single" w:color="auto" w:sz="4" w:space="0"/>
              <w:bottom w:val="single" w:color="auto" w:sz="4" w:space="0"/>
              <w:right w:val="single" w:color="auto" w:sz="4" w:space="0"/>
            </w:tcBorders>
            <w:vAlign w:val="center"/>
          </w:tcPr>
          <w:p w14:paraId="39FD9C50">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（一）价格部分10分</w:t>
            </w:r>
          </w:p>
        </w:tc>
      </w:tr>
      <w:tr w14:paraId="58F1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48566B58">
            <w:pPr>
              <w:spacing w:line="340" w:lineRule="exact"/>
              <w:jc w:val="center"/>
              <w:rPr>
                <w:rFonts w:hint="eastAsia" w:ascii="宋体" w:hAnsi="宋体"/>
                <w:color w:val="auto"/>
                <w:szCs w:val="21"/>
                <w:highlight w:val="none"/>
              </w:rPr>
            </w:pPr>
            <w:r>
              <w:rPr>
                <w:rFonts w:hint="eastAsia" w:ascii="宋体" w:hAnsi="宋体"/>
                <w:color w:val="auto"/>
                <w:szCs w:val="21"/>
                <w:highlight w:val="none"/>
              </w:rPr>
              <w:t>投标报价</w:t>
            </w:r>
          </w:p>
        </w:tc>
        <w:tc>
          <w:tcPr>
            <w:tcW w:w="7371" w:type="dxa"/>
            <w:tcBorders>
              <w:top w:val="single" w:color="auto" w:sz="4" w:space="0"/>
              <w:left w:val="single" w:color="auto" w:sz="4" w:space="0"/>
              <w:bottom w:val="single" w:color="auto" w:sz="4" w:space="0"/>
              <w:right w:val="single" w:color="auto" w:sz="4" w:space="0"/>
            </w:tcBorders>
            <w:vAlign w:val="center"/>
          </w:tcPr>
          <w:p w14:paraId="6CFFDCFB">
            <w:pPr>
              <w:pStyle w:val="21"/>
              <w:snapToGrid w:val="0"/>
              <w:spacing w:before="120" w:after="120" w:line="320" w:lineRule="exact"/>
              <w:rPr>
                <w:rFonts w:hint="eastAsia" w:ascii="宋体" w:hAnsi="宋体"/>
                <w:color w:val="auto"/>
                <w:sz w:val="21"/>
                <w:szCs w:val="21"/>
                <w:highlight w:val="none"/>
              </w:rPr>
            </w:pPr>
            <w:r>
              <w:rPr>
                <w:rFonts w:hint="eastAsia" w:ascii="宋体" w:hAnsi="宋体"/>
                <w:b/>
                <w:color w:val="auto"/>
                <w:sz w:val="21"/>
                <w:szCs w:val="21"/>
                <w:highlight w:val="none"/>
              </w:rPr>
              <w:t>投标报价得分=(评标基准价/投标报价)×</w:t>
            </w:r>
            <w:r>
              <w:rPr>
                <w:rFonts w:hint="eastAsia" w:hAnsi="宋体"/>
                <w:b/>
                <w:color w:val="auto"/>
                <w:sz w:val="21"/>
                <w:szCs w:val="21"/>
                <w:highlight w:val="none"/>
                <w:lang w:val="en-US" w:eastAsia="zh-CN"/>
              </w:rPr>
              <w:t>1</w:t>
            </w:r>
            <w:r>
              <w:rPr>
                <w:rFonts w:hint="eastAsia" w:ascii="宋体" w:hAnsi="宋体"/>
                <w:b/>
                <w:color w:val="auto"/>
                <w:sz w:val="21"/>
                <w:szCs w:val="21"/>
                <w:highlight w:val="none"/>
              </w:rPr>
              <w:t>0%×100</w:t>
            </w:r>
          </w:p>
          <w:p w14:paraId="5B6B84DF">
            <w:pPr>
              <w:spacing w:line="340" w:lineRule="exact"/>
              <w:jc w:val="left"/>
              <w:rPr>
                <w:rFonts w:hint="eastAsia" w:ascii="宋体" w:hAnsi="宋体"/>
                <w:color w:val="auto"/>
                <w:szCs w:val="21"/>
                <w:highlight w:val="none"/>
              </w:rPr>
            </w:pPr>
            <w:r>
              <w:rPr>
                <w:rFonts w:hint="eastAsia" w:ascii="宋体" w:hAnsi="宋体"/>
                <w:color w:val="auto"/>
                <w:kern w:val="0"/>
                <w:sz w:val="21"/>
                <w:szCs w:val="21"/>
                <w:highlight w:val="none"/>
              </w:rPr>
              <w:t>评标基准价：满足招标文件要求且投标价格最低的投标报价为评标基准价</w:t>
            </w:r>
            <w:r>
              <w:rPr>
                <w:rFonts w:hint="eastAsia" w:ascii="宋体" w:hAnsi="宋体"/>
                <w:b/>
                <w:bCs/>
                <w:color w:val="auto"/>
                <w:kern w:val="0"/>
                <w:sz w:val="21"/>
                <w:szCs w:val="21"/>
                <w:highlight w:val="none"/>
                <w:lang w:val="en-US" w:eastAsia="zh-CN"/>
              </w:rPr>
              <w:t>。</w:t>
            </w:r>
          </w:p>
        </w:tc>
        <w:tc>
          <w:tcPr>
            <w:tcW w:w="816" w:type="dxa"/>
            <w:tcBorders>
              <w:top w:val="single" w:color="auto" w:sz="4" w:space="0"/>
              <w:left w:val="single" w:color="auto" w:sz="4" w:space="0"/>
              <w:bottom w:val="single" w:color="auto" w:sz="4" w:space="0"/>
              <w:right w:val="single" w:color="auto" w:sz="4" w:space="0"/>
            </w:tcBorders>
            <w:vAlign w:val="center"/>
          </w:tcPr>
          <w:p w14:paraId="42A89891">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10</w:t>
            </w:r>
          </w:p>
        </w:tc>
      </w:tr>
      <w:tr w14:paraId="1953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52" w:type="dxa"/>
            <w:gridSpan w:val="3"/>
            <w:tcBorders>
              <w:top w:val="single" w:color="auto" w:sz="4" w:space="0"/>
              <w:left w:val="single" w:color="auto" w:sz="4" w:space="0"/>
              <w:bottom w:val="single" w:color="auto" w:sz="4" w:space="0"/>
              <w:right w:val="single" w:color="auto" w:sz="4" w:space="0"/>
            </w:tcBorders>
            <w:vAlign w:val="center"/>
          </w:tcPr>
          <w:p w14:paraId="4E51205C">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（二）商务部分</w:t>
            </w:r>
            <w:r>
              <w:rPr>
                <w:rFonts w:ascii="宋体" w:hAnsi="宋体"/>
                <w:b/>
                <w:color w:val="auto"/>
                <w:szCs w:val="21"/>
                <w:highlight w:val="none"/>
              </w:rPr>
              <w:t>40</w:t>
            </w:r>
            <w:r>
              <w:rPr>
                <w:rFonts w:hint="eastAsia" w:ascii="宋体" w:hAnsi="宋体"/>
                <w:b/>
                <w:color w:val="auto"/>
                <w:szCs w:val="21"/>
                <w:highlight w:val="none"/>
              </w:rPr>
              <w:t>分</w:t>
            </w:r>
          </w:p>
        </w:tc>
      </w:tr>
      <w:tr w14:paraId="53CD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29BB595A">
            <w:pPr>
              <w:spacing w:line="340" w:lineRule="exact"/>
              <w:jc w:val="center"/>
              <w:rPr>
                <w:rFonts w:hint="eastAsia" w:ascii="宋体" w:hAnsi="宋体"/>
                <w:color w:val="auto"/>
                <w:szCs w:val="21"/>
                <w:highlight w:val="none"/>
              </w:rPr>
            </w:pPr>
            <w:r>
              <w:rPr>
                <w:rFonts w:hint="eastAsia" w:ascii="宋体" w:hAnsi="宋体"/>
                <w:color w:val="auto"/>
                <w:szCs w:val="21"/>
                <w:highlight w:val="none"/>
              </w:rPr>
              <w:t>类似业绩</w:t>
            </w:r>
          </w:p>
        </w:tc>
        <w:tc>
          <w:tcPr>
            <w:tcW w:w="7371" w:type="dxa"/>
            <w:tcBorders>
              <w:top w:val="single" w:color="auto" w:sz="4" w:space="0"/>
              <w:left w:val="single" w:color="auto" w:sz="4" w:space="0"/>
              <w:bottom w:val="single" w:color="auto" w:sz="4" w:space="0"/>
              <w:right w:val="single" w:color="auto" w:sz="4" w:space="0"/>
            </w:tcBorders>
            <w:vAlign w:val="center"/>
          </w:tcPr>
          <w:p w14:paraId="0556F6E3">
            <w:pPr>
              <w:pStyle w:val="97"/>
              <w:spacing w:line="276" w:lineRule="auto"/>
              <w:ind w:firstLine="0" w:firstLineChars="0"/>
              <w:jc w:val="left"/>
              <w:rPr>
                <w:rFonts w:hint="eastAsia" w:ascii="宋体" w:hAnsi="宋体"/>
                <w:color w:val="auto"/>
                <w:szCs w:val="21"/>
                <w:highlight w:val="none"/>
              </w:rPr>
            </w:pPr>
            <w:r>
              <w:rPr>
                <w:rFonts w:hint="eastAsia" w:ascii="宋体" w:hAnsi="宋体"/>
                <w:color w:val="auto"/>
                <w:highlight w:val="none"/>
              </w:rPr>
              <w:t>投标人自2020年1月至今，开展过地震安全性评价工作，需提供合同扫描件</w:t>
            </w:r>
            <w:r>
              <w:rPr>
                <w:rFonts w:hint="eastAsia"/>
                <w:color w:val="auto"/>
                <w:highlight w:val="none"/>
              </w:rPr>
              <w:t>和批复扫描件</w:t>
            </w:r>
            <w:r>
              <w:rPr>
                <w:rFonts w:hint="eastAsia" w:ascii="宋体" w:hAnsi="宋体"/>
                <w:color w:val="auto"/>
                <w:highlight w:val="none"/>
              </w:rPr>
              <w:t>，每提供一份，计</w:t>
            </w:r>
            <w:r>
              <w:rPr>
                <w:rFonts w:ascii="宋体" w:hAnsi="宋体"/>
                <w:color w:val="auto"/>
                <w:highlight w:val="none"/>
              </w:rPr>
              <w:t>2</w:t>
            </w:r>
            <w:r>
              <w:rPr>
                <w:rFonts w:hint="eastAsia" w:ascii="宋体" w:hAnsi="宋体"/>
                <w:color w:val="auto"/>
                <w:highlight w:val="none"/>
              </w:rPr>
              <w:t>分，最多计</w:t>
            </w:r>
            <w:r>
              <w:rPr>
                <w:rFonts w:ascii="宋体" w:hAnsi="宋体"/>
                <w:color w:val="auto"/>
                <w:highlight w:val="none"/>
              </w:rPr>
              <w:t>10</w:t>
            </w:r>
            <w:r>
              <w:rPr>
                <w:rFonts w:hint="eastAsia" w:ascii="宋体" w:hAnsi="宋体"/>
                <w:color w:val="auto"/>
                <w:highlight w:val="none"/>
              </w:rPr>
              <w:t>分。</w:t>
            </w:r>
          </w:p>
          <w:p w14:paraId="53F789F9">
            <w:pPr>
              <w:rPr>
                <w:b/>
                <w:color w:val="auto"/>
                <w:highlight w:val="none"/>
              </w:rPr>
            </w:pPr>
            <w:r>
              <w:rPr>
                <w:rFonts w:hint="eastAsia" w:ascii="宋体" w:hAnsi="宋体" w:cs="宋体"/>
                <w:color w:val="auto"/>
                <w:szCs w:val="21"/>
                <w:highlight w:val="none"/>
              </w:rPr>
              <w:t>（注：须提供投标人在2020年1月至今开展地震安全性评价的合同。）</w:t>
            </w:r>
          </w:p>
        </w:tc>
        <w:tc>
          <w:tcPr>
            <w:tcW w:w="816" w:type="dxa"/>
            <w:tcBorders>
              <w:top w:val="single" w:color="auto" w:sz="4" w:space="0"/>
              <w:left w:val="single" w:color="auto" w:sz="4" w:space="0"/>
              <w:bottom w:val="single" w:color="auto" w:sz="4" w:space="0"/>
              <w:right w:val="single" w:color="auto" w:sz="4" w:space="0"/>
            </w:tcBorders>
            <w:vAlign w:val="center"/>
          </w:tcPr>
          <w:p w14:paraId="5A74F451">
            <w:pPr>
              <w:spacing w:line="340" w:lineRule="exact"/>
              <w:jc w:val="center"/>
              <w:rPr>
                <w:rFonts w:hint="eastAsia" w:ascii="宋体" w:hAnsi="宋体"/>
                <w:b/>
                <w:color w:val="auto"/>
                <w:szCs w:val="21"/>
                <w:highlight w:val="none"/>
              </w:rPr>
            </w:pPr>
            <w:r>
              <w:rPr>
                <w:rFonts w:ascii="宋体" w:hAnsi="宋体"/>
                <w:b/>
                <w:color w:val="auto"/>
                <w:szCs w:val="21"/>
                <w:highlight w:val="none"/>
              </w:rPr>
              <w:t>10</w:t>
            </w:r>
          </w:p>
        </w:tc>
      </w:tr>
      <w:tr w14:paraId="27EF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12714239">
            <w:pPr>
              <w:spacing w:line="340" w:lineRule="exact"/>
              <w:jc w:val="center"/>
              <w:rPr>
                <w:color w:val="auto"/>
                <w:highlight w:val="none"/>
              </w:rPr>
            </w:pPr>
            <w:r>
              <w:rPr>
                <w:rFonts w:hint="eastAsia"/>
                <w:color w:val="auto"/>
                <w:highlight w:val="none"/>
              </w:rPr>
              <w:t>企业能力</w:t>
            </w:r>
          </w:p>
        </w:tc>
        <w:tc>
          <w:tcPr>
            <w:tcW w:w="7371" w:type="dxa"/>
            <w:tcBorders>
              <w:top w:val="single" w:color="auto" w:sz="4" w:space="0"/>
              <w:left w:val="single" w:color="auto" w:sz="4" w:space="0"/>
              <w:bottom w:val="single" w:color="auto" w:sz="4" w:space="0"/>
              <w:right w:val="single" w:color="auto" w:sz="4" w:space="0"/>
            </w:tcBorders>
            <w:vAlign w:val="center"/>
          </w:tcPr>
          <w:p w14:paraId="7A94AF37">
            <w:pPr>
              <w:numPr>
                <w:ilvl w:val="0"/>
                <w:numId w:val="5"/>
              </w:numPr>
              <w:spacing w:line="360" w:lineRule="exact"/>
              <w:rPr>
                <w:color w:val="auto"/>
                <w:sz w:val="22"/>
                <w:szCs w:val="28"/>
                <w:highlight w:val="none"/>
              </w:rPr>
            </w:pPr>
            <w:r>
              <w:rPr>
                <w:rFonts w:hint="eastAsia"/>
                <w:color w:val="auto"/>
                <w:sz w:val="22"/>
                <w:szCs w:val="28"/>
                <w:highlight w:val="none"/>
              </w:rPr>
              <w:t>投标人为中国灾害防御协会会员单位的计</w:t>
            </w:r>
            <w:r>
              <w:rPr>
                <w:color w:val="auto"/>
                <w:sz w:val="22"/>
                <w:szCs w:val="28"/>
                <w:highlight w:val="none"/>
              </w:rPr>
              <w:t>2</w:t>
            </w:r>
            <w:r>
              <w:rPr>
                <w:rFonts w:hint="eastAsia"/>
                <w:color w:val="auto"/>
                <w:sz w:val="22"/>
                <w:szCs w:val="28"/>
                <w:highlight w:val="none"/>
              </w:rPr>
              <w:t>分。（须提供会员证书扫描件）</w:t>
            </w:r>
          </w:p>
          <w:p w14:paraId="718A050B">
            <w:pPr>
              <w:numPr>
                <w:ilvl w:val="0"/>
                <w:numId w:val="5"/>
              </w:numPr>
              <w:spacing w:line="360" w:lineRule="exact"/>
              <w:rPr>
                <w:color w:val="auto"/>
                <w:highlight w:val="none"/>
              </w:rPr>
            </w:pPr>
            <w:r>
              <w:rPr>
                <w:rFonts w:hint="eastAsia"/>
                <w:color w:val="auto"/>
                <w:highlight w:val="none"/>
              </w:rPr>
              <w:t>拥有“地震安全性评价计算软件”，计</w:t>
            </w:r>
            <w:r>
              <w:rPr>
                <w:color w:val="auto"/>
                <w:highlight w:val="none"/>
              </w:rPr>
              <w:t>5</w:t>
            </w:r>
            <w:r>
              <w:rPr>
                <w:rFonts w:hint="eastAsia"/>
                <w:color w:val="auto"/>
                <w:highlight w:val="none"/>
              </w:rPr>
              <w:t>分。（须同时提供发票和合同复印件）</w:t>
            </w:r>
          </w:p>
          <w:p w14:paraId="69BF15D7">
            <w:pPr>
              <w:numPr>
                <w:ilvl w:val="0"/>
                <w:numId w:val="5"/>
              </w:numPr>
              <w:spacing w:line="360" w:lineRule="exact"/>
              <w:rPr>
                <w:color w:val="auto"/>
                <w:highlight w:val="none"/>
              </w:rPr>
            </w:pPr>
            <w:r>
              <w:rPr>
                <w:rFonts w:hint="eastAsia"/>
                <w:color w:val="auto"/>
                <w:highlight w:val="none"/>
              </w:rPr>
              <w:t>投标人具有自主研发的地震安全性评价相关软件，且能提供软件著作权的计</w:t>
            </w:r>
            <w:r>
              <w:rPr>
                <w:color w:val="auto"/>
                <w:highlight w:val="none"/>
              </w:rPr>
              <w:t>3</w:t>
            </w:r>
            <w:r>
              <w:rPr>
                <w:rFonts w:hint="eastAsia"/>
                <w:color w:val="auto"/>
                <w:highlight w:val="none"/>
              </w:rPr>
              <w:t>分，最多计6分（须提供软件著作权复印件并加盖投标人公章）</w:t>
            </w:r>
          </w:p>
          <w:p w14:paraId="449A0FA9">
            <w:pPr>
              <w:numPr>
                <w:ilvl w:val="0"/>
                <w:numId w:val="5"/>
              </w:numPr>
              <w:spacing w:line="360" w:lineRule="exact"/>
              <w:rPr>
                <w:color w:val="auto"/>
                <w:highlight w:val="none"/>
              </w:rPr>
            </w:pPr>
            <w:r>
              <w:rPr>
                <w:rFonts w:hint="eastAsia"/>
                <w:color w:val="auto"/>
                <w:highlight w:val="none"/>
              </w:rPr>
              <w:t>投标人具有地理信息系统服务能力，具有行业主管部门颁发的测绘资质计</w:t>
            </w:r>
            <w:r>
              <w:rPr>
                <w:color w:val="auto"/>
                <w:highlight w:val="none"/>
              </w:rPr>
              <w:t>3</w:t>
            </w:r>
            <w:r>
              <w:rPr>
                <w:rFonts w:hint="eastAsia"/>
                <w:color w:val="auto"/>
                <w:highlight w:val="none"/>
              </w:rPr>
              <w:t>分，没有不计分。（须提供测绘资质证书复印件）</w:t>
            </w:r>
          </w:p>
          <w:p w14:paraId="2F7FF191">
            <w:pPr>
              <w:numPr>
                <w:ilvl w:val="0"/>
                <w:numId w:val="5"/>
              </w:numPr>
              <w:spacing w:line="360" w:lineRule="exact"/>
              <w:rPr>
                <w:color w:val="auto"/>
                <w:highlight w:val="none"/>
              </w:rPr>
            </w:pPr>
            <w:r>
              <w:rPr>
                <w:rFonts w:hint="eastAsia"/>
                <w:color w:val="auto"/>
                <w:highlight w:val="none"/>
              </w:rPr>
              <w:t>投标人为高新技术企业，计</w:t>
            </w:r>
            <w:r>
              <w:rPr>
                <w:color w:val="auto"/>
                <w:highlight w:val="none"/>
              </w:rPr>
              <w:t>4</w:t>
            </w:r>
            <w:r>
              <w:rPr>
                <w:rFonts w:hint="eastAsia"/>
                <w:color w:val="auto"/>
                <w:highlight w:val="none"/>
              </w:rPr>
              <w:t>分。（须提供高新技术企业证书扫描件）</w:t>
            </w:r>
          </w:p>
        </w:tc>
        <w:tc>
          <w:tcPr>
            <w:tcW w:w="816" w:type="dxa"/>
            <w:tcBorders>
              <w:top w:val="single" w:color="auto" w:sz="4" w:space="0"/>
              <w:left w:val="single" w:color="auto" w:sz="4" w:space="0"/>
              <w:bottom w:val="single" w:color="auto" w:sz="4" w:space="0"/>
              <w:right w:val="single" w:color="auto" w:sz="4" w:space="0"/>
            </w:tcBorders>
            <w:vAlign w:val="center"/>
          </w:tcPr>
          <w:p w14:paraId="5A6320D7">
            <w:pPr>
              <w:spacing w:line="340" w:lineRule="exact"/>
              <w:jc w:val="center"/>
              <w:rPr>
                <w:rFonts w:hint="eastAsia" w:ascii="宋体" w:hAnsi="宋体"/>
                <w:b/>
                <w:color w:val="auto"/>
                <w:szCs w:val="21"/>
                <w:highlight w:val="none"/>
              </w:rPr>
            </w:pPr>
            <w:r>
              <w:rPr>
                <w:rFonts w:ascii="宋体" w:hAnsi="宋体"/>
                <w:b/>
                <w:color w:val="auto"/>
                <w:szCs w:val="21"/>
                <w:highlight w:val="none"/>
              </w:rPr>
              <w:t>20</w:t>
            </w:r>
          </w:p>
        </w:tc>
      </w:tr>
      <w:tr w14:paraId="324A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326A9880">
            <w:pPr>
              <w:spacing w:line="360" w:lineRule="exact"/>
              <w:jc w:val="center"/>
              <w:rPr>
                <w:rFonts w:hint="eastAsia" w:ascii="宋体" w:hAnsi="宋体"/>
                <w:color w:val="auto"/>
                <w:szCs w:val="21"/>
                <w:highlight w:val="none"/>
              </w:rPr>
            </w:pPr>
            <w:r>
              <w:rPr>
                <w:rFonts w:hint="eastAsia" w:ascii="宋体" w:hAnsi="宋体" w:cs="宋体"/>
                <w:color w:val="auto"/>
                <w:szCs w:val="21"/>
                <w:highlight w:val="none"/>
              </w:rPr>
              <w:t>企业信誉</w:t>
            </w:r>
          </w:p>
        </w:tc>
        <w:tc>
          <w:tcPr>
            <w:tcW w:w="7371" w:type="dxa"/>
            <w:tcBorders>
              <w:top w:val="single" w:color="auto" w:sz="4" w:space="0"/>
              <w:left w:val="single" w:color="auto" w:sz="4" w:space="0"/>
              <w:bottom w:val="single" w:color="auto" w:sz="4" w:space="0"/>
              <w:right w:val="single" w:color="auto" w:sz="4" w:space="0"/>
            </w:tcBorders>
            <w:vAlign w:val="center"/>
          </w:tcPr>
          <w:p w14:paraId="4F64B309">
            <w:pPr>
              <w:spacing w:line="360" w:lineRule="exact"/>
              <w:rPr>
                <w:color w:val="auto"/>
                <w:highlight w:val="none"/>
              </w:rPr>
            </w:pPr>
            <w:r>
              <w:rPr>
                <w:rFonts w:hint="eastAsia"/>
                <w:color w:val="auto"/>
                <w:highlight w:val="none"/>
              </w:rPr>
              <w:t>1、投标人拥有质量管理体系认证、职业健康安全管理体系认证和环境管理体系认证的计3分（须提供证书复印件）</w:t>
            </w:r>
          </w:p>
          <w:p w14:paraId="5095CCBF">
            <w:pPr>
              <w:spacing w:line="360" w:lineRule="exact"/>
              <w:rPr>
                <w:color w:val="auto"/>
                <w:highlight w:val="none"/>
              </w:rPr>
            </w:pPr>
            <w:r>
              <w:rPr>
                <w:rFonts w:hint="eastAsia"/>
                <w:color w:val="auto"/>
                <w:highlight w:val="none"/>
              </w:rPr>
              <w:t>2、投标人企业信用等级为AAA级信用企业的计</w:t>
            </w:r>
            <w:r>
              <w:rPr>
                <w:color w:val="auto"/>
                <w:highlight w:val="none"/>
              </w:rPr>
              <w:t>3</w:t>
            </w:r>
            <w:r>
              <w:rPr>
                <w:rFonts w:hint="eastAsia"/>
                <w:color w:val="auto"/>
                <w:highlight w:val="none"/>
              </w:rPr>
              <w:t>分，AA的计</w:t>
            </w:r>
            <w:r>
              <w:rPr>
                <w:color w:val="auto"/>
                <w:highlight w:val="none"/>
              </w:rPr>
              <w:t>1</w:t>
            </w:r>
            <w:r>
              <w:rPr>
                <w:rFonts w:hint="eastAsia"/>
                <w:color w:val="auto"/>
                <w:highlight w:val="none"/>
              </w:rPr>
              <w:t>分；（须提供证书复印件并加盖投标人公章）</w:t>
            </w:r>
          </w:p>
        </w:tc>
        <w:tc>
          <w:tcPr>
            <w:tcW w:w="816" w:type="dxa"/>
            <w:tcBorders>
              <w:top w:val="single" w:color="auto" w:sz="4" w:space="0"/>
              <w:left w:val="single" w:color="auto" w:sz="4" w:space="0"/>
              <w:bottom w:val="single" w:color="auto" w:sz="4" w:space="0"/>
              <w:right w:val="single" w:color="auto" w:sz="4" w:space="0"/>
            </w:tcBorders>
            <w:vAlign w:val="center"/>
          </w:tcPr>
          <w:p w14:paraId="1DDC94EE">
            <w:pPr>
              <w:spacing w:line="340" w:lineRule="exact"/>
              <w:jc w:val="center"/>
              <w:rPr>
                <w:rFonts w:hint="eastAsia" w:ascii="宋体" w:hAnsi="宋体"/>
                <w:b/>
                <w:color w:val="auto"/>
                <w:szCs w:val="21"/>
                <w:highlight w:val="none"/>
              </w:rPr>
            </w:pPr>
            <w:r>
              <w:rPr>
                <w:rFonts w:ascii="宋体" w:hAnsi="宋体"/>
                <w:b/>
                <w:color w:val="auto"/>
                <w:szCs w:val="21"/>
                <w:highlight w:val="none"/>
              </w:rPr>
              <w:t>6</w:t>
            </w:r>
          </w:p>
        </w:tc>
      </w:tr>
      <w:tr w14:paraId="226B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69AE34EB">
            <w:pPr>
              <w:widowControl/>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7371" w:type="dxa"/>
            <w:tcBorders>
              <w:top w:val="single" w:color="auto" w:sz="4" w:space="0"/>
              <w:left w:val="single" w:color="auto" w:sz="4" w:space="0"/>
              <w:bottom w:val="single" w:color="auto" w:sz="4" w:space="0"/>
              <w:right w:val="single" w:color="auto" w:sz="4" w:space="0"/>
            </w:tcBorders>
            <w:vAlign w:val="center"/>
          </w:tcPr>
          <w:p w14:paraId="5B311B92">
            <w:pPr>
              <w:widowControl/>
              <w:spacing w:line="360" w:lineRule="exact"/>
              <w:rPr>
                <w:color w:val="auto"/>
                <w:highlight w:val="none"/>
              </w:rPr>
            </w:pPr>
            <w:r>
              <w:rPr>
                <w:rFonts w:hint="eastAsia" w:ascii="宋体" w:hAnsi="宋体" w:cs="宋体"/>
                <w:color w:val="auto"/>
                <w:szCs w:val="21"/>
                <w:highlight w:val="none"/>
              </w:rPr>
              <w:t>1、售后服务管理办法，针对本项目情况提供，完善、科学、合理的服务管理办法，优秀的计4分，良好的计2分，一般的计</w:t>
            </w:r>
            <w:r>
              <w:rPr>
                <w:rFonts w:ascii="宋体" w:hAnsi="宋体" w:cs="宋体"/>
                <w:color w:val="auto"/>
                <w:szCs w:val="21"/>
                <w:highlight w:val="none"/>
              </w:rPr>
              <w:t>1</w:t>
            </w:r>
            <w:r>
              <w:rPr>
                <w:rFonts w:hint="eastAsia" w:ascii="宋体" w:hAnsi="宋体" w:cs="宋体"/>
                <w:color w:val="auto"/>
                <w:szCs w:val="21"/>
                <w:highlight w:val="none"/>
              </w:rPr>
              <w:t>分，未提供的不计分。</w:t>
            </w:r>
          </w:p>
        </w:tc>
        <w:tc>
          <w:tcPr>
            <w:tcW w:w="816" w:type="dxa"/>
            <w:tcBorders>
              <w:top w:val="single" w:color="auto" w:sz="4" w:space="0"/>
              <w:left w:val="single" w:color="auto" w:sz="4" w:space="0"/>
              <w:bottom w:val="single" w:color="auto" w:sz="4" w:space="0"/>
              <w:right w:val="single" w:color="auto" w:sz="4" w:space="0"/>
            </w:tcBorders>
            <w:vAlign w:val="center"/>
          </w:tcPr>
          <w:p w14:paraId="05FBA814">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4</w:t>
            </w:r>
          </w:p>
        </w:tc>
      </w:tr>
      <w:tr w14:paraId="6452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52" w:type="dxa"/>
            <w:gridSpan w:val="3"/>
            <w:tcBorders>
              <w:top w:val="single" w:color="auto" w:sz="4" w:space="0"/>
              <w:left w:val="single" w:color="auto" w:sz="4" w:space="0"/>
              <w:bottom w:val="single" w:color="auto" w:sz="4" w:space="0"/>
              <w:right w:val="single" w:color="auto" w:sz="4" w:space="0"/>
            </w:tcBorders>
            <w:vAlign w:val="center"/>
          </w:tcPr>
          <w:p w14:paraId="1A4F03D2">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（三）技术部分</w:t>
            </w:r>
            <w:r>
              <w:rPr>
                <w:rFonts w:ascii="宋体" w:hAnsi="宋体"/>
                <w:b/>
                <w:color w:val="auto"/>
                <w:szCs w:val="21"/>
                <w:highlight w:val="none"/>
              </w:rPr>
              <w:t>50</w:t>
            </w:r>
            <w:r>
              <w:rPr>
                <w:rFonts w:hint="eastAsia" w:ascii="宋体" w:hAnsi="宋体"/>
                <w:b/>
                <w:color w:val="auto"/>
                <w:szCs w:val="21"/>
                <w:highlight w:val="none"/>
              </w:rPr>
              <w:t>分</w:t>
            </w:r>
          </w:p>
        </w:tc>
      </w:tr>
      <w:tr w14:paraId="54A4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65" w:type="dxa"/>
            <w:tcBorders>
              <w:top w:val="single" w:color="auto" w:sz="4" w:space="0"/>
              <w:left w:val="single" w:color="auto" w:sz="4" w:space="0"/>
              <w:right w:val="single" w:color="auto" w:sz="4" w:space="0"/>
            </w:tcBorders>
            <w:vAlign w:val="center"/>
          </w:tcPr>
          <w:p w14:paraId="3DE79557">
            <w:pPr>
              <w:widowControl/>
              <w:spacing w:line="360" w:lineRule="exact"/>
              <w:ind w:firstLine="210" w:firstLineChars="100"/>
              <w:jc w:val="center"/>
              <w:rPr>
                <w:rFonts w:hint="eastAsia" w:ascii="宋体" w:hAnsi="宋体"/>
                <w:color w:val="auto"/>
                <w:szCs w:val="21"/>
                <w:highlight w:val="none"/>
              </w:rPr>
            </w:pPr>
            <w:r>
              <w:rPr>
                <w:rFonts w:hint="eastAsia" w:ascii="宋体" w:hAnsi="宋体" w:cs="宋体"/>
                <w:color w:val="auto"/>
                <w:szCs w:val="21"/>
                <w:highlight w:val="none"/>
              </w:rPr>
              <w:t>服务方案</w:t>
            </w:r>
          </w:p>
        </w:tc>
        <w:tc>
          <w:tcPr>
            <w:tcW w:w="7371" w:type="dxa"/>
            <w:tcBorders>
              <w:top w:val="single" w:color="auto" w:sz="4" w:space="0"/>
              <w:left w:val="single" w:color="auto" w:sz="4" w:space="0"/>
              <w:bottom w:val="single" w:color="auto" w:sz="4" w:space="0"/>
              <w:right w:val="single" w:color="auto" w:sz="4" w:space="0"/>
            </w:tcBorders>
            <w:vAlign w:val="center"/>
          </w:tcPr>
          <w:p w14:paraId="78590052">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投标人根据服务内容及要求，结合项目现场情况制定针对本项目的技术方案，评委会根据各投标人的技术方案进行综合评分:</w:t>
            </w:r>
          </w:p>
          <w:p w14:paraId="064EF539">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1.工作基础：①系统掌握项目工作区基础资料，提出的资料收集目标有很强的针对性，得</w:t>
            </w:r>
            <w:r>
              <w:rPr>
                <w:rFonts w:ascii="宋体" w:hAnsi="宋体" w:cs="宋体"/>
                <w:color w:val="auto"/>
                <w:szCs w:val="21"/>
                <w:highlight w:val="none"/>
              </w:rPr>
              <w:t>10</w:t>
            </w:r>
            <w:r>
              <w:rPr>
                <w:rFonts w:hint="eastAsia" w:ascii="宋体" w:hAnsi="宋体" w:cs="宋体"/>
                <w:color w:val="auto"/>
                <w:szCs w:val="21"/>
                <w:highlight w:val="none"/>
              </w:rPr>
              <w:t>分；②掌握一定的项目工作区基础资料，提出的资料收集目标有一定的针对性，得5分；③项目工作区基础资料不充分，得</w:t>
            </w:r>
            <w:r>
              <w:rPr>
                <w:rFonts w:ascii="宋体" w:hAnsi="宋体" w:cs="宋体"/>
                <w:color w:val="auto"/>
                <w:szCs w:val="21"/>
                <w:highlight w:val="none"/>
              </w:rPr>
              <w:t>0</w:t>
            </w:r>
            <w:r>
              <w:rPr>
                <w:rFonts w:hint="eastAsia" w:ascii="宋体" w:hAnsi="宋体" w:cs="宋体"/>
                <w:color w:val="auto"/>
                <w:szCs w:val="21"/>
                <w:highlight w:val="none"/>
              </w:rPr>
              <w:t>分。</w:t>
            </w:r>
          </w:p>
          <w:p w14:paraId="22D8835B">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2.技术路线方法：①技术路线方法正确先进，能较好实现工作目标任务，得</w:t>
            </w:r>
            <w:r>
              <w:rPr>
                <w:rFonts w:ascii="宋体" w:hAnsi="宋体" w:cs="宋体"/>
                <w:color w:val="auto"/>
                <w:szCs w:val="21"/>
                <w:highlight w:val="none"/>
              </w:rPr>
              <w:t>6</w:t>
            </w:r>
            <w:r>
              <w:rPr>
                <w:rFonts w:hint="eastAsia" w:ascii="宋体" w:hAnsi="宋体" w:cs="宋体"/>
                <w:color w:val="auto"/>
                <w:szCs w:val="21"/>
                <w:highlight w:val="none"/>
              </w:rPr>
              <w:t>分；②技术路线、方法技术具有一定的合理性、可行性，得</w:t>
            </w:r>
            <w:r>
              <w:rPr>
                <w:rFonts w:ascii="宋体" w:hAnsi="宋体" w:cs="宋体"/>
                <w:color w:val="auto"/>
                <w:szCs w:val="21"/>
                <w:highlight w:val="none"/>
              </w:rPr>
              <w:t>3</w:t>
            </w:r>
            <w:r>
              <w:rPr>
                <w:rFonts w:hint="eastAsia" w:ascii="宋体" w:hAnsi="宋体" w:cs="宋体"/>
                <w:color w:val="auto"/>
                <w:szCs w:val="21"/>
                <w:highlight w:val="none"/>
              </w:rPr>
              <w:t>分；</w:t>
            </w:r>
          </w:p>
          <w:p w14:paraId="231DFCE7">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③技术路线、方法技术不完善、不合理或落后，得</w:t>
            </w:r>
            <w:r>
              <w:rPr>
                <w:rFonts w:ascii="宋体" w:hAnsi="宋体" w:cs="宋体"/>
                <w:color w:val="auto"/>
                <w:szCs w:val="21"/>
                <w:highlight w:val="none"/>
              </w:rPr>
              <w:t>0</w:t>
            </w:r>
            <w:r>
              <w:rPr>
                <w:rFonts w:hint="eastAsia" w:ascii="宋体" w:hAnsi="宋体" w:cs="宋体"/>
                <w:color w:val="auto"/>
                <w:szCs w:val="21"/>
                <w:highlight w:val="none"/>
              </w:rPr>
              <w:t>分。</w:t>
            </w:r>
          </w:p>
          <w:p w14:paraId="0332B776">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3.工作部署及进度安排：①工作量投入充分，工作部署合理，进度计划符合要求，得</w:t>
            </w:r>
            <w:r>
              <w:rPr>
                <w:rFonts w:ascii="宋体" w:hAnsi="宋体" w:cs="宋体"/>
                <w:color w:val="auto"/>
                <w:szCs w:val="21"/>
                <w:highlight w:val="none"/>
              </w:rPr>
              <w:t>6</w:t>
            </w:r>
            <w:r>
              <w:rPr>
                <w:rFonts w:hint="eastAsia" w:ascii="宋体" w:hAnsi="宋体" w:cs="宋体"/>
                <w:color w:val="auto"/>
                <w:szCs w:val="21"/>
                <w:highlight w:val="none"/>
              </w:rPr>
              <w:t>分；②工作量投入基本满足要求，工作部署基本得当，进度计划基本符 合要求，得</w:t>
            </w:r>
            <w:r>
              <w:rPr>
                <w:rFonts w:ascii="宋体" w:hAnsi="宋体" w:cs="宋体"/>
                <w:color w:val="auto"/>
                <w:szCs w:val="21"/>
                <w:highlight w:val="none"/>
              </w:rPr>
              <w:t>3</w:t>
            </w:r>
            <w:r>
              <w:rPr>
                <w:rFonts w:hint="eastAsia" w:ascii="宋体" w:hAnsi="宋体" w:cs="宋体"/>
                <w:color w:val="auto"/>
                <w:szCs w:val="21"/>
                <w:highlight w:val="none"/>
              </w:rPr>
              <w:t>分；③工作量投入不足或工作部署不明确，或进度计划不合理，得</w:t>
            </w:r>
            <w:r>
              <w:rPr>
                <w:rFonts w:ascii="宋体" w:hAnsi="宋体" w:cs="宋体"/>
                <w:color w:val="auto"/>
                <w:szCs w:val="21"/>
                <w:highlight w:val="none"/>
              </w:rPr>
              <w:t>0</w:t>
            </w:r>
            <w:r>
              <w:rPr>
                <w:rFonts w:hint="eastAsia" w:ascii="宋体" w:hAnsi="宋体" w:cs="宋体"/>
                <w:color w:val="auto"/>
                <w:szCs w:val="21"/>
                <w:highlight w:val="none"/>
              </w:rPr>
              <w:t>分。</w:t>
            </w:r>
          </w:p>
          <w:p w14:paraId="13D8BAE5">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4.成果质量及质量保障措施：①工作质量良好以上，质量保证体系完备，质量保证措施具体可行，得</w:t>
            </w:r>
            <w:r>
              <w:rPr>
                <w:rFonts w:ascii="宋体" w:hAnsi="宋体" w:cs="宋体"/>
                <w:color w:val="auto"/>
                <w:szCs w:val="21"/>
                <w:highlight w:val="none"/>
              </w:rPr>
              <w:t>4</w:t>
            </w:r>
            <w:r>
              <w:rPr>
                <w:rFonts w:hint="eastAsia" w:ascii="宋体" w:hAnsi="宋体" w:cs="宋体"/>
                <w:color w:val="auto"/>
                <w:szCs w:val="21"/>
                <w:highlight w:val="none"/>
              </w:rPr>
              <w:t>分；②工作质量合格，质量保证体系较完备，措施具有一定的合理性、可行性，得</w:t>
            </w:r>
            <w:r>
              <w:rPr>
                <w:rFonts w:ascii="宋体" w:hAnsi="宋体" w:cs="宋体"/>
                <w:color w:val="auto"/>
                <w:szCs w:val="21"/>
                <w:highlight w:val="none"/>
              </w:rPr>
              <w:t>2</w:t>
            </w:r>
            <w:r>
              <w:rPr>
                <w:rFonts w:hint="eastAsia" w:ascii="宋体" w:hAnsi="宋体" w:cs="宋体"/>
                <w:color w:val="auto"/>
                <w:szCs w:val="21"/>
                <w:highlight w:val="none"/>
              </w:rPr>
              <w:t>分；③工作质量不能满足要求，质量保证措施不具体、合理性或可行性 不足，得</w:t>
            </w:r>
            <w:r>
              <w:rPr>
                <w:rFonts w:ascii="宋体" w:hAnsi="宋体" w:cs="宋体"/>
                <w:color w:val="auto"/>
                <w:szCs w:val="21"/>
                <w:highlight w:val="none"/>
              </w:rPr>
              <w:t>0</w:t>
            </w:r>
            <w:r>
              <w:rPr>
                <w:rFonts w:hint="eastAsia" w:ascii="宋体" w:hAnsi="宋体" w:cs="宋体"/>
                <w:color w:val="auto"/>
                <w:szCs w:val="21"/>
                <w:highlight w:val="none"/>
              </w:rPr>
              <w:t>分。</w:t>
            </w:r>
          </w:p>
        </w:tc>
        <w:tc>
          <w:tcPr>
            <w:tcW w:w="816" w:type="dxa"/>
            <w:tcBorders>
              <w:top w:val="single" w:color="auto" w:sz="4" w:space="0"/>
              <w:left w:val="single" w:color="auto" w:sz="4" w:space="0"/>
              <w:right w:val="single" w:color="auto" w:sz="4" w:space="0"/>
            </w:tcBorders>
            <w:vAlign w:val="center"/>
          </w:tcPr>
          <w:p w14:paraId="7C86A640">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6</w:t>
            </w:r>
          </w:p>
        </w:tc>
      </w:tr>
      <w:tr w14:paraId="6DD5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65" w:type="dxa"/>
            <w:tcBorders>
              <w:top w:val="single" w:color="auto" w:sz="4" w:space="0"/>
              <w:left w:val="single" w:color="auto" w:sz="4" w:space="0"/>
              <w:right w:val="single" w:color="auto" w:sz="4" w:space="0"/>
            </w:tcBorders>
            <w:vAlign w:val="center"/>
          </w:tcPr>
          <w:p w14:paraId="5288218B">
            <w:pPr>
              <w:rPr>
                <w:rFonts w:hint="eastAsia" w:ascii="宋体" w:hAnsi="宋体" w:cs="宋体"/>
                <w:color w:val="auto"/>
                <w:szCs w:val="21"/>
                <w:highlight w:val="none"/>
              </w:rPr>
            </w:pPr>
            <w:r>
              <w:rPr>
                <w:rFonts w:hint="eastAsia" w:ascii="宋体" w:hAnsi="宋体" w:cs="宋体"/>
                <w:color w:val="auto"/>
                <w:szCs w:val="21"/>
                <w:highlight w:val="none"/>
              </w:rPr>
              <w:t>人员配置</w:t>
            </w:r>
          </w:p>
        </w:tc>
        <w:tc>
          <w:tcPr>
            <w:tcW w:w="7371" w:type="dxa"/>
            <w:tcBorders>
              <w:top w:val="single" w:color="auto" w:sz="4" w:space="0"/>
              <w:left w:val="single" w:color="auto" w:sz="4" w:space="0"/>
              <w:bottom w:val="single" w:color="auto" w:sz="4" w:space="0"/>
              <w:right w:val="single" w:color="auto" w:sz="4" w:space="0"/>
            </w:tcBorders>
            <w:vAlign w:val="center"/>
          </w:tcPr>
          <w:p w14:paraId="4B7BAEDB">
            <w:pPr>
              <w:rPr>
                <w:rFonts w:hint="eastAsia" w:ascii="宋体" w:hAnsi="宋体" w:cs="宋体"/>
                <w:color w:val="auto"/>
                <w:szCs w:val="21"/>
                <w:highlight w:val="none"/>
              </w:rPr>
            </w:pPr>
            <w:r>
              <w:rPr>
                <w:rFonts w:hint="eastAsia" w:ascii="宋体" w:hAnsi="宋体" w:cs="宋体"/>
                <w:color w:val="auto"/>
                <w:szCs w:val="21"/>
                <w:highlight w:val="none"/>
              </w:rPr>
              <w:t>1.拟投入本项目的项目负责人同时具有二级及以上地震安全性评价工程师和高级工程师证书的计6分，缺项不计分（须提供相关证书复印件、提供社保参保证明）。</w:t>
            </w:r>
          </w:p>
          <w:p w14:paraId="62EFEDD5">
            <w:pPr>
              <w:rPr>
                <w:rFonts w:hint="eastAsia" w:ascii="宋体" w:hAnsi="宋体" w:cs="宋体"/>
                <w:color w:val="auto"/>
                <w:szCs w:val="21"/>
                <w:highlight w:val="none"/>
              </w:rPr>
            </w:pPr>
            <w:r>
              <w:rPr>
                <w:rFonts w:hint="eastAsia" w:ascii="宋体" w:hAnsi="宋体" w:cs="宋体"/>
                <w:color w:val="auto"/>
                <w:szCs w:val="21"/>
                <w:highlight w:val="none"/>
              </w:rPr>
              <w:t>2.拟投入本项目的项目组中含有地震学、地震地质学、地震工程学三个相关专业背景的高级工程师人员每个专业不少于2人，满足要求计4分，不满足要求的不计分。（提供社保参保证明）</w:t>
            </w:r>
          </w:p>
          <w:p w14:paraId="3BD9A149">
            <w:pPr>
              <w:rPr>
                <w:rFonts w:hint="eastAsia" w:ascii="宋体" w:hAnsi="宋体" w:cs="宋体"/>
                <w:color w:val="auto"/>
                <w:szCs w:val="21"/>
                <w:highlight w:val="none"/>
              </w:rPr>
            </w:pPr>
            <w:r>
              <w:rPr>
                <w:rFonts w:hint="eastAsia" w:ascii="宋体" w:hAnsi="宋体" w:cs="宋体"/>
                <w:color w:val="auto"/>
                <w:szCs w:val="21"/>
                <w:highlight w:val="none"/>
              </w:rPr>
              <w:t>3.拟投入本项目的其他技术人员中，具有中国灾害防御协会培训证书的每人得2分，最高得4分，（须提供中国灾害防御协会培训证书扫描件）。</w:t>
            </w:r>
          </w:p>
          <w:p w14:paraId="25E7043A">
            <w:pPr>
              <w:rPr>
                <w:rFonts w:hint="eastAsia" w:ascii="宋体" w:hAnsi="宋体" w:cs="宋体"/>
                <w:color w:val="auto"/>
                <w:szCs w:val="21"/>
                <w:highlight w:val="none"/>
              </w:rPr>
            </w:pPr>
            <w:r>
              <w:rPr>
                <w:rFonts w:hint="eastAsia" w:ascii="宋体" w:hAnsi="宋体" w:cs="宋体"/>
                <w:color w:val="auto"/>
                <w:szCs w:val="21"/>
                <w:highlight w:val="none"/>
              </w:rPr>
              <w:t>4. 项目负责人业绩：2020年以来审查通过的地震安全性评价工作业绩，每一项2分，最高为10分，每个项目需项目合同（合同中需体现项目负责人信息）、批复文件、项目负责人业绩与单位业绩不重复计分。</w:t>
            </w:r>
          </w:p>
        </w:tc>
        <w:tc>
          <w:tcPr>
            <w:tcW w:w="816" w:type="dxa"/>
            <w:tcBorders>
              <w:top w:val="single" w:color="auto" w:sz="4" w:space="0"/>
              <w:left w:val="single" w:color="auto" w:sz="4" w:space="0"/>
              <w:right w:val="single" w:color="auto" w:sz="4" w:space="0"/>
            </w:tcBorders>
            <w:vAlign w:val="center"/>
          </w:tcPr>
          <w:p w14:paraId="2A99EAE8">
            <w:pPr>
              <w:spacing w:line="340" w:lineRule="exact"/>
              <w:jc w:val="center"/>
              <w:rPr>
                <w:rFonts w:hint="eastAsia" w:ascii="宋体" w:hAnsi="宋体"/>
                <w:b/>
                <w:color w:val="auto"/>
                <w:szCs w:val="21"/>
                <w:highlight w:val="none"/>
              </w:rPr>
            </w:pPr>
            <w:r>
              <w:rPr>
                <w:rFonts w:ascii="宋体" w:hAnsi="宋体"/>
                <w:b/>
                <w:color w:val="auto"/>
                <w:szCs w:val="21"/>
                <w:highlight w:val="none"/>
              </w:rPr>
              <w:t>24</w:t>
            </w:r>
          </w:p>
        </w:tc>
      </w:tr>
    </w:tbl>
    <w:p w14:paraId="5CF83167">
      <w:pPr>
        <w:pStyle w:val="33"/>
        <w:ind w:left="0" w:leftChars="0" w:firstLine="0" w:firstLineChars="0"/>
        <w:rPr>
          <w:color w:val="auto"/>
          <w:highlight w:val="none"/>
        </w:rPr>
      </w:pPr>
    </w:p>
    <w:p w14:paraId="474A2B5D">
      <w:pPr>
        <w:tabs>
          <w:tab w:val="left" w:pos="0"/>
        </w:tabs>
        <w:adjustRightInd w:val="0"/>
        <w:snapToGrid w:val="0"/>
        <w:spacing w:before="156" w:beforeLines="50" w:line="360" w:lineRule="auto"/>
        <w:rPr>
          <w:rFonts w:hint="eastAsia" w:ascii="宋体" w:hAnsi="宋体"/>
          <w:b/>
          <w:color w:val="auto"/>
          <w:szCs w:val="21"/>
          <w:highlight w:val="none"/>
        </w:rPr>
      </w:pPr>
    </w:p>
    <w:p w14:paraId="4B1DCBED">
      <w:pPr>
        <w:pStyle w:val="21"/>
        <w:numPr>
          <w:ilvl w:val="0"/>
          <w:numId w:val="0"/>
        </w:numPr>
        <w:snapToGrid w:val="0"/>
        <w:spacing w:line="320" w:lineRule="exact"/>
        <w:ind w:leftChars="0"/>
        <w:rPr>
          <w:rFonts w:hint="eastAsia" w:cs="Times New Roman" w:asciiTheme="majorEastAsia" w:hAnsiTheme="majorEastAsia" w:eastAsiaTheme="majorEastAsia"/>
          <w:color w:val="auto"/>
          <w:sz w:val="24"/>
          <w:szCs w:val="28"/>
          <w:highlight w:val="none"/>
        </w:rPr>
      </w:pPr>
    </w:p>
    <w:p w14:paraId="5513BC08">
      <w:pPr>
        <w:pStyle w:val="80"/>
        <w:jc w:val="center"/>
        <w:rPr>
          <w:rFonts w:hint="eastAsia" w:ascii="宋体" w:hAnsi="宋体" w:cs="宋体"/>
          <w:b/>
          <w:bCs/>
          <w:color w:val="auto"/>
          <w:sz w:val="28"/>
          <w:szCs w:val="32"/>
          <w:highlight w:val="none"/>
        </w:rPr>
      </w:pPr>
    </w:p>
    <w:p w14:paraId="19649F93">
      <w:pPr>
        <w:spacing w:line="400" w:lineRule="exact"/>
        <w:outlineLvl w:val="1"/>
        <w:rPr>
          <w:rFonts w:ascii="宋体" w:hAnsi="宋体" w:cs="宋体"/>
          <w:color w:val="auto"/>
          <w:kern w:val="0"/>
          <w:sz w:val="24"/>
          <w:highlight w:val="none"/>
        </w:rPr>
      </w:pPr>
      <w:bookmarkStart w:id="89" w:name="_Toc25362"/>
      <w:bookmarkStart w:id="90" w:name="_Toc14001"/>
      <w:r>
        <w:rPr>
          <w:rFonts w:hint="eastAsia" w:ascii="宋体" w:hAnsi="宋体" w:cs="宋体"/>
          <w:b/>
          <w:color w:val="auto"/>
          <w:sz w:val="28"/>
          <w:szCs w:val="28"/>
          <w:highlight w:val="none"/>
        </w:rPr>
        <w:t>二、评审办法正文部分</w:t>
      </w:r>
      <w:bookmarkEnd w:id="89"/>
      <w:bookmarkEnd w:id="90"/>
    </w:p>
    <w:p w14:paraId="1F4E3B24">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经磋商确定最终采购需求和提交最后报价的供应商后，由磋商小组采用综合评分法对提交最后报价的供应商的响应文件和最后报价进行综合评分。</w:t>
      </w:r>
    </w:p>
    <w:p w14:paraId="41C00103">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综合评分法，是指响应文件满足磋商文件全部实质性要求且按评审因素的量化指标评审得分最高的供应商为成交候选供应商的评审方法。</w:t>
      </w:r>
    </w:p>
    <w:p w14:paraId="4AA1DB6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评审时，磋商小组各成员应当独立对每个有效响应的文件进行评价、打分，然后汇总每个供应商每项评分因素的得分。</w:t>
      </w:r>
    </w:p>
    <w:p w14:paraId="76E9DBA7">
      <w:pPr>
        <w:pStyle w:val="13"/>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2.1响应文件的初审</w:t>
      </w:r>
    </w:p>
    <w:p w14:paraId="3AACE4A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初审分为资格审查和符合性审查。</w:t>
      </w:r>
    </w:p>
    <w:p w14:paraId="3939700B">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2.1.1资格审查</w:t>
      </w:r>
    </w:p>
    <w:p w14:paraId="63D0D50E">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（1）磋商小组根据评标办法前附表规定的评审因素和评审标准，对供应商的响应文件进行资格评审。资格审查不合格的供应商的响应文件作无效文件处理。</w:t>
      </w:r>
    </w:p>
    <w:p w14:paraId="6D329535">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（2）磋商小组在进行资格检查时，不得改变磋商文件中已载明的资格条件、标准和办法。资格审查不合格的供应商的响应文件作无效文件处理。</w:t>
      </w:r>
    </w:p>
    <w:p w14:paraId="3A61D6A1">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（3）磋商小组在评审中必要时可按供应商提供的联系方式就有关问题进行查询核实，或要求供应商做出书面澄清，查询及澄清结果将作为审查的依据。</w:t>
      </w:r>
    </w:p>
    <w:p w14:paraId="3D20A1C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（4）通过全部资格审查条件合格的供应商才能通过资格审查，其响应文件方可进入下一个检查阶段。</w:t>
      </w:r>
    </w:p>
    <w:p w14:paraId="5EECC901">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2.1.2符合性审查</w:t>
      </w:r>
    </w:p>
    <w:p w14:paraId="5B0DF7D5">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磋商小组根据评标办法前附表规定的评审因素和评审标准，对供应商的响应文件进行符合性审查。符合性审查不合格的供应商的响应文件作无效文件处理。</w:t>
      </w:r>
    </w:p>
    <w:p w14:paraId="670FB656">
      <w:pPr>
        <w:pStyle w:val="13"/>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2.2磋商小组审查响应文件是否完整、有无计算上的错误等。</w:t>
      </w:r>
    </w:p>
    <w:p w14:paraId="1EF70BB4">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2.2.1响应文件的修正及澄清</w:t>
      </w:r>
    </w:p>
    <w:p w14:paraId="4BE56BE7">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磋商小组对确定为实质上响应磋商文件要求的响应文件进行校核，看其是否有计算或表达上的错误，算术错误将按以下方法更正：响应文件中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前款规定的顺序修正。提交最终报价时，如果供应商不接受对其错误的更正，其响应文件将被视为无效文件。</w:t>
      </w:r>
    </w:p>
    <w:p w14:paraId="2E099705">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529864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2.2.3实质上没有响应磋商文件要求的响应文件将被视为无效文件。供应商不得通过修正或撤销不合要求的偏离从而使其成为实质上响应的文件。</w:t>
      </w:r>
    </w:p>
    <w:p w14:paraId="6756879B">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73D79A5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2.2.5供应商的澄清文件是其响应文件的组成部分。</w:t>
      </w:r>
    </w:p>
    <w:p w14:paraId="5E053EDF">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2.2.6一个分包内只有一种产品，不同投标人所投产品为同一品牌的或一个分包内包含多种产品的，采购人将在招标文件中载明核心产品，多家投标人提供的核心产品品牌相同的，按如下方式处理：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48D092B5">
      <w:pPr>
        <w:pStyle w:val="13"/>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2.3磋商</w:t>
      </w:r>
    </w:p>
    <w:p w14:paraId="44B5CF1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2.3.1磋商小组所有成员应当集中与单一供应商分别进行磋商，并给予所有参加磋商的供应商平等的磋商机会。</w:t>
      </w:r>
    </w:p>
    <w:p w14:paraId="4405D643">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2.3.2在磋商过程中，磋商小组可以根据磋商文件和磋商情况实质性变动采购需求中的技术、服务要求以及合同草案条款，但不得变动磋商文件中的其他内容。实质性变动的内容，须经采购人代表确认。</w:t>
      </w:r>
    </w:p>
    <w:p w14:paraId="790778D7">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2.3.3对磋商文件作出的实质性变动是磋商文件的有效组成部分，磋商小组应当及时以书面形式同时通知所有参加磋商的供应商。</w:t>
      </w:r>
    </w:p>
    <w:p w14:paraId="6BFC491B">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A5ACB9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2.3.5磋商文件能够详细列明采购标的的技术、服务要求的，磋商结束后，磋商小组应当要求所有实质性响应的供应商在规定时间内提交最后报价，提交最后报价的供应商不得少于3家。</w:t>
      </w:r>
    </w:p>
    <w:p w14:paraId="0C8D62B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7EF047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2.3.7已提交响应文件的供应商，在提交最后报价之前，可以根据磋商情况退出磋商。其磋商保证金将予以退还。</w:t>
      </w:r>
    </w:p>
    <w:p w14:paraId="29F3825D">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2.3.8最后报价是供应商响应文件的有效组成部分。符合《政府采购竞争性磋商采购方式管理暂行办法》第三条第四项情形：市场竞争不充分的科研项目，以及需要扶持的科技成果转化项目，提交最后报价的供应商可以为2家。</w:t>
      </w:r>
    </w:p>
    <w:p w14:paraId="32F6108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2.3.9经磋商确定最终采购需求和提交最后报价的供应商后，由磋商小组采用综合评分法对提交最后报价的供应商的响应文件和最后报价进行综合评分。</w:t>
      </w:r>
    </w:p>
    <w:p w14:paraId="288B4C34">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2.3.10采购结果确认</w:t>
      </w:r>
    </w:p>
    <w:p w14:paraId="65E40AE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118C6A1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3D4BE451">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（3）条款是指磋商过程中确定的最终采购需求及报价。</w:t>
      </w:r>
    </w:p>
    <w:p w14:paraId="4E98DF79">
      <w:pPr>
        <w:pStyle w:val="13"/>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2.4推荐成交供应商</w:t>
      </w:r>
    </w:p>
    <w:p w14:paraId="6660F5E3">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E33B698">
      <w:pPr>
        <w:pStyle w:val="13"/>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2.5确定成交供应商</w:t>
      </w:r>
    </w:p>
    <w:p w14:paraId="2332E78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2.5.1采购代理机构应当在评审结束后2个工作日内将评审报告送采购人确认。</w:t>
      </w:r>
    </w:p>
    <w:p w14:paraId="41BDD0F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2.5.2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64BCC5">
      <w:pPr>
        <w:spacing w:line="400" w:lineRule="exact"/>
        <w:outlineLvl w:val="1"/>
        <w:rPr>
          <w:rFonts w:ascii="宋体" w:hAnsi="宋体" w:cs="宋体"/>
          <w:b/>
          <w:color w:val="auto"/>
          <w:sz w:val="28"/>
          <w:szCs w:val="28"/>
          <w:highlight w:val="none"/>
        </w:rPr>
      </w:pPr>
      <w:bookmarkStart w:id="91" w:name="_Toc19418"/>
      <w:r>
        <w:rPr>
          <w:rFonts w:hint="eastAsia" w:ascii="宋体" w:hAnsi="宋体" w:cs="宋体"/>
          <w:b/>
          <w:color w:val="auto"/>
          <w:sz w:val="28"/>
          <w:szCs w:val="28"/>
          <w:highlight w:val="none"/>
        </w:rPr>
        <w:t>三、串通投标的情况</w:t>
      </w:r>
      <w:bookmarkEnd w:id="91"/>
    </w:p>
    <w:p w14:paraId="7801CBAA">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有下列情形之一的，视为投标人串通投标，其投标无效：</w:t>
      </w:r>
    </w:p>
    <w:p w14:paraId="4A45C4E3">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1、不同投标人的投标文件由同一单位或者个人编制；</w:t>
      </w:r>
    </w:p>
    <w:p w14:paraId="6B5E41A1">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2、不同投标人委托同一单位或者个人办理投标事宜；</w:t>
      </w:r>
    </w:p>
    <w:p w14:paraId="290122B5">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3、不同投标人的投标文件载明的项目管理成员或者联系人员为同一人；</w:t>
      </w:r>
    </w:p>
    <w:p w14:paraId="64773ADC">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4、不同投标人的投标文件异常一致或者投标报价呈规律性差异；</w:t>
      </w:r>
    </w:p>
    <w:p w14:paraId="714F461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5、不同投标人的投标文件相互混装；</w:t>
      </w:r>
    </w:p>
    <w:p w14:paraId="7C210F4D">
      <w:pPr>
        <w:pStyle w:val="13"/>
        <w:spacing w:line="400" w:lineRule="exact"/>
        <w:ind w:firstLine="484" w:firstLineChars="202"/>
        <w:jc w:val="left"/>
        <w:rPr>
          <w:rFonts w:ascii="宋体" w:hAnsi="宋体"/>
          <w:color w:val="auto"/>
          <w:sz w:val="28"/>
          <w:szCs w:val="28"/>
          <w:highlight w:val="none"/>
        </w:rPr>
      </w:pPr>
      <w:r>
        <w:rPr>
          <w:rFonts w:hint="eastAsia" w:ascii="宋体" w:hAnsi="宋体" w:cs="宋体"/>
          <w:color w:val="auto"/>
          <w:sz w:val="24"/>
          <w:szCs w:val="24"/>
          <w:highlight w:val="none"/>
        </w:rPr>
        <w:t>6、不同投标人的投标保证金从同一单位或者个人的账户转出。</w:t>
      </w:r>
    </w:p>
    <w:p w14:paraId="73ECD718">
      <w:pPr>
        <w:spacing w:line="400" w:lineRule="exact"/>
        <w:outlineLvl w:val="1"/>
        <w:rPr>
          <w:rFonts w:ascii="宋体" w:hAnsi="宋体" w:cs="宋体"/>
          <w:b/>
          <w:color w:val="auto"/>
          <w:sz w:val="28"/>
          <w:szCs w:val="28"/>
          <w:highlight w:val="none"/>
        </w:rPr>
      </w:pPr>
      <w:r>
        <w:rPr>
          <w:rFonts w:hint="eastAsia" w:ascii="宋体" w:hAnsi="宋体" w:cs="宋体"/>
          <w:b/>
          <w:color w:val="auto"/>
          <w:sz w:val="28"/>
          <w:szCs w:val="28"/>
          <w:highlight w:val="none"/>
        </w:rPr>
        <w:t>四、无效投标条款和废标条款</w:t>
      </w:r>
    </w:p>
    <w:p w14:paraId="03320950">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4.1无效投标条款</w:t>
      </w:r>
    </w:p>
    <w:p w14:paraId="313A3AE6">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投标人不遵循公平竞争的原则，恶意串通，妨碍其他投标人的竞争，损害采购人或者其他投标人的合法权益，评标委员会应当认定其投标无效。</w:t>
      </w:r>
    </w:p>
    <w:p w14:paraId="507DF711">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4.2废标条款：</w:t>
      </w:r>
    </w:p>
    <w:p w14:paraId="623694FF">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4.2.1符合专业条件的供应商或者对招标文件作实质响应的供应商不足三家的；</w:t>
      </w:r>
    </w:p>
    <w:p w14:paraId="150107B3">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4.2.2出现影响采购公正的违法、违规行为的；</w:t>
      </w:r>
    </w:p>
    <w:p w14:paraId="5492F82E">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4.2.3投标人的报价均超过了采购预算，采购人不能支付的；</w:t>
      </w:r>
    </w:p>
    <w:p w14:paraId="5741B449">
      <w:pPr>
        <w:pStyle w:val="13"/>
        <w:spacing w:line="400" w:lineRule="exact"/>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4.2.4因重大变故，采购任务取消的。</w:t>
      </w:r>
    </w:p>
    <w:p w14:paraId="58E1BF96">
      <w:pPr>
        <w:pStyle w:val="13"/>
        <w:spacing w:line="500" w:lineRule="exact"/>
        <w:ind w:firstLine="0" w:firstLineChars="0"/>
        <w:jc w:val="left"/>
        <w:rPr>
          <w:rFonts w:ascii="宋体" w:hAnsi="宋体"/>
          <w:color w:val="auto"/>
          <w:sz w:val="28"/>
          <w:szCs w:val="28"/>
          <w:highlight w:val="none"/>
        </w:rPr>
      </w:pPr>
    </w:p>
    <w:p w14:paraId="69624E96">
      <w:pPr>
        <w:pStyle w:val="13"/>
        <w:spacing w:line="500" w:lineRule="exact"/>
        <w:ind w:firstLine="0" w:firstLineChars="0"/>
        <w:jc w:val="left"/>
        <w:rPr>
          <w:rFonts w:ascii="宋体" w:hAnsi="宋体"/>
          <w:color w:val="auto"/>
          <w:sz w:val="28"/>
          <w:szCs w:val="28"/>
          <w:highlight w:val="none"/>
        </w:rPr>
      </w:pPr>
    </w:p>
    <w:p w14:paraId="10DBB514">
      <w:pPr>
        <w:pStyle w:val="13"/>
        <w:spacing w:line="500" w:lineRule="exact"/>
        <w:ind w:firstLine="0" w:firstLineChars="0"/>
        <w:jc w:val="left"/>
        <w:rPr>
          <w:rFonts w:ascii="宋体" w:hAnsi="宋体"/>
          <w:color w:val="auto"/>
          <w:sz w:val="28"/>
          <w:szCs w:val="28"/>
          <w:highlight w:val="none"/>
        </w:rPr>
      </w:pPr>
    </w:p>
    <w:p w14:paraId="3CAE6402">
      <w:pPr>
        <w:pStyle w:val="13"/>
        <w:spacing w:line="500" w:lineRule="exact"/>
        <w:ind w:firstLine="0" w:firstLineChars="0"/>
        <w:jc w:val="left"/>
        <w:rPr>
          <w:rFonts w:ascii="宋体" w:hAnsi="宋体"/>
          <w:color w:val="auto"/>
          <w:sz w:val="28"/>
          <w:szCs w:val="28"/>
          <w:highlight w:val="none"/>
        </w:rPr>
      </w:pPr>
    </w:p>
    <w:p w14:paraId="5291EBD4">
      <w:pPr>
        <w:pStyle w:val="13"/>
        <w:spacing w:line="500" w:lineRule="exact"/>
        <w:ind w:firstLine="0" w:firstLineChars="0"/>
        <w:jc w:val="left"/>
        <w:rPr>
          <w:rFonts w:ascii="宋体" w:hAnsi="宋体"/>
          <w:color w:val="auto"/>
          <w:sz w:val="28"/>
          <w:szCs w:val="28"/>
          <w:highlight w:val="none"/>
        </w:rPr>
      </w:pPr>
    </w:p>
    <w:p w14:paraId="7DCC8F5D">
      <w:pPr>
        <w:pStyle w:val="13"/>
        <w:spacing w:line="500" w:lineRule="exact"/>
        <w:ind w:firstLine="0" w:firstLineChars="0"/>
        <w:jc w:val="left"/>
        <w:rPr>
          <w:rFonts w:ascii="宋体" w:hAnsi="宋体"/>
          <w:color w:val="auto"/>
          <w:sz w:val="28"/>
          <w:szCs w:val="28"/>
          <w:highlight w:val="none"/>
        </w:rPr>
      </w:pPr>
    </w:p>
    <w:p w14:paraId="3FC81606">
      <w:pPr>
        <w:pStyle w:val="13"/>
        <w:spacing w:line="500" w:lineRule="exact"/>
        <w:ind w:firstLine="0" w:firstLineChars="0"/>
        <w:jc w:val="left"/>
        <w:rPr>
          <w:rFonts w:ascii="宋体" w:hAnsi="宋体"/>
          <w:color w:val="auto"/>
          <w:sz w:val="28"/>
          <w:szCs w:val="28"/>
          <w:highlight w:val="none"/>
        </w:rPr>
      </w:pPr>
    </w:p>
    <w:p w14:paraId="3D4DE552">
      <w:pPr>
        <w:pStyle w:val="13"/>
        <w:spacing w:line="500" w:lineRule="exact"/>
        <w:ind w:firstLine="0" w:firstLineChars="0"/>
        <w:jc w:val="left"/>
        <w:rPr>
          <w:rFonts w:ascii="宋体" w:hAnsi="宋体"/>
          <w:color w:val="auto"/>
          <w:sz w:val="28"/>
          <w:szCs w:val="28"/>
          <w:highlight w:val="none"/>
        </w:rPr>
      </w:pPr>
    </w:p>
    <w:p w14:paraId="0373118A">
      <w:pPr>
        <w:pStyle w:val="13"/>
        <w:spacing w:line="500" w:lineRule="exact"/>
        <w:ind w:firstLine="0" w:firstLineChars="0"/>
        <w:jc w:val="left"/>
        <w:rPr>
          <w:rFonts w:ascii="宋体" w:hAnsi="宋体"/>
          <w:color w:val="auto"/>
          <w:sz w:val="28"/>
          <w:szCs w:val="28"/>
          <w:highlight w:val="none"/>
        </w:rPr>
      </w:pPr>
    </w:p>
    <w:p w14:paraId="5EA65E14">
      <w:pPr>
        <w:pStyle w:val="4"/>
        <w:numPr>
          <w:ilvl w:val="0"/>
          <w:numId w:val="1"/>
        </w:numPr>
        <w:spacing w:before="0" w:after="0" w:line="240" w:lineRule="auto"/>
        <w:rPr>
          <w:color w:val="auto"/>
          <w:highlight w:val="none"/>
        </w:rPr>
      </w:pPr>
      <w:bookmarkStart w:id="92" w:name="_Toc22804"/>
      <w:bookmarkStart w:id="93" w:name="_Toc6170"/>
      <w:r>
        <w:rPr>
          <w:rFonts w:hint="eastAsia"/>
          <w:color w:val="auto"/>
          <w:highlight w:val="none"/>
        </w:rPr>
        <w:t xml:space="preserve"> </w:t>
      </w:r>
      <w:bookmarkStart w:id="94" w:name="_Toc15715"/>
      <w:bookmarkStart w:id="95" w:name="_Toc32004"/>
      <w:bookmarkStart w:id="96" w:name="_Toc10028"/>
      <w:r>
        <w:rPr>
          <w:rFonts w:hint="eastAsia"/>
          <w:color w:val="auto"/>
          <w:highlight w:val="none"/>
        </w:rPr>
        <w:t>合同格式及合同条款</w:t>
      </w:r>
      <w:bookmarkEnd w:id="83"/>
      <w:bookmarkEnd w:id="84"/>
      <w:bookmarkEnd w:id="85"/>
      <w:bookmarkEnd w:id="86"/>
      <w:bookmarkEnd w:id="92"/>
      <w:bookmarkEnd w:id="93"/>
      <w:bookmarkEnd w:id="94"/>
      <w:bookmarkEnd w:id="95"/>
      <w:bookmarkEnd w:id="96"/>
    </w:p>
    <w:p w14:paraId="487768A4">
      <w:pPr>
        <w:jc w:val="center"/>
        <w:rPr>
          <w:rFonts w:ascii="宋体" w:hAnsi="宋体"/>
          <w:bCs/>
          <w:color w:val="auto"/>
          <w:sz w:val="28"/>
          <w:szCs w:val="28"/>
          <w:highlight w:val="none"/>
          <w:shd w:val="clear" w:color="auto" w:fill="92D050"/>
        </w:rPr>
      </w:pPr>
    </w:p>
    <w:p w14:paraId="08B43F65">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（仅供参考，合同类型按照民法典规定的典型合同类别，结合采购标的的 </w:t>
      </w:r>
    </w:p>
    <w:p w14:paraId="0AD1BBAC">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实际情况确定）</w:t>
      </w:r>
    </w:p>
    <w:p w14:paraId="0B81B1E5">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32"/>
          <w:szCs w:val="32"/>
          <w:highlight w:val="none"/>
          <w:lang w:val="en-US" w:eastAsia="zh-CN" w:bidi="ar"/>
        </w:rPr>
        <w:t>政府采购合同</w:t>
      </w:r>
    </w:p>
    <w:p w14:paraId="3184A4FF">
      <w:pPr>
        <w:keepNext w:val="0"/>
        <w:keepLines w:val="0"/>
        <w:widowControl/>
        <w:suppressLineNumbers w:val="0"/>
        <w:ind w:firstLine="560" w:firstLineChars="20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项目名称：                                   项目编号：                                </w:t>
      </w:r>
    </w:p>
    <w:p w14:paraId="549EE57C">
      <w:pPr>
        <w:keepNext w:val="0"/>
        <w:keepLines w:val="0"/>
        <w:widowControl/>
        <w:suppressLineNumbers w:val="0"/>
        <w:ind w:firstLine="560" w:firstLineChars="20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                                </w:t>
      </w:r>
    </w:p>
    <w:p w14:paraId="010E7AF4">
      <w:pPr>
        <w:keepNext w:val="0"/>
        <w:keepLines w:val="0"/>
        <w:widowControl/>
        <w:suppressLineNumbers w:val="0"/>
        <w:ind w:firstLine="560" w:firstLineChars="20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采购人（甲方）： </w:t>
      </w:r>
    </w:p>
    <w:p w14:paraId="1D101EC6">
      <w:pPr>
        <w:keepNext w:val="0"/>
        <w:keepLines w:val="0"/>
        <w:widowControl/>
        <w:suppressLineNumbers w:val="0"/>
        <w:ind w:firstLine="560" w:firstLineChars="20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供应商（乙方）： </w:t>
      </w:r>
    </w:p>
    <w:p w14:paraId="3F3C7D56">
      <w:pPr>
        <w:keepNext w:val="0"/>
        <w:keepLines w:val="0"/>
        <w:widowControl/>
        <w:suppressLineNumbers w:val="0"/>
        <w:ind w:firstLine="560" w:firstLineChars="20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甲、乙双方根据《中华人民共和国合同法》、《中华人民共和国政府采购法》和阿克苏地区政府采购有关办法，同意按照下述的条款和条件，签署本合同。 </w:t>
      </w:r>
    </w:p>
    <w:p w14:paraId="3232B720">
      <w:pPr>
        <w:keepNext w:val="0"/>
        <w:keepLines w:val="0"/>
        <w:widowControl/>
        <w:suppressLineNumbers w:val="0"/>
        <w:ind w:firstLine="562" w:firstLineChars="200"/>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一、合同标的 </w:t>
      </w:r>
    </w:p>
    <w:p w14:paraId="247F39E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标的清单： </w:t>
      </w:r>
    </w:p>
    <w:p w14:paraId="3F9D7F4D">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二、合同金额 </w:t>
      </w:r>
    </w:p>
    <w:p w14:paraId="41EDA5C0">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本合同金额为（大写）：____________________________________元（￥_______________元）人民币。 </w:t>
      </w:r>
    </w:p>
    <w:p w14:paraId="5402E500">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三、技术资料 </w:t>
      </w:r>
    </w:p>
    <w:p w14:paraId="3F585D6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1.乙方应按招标文件规定的时间向甲方提供使用标的有关技术资料。 </w:t>
      </w:r>
    </w:p>
    <w:p w14:paraId="65059B0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 </w:t>
      </w:r>
    </w:p>
    <w:p w14:paraId="58B8BF5D">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四、知识产权 </w:t>
      </w:r>
    </w:p>
    <w:p w14:paraId="66059C5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乙方应保证所提供的标的或其任何一部分均不会侵犯任何第三方的知识产权。 </w:t>
      </w:r>
    </w:p>
    <w:p w14:paraId="314DB529">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五、产权担保 </w:t>
      </w:r>
    </w:p>
    <w:p w14:paraId="6743909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乙方保证所交付的标的的所有权完全属于乙方且无任何抵押、查封等产权瑕疵。 </w:t>
      </w:r>
    </w:p>
    <w:p w14:paraId="04B17C91">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六、履约保证金 </w:t>
      </w:r>
    </w:p>
    <w:p w14:paraId="609E806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乙方交纳人民币</w:t>
      </w:r>
      <w:r>
        <w:rPr>
          <w:rFonts w:hint="eastAsia" w:ascii="宋体" w:hAnsi="宋体" w:eastAsia="宋体" w:cs="宋体"/>
          <w:b/>
          <w:bCs/>
          <w:color w:val="auto"/>
          <w:kern w:val="0"/>
          <w:sz w:val="28"/>
          <w:szCs w:val="28"/>
          <w:highlight w:val="none"/>
          <w:lang w:val="en-US" w:eastAsia="zh-CN" w:bidi="ar"/>
        </w:rPr>
        <w:t xml:space="preserve"> </w:t>
      </w:r>
      <w:r>
        <w:rPr>
          <w:rFonts w:hint="eastAsia" w:ascii="宋体" w:hAnsi="宋体" w:eastAsia="宋体" w:cs="宋体"/>
          <w:color w:val="auto"/>
          <w:kern w:val="0"/>
          <w:sz w:val="28"/>
          <w:szCs w:val="28"/>
          <w:highlight w:val="none"/>
          <w:lang w:val="en-US" w:eastAsia="zh-CN" w:bidi="ar"/>
        </w:rPr>
        <w:t>元作为本合同的履约保证金。</w:t>
      </w:r>
    </w:p>
    <w:p w14:paraId="59805AEC">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七、转包或分包 </w:t>
      </w:r>
    </w:p>
    <w:p w14:paraId="5CADD28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1.本合同范围的标的，应由乙方直接供应，不得转让他人供应；</w:t>
      </w:r>
    </w:p>
    <w:p w14:paraId="78ECBCE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2.除非得到甲方的书面同意，乙方不得将本合同范围的标的全部或部分分包给他人供应；</w:t>
      </w:r>
    </w:p>
    <w:p w14:paraId="2915C4E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3.如有转让和未经甲方同意的分包行为，甲方有权解除合同，没收履约保证金并追究乙方的违约责任。 </w:t>
      </w:r>
    </w:p>
    <w:p w14:paraId="52D4C9C4">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八、质保期和质保金 </w:t>
      </w:r>
    </w:p>
    <w:p w14:paraId="2107912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质保期 年。（自验收合格之日起计）。 </w:t>
      </w:r>
    </w:p>
    <w:p w14:paraId="2F2568E6">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九、标的履约时间、履约方式及履约地点 </w:t>
      </w:r>
    </w:p>
    <w:p w14:paraId="7EA66DD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履约时间： </w:t>
      </w:r>
    </w:p>
    <w:p w14:paraId="63C1C837">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2. 履约方式： </w:t>
      </w:r>
    </w:p>
    <w:p w14:paraId="2F2282F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3. 履约地点： </w:t>
      </w:r>
    </w:p>
    <w:p w14:paraId="10109C02">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十、合同款支付 </w:t>
      </w:r>
    </w:p>
    <w:p w14:paraId="173533D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付款方式： </w:t>
      </w:r>
    </w:p>
    <w:p w14:paraId="6617E78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2.当采购数量与实际使用数量不一致时，乙方应根据实际使用量提供，合同的最终结算金额按实际使用量乘以成交单价进行计算。</w:t>
      </w:r>
    </w:p>
    <w:p w14:paraId="03E35B52">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十一、税费 </w:t>
      </w:r>
    </w:p>
    <w:p w14:paraId="783E0E9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本合同执行中相关的一切税费均由乙方负担。</w:t>
      </w:r>
    </w:p>
    <w:p w14:paraId="26521966">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十二、质量保证及售后服务 </w:t>
      </w:r>
    </w:p>
    <w:p w14:paraId="7FC4EB66">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1. 乙方应按招标文件规定的标的性能、技术要求、质量标准向甲方提供未经使用的全新产品。</w:t>
      </w:r>
    </w:p>
    <w:p w14:paraId="033DB24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2. 乙方提供的标的在质保期内因货物本身的质量问题发生故障，乙方应负责免费更换。对达不到技术要求者，根据实际情况，经双方协商，可按以下办法处理： </w:t>
      </w:r>
    </w:p>
    <w:p w14:paraId="119AA54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⑴更换：由乙方承担所发生的全部费用。</w:t>
      </w:r>
    </w:p>
    <w:p w14:paraId="22F13EBC">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⑵贬值处理：由甲乙双方合议定价。 </w:t>
      </w:r>
    </w:p>
    <w:p w14:paraId="134CCC3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⑶退货处理：乙方应退还甲方支付的合同款，同时应承担该标的的直接费用（运输、保险、检验、货款利息及银行手续费等）。 </w:t>
      </w:r>
    </w:p>
    <w:p w14:paraId="71B4EBC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3. 如在使用过程中发生质量问题，乙方在接到甲方通知后在小时内到达甲方现场。 </w:t>
      </w:r>
    </w:p>
    <w:p w14:paraId="0002189C">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4. 在质保期内，乙方应对标的出现的质量及安全问题负责处理解决并承担一切费用。 </w:t>
      </w:r>
    </w:p>
    <w:p w14:paraId="36513E9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5.上述的标的免费保修期为 年，因人为因素出现的故障不在免费保修范围内。超过保修期的产品，终生维修，维修时只收部件成本费。 </w:t>
      </w:r>
    </w:p>
    <w:p w14:paraId="1AA9A3D0">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十三、调试和验收 </w:t>
      </w:r>
    </w:p>
    <w:p w14:paraId="1443E0D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甲方对乙方提交的标的依据招标文件上的技术规格要求和国家有关质量标准进行现场初步验收，外观、说明书符合招标文件技术要求的，给予签收，初步验收不合格的不予签收，甲方需在五个工作日内验收。 </w:t>
      </w:r>
    </w:p>
    <w:p w14:paraId="069CFC34">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2. 乙方交付前应对产品作出全面检查和对验收文件进行整理，并列出清单，作为甲方验收和使用的技术条件依据，检验的结果应随标的交甲方。 </w:t>
      </w:r>
    </w:p>
    <w:p w14:paraId="506B6C5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3. 甲方对乙方提供的标的在使用前进行调试时，乙方需负责安装并培训甲方的使用操作人员，并协助甲方一起调试，直到符合技术要求，甲方才做最终验收。 </w:t>
      </w:r>
    </w:p>
    <w:p w14:paraId="2FA033C1">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4. 对技术复杂的标的，甲方应请国家认可的专业检测机构参与初步验收及最终验收，并由其出具质量检测报告。 </w:t>
      </w:r>
    </w:p>
    <w:p w14:paraId="7CB233A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5. 验收时乙方必须在现场，验收完毕后作出验收结果报告；验收费用由乙方负责。 </w:t>
      </w:r>
    </w:p>
    <w:p w14:paraId="671B4899">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十四、包装、发运及运输 </w:t>
      </w:r>
    </w:p>
    <w:p w14:paraId="5003964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乙方应在发运前对其进行满足运输距离、防潮、防震、防锈和防破损装卸等要求包装，以保证安全运达甲方指定地点。 </w:t>
      </w:r>
    </w:p>
    <w:p w14:paraId="2415AC0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2. 使用说明书、质量检验证明书、随配附件和工具以及清单一并附于标的内。 </w:t>
      </w:r>
    </w:p>
    <w:p w14:paraId="2AA64B82">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3. 乙方在发运手续办理完毕后 24 小时内或到甲方 48 小时前通知甲方，以准备接收。 </w:t>
      </w:r>
    </w:p>
    <w:p w14:paraId="611185E7">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4. 标的在交付甲方前发生的风险均由乙方负责。 </w:t>
      </w:r>
    </w:p>
    <w:p w14:paraId="195AE1E2">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5. 标的在规定的交付期限内由乙方送达甲方指定的地点视为交付，乙方同时需通知甲方标的已送达。 </w:t>
      </w:r>
    </w:p>
    <w:p w14:paraId="739797F3">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十五、违约责任 </w:t>
      </w:r>
    </w:p>
    <w:p w14:paraId="5858CD3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甲方无正当理由拒收的，甲方向乙方偿付拒收合同款总值的 5%违约金。 </w:t>
      </w:r>
    </w:p>
    <w:p w14:paraId="2836D32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2. 甲方无故逾期验收和办理款项支付手续的，甲方应按逾期付款总额每日万分之五向乙方支付违约金。 </w:t>
      </w:r>
    </w:p>
    <w:p w14:paraId="65CF9ED6">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3. 乙方逾期交付的，乙方应按逾期交付总额每日万分之五向甲方支付违约金，由甲方从待付货款中扣除。逾期超过约定日期 20 个工作日不能交付的，甲方可解除本合同。乙方因逾期交付或因其他违约行为导致甲方解除合同的，乙方应向甲方支付合同总值 5%的违约金，如造成甲方损失超过违约金的，超出部分由乙方继续承担赔偿责任。 </w:t>
      </w:r>
    </w:p>
    <w:p w14:paraId="2C996A5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4. 乙方所交的标的品种、型号、规格、技术参数、质量不符合合同规定及招标文件规定标准的，甲方有权拒收，乙方愿意更换但逾期交付的，按乙方逾期交付处理。乙方拒绝更换的，甲方可单方面解除合同。 </w:t>
      </w:r>
    </w:p>
    <w:p w14:paraId="799328A3">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十六、不可抗力事件处理 </w:t>
      </w:r>
    </w:p>
    <w:p w14:paraId="0A6C043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在合同有效期内，任何一方因不可抗力事件导致不能履行合同，则合同履行期可延长，其延长期与不可抗力影响期相同。 </w:t>
      </w:r>
    </w:p>
    <w:p w14:paraId="7643BCC2">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2. 不可抗力事件发生后，应立即通知对方，并寄送有关权威机构出具的证明。 </w:t>
      </w:r>
    </w:p>
    <w:p w14:paraId="50AA2F5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3. 不可抗力事件延续 120 天以上，双方应通过友好协商，确定是否继续履行合同。 </w:t>
      </w:r>
    </w:p>
    <w:p w14:paraId="4B359848">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十七、诉讼 </w:t>
      </w:r>
    </w:p>
    <w:p w14:paraId="43CFC53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双方在执行合同中所发生的一切争议，应通过协商解决。如协商不成，可向甲方所在地提起仲裁或法院起诉。 </w:t>
      </w:r>
    </w:p>
    <w:p w14:paraId="68215532">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十八、合同生效及其它 </w:t>
      </w:r>
    </w:p>
    <w:p w14:paraId="41922141">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1. 合同经双方法定代表人或其委托全权代理人签字并盖章后生效。2. 根据《中华人民共和国政府采购法实施条例》第 50 条之规定，本合同自签订之日起 2 个工作日内，由甲方在新疆政府采购网上公告。 </w:t>
      </w:r>
    </w:p>
    <w:p w14:paraId="335FD48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3.本合同未尽事宜，遵照《合同法》有关条文执行。4.本合同正本一式两份，具有同等法律效力，甲乙双方各执一份；副本</w:t>
      </w:r>
      <w:r>
        <w:rPr>
          <w:rFonts w:hint="eastAsia" w:ascii="宋体" w:hAnsi="宋体" w:eastAsia="宋体" w:cs="宋体"/>
          <w:b/>
          <w:bCs/>
          <w:color w:val="auto"/>
          <w:kern w:val="0"/>
          <w:sz w:val="28"/>
          <w:szCs w:val="28"/>
          <w:highlight w:val="non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份，(用途)。 </w:t>
      </w:r>
    </w:p>
    <w:p w14:paraId="77D2AE99">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甲方：                                乙方： </w:t>
      </w:r>
    </w:p>
    <w:p w14:paraId="4833092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地址：                                地址： </w:t>
      </w:r>
    </w:p>
    <w:p w14:paraId="15171524">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法定（授权）代表人：                  法定（授权）代表人： </w:t>
      </w:r>
    </w:p>
    <w:p w14:paraId="0A142E8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宋体" w:hAnsi="宋体"/>
          <w:bCs/>
          <w:color w:val="auto"/>
          <w:sz w:val="28"/>
          <w:szCs w:val="28"/>
          <w:highlight w:val="none"/>
        </w:rPr>
      </w:pPr>
      <w:r>
        <w:rPr>
          <w:rFonts w:hint="eastAsia" w:ascii="宋体" w:hAnsi="宋体" w:eastAsia="宋体" w:cs="宋体"/>
          <w:color w:val="auto"/>
          <w:kern w:val="0"/>
          <w:sz w:val="28"/>
          <w:szCs w:val="28"/>
          <w:highlight w:val="none"/>
          <w:lang w:val="en-US" w:eastAsia="zh-CN" w:bidi="ar"/>
        </w:rPr>
        <w:t>签字日期： 年 月 日                   签字日期： 年  月 日</w:t>
      </w:r>
    </w:p>
    <w:p w14:paraId="0508CF97">
      <w:pPr>
        <w:widowControl/>
        <w:jc w:val="left"/>
        <w:rPr>
          <w:rFonts w:ascii="宋体" w:hAnsi="宋体"/>
          <w:bCs/>
          <w:color w:val="auto"/>
          <w:sz w:val="28"/>
          <w:szCs w:val="28"/>
          <w:highlight w:val="none"/>
        </w:rPr>
      </w:pPr>
      <w:r>
        <w:rPr>
          <w:rFonts w:ascii="宋体" w:hAnsi="宋体"/>
          <w:bCs/>
          <w:color w:val="auto"/>
          <w:sz w:val="28"/>
          <w:szCs w:val="28"/>
          <w:highlight w:val="none"/>
        </w:rPr>
        <w:br w:type="page"/>
      </w:r>
    </w:p>
    <w:p w14:paraId="7CE3C047">
      <w:pPr>
        <w:widowControl/>
        <w:jc w:val="left"/>
        <w:rPr>
          <w:rFonts w:ascii="宋体" w:hAnsi="宋体"/>
          <w:bCs/>
          <w:color w:val="auto"/>
          <w:sz w:val="28"/>
          <w:szCs w:val="28"/>
          <w:highlight w:val="none"/>
        </w:rPr>
      </w:pPr>
    </w:p>
    <w:p w14:paraId="2504BD19">
      <w:pPr>
        <w:pStyle w:val="4"/>
        <w:numPr>
          <w:ilvl w:val="0"/>
          <w:numId w:val="1"/>
        </w:numPr>
        <w:spacing w:before="0" w:after="0" w:line="240" w:lineRule="auto"/>
        <w:rPr>
          <w:color w:val="auto"/>
          <w:highlight w:val="none"/>
        </w:rPr>
      </w:pPr>
      <w:bookmarkStart w:id="97" w:name="_Toc7411"/>
      <w:bookmarkStart w:id="98" w:name="_Toc18901"/>
      <w:bookmarkStart w:id="99" w:name="_Toc257633148"/>
      <w:r>
        <w:rPr>
          <w:rFonts w:hint="eastAsia"/>
          <w:color w:val="auto"/>
          <w:highlight w:val="none"/>
        </w:rPr>
        <w:t xml:space="preserve"> </w:t>
      </w:r>
      <w:bookmarkStart w:id="100" w:name="_Toc804"/>
      <w:bookmarkStart w:id="101" w:name="_Toc16000"/>
      <w:bookmarkStart w:id="102" w:name="_Toc10721"/>
      <w:r>
        <w:rPr>
          <w:rFonts w:hint="eastAsia"/>
          <w:color w:val="auto"/>
          <w:highlight w:val="none"/>
        </w:rPr>
        <w:t>响应文件格式</w:t>
      </w:r>
      <w:bookmarkEnd w:id="97"/>
      <w:bookmarkEnd w:id="98"/>
      <w:bookmarkEnd w:id="100"/>
      <w:bookmarkEnd w:id="101"/>
      <w:bookmarkEnd w:id="102"/>
    </w:p>
    <w:p w14:paraId="6AE38F2A">
      <w:pPr>
        <w:rPr>
          <w:color w:val="auto"/>
          <w:sz w:val="24"/>
          <w:highlight w:val="none"/>
        </w:rPr>
      </w:pPr>
    </w:p>
    <w:p w14:paraId="70E6B136">
      <w:pPr>
        <w:spacing w:line="360" w:lineRule="auto"/>
        <w:jc w:val="center"/>
        <w:rPr>
          <w:rFonts w:ascii="宋体" w:hAnsi="宋体"/>
          <w:b/>
          <w:color w:val="auto"/>
          <w:sz w:val="28"/>
          <w:highlight w:val="none"/>
        </w:rPr>
      </w:pPr>
      <w:r>
        <w:rPr>
          <w:rFonts w:hint="eastAsia" w:ascii="宋体" w:hAnsi="宋体"/>
          <w:b/>
          <w:color w:val="auto"/>
          <w:sz w:val="28"/>
          <w:highlight w:val="none"/>
        </w:rPr>
        <w:t>响应文件封面</w:t>
      </w:r>
    </w:p>
    <w:p w14:paraId="2F96B502">
      <w:pPr>
        <w:spacing w:line="360" w:lineRule="auto"/>
        <w:rPr>
          <w:rFonts w:ascii="宋体" w:hAnsi="宋体"/>
          <w:b/>
          <w:color w:val="auto"/>
          <w:sz w:val="28"/>
          <w:highlight w:val="none"/>
        </w:rPr>
      </w:pPr>
    </w:p>
    <w:p w14:paraId="0CA6309D">
      <w:pPr>
        <w:spacing w:line="360" w:lineRule="auto"/>
        <w:jc w:val="center"/>
        <w:rPr>
          <w:rFonts w:ascii="宋体" w:hAnsi="宋体"/>
          <w:color w:val="auto"/>
          <w:sz w:val="28"/>
          <w:highlight w:val="none"/>
        </w:rPr>
      </w:pPr>
    </w:p>
    <w:p w14:paraId="3B5042D9">
      <w:pPr>
        <w:spacing w:line="360" w:lineRule="auto"/>
        <w:outlineLvl w:val="0"/>
        <w:rPr>
          <w:rFonts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u w:val="single"/>
        </w:rPr>
        <w:t xml:space="preserve">                        </w:t>
      </w:r>
      <w:bookmarkStart w:id="103" w:name="_Toc18205"/>
      <w:r>
        <w:rPr>
          <w:rFonts w:hint="eastAsia" w:ascii="宋体" w:hAnsi="宋体"/>
          <w:color w:val="auto"/>
          <w:sz w:val="28"/>
          <w:szCs w:val="28"/>
          <w:highlight w:val="none"/>
        </w:rPr>
        <w:t>（项目名称）</w:t>
      </w:r>
      <w:bookmarkEnd w:id="103"/>
    </w:p>
    <w:p w14:paraId="0D59C253">
      <w:pPr>
        <w:spacing w:line="360" w:lineRule="auto"/>
        <w:outlineLvl w:val="0"/>
        <w:rPr>
          <w:rFonts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u w:val="single"/>
        </w:rPr>
        <w:t xml:space="preserve">                        </w:t>
      </w:r>
      <w:bookmarkStart w:id="104" w:name="_Toc19484"/>
      <w:r>
        <w:rPr>
          <w:rFonts w:hint="eastAsia" w:ascii="宋体" w:hAnsi="宋体"/>
          <w:color w:val="auto"/>
          <w:sz w:val="28"/>
          <w:szCs w:val="28"/>
          <w:highlight w:val="none"/>
        </w:rPr>
        <w:t>（项目编号）</w:t>
      </w:r>
      <w:bookmarkEnd w:id="104"/>
    </w:p>
    <w:p w14:paraId="4836AEA9">
      <w:pPr>
        <w:spacing w:line="360" w:lineRule="auto"/>
        <w:jc w:val="center"/>
        <w:rPr>
          <w:rFonts w:ascii="宋体" w:hAnsi="宋体"/>
          <w:color w:val="auto"/>
          <w:sz w:val="28"/>
          <w:szCs w:val="28"/>
          <w:highlight w:val="none"/>
        </w:rPr>
      </w:pPr>
    </w:p>
    <w:p w14:paraId="23952594">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089254C3">
      <w:pPr>
        <w:spacing w:line="360" w:lineRule="auto"/>
        <w:jc w:val="center"/>
        <w:rPr>
          <w:rFonts w:ascii="宋体" w:hAnsi="宋体"/>
          <w:color w:val="auto"/>
          <w:sz w:val="28"/>
          <w:highlight w:val="none"/>
        </w:rPr>
      </w:pPr>
    </w:p>
    <w:p w14:paraId="0F52A484">
      <w:pPr>
        <w:spacing w:line="360" w:lineRule="auto"/>
        <w:jc w:val="center"/>
        <w:rPr>
          <w:rFonts w:ascii="宋体" w:hAnsi="宋体"/>
          <w:color w:val="auto"/>
          <w:sz w:val="28"/>
          <w:highlight w:val="none"/>
        </w:rPr>
      </w:pPr>
    </w:p>
    <w:p w14:paraId="652FB910">
      <w:pPr>
        <w:spacing w:line="360" w:lineRule="auto"/>
        <w:jc w:val="center"/>
        <w:outlineLvl w:val="0"/>
        <w:rPr>
          <w:rFonts w:eastAsia="黑体"/>
          <w:b/>
          <w:color w:val="auto"/>
          <w:sz w:val="72"/>
          <w:szCs w:val="72"/>
          <w:highlight w:val="none"/>
        </w:rPr>
      </w:pPr>
      <w:bookmarkStart w:id="105" w:name="_Toc3702"/>
      <w:r>
        <w:rPr>
          <w:rFonts w:hint="eastAsia" w:eastAsia="黑体"/>
          <w:b/>
          <w:color w:val="auto"/>
          <w:sz w:val="72"/>
          <w:szCs w:val="72"/>
          <w:highlight w:val="none"/>
        </w:rPr>
        <w:t>响应文件</w:t>
      </w:r>
      <w:bookmarkEnd w:id="105"/>
    </w:p>
    <w:p w14:paraId="3C559B69">
      <w:pPr>
        <w:spacing w:line="360" w:lineRule="auto"/>
        <w:jc w:val="center"/>
        <w:rPr>
          <w:rFonts w:ascii="宋体" w:hAnsi="宋体"/>
          <w:color w:val="auto"/>
          <w:sz w:val="28"/>
          <w:highlight w:val="none"/>
        </w:rPr>
      </w:pPr>
    </w:p>
    <w:p w14:paraId="2351F2B0">
      <w:pPr>
        <w:spacing w:line="360" w:lineRule="auto"/>
        <w:rPr>
          <w:rFonts w:ascii="宋体" w:hAnsi="宋体"/>
          <w:b/>
          <w:color w:val="auto"/>
          <w:sz w:val="28"/>
          <w:highlight w:val="none"/>
        </w:rPr>
      </w:pPr>
    </w:p>
    <w:p w14:paraId="4C6751D6">
      <w:pPr>
        <w:spacing w:line="360" w:lineRule="auto"/>
        <w:jc w:val="center"/>
        <w:rPr>
          <w:rFonts w:ascii="宋体" w:hAnsi="宋体"/>
          <w:b/>
          <w:color w:val="auto"/>
          <w:sz w:val="28"/>
          <w:highlight w:val="none"/>
        </w:rPr>
      </w:pPr>
    </w:p>
    <w:p w14:paraId="5A557418">
      <w:pPr>
        <w:spacing w:line="360" w:lineRule="auto"/>
        <w:jc w:val="center"/>
        <w:rPr>
          <w:rFonts w:ascii="宋体" w:hAnsi="宋体"/>
          <w:b/>
          <w:color w:val="auto"/>
          <w:sz w:val="28"/>
          <w:highlight w:val="none"/>
        </w:rPr>
      </w:pPr>
    </w:p>
    <w:p w14:paraId="56AD13AF">
      <w:pPr>
        <w:spacing w:line="360" w:lineRule="auto"/>
        <w:jc w:val="left"/>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供应商：</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（公章）</w:t>
      </w:r>
    </w:p>
    <w:p w14:paraId="65685362">
      <w:pPr>
        <w:spacing w:line="360" w:lineRule="auto"/>
        <w:jc w:val="left"/>
        <w:rPr>
          <w:rFonts w:ascii="宋体" w:hAnsi="宋体"/>
          <w:color w:val="auto"/>
          <w:sz w:val="28"/>
          <w:szCs w:val="28"/>
          <w:highlight w:val="none"/>
        </w:rPr>
      </w:pPr>
      <w:r>
        <w:rPr>
          <w:rFonts w:ascii="宋体" w:hAnsi="宋体"/>
          <w:color w:val="auto"/>
          <w:sz w:val="28"/>
          <w:szCs w:val="28"/>
          <w:highlight w:val="none"/>
        </w:rPr>
        <w:t xml:space="preserve">       </w:t>
      </w:r>
    </w:p>
    <w:p w14:paraId="5B66D059">
      <w:pPr>
        <w:spacing w:line="360" w:lineRule="auto"/>
        <w:jc w:val="left"/>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法定代表人</w:t>
      </w:r>
      <w:r>
        <w:rPr>
          <w:rFonts w:hint="eastAsia" w:ascii="宋体" w:hAnsi="宋体" w:cs="宋体"/>
          <w:color w:val="auto"/>
          <w:sz w:val="28"/>
          <w:szCs w:val="28"/>
          <w:highlight w:val="none"/>
        </w:rPr>
        <w:t>或授权委托人：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14:paraId="7574517D">
      <w:pPr>
        <w:spacing w:line="360" w:lineRule="auto"/>
        <w:jc w:val="left"/>
        <w:rPr>
          <w:rFonts w:ascii="宋体" w:hAnsi="宋体"/>
          <w:color w:val="auto"/>
          <w:sz w:val="28"/>
          <w:szCs w:val="28"/>
          <w:highlight w:val="none"/>
        </w:rPr>
      </w:pPr>
      <w:r>
        <w:rPr>
          <w:rFonts w:ascii="宋体" w:hAnsi="宋体"/>
          <w:color w:val="auto"/>
          <w:sz w:val="28"/>
          <w:szCs w:val="28"/>
          <w:highlight w:val="none"/>
        </w:rPr>
        <w:t xml:space="preserve">      </w:t>
      </w:r>
    </w:p>
    <w:p w14:paraId="01E82284">
      <w:pPr>
        <w:spacing w:line="360" w:lineRule="auto"/>
        <w:jc w:val="left"/>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（年/月/日）</w:t>
      </w:r>
    </w:p>
    <w:p w14:paraId="51160806">
      <w:pPr>
        <w:spacing w:line="360" w:lineRule="auto"/>
        <w:rPr>
          <w:rFonts w:ascii="宋体" w:hAnsi="宋体"/>
          <w:color w:val="auto"/>
          <w:sz w:val="28"/>
          <w:szCs w:val="28"/>
          <w:highlight w:val="none"/>
        </w:rPr>
      </w:pPr>
    </w:p>
    <w:p w14:paraId="51854310">
      <w:pPr>
        <w:spacing w:line="360" w:lineRule="auto"/>
        <w:rPr>
          <w:rFonts w:ascii="宋体" w:hAnsi="宋体"/>
          <w:color w:val="auto"/>
          <w:sz w:val="28"/>
          <w:szCs w:val="28"/>
          <w:highlight w:val="none"/>
        </w:rPr>
      </w:pPr>
    </w:p>
    <w:p w14:paraId="019EEAED">
      <w:pPr>
        <w:spacing w:line="360" w:lineRule="auto"/>
        <w:rPr>
          <w:rFonts w:ascii="宋体" w:hAnsi="宋体"/>
          <w:color w:val="auto"/>
          <w:sz w:val="28"/>
          <w:szCs w:val="28"/>
          <w:highlight w:val="none"/>
        </w:rPr>
      </w:pPr>
    </w:p>
    <w:p w14:paraId="04DD6762">
      <w:pPr>
        <w:pStyle w:val="6"/>
        <w:numPr>
          <w:ilvl w:val="2"/>
          <w:numId w:val="0"/>
        </w:numPr>
        <w:spacing w:before="120" w:beforeLines="50" w:after="120" w:afterLines="50" w:line="300" w:lineRule="auto"/>
        <w:rPr>
          <w:color w:val="auto"/>
          <w:highlight w:val="none"/>
        </w:rPr>
      </w:pPr>
      <w:r>
        <w:rPr>
          <w:rFonts w:hint="eastAsia" w:ascii="宋体" w:cs="宋体"/>
          <w:b w:val="0"/>
          <w:color w:val="auto"/>
          <w:sz w:val="30"/>
          <w:szCs w:val="30"/>
          <w:highlight w:val="none"/>
        </w:rPr>
        <w:t>目录</w:t>
      </w:r>
    </w:p>
    <w:p w14:paraId="3B167F74">
      <w:pPr>
        <w:pStyle w:val="33"/>
        <w:spacing w:line="440" w:lineRule="exact"/>
        <w:ind w:firstLine="482" w:firstLineChars="200"/>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一、资格证明文件</w:t>
      </w:r>
    </w:p>
    <w:p w14:paraId="2B159813">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符合《中华人民共和国政府采购法》第二十二条规定的材料：</w:t>
      </w:r>
    </w:p>
    <w:p w14:paraId="2A1C8D91">
      <w:pPr>
        <w:pStyle w:val="33"/>
        <w:spacing w:line="44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1、提供营业执照</w:t>
      </w:r>
      <w:r>
        <w:rPr>
          <w:rFonts w:hint="eastAsia" w:ascii="宋体" w:hAnsi="宋体" w:eastAsia="宋体" w:cs="宋体"/>
          <w:color w:val="auto"/>
          <w:sz w:val="24"/>
          <w:szCs w:val="22"/>
          <w:highlight w:val="none"/>
          <w:lang w:eastAsia="zh-CN"/>
        </w:rPr>
        <w:t>。</w:t>
      </w:r>
    </w:p>
    <w:p w14:paraId="10E8E78C">
      <w:pPr>
        <w:pStyle w:val="33"/>
        <w:spacing w:line="44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rPr>
        <w:t>提供近</w:t>
      </w:r>
      <w:r>
        <w:rPr>
          <w:rFonts w:hint="eastAsia" w:ascii="宋体" w:hAnsi="宋体" w:eastAsia="宋体" w:cs="宋体"/>
          <w:color w:val="auto"/>
          <w:sz w:val="24"/>
          <w:szCs w:val="22"/>
          <w:highlight w:val="none"/>
          <w:lang w:eastAsia="zh-CN"/>
        </w:rPr>
        <w:t>一年中任意一个月的</w:t>
      </w:r>
      <w:r>
        <w:rPr>
          <w:rFonts w:hint="eastAsia" w:ascii="宋体" w:hAnsi="宋体" w:eastAsia="宋体" w:cs="宋体"/>
          <w:color w:val="auto"/>
          <w:sz w:val="24"/>
          <w:szCs w:val="22"/>
          <w:highlight w:val="none"/>
        </w:rPr>
        <w:t>企业缴纳税收的电子回单或税务部门出具的纳税证明或完税证明或有效的证明材料</w:t>
      </w:r>
      <w:r>
        <w:rPr>
          <w:rFonts w:hint="eastAsia" w:ascii="宋体" w:hAnsi="宋体" w:eastAsia="宋体" w:cs="宋体"/>
          <w:color w:val="auto"/>
          <w:sz w:val="24"/>
          <w:szCs w:val="22"/>
          <w:highlight w:val="none"/>
          <w:lang w:eastAsia="zh-CN"/>
        </w:rPr>
        <w:t>。</w:t>
      </w:r>
    </w:p>
    <w:p w14:paraId="46D26F60">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、具备履行合同所必需专业能力的书面声明（格式见附件一）</w:t>
      </w:r>
    </w:p>
    <w:p w14:paraId="50B7E08E">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、参加政府采购活动前 3 年内在经营活动中没有重大违法记录的书面声明（格式见附件二）</w:t>
      </w:r>
    </w:p>
    <w:p w14:paraId="2C630829">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、法定代表人（单位负责人）身份证明及授权委托书（格式见附件三）</w:t>
      </w:r>
    </w:p>
    <w:p w14:paraId="2E15C87C">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、提供磋商保证金打款凭证</w:t>
      </w:r>
    </w:p>
    <w:p w14:paraId="5019DEE6">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、提供递交响应文件截止时间前七日内“信用中国”网站和“中国政府采购网”</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kern w:val="2"/>
          <w:sz w:val="24"/>
          <w:szCs w:val="24"/>
          <w:highlight w:val="none"/>
          <w:shd w:val="clear" w:color="auto" w:fill="FBFDFE"/>
          <w:lang w:val="en-US" w:eastAsia="zh-CN" w:bidi="ar-SA"/>
        </w:rPr>
        <w:t>国家企业信用信息公示系统”</w:t>
      </w:r>
      <w:r>
        <w:rPr>
          <w:rFonts w:hint="eastAsia" w:ascii="宋体" w:hAnsi="宋体" w:eastAsia="宋体" w:cs="宋体"/>
          <w:color w:val="auto"/>
          <w:sz w:val="24"/>
          <w:szCs w:val="22"/>
          <w:highlight w:val="none"/>
        </w:rPr>
        <w:t>网站企业信用信息查询记录（复印件加盖公章）</w:t>
      </w:r>
    </w:p>
    <w:p w14:paraId="50A94CB2">
      <w:pPr>
        <w:pStyle w:val="33"/>
        <w:spacing w:line="440" w:lineRule="exact"/>
        <w:ind w:firstLine="480" w:firstLineChars="200"/>
        <w:rPr>
          <w:rFonts w:hint="eastAsia" w:ascii="宋体" w:hAnsi="宋体" w:eastAsia="宋体" w:cs="宋体"/>
          <w:color w:val="auto"/>
          <w:sz w:val="24"/>
          <w:szCs w:val="22"/>
          <w:highlight w:val="none"/>
          <w:lang w:eastAsia="zh-CN"/>
        </w:rPr>
      </w:pPr>
    </w:p>
    <w:p w14:paraId="1C931F06">
      <w:pPr>
        <w:pStyle w:val="33"/>
        <w:spacing w:line="440" w:lineRule="exact"/>
        <w:ind w:firstLine="482" w:firstLineChars="200"/>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二、商务文件</w:t>
      </w:r>
    </w:p>
    <w:p w14:paraId="5D5F8EE3">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1、竞争性磋商函（格式见附件四）；</w:t>
      </w:r>
    </w:p>
    <w:p w14:paraId="7BF90C25">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2、磋商报价表（格式见附件五）；</w:t>
      </w:r>
    </w:p>
    <w:p w14:paraId="1678315B">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3、竞争性磋商报价明细表（格式见附件六）；</w:t>
      </w:r>
    </w:p>
    <w:p w14:paraId="360BB802">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4、供应商认为需要提供的其他文件</w:t>
      </w:r>
    </w:p>
    <w:p w14:paraId="60DC6885">
      <w:pPr>
        <w:pStyle w:val="33"/>
        <w:spacing w:line="440" w:lineRule="exact"/>
        <w:ind w:firstLine="482" w:firstLineChars="200"/>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bCs/>
          <w:color w:val="auto"/>
          <w:sz w:val="24"/>
          <w:szCs w:val="22"/>
          <w:highlight w:val="none"/>
          <w:lang w:eastAsia="zh-CN"/>
        </w:rPr>
        <w:t>技术</w:t>
      </w:r>
      <w:r>
        <w:rPr>
          <w:rFonts w:hint="eastAsia" w:ascii="宋体" w:hAnsi="宋体" w:eastAsia="宋体" w:cs="宋体"/>
          <w:b/>
          <w:bCs/>
          <w:color w:val="auto"/>
          <w:sz w:val="24"/>
          <w:szCs w:val="22"/>
          <w:highlight w:val="none"/>
        </w:rPr>
        <w:t>文件</w:t>
      </w:r>
    </w:p>
    <w:p w14:paraId="0BC58D7D">
      <w:pPr>
        <w:pStyle w:val="33"/>
        <w:spacing w:line="44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格式自拟，具体内容应包括但不限于：人员配备、工作大纲、业绩证明、信誉证明、</w:t>
      </w:r>
      <w:r>
        <w:rPr>
          <w:rFonts w:hint="eastAsia" w:ascii="宋体" w:hAnsi="宋体" w:eastAsia="宋体" w:cs="宋体"/>
          <w:color w:val="auto"/>
          <w:sz w:val="24"/>
          <w:szCs w:val="22"/>
          <w:highlight w:val="none"/>
          <w:lang w:eastAsia="zh-CN"/>
        </w:rPr>
        <w:t>其他技术文件。</w:t>
      </w:r>
    </w:p>
    <w:p w14:paraId="655B4E06">
      <w:pPr>
        <w:pStyle w:val="33"/>
        <w:spacing w:line="440" w:lineRule="exact"/>
        <w:ind w:firstLine="482" w:firstLineChars="200"/>
        <w:rPr>
          <w:rFonts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四、其他文件</w:t>
      </w:r>
    </w:p>
    <w:p w14:paraId="13C67F53">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1、商务和技术偏差表（格式见附件七）；</w:t>
      </w:r>
    </w:p>
    <w:p w14:paraId="3ED68FD0">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2、企业声明函（格式见附件八）；</w:t>
      </w:r>
    </w:p>
    <w:p w14:paraId="6B7A9CCA">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3、残疾人福利性单位声明函（格式见附件九）；</w:t>
      </w:r>
    </w:p>
    <w:p w14:paraId="7E769D30">
      <w:pPr>
        <w:pStyle w:val="33"/>
        <w:spacing w:line="440" w:lineRule="exact"/>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4、供应商认为需要提供的其他文件</w:t>
      </w:r>
    </w:p>
    <w:p w14:paraId="1AE1EF14">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br w:type="page"/>
      </w:r>
    </w:p>
    <w:bookmarkEnd w:id="99"/>
    <w:p w14:paraId="336CF6C3">
      <w:pPr>
        <w:pStyle w:val="6"/>
        <w:numPr>
          <w:ilvl w:val="2"/>
          <w:numId w:val="0"/>
        </w:numPr>
        <w:spacing w:before="120" w:beforeLines="50" w:after="120" w:afterLines="50" w:line="300" w:lineRule="auto"/>
        <w:jc w:val="both"/>
        <w:rPr>
          <w:rFonts w:ascii="宋体" w:cs="宋体"/>
          <w:b w:val="0"/>
          <w:color w:val="auto"/>
          <w:sz w:val="30"/>
          <w:szCs w:val="30"/>
          <w:highlight w:val="none"/>
        </w:rPr>
      </w:pPr>
      <w:bookmarkStart w:id="106" w:name="_Toc534816643"/>
      <w:bookmarkStart w:id="107" w:name="_Toc534725614"/>
      <w:bookmarkStart w:id="108" w:name="_Toc23830"/>
      <w:bookmarkStart w:id="109" w:name="_Toc519111281"/>
      <w:r>
        <w:rPr>
          <w:rFonts w:hint="eastAsia" w:ascii="宋体" w:cs="宋体"/>
          <w:b w:val="0"/>
          <w:color w:val="auto"/>
          <w:sz w:val="30"/>
          <w:szCs w:val="30"/>
          <w:highlight w:val="none"/>
        </w:rPr>
        <w:t>附件一：具备履行合同所必需的设备和专业技术能力的书面声明</w:t>
      </w:r>
      <w:bookmarkEnd w:id="106"/>
      <w:bookmarkEnd w:id="107"/>
      <w:bookmarkEnd w:id="108"/>
    </w:p>
    <w:p w14:paraId="40435DE9">
      <w:pPr>
        <w:spacing w:before="120" w:beforeLines="50" w:after="120" w:afterLines="50" w:line="300" w:lineRule="auto"/>
        <w:ind w:firstLine="492"/>
        <w:rPr>
          <w:rFonts w:ascii="宋体" w:hAnsi="宋体" w:cs="宋体"/>
          <w:bCs/>
          <w:color w:val="auto"/>
          <w:sz w:val="24"/>
          <w:highlight w:val="none"/>
        </w:rPr>
      </w:pPr>
      <w:r>
        <w:rPr>
          <w:rFonts w:hint="eastAsia" w:ascii="宋体" w:hAnsi="宋体" w:cs="宋体"/>
          <w:bCs/>
          <w:color w:val="auto"/>
          <w:sz w:val="24"/>
          <w:highlight w:val="none"/>
        </w:rPr>
        <w:t>我单位郑重声明：我单位具备履行本项采购合同所必需的设备和专业技术能力，为履行本项采购合同我公司具备如下主要设备和主要专业技术能力：</w:t>
      </w:r>
    </w:p>
    <w:p w14:paraId="0CEC7DC7">
      <w:pPr>
        <w:spacing w:before="120" w:beforeLines="50" w:after="120" w:afterLines="50" w:line="300" w:lineRule="auto"/>
        <w:ind w:firstLine="492"/>
        <w:rPr>
          <w:rFonts w:ascii="宋体" w:hAnsi="宋体" w:cs="宋体"/>
          <w:bCs/>
          <w:color w:val="auto"/>
          <w:sz w:val="24"/>
          <w:highlight w:val="none"/>
        </w:rPr>
      </w:pPr>
      <w:r>
        <w:rPr>
          <w:rFonts w:hint="eastAsia" w:ascii="宋体" w:hAnsi="宋体" w:cs="宋体"/>
          <w:bCs/>
          <w:color w:val="auto"/>
          <w:sz w:val="24"/>
          <w:highlight w:val="none"/>
        </w:rPr>
        <w:t>主要设备有：</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2DD972AA">
      <w:pPr>
        <w:spacing w:before="120" w:beforeLines="50" w:after="120" w:afterLines="50" w:line="300" w:lineRule="auto"/>
        <w:ind w:firstLine="492"/>
        <w:rPr>
          <w:rFonts w:ascii="宋体" w:hAnsi="宋体" w:cs="宋体"/>
          <w:bCs/>
          <w:color w:val="auto"/>
          <w:sz w:val="24"/>
          <w:highlight w:val="none"/>
        </w:rPr>
      </w:pPr>
      <w:r>
        <w:rPr>
          <w:rFonts w:hint="eastAsia" w:ascii="宋体" w:hAnsi="宋体" w:cs="宋体"/>
          <w:bCs/>
          <w:color w:val="auto"/>
          <w:sz w:val="24"/>
          <w:highlight w:val="none"/>
        </w:rPr>
        <w:t>主要专业技术能力有：</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5D427B93">
      <w:pPr>
        <w:pStyle w:val="80"/>
        <w:rPr>
          <w:rFonts w:ascii="宋体" w:hAnsi="宋体" w:cs="宋体"/>
          <w:color w:val="auto"/>
          <w:highlight w:val="none"/>
        </w:rPr>
      </w:pPr>
    </w:p>
    <w:p w14:paraId="16FF0C7F">
      <w:pPr>
        <w:pStyle w:val="82"/>
        <w:tabs>
          <w:tab w:val="left" w:pos="750"/>
        </w:tabs>
        <w:adjustRightInd w:val="0"/>
        <w:snapToGrid w:val="0"/>
        <w:spacing w:line="500" w:lineRule="exact"/>
        <w:rPr>
          <w:rFonts w:ascii="宋体" w:hAnsi="宋体" w:cs="宋体"/>
          <w:color w:val="auto"/>
          <w:sz w:val="24"/>
          <w:szCs w:val="24"/>
          <w:highlight w:val="none"/>
        </w:rPr>
      </w:pPr>
      <w:r>
        <w:rPr>
          <w:rFonts w:hint="eastAsia" w:ascii="宋体" w:hAnsi="宋体" w:cs="宋体"/>
          <w:bCs/>
          <w:color w:val="auto"/>
          <w:highlight w:val="none"/>
        </w:rPr>
        <w:t xml:space="preserve">                                 </w:t>
      </w: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single"/>
        </w:rPr>
        <w:t xml:space="preserve">           </w:t>
      </w:r>
    </w:p>
    <w:p w14:paraId="389869BD">
      <w:pPr>
        <w:pStyle w:val="82"/>
        <w:tabs>
          <w:tab w:val="left" w:pos="750"/>
        </w:tabs>
        <w:adjustRightInd w:val="0"/>
        <w:snapToGrid w:val="0"/>
        <w:spacing w:line="500" w:lineRule="exact"/>
        <w:rPr>
          <w:rFonts w:ascii="宋体" w:hAnsi="宋体" w:cs="宋体"/>
          <w:color w:val="auto"/>
          <w:sz w:val="24"/>
          <w:szCs w:val="24"/>
          <w:highlight w:val="none"/>
        </w:rPr>
      </w:pPr>
    </w:p>
    <w:p w14:paraId="49C3C749">
      <w:pPr>
        <w:pStyle w:val="82"/>
        <w:tabs>
          <w:tab w:val="left" w:pos="750"/>
        </w:tabs>
        <w:adjustRightInd w:val="0"/>
        <w:snapToGrid w:val="0"/>
        <w:spacing w:line="500" w:lineRule="exact"/>
        <w:ind w:firstLine="720" w:firstLineChars="300"/>
        <w:jc w:val="righ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F380787">
      <w:pPr>
        <w:rPr>
          <w:rFonts w:ascii="宋体" w:hAnsi="宋体" w:cs="宋体"/>
          <w:color w:val="auto"/>
          <w:highlight w:val="none"/>
        </w:rPr>
      </w:pPr>
    </w:p>
    <w:p w14:paraId="4EC98F13">
      <w:pPr>
        <w:rPr>
          <w:rFonts w:ascii="宋体" w:hAnsi="宋体" w:cs="宋体"/>
          <w:color w:val="auto"/>
          <w:highlight w:val="none"/>
        </w:rPr>
      </w:pPr>
    </w:p>
    <w:p w14:paraId="17E1ADD7">
      <w:pPr>
        <w:rPr>
          <w:rFonts w:ascii="宋体" w:hAnsi="宋体" w:cs="宋体"/>
          <w:color w:val="auto"/>
          <w:highlight w:val="none"/>
        </w:rPr>
      </w:pPr>
    </w:p>
    <w:p w14:paraId="414DB4A7">
      <w:pPr>
        <w:rPr>
          <w:rFonts w:ascii="宋体" w:hAnsi="宋体" w:cs="宋体"/>
          <w:color w:val="auto"/>
          <w:highlight w:val="none"/>
        </w:rPr>
      </w:pPr>
    </w:p>
    <w:p w14:paraId="0561E6C6">
      <w:pPr>
        <w:rPr>
          <w:rFonts w:ascii="宋体" w:hAnsi="宋体" w:cs="宋体"/>
          <w:color w:val="auto"/>
          <w:highlight w:val="none"/>
        </w:rPr>
      </w:pPr>
    </w:p>
    <w:p w14:paraId="4F6776A7">
      <w:pPr>
        <w:pStyle w:val="80"/>
        <w:rPr>
          <w:rFonts w:ascii="宋体" w:hAnsi="宋体" w:cs="宋体"/>
          <w:color w:val="auto"/>
          <w:highlight w:val="none"/>
        </w:rPr>
      </w:pPr>
    </w:p>
    <w:p w14:paraId="168E6793">
      <w:pPr>
        <w:pStyle w:val="80"/>
        <w:rPr>
          <w:rFonts w:ascii="宋体" w:hAnsi="宋体" w:cs="宋体"/>
          <w:color w:val="auto"/>
          <w:highlight w:val="none"/>
        </w:rPr>
      </w:pPr>
    </w:p>
    <w:p w14:paraId="654B4146">
      <w:pPr>
        <w:pStyle w:val="80"/>
        <w:rPr>
          <w:rFonts w:ascii="宋体" w:hAnsi="宋体" w:cs="宋体"/>
          <w:color w:val="auto"/>
          <w:highlight w:val="none"/>
        </w:rPr>
      </w:pPr>
    </w:p>
    <w:p w14:paraId="46FCB6D3">
      <w:pPr>
        <w:pStyle w:val="80"/>
        <w:rPr>
          <w:rFonts w:ascii="宋体" w:hAnsi="宋体" w:cs="宋体"/>
          <w:color w:val="auto"/>
          <w:highlight w:val="none"/>
        </w:rPr>
      </w:pPr>
    </w:p>
    <w:p w14:paraId="6EAC4BB5">
      <w:pPr>
        <w:pStyle w:val="80"/>
        <w:rPr>
          <w:rFonts w:ascii="宋体" w:hAnsi="宋体" w:cs="宋体"/>
          <w:color w:val="auto"/>
          <w:highlight w:val="none"/>
        </w:rPr>
      </w:pPr>
    </w:p>
    <w:p w14:paraId="7ABB1038">
      <w:pPr>
        <w:pStyle w:val="80"/>
        <w:rPr>
          <w:rFonts w:ascii="宋体" w:hAnsi="宋体" w:cs="宋体"/>
          <w:color w:val="auto"/>
          <w:highlight w:val="none"/>
        </w:rPr>
      </w:pPr>
    </w:p>
    <w:p w14:paraId="64C1CB32">
      <w:pPr>
        <w:pStyle w:val="80"/>
        <w:rPr>
          <w:rFonts w:ascii="宋体" w:hAnsi="宋体" w:cs="宋体"/>
          <w:color w:val="auto"/>
          <w:highlight w:val="none"/>
        </w:rPr>
      </w:pPr>
    </w:p>
    <w:p w14:paraId="72866AE5">
      <w:pPr>
        <w:pStyle w:val="80"/>
        <w:rPr>
          <w:rFonts w:ascii="宋体" w:hAnsi="宋体" w:cs="宋体"/>
          <w:color w:val="auto"/>
          <w:highlight w:val="none"/>
        </w:rPr>
      </w:pPr>
    </w:p>
    <w:p w14:paraId="5EE3D07F">
      <w:pPr>
        <w:pStyle w:val="80"/>
        <w:rPr>
          <w:rFonts w:ascii="宋体" w:hAnsi="宋体" w:cs="宋体"/>
          <w:color w:val="auto"/>
          <w:highlight w:val="none"/>
        </w:rPr>
      </w:pPr>
    </w:p>
    <w:p w14:paraId="3A6A486E">
      <w:pPr>
        <w:pStyle w:val="80"/>
        <w:rPr>
          <w:rFonts w:ascii="宋体" w:hAnsi="宋体" w:cs="宋体"/>
          <w:color w:val="auto"/>
          <w:highlight w:val="none"/>
        </w:rPr>
      </w:pPr>
    </w:p>
    <w:p w14:paraId="35A83C56">
      <w:pPr>
        <w:pStyle w:val="80"/>
        <w:rPr>
          <w:rFonts w:ascii="宋体" w:hAnsi="宋体" w:cs="宋体"/>
          <w:color w:val="auto"/>
          <w:highlight w:val="none"/>
        </w:rPr>
      </w:pPr>
    </w:p>
    <w:p w14:paraId="42B3BC75">
      <w:pPr>
        <w:pStyle w:val="80"/>
        <w:rPr>
          <w:rFonts w:ascii="宋体" w:hAnsi="宋体" w:cs="宋体"/>
          <w:color w:val="auto"/>
          <w:highlight w:val="none"/>
        </w:rPr>
      </w:pPr>
    </w:p>
    <w:p w14:paraId="366285C7">
      <w:pPr>
        <w:pStyle w:val="80"/>
        <w:rPr>
          <w:rFonts w:ascii="宋体" w:hAnsi="宋体" w:cs="宋体"/>
          <w:color w:val="auto"/>
          <w:highlight w:val="none"/>
        </w:rPr>
      </w:pPr>
    </w:p>
    <w:p w14:paraId="577E6D74">
      <w:pPr>
        <w:pStyle w:val="80"/>
        <w:rPr>
          <w:rFonts w:ascii="宋体" w:hAnsi="宋体" w:cs="宋体"/>
          <w:color w:val="auto"/>
          <w:highlight w:val="none"/>
        </w:rPr>
      </w:pPr>
    </w:p>
    <w:p w14:paraId="16E61E00">
      <w:pPr>
        <w:pStyle w:val="80"/>
        <w:rPr>
          <w:rFonts w:ascii="宋体" w:hAnsi="宋体" w:cs="宋体"/>
          <w:color w:val="auto"/>
          <w:highlight w:val="none"/>
        </w:rPr>
      </w:pPr>
    </w:p>
    <w:p w14:paraId="1C0B2344">
      <w:pPr>
        <w:pStyle w:val="80"/>
        <w:rPr>
          <w:rFonts w:ascii="宋体" w:hAnsi="宋体" w:cs="宋体"/>
          <w:color w:val="auto"/>
          <w:highlight w:val="none"/>
        </w:rPr>
      </w:pPr>
    </w:p>
    <w:p w14:paraId="05BEA59C">
      <w:pPr>
        <w:pStyle w:val="80"/>
        <w:rPr>
          <w:rFonts w:ascii="宋体" w:hAnsi="宋体" w:cs="宋体"/>
          <w:color w:val="auto"/>
          <w:highlight w:val="none"/>
        </w:rPr>
      </w:pPr>
    </w:p>
    <w:p w14:paraId="53485D07">
      <w:pPr>
        <w:pStyle w:val="80"/>
        <w:rPr>
          <w:rFonts w:ascii="宋体" w:hAnsi="宋体" w:cs="宋体"/>
          <w:color w:val="auto"/>
          <w:highlight w:val="none"/>
        </w:rPr>
      </w:pPr>
    </w:p>
    <w:p w14:paraId="29A05FA3">
      <w:pPr>
        <w:pStyle w:val="80"/>
        <w:rPr>
          <w:rFonts w:ascii="宋体" w:hAnsi="宋体" w:cs="宋体"/>
          <w:color w:val="auto"/>
          <w:highlight w:val="none"/>
        </w:rPr>
      </w:pPr>
    </w:p>
    <w:p w14:paraId="56D3DD48">
      <w:pPr>
        <w:pStyle w:val="80"/>
        <w:rPr>
          <w:rFonts w:ascii="宋体" w:hAnsi="宋体" w:cs="宋体"/>
          <w:color w:val="auto"/>
          <w:highlight w:val="none"/>
        </w:rPr>
      </w:pPr>
    </w:p>
    <w:p w14:paraId="40CB931E">
      <w:pPr>
        <w:pStyle w:val="80"/>
        <w:rPr>
          <w:rFonts w:ascii="宋体" w:hAnsi="宋体" w:cs="宋体"/>
          <w:color w:val="auto"/>
          <w:highlight w:val="none"/>
        </w:rPr>
      </w:pPr>
    </w:p>
    <w:p w14:paraId="355D88CC">
      <w:pPr>
        <w:pStyle w:val="80"/>
        <w:rPr>
          <w:rFonts w:ascii="宋体" w:hAnsi="宋体" w:cs="宋体"/>
          <w:color w:val="auto"/>
          <w:highlight w:val="none"/>
        </w:rPr>
      </w:pPr>
    </w:p>
    <w:p w14:paraId="79481EE5">
      <w:pPr>
        <w:pStyle w:val="80"/>
        <w:rPr>
          <w:rFonts w:ascii="宋体" w:hAnsi="宋体" w:cs="宋体"/>
          <w:color w:val="auto"/>
          <w:highlight w:val="none"/>
        </w:rPr>
      </w:pPr>
    </w:p>
    <w:p w14:paraId="1A7C5A19">
      <w:pPr>
        <w:pStyle w:val="80"/>
        <w:rPr>
          <w:rFonts w:ascii="宋体" w:hAnsi="宋体" w:cs="宋体"/>
          <w:color w:val="auto"/>
          <w:highlight w:val="none"/>
        </w:rPr>
      </w:pPr>
    </w:p>
    <w:p w14:paraId="5F732527">
      <w:pPr>
        <w:pStyle w:val="80"/>
        <w:rPr>
          <w:rFonts w:ascii="宋体" w:hAnsi="宋体" w:cs="宋体"/>
          <w:color w:val="auto"/>
          <w:highlight w:val="none"/>
        </w:rPr>
      </w:pPr>
    </w:p>
    <w:p w14:paraId="1788B39F">
      <w:pPr>
        <w:pStyle w:val="80"/>
        <w:rPr>
          <w:rFonts w:ascii="宋体" w:hAnsi="宋体" w:cs="宋体"/>
          <w:color w:val="auto"/>
          <w:highlight w:val="none"/>
        </w:rPr>
      </w:pPr>
    </w:p>
    <w:p w14:paraId="3EB5C5A0">
      <w:pPr>
        <w:pStyle w:val="80"/>
        <w:rPr>
          <w:rFonts w:ascii="宋体" w:hAnsi="宋体" w:cs="宋体"/>
          <w:color w:val="auto"/>
          <w:highlight w:val="none"/>
        </w:rPr>
      </w:pPr>
    </w:p>
    <w:p w14:paraId="5B0D3DD1">
      <w:pPr>
        <w:pStyle w:val="80"/>
        <w:rPr>
          <w:rFonts w:ascii="宋体" w:hAnsi="宋体" w:cs="宋体"/>
          <w:color w:val="auto"/>
          <w:highlight w:val="none"/>
        </w:rPr>
      </w:pPr>
    </w:p>
    <w:p w14:paraId="28BE2E80">
      <w:pPr>
        <w:pStyle w:val="80"/>
        <w:rPr>
          <w:rFonts w:ascii="宋体" w:hAnsi="宋体" w:cs="宋体"/>
          <w:color w:val="auto"/>
          <w:highlight w:val="none"/>
        </w:rPr>
      </w:pPr>
    </w:p>
    <w:p w14:paraId="54B79439">
      <w:pPr>
        <w:pStyle w:val="80"/>
        <w:rPr>
          <w:rFonts w:ascii="宋体" w:hAnsi="宋体" w:cs="宋体"/>
          <w:color w:val="auto"/>
          <w:highlight w:val="none"/>
        </w:rPr>
      </w:pPr>
    </w:p>
    <w:p w14:paraId="1B4D848A">
      <w:pPr>
        <w:pStyle w:val="80"/>
        <w:rPr>
          <w:rFonts w:ascii="宋体" w:hAnsi="宋体" w:cs="宋体"/>
          <w:color w:val="auto"/>
          <w:highlight w:val="none"/>
        </w:rPr>
      </w:pPr>
    </w:p>
    <w:p w14:paraId="6D2BB2B4">
      <w:pPr>
        <w:pStyle w:val="80"/>
        <w:rPr>
          <w:rFonts w:ascii="宋体" w:hAnsi="宋体" w:cs="宋体"/>
          <w:color w:val="auto"/>
          <w:highlight w:val="none"/>
        </w:rPr>
      </w:pPr>
    </w:p>
    <w:p w14:paraId="1730A684">
      <w:pPr>
        <w:pStyle w:val="6"/>
        <w:numPr>
          <w:ilvl w:val="2"/>
          <w:numId w:val="0"/>
        </w:numPr>
        <w:spacing w:before="120" w:beforeLines="50" w:after="120" w:afterLines="50" w:line="300" w:lineRule="auto"/>
        <w:jc w:val="both"/>
        <w:rPr>
          <w:rFonts w:ascii="宋体" w:cs="宋体"/>
          <w:b w:val="0"/>
          <w:color w:val="auto"/>
          <w:sz w:val="30"/>
          <w:szCs w:val="30"/>
          <w:highlight w:val="none"/>
        </w:rPr>
      </w:pPr>
      <w:bookmarkStart w:id="110" w:name="_Toc534725615"/>
      <w:bookmarkStart w:id="111" w:name="_Toc534816644"/>
      <w:bookmarkStart w:id="112" w:name="_Toc21280"/>
      <w:r>
        <w:rPr>
          <w:rFonts w:hint="eastAsia" w:ascii="宋体" w:cs="宋体"/>
          <w:b w:val="0"/>
          <w:color w:val="auto"/>
          <w:sz w:val="30"/>
          <w:szCs w:val="30"/>
          <w:highlight w:val="none"/>
        </w:rPr>
        <w:t>附件二：参加政府采购活动前 3 年内在经营活动中没有重大违法记录的书面声明</w:t>
      </w:r>
      <w:bookmarkEnd w:id="110"/>
      <w:bookmarkEnd w:id="111"/>
      <w:bookmarkEnd w:id="112"/>
    </w:p>
    <w:p w14:paraId="720F18B3">
      <w:pPr>
        <w:spacing w:before="120" w:beforeLines="50" w:after="120" w:afterLines="50" w:line="300" w:lineRule="auto"/>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声  明</w:t>
      </w:r>
    </w:p>
    <w:p w14:paraId="09B71A9E">
      <w:pPr>
        <w:spacing w:before="120" w:beforeLines="50" w:after="120" w:afterLines="50" w:line="300" w:lineRule="auto"/>
        <w:rPr>
          <w:rFonts w:ascii="宋体" w:hAnsi="宋体" w:cs="宋体"/>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6455B411">
      <w:pPr>
        <w:spacing w:before="120" w:beforeLines="50" w:after="120" w:afterLines="50" w:line="300" w:lineRule="auto"/>
        <w:rPr>
          <w:rFonts w:ascii="宋体" w:hAnsi="宋体" w:cs="宋体"/>
          <w:bCs/>
          <w:color w:val="auto"/>
          <w:sz w:val="24"/>
          <w:highlight w:val="none"/>
        </w:rPr>
      </w:pPr>
    </w:p>
    <w:p w14:paraId="4BCC1E50">
      <w:pPr>
        <w:pStyle w:val="82"/>
        <w:tabs>
          <w:tab w:val="left" w:pos="750"/>
        </w:tabs>
        <w:adjustRightInd w:val="0"/>
        <w:snapToGrid w:val="0"/>
        <w:spacing w:line="500" w:lineRule="exact"/>
        <w:rPr>
          <w:rFonts w:ascii="宋体" w:hAnsi="宋体" w:cs="宋体"/>
          <w:color w:val="auto"/>
          <w:sz w:val="24"/>
          <w:szCs w:val="24"/>
          <w:highlight w:val="none"/>
        </w:rPr>
      </w:pPr>
      <w:r>
        <w:rPr>
          <w:rFonts w:hint="eastAsia" w:ascii="宋体" w:hAnsi="宋体" w:cs="宋体"/>
          <w:bCs/>
          <w:color w:val="auto"/>
          <w:highlight w:val="none"/>
        </w:rPr>
        <w:t xml:space="preserve">                                 </w:t>
      </w: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single"/>
        </w:rPr>
        <w:t xml:space="preserve">                       </w:t>
      </w:r>
    </w:p>
    <w:p w14:paraId="64639220">
      <w:pPr>
        <w:pStyle w:val="82"/>
        <w:tabs>
          <w:tab w:val="left" w:pos="750"/>
        </w:tabs>
        <w:adjustRightInd w:val="0"/>
        <w:snapToGrid w:val="0"/>
        <w:spacing w:line="500" w:lineRule="exact"/>
        <w:ind w:firstLine="720" w:firstLineChars="300"/>
        <w:jc w:val="righ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CEF8497">
      <w:pPr>
        <w:pStyle w:val="80"/>
        <w:rPr>
          <w:rFonts w:ascii="宋体" w:hAnsi="宋体" w:cs="宋体"/>
          <w:color w:val="auto"/>
          <w:highlight w:val="none"/>
        </w:rPr>
      </w:pPr>
    </w:p>
    <w:p w14:paraId="043951FC">
      <w:pPr>
        <w:pStyle w:val="80"/>
        <w:rPr>
          <w:rFonts w:ascii="宋体" w:hAnsi="宋体" w:cs="宋体"/>
          <w:color w:val="auto"/>
          <w:highlight w:val="none"/>
        </w:rPr>
      </w:pPr>
    </w:p>
    <w:p w14:paraId="6ED33359">
      <w:pPr>
        <w:pStyle w:val="80"/>
        <w:rPr>
          <w:rFonts w:ascii="宋体" w:hAnsi="宋体" w:cs="宋体"/>
          <w:color w:val="auto"/>
          <w:highlight w:val="none"/>
        </w:rPr>
      </w:pPr>
    </w:p>
    <w:p w14:paraId="62AE4D2D">
      <w:pPr>
        <w:pStyle w:val="80"/>
        <w:rPr>
          <w:rFonts w:ascii="宋体" w:hAnsi="宋体" w:cs="宋体"/>
          <w:color w:val="auto"/>
          <w:highlight w:val="none"/>
        </w:rPr>
      </w:pPr>
    </w:p>
    <w:p w14:paraId="2FE41E5F">
      <w:pPr>
        <w:pStyle w:val="80"/>
        <w:rPr>
          <w:rFonts w:ascii="宋体" w:hAnsi="宋体" w:cs="宋体"/>
          <w:color w:val="auto"/>
          <w:highlight w:val="none"/>
        </w:rPr>
      </w:pPr>
    </w:p>
    <w:p w14:paraId="11D3945C">
      <w:pPr>
        <w:pStyle w:val="80"/>
        <w:rPr>
          <w:rFonts w:ascii="宋体" w:hAnsi="宋体" w:cs="宋体"/>
          <w:color w:val="auto"/>
          <w:highlight w:val="none"/>
        </w:rPr>
      </w:pPr>
    </w:p>
    <w:p w14:paraId="7B752260">
      <w:pPr>
        <w:pStyle w:val="80"/>
        <w:rPr>
          <w:rFonts w:ascii="宋体" w:hAnsi="宋体" w:cs="宋体"/>
          <w:color w:val="auto"/>
          <w:highlight w:val="none"/>
        </w:rPr>
      </w:pPr>
    </w:p>
    <w:p w14:paraId="137D6A32">
      <w:pPr>
        <w:pStyle w:val="80"/>
        <w:rPr>
          <w:rFonts w:ascii="宋体" w:hAnsi="宋体" w:cs="宋体"/>
          <w:color w:val="auto"/>
          <w:highlight w:val="none"/>
        </w:rPr>
      </w:pPr>
    </w:p>
    <w:p w14:paraId="5EFC9F99">
      <w:pPr>
        <w:pStyle w:val="80"/>
        <w:rPr>
          <w:rFonts w:ascii="宋体" w:hAnsi="宋体" w:cs="宋体"/>
          <w:color w:val="auto"/>
          <w:highlight w:val="none"/>
        </w:rPr>
      </w:pPr>
    </w:p>
    <w:p w14:paraId="27C4D9E6">
      <w:pPr>
        <w:pStyle w:val="80"/>
        <w:rPr>
          <w:rFonts w:ascii="宋体" w:hAnsi="宋体" w:cs="宋体"/>
          <w:color w:val="auto"/>
          <w:highlight w:val="none"/>
        </w:rPr>
      </w:pPr>
    </w:p>
    <w:p w14:paraId="006637DD">
      <w:pPr>
        <w:pStyle w:val="80"/>
        <w:rPr>
          <w:rFonts w:ascii="宋体" w:hAnsi="宋体" w:cs="宋体"/>
          <w:color w:val="auto"/>
          <w:highlight w:val="none"/>
        </w:rPr>
      </w:pPr>
    </w:p>
    <w:p w14:paraId="791E4ADC">
      <w:pPr>
        <w:pStyle w:val="80"/>
        <w:rPr>
          <w:rFonts w:ascii="宋体" w:hAnsi="宋体" w:cs="宋体"/>
          <w:color w:val="auto"/>
          <w:highlight w:val="none"/>
        </w:rPr>
      </w:pPr>
    </w:p>
    <w:p w14:paraId="536DCB1B">
      <w:pPr>
        <w:pStyle w:val="80"/>
        <w:rPr>
          <w:rFonts w:ascii="宋体" w:hAnsi="宋体" w:cs="宋体"/>
          <w:color w:val="auto"/>
          <w:highlight w:val="none"/>
        </w:rPr>
      </w:pPr>
    </w:p>
    <w:p w14:paraId="7ECF8E42">
      <w:pPr>
        <w:pStyle w:val="80"/>
        <w:rPr>
          <w:rFonts w:ascii="宋体" w:hAnsi="宋体" w:cs="宋体"/>
          <w:color w:val="auto"/>
          <w:highlight w:val="none"/>
        </w:rPr>
      </w:pPr>
    </w:p>
    <w:p w14:paraId="68909477">
      <w:pPr>
        <w:pStyle w:val="80"/>
        <w:rPr>
          <w:rFonts w:ascii="宋体" w:hAnsi="宋体" w:cs="宋体"/>
          <w:color w:val="auto"/>
          <w:highlight w:val="none"/>
        </w:rPr>
      </w:pPr>
    </w:p>
    <w:p w14:paraId="04AD6367">
      <w:pPr>
        <w:pStyle w:val="80"/>
        <w:rPr>
          <w:rFonts w:ascii="宋体" w:hAnsi="宋体" w:cs="宋体"/>
          <w:color w:val="auto"/>
          <w:highlight w:val="none"/>
        </w:rPr>
      </w:pPr>
    </w:p>
    <w:p w14:paraId="097FCB4A">
      <w:pPr>
        <w:pStyle w:val="80"/>
        <w:rPr>
          <w:rFonts w:ascii="宋体" w:hAnsi="宋体" w:cs="宋体"/>
          <w:color w:val="auto"/>
          <w:highlight w:val="none"/>
        </w:rPr>
      </w:pPr>
    </w:p>
    <w:p w14:paraId="32BBF62C">
      <w:pPr>
        <w:pStyle w:val="80"/>
        <w:rPr>
          <w:rFonts w:ascii="宋体" w:hAnsi="宋体" w:cs="宋体"/>
          <w:color w:val="auto"/>
          <w:highlight w:val="none"/>
        </w:rPr>
      </w:pPr>
    </w:p>
    <w:p w14:paraId="384C561D">
      <w:pPr>
        <w:pStyle w:val="80"/>
        <w:rPr>
          <w:rFonts w:ascii="宋体" w:hAnsi="宋体" w:cs="宋体"/>
          <w:color w:val="auto"/>
          <w:highlight w:val="none"/>
        </w:rPr>
      </w:pPr>
    </w:p>
    <w:p w14:paraId="354D9817">
      <w:pPr>
        <w:pStyle w:val="80"/>
        <w:rPr>
          <w:rFonts w:ascii="宋体" w:hAnsi="宋体" w:cs="宋体"/>
          <w:color w:val="auto"/>
          <w:highlight w:val="none"/>
        </w:rPr>
      </w:pPr>
    </w:p>
    <w:p w14:paraId="2AA7D159">
      <w:pPr>
        <w:pStyle w:val="80"/>
        <w:rPr>
          <w:rFonts w:ascii="宋体" w:hAnsi="宋体" w:cs="宋体"/>
          <w:color w:val="auto"/>
          <w:highlight w:val="none"/>
        </w:rPr>
      </w:pPr>
    </w:p>
    <w:p w14:paraId="75D31936">
      <w:pPr>
        <w:pStyle w:val="80"/>
        <w:rPr>
          <w:rFonts w:ascii="宋体" w:hAnsi="宋体" w:cs="宋体"/>
          <w:color w:val="auto"/>
          <w:highlight w:val="none"/>
        </w:rPr>
      </w:pPr>
    </w:p>
    <w:p w14:paraId="03AAAD60">
      <w:pPr>
        <w:pStyle w:val="80"/>
        <w:rPr>
          <w:rFonts w:ascii="宋体" w:hAnsi="宋体" w:cs="宋体"/>
          <w:color w:val="auto"/>
          <w:highlight w:val="none"/>
        </w:rPr>
      </w:pPr>
    </w:p>
    <w:p w14:paraId="6B1561B4">
      <w:pPr>
        <w:pStyle w:val="80"/>
        <w:rPr>
          <w:rFonts w:ascii="宋体" w:hAnsi="宋体" w:cs="宋体"/>
          <w:color w:val="auto"/>
          <w:highlight w:val="none"/>
        </w:rPr>
      </w:pPr>
    </w:p>
    <w:p w14:paraId="06AF908D">
      <w:pPr>
        <w:pStyle w:val="80"/>
        <w:rPr>
          <w:rFonts w:ascii="宋体" w:hAnsi="宋体" w:cs="宋体"/>
          <w:color w:val="auto"/>
          <w:highlight w:val="none"/>
        </w:rPr>
      </w:pPr>
    </w:p>
    <w:p w14:paraId="320C3EBD">
      <w:pPr>
        <w:pStyle w:val="80"/>
        <w:rPr>
          <w:rFonts w:ascii="宋体" w:hAnsi="宋体" w:cs="宋体"/>
          <w:color w:val="auto"/>
          <w:highlight w:val="none"/>
        </w:rPr>
      </w:pPr>
    </w:p>
    <w:p w14:paraId="5CEADE84">
      <w:pPr>
        <w:pStyle w:val="80"/>
        <w:rPr>
          <w:rFonts w:ascii="宋体" w:hAnsi="宋体" w:cs="宋体"/>
          <w:color w:val="auto"/>
          <w:highlight w:val="none"/>
        </w:rPr>
      </w:pPr>
    </w:p>
    <w:p w14:paraId="49AE6E8C">
      <w:pPr>
        <w:pStyle w:val="80"/>
        <w:rPr>
          <w:rFonts w:ascii="宋体" w:hAnsi="宋体" w:cs="宋体"/>
          <w:color w:val="auto"/>
          <w:highlight w:val="none"/>
        </w:rPr>
      </w:pPr>
    </w:p>
    <w:p w14:paraId="46930A19">
      <w:pPr>
        <w:pStyle w:val="80"/>
        <w:rPr>
          <w:rFonts w:ascii="宋体" w:hAnsi="宋体" w:cs="宋体"/>
          <w:color w:val="auto"/>
          <w:highlight w:val="none"/>
        </w:rPr>
      </w:pPr>
    </w:p>
    <w:p w14:paraId="34DA23A8">
      <w:pPr>
        <w:pStyle w:val="80"/>
        <w:rPr>
          <w:rFonts w:ascii="宋体" w:hAnsi="宋体" w:cs="宋体"/>
          <w:color w:val="auto"/>
          <w:highlight w:val="none"/>
        </w:rPr>
      </w:pPr>
    </w:p>
    <w:p w14:paraId="25A7A868">
      <w:pPr>
        <w:pStyle w:val="80"/>
        <w:rPr>
          <w:rFonts w:ascii="宋体" w:hAnsi="宋体" w:cs="宋体"/>
          <w:color w:val="auto"/>
          <w:highlight w:val="none"/>
        </w:rPr>
      </w:pPr>
    </w:p>
    <w:p w14:paraId="64DC09BD">
      <w:pPr>
        <w:pStyle w:val="80"/>
        <w:rPr>
          <w:rFonts w:ascii="宋体" w:hAnsi="宋体" w:cs="宋体"/>
          <w:color w:val="auto"/>
          <w:highlight w:val="none"/>
        </w:rPr>
      </w:pPr>
    </w:p>
    <w:p w14:paraId="096CF4B0">
      <w:pPr>
        <w:pStyle w:val="80"/>
        <w:rPr>
          <w:rFonts w:ascii="宋体" w:hAnsi="宋体" w:cs="宋体"/>
          <w:color w:val="auto"/>
          <w:highlight w:val="none"/>
        </w:rPr>
      </w:pPr>
    </w:p>
    <w:p w14:paraId="42FBE8D9">
      <w:pPr>
        <w:pStyle w:val="80"/>
        <w:rPr>
          <w:rFonts w:ascii="宋体" w:hAnsi="宋体" w:cs="宋体"/>
          <w:color w:val="auto"/>
          <w:highlight w:val="none"/>
        </w:rPr>
      </w:pPr>
    </w:p>
    <w:p w14:paraId="0765DB73">
      <w:pPr>
        <w:pStyle w:val="80"/>
        <w:rPr>
          <w:rFonts w:ascii="宋体" w:hAnsi="宋体" w:cs="宋体"/>
          <w:color w:val="auto"/>
          <w:highlight w:val="none"/>
        </w:rPr>
      </w:pPr>
    </w:p>
    <w:p w14:paraId="080B2CCD">
      <w:pPr>
        <w:pStyle w:val="80"/>
        <w:rPr>
          <w:rFonts w:ascii="宋体" w:hAnsi="宋体" w:cs="宋体"/>
          <w:color w:val="auto"/>
          <w:highlight w:val="none"/>
        </w:rPr>
      </w:pPr>
    </w:p>
    <w:p w14:paraId="146786A1">
      <w:pPr>
        <w:pStyle w:val="6"/>
        <w:spacing w:before="120" w:beforeLines="50" w:after="120" w:afterLines="50" w:line="300" w:lineRule="auto"/>
        <w:ind w:left="0" w:leftChars="0"/>
        <w:jc w:val="both"/>
        <w:rPr>
          <w:rFonts w:ascii="宋体" w:cs="宋体"/>
          <w:b w:val="0"/>
          <w:color w:val="auto"/>
          <w:sz w:val="30"/>
          <w:szCs w:val="30"/>
          <w:highlight w:val="none"/>
        </w:rPr>
      </w:pPr>
      <w:bookmarkStart w:id="113" w:name="_Toc8813"/>
      <w:r>
        <w:rPr>
          <w:rFonts w:hint="eastAsia" w:ascii="宋体" w:cs="宋体"/>
          <w:b w:val="0"/>
          <w:color w:val="auto"/>
          <w:sz w:val="30"/>
          <w:szCs w:val="30"/>
          <w:highlight w:val="none"/>
        </w:rPr>
        <w:t>附件三：法定代表人（单位负责人）身份证明及授权委托书</w:t>
      </w:r>
      <w:bookmarkEnd w:id="109"/>
      <w:bookmarkEnd w:id="113"/>
    </w:p>
    <w:p w14:paraId="4925CB0C">
      <w:pPr>
        <w:rPr>
          <w:rFonts w:ascii="宋体" w:hAnsi="宋体" w:cs="宋体"/>
          <w:color w:val="auto"/>
          <w:highlight w:val="none"/>
        </w:rPr>
      </w:pPr>
    </w:p>
    <w:p w14:paraId="67DE86D2">
      <w:pPr>
        <w:pStyle w:val="83"/>
        <w:outlineLvl w:val="9"/>
        <w:rPr>
          <w:rFonts w:eastAsia="宋体" w:cs="宋体"/>
          <w:b w:val="0"/>
          <w:color w:val="auto"/>
          <w:sz w:val="24"/>
          <w:szCs w:val="24"/>
          <w:highlight w:val="none"/>
        </w:rPr>
      </w:pPr>
      <w:bookmarkStart w:id="114" w:name="_Toc480368595"/>
      <w:bookmarkStart w:id="115" w:name="_Toc480371721"/>
      <w:bookmarkStart w:id="116" w:name="_Toc519111282"/>
      <w:bookmarkStart w:id="117" w:name="_Toc468535482"/>
      <w:bookmarkStart w:id="118" w:name="_Toc480368424"/>
      <w:bookmarkStart w:id="119" w:name="_Toc480368653"/>
      <w:r>
        <w:rPr>
          <w:rFonts w:hint="eastAsia" w:eastAsia="宋体" w:cs="宋体"/>
          <w:b w:val="0"/>
          <w:color w:val="auto"/>
          <w:sz w:val="24"/>
          <w:szCs w:val="24"/>
          <w:highlight w:val="none"/>
        </w:rPr>
        <w:t>法定代表人（单位负责人）资格证明文件</w:t>
      </w:r>
      <w:bookmarkEnd w:id="114"/>
      <w:bookmarkEnd w:id="115"/>
      <w:bookmarkEnd w:id="116"/>
      <w:bookmarkEnd w:id="117"/>
      <w:bookmarkEnd w:id="118"/>
      <w:bookmarkEnd w:id="119"/>
    </w:p>
    <w:p w14:paraId="7A971271">
      <w:pPr>
        <w:pStyle w:val="82"/>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（采购人）   </w:t>
      </w:r>
      <w:r>
        <w:rPr>
          <w:rFonts w:hint="eastAsia" w:ascii="宋体" w:hAnsi="宋体" w:cs="宋体"/>
          <w:color w:val="auto"/>
          <w:sz w:val="24"/>
          <w:szCs w:val="24"/>
          <w:highlight w:val="none"/>
        </w:rPr>
        <w:t>：</w:t>
      </w:r>
    </w:p>
    <w:p w14:paraId="6802E21D">
      <w:pPr>
        <w:pStyle w:val="82"/>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公司法定代表人（单位负责人），代表我公司办理一切社会公务事宜，具有法律效力。 </w:t>
      </w:r>
    </w:p>
    <w:p w14:paraId="5F64B931">
      <w:pPr>
        <w:pStyle w:val="82"/>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附法定代表人（单位负责人）基本情况： </w:t>
      </w:r>
    </w:p>
    <w:p w14:paraId="20945FC8">
      <w:pPr>
        <w:pStyle w:val="82"/>
        <w:adjustRightInd w:val="0"/>
        <w:snapToGrid w:val="0"/>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6724F5C4">
      <w:pPr>
        <w:pStyle w:val="82"/>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0158043">
      <w:pPr>
        <w:pStyle w:val="82"/>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通讯地址：</w:t>
      </w:r>
      <w:r>
        <w:rPr>
          <w:rFonts w:hint="eastAsia" w:ascii="宋体" w:hAnsi="宋体" w:cs="宋体"/>
          <w:color w:val="auto"/>
          <w:sz w:val="24"/>
          <w:szCs w:val="24"/>
          <w:highlight w:val="none"/>
          <w:u w:val="single"/>
        </w:rPr>
        <w:t xml:space="preserve">                       </w:t>
      </w:r>
    </w:p>
    <w:p w14:paraId="451630D5">
      <w:pPr>
        <w:pStyle w:val="82"/>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p>
    <w:p w14:paraId="73E613D8">
      <w:pPr>
        <w:pStyle w:val="82"/>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34"/>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2E1E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2739A55B">
            <w:pPr>
              <w:pStyle w:val="82"/>
              <w:adjustRightInd w:val="0"/>
              <w:snapToGrid w:val="0"/>
              <w:spacing w:line="500" w:lineRule="exact"/>
              <w:jc w:val="center"/>
              <w:rPr>
                <w:rFonts w:ascii="宋体" w:hAnsi="宋体" w:cs="宋体"/>
                <w:color w:val="auto"/>
                <w:sz w:val="24"/>
                <w:szCs w:val="24"/>
                <w:highlight w:val="none"/>
              </w:rPr>
            </w:pPr>
          </w:p>
          <w:p w14:paraId="4ED3B0FC">
            <w:pPr>
              <w:pStyle w:val="82"/>
              <w:adjustRightInd w:val="0"/>
              <w:snapToGrid w:val="0"/>
              <w:spacing w:line="500" w:lineRule="exact"/>
              <w:jc w:val="center"/>
              <w:rPr>
                <w:rFonts w:ascii="宋体" w:hAnsi="宋体" w:cs="宋体"/>
                <w:color w:val="auto"/>
                <w:sz w:val="24"/>
                <w:szCs w:val="24"/>
                <w:highlight w:val="none"/>
              </w:rPr>
            </w:pPr>
          </w:p>
          <w:p w14:paraId="1D156F0A">
            <w:pPr>
              <w:pStyle w:val="82"/>
              <w:adjustRightInd w:val="0"/>
              <w:snapToGrid w:val="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法定代表人（单位负责人）《居民身份证》扫描件</w:t>
            </w:r>
          </w:p>
        </w:tc>
      </w:tr>
    </w:tbl>
    <w:p w14:paraId="36620C27">
      <w:pPr>
        <w:pStyle w:val="82"/>
        <w:adjustRightInd w:val="0"/>
        <w:snapToGrid w:val="0"/>
        <w:spacing w:line="500" w:lineRule="exact"/>
        <w:rPr>
          <w:rFonts w:ascii="宋体" w:hAnsi="宋体" w:cs="宋体"/>
          <w:color w:val="auto"/>
          <w:sz w:val="24"/>
          <w:szCs w:val="24"/>
          <w:highlight w:val="none"/>
        </w:rPr>
      </w:pPr>
    </w:p>
    <w:p w14:paraId="7E48CAE3">
      <w:pPr>
        <w:pStyle w:val="82"/>
        <w:tabs>
          <w:tab w:val="left" w:pos="750"/>
        </w:tabs>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single"/>
        </w:rPr>
        <w:t xml:space="preserve">           </w:t>
      </w:r>
    </w:p>
    <w:p w14:paraId="1BA57264">
      <w:pPr>
        <w:pStyle w:val="82"/>
        <w:tabs>
          <w:tab w:val="left" w:pos="750"/>
        </w:tabs>
        <w:adjustRightInd w:val="0"/>
        <w:snapToGrid w:val="0"/>
        <w:spacing w:line="500" w:lineRule="exact"/>
        <w:rPr>
          <w:rFonts w:ascii="宋体" w:hAnsi="宋体" w:cs="宋体"/>
          <w:color w:val="auto"/>
          <w:sz w:val="24"/>
          <w:szCs w:val="24"/>
          <w:highlight w:val="none"/>
        </w:rPr>
      </w:pPr>
    </w:p>
    <w:p w14:paraId="66036B30">
      <w:pPr>
        <w:pStyle w:val="82"/>
        <w:tabs>
          <w:tab w:val="left" w:pos="750"/>
        </w:tabs>
        <w:adjustRightInd w:val="0"/>
        <w:snapToGrid w:val="0"/>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法定代表人（单位负责人）（签字或盖章） ：</w:t>
      </w:r>
      <w:r>
        <w:rPr>
          <w:rFonts w:hint="eastAsia" w:ascii="宋体" w:hAnsi="宋体" w:cs="宋体"/>
          <w:color w:val="auto"/>
          <w:sz w:val="24"/>
          <w:szCs w:val="24"/>
          <w:highlight w:val="none"/>
          <w:u w:val="single"/>
        </w:rPr>
        <w:t xml:space="preserve">           </w:t>
      </w:r>
    </w:p>
    <w:p w14:paraId="5A59D977">
      <w:pPr>
        <w:pStyle w:val="82"/>
        <w:tabs>
          <w:tab w:val="left" w:pos="750"/>
        </w:tabs>
        <w:adjustRightInd w:val="0"/>
        <w:snapToGrid w:val="0"/>
        <w:spacing w:line="500" w:lineRule="exact"/>
        <w:rPr>
          <w:rFonts w:ascii="宋体" w:hAnsi="宋体" w:cs="宋体"/>
          <w:color w:val="auto"/>
          <w:sz w:val="24"/>
          <w:szCs w:val="24"/>
          <w:highlight w:val="none"/>
        </w:rPr>
      </w:pPr>
    </w:p>
    <w:p w14:paraId="69C637B2">
      <w:pPr>
        <w:pStyle w:val="82"/>
        <w:tabs>
          <w:tab w:val="left" w:pos="750"/>
        </w:tabs>
        <w:adjustRightInd w:val="0"/>
        <w:snapToGrid w:val="0"/>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AA3CC07">
      <w:pPr>
        <w:pStyle w:val="83"/>
        <w:outlineLvl w:val="9"/>
        <w:rPr>
          <w:rFonts w:eastAsia="宋体" w:cs="宋体"/>
          <w:color w:val="auto"/>
          <w:highlight w:val="none"/>
        </w:rPr>
      </w:pPr>
      <w:r>
        <w:rPr>
          <w:rFonts w:hint="eastAsia" w:eastAsia="宋体" w:cs="宋体"/>
          <w:color w:val="auto"/>
          <w:highlight w:val="none"/>
        </w:rPr>
        <w:t xml:space="preserve"> </w:t>
      </w:r>
      <w:bookmarkStart w:id="120" w:name="_Toc468535483"/>
    </w:p>
    <w:p w14:paraId="573DC969">
      <w:pPr>
        <w:pStyle w:val="82"/>
        <w:rPr>
          <w:rFonts w:ascii="宋体" w:hAnsi="宋体" w:cs="宋体"/>
          <w:color w:val="auto"/>
          <w:highlight w:val="none"/>
        </w:rPr>
      </w:pPr>
    </w:p>
    <w:p w14:paraId="130B9B7F">
      <w:pPr>
        <w:pStyle w:val="82"/>
        <w:rPr>
          <w:rFonts w:ascii="宋体" w:hAnsi="宋体" w:cs="宋体"/>
          <w:color w:val="auto"/>
          <w:highlight w:val="none"/>
        </w:rPr>
      </w:pPr>
    </w:p>
    <w:p w14:paraId="0601B729">
      <w:pPr>
        <w:pStyle w:val="83"/>
        <w:outlineLvl w:val="9"/>
        <w:rPr>
          <w:rFonts w:eastAsia="宋体" w:cs="宋体"/>
          <w:b w:val="0"/>
          <w:color w:val="auto"/>
          <w:sz w:val="24"/>
          <w:szCs w:val="24"/>
          <w:highlight w:val="none"/>
        </w:rPr>
      </w:pPr>
      <w:r>
        <w:rPr>
          <w:rFonts w:hint="eastAsia" w:eastAsia="宋体" w:cs="宋体"/>
          <w:b w:val="0"/>
          <w:color w:val="auto"/>
          <w:highlight w:val="none"/>
        </w:rPr>
        <w:t xml:space="preserve"> </w:t>
      </w:r>
      <w:bookmarkStart w:id="121" w:name="_Toc480368425"/>
      <w:bookmarkStart w:id="122" w:name="_Toc480368654"/>
      <w:bookmarkStart w:id="123" w:name="_Toc480368596"/>
      <w:bookmarkStart w:id="124" w:name="_Toc519111283"/>
      <w:bookmarkStart w:id="125" w:name="_Toc480371722"/>
      <w:r>
        <w:rPr>
          <w:rFonts w:hint="eastAsia" w:eastAsia="宋体" w:cs="宋体"/>
          <w:b w:val="0"/>
          <w:color w:val="auto"/>
          <w:sz w:val="24"/>
          <w:szCs w:val="24"/>
          <w:highlight w:val="none"/>
        </w:rPr>
        <w:t>法定代表人（单位负责人）授权书</w:t>
      </w:r>
      <w:bookmarkEnd w:id="120"/>
      <w:bookmarkEnd w:id="121"/>
      <w:bookmarkEnd w:id="122"/>
      <w:bookmarkEnd w:id="123"/>
      <w:bookmarkEnd w:id="124"/>
      <w:bookmarkEnd w:id="125"/>
    </w:p>
    <w:p w14:paraId="66457367">
      <w:pPr>
        <w:pStyle w:val="82"/>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（采购人）   </w:t>
      </w:r>
      <w:r>
        <w:rPr>
          <w:rFonts w:hint="eastAsia" w:ascii="宋体" w:hAnsi="宋体" w:cs="宋体"/>
          <w:color w:val="auto"/>
          <w:sz w:val="24"/>
          <w:szCs w:val="24"/>
          <w:highlight w:val="none"/>
        </w:rPr>
        <w:t>：</w:t>
      </w:r>
    </w:p>
    <w:p w14:paraId="46C3128C">
      <w:pPr>
        <w:pStyle w:val="82"/>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同志为我公司参加贵单位组织的编号为</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采购活动的投标代表人，全权代表我公司处理在该项目采购活动中的一切事宜。代理期限从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14:paraId="75A5CBF4">
      <w:pPr>
        <w:pStyle w:val="82"/>
        <w:spacing w:line="500" w:lineRule="exact"/>
        <w:rPr>
          <w:rFonts w:ascii="宋体" w:hAnsi="宋体" w:cs="宋体"/>
          <w:color w:val="auto"/>
          <w:sz w:val="24"/>
          <w:szCs w:val="24"/>
          <w:highlight w:val="none"/>
        </w:rPr>
      </w:pPr>
    </w:p>
    <w:p w14:paraId="76FF3E61">
      <w:pPr>
        <w:pStyle w:val="82"/>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供应商（公章）：</w:t>
      </w:r>
      <w:r>
        <w:rPr>
          <w:rFonts w:hint="eastAsia" w:ascii="宋体" w:hAnsi="宋体" w:cs="宋体"/>
          <w:color w:val="auto"/>
          <w:sz w:val="24"/>
          <w:szCs w:val="24"/>
          <w:highlight w:val="none"/>
          <w:u w:val="single"/>
        </w:rPr>
        <w:t xml:space="preserve">               </w:t>
      </w:r>
    </w:p>
    <w:p w14:paraId="6BD2CDED">
      <w:pPr>
        <w:pStyle w:val="82"/>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法定代表人（单位负责人）（签字或盖章）：</w:t>
      </w:r>
      <w:r>
        <w:rPr>
          <w:rFonts w:hint="eastAsia" w:ascii="宋体" w:hAnsi="宋体" w:cs="宋体"/>
          <w:color w:val="auto"/>
          <w:sz w:val="24"/>
          <w:szCs w:val="24"/>
          <w:highlight w:val="none"/>
          <w:u w:val="single"/>
        </w:rPr>
        <w:t xml:space="preserve">                   </w:t>
      </w:r>
    </w:p>
    <w:p w14:paraId="40971501">
      <w:pPr>
        <w:pStyle w:val="82"/>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DEBA02F">
      <w:pPr>
        <w:pStyle w:val="82"/>
        <w:spacing w:line="500" w:lineRule="exact"/>
        <w:ind w:firstLine="480" w:firstLineChars="200"/>
        <w:rPr>
          <w:rFonts w:ascii="宋体" w:hAnsi="宋体" w:cs="宋体"/>
          <w:color w:val="auto"/>
          <w:sz w:val="24"/>
          <w:szCs w:val="24"/>
          <w:highlight w:val="none"/>
        </w:rPr>
      </w:pPr>
    </w:p>
    <w:p w14:paraId="15B0494E">
      <w:pPr>
        <w:pStyle w:val="82"/>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w:t>
      </w:r>
    </w:p>
    <w:p w14:paraId="5308DB5F">
      <w:pPr>
        <w:pStyle w:val="82"/>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代理人工作单位：</w:t>
      </w:r>
      <w:r>
        <w:rPr>
          <w:rFonts w:hint="eastAsia" w:ascii="宋体" w:hAnsi="宋体" w:cs="宋体"/>
          <w:color w:val="auto"/>
          <w:sz w:val="24"/>
          <w:szCs w:val="24"/>
          <w:highlight w:val="none"/>
          <w:u w:val="single"/>
        </w:rPr>
        <w:t xml:space="preserve">                          </w:t>
      </w:r>
    </w:p>
    <w:p w14:paraId="2EE2A704">
      <w:pPr>
        <w:pStyle w:val="82"/>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p>
    <w:p w14:paraId="752123F1">
      <w:pPr>
        <w:pStyle w:val="82"/>
        <w:adjustRightInd w:val="0"/>
        <w:snapToGrid w:val="0"/>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68A0C6CB">
      <w:pPr>
        <w:pStyle w:val="82"/>
        <w:adjustRightInd w:val="0"/>
        <w:snapToGrid w:val="0"/>
        <w:spacing w:line="500" w:lineRule="exact"/>
        <w:ind w:left="-88" w:leftChars="-42" w:firstLine="600" w:firstLineChars="250"/>
        <w:rPr>
          <w:rFonts w:ascii="宋体" w:hAnsi="宋体" w:cs="宋体"/>
          <w:color w:val="auto"/>
          <w:sz w:val="24"/>
          <w:szCs w:val="24"/>
          <w:highlight w:val="none"/>
          <w:u w:val="single"/>
        </w:rPr>
      </w:pPr>
    </w:p>
    <w:tbl>
      <w:tblPr>
        <w:tblStyle w:val="34"/>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734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029814E2">
            <w:pPr>
              <w:pStyle w:val="82"/>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粘贴被授权人身份证（扫描件）</w:t>
            </w:r>
          </w:p>
        </w:tc>
      </w:tr>
    </w:tbl>
    <w:p w14:paraId="3F4F182F">
      <w:pPr>
        <w:autoSpaceDE w:val="0"/>
        <w:autoSpaceDN w:val="0"/>
        <w:adjustRightInd w:val="0"/>
        <w:spacing w:line="500" w:lineRule="exact"/>
        <w:ind w:firstLine="141" w:firstLineChars="50"/>
        <w:jc w:val="left"/>
        <w:rPr>
          <w:rFonts w:ascii="宋体" w:hAnsi="宋体"/>
          <w:b/>
          <w:color w:val="auto"/>
          <w:kern w:val="0"/>
          <w:sz w:val="28"/>
          <w:szCs w:val="28"/>
          <w:highlight w:val="none"/>
        </w:rPr>
      </w:pPr>
    </w:p>
    <w:p w14:paraId="41AB173D">
      <w:pPr>
        <w:autoSpaceDE w:val="0"/>
        <w:autoSpaceDN w:val="0"/>
        <w:adjustRightInd w:val="0"/>
        <w:spacing w:line="500" w:lineRule="exact"/>
        <w:ind w:firstLine="141" w:firstLineChars="50"/>
        <w:jc w:val="left"/>
        <w:rPr>
          <w:rFonts w:ascii="宋体" w:hAnsi="宋体"/>
          <w:b/>
          <w:color w:val="auto"/>
          <w:kern w:val="0"/>
          <w:sz w:val="28"/>
          <w:szCs w:val="28"/>
          <w:highlight w:val="none"/>
        </w:rPr>
      </w:pPr>
    </w:p>
    <w:p w14:paraId="12695034">
      <w:pPr>
        <w:pStyle w:val="90"/>
        <w:tabs>
          <w:tab w:val="left" w:pos="8786"/>
        </w:tabs>
        <w:spacing w:after="0" w:line="360" w:lineRule="auto"/>
        <w:rPr>
          <w:rFonts w:ascii="宋体" w:hAnsi="宋体" w:cs="宋体"/>
          <w:b/>
          <w:color w:val="auto"/>
          <w:sz w:val="24"/>
          <w:highlight w:val="none"/>
        </w:rPr>
      </w:pPr>
      <w:r>
        <w:rPr>
          <w:rFonts w:hint="eastAsia" w:ascii="宋体" w:hAnsi="宋体" w:cs="宋体"/>
          <w:b/>
          <w:color w:val="auto"/>
          <w:sz w:val="24"/>
          <w:highlight w:val="none"/>
        </w:rPr>
        <w:t>注：供应商法定代表人（单位负责人）亲自签署响应文件、亲自参加磋商的，不需提供。</w:t>
      </w:r>
    </w:p>
    <w:p w14:paraId="62B0AC31">
      <w:pPr>
        <w:autoSpaceDE w:val="0"/>
        <w:autoSpaceDN w:val="0"/>
        <w:adjustRightInd w:val="0"/>
        <w:spacing w:line="500" w:lineRule="exact"/>
        <w:ind w:firstLine="141" w:firstLineChars="50"/>
        <w:jc w:val="left"/>
        <w:rPr>
          <w:rFonts w:ascii="宋体" w:hAnsi="宋体"/>
          <w:b/>
          <w:color w:val="auto"/>
          <w:kern w:val="0"/>
          <w:sz w:val="28"/>
          <w:szCs w:val="28"/>
          <w:highlight w:val="none"/>
        </w:rPr>
      </w:pPr>
    </w:p>
    <w:p w14:paraId="07A4B232">
      <w:pPr>
        <w:autoSpaceDE w:val="0"/>
        <w:autoSpaceDN w:val="0"/>
        <w:adjustRightInd w:val="0"/>
        <w:spacing w:line="500" w:lineRule="exact"/>
        <w:ind w:firstLine="141" w:firstLineChars="50"/>
        <w:jc w:val="left"/>
        <w:rPr>
          <w:rFonts w:ascii="宋体" w:hAnsi="宋体"/>
          <w:b/>
          <w:color w:val="auto"/>
          <w:kern w:val="0"/>
          <w:sz w:val="28"/>
          <w:szCs w:val="28"/>
          <w:highlight w:val="none"/>
        </w:rPr>
      </w:pPr>
    </w:p>
    <w:p w14:paraId="6C385C85">
      <w:pPr>
        <w:pStyle w:val="6"/>
        <w:spacing w:before="120" w:beforeLines="50" w:after="120" w:afterLines="50" w:line="600" w:lineRule="exact"/>
        <w:ind w:left="0" w:leftChars="0"/>
        <w:jc w:val="both"/>
        <w:rPr>
          <w:rFonts w:ascii="宋体"/>
          <w:color w:val="auto"/>
          <w:kern w:val="0"/>
          <w:sz w:val="28"/>
          <w:szCs w:val="28"/>
          <w:highlight w:val="none"/>
        </w:rPr>
      </w:pPr>
      <w:bookmarkStart w:id="126" w:name="_Toc23219"/>
      <w:r>
        <w:rPr>
          <w:rFonts w:hint="eastAsia" w:ascii="宋体" w:cs="宋体"/>
          <w:b w:val="0"/>
          <w:color w:val="auto"/>
          <w:sz w:val="30"/>
          <w:szCs w:val="30"/>
          <w:highlight w:val="none"/>
        </w:rPr>
        <w:t>附件四：竞争性磋商函</w:t>
      </w:r>
      <w:bookmarkEnd w:id="126"/>
    </w:p>
    <w:p w14:paraId="32BB4685">
      <w:pPr>
        <w:autoSpaceDE w:val="0"/>
        <w:autoSpaceDN w:val="0"/>
        <w:adjustRightInd w:val="0"/>
        <w:spacing w:line="600" w:lineRule="exact"/>
        <w:jc w:val="center"/>
        <w:rPr>
          <w:rFonts w:ascii="宋体" w:hAnsi="宋体" w:cs="宋体"/>
          <w:b/>
          <w:color w:val="auto"/>
          <w:sz w:val="44"/>
          <w:szCs w:val="44"/>
          <w:highlight w:val="none"/>
        </w:rPr>
      </w:pPr>
      <w:bookmarkStart w:id="127" w:name="_Toc485895991"/>
      <w:bookmarkStart w:id="128" w:name="_Toc13369"/>
      <w:bookmarkStart w:id="129" w:name="_Toc12389"/>
      <w:r>
        <w:rPr>
          <w:rFonts w:hint="eastAsia" w:ascii="宋体" w:hAnsi="宋体" w:cs="宋体"/>
          <w:b/>
          <w:color w:val="auto"/>
          <w:sz w:val="44"/>
          <w:szCs w:val="44"/>
          <w:highlight w:val="none"/>
        </w:rPr>
        <w:t>竞争性磋商函</w:t>
      </w:r>
      <w:bookmarkEnd w:id="127"/>
      <w:bookmarkEnd w:id="128"/>
      <w:bookmarkEnd w:id="129"/>
    </w:p>
    <w:p w14:paraId="6FFED6F1">
      <w:pPr>
        <w:spacing w:before="120" w:beforeLines="50" w:after="120" w:afterLines="50" w:line="600" w:lineRule="exact"/>
        <w:rPr>
          <w:rFonts w:ascii="宋体" w:hAnsi="宋体" w:cs="宋体"/>
          <w:bCs/>
          <w:color w:val="auto"/>
          <w:sz w:val="24"/>
          <w:highlight w:val="none"/>
        </w:rPr>
      </w:pPr>
      <w:r>
        <w:rPr>
          <w:rFonts w:hint="eastAsia" w:ascii="宋体" w:hAnsi="宋体" w:cs="宋体"/>
          <w:bCs/>
          <w:color w:val="auto"/>
          <w:sz w:val="24"/>
          <w:highlight w:val="none"/>
          <w:u w:val="single"/>
        </w:rPr>
        <w:t>（代理机构名称）</w:t>
      </w:r>
      <w:r>
        <w:rPr>
          <w:rFonts w:hint="eastAsia" w:ascii="宋体" w:hAnsi="宋体" w:cs="宋体"/>
          <w:bCs/>
          <w:color w:val="auto"/>
          <w:sz w:val="24"/>
          <w:highlight w:val="none"/>
        </w:rPr>
        <w:t>：</w:t>
      </w:r>
    </w:p>
    <w:p w14:paraId="1715EDAF">
      <w:pPr>
        <w:spacing w:before="120" w:beforeLines="50" w:after="120" w:afterLines="50"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依据贵方</w:t>
      </w:r>
      <w:r>
        <w:rPr>
          <w:rFonts w:hint="eastAsia" w:ascii="宋体" w:hAnsi="宋体" w:cs="宋体"/>
          <w:bCs/>
          <w:color w:val="auto"/>
          <w:sz w:val="24"/>
          <w:highlight w:val="none"/>
          <w:u w:val="single"/>
        </w:rPr>
        <w:t xml:space="preserve"> (采购项目名称/采购项目编号)</w:t>
      </w:r>
      <w:r>
        <w:rPr>
          <w:rFonts w:hint="eastAsia" w:ascii="宋体" w:hAnsi="宋体" w:cs="宋体"/>
          <w:bCs/>
          <w:color w:val="auto"/>
          <w:sz w:val="24"/>
          <w:highlight w:val="none"/>
        </w:rPr>
        <w:t xml:space="preserve">  的磋商邀请，我方代表</w:t>
      </w:r>
      <w:r>
        <w:rPr>
          <w:rFonts w:hint="eastAsia" w:ascii="宋体" w:hAnsi="宋体" w:cs="宋体"/>
          <w:bCs/>
          <w:color w:val="auto"/>
          <w:sz w:val="24"/>
          <w:highlight w:val="none"/>
          <w:u w:val="single"/>
        </w:rPr>
        <w:t>（姓名、职务）</w:t>
      </w:r>
      <w:r>
        <w:rPr>
          <w:rFonts w:hint="eastAsia" w:ascii="宋体" w:hAnsi="宋体" w:cs="宋体"/>
          <w:bCs/>
          <w:color w:val="auto"/>
          <w:sz w:val="24"/>
          <w:highlight w:val="none"/>
        </w:rPr>
        <w:t>经正式授权并代表供应商</w:t>
      </w:r>
      <w:r>
        <w:rPr>
          <w:rFonts w:hint="eastAsia" w:ascii="宋体" w:hAnsi="宋体" w:cs="宋体"/>
          <w:bCs/>
          <w:color w:val="auto"/>
          <w:sz w:val="24"/>
          <w:highlight w:val="none"/>
          <w:u w:val="single"/>
        </w:rPr>
        <w:t>（供应商名称、地址）</w:t>
      </w:r>
      <w:r>
        <w:rPr>
          <w:rFonts w:hint="eastAsia" w:ascii="宋体" w:hAnsi="宋体" w:cs="宋体"/>
          <w:bCs/>
          <w:color w:val="auto"/>
          <w:sz w:val="24"/>
          <w:highlight w:val="none"/>
        </w:rPr>
        <w:t>提交下述响应文件。</w:t>
      </w:r>
    </w:p>
    <w:p w14:paraId="0E62E552">
      <w:pPr>
        <w:spacing w:before="120" w:beforeLines="50" w:after="120" w:afterLines="50"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1．磋商报价表；</w:t>
      </w:r>
    </w:p>
    <w:p w14:paraId="137BFF12">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2．磋商报价明细表；</w:t>
      </w:r>
    </w:p>
    <w:p w14:paraId="040B7B45">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3．按磋商文件供应商须知和采购需求提供的有关文件；</w:t>
      </w:r>
    </w:p>
    <w:p w14:paraId="002DBC01">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4．资格证明文件；</w:t>
      </w:r>
    </w:p>
    <w:p w14:paraId="0119E47A">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5．按磋商文件的规定递交的磋商保证金。</w:t>
      </w:r>
    </w:p>
    <w:p w14:paraId="1EE922DF">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在此，我方宣布同意如下：</w:t>
      </w:r>
    </w:p>
    <w:p w14:paraId="154328A7">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1．所附《磋商报价表》中规定的应提交和交付的</w:t>
      </w:r>
      <w:r>
        <w:rPr>
          <w:rFonts w:hint="eastAsia" w:ascii="宋体" w:hAnsi="宋体" w:cs="宋体"/>
          <w:bCs/>
          <w:color w:val="auto"/>
          <w:sz w:val="24"/>
          <w:highlight w:val="none"/>
          <w:u w:val="single"/>
        </w:rPr>
        <w:t xml:space="preserve">  （包号） </w:t>
      </w:r>
      <w:r>
        <w:rPr>
          <w:rFonts w:hint="eastAsia" w:ascii="宋体" w:hAnsi="宋体" w:cs="宋体"/>
          <w:bCs/>
          <w:color w:val="auto"/>
          <w:sz w:val="24"/>
          <w:highlight w:val="none"/>
        </w:rPr>
        <w:t>货物投标总价为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（注明币种，并用文字和数字表示的投标总价）。</w:t>
      </w:r>
    </w:p>
    <w:p w14:paraId="57745210">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2．将按磋商文件的约定履行合同责任和义务。</w:t>
      </w:r>
    </w:p>
    <w:p w14:paraId="2DA83D7C">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3．已详细审查全部磋商文件，包括（修正或补充文件）（如有），对此无异议。</w:t>
      </w:r>
    </w:p>
    <w:p w14:paraId="16CF9F6F">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4．本投标有效期为自开标日起，共</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个日历日。</w:t>
      </w:r>
    </w:p>
    <w:p w14:paraId="3F9C4F65">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5．接受磋商文件关于没收投标保证金的约定。</w:t>
      </w:r>
    </w:p>
    <w:p w14:paraId="134DF761">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6．同意提供按照贵方可能要求的与其投标有关的一切数据或资料。</w:t>
      </w:r>
    </w:p>
    <w:p w14:paraId="6B807510">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7.其他：</w:t>
      </w:r>
    </w:p>
    <w:p w14:paraId="7FB9ABAA">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供应商名称(公章)： </w:t>
      </w:r>
    </w:p>
    <w:p w14:paraId="58FCC96C">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法定代表人（单位负责人）（签字或盖章）：</w:t>
      </w:r>
    </w:p>
    <w:p w14:paraId="12E60D14">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地    址：</w:t>
      </w:r>
    </w:p>
    <w:p w14:paraId="0C86BBC9">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电    话：</w:t>
      </w:r>
    </w:p>
    <w:p w14:paraId="5F648924">
      <w:pPr>
        <w:spacing w:before="120" w:beforeLines="50" w:after="120" w:afterLines="5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7EDFF27">
      <w:pPr>
        <w:adjustRightInd w:val="0"/>
        <w:snapToGrid w:val="0"/>
        <w:spacing w:line="500" w:lineRule="exact"/>
        <w:rPr>
          <w:rFonts w:ascii="宋体" w:hAnsi="宋体"/>
          <w:b/>
          <w:color w:val="auto"/>
          <w:sz w:val="28"/>
          <w:szCs w:val="28"/>
          <w:highlight w:val="none"/>
        </w:rPr>
      </w:pPr>
    </w:p>
    <w:p w14:paraId="126B778A">
      <w:pPr>
        <w:pStyle w:val="6"/>
        <w:spacing w:before="120" w:beforeLines="50" w:after="120" w:afterLines="50" w:line="300" w:lineRule="auto"/>
        <w:ind w:left="0" w:leftChars="0"/>
        <w:jc w:val="both"/>
        <w:rPr>
          <w:rFonts w:ascii="宋体"/>
          <w:color w:val="auto"/>
          <w:sz w:val="28"/>
          <w:szCs w:val="28"/>
          <w:highlight w:val="none"/>
        </w:rPr>
      </w:pPr>
      <w:bookmarkStart w:id="130" w:name="_Toc20493"/>
      <w:r>
        <w:rPr>
          <w:rFonts w:hint="eastAsia" w:ascii="宋体" w:cs="宋体"/>
          <w:b w:val="0"/>
          <w:color w:val="auto"/>
          <w:sz w:val="30"/>
          <w:szCs w:val="30"/>
          <w:highlight w:val="none"/>
        </w:rPr>
        <w:t>附件五：磋商报价表</w:t>
      </w:r>
      <w:bookmarkEnd w:id="130"/>
    </w:p>
    <w:p w14:paraId="2BACBA9A">
      <w:pPr>
        <w:adjustRightInd w:val="0"/>
        <w:snapToGrid w:val="0"/>
        <w:spacing w:line="500" w:lineRule="exact"/>
        <w:jc w:val="center"/>
        <w:rPr>
          <w:color w:val="auto"/>
          <w:sz w:val="28"/>
          <w:szCs w:val="32"/>
          <w:highlight w:val="none"/>
        </w:rPr>
      </w:pPr>
      <w:bookmarkStart w:id="131" w:name="_Toc13846"/>
      <w:bookmarkStart w:id="132" w:name="_Toc485895992"/>
      <w:bookmarkStart w:id="133" w:name="_Toc20150"/>
      <w:r>
        <w:rPr>
          <w:rFonts w:hint="eastAsia"/>
          <w:color w:val="auto"/>
          <w:sz w:val="28"/>
          <w:szCs w:val="32"/>
          <w:highlight w:val="none"/>
        </w:rPr>
        <w:t>磋商报价表</w:t>
      </w:r>
      <w:bookmarkEnd w:id="131"/>
      <w:bookmarkEnd w:id="132"/>
      <w:bookmarkEnd w:id="133"/>
    </w:p>
    <w:p w14:paraId="3B67554F">
      <w:pPr>
        <w:pStyle w:val="33"/>
        <w:ind w:firstLine="1126"/>
        <w:rPr>
          <w:color w:val="auto"/>
          <w:highlight w:val="none"/>
        </w:rPr>
      </w:pPr>
    </w:p>
    <w:p w14:paraId="4A57249C">
      <w:pPr>
        <w:pStyle w:val="85"/>
        <w:spacing w:line="360" w:lineRule="auto"/>
        <w:ind w:left="0" w:leftChars="0" w:firstLine="0" w:firstLineChars="0"/>
        <w:jc w:val="right"/>
        <w:rPr>
          <w:rFonts w:ascii="宋体" w:hAnsi="宋体" w:cs="宋体"/>
          <w:color w:val="auto"/>
          <w:highlight w:val="none"/>
        </w:rPr>
      </w:pPr>
      <w:bookmarkStart w:id="134" w:name="_Toc485895993"/>
      <w:r>
        <w:rPr>
          <w:rFonts w:hint="eastAsia" w:ascii="宋体" w:hAnsi="宋体" w:cs="宋体"/>
          <w:color w:val="auto"/>
          <w:highlight w:val="none"/>
        </w:rPr>
        <w:t>价格单位：元</w:t>
      </w:r>
    </w:p>
    <w:tbl>
      <w:tblPr>
        <w:tblStyle w:val="3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7346"/>
      </w:tblGrid>
      <w:tr w14:paraId="3825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3D979007">
            <w:pPr>
              <w:pStyle w:val="86"/>
              <w:tabs>
                <w:tab w:val="left" w:pos="1337"/>
              </w:tabs>
              <w:spacing w:line="360" w:lineRule="auto"/>
              <w:jc w:val="center"/>
              <w:rPr>
                <w:rFonts w:ascii="宋体" w:hAnsi="宋体" w:cs="宋体"/>
                <w:color w:val="auto"/>
                <w:sz w:val="24"/>
                <w:highlight w:val="none"/>
              </w:rPr>
            </w:pPr>
            <w:r>
              <w:rPr>
                <w:rFonts w:hint="eastAsia" w:ascii="宋体" w:hAnsi="宋体" w:cs="宋体"/>
                <w:bCs/>
                <w:color w:val="auto"/>
                <w:sz w:val="24"/>
                <w:highlight w:val="none"/>
              </w:rPr>
              <w:t>项目名称</w:t>
            </w:r>
          </w:p>
        </w:tc>
        <w:tc>
          <w:tcPr>
            <w:tcW w:w="7346" w:type="dxa"/>
            <w:tcBorders>
              <w:bottom w:val="single" w:color="auto" w:sz="4" w:space="0"/>
            </w:tcBorders>
            <w:vAlign w:val="center"/>
          </w:tcPr>
          <w:p w14:paraId="6C52720A">
            <w:pPr>
              <w:pStyle w:val="86"/>
              <w:tabs>
                <w:tab w:val="left" w:pos="1337"/>
              </w:tabs>
              <w:spacing w:line="360" w:lineRule="auto"/>
              <w:rPr>
                <w:rFonts w:ascii="宋体" w:hAnsi="宋体" w:cs="宋体"/>
                <w:bCs/>
                <w:color w:val="auto"/>
                <w:sz w:val="24"/>
                <w:highlight w:val="none"/>
              </w:rPr>
            </w:pPr>
            <w:r>
              <w:rPr>
                <w:rFonts w:hint="eastAsia" w:ascii="宋体" w:hAnsi="宋体" w:cs="宋体"/>
                <w:color w:val="auto"/>
                <w:highlight w:val="none"/>
              </w:rPr>
              <w:t xml:space="preserve">                                </w:t>
            </w:r>
          </w:p>
        </w:tc>
      </w:tr>
      <w:tr w14:paraId="0223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71AD93F2">
            <w:pPr>
              <w:pStyle w:val="86"/>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项目编号</w:t>
            </w:r>
          </w:p>
        </w:tc>
        <w:tc>
          <w:tcPr>
            <w:tcW w:w="7346" w:type="dxa"/>
            <w:tcBorders>
              <w:bottom w:val="single" w:color="auto" w:sz="4" w:space="0"/>
            </w:tcBorders>
            <w:vAlign w:val="center"/>
          </w:tcPr>
          <w:p w14:paraId="3D64CB33">
            <w:pPr>
              <w:pStyle w:val="86"/>
              <w:tabs>
                <w:tab w:val="left" w:pos="1337"/>
              </w:tabs>
              <w:spacing w:line="360" w:lineRule="auto"/>
              <w:rPr>
                <w:rFonts w:ascii="宋体" w:hAnsi="宋体" w:cs="宋体"/>
                <w:color w:val="auto"/>
                <w:highlight w:val="none"/>
                <w:u w:val="single"/>
              </w:rPr>
            </w:pPr>
          </w:p>
        </w:tc>
      </w:tr>
      <w:tr w14:paraId="75B5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614" w:type="dxa"/>
            <w:vAlign w:val="center"/>
          </w:tcPr>
          <w:p w14:paraId="6EFCA589">
            <w:pPr>
              <w:pStyle w:val="86"/>
              <w:tabs>
                <w:tab w:val="left" w:pos="1337"/>
              </w:tabs>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 标 总 价</w:t>
            </w:r>
          </w:p>
        </w:tc>
        <w:tc>
          <w:tcPr>
            <w:tcW w:w="7346" w:type="dxa"/>
          </w:tcPr>
          <w:p w14:paraId="2AFFBE5E">
            <w:pPr>
              <w:pStyle w:val="86"/>
              <w:tabs>
                <w:tab w:val="left" w:pos="1337"/>
              </w:tabs>
              <w:spacing w:line="360" w:lineRule="auto"/>
              <w:rPr>
                <w:rFonts w:ascii="宋体" w:hAnsi="宋体" w:cs="宋体"/>
                <w:bCs/>
                <w:color w:val="auto"/>
                <w:sz w:val="24"/>
                <w:highlight w:val="none"/>
              </w:rPr>
            </w:pPr>
          </w:p>
          <w:p w14:paraId="1F618637">
            <w:pPr>
              <w:pStyle w:val="86"/>
              <w:tabs>
                <w:tab w:val="left" w:pos="1337"/>
              </w:tabs>
              <w:spacing w:line="360" w:lineRule="auto"/>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p>
          <w:p w14:paraId="77B9B121">
            <w:pPr>
              <w:pStyle w:val="86"/>
              <w:tabs>
                <w:tab w:val="left" w:pos="1337"/>
              </w:tabs>
              <w:spacing w:line="360" w:lineRule="auto"/>
              <w:rPr>
                <w:rFonts w:ascii="宋体" w:hAnsi="宋体" w:cs="宋体"/>
                <w:bCs/>
                <w:color w:val="auto"/>
                <w:sz w:val="24"/>
                <w:highlight w:val="none"/>
              </w:rPr>
            </w:pPr>
          </w:p>
          <w:p w14:paraId="7F73CE55">
            <w:pPr>
              <w:pStyle w:val="86"/>
              <w:tabs>
                <w:tab w:val="left" w:pos="1337"/>
              </w:tabs>
              <w:spacing w:line="360" w:lineRule="auto"/>
              <w:rPr>
                <w:rFonts w:ascii="宋体" w:hAnsi="宋体" w:cs="宋体"/>
                <w:bCs/>
                <w:color w:val="auto"/>
                <w:sz w:val="24"/>
                <w:highlight w:val="none"/>
              </w:rPr>
            </w:pPr>
            <w:r>
              <w:rPr>
                <w:rFonts w:hint="eastAsia" w:ascii="宋体" w:hAnsi="宋体" w:cs="宋体"/>
                <w:bCs/>
                <w:color w:val="auto"/>
                <w:sz w:val="24"/>
                <w:highlight w:val="none"/>
              </w:rPr>
              <w:t>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p>
          <w:p w14:paraId="60B7D227">
            <w:pPr>
              <w:pStyle w:val="86"/>
              <w:tabs>
                <w:tab w:val="left" w:pos="1337"/>
              </w:tabs>
              <w:spacing w:line="360" w:lineRule="auto"/>
              <w:rPr>
                <w:rFonts w:ascii="宋体" w:hAnsi="宋体" w:cs="宋体"/>
                <w:color w:val="auto"/>
                <w:sz w:val="24"/>
                <w:highlight w:val="none"/>
              </w:rPr>
            </w:pPr>
          </w:p>
        </w:tc>
      </w:tr>
      <w:tr w14:paraId="2636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Pr>
          <w:p w14:paraId="6D6871AC">
            <w:pPr>
              <w:pStyle w:val="86"/>
              <w:tabs>
                <w:tab w:val="left" w:pos="1337"/>
              </w:tabs>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lang w:eastAsia="zh-CN"/>
              </w:rPr>
              <w:t>工</w:t>
            </w:r>
            <w:r>
              <w:rPr>
                <w:rFonts w:hint="eastAsia" w:ascii="宋体" w:hAnsi="宋体" w:cs="宋体"/>
                <w:bCs/>
                <w:color w:val="auto"/>
                <w:sz w:val="24"/>
                <w:highlight w:val="none"/>
                <w:lang w:val="en-US" w:eastAsia="zh-CN"/>
              </w:rPr>
              <w:t xml:space="preserve">    期</w:t>
            </w:r>
          </w:p>
        </w:tc>
        <w:tc>
          <w:tcPr>
            <w:tcW w:w="7346" w:type="dxa"/>
          </w:tcPr>
          <w:p w14:paraId="4A037F25">
            <w:pPr>
              <w:pStyle w:val="86"/>
              <w:tabs>
                <w:tab w:val="left" w:pos="1337"/>
              </w:tabs>
              <w:spacing w:line="360" w:lineRule="auto"/>
              <w:rPr>
                <w:rFonts w:ascii="宋体" w:hAnsi="宋体" w:cs="宋体"/>
                <w:color w:val="auto"/>
                <w:sz w:val="24"/>
                <w:highlight w:val="none"/>
              </w:rPr>
            </w:pPr>
            <w:r>
              <w:rPr>
                <w:rFonts w:hint="eastAsia" w:ascii="宋体" w:hAnsi="宋体" w:cs="宋体"/>
                <w:color w:val="auto"/>
                <w:highlight w:val="none"/>
              </w:rPr>
              <w:t xml:space="preserve">                       </w:t>
            </w:r>
          </w:p>
        </w:tc>
      </w:tr>
      <w:tr w14:paraId="009A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960" w:type="dxa"/>
            <w:gridSpan w:val="2"/>
          </w:tcPr>
          <w:p w14:paraId="370C7B62">
            <w:pPr>
              <w:pStyle w:val="86"/>
              <w:tabs>
                <w:tab w:val="left" w:pos="1337"/>
              </w:tabs>
              <w:spacing w:line="360" w:lineRule="auto"/>
              <w:rPr>
                <w:rFonts w:ascii="宋体" w:hAnsi="宋体" w:cs="宋体"/>
                <w:color w:val="auto"/>
                <w:sz w:val="24"/>
                <w:highlight w:val="none"/>
              </w:rPr>
            </w:pPr>
            <w:r>
              <w:rPr>
                <w:rFonts w:hint="eastAsia" w:ascii="宋体" w:hAnsi="宋体" w:cs="宋体"/>
                <w:bCs/>
                <w:color w:val="auto"/>
                <w:sz w:val="24"/>
                <w:highlight w:val="none"/>
              </w:rPr>
              <w:t>备注：</w:t>
            </w:r>
            <w:r>
              <w:rPr>
                <w:rFonts w:hint="eastAsia" w:ascii="宋体" w:hAnsi="宋体" w:cs="宋体"/>
                <w:color w:val="auto"/>
                <w:highlight w:val="none"/>
              </w:rPr>
              <w:t xml:space="preserve"> </w:t>
            </w:r>
          </w:p>
        </w:tc>
      </w:tr>
    </w:tbl>
    <w:p w14:paraId="76D8FF14">
      <w:pPr>
        <w:spacing w:line="360" w:lineRule="auto"/>
        <w:rPr>
          <w:rFonts w:ascii="宋体" w:hAnsi="宋体"/>
          <w:color w:val="auto"/>
          <w:sz w:val="28"/>
          <w:highlight w:val="none"/>
        </w:rPr>
      </w:pPr>
    </w:p>
    <w:p w14:paraId="4EE37822">
      <w:pPr>
        <w:spacing w:line="360" w:lineRule="auto"/>
        <w:rPr>
          <w:rFonts w:ascii="宋体" w:hAnsi="宋体"/>
          <w:color w:val="auto"/>
          <w:sz w:val="22"/>
          <w:szCs w:val="20"/>
          <w:highlight w:val="none"/>
        </w:rPr>
      </w:pPr>
      <w:r>
        <w:rPr>
          <w:rFonts w:hint="eastAsia" w:ascii="宋体" w:hAnsi="宋体"/>
          <w:color w:val="auto"/>
          <w:sz w:val="22"/>
          <w:szCs w:val="20"/>
          <w:highlight w:val="none"/>
        </w:rPr>
        <w:t>说明：1、投标人严格按照规定的格式填写。投标报价为优惠后报价，并作为评审及定标的依据。 2、任何有选择或有条件的投标报价或表中某一包填写多个报价，均将导致投标被拒绝。</w:t>
      </w:r>
    </w:p>
    <w:p w14:paraId="2672782E">
      <w:pPr>
        <w:spacing w:line="360" w:lineRule="auto"/>
        <w:ind w:firstLine="560" w:firstLineChars="200"/>
        <w:rPr>
          <w:rFonts w:ascii="宋体" w:hAnsi="宋体"/>
          <w:color w:val="auto"/>
          <w:sz w:val="28"/>
          <w:highlight w:val="none"/>
        </w:rPr>
      </w:pPr>
    </w:p>
    <w:p w14:paraId="61F2E497">
      <w:pPr>
        <w:spacing w:line="360" w:lineRule="auto"/>
        <w:ind w:firstLine="560" w:firstLineChars="200"/>
        <w:rPr>
          <w:color w:val="auto"/>
          <w:sz w:val="28"/>
          <w:highlight w:val="none"/>
          <w:u w:val="single"/>
        </w:rPr>
      </w:pPr>
    </w:p>
    <w:p w14:paraId="509AEBAB">
      <w:pPr>
        <w:pStyle w:val="82"/>
        <w:tabs>
          <w:tab w:val="left" w:pos="750"/>
        </w:tabs>
        <w:adjustRightInd w:val="0"/>
        <w:snapToGrid w:val="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single"/>
        </w:rPr>
        <w:t xml:space="preserve">                         </w:t>
      </w:r>
    </w:p>
    <w:p w14:paraId="58713506">
      <w:pPr>
        <w:pStyle w:val="82"/>
        <w:tabs>
          <w:tab w:val="left" w:pos="750"/>
        </w:tabs>
        <w:adjustRightInd w:val="0"/>
        <w:snapToGrid w:val="0"/>
        <w:spacing w:line="500" w:lineRule="exact"/>
        <w:ind w:firstLine="720" w:firstLineChars="300"/>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法定代表人（单位负责人）或其授权委托人（签字或盖章） ：</w:t>
      </w:r>
      <w:r>
        <w:rPr>
          <w:rFonts w:hint="eastAsia" w:ascii="宋体" w:hAnsi="宋体" w:cs="宋体"/>
          <w:color w:val="auto"/>
          <w:sz w:val="24"/>
          <w:szCs w:val="24"/>
          <w:highlight w:val="none"/>
          <w:u w:val="single"/>
        </w:rPr>
        <w:t xml:space="preserve">            </w:t>
      </w:r>
    </w:p>
    <w:p w14:paraId="466A725D">
      <w:pPr>
        <w:adjustRightInd w:val="0"/>
        <w:snapToGrid w:val="0"/>
        <w:spacing w:line="500" w:lineRule="exact"/>
        <w:ind w:left="-88" w:leftChars="-42"/>
        <w:jc w:val="right"/>
        <w:rPr>
          <w:rFonts w:ascii="宋体" w:hAnsi="宋体"/>
          <w:color w:val="auto"/>
          <w:sz w:val="28"/>
          <w:szCs w:val="28"/>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961B720">
      <w:pPr>
        <w:spacing w:line="360" w:lineRule="auto"/>
        <w:rPr>
          <w:color w:val="auto"/>
          <w:sz w:val="28"/>
          <w:highlight w:val="none"/>
        </w:rPr>
      </w:pPr>
    </w:p>
    <w:p w14:paraId="014D1CFF">
      <w:pPr>
        <w:pStyle w:val="33"/>
        <w:ind w:firstLine="986"/>
        <w:rPr>
          <w:color w:val="auto"/>
          <w:sz w:val="28"/>
          <w:highlight w:val="none"/>
        </w:rPr>
      </w:pPr>
    </w:p>
    <w:p w14:paraId="26753118">
      <w:pPr>
        <w:pStyle w:val="33"/>
        <w:ind w:firstLine="0" w:firstLineChars="0"/>
        <w:rPr>
          <w:color w:val="auto"/>
          <w:sz w:val="28"/>
          <w:highlight w:val="none"/>
        </w:rPr>
      </w:pPr>
    </w:p>
    <w:p w14:paraId="00B91909">
      <w:pPr>
        <w:pStyle w:val="33"/>
        <w:ind w:firstLine="0" w:firstLineChars="0"/>
        <w:rPr>
          <w:color w:val="auto"/>
          <w:sz w:val="28"/>
          <w:highlight w:val="none"/>
        </w:rPr>
      </w:pPr>
    </w:p>
    <w:p w14:paraId="5B94CFC5">
      <w:pPr>
        <w:pStyle w:val="33"/>
        <w:ind w:firstLine="0" w:firstLineChars="0"/>
        <w:rPr>
          <w:color w:val="auto"/>
          <w:sz w:val="28"/>
          <w:highlight w:val="none"/>
        </w:rPr>
      </w:pPr>
    </w:p>
    <w:p w14:paraId="7D49FDFD">
      <w:pPr>
        <w:pStyle w:val="33"/>
        <w:ind w:firstLine="0" w:firstLineChars="0"/>
        <w:rPr>
          <w:color w:val="auto"/>
          <w:sz w:val="28"/>
          <w:highlight w:val="none"/>
        </w:rPr>
      </w:pPr>
    </w:p>
    <w:p w14:paraId="17764C38">
      <w:pPr>
        <w:pStyle w:val="33"/>
        <w:ind w:firstLine="0" w:firstLineChars="0"/>
        <w:rPr>
          <w:color w:val="auto"/>
          <w:sz w:val="28"/>
          <w:highlight w:val="none"/>
        </w:rPr>
      </w:pPr>
    </w:p>
    <w:p w14:paraId="0DE6A351">
      <w:pPr>
        <w:pStyle w:val="33"/>
        <w:ind w:firstLine="0" w:firstLineChars="0"/>
        <w:rPr>
          <w:color w:val="auto"/>
          <w:sz w:val="28"/>
          <w:highlight w:val="none"/>
        </w:rPr>
      </w:pPr>
    </w:p>
    <w:p w14:paraId="6DC26E9A">
      <w:pPr>
        <w:pStyle w:val="6"/>
        <w:spacing w:before="120" w:beforeLines="50" w:after="120" w:afterLines="50" w:line="300" w:lineRule="auto"/>
        <w:ind w:left="0" w:leftChars="0"/>
        <w:jc w:val="both"/>
        <w:rPr>
          <w:rFonts w:ascii="宋体"/>
          <w:color w:val="auto"/>
          <w:sz w:val="28"/>
          <w:szCs w:val="28"/>
          <w:highlight w:val="none"/>
        </w:rPr>
      </w:pPr>
      <w:bookmarkStart w:id="135" w:name="_Toc9072"/>
      <w:r>
        <w:rPr>
          <w:rFonts w:hint="eastAsia" w:ascii="宋体" w:cs="宋体"/>
          <w:b w:val="0"/>
          <w:color w:val="auto"/>
          <w:sz w:val="30"/>
          <w:szCs w:val="30"/>
          <w:highlight w:val="none"/>
        </w:rPr>
        <w:t>附件六：竞争性磋商报价明细表</w:t>
      </w:r>
      <w:bookmarkEnd w:id="135"/>
    </w:p>
    <w:p w14:paraId="6D399B2F">
      <w:pPr>
        <w:spacing w:line="400" w:lineRule="exact"/>
        <w:jc w:val="center"/>
        <w:rPr>
          <w:color w:val="auto"/>
          <w:sz w:val="28"/>
          <w:szCs w:val="32"/>
          <w:highlight w:val="none"/>
        </w:rPr>
      </w:pPr>
      <w:r>
        <w:rPr>
          <w:rFonts w:hint="eastAsia"/>
          <w:color w:val="auto"/>
          <w:sz w:val="28"/>
          <w:szCs w:val="32"/>
          <w:highlight w:val="none"/>
        </w:rPr>
        <w:t>竞争性磋商报价明细表</w:t>
      </w:r>
    </w:p>
    <w:bookmarkEnd w:id="134"/>
    <w:p w14:paraId="11C1FF57">
      <w:pPr>
        <w:pStyle w:val="87"/>
        <w:spacing w:line="400" w:lineRule="exact"/>
        <w:ind w:left="0" w:leftChars="0" w:firstLine="0" w:firstLineChars="0"/>
        <w:rPr>
          <w:rFonts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p>
    <w:p w14:paraId="244182FB">
      <w:pPr>
        <w:pStyle w:val="87"/>
        <w:spacing w:line="400" w:lineRule="exact"/>
        <w:ind w:left="0" w:leftChars="0" w:firstLine="0" w:firstLineChars="0"/>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价格单位：元</w:t>
      </w:r>
    </w:p>
    <w:tbl>
      <w:tblPr>
        <w:tblStyle w:val="34"/>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3418"/>
        <w:gridCol w:w="955"/>
        <w:gridCol w:w="955"/>
        <w:gridCol w:w="1146"/>
      </w:tblGrid>
      <w:tr w14:paraId="0F52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18FE9079">
            <w:pPr>
              <w:pStyle w:val="88"/>
              <w:tabs>
                <w:tab w:val="left" w:pos="1337"/>
              </w:tabs>
              <w:spacing w:line="360" w:lineRule="auto"/>
              <w:ind w:left="-42" w:right="-42"/>
              <w:jc w:val="center"/>
              <w:rPr>
                <w:rFonts w:ascii="宋体" w:hAnsi="宋体" w:cs="宋体"/>
                <w:color w:val="auto"/>
                <w:sz w:val="24"/>
                <w:highlight w:val="none"/>
              </w:rPr>
            </w:pPr>
            <w:r>
              <w:rPr>
                <w:rFonts w:hint="eastAsia" w:ascii="宋体" w:hAnsi="宋体" w:cs="宋体"/>
                <w:color w:val="auto"/>
                <w:sz w:val="24"/>
                <w:highlight w:val="none"/>
              </w:rPr>
              <w:t>项</w:t>
            </w:r>
          </w:p>
        </w:tc>
        <w:tc>
          <w:tcPr>
            <w:tcW w:w="2441" w:type="dxa"/>
            <w:vAlign w:val="center"/>
          </w:tcPr>
          <w:p w14:paraId="3DCED28F">
            <w:pPr>
              <w:pStyle w:val="88"/>
              <w:tabs>
                <w:tab w:val="left" w:pos="1337"/>
              </w:tabs>
              <w:spacing w:line="360" w:lineRule="auto"/>
              <w:ind w:left="-42" w:right="-42"/>
              <w:jc w:val="center"/>
              <w:rPr>
                <w:rFonts w:ascii="宋体" w:hAnsi="宋体" w:cs="宋体"/>
                <w:color w:val="auto"/>
                <w:sz w:val="24"/>
                <w:highlight w:val="none"/>
              </w:rPr>
            </w:pPr>
            <w:r>
              <w:rPr>
                <w:rFonts w:hint="eastAsia" w:ascii="宋体" w:hAnsi="宋体" w:cs="宋体"/>
                <w:color w:val="auto"/>
                <w:sz w:val="24"/>
                <w:highlight w:val="none"/>
              </w:rPr>
              <w:t>1</w:t>
            </w:r>
          </w:p>
        </w:tc>
        <w:tc>
          <w:tcPr>
            <w:tcW w:w="3418" w:type="dxa"/>
            <w:vAlign w:val="center"/>
          </w:tcPr>
          <w:p w14:paraId="4B55E5D4">
            <w:pPr>
              <w:pStyle w:val="88"/>
              <w:tabs>
                <w:tab w:val="left" w:pos="1337"/>
              </w:tabs>
              <w:spacing w:line="360" w:lineRule="auto"/>
              <w:ind w:right="-42"/>
              <w:jc w:val="center"/>
              <w:rPr>
                <w:rFonts w:ascii="宋体" w:hAnsi="宋体" w:cs="宋体"/>
                <w:color w:val="auto"/>
                <w:sz w:val="24"/>
                <w:highlight w:val="none"/>
              </w:rPr>
            </w:pPr>
            <w:r>
              <w:rPr>
                <w:rFonts w:hint="eastAsia" w:ascii="宋体" w:hAnsi="宋体" w:cs="宋体"/>
                <w:color w:val="auto"/>
                <w:sz w:val="24"/>
                <w:highlight w:val="none"/>
              </w:rPr>
              <w:t>2</w:t>
            </w:r>
          </w:p>
        </w:tc>
        <w:tc>
          <w:tcPr>
            <w:tcW w:w="3056" w:type="dxa"/>
            <w:gridSpan w:val="3"/>
            <w:vAlign w:val="center"/>
          </w:tcPr>
          <w:p w14:paraId="6D919D9E">
            <w:pPr>
              <w:pStyle w:val="88"/>
              <w:tabs>
                <w:tab w:val="left" w:pos="1337"/>
              </w:tabs>
              <w:spacing w:line="360" w:lineRule="auto"/>
              <w:ind w:left="-42" w:right="-42"/>
              <w:jc w:val="center"/>
              <w:rPr>
                <w:rFonts w:ascii="宋体" w:hAnsi="宋体" w:cs="宋体"/>
                <w:color w:val="auto"/>
                <w:sz w:val="24"/>
                <w:highlight w:val="none"/>
              </w:rPr>
            </w:pPr>
            <w:r>
              <w:rPr>
                <w:rFonts w:hint="eastAsia" w:ascii="宋体" w:hAnsi="宋体" w:cs="宋体"/>
                <w:color w:val="auto"/>
                <w:sz w:val="24"/>
                <w:highlight w:val="none"/>
              </w:rPr>
              <w:t>3</w:t>
            </w:r>
          </w:p>
        </w:tc>
      </w:tr>
      <w:tr w14:paraId="238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Merge w:val="restart"/>
            <w:vAlign w:val="center"/>
          </w:tcPr>
          <w:p w14:paraId="3812EB7E">
            <w:pPr>
              <w:pStyle w:val="88"/>
              <w:tabs>
                <w:tab w:val="left" w:pos="1337"/>
              </w:tabs>
              <w:spacing w:line="360" w:lineRule="auto"/>
              <w:ind w:left="-42" w:right="-42"/>
              <w:jc w:val="center"/>
              <w:rPr>
                <w:rFonts w:ascii="宋体" w:hAnsi="宋体" w:cs="宋体"/>
                <w:color w:val="auto"/>
                <w:sz w:val="24"/>
                <w:highlight w:val="none"/>
              </w:rPr>
            </w:pPr>
            <w:r>
              <w:rPr>
                <w:rFonts w:hint="eastAsia" w:ascii="宋体" w:hAnsi="宋体" w:cs="宋体"/>
                <w:color w:val="auto"/>
                <w:sz w:val="24"/>
                <w:highlight w:val="none"/>
              </w:rPr>
              <w:t>序</w:t>
            </w:r>
          </w:p>
          <w:p w14:paraId="45EEAED2">
            <w:pPr>
              <w:pStyle w:val="88"/>
              <w:tabs>
                <w:tab w:val="left" w:pos="1337"/>
              </w:tabs>
              <w:spacing w:line="360" w:lineRule="auto"/>
              <w:ind w:left="-42" w:right="-42"/>
              <w:jc w:val="center"/>
              <w:rPr>
                <w:rFonts w:ascii="宋体" w:hAnsi="宋体" w:cs="宋体"/>
                <w:color w:val="auto"/>
                <w:sz w:val="24"/>
                <w:highlight w:val="none"/>
              </w:rPr>
            </w:pPr>
            <w:r>
              <w:rPr>
                <w:rFonts w:hint="eastAsia" w:ascii="宋体" w:hAnsi="宋体" w:cs="宋体"/>
                <w:color w:val="auto"/>
                <w:sz w:val="24"/>
                <w:highlight w:val="none"/>
              </w:rPr>
              <w:t>号</w:t>
            </w:r>
          </w:p>
        </w:tc>
        <w:tc>
          <w:tcPr>
            <w:tcW w:w="2441" w:type="dxa"/>
            <w:vMerge w:val="restart"/>
            <w:vAlign w:val="center"/>
          </w:tcPr>
          <w:p w14:paraId="6AA13FE2">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3418" w:type="dxa"/>
            <w:vMerge w:val="restart"/>
            <w:vAlign w:val="center"/>
          </w:tcPr>
          <w:p w14:paraId="6A14C236">
            <w:pPr>
              <w:pStyle w:val="88"/>
              <w:tabs>
                <w:tab w:val="left" w:pos="1337"/>
              </w:tabs>
              <w:spacing w:line="360" w:lineRule="auto"/>
              <w:ind w:left="-42" w:right="-42"/>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3056" w:type="dxa"/>
            <w:gridSpan w:val="3"/>
            <w:vAlign w:val="center"/>
          </w:tcPr>
          <w:p w14:paraId="2C3E2FE3">
            <w:pPr>
              <w:pStyle w:val="88"/>
              <w:spacing w:line="360" w:lineRule="auto"/>
              <w:jc w:val="center"/>
              <w:rPr>
                <w:rFonts w:ascii="宋体" w:hAnsi="宋体" w:cs="宋体"/>
                <w:color w:val="auto"/>
                <w:sz w:val="24"/>
                <w:highlight w:val="none"/>
              </w:rPr>
            </w:pPr>
            <w:r>
              <w:rPr>
                <w:rFonts w:hint="eastAsia" w:ascii="宋体" w:hAnsi="宋体" w:cs="宋体"/>
                <w:color w:val="auto"/>
                <w:sz w:val="24"/>
                <w:highlight w:val="none"/>
              </w:rPr>
              <w:t>价格</w:t>
            </w:r>
          </w:p>
        </w:tc>
      </w:tr>
      <w:tr w14:paraId="0F61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Merge w:val="continue"/>
            <w:vAlign w:val="center"/>
          </w:tcPr>
          <w:p w14:paraId="77533325">
            <w:pPr>
              <w:pStyle w:val="88"/>
              <w:tabs>
                <w:tab w:val="left" w:pos="1337"/>
              </w:tabs>
              <w:spacing w:line="360" w:lineRule="auto"/>
              <w:ind w:left="-42" w:right="-42"/>
              <w:jc w:val="center"/>
              <w:rPr>
                <w:rFonts w:ascii="宋体" w:hAnsi="宋体" w:cs="宋体"/>
                <w:color w:val="auto"/>
                <w:sz w:val="24"/>
                <w:highlight w:val="none"/>
              </w:rPr>
            </w:pPr>
          </w:p>
        </w:tc>
        <w:tc>
          <w:tcPr>
            <w:tcW w:w="2441" w:type="dxa"/>
            <w:vMerge w:val="continue"/>
            <w:vAlign w:val="center"/>
          </w:tcPr>
          <w:p w14:paraId="7A4E1A5C">
            <w:pPr>
              <w:pStyle w:val="88"/>
              <w:tabs>
                <w:tab w:val="left" w:pos="1337"/>
              </w:tabs>
              <w:spacing w:line="360" w:lineRule="auto"/>
              <w:ind w:left="-42" w:right="-42"/>
              <w:jc w:val="center"/>
              <w:rPr>
                <w:rFonts w:ascii="宋体" w:hAnsi="宋体" w:cs="宋体"/>
                <w:color w:val="auto"/>
                <w:sz w:val="24"/>
                <w:highlight w:val="none"/>
              </w:rPr>
            </w:pPr>
          </w:p>
        </w:tc>
        <w:tc>
          <w:tcPr>
            <w:tcW w:w="3418" w:type="dxa"/>
            <w:vMerge w:val="continue"/>
            <w:vAlign w:val="center"/>
          </w:tcPr>
          <w:p w14:paraId="3CD889AF">
            <w:pPr>
              <w:pStyle w:val="88"/>
              <w:tabs>
                <w:tab w:val="left" w:pos="1337"/>
              </w:tabs>
              <w:spacing w:line="360" w:lineRule="auto"/>
              <w:ind w:left="-42" w:right="-42"/>
              <w:jc w:val="center"/>
              <w:rPr>
                <w:rFonts w:ascii="宋体" w:hAnsi="宋体" w:cs="宋体"/>
                <w:color w:val="auto"/>
                <w:sz w:val="24"/>
                <w:highlight w:val="none"/>
              </w:rPr>
            </w:pPr>
          </w:p>
        </w:tc>
        <w:tc>
          <w:tcPr>
            <w:tcW w:w="955" w:type="dxa"/>
            <w:vAlign w:val="center"/>
          </w:tcPr>
          <w:p w14:paraId="214B7F74">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955" w:type="dxa"/>
            <w:vAlign w:val="center"/>
          </w:tcPr>
          <w:p w14:paraId="37E5B2DF">
            <w:pPr>
              <w:pStyle w:val="88"/>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46" w:type="dxa"/>
            <w:vAlign w:val="center"/>
          </w:tcPr>
          <w:p w14:paraId="6AF65685">
            <w:pPr>
              <w:pStyle w:val="88"/>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小计</w:t>
            </w:r>
          </w:p>
        </w:tc>
      </w:tr>
      <w:tr w14:paraId="552D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2635F6FD">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41" w:type="dxa"/>
            <w:vAlign w:val="center"/>
          </w:tcPr>
          <w:p w14:paraId="6AC06B71">
            <w:pPr>
              <w:pStyle w:val="88"/>
              <w:tabs>
                <w:tab w:val="left" w:pos="1337"/>
              </w:tabs>
              <w:spacing w:line="360" w:lineRule="auto"/>
              <w:jc w:val="center"/>
              <w:rPr>
                <w:rFonts w:ascii="宋体" w:hAnsi="宋体" w:cs="宋体"/>
                <w:color w:val="auto"/>
                <w:sz w:val="24"/>
                <w:highlight w:val="none"/>
              </w:rPr>
            </w:pPr>
          </w:p>
        </w:tc>
        <w:tc>
          <w:tcPr>
            <w:tcW w:w="3418" w:type="dxa"/>
            <w:vAlign w:val="center"/>
          </w:tcPr>
          <w:p w14:paraId="77B15406">
            <w:pPr>
              <w:pStyle w:val="88"/>
              <w:tabs>
                <w:tab w:val="left" w:pos="1337"/>
              </w:tabs>
              <w:spacing w:line="360" w:lineRule="auto"/>
              <w:jc w:val="center"/>
              <w:rPr>
                <w:rFonts w:ascii="宋体" w:hAnsi="宋体" w:cs="宋体"/>
                <w:color w:val="auto"/>
                <w:sz w:val="24"/>
                <w:highlight w:val="none"/>
              </w:rPr>
            </w:pPr>
          </w:p>
        </w:tc>
        <w:tc>
          <w:tcPr>
            <w:tcW w:w="955" w:type="dxa"/>
            <w:vAlign w:val="center"/>
          </w:tcPr>
          <w:p w14:paraId="2467657E">
            <w:pPr>
              <w:pStyle w:val="88"/>
              <w:tabs>
                <w:tab w:val="left" w:pos="1337"/>
              </w:tabs>
              <w:spacing w:line="360" w:lineRule="auto"/>
              <w:jc w:val="center"/>
              <w:rPr>
                <w:rFonts w:ascii="宋体" w:hAnsi="宋体" w:cs="宋体"/>
                <w:color w:val="auto"/>
                <w:sz w:val="24"/>
                <w:highlight w:val="none"/>
              </w:rPr>
            </w:pPr>
          </w:p>
        </w:tc>
        <w:tc>
          <w:tcPr>
            <w:tcW w:w="955" w:type="dxa"/>
            <w:vAlign w:val="center"/>
          </w:tcPr>
          <w:p w14:paraId="64F5D2AD">
            <w:pPr>
              <w:pStyle w:val="88"/>
              <w:tabs>
                <w:tab w:val="left" w:pos="1337"/>
              </w:tabs>
              <w:spacing w:line="360" w:lineRule="auto"/>
              <w:jc w:val="center"/>
              <w:rPr>
                <w:rFonts w:ascii="宋体" w:hAnsi="宋体" w:cs="宋体"/>
                <w:color w:val="auto"/>
                <w:sz w:val="24"/>
                <w:highlight w:val="none"/>
              </w:rPr>
            </w:pPr>
          </w:p>
        </w:tc>
        <w:tc>
          <w:tcPr>
            <w:tcW w:w="1146" w:type="dxa"/>
            <w:vAlign w:val="center"/>
          </w:tcPr>
          <w:p w14:paraId="4E6E0A48">
            <w:pPr>
              <w:pStyle w:val="88"/>
              <w:tabs>
                <w:tab w:val="left" w:pos="1337"/>
              </w:tabs>
              <w:spacing w:line="360" w:lineRule="auto"/>
              <w:jc w:val="center"/>
              <w:rPr>
                <w:rFonts w:ascii="宋体" w:hAnsi="宋体" w:cs="宋体"/>
                <w:color w:val="auto"/>
                <w:sz w:val="24"/>
                <w:highlight w:val="none"/>
              </w:rPr>
            </w:pPr>
          </w:p>
        </w:tc>
      </w:tr>
      <w:tr w14:paraId="1D8C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2C79E5BB">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441" w:type="dxa"/>
            <w:vAlign w:val="center"/>
          </w:tcPr>
          <w:p w14:paraId="28714474">
            <w:pPr>
              <w:pStyle w:val="88"/>
              <w:tabs>
                <w:tab w:val="left" w:pos="1337"/>
              </w:tabs>
              <w:spacing w:line="360" w:lineRule="auto"/>
              <w:jc w:val="center"/>
              <w:rPr>
                <w:rFonts w:ascii="宋体" w:hAnsi="宋体" w:cs="宋体"/>
                <w:color w:val="auto"/>
                <w:sz w:val="24"/>
                <w:highlight w:val="none"/>
              </w:rPr>
            </w:pPr>
          </w:p>
        </w:tc>
        <w:tc>
          <w:tcPr>
            <w:tcW w:w="3418" w:type="dxa"/>
          </w:tcPr>
          <w:p w14:paraId="262A5C88">
            <w:pPr>
              <w:pStyle w:val="88"/>
              <w:tabs>
                <w:tab w:val="left" w:pos="1337"/>
              </w:tabs>
              <w:spacing w:line="360" w:lineRule="auto"/>
              <w:jc w:val="center"/>
              <w:rPr>
                <w:rFonts w:ascii="宋体" w:hAnsi="宋体" w:cs="宋体"/>
                <w:color w:val="auto"/>
                <w:sz w:val="24"/>
                <w:highlight w:val="none"/>
              </w:rPr>
            </w:pPr>
          </w:p>
        </w:tc>
        <w:tc>
          <w:tcPr>
            <w:tcW w:w="955" w:type="dxa"/>
          </w:tcPr>
          <w:p w14:paraId="58828507">
            <w:pPr>
              <w:pStyle w:val="88"/>
              <w:tabs>
                <w:tab w:val="left" w:pos="1337"/>
              </w:tabs>
              <w:spacing w:line="360" w:lineRule="auto"/>
              <w:jc w:val="center"/>
              <w:rPr>
                <w:rFonts w:ascii="宋体" w:hAnsi="宋体" w:cs="宋体"/>
                <w:color w:val="auto"/>
                <w:sz w:val="24"/>
                <w:highlight w:val="none"/>
              </w:rPr>
            </w:pPr>
          </w:p>
        </w:tc>
        <w:tc>
          <w:tcPr>
            <w:tcW w:w="955" w:type="dxa"/>
          </w:tcPr>
          <w:p w14:paraId="588C9A21">
            <w:pPr>
              <w:pStyle w:val="88"/>
              <w:tabs>
                <w:tab w:val="left" w:pos="1337"/>
              </w:tabs>
              <w:spacing w:line="360" w:lineRule="auto"/>
              <w:jc w:val="center"/>
              <w:rPr>
                <w:rFonts w:ascii="宋体" w:hAnsi="宋体" w:cs="宋体"/>
                <w:color w:val="auto"/>
                <w:sz w:val="24"/>
                <w:highlight w:val="none"/>
              </w:rPr>
            </w:pPr>
          </w:p>
        </w:tc>
        <w:tc>
          <w:tcPr>
            <w:tcW w:w="1146" w:type="dxa"/>
            <w:vAlign w:val="center"/>
          </w:tcPr>
          <w:p w14:paraId="373B1372">
            <w:pPr>
              <w:pStyle w:val="88"/>
              <w:tabs>
                <w:tab w:val="left" w:pos="1337"/>
              </w:tabs>
              <w:spacing w:line="360" w:lineRule="auto"/>
              <w:jc w:val="center"/>
              <w:rPr>
                <w:rFonts w:ascii="宋体" w:hAnsi="宋体" w:cs="宋体"/>
                <w:color w:val="auto"/>
                <w:sz w:val="24"/>
                <w:highlight w:val="none"/>
              </w:rPr>
            </w:pPr>
          </w:p>
        </w:tc>
      </w:tr>
      <w:tr w14:paraId="53BB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124C7E4F">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441" w:type="dxa"/>
            <w:vAlign w:val="center"/>
          </w:tcPr>
          <w:p w14:paraId="1F106D87">
            <w:pPr>
              <w:pStyle w:val="88"/>
              <w:tabs>
                <w:tab w:val="left" w:pos="1337"/>
              </w:tabs>
              <w:spacing w:line="360" w:lineRule="auto"/>
              <w:jc w:val="center"/>
              <w:rPr>
                <w:rFonts w:ascii="宋体" w:hAnsi="宋体" w:cs="宋体"/>
                <w:color w:val="auto"/>
                <w:sz w:val="24"/>
                <w:highlight w:val="none"/>
              </w:rPr>
            </w:pPr>
          </w:p>
        </w:tc>
        <w:tc>
          <w:tcPr>
            <w:tcW w:w="3418" w:type="dxa"/>
          </w:tcPr>
          <w:p w14:paraId="18F64C40">
            <w:pPr>
              <w:pStyle w:val="88"/>
              <w:tabs>
                <w:tab w:val="left" w:pos="1337"/>
              </w:tabs>
              <w:spacing w:line="360" w:lineRule="auto"/>
              <w:jc w:val="center"/>
              <w:rPr>
                <w:rFonts w:ascii="宋体" w:hAnsi="宋体" w:cs="宋体"/>
                <w:color w:val="auto"/>
                <w:sz w:val="24"/>
                <w:highlight w:val="none"/>
              </w:rPr>
            </w:pPr>
          </w:p>
        </w:tc>
        <w:tc>
          <w:tcPr>
            <w:tcW w:w="955" w:type="dxa"/>
          </w:tcPr>
          <w:p w14:paraId="7A82DEBD">
            <w:pPr>
              <w:pStyle w:val="88"/>
              <w:tabs>
                <w:tab w:val="left" w:pos="1337"/>
              </w:tabs>
              <w:spacing w:line="360" w:lineRule="auto"/>
              <w:jc w:val="center"/>
              <w:rPr>
                <w:rFonts w:ascii="宋体" w:hAnsi="宋体" w:cs="宋体"/>
                <w:color w:val="auto"/>
                <w:sz w:val="24"/>
                <w:highlight w:val="none"/>
              </w:rPr>
            </w:pPr>
          </w:p>
        </w:tc>
        <w:tc>
          <w:tcPr>
            <w:tcW w:w="955" w:type="dxa"/>
          </w:tcPr>
          <w:p w14:paraId="23AEA9E5">
            <w:pPr>
              <w:pStyle w:val="88"/>
              <w:tabs>
                <w:tab w:val="left" w:pos="1337"/>
              </w:tabs>
              <w:spacing w:line="360" w:lineRule="auto"/>
              <w:jc w:val="center"/>
              <w:rPr>
                <w:rFonts w:ascii="宋体" w:hAnsi="宋体" w:cs="宋体"/>
                <w:color w:val="auto"/>
                <w:sz w:val="24"/>
                <w:highlight w:val="none"/>
              </w:rPr>
            </w:pPr>
          </w:p>
        </w:tc>
        <w:tc>
          <w:tcPr>
            <w:tcW w:w="1146" w:type="dxa"/>
            <w:vAlign w:val="center"/>
          </w:tcPr>
          <w:p w14:paraId="2C3E9FE4">
            <w:pPr>
              <w:pStyle w:val="88"/>
              <w:tabs>
                <w:tab w:val="left" w:pos="1337"/>
              </w:tabs>
              <w:spacing w:line="360" w:lineRule="auto"/>
              <w:jc w:val="center"/>
              <w:rPr>
                <w:rFonts w:ascii="宋体" w:hAnsi="宋体" w:cs="宋体"/>
                <w:color w:val="auto"/>
                <w:sz w:val="24"/>
                <w:highlight w:val="none"/>
              </w:rPr>
            </w:pPr>
          </w:p>
        </w:tc>
      </w:tr>
      <w:tr w14:paraId="6CC1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3D1437F9">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441" w:type="dxa"/>
            <w:vAlign w:val="center"/>
          </w:tcPr>
          <w:p w14:paraId="6F1F87BE">
            <w:pPr>
              <w:pStyle w:val="88"/>
              <w:tabs>
                <w:tab w:val="left" w:pos="1337"/>
              </w:tabs>
              <w:spacing w:line="360" w:lineRule="auto"/>
              <w:jc w:val="center"/>
              <w:rPr>
                <w:rFonts w:ascii="宋体" w:hAnsi="宋体" w:cs="宋体"/>
                <w:color w:val="auto"/>
                <w:sz w:val="24"/>
                <w:highlight w:val="none"/>
              </w:rPr>
            </w:pPr>
          </w:p>
        </w:tc>
        <w:tc>
          <w:tcPr>
            <w:tcW w:w="3418" w:type="dxa"/>
          </w:tcPr>
          <w:p w14:paraId="41A0FB4F">
            <w:pPr>
              <w:pStyle w:val="88"/>
              <w:tabs>
                <w:tab w:val="left" w:pos="1337"/>
              </w:tabs>
              <w:spacing w:line="360" w:lineRule="auto"/>
              <w:jc w:val="center"/>
              <w:rPr>
                <w:rFonts w:ascii="宋体" w:hAnsi="宋体" w:cs="宋体"/>
                <w:color w:val="auto"/>
                <w:sz w:val="24"/>
                <w:highlight w:val="none"/>
              </w:rPr>
            </w:pPr>
          </w:p>
        </w:tc>
        <w:tc>
          <w:tcPr>
            <w:tcW w:w="955" w:type="dxa"/>
          </w:tcPr>
          <w:p w14:paraId="19694289">
            <w:pPr>
              <w:pStyle w:val="88"/>
              <w:tabs>
                <w:tab w:val="left" w:pos="1337"/>
              </w:tabs>
              <w:spacing w:line="360" w:lineRule="auto"/>
              <w:jc w:val="center"/>
              <w:rPr>
                <w:rFonts w:ascii="宋体" w:hAnsi="宋体" w:cs="宋体"/>
                <w:color w:val="auto"/>
                <w:sz w:val="24"/>
                <w:highlight w:val="none"/>
              </w:rPr>
            </w:pPr>
          </w:p>
        </w:tc>
        <w:tc>
          <w:tcPr>
            <w:tcW w:w="955" w:type="dxa"/>
          </w:tcPr>
          <w:p w14:paraId="2BF5A48E">
            <w:pPr>
              <w:pStyle w:val="88"/>
              <w:tabs>
                <w:tab w:val="left" w:pos="1337"/>
              </w:tabs>
              <w:spacing w:line="360" w:lineRule="auto"/>
              <w:jc w:val="center"/>
              <w:rPr>
                <w:rFonts w:ascii="宋体" w:hAnsi="宋体" w:cs="宋体"/>
                <w:color w:val="auto"/>
                <w:sz w:val="24"/>
                <w:highlight w:val="none"/>
              </w:rPr>
            </w:pPr>
          </w:p>
        </w:tc>
        <w:tc>
          <w:tcPr>
            <w:tcW w:w="1146" w:type="dxa"/>
            <w:vAlign w:val="center"/>
          </w:tcPr>
          <w:p w14:paraId="2ECCDD3B">
            <w:pPr>
              <w:pStyle w:val="88"/>
              <w:tabs>
                <w:tab w:val="left" w:pos="1337"/>
              </w:tabs>
              <w:spacing w:line="360" w:lineRule="auto"/>
              <w:jc w:val="center"/>
              <w:rPr>
                <w:rFonts w:ascii="宋体" w:hAnsi="宋体" w:cs="宋体"/>
                <w:color w:val="auto"/>
                <w:sz w:val="24"/>
                <w:highlight w:val="none"/>
              </w:rPr>
            </w:pPr>
          </w:p>
        </w:tc>
      </w:tr>
      <w:tr w14:paraId="4FD8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5F76668C">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441" w:type="dxa"/>
            <w:vAlign w:val="center"/>
          </w:tcPr>
          <w:p w14:paraId="4F03A662">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418" w:type="dxa"/>
          </w:tcPr>
          <w:p w14:paraId="47EFF905">
            <w:pPr>
              <w:pStyle w:val="88"/>
              <w:tabs>
                <w:tab w:val="left" w:pos="1337"/>
              </w:tabs>
              <w:spacing w:line="360" w:lineRule="auto"/>
              <w:jc w:val="center"/>
              <w:rPr>
                <w:rFonts w:ascii="宋体" w:hAnsi="宋体" w:cs="宋体"/>
                <w:color w:val="auto"/>
                <w:sz w:val="24"/>
                <w:highlight w:val="none"/>
              </w:rPr>
            </w:pPr>
          </w:p>
        </w:tc>
        <w:tc>
          <w:tcPr>
            <w:tcW w:w="955" w:type="dxa"/>
          </w:tcPr>
          <w:p w14:paraId="3D8A95C7">
            <w:pPr>
              <w:pStyle w:val="88"/>
              <w:tabs>
                <w:tab w:val="left" w:pos="1337"/>
              </w:tabs>
              <w:spacing w:line="360" w:lineRule="auto"/>
              <w:jc w:val="center"/>
              <w:rPr>
                <w:rFonts w:ascii="宋体" w:hAnsi="宋体" w:cs="宋体"/>
                <w:color w:val="auto"/>
                <w:sz w:val="24"/>
                <w:highlight w:val="none"/>
              </w:rPr>
            </w:pPr>
          </w:p>
        </w:tc>
        <w:tc>
          <w:tcPr>
            <w:tcW w:w="955" w:type="dxa"/>
            <w:vAlign w:val="center"/>
          </w:tcPr>
          <w:p w14:paraId="22BAFD05">
            <w:pPr>
              <w:pStyle w:val="88"/>
              <w:tabs>
                <w:tab w:val="left" w:pos="1337"/>
              </w:tabs>
              <w:spacing w:line="360" w:lineRule="auto"/>
              <w:jc w:val="center"/>
              <w:rPr>
                <w:rFonts w:ascii="宋体" w:hAnsi="宋体" w:cs="宋体"/>
                <w:color w:val="auto"/>
                <w:sz w:val="24"/>
                <w:highlight w:val="none"/>
              </w:rPr>
            </w:pPr>
          </w:p>
        </w:tc>
        <w:tc>
          <w:tcPr>
            <w:tcW w:w="1146" w:type="dxa"/>
            <w:vAlign w:val="center"/>
          </w:tcPr>
          <w:p w14:paraId="59BE56DB">
            <w:pPr>
              <w:pStyle w:val="88"/>
              <w:tabs>
                <w:tab w:val="left" w:pos="1337"/>
              </w:tabs>
              <w:spacing w:line="360" w:lineRule="auto"/>
              <w:jc w:val="center"/>
              <w:rPr>
                <w:rFonts w:ascii="宋体" w:hAnsi="宋体" w:cs="宋体"/>
                <w:color w:val="auto"/>
                <w:sz w:val="24"/>
                <w:highlight w:val="none"/>
              </w:rPr>
            </w:pPr>
          </w:p>
        </w:tc>
      </w:tr>
      <w:tr w14:paraId="1C49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6DEF9841">
            <w:pPr>
              <w:pStyle w:val="88"/>
              <w:tabs>
                <w:tab w:val="left" w:pos="1337"/>
              </w:tabs>
              <w:spacing w:line="360" w:lineRule="auto"/>
              <w:jc w:val="center"/>
              <w:rPr>
                <w:rFonts w:ascii="宋体" w:hAnsi="宋体" w:cs="宋体"/>
                <w:color w:val="auto"/>
                <w:sz w:val="24"/>
                <w:highlight w:val="none"/>
              </w:rPr>
            </w:pPr>
          </w:p>
        </w:tc>
        <w:tc>
          <w:tcPr>
            <w:tcW w:w="2441" w:type="dxa"/>
            <w:vAlign w:val="center"/>
          </w:tcPr>
          <w:p w14:paraId="650EA443">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3418" w:type="dxa"/>
          </w:tcPr>
          <w:p w14:paraId="0825D0F9">
            <w:pPr>
              <w:pStyle w:val="88"/>
              <w:tabs>
                <w:tab w:val="left" w:pos="1337"/>
              </w:tabs>
              <w:spacing w:line="360" w:lineRule="auto"/>
              <w:jc w:val="center"/>
              <w:rPr>
                <w:rFonts w:ascii="宋体" w:hAnsi="宋体" w:cs="宋体"/>
                <w:color w:val="auto"/>
                <w:sz w:val="24"/>
                <w:highlight w:val="none"/>
              </w:rPr>
            </w:pPr>
          </w:p>
        </w:tc>
        <w:tc>
          <w:tcPr>
            <w:tcW w:w="955" w:type="dxa"/>
          </w:tcPr>
          <w:p w14:paraId="0CAD7394">
            <w:pPr>
              <w:pStyle w:val="88"/>
              <w:tabs>
                <w:tab w:val="left" w:pos="1337"/>
              </w:tabs>
              <w:spacing w:line="360" w:lineRule="auto"/>
              <w:jc w:val="center"/>
              <w:rPr>
                <w:rFonts w:ascii="宋体" w:hAnsi="宋体" w:cs="宋体"/>
                <w:color w:val="auto"/>
                <w:sz w:val="24"/>
                <w:highlight w:val="none"/>
              </w:rPr>
            </w:pPr>
          </w:p>
        </w:tc>
        <w:tc>
          <w:tcPr>
            <w:tcW w:w="955" w:type="dxa"/>
            <w:vAlign w:val="center"/>
          </w:tcPr>
          <w:p w14:paraId="21F0404B">
            <w:pPr>
              <w:pStyle w:val="88"/>
              <w:tabs>
                <w:tab w:val="left" w:pos="1337"/>
              </w:tabs>
              <w:spacing w:line="360" w:lineRule="auto"/>
              <w:jc w:val="center"/>
              <w:rPr>
                <w:rFonts w:ascii="宋体" w:hAnsi="宋体" w:cs="宋体"/>
                <w:color w:val="auto"/>
                <w:sz w:val="24"/>
                <w:highlight w:val="none"/>
              </w:rPr>
            </w:pPr>
          </w:p>
        </w:tc>
        <w:tc>
          <w:tcPr>
            <w:tcW w:w="1146" w:type="dxa"/>
            <w:vAlign w:val="center"/>
          </w:tcPr>
          <w:p w14:paraId="0BA3C5DF">
            <w:pPr>
              <w:pStyle w:val="88"/>
              <w:tabs>
                <w:tab w:val="left" w:pos="1337"/>
              </w:tabs>
              <w:spacing w:line="360" w:lineRule="auto"/>
              <w:jc w:val="center"/>
              <w:rPr>
                <w:rFonts w:ascii="宋体" w:hAnsi="宋体" w:cs="宋体"/>
                <w:color w:val="auto"/>
                <w:sz w:val="24"/>
                <w:highlight w:val="none"/>
              </w:rPr>
            </w:pPr>
          </w:p>
        </w:tc>
      </w:tr>
      <w:tr w14:paraId="6898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3744123A">
            <w:pPr>
              <w:pStyle w:val="88"/>
              <w:tabs>
                <w:tab w:val="left" w:pos="1337"/>
              </w:tabs>
              <w:spacing w:line="360" w:lineRule="auto"/>
              <w:jc w:val="center"/>
              <w:rPr>
                <w:rFonts w:ascii="宋体" w:hAnsi="宋体" w:cs="宋体"/>
                <w:color w:val="auto"/>
                <w:sz w:val="24"/>
                <w:highlight w:val="none"/>
              </w:rPr>
            </w:pPr>
          </w:p>
        </w:tc>
        <w:tc>
          <w:tcPr>
            <w:tcW w:w="2441" w:type="dxa"/>
            <w:vAlign w:val="center"/>
          </w:tcPr>
          <w:p w14:paraId="06EA16A1">
            <w:pPr>
              <w:pStyle w:val="88"/>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合计</w:t>
            </w:r>
          </w:p>
        </w:tc>
        <w:tc>
          <w:tcPr>
            <w:tcW w:w="3418" w:type="dxa"/>
          </w:tcPr>
          <w:p w14:paraId="366199DE">
            <w:pPr>
              <w:pStyle w:val="88"/>
              <w:tabs>
                <w:tab w:val="left" w:pos="1337"/>
              </w:tabs>
              <w:spacing w:line="360" w:lineRule="auto"/>
              <w:jc w:val="center"/>
              <w:rPr>
                <w:rFonts w:ascii="宋体" w:hAnsi="宋体" w:cs="宋体"/>
                <w:color w:val="auto"/>
                <w:sz w:val="24"/>
                <w:highlight w:val="none"/>
              </w:rPr>
            </w:pPr>
          </w:p>
        </w:tc>
        <w:tc>
          <w:tcPr>
            <w:tcW w:w="955" w:type="dxa"/>
          </w:tcPr>
          <w:p w14:paraId="40DF97D1">
            <w:pPr>
              <w:pStyle w:val="88"/>
              <w:tabs>
                <w:tab w:val="left" w:pos="1337"/>
              </w:tabs>
              <w:spacing w:line="360" w:lineRule="auto"/>
              <w:jc w:val="center"/>
              <w:rPr>
                <w:rFonts w:ascii="宋体" w:hAnsi="宋体" w:cs="宋体"/>
                <w:color w:val="auto"/>
                <w:sz w:val="24"/>
                <w:highlight w:val="none"/>
              </w:rPr>
            </w:pPr>
          </w:p>
        </w:tc>
        <w:tc>
          <w:tcPr>
            <w:tcW w:w="955" w:type="dxa"/>
            <w:vAlign w:val="center"/>
          </w:tcPr>
          <w:p w14:paraId="4CFFEC23">
            <w:pPr>
              <w:pStyle w:val="88"/>
              <w:tabs>
                <w:tab w:val="left" w:pos="1337"/>
              </w:tabs>
              <w:spacing w:line="360" w:lineRule="auto"/>
              <w:jc w:val="center"/>
              <w:rPr>
                <w:rFonts w:ascii="宋体" w:hAnsi="宋体" w:cs="宋体"/>
                <w:color w:val="auto"/>
                <w:sz w:val="24"/>
                <w:highlight w:val="none"/>
              </w:rPr>
            </w:pPr>
          </w:p>
        </w:tc>
        <w:tc>
          <w:tcPr>
            <w:tcW w:w="1146" w:type="dxa"/>
            <w:vAlign w:val="center"/>
          </w:tcPr>
          <w:p w14:paraId="5A7972AC">
            <w:pPr>
              <w:pStyle w:val="88"/>
              <w:tabs>
                <w:tab w:val="left" w:pos="1337"/>
              </w:tabs>
              <w:spacing w:line="360" w:lineRule="auto"/>
              <w:jc w:val="center"/>
              <w:rPr>
                <w:rFonts w:ascii="宋体" w:hAnsi="宋体" w:cs="宋体"/>
                <w:color w:val="auto"/>
                <w:sz w:val="24"/>
                <w:highlight w:val="none"/>
              </w:rPr>
            </w:pPr>
          </w:p>
        </w:tc>
      </w:tr>
    </w:tbl>
    <w:p w14:paraId="76937579">
      <w:pPr>
        <w:pStyle w:val="88"/>
        <w:spacing w:line="400" w:lineRule="exact"/>
        <w:rPr>
          <w:rFonts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bCs/>
          <w:color w:val="auto"/>
          <w:sz w:val="24"/>
          <w:highlight w:val="none"/>
        </w:rPr>
        <w:t>报价明细表合计价格必须与《磋商报价表》报价一致，如果不提供将被视为没有实质性响应磋商文件。</w:t>
      </w:r>
    </w:p>
    <w:p w14:paraId="405AC593">
      <w:pPr>
        <w:pStyle w:val="82"/>
        <w:tabs>
          <w:tab w:val="left" w:pos="750"/>
        </w:tabs>
        <w:adjustRightInd w:val="0"/>
        <w:snapToGrid w:val="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single"/>
        </w:rPr>
        <w:t xml:space="preserve">                         </w:t>
      </w:r>
    </w:p>
    <w:p w14:paraId="189B9447">
      <w:pPr>
        <w:pStyle w:val="82"/>
        <w:tabs>
          <w:tab w:val="left" w:pos="750"/>
        </w:tabs>
        <w:adjustRightInd w:val="0"/>
        <w:snapToGrid w:val="0"/>
        <w:spacing w:line="500" w:lineRule="exact"/>
        <w:ind w:firstLine="720" w:firstLineChars="300"/>
        <w:jc w:val="center"/>
        <w:rPr>
          <w:rFonts w:ascii="宋体" w:hAnsi="宋体" w:cs="宋体"/>
          <w:color w:val="auto"/>
          <w:sz w:val="24"/>
          <w:szCs w:val="24"/>
          <w:highlight w:val="none"/>
        </w:rPr>
      </w:pPr>
    </w:p>
    <w:p w14:paraId="7E8A1C95">
      <w:pPr>
        <w:pStyle w:val="82"/>
        <w:tabs>
          <w:tab w:val="left" w:pos="750"/>
        </w:tabs>
        <w:adjustRightInd w:val="0"/>
        <w:snapToGrid w:val="0"/>
        <w:spacing w:line="500" w:lineRule="exact"/>
        <w:ind w:firstLine="720" w:firstLineChars="300"/>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法定代表人（单位负责人）或其授权委托人（签字或盖章） ：</w:t>
      </w:r>
      <w:r>
        <w:rPr>
          <w:rFonts w:hint="eastAsia" w:ascii="宋体" w:hAnsi="宋体" w:cs="宋体"/>
          <w:color w:val="auto"/>
          <w:sz w:val="24"/>
          <w:szCs w:val="24"/>
          <w:highlight w:val="none"/>
          <w:u w:val="single"/>
        </w:rPr>
        <w:t xml:space="preserve">            </w:t>
      </w:r>
    </w:p>
    <w:p w14:paraId="05567092">
      <w:pPr>
        <w:adjustRightInd w:val="0"/>
        <w:snapToGrid w:val="0"/>
        <w:spacing w:line="500" w:lineRule="exact"/>
        <w:ind w:left="-88" w:leftChars="-42"/>
        <w:jc w:val="right"/>
        <w:rPr>
          <w:rFonts w:ascii="宋体" w:hAnsi="宋体" w:cs="宋体"/>
          <w:color w:val="auto"/>
          <w:sz w:val="24"/>
          <w:szCs w:val="24"/>
          <w:highlight w:val="none"/>
        </w:rPr>
      </w:pPr>
    </w:p>
    <w:p w14:paraId="36E8E7EF">
      <w:pPr>
        <w:adjustRightInd w:val="0"/>
        <w:snapToGrid w:val="0"/>
        <w:spacing w:line="500" w:lineRule="exact"/>
        <w:ind w:left="-88" w:leftChars="-42"/>
        <w:jc w:val="righ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BD0D8F6">
      <w:pPr>
        <w:pStyle w:val="33"/>
        <w:ind w:firstLine="0" w:firstLineChars="0"/>
        <w:rPr>
          <w:rFonts w:ascii="宋体" w:hAnsi="宋体" w:eastAsia="宋体" w:cs="宋体"/>
          <w:color w:val="auto"/>
          <w:sz w:val="24"/>
          <w:szCs w:val="24"/>
          <w:highlight w:val="none"/>
        </w:rPr>
      </w:pPr>
    </w:p>
    <w:p w14:paraId="76390F45">
      <w:pPr>
        <w:pStyle w:val="33"/>
        <w:ind w:firstLine="0" w:firstLineChars="0"/>
        <w:rPr>
          <w:rFonts w:ascii="宋体" w:hAnsi="宋体" w:eastAsia="宋体" w:cs="宋体"/>
          <w:color w:val="auto"/>
          <w:sz w:val="24"/>
          <w:szCs w:val="24"/>
          <w:highlight w:val="none"/>
        </w:rPr>
      </w:pPr>
    </w:p>
    <w:p w14:paraId="33245FD4">
      <w:pPr>
        <w:pStyle w:val="33"/>
        <w:ind w:firstLine="0" w:firstLineChars="0"/>
        <w:rPr>
          <w:rFonts w:ascii="宋体" w:hAnsi="宋体" w:eastAsia="宋体" w:cs="宋体"/>
          <w:color w:val="auto"/>
          <w:sz w:val="24"/>
          <w:szCs w:val="24"/>
          <w:highlight w:val="none"/>
        </w:rPr>
      </w:pPr>
    </w:p>
    <w:p w14:paraId="0BB5E32D">
      <w:pPr>
        <w:pStyle w:val="33"/>
        <w:ind w:firstLine="0" w:firstLineChars="0"/>
        <w:rPr>
          <w:rFonts w:ascii="宋体" w:hAnsi="宋体" w:eastAsia="宋体" w:cs="宋体"/>
          <w:color w:val="auto"/>
          <w:sz w:val="24"/>
          <w:szCs w:val="24"/>
          <w:highlight w:val="none"/>
        </w:rPr>
      </w:pPr>
    </w:p>
    <w:p w14:paraId="104A697D">
      <w:pPr>
        <w:pStyle w:val="33"/>
        <w:ind w:firstLine="0" w:firstLineChars="0"/>
        <w:rPr>
          <w:rFonts w:ascii="宋体" w:hAnsi="宋体" w:eastAsia="宋体" w:cs="宋体"/>
          <w:color w:val="auto"/>
          <w:sz w:val="24"/>
          <w:szCs w:val="24"/>
          <w:highlight w:val="none"/>
        </w:rPr>
      </w:pPr>
    </w:p>
    <w:p w14:paraId="67EB218C">
      <w:pPr>
        <w:pStyle w:val="33"/>
        <w:ind w:firstLine="0" w:firstLineChars="0"/>
        <w:rPr>
          <w:rFonts w:ascii="宋体" w:hAnsi="宋体" w:eastAsia="宋体" w:cs="宋体"/>
          <w:color w:val="auto"/>
          <w:sz w:val="24"/>
          <w:szCs w:val="24"/>
          <w:highlight w:val="none"/>
        </w:rPr>
      </w:pPr>
    </w:p>
    <w:p w14:paraId="2ED69917">
      <w:pPr>
        <w:pStyle w:val="33"/>
        <w:ind w:firstLine="0" w:firstLineChars="0"/>
        <w:rPr>
          <w:rFonts w:ascii="宋体" w:hAnsi="宋体" w:eastAsia="宋体" w:cs="宋体"/>
          <w:color w:val="auto"/>
          <w:sz w:val="24"/>
          <w:szCs w:val="24"/>
          <w:highlight w:val="none"/>
        </w:rPr>
      </w:pPr>
    </w:p>
    <w:p w14:paraId="6EAC89F1">
      <w:pPr>
        <w:pStyle w:val="33"/>
        <w:ind w:firstLine="0" w:firstLineChars="0"/>
        <w:rPr>
          <w:rFonts w:ascii="宋体" w:hAnsi="宋体" w:eastAsia="宋体" w:cs="宋体"/>
          <w:color w:val="auto"/>
          <w:sz w:val="24"/>
          <w:szCs w:val="24"/>
          <w:highlight w:val="none"/>
        </w:rPr>
      </w:pPr>
    </w:p>
    <w:p w14:paraId="3FFF4FCF">
      <w:pPr>
        <w:pStyle w:val="33"/>
        <w:ind w:firstLine="0" w:firstLineChars="0"/>
        <w:rPr>
          <w:rFonts w:ascii="宋体" w:hAnsi="宋体" w:eastAsia="宋体" w:cs="宋体"/>
          <w:color w:val="auto"/>
          <w:sz w:val="24"/>
          <w:szCs w:val="24"/>
          <w:highlight w:val="none"/>
        </w:rPr>
      </w:pPr>
    </w:p>
    <w:p w14:paraId="2104EE9B">
      <w:pPr>
        <w:pStyle w:val="33"/>
        <w:ind w:firstLine="0" w:firstLineChars="0"/>
        <w:rPr>
          <w:rFonts w:ascii="宋体" w:hAnsi="宋体" w:eastAsia="宋体" w:cs="宋体"/>
          <w:color w:val="auto"/>
          <w:sz w:val="24"/>
          <w:szCs w:val="24"/>
          <w:highlight w:val="none"/>
        </w:rPr>
      </w:pPr>
    </w:p>
    <w:p w14:paraId="7EA8FE9D">
      <w:pPr>
        <w:pStyle w:val="33"/>
        <w:ind w:firstLine="0" w:firstLineChars="0"/>
        <w:rPr>
          <w:rFonts w:ascii="宋体" w:hAnsi="宋体" w:eastAsia="宋体" w:cs="宋体"/>
          <w:color w:val="auto"/>
          <w:sz w:val="24"/>
          <w:szCs w:val="24"/>
          <w:highlight w:val="none"/>
        </w:rPr>
      </w:pPr>
    </w:p>
    <w:p w14:paraId="46925491">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6DA1DF9">
      <w:pPr>
        <w:spacing w:line="360" w:lineRule="auto"/>
        <w:jc w:val="left"/>
        <w:rPr>
          <w:rFonts w:ascii="宋体" w:hAnsi="宋体" w:cs="宋体"/>
          <w:b/>
          <w:color w:val="auto"/>
          <w:szCs w:val="21"/>
          <w:highlight w:val="none"/>
        </w:rPr>
      </w:pPr>
      <w:bookmarkStart w:id="136" w:name="_Toc5414"/>
      <w:r>
        <w:rPr>
          <w:rStyle w:val="46"/>
          <w:rFonts w:hint="eastAsia"/>
          <w:color w:val="auto"/>
          <w:sz w:val="28"/>
          <w:szCs w:val="28"/>
          <w:highlight w:val="none"/>
        </w:rPr>
        <w:t>最后报价书格式</w:t>
      </w:r>
      <w:bookmarkEnd w:id="136"/>
    </w:p>
    <w:p w14:paraId="6354085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0EF59778">
      <w:pPr>
        <w:adjustRightInd w:val="0"/>
        <w:snapToGrid w:val="0"/>
        <w:spacing w:line="360" w:lineRule="auto"/>
        <w:ind w:left="-88" w:leftChars="-42"/>
        <w:rPr>
          <w:rFonts w:ascii="宋体" w:hAnsi="宋体" w:cs="宋体"/>
          <w:color w:val="auto"/>
          <w:szCs w:val="21"/>
          <w:highlight w:val="none"/>
        </w:rPr>
      </w:pPr>
    </w:p>
    <w:p w14:paraId="38DCBF0C">
      <w:pPr>
        <w:spacing w:after="120" w:afterLines="50"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项目名称：                                         单位：人民币元</w:t>
      </w:r>
    </w:p>
    <w:tbl>
      <w:tblPr>
        <w:tblStyle w:val="3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7346"/>
      </w:tblGrid>
      <w:tr w14:paraId="0F10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7B147049">
            <w:pPr>
              <w:pStyle w:val="86"/>
              <w:tabs>
                <w:tab w:val="left" w:pos="1337"/>
              </w:tabs>
              <w:spacing w:line="360" w:lineRule="auto"/>
              <w:jc w:val="center"/>
              <w:rPr>
                <w:rFonts w:ascii="宋体" w:hAnsi="宋体" w:cs="宋体"/>
                <w:color w:val="auto"/>
                <w:sz w:val="24"/>
                <w:highlight w:val="none"/>
              </w:rPr>
            </w:pPr>
            <w:r>
              <w:rPr>
                <w:rFonts w:hint="eastAsia" w:ascii="宋体" w:hAnsi="宋体" w:cs="宋体"/>
                <w:bCs/>
                <w:color w:val="auto"/>
                <w:sz w:val="24"/>
                <w:highlight w:val="none"/>
              </w:rPr>
              <w:t>项目名称</w:t>
            </w:r>
          </w:p>
        </w:tc>
        <w:tc>
          <w:tcPr>
            <w:tcW w:w="7346" w:type="dxa"/>
            <w:tcBorders>
              <w:bottom w:val="single" w:color="auto" w:sz="4" w:space="0"/>
            </w:tcBorders>
            <w:vAlign w:val="center"/>
          </w:tcPr>
          <w:p w14:paraId="104F0B60">
            <w:pPr>
              <w:pStyle w:val="86"/>
              <w:tabs>
                <w:tab w:val="left" w:pos="1337"/>
              </w:tabs>
              <w:spacing w:line="360" w:lineRule="auto"/>
              <w:rPr>
                <w:rFonts w:ascii="宋体" w:hAnsi="宋体" w:cs="宋体"/>
                <w:bCs/>
                <w:color w:val="auto"/>
                <w:sz w:val="24"/>
                <w:highlight w:val="none"/>
              </w:rPr>
            </w:pPr>
            <w:r>
              <w:rPr>
                <w:rFonts w:hint="eastAsia" w:ascii="宋体" w:hAnsi="宋体" w:cs="宋体"/>
                <w:color w:val="auto"/>
                <w:highlight w:val="none"/>
              </w:rPr>
              <w:t xml:space="preserve">                                </w:t>
            </w:r>
          </w:p>
        </w:tc>
      </w:tr>
      <w:tr w14:paraId="21F0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797B0D3E">
            <w:pPr>
              <w:pStyle w:val="86"/>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项目编号</w:t>
            </w:r>
          </w:p>
        </w:tc>
        <w:tc>
          <w:tcPr>
            <w:tcW w:w="7346" w:type="dxa"/>
            <w:tcBorders>
              <w:bottom w:val="single" w:color="auto" w:sz="4" w:space="0"/>
            </w:tcBorders>
            <w:vAlign w:val="center"/>
          </w:tcPr>
          <w:p w14:paraId="67E7D8F3">
            <w:pPr>
              <w:pStyle w:val="86"/>
              <w:tabs>
                <w:tab w:val="left" w:pos="1337"/>
              </w:tabs>
              <w:spacing w:line="360" w:lineRule="auto"/>
              <w:rPr>
                <w:rFonts w:ascii="宋体" w:hAnsi="宋体" w:cs="宋体"/>
                <w:color w:val="auto"/>
                <w:highlight w:val="none"/>
                <w:u w:val="single"/>
              </w:rPr>
            </w:pPr>
          </w:p>
        </w:tc>
      </w:tr>
      <w:tr w14:paraId="2D86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614" w:type="dxa"/>
            <w:vAlign w:val="center"/>
          </w:tcPr>
          <w:p w14:paraId="43055B9A">
            <w:pPr>
              <w:pStyle w:val="86"/>
              <w:tabs>
                <w:tab w:val="left" w:pos="1337"/>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优惠后总报价（元）</w:t>
            </w:r>
          </w:p>
        </w:tc>
        <w:tc>
          <w:tcPr>
            <w:tcW w:w="7346" w:type="dxa"/>
          </w:tcPr>
          <w:p w14:paraId="2A44D78D">
            <w:pPr>
              <w:pStyle w:val="86"/>
              <w:tabs>
                <w:tab w:val="left" w:pos="1337"/>
              </w:tabs>
              <w:spacing w:line="360" w:lineRule="auto"/>
              <w:rPr>
                <w:rFonts w:ascii="宋体" w:hAnsi="宋体" w:cs="宋体"/>
                <w:bCs/>
                <w:color w:val="auto"/>
                <w:sz w:val="24"/>
                <w:highlight w:val="none"/>
              </w:rPr>
            </w:pPr>
          </w:p>
          <w:p w14:paraId="1DC29E86">
            <w:pPr>
              <w:pStyle w:val="86"/>
              <w:tabs>
                <w:tab w:val="left" w:pos="1337"/>
              </w:tabs>
              <w:spacing w:line="360" w:lineRule="auto"/>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p>
          <w:p w14:paraId="0BA631B1">
            <w:pPr>
              <w:pStyle w:val="86"/>
              <w:tabs>
                <w:tab w:val="left" w:pos="1337"/>
              </w:tabs>
              <w:spacing w:line="360" w:lineRule="auto"/>
              <w:rPr>
                <w:rFonts w:ascii="宋体" w:hAnsi="宋体" w:cs="宋体"/>
                <w:bCs/>
                <w:color w:val="auto"/>
                <w:sz w:val="24"/>
                <w:highlight w:val="none"/>
              </w:rPr>
            </w:pPr>
          </w:p>
          <w:p w14:paraId="6D342C25">
            <w:pPr>
              <w:pStyle w:val="86"/>
              <w:tabs>
                <w:tab w:val="left" w:pos="1337"/>
              </w:tabs>
              <w:spacing w:line="360" w:lineRule="auto"/>
              <w:rPr>
                <w:rFonts w:ascii="宋体" w:hAnsi="宋体" w:cs="宋体"/>
                <w:bCs/>
                <w:color w:val="auto"/>
                <w:sz w:val="24"/>
                <w:highlight w:val="none"/>
              </w:rPr>
            </w:pPr>
            <w:r>
              <w:rPr>
                <w:rFonts w:hint="eastAsia" w:ascii="宋体" w:hAnsi="宋体" w:cs="宋体"/>
                <w:bCs/>
                <w:color w:val="auto"/>
                <w:sz w:val="24"/>
                <w:highlight w:val="none"/>
              </w:rPr>
              <w:t>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p>
          <w:p w14:paraId="69F84C59">
            <w:pPr>
              <w:pStyle w:val="86"/>
              <w:tabs>
                <w:tab w:val="left" w:pos="1337"/>
              </w:tabs>
              <w:spacing w:line="360" w:lineRule="auto"/>
              <w:rPr>
                <w:rFonts w:ascii="宋体" w:hAnsi="宋体" w:cs="宋体"/>
                <w:color w:val="auto"/>
                <w:sz w:val="24"/>
                <w:highlight w:val="none"/>
              </w:rPr>
            </w:pPr>
          </w:p>
        </w:tc>
      </w:tr>
      <w:tr w14:paraId="6355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Pr>
          <w:p w14:paraId="52859FD4">
            <w:pPr>
              <w:pStyle w:val="86"/>
              <w:tabs>
                <w:tab w:val="left" w:pos="1337"/>
              </w:tabs>
              <w:spacing w:line="360" w:lineRule="auto"/>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eastAsia="zh-CN"/>
              </w:rPr>
              <w:t>工</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eastAsia="zh-CN"/>
              </w:rPr>
              <w:t>期</w:t>
            </w:r>
          </w:p>
        </w:tc>
        <w:tc>
          <w:tcPr>
            <w:tcW w:w="7346" w:type="dxa"/>
          </w:tcPr>
          <w:p w14:paraId="30F778AA">
            <w:pPr>
              <w:pStyle w:val="86"/>
              <w:tabs>
                <w:tab w:val="left" w:pos="1337"/>
              </w:tabs>
              <w:spacing w:line="360" w:lineRule="auto"/>
              <w:rPr>
                <w:rFonts w:ascii="宋体" w:hAnsi="宋体" w:cs="宋体"/>
                <w:color w:val="auto"/>
                <w:sz w:val="24"/>
                <w:highlight w:val="none"/>
              </w:rPr>
            </w:pPr>
            <w:r>
              <w:rPr>
                <w:rFonts w:hint="eastAsia" w:ascii="宋体" w:hAnsi="宋体" w:cs="宋体"/>
                <w:color w:val="auto"/>
                <w:highlight w:val="none"/>
              </w:rPr>
              <w:t xml:space="preserve">                       </w:t>
            </w:r>
          </w:p>
        </w:tc>
      </w:tr>
      <w:tr w14:paraId="4015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960" w:type="dxa"/>
            <w:gridSpan w:val="2"/>
          </w:tcPr>
          <w:p w14:paraId="31914F5C">
            <w:pPr>
              <w:pStyle w:val="86"/>
              <w:tabs>
                <w:tab w:val="left" w:pos="1337"/>
              </w:tabs>
              <w:spacing w:line="360" w:lineRule="auto"/>
              <w:rPr>
                <w:rFonts w:ascii="宋体" w:hAnsi="宋体" w:cs="宋体"/>
                <w:color w:val="auto"/>
                <w:sz w:val="24"/>
                <w:highlight w:val="none"/>
              </w:rPr>
            </w:pPr>
            <w:r>
              <w:rPr>
                <w:rFonts w:hint="eastAsia" w:ascii="宋体" w:hAnsi="宋体" w:cs="宋体"/>
                <w:bCs/>
                <w:color w:val="auto"/>
                <w:sz w:val="24"/>
                <w:highlight w:val="none"/>
              </w:rPr>
              <w:t>备注：</w:t>
            </w:r>
            <w:r>
              <w:rPr>
                <w:rFonts w:hint="eastAsia" w:ascii="宋体" w:hAnsi="宋体" w:cs="宋体"/>
                <w:color w:val="auto"/>
                <w:highlight w:val="none"/>
              </w:rPr>
              <w:t xml:space="preserve"> </w:t>
            </w:r>
          </w:p>
        </w:tc>
      </w:tr>
    </w:tbl>
    <w:p w14:paraId="2E57A4AF">
      <w:pPr>
        <w:spacing w:line="360" w:lineRule="auto"/>
        <w:rPr>
          <w:rFonts w:ascii="宋体" w:hAnsi="宋体" w:cs="宋体"/>
          <w:color w:val="auto"/>
          <w:szCs w:val="21"/>
          <w:highlight w:val="none"/>
        </w:rPr>
      </w:pPr>
      <w:r>
        <w:rPr>
          <w:rFonts w:hint="eastAsia" w:ascii="宋体" w:hAnsi="宋体" w:cs="宋体"/>
          <w:color w:val="auto"/>
          <w:szCs w:val="21"/>
          <w:highlight w:val="none"/>
        </w:rPr>
        <w:t>说明：优惠后各分项价格统一按此总报价优惠幅度调整。</w:t>
      </w:r>
    </w:p>
    <w:p w14:paraId="1E8C12FC">
      <w:pPr>
        <w:spacing w:line="360" w:lineRule="auto"/>
        <w:rPr>
          <w:rFonts w:ascii="宋体" w:hAnsi="宋体" w:cs="宋体"/>
          <w:color w:val="auto"/>
          <w:szCs w:val="21"/>
          <w:highlight w:val="none"/>
        </w:rPr>
      </w:pPr>
    </w:p>
    <w:p w14:paraId="54458598">
      <w:pPr>
        <w:spacing w:line="360" w:lineRule="auto"/>
        <w:ind w:firstLine="420" w:firstLineChars="200"/>
        <w:rPr>
          <w:rFonts w:ascii="宋体" w:hAnsi="宋体" w:cs="宋体"/>
          <w:color w:val="auto"/>
          <w:szCs w:val="21"/>
          <w:highlight w:val="none"/>
        </w:rPr>
      </w:pPr>
    </w:p>
    <w:p w14:paraId="2C702F8A">
      <w:pPr>
        <w:spacing w:line="360" w:lineRule="auto"/>
        <w:ind w:firstLine="420" w:firstLineChars="200"/>
        <w:rPr>
          <w:rFonts w:ascii="宋体" w:hAnsi="宋体" w:cs="宋体"/>
          <w:color w:val="auto"/>
          <w:szCs w:val="21"/>
          <w:highlight w:val="none"/>
        </w:rPr>
      </w:pPr>
    </w:p>
    <w:p w14:paraId="073A1C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1C36B04">
      <w:pPr>
        <w:spacing w:before="50" w:after="120" w:after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05781B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EB98D4D">
      <w:pPr>
        <w:pStyle w:val="33"/>
        <w:ind w:firstLine="0" w:firstLineChars="0"/>
        <w:rPr>
          <w:rFonts w:ascii="宋体" w:hAnsi="宋体" w:eastAsia="宋体" w:cs="宋体"/>
          <w:color w:val="auto"/>
          <w:sz w:val="24"/>
          <w:szCs w:val="24"/>
          <w:highlight w:val="none"/>
        </w:rPr>
      </w:pPr>
      <w:r>
        <w:rPr>
          <w:rStyle w:val="48"/>
          <w:rFonts w:hint="eastAsia"/>
          <w:bCs/>
          <w:color w:val="auto"/>
          <w:sz w:val="28"/>
          <w:highlight w:val="none"/>
        </w:rPr>
        <w:br w:type="page"/>
      </w:r>
    </w:p>
    <w:p w14:paraId="781D5A73">
      <w:pPr>
        <w:pStyle w:val="33"/>
        <w:ind w:firstLine="0" w:firstLineChars="0"/>
        <w:rPr>
          <w:rFonts w:ascii="宋体" w:hAnsi="宋体" w:eastAsia="宋体" w:cs="宋体"/>
          <w:color w:val="auto"/>
          <w:sz w:val="24"/>
          <w:szCs w:val="24"/>
          <w:highlight w:val="none"/>
        </w:rPr>
      </w:pPr>
    </w:p>
    <w:p w14:paraId="3EFFF243">
      <w:pPr>
        <w:pStyle w:val="89"/>
        <w:outlineLvl w:val="0"/>
        <w:rPr>
          <w:rFonts w:ascii="宋体" w:hAnsi="宋体" w:eastAsia="宋体" w:cs="宋体"/>
          <w:b w:val="0"/>
          <w:bCs/>
          <w:color w:val="auto"/>
          <w:highlight w:val="none"/>
        </w:rPr>
      </w:pPr>
      <w:bookmarkStart w:id="137" w:name="_Toc13251"/>
      <w:bookmarkStart w:id="138" w:name="_Toc9511"/>
      <w:bookmarkStart w:id="139" w:name="_Toc501460791"/>
      <w:r>
        <w:rPr>
          <w:rFonts w:hint="eastAsia" w:ascii="宋体" w:hAnsi="宋体" w:eastAsia="宋体" w:cs="宋体"/>
          <w:b w:val="0"/>
          <w:bCs/>
          <w:color w:val="auto"/>
          <w:highlight w:val="none"/>
        </w:rPr>
        <w:t>附件七：商务和技术偏差表</w:t>
      </w:r>
      <w:bookmarkEnd w:id="137"/>
      <w:bookmarkEnd w:id="138"/>
      <w:bookmarkEnd w:id="139"/>
    </w:p>
    <w:tbl>
      <w:tblPr>
        <w:tblStyle w:val="3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264"/>
        <w:gridCol w:w="3608"/>
        <w:gridCol w:w="1966"/>
      </w:tblGrid>
      <w:tr w14:paraId="43ED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172AF09E">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3264" w:type="dxa"/>
            <w:vAlign w:val="bottom"/>
          </w:tcPr>
          <w:p w14:paraId="02354C5B">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磋商文件章节及条款号</w:t>
            </w:r>
          </w:p>
        </w:tc>
        <w:tc>
          <w:tcPr>
            <w:tcW w:w="3608" w:type="dxa"/>
            <w:vAlign w:val="bottom"/>
          </w:tcPr>
          <w:p w14:paraId="718246A8">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响应文件章节及条款号</w:t>
            </w:r>
          </w:p>
        </w:tc>
        <w:tc>
          <w:tcPr>
            <w:tcW w:w="1966" w:type="dxa"/>
            <w:vAlign w:val="bottom"/>
          </w:tcPr>
          <w:p w14:paraId="3678D7D7">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偏差说明</w:t>
            </w:r>
          </w:p>
        </w:tc>
      </w:tr>
      <w:tr w14:paraId="59D4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19CA4F2B">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3264" w:type="dxa"/>
            <w:vAlign w:val="bottom"/>
          </w:tcPr>
          <w:p w14:paraId="455F9004">
            <w:pPr>
              <w:widowControl/>
              <w:snapToGrid w:val="0"/>
              <w:jc w:val="center"/>
              <w:rPr>
                <w:rFonts w:ascii="宋体" w:hAnsi="宋体" w:cs="宋体"/>
                <w:bCs/>
                <w:color w:val="auto"/>
                <w:kern w:val="0"/>
                <w:szCs w:val="21"/>
                <w:highlight w:val="none"/>
              </w:rPr>
            </w:pPr>
          </w:p>
        </w:tc>
        <w:tc>
          <w:tcPr>
            <w:tcW w:w="3608" w:type="dxa"/>
            <w:vAlign w:val="bottom"/>
          </w:tcPr>
          <w:p w14:paraId="017CE187">
            <w:pPr>
              <w:widowControl/>
              <w:snapToGrid w:val="0"/>
              <w:jc w:val="center"/>
              <w:rPr>
                <w:rFonts w:ascii="宋体" w:hAnsi="宋体" w:cs="宋体"/>
                <w:bCs/>
                <w:color w:val="auto"/>
                <w:kern w:val="0"/>
                <w:szCs w:val="21"/>
                <w:highlight w:val="none"/>
              </w:rPr>
            </w:pPr>
          </w:p>
        </w:tc>
        <w:tc>
          <w:tcPr>
            <w:tcW w:w="1966" w:type="dxa"/>
            <w:vAlign w:val="bottom"/>
          </w:tcPr>
          <w:p w14:paraId="4ED2DC42">
            <w:pPr>
              <w:widowControl/>
              <w:snapToGrid w:val="0"/>
              <w:jc w:val="center"/>
              <w:rPr>
                <w:rFonts w:ascii="宋体" w:hAnsi="宋体" w:cs="宋体"/>
                <w:bCs/>
                <w:color w:val="auto"/>
                <w:kern w:val="0"/>
                <w:szCs w:val="21"/>
                <w:highlight w:val="none"/>
              </w:rPr>
            </w:pPr>
          </w:p>
        </w:tc>
      </w:tr>
      <w:tr w14:paraId="1E1C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7C279B12">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3264" w:type="dxa"/>
            <w:vAlign w:val="bottom"/>
          </w:tcPr>
          <w:p w14:paraId="1AF095DE">
            <w:pPr>
              <w:widowControl/>
              <w:snapToGrid w:val="0"/>
              <w:jc w:val="center"/>
              <w:rPr>
                <w:rFonts w:ascii="宋体" w:hAnsi="宋体" w:cs="宋体"/>
                <w:bCs/>
                <w:color w:val="auto"/>
                <w:kern w:val="0"/>
                <w:szCs w:val="21"/>
                <w:highlight w:val="none"/>
              </w:rPr>
            </w:pPr>
          </w:p>
        </w:tc>
        <w:tc>
          <w:tcPr>
            <w:tcW w:w="3608" w:type="dxa"/>
            <w:vAlign w:val="bottom"/>
          </w:tcPr>
          <w:p w14:paraId="3E7596FA">
            <w:pPr>
              <w:widowControl/>
              <w:snapToGrid w:val="0"/>
              <w:jc w:val="center"/>
              <w:rPr>
                <w:rFonts w:ascii="宋体" w:hAnsi="宋体" w:cs="宋体"/>
                <w:bCs/>
                <w:color w:val="auto"/>
                <w:kern w:val="0"/>
                <w:szCs w:val="21"/>
                <w:highlight w:val="none"/>
              </w:rPr>
            </w:pPr>
          </w:p>
        </w:tc>
        <w:tc>
          <w:tcPr>
            <w:tcW w:w="1966" w:type="dxa"/>
            <w:vAlign w:val="bottom"/>
          </w:tcPr>
          <w:p w14:paraId="6D000035">
            <w:pPr>
              <w:widowControl/>
              <w:snapToGrid w:val="0"/>
              <w:jc w:val="center"/>
              <w:rPr>
                <w:rFonts w:ascii="宋体" w:hAnsi="宋体" w:cs="宋体"/>
                <w:bCs/>
                <w:color w:val="auto"/>
                <w:kern w:val="0"/>
                <w:szCs w:val="21"/>
                <w:highlight w:val="none"/>
              </w:rPr>
            </w:pPr>
          </w:p>
        </w:tc>
      </w:tr>
      <w:tr w14:paraId="4734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6E2C43CE">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3264" w:type="dxa"/>
            <w:vAlign w:val="bottom"/>
          </w:tcPr>
          <w:p w14:paraId="655846BF">
            <w:pPr>
              <w:widowControl/>
              <w:snapToGrid w:val="0"/>
              <w:jc w:val="center"/>
              <w:rPr>
                <w:rFonts w:ascii="宋体" w:hAnsi="宋体" w:cs="宋体"/>
                <w:bCs/>
                <w:color w:val="auto"/>
                <w:kern w:val="0"/>
                <w:szCs w:val="21"/>
                <w:highlight w:val="none"/>
              </w:rPr>
            </w:pPr>
          </w:p>
        </w:tc>
        <w:tc>
          <w:tcPr>
            <w:tcW w:w="3608" w:type="dxa"/>
            <w:vAlign w:val="bottom"/>
          </w:tcPr>
          <w:p w14:paraId="1E2E668F">
            <w:pPr>
              <w:widowControl/>
              <w:snapToGrid w:val="0"/>
              <w:jc w:val="center"/>
              <w:rPr>
                <w:rFonts w:ascii="宋体" w:hAnsi="宋体" w:cs="宋体"/>
                <w:bCs/>
                <w:color w:val="auto"/>
                <w:kern w:val="0"/>
                <w:szCs w:val="21"/>
                <w:highlight w:val="none"/>
              </w:rPr>
            </w:pPr>
          </w:p>
        </w:tc>
        <w:tc>
          <w:tcPr>
            <w:tcW w:w="1966" w:type="dxa"/>
            <w:vAlign w:val="bottom"/>
          </w:tcPr>
          <w:p w14:paraId="71C65943">
            <w:pPr>
              <w:widowControl/>
              <w:snapToGrid w:val="0"/>
              <w:jc w:val="center"/>
              <w:rPr>
                <w:rFonts w:ascii="宋体" w:hAnsi="宋体" w:cs="宋体"/>
                <w:bCs/>
                <w:color w:val="auto"/>
                <w:kern w:val="0"/>
                <w:szCs w:val="21"/>
                <w:highlight w:val="none"/>
              </w:rPr>
            </w:pPr>
          </w:p>
        </w:tc>
      </w:tr>
      <w:tr w14:paraId="5FFF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20DD8255">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3264" w:type="dxa"/>
            <w:vAlign w:val="bottom"/>
          </w:tcPr>
          <w:p w14:paraId="17BCF887">
            <w:pPr>
              <w:widowControl/>
              <w:snapToGrid w:val="0"/>
              <w:jc w:val="center"/>
              <w:rPr>
                <w:rFonts w:ascii="宋体" w:hAnsi="宋体" w:cs="宋体"/>
                <w:bCs/>
                <w:color w:val="auto"/>
                <w:kern w:val="0"/>
                <w:szCs w:val="21"/>
                <w:highlight w:val="none"/>
              </w:rPr>
            </w:pPr>
          </w:p>
        </w:tc>
        <w:tc>
          <w:tcPr>
            <w:tcW w:w="3608" w:type="dxa"/>
            <w:vAlign w:val="bottom"/>
          </w:tcPr>
          <w:p w14:paraId="6E65FC28">
            <w:pPr>
              <w:widowControl/>
              <w:snapToGrid w:val="0"/>
              <w:jc w:val="center"/>
              <w:rPr>
                <w:rFonts w:ascii="宋体" w:hAnsi="宋体" w:cs="宋体"/>
                <w:bCs/>
                <w:color w:val="auto"/>
                <w:kern w:val="0"/>
                <w:szCs w:val="21"/>
                <w:highlight w:val="none"/>
              </w:rPr>
            </w:pPr>
          </w:p>
        </w:tc>
        <w:tc>
          <w:tcPr>
            <w:tcW w:w="1966" w:type="dxa"/>
            <w:vAlign w:val="bottom"/>
          </w:tcPr>
          <w:p w14:paraId="242725E8">
            <w:pPr>
              <w:widowControl/>
              <w:snapToGrid w:val="0"/>
              <w:jc w:val="center"/>
              <w:rPr>
                <w:rFonts w:ascii="宋体" w:hAnsi="宋体" w:cs="宋体"/>
                <w:bCs/>
                <w:color w:val="auto"/>
                <w:kern w:val="0"/>
                <w:szCs w:val="21"/>
                <w:highlight w:val="none"/>
              </w:rPr>
            </w:pPr>
          </w:p>
        </w:tc>
      </w:tr>
      <w:tr w14:paraId="3516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6A64C580">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3264" w:type="dxa"/>
            <w:vAlign w:val="bottom"/>
          </w:tcPr>
          <w:p w14:paraId="183CCA70">
            <w:pPr>
              <w:widowControl/>
              <w:snapToGrid w:val="0"/>
              <w:jc w:val="center"/>
              <w:rPr>
                <w:rFonts w:ascii="宋体" w:hAnsi="宋体" w:cs="宋体"/>
                <w:bCs/>
                <w:color w:val="auto"/>
                <w:kern w:val="0"/>
                <w:szCs w:val="21"/>
                <w:highlight w:val="none"/>
              </w:rPr>
            </w:pPr>
          </w:p>
        </w:tc>
        <w:tc>
          <w:tcPr>
            <w:tcW w:w="3608" w:type="dxa"/>
            <w:vAlign w:val="bottom"/>
          </w:tcPr>
          <w:p w14:paraId="364F586D">
            <w:pPr>
              <w:widowControl/>
              <w:snapToGrid w:val="0"/>
              <w:jc w:val="center"/>
              <w:rPr>
                <w:rFonts w:ascii="宋体" w:hAnsi="宋体" w:cs="宋体"/>
                <w:bCs/>
                <w:color w:val="auto"/>
                <w:kern w:val="0"/>
                <w:szCs w:val="21"/>
                <w:highlight w:val="none"/>
              </w:rPr>
            </w:pPr>
          </w:p>
        </w:tc>
        <w:tc>
          <w:tcPr>
            <w:tcW w:w="1966" w:type="dxa"/>
            <w:vAlign w:val="bottom"/>
          </w:tcPr>
          <w:p w14:paraId="2F88B039">
            <w:pPr>
              <w:widowControl/>
              <w:snapToGrid w:val="0"/>
              <w:jc w:val="center"/>
              <w:rPr>
                <w:rFonts w:ascii="宋体" w:hAnsi="宋体" w:cs="宋体"/>
                <w:bCs/>
                <w:color w:val="auto"/>
                <w:kern w:val="0"/>
                <w:szCs w:val="21"/>
                <w:highlight w:val="none"/>
              </w:rPr>
            </w:pPr>
          </w:p>
        </w:tc>
      </w:tr>
      <w:tr w14:paraId="3203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32862E0A">
            <w:pPr>
              <w:widowControl/>
              <w:snapToGrid w:val="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w:t>
            </w:r>
          </w:p>
        </w:tc>
        <w:tc>
          <w:tcPr>
            <w:tcW w:w="3264" w:type="dxa"/>
            <w:vAlign w:val="bottom"/>
          </w:tcPr>
          <w:p w14:paraId="3EDEC508">
            <w:pPr>
              <w:widowControl/>
              <w:snapToGrid w:val="0"/>
              <w:jc w:val="center"/>
              <w:rPr>
                <w:rFonts w:ascii="宋体" w:hAnsi="宋体" w:cs="宋体"/>
                <w:bCs/>
                <w:color w:val="auto"/>
                <w:kern w:val="0"/>
                <w:szCs w:val="21"/>
                <w:highlight w:val="none"/>
              </w:rPr>
            </w:pPr>
          </w:p>
        </w:tc>
        <w:tc>
          <w:tcPr>
            <w:tcW w:w="3608" w:type="dxa"/>
            <w:vAlign w:val="bottom"/>
          </w:tcPr>
          <w:p w14:paraId="3F69D808">
            <w:pPr>
              <w:widowControl/>
              <w:snapToGrid w:val="0"/>
              <w:jc w:val="center"/>
              <w:rPr>
                <w:rFonts w:ascii="宋体" w:hAnsi="宋体" w:cs="宋体"/>
                <w:bCs/>
                <w:color w:val="auto"/>
                <w:kern w:val="0"/>
                <w:szCs w:val="21"/>
                <w:highlight w:val="none"/>
              </w:rPr>
            </w:pPr>
          </w:p>
        </w:tc>
        <w:tc>
          <w:tcPr>
            <w:tcW w:w="1966" w:type="dxa"/>
            <w:vAlign w:val="bottom"/>
          </w:tcPr>
          <w:p w14:paraId="5075C3D2">
            <w:pPr>
              <w:widowControl/>
              <w:snapToGrid w:val="0"/>
              <w:jc w:val="center"/>
              <w:rPr>
                <w:rFonts w:ascii="宋体" w:hAnsi="宋体" w:cs="宋体"/>
                <w:bCs/>
                <w:color w:val="auto"/>
                <w:kern w:val="0"/>
                <w:szCs w:val="21"/>
                <w:highlight w:val="none"/>
              </w:rPr>
            </w:pPr>
          </w:p>
        </w:tc>
      </w:tr>
    </w:tbl>
    <w:p w14:paraId="271DF4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投标人保证：除商务和技术偏差表列出的偏差外，投标人响应磋商文件的全部要求。</w:t>
      </w:r>
    </w:p>
    <w:p w14:paraId="3C314D14">
      <w:pPr>
        <w:pStyle w:val="88"/>
        <w:spacing w:line="360" w:lineRule="auto"/>
        <w:ind w:right="480"/>
        <w:rPr>
          <w:rFonts w:ascii="宋体" w:hAnsi="宋体" w:cs="宋体"/>
          <w:color w:val="auto"/>
          <w:sz w:val="24"/>
          <w:highlight w:val="none"/>
        </w:rPr>
      </w:pPr>
    </w:p>
    <w:p w14:paraId="71D09A5B">
      <w:pPr>
        <w:pStyle w:val="88"/>
        <w:spacing w:line="360" w:lineRule="auto"/>
        <w:ind w:right="480"/>
        <w:rPr>
          <w:rFonts w:ascii="宋体" w:hAnsi="宋体" w:cs="宋体"/>
          <w:color w:val="auto"/>
          <w:sz w:val="24"/>
          <w:highlight w:val="none"/>
        </w:rPr>
      </w:pPr>
    </w:p>
    <w:p w14:paraId="5EFC3D0B">
      <w:pPr>
        <w:spacing w:before="120" w:beforeLines="50" w:after="120" w:afterLines="50" w:line="300" w:lineRule="auto"/>
        <w:ind w:firstLine="360" w:firstLineChars="150"/>
        <w:jc w:val="center"/>
        <w:rPr>
          <w:rFonts w:ascii="宋体" w:hAnsi="宋体" w:cs="宋体"/>
          <w:color w:val="auto"/>
          <w:sz w:val="24"/>
          <w:highlight w:val="none"/>
          <w:u w:val="single"/>
        </w:rPr>
      </w:pPr>
      <w:r>
        <w:rPr>
          <w:rFonts w:hint="eastAsia" w:ascii="宋体" w:hAnsi="宋体" w:cs="宋体"/>
          <w:color w:val="auto"/>
          <w:sz w:val="24"/>
          <w:highlight w:val="none"/>
        </w:rPr>
        <w:t>企业名称（公章）：</w:t>
      </w:r>
      <w:r>
        <w:rPr>
          <w:rFonts w:hint="eastAsia" w:ascii="宋体" w:hAnsi="宋体" w:cs="宋体"/>
          <w:color w:val="auto"/>
          <w:sz w:val="24"/>
          <w:highlight w:val="none"/>
          <w:u w:val="single"/>
        </w:rPr>
        <w:t xml:space="preserve">                       </w:t>
      </w:r>
    </w:p>
    <w:p w14:paraId="75A9B16B">
      <w:pPr>
        <w:spacing w:before="120" w:beforeLines="50" w:after="120" w:afterLines="50" w:line="300" w:lineRule="auto"/>
        <w:ind w:firstLine="360" w:firstLineChars="150"/>
        <w:jc w:val="center"/>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BCFD2FE">
      <w:pPr>
        <w:pStyle w:val="88"/>
        <w:spacing w:line="360" w:lineRule="auto"/>
        <w:ind w:right="480"/>
        <w:rPr>
          <w:rFonts w:ascii="宋体" w:hAnsi="宋体" w:cs="宋体"/>
          <w:color w:val="auto"/>
          <w:sz w:val="24"/>
          <w:highlight w:val="none"/>
        </w:rPr>
      </w:pPr>
    </w:p>
    <w:p w14:paraId="4C84776A">
      <w:pPr>
        <w:pStyle w:val="88"/>
        <w:spacing w:line="360" w:lineRule="auto"/>
        <w:ind w:right="480"/>
        <w:rPr>
          <w:rFonts w:ascii="宋体" w:hAnsi="宋体" w:cs="宋体"/>
          <w:color w:val="auto"/>
          <w:sz w:val="24"/>
          <w:highlight w:val="none"/>
        </w:rPr>
      </w:pPr>
    </w:p>
    <w:p w14:paraId="64E9183F">
      <w:pPr>
        <w:pStyle w:val="88"/>
        <w:spacing w:line="360" w:lineRule="auto"/>
        <w:ind w:right="480"/>
        <w:rPr>
          <w:rFonts w:ascii="宋体" w:hAnsi="宋体" w:cs="宋体"/>
          <w:color w:val="auto"/>
          <w:sz w:val="24"/>
          <w:highlight w:val="none"/>
        </w:rPr>
      </w:pPr>
    </w:p>
    <w:p w14:paraId="4BC44F8E">
      <w:pPr>
        <w:pStyle w:val="88"/>
        <w:spacing w:line="360" w:lineRule="auto"/>
        <w:ind w:right="480"/>
        <w:rPr>
          <w:rFonts w:ascii="宋体" w:hAnsi="宋体" w:cs="宋体"/>
          <w:color w:val="auto"/>
          <w:sz w:val="24"/>
          <w:highlight w:val="none"/>
        </w:rPr>
      </w:pPr>
    </w:p>
    <w:p w14:paraId="704A3D39">
      <w:pPr>
        <w:pStyle w:val="88"/>
        <w:spacing w:line="360" w:lineRule="auto"/>
        <w:ind w:right="480"/>
        <w:rPr>
          <w:rFonts w:ascii="宋体" w:hAnsi="宋体" w:cs="宋体"/>
          <w:color w:val="auto"/>
          <w:sz w:val="24"/>
          <w:highlight w:val="none"/>
        </w:rPr>
      </w:pPr>
    </w:p>
    <w:p w14:paraId="7B15FF2F">
      <w:pPr>
        <w:pStyle w:val="88"/>
        <w:spacing w:line="360" w:lineRule="auto"/>
        <w:ind w:right="480"/>
        <w:rPr>
          <w:rFonts w:ascii="宋体" w:hAnsi="宋体" w:cs="宋体"/>
          <w:color w:val="auto"/>
          <w:sz w:val="24"/>
          <w:highlight w:val="none"/>
        </w:rPr>
      </w:pPr>
    </w:p>
    <w:p w14:paraId="2AA50D63">
      <w:pPr>
        <w:pStyle w:val="88"/>
        <w:spacing w:line="360" w:lineRule="auto"/>
        <w:ind w:right="480"/>
        <w:rPr>
          <w:rFonts w:ascii="宋体" w:hAnsi="宋体" w:cs="宋体"/>
          <w:color w:val="auto"/>
          <w:sz w:val="24"/>
          <w:highlight w:val="none"/>
        </w:rPr>
      </w:pPr>
    </w:p>
    <w:p w14:paraId="5D7C749D">
      <w:pPr>
        <w:pStyle w:val="88"/>
        <w:spacing w:line="360" w:lineRule="auto"/>
        <w:ind w:right="480"/>
        <w:rPr>
          <w:rFonts w:ascii="宋体" w:hAnsi="宋体" w:cs="宋体"/>
          <w:color w:val="auto"/>
          <w:sz w:val="24"/>
          <w:highlight w:val="none"/>
        </w:rPr>
      </w:pPr>
    </w:p>
    <w:p w14:paraId="18523AC7">
      <w:pPr>
        <w:pStyle w:val="88"/>
        <w:spacing w:line="360" w:lineRule="auto"/>
        <w:ind w:right="480"/>
        <w:rPr>
          <w:rFonts w:ascii="宋体" w:hAnsi="宋体" w:cs="宋体"/>
          <w:color w:val="auto"/>
          <w:sz w:val="24"/>
          <w:highlight w:val="none"/>
        </w:rPr>
      </w:pPr>
    </w:p>
    <w:p w14:paraId="74A3DB71">
      <w:pPr>
        <w:pStyle w:val="88"/>
        <w:spacing w:line="360" w:lineRule="auto"/>
        <w:ind w:right="480"/>
        <w:rPr>
          <w:rFonts w:ascii="宋体" w:hAnsi="宋体" w:cs="宋体"/>
          <w:color w:val="auto"/>
          <w:sz w:val="24"/>
          <w:highlight w:val="none"/>
        </w:rPr>
      </w:pPr>
    </w:p>
    <w:p w14:paraId="58FA1CD5">
      <w:pPr>
        <w:pStyle w:val="88"/>
        <w:spacing w:line="360" w:lineRule="auto"/>
        <w:ind w:right="480"/>
        <w:rPr>
          <w:rFonts w:ascii="宋体" w:hAnsi="宋体" w:cs="宋体"/>
          <w:color w:val="auto"/>
          <w:sz w:val="24"/>
          <w:highlight w:val="none"/>
        </w:rPr>
      </w:pPr>
    </w:p>
    <w:p w14:paraId="18489639">
      <w:pPr>
        <w:pStyle w:val="88"/>
        <w:spacing w:line="360" w:lineRule="auto"/>
        <w:ind w:right="480"/>
        <w:rPr>
          <w:rFonts w:ascii="宋体" w:hAnsi="宋体" w:cs="宋体"/>
          <w:color w:val="auto"/>
          <w:sz w:val="24"/>
          <w:highlight w:val="none"/>
        </w:rPr>
      </w:pPr>
    </w:p>
    <w:p w14:paraId="1197BBDE">
      <w:pPr>
        <w:pStyle w:val="88"/>
        <w:spacing w:line="360" w:lineRule="auto"/>
        <w:ind w:right="480"/>
        <w:rPr>
          <w:rFonts w:ascii="宋体" w:hAnsi="宋体" w:cs="宋体"/>
          <w:color w:val="auto"/>
          <w:sz w:val="24"/>
          <w:highlight w:val="none"/>
        </w:rPr>
      </w:pPr>
    </w:p>
    <w:p w14:paraId="62019C27">
      <w:pPr>
        <w:pStyle w:val="88"/>
        <w:spacing w:line="360" w:lineRule="auto"/>
        <w:ind w:right="480"/>
        <w:rPr>
          <w:rFonts w:ascii="宋体" w:hAnsi="宋体" w:cs="宋体"/>
          <w:color w:val="auto"/>
          <w:sz w:val="24"/>
          <w:highlight w:val="none"/>
        </w:rPr>
      </w:pPr>
    </w:p>
    <w:p w14:paraId="23B174D7">
      <w:pPr>
        <w:pStyle w:val="88"/>
        <w:spacing w:line="360" w:lineRule="auto"/>
        <w:ind w:right="480"/>
        <w:rPr>
          <w:rFonts w:ascii="宋体" w:hAnsi="宋体" w:cs="宋体"/>
          <w:color w:val="auto"/>
          <w:sz w:val="24"/>
          <w:highlight w:val="none"/>
        </w:rPr>
      </w:pPr>
    </w:p>
    <w:p w14:paraId="7310CCB1">
      <w:pPr>
        <w:pStyle w:val="88"/>
        <w:spacing w:line="360" w:lineRule="auto"/>
        <w:ind w:right="480"/>
        <w:rPr>
          <w:rFonts w:ascii="宋体" w:hAnsi="宋体" w:cs="宋体"/>
          <w:color w:val="auto"/>
          <w:sz w:val="24"/>
          <w:highlight w:val="none"/>
        </w:rPr>
      </w:pPr>
    </w:p>
    <w:p w14:paraId="219E355D">
      <w:pPr>
        <w:pStyle w:val="88"/>
        <w:spacing w:line="360" w:lineRule="auto"/>
        <w:ind w:right="480"/>
        <w:rPr>
          <w:rFonts w:ascii="宋体" w:hAnsi="宋体" w:cs="宋体"/>
          <w:color w:val="auto"/>
          <w:sz w:val="24"/>
          <w:highlight w:val="none"/>
        </w:rPr>
      </w:pPr>
    </w:p>
    <w:p w14:paraId="7E18A245">
      <w:pPr>
        <w:rPr>
          <w:rFonts w:ascii="宋体" w:hAnsi="宋体" w:cs="宋体"/>
          <w:color w:val="auto"/>
          <w:sz w:val="24"/>
          <w:highlight w:val="none"/>
        </w:rPr>
      </w:pPr>
    </w:p>
    <w:p w14:paraId="445D185C">
      <w:pPr>
        <w:pStyle w:val="89"/>
        <w:outlineLvl w:val="0"/>
        <w:rPr>
          <w:rFonts w:ascii="宋体" w:hAnsi="宋体" w:eastAsia="宋体" w:cs="宋体"/>
          <w:b w:val="0"/>
          <w:bCs/>
          <w:color w:val="auto"/>
          <w:highlight w:val="none"/>
        </w:rPr>
      </w:pPr>
      <w:bookmarkStart w:id="140" w:name="_Toc18115"/>
      <w:bookmarkStart w:id="141" w:name="_Toc10702"/>
      <w:r>
        <w:rPr>
          <w:rFonts w:hint="eastAsia" w:ascii="宋体" w:hAnsi="宋体" w:eastAsia="宋体" w:cs="宋体"/>
          <w:b w:val="0"/>
          <w:bCs/>
          <w:color w:val="auto"/>
          <w:highlight w:val="none"/>
        </w:rPr>
        <w:t>附件八：企业声明函</w:t>
      </w:r>
      <w:bookmarkEnd w:id="140"/>
      <w:r>
        <w:rPr>
          <w:rFonts w:hint="eastAsia" w:ascii="宋体" w:hAnsi="宋体" w:eastAsia="宋体" w:cs="宋体"/>
          <w:b w:val="0"/>
          <w:bCs/>
          <w:color w:val="auto"/>
          <w:highlight w:val="none"/>
        </w:rPr>
        <w:t>（若有）</w:t>
      </w:r>
      <w:bookmarkEnd w:id="141"/>
    </w:p>
    <w:p w14:paraId="1227D63B">
      <w:pPr>
        <w:spacing w:before="264" w:line="219" w:lineRule="auto"/>
        <w:jc w:val="center"/>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eastAsia="zh-CN"/>
        </w:rPr>
        <w:t>本项目属于其他未列明行业</w:t>
      </w:r>
      <w:bookmarkStart w:id="160" w:name="_GoBack"/>
      <w:bookmarkEnd w:id="160"/>
    </w:p>
    <w:p w14:paraId="7C63BBFD">
      <w:pPr>
        <w:spacing w:before="264" w:line="219" w:lineRule="auto"/>
        <w:ind w:left="2958"/>
        <w:rPr>
          <w:rFonts w:hint="eastAsia" w:ascii="宋体" w:hAnsi="宋体" w:eastAsia="宋体" w:cs="宋体"/>
          <w:color w:val="auto"/>
          <w:sz w:val="24"/>
          <w:szCs w:val="24"/>
          <w:highlight w:val="none"/>
          <w:lang w:eastAsia="zh-CN"/>
        </w:rPr>
      </w:pPr>
      <w:r>
        <w:rPr>
          <w:rFonts w:ascii="宋体" w:hAnsi="宋体" w:eastAsia="宋体" w:cs="宋体"/>
          <w:b/>
          <w:bCs/>
          <w:color w:val="auto"/>
          <w:spacing w:val="-5"/>
          <w:sz w:val="24"/>
          <w:szCs w:val="24"/>
          <w:highlight w:val="none"/>
        </w:rPr>
        <w:t>中小企业声明函</w:t>
      </w:r>
      <w:r>
        <w:rPr>
          <w:rFonts w:hint="eastAsia" w:ascii="宋体" w:hAnsi="宋体" w:cs="宋体"/>
          <w:b/>
          <w:bCs/>
          <w:color w:val="auto"/>
          <w:spacing w:val="-5"/>
          <w:sz w:val="24"/>
          <w:szCs w:val="24"/>
          <w:highlight w:val="none"/>
          <w:lang w:eastAsia="zh-CN"/>
        </w:rPr>
        <w:t>（服务）</w:t>
      </w:r>
    </w:p>
    <w:p w14:paraId="1BFE90FE">
      <w:pPr>
        <w:spacing w:before="294" w:line="424" w:lineRule="auto"/>
        <w:ind w:left="21" w:right="117" w:firstLine="46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本公司（联合体）郑重声明，根据《政府采购促进中小企业发展管理办法》</w:t>
      </w:r>
      <w:r>
        <w:rPr>
          <w:rFonts w:hint="eastAsia" w:ascii="宋体" w:hAnsi="宋体" w:eastAsia="宋体" w:cs="宋体"/>
          <w:i w:val="0"/>
          <w:iCs w:val="0"/>
          <w:color w:val="auto"/>
          <w:spacing w:val="7"/>
          <w:sz w:val="24"/>
          <w:szCs w:val="24"/>
          <w:highlight w:val="none"/>
        </w:rPr>
        <w:t xml:space="preserve"> </w:t>
      </w:r>
      <w:r>
        <w:rPr>
          <w:rFonts w:hint="eastAsia" w:ascii="宋体" w:hAnsi="宋体" w:eastAsia="宋体" w:cs="宋体"/>
          <w:i w:val="0"/>
          <w:iCs w:val="0"/>
          <w:color w:val="auto"/>
          <w:spacing w:val="-3"/>
          <w:sz w:val="24"/>
          <w:szCs w:val="24"/>
          <w:highlight w:val="none"/>
        </w:rPr>
        <w:t xml:space="preserve">（财库﹝2020﹞46 号）的规定，本公司参加 </w:t>
      </w:r>
      <w:r>
        <w:rPr>
          <w:rFonts w:hint="eastAsia" w:ascii="宋体" w:hAnsi="宋体" w:eastAsia="宋体" w:cs="宋体"/>
          <w:i w:val="0"/>
          <w:iCs w:val="0"/>
          <w:color w:val="auto"/>
          <w:spacing w:val="7"/>
          <w:sz w:val="25"/>
          <w:szCs w:val="25"/>
          <w:highlight w:val="none"/>
          <w:u w:val="single" w:color="auto"/>
        </w:rPr>
        <w:t xml:space="preserve">             </w:t>
      </w:r>
      <w:r>
        <w:rPr>
          <w:rFonts w:hint="eastAsia" w:ascii="宋体" w:hAnsi="宋体" w:eastAsia="宋体" w:cs="宋体"/>
          <w:i w:val="0"/>
          <w:iCs w:val="0"/>
          <w:color w:val="auto"/>
          <w:spacing w:val="-3"/>
          <w:sz w:val="25"/>
          <w:szCs w:val="25"/>
          <w:highlight w:val="none"/>
          <w:u w:val="single" w:color="auto"/>
        </w:rPr>
        <w:t>（单位名称）</w:t>
      </w:r>
      <w:r>
        <w:rPr>
          <w:rFonts w:hint="eastAsia" w:ascii="宋体" w:hAnsi="宋体" w:eastAsia="宋体" w:cs="宋体"/>
          <w:i w:val="0"/>
          <w:iCs w:val="0"/>
          <w:color w:val="auto"/>
          <w:spacing w:val="-3"/>
          <w:sz w:val="24"/>
          <w:szCs w:val="24"/>
          <w:highlight w:val="none"/>
        </w:rPr>
        <w:t>的</w:t>
      </w:r>
    </w:p>
    <w:p w14:paraId="09B0E2D0">
      <w:pPr>
        <w:tabs>
          <w:tab w:val="left" w:pos="125"/>
        </w:tabs>
        <w:spacing w:before="33" w:line="423" w:lineRule="auto"/>
        <w:ind w:left="13" w:right="103" w:hanging="1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5"/>
          <w:szCs w:val="25"/>
          <w:highlight w:val="none"/>
          <w:u w:val="single" w:color="auto"/>
        </w:rPr>
        <w:tab/>
      </w:r>
      <w:r>
        <w:rPr>
          <w:rFonts w:hint="eastAsia" w:ascii="宋体" w:hAnsi="宋体" w:eastAsia="宋体" w:cs="宋体"/>
          <w:i w:val="0"/>
          <w:iCs w:val="0"/>
          <w:color w:val="auto"/>
          <w:sz w:val="25"/>
          <w:szCs w:val="25"/>
          <w:highlight w:val="none"/>
          <w:u w:val="single" w:color="auto"/>
        </w:rPr>
        <w:tab/>
      </w:r>
      <w:r>
        <w:rPr>
          <w:rFonts w:hint="eastAsia" w:ascii="宋体" w:hAnsi="宋体" w:eastAsia="宋体" w:cs="宋体"/>
          <w:i w:val="0"/>
          <w:iCs w:val="0"/>
          <w:color w:val="auto"/>
          <w:spacing w:val="-5"/>
          <w:sz w:val="25"/>
          <w:szCs w:val="25"/>
          <w:highlight w:val="none"/>
          <w:u w:val="single" w:color="auto"/>
        </w:rPr>
        <w:t>（项目名称）</w:t>
      </w:r>
      <w:r>
        <w:rPr>
          <w:rFonts w:hint="eastAsia" w:ascii="宋体" w:hAnsi="宋体" w:eastAsia="宋体" w:cs="宋体"/>
          <w:i w:val="0"/>
          <w:iCs w:val="0"/>
          <w:color w:val="auto"/>
          <w:spacing w:val="-5"/>
          <w:sz w:val="24"/>
          <w:szCs w:val="24"/>
          <w:highlight w:val="none"/>
        </w:rPr>
        <w:t>采购活动，服务全部由符合政策要求的中</w:t>
      </w:r>
      <w:r>
        <w:rPr>
          <w:rFonts w:hint="eastAsia" w:ascii="宋体" w:hAnsi="宋体" w:eastAsia="宋体" w:cs="宋体"/>
          <w:i w:val="0"/>
          <w:iCs w:val="0"/>
          <w:color w:val="auto"/>
          <w:spacing w:val="-6"/>
          <w:sz w:val="24"/>
          <w:szCs w:val="24"/>
          <w:highlight w:val="none"/>
        </w:rPr>
        <w:t>小企业承接。相关企业的</w:t>
      </w:r>
      <w:r>
        <w:rPr>
          <w:rFonts w:hint="eastAsia" w:ascii="宋体" w:hAnsi="宋体" w:eastAsia="宋体" w:cs="宋体"/>
          <w:i w:val="0"/>
          <w:iCs w:val="0"/>
          <w:color w:val="auto"/>
          <w:spacing w:val="-3"/>
          <w:sz w:val="24"/>
          <w:szCs w:val="24"/>
          <w:highlight w:val="none"/>
        </w:rPr>
        <w:t>具体情况如下：</w:t>
      </w:r>
    </w:p>
    <w:p w14:paraId="50F5988E">
      <w:pPr>
        <w:spacing w:before="34" w:line="422" w:lineRule="auto"/>
        <w:ind w:left="3" w:right="157" w:firstLine="504"/>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 xml:space="preserve">1. </w:t>
      </w:r>
      <w:r>
        <w:rPr>
          <w:rFonts w:hint="eastAsia" w:ascii="宋体" w:hAnsi="宋体" w:eastAsia="宋体" w:cs="宋体"/>
          <w:i w:val="0"/>
          <w:iCs w:val="0"/>
          <w:color w:val="auto"/>
          <w:spacing w:val="5"/>
          <w:sz w:val="25"/>
          <w:szCs w:val="25"/>
          <w:highlight w:val="none"/>
          <w:u w:val="single" w:color="auto"/>
        </w:rPr>
        <w:t xml:space="preserve">              </w:t>
      </w:r>
      <w:r>
        <w:rPr>
          <w:rFonts w:hint="eastAsia" w:ascii="宋体" w:hAnsi="宋体" w:eastAsia="宋体" w:cs="宋体"/>
          <w:i w:val="0"/>
          <w:iCs w:val="0"/>
          <w:color w:val="auto"/>
          <w:spacing w:val="-3"/>
          <w:sz w:val="25"/>
          <w:szCs w:val="25"/>
          <w:highlight w:val="none"/>
          <w:u w:val="single" w:color="auto"/>
        </w:rPr>
        <w:t>（标的名称</w:t>
      </w:r>
      <w:r>
        <w:rPr>
          <w:rFonts w:hint="eastAsia" w:ascii="宋体" w:hAnsi="宋体" w:eastAsia="宋体" w:cs="宋体"/>
          <w:i w:val="0"/>
          <w:iCs w:val="0"/>
          <w:color w:val="auto"/>
          <w:spacing w:val="-38"/>
          <w:sz w:val="25"/>
          <w:szCs w:val="25"/>
          <w:highlight w:val="none"/>
          <w:u w:val="single" w:color="auto"/>
        </w:rPr>
        <w:t>）</w:t>
      </w:r>
      <w:r>
        <w:rPr>
          <w:rFonts w:hint="eastAsia" w:ascii="宋体" w:hAnsi="宋体" w:eastAsia="宋体" w:cs="宋体"/>
          <w:i w:val="0"/>
          <w:iCs w:val="0"/>
          <w:color w:val="auto"/>
          <w:spacing w:val="-76"/>
          <w:sz w:val="25"/>
          <w:szCs w:val="25"/>
          <w:highlight w:val="none"/>
          <w:u w:val="single" w:color="auto"/>
        </w:rPr>
        <w:t xml:space="preserve"> </w:t>
      </w:r>
      <w:r>
        <w:rPr>
          <w:rFonts w:hint="eastAsia" w:ascii="宋体" w:hAnsi="宋体" w:eastAsia="宋体" w:cs="宋体"/>
          <w:i w:val="0"/>
          <w:iCs w:val="0"/>
          <w:color w:val="auto"/>
          <w:spacing w:val="-95"/>
          <w:sz w:val="25"/>
          <w:szCs w:val="25"/>
          <w:highlight w:val="none"/>
        </w:rPr>
        <w:t xml:space="preserve"> </w:t>
      </w:r>
      <w:r>
        <w:rPr>
          <w:rFonts w:hint="eastAsia" w:ascii="宋体" w:hAnsi="宋体" w:eastAsia="宋体" w:cs="宋体"/>
          <w:i w:val="0"/>
          <w:iCs w:val="0"/>
          <w:color w:val="auto"/>
          <w:spacing w:val="-38"/>
          <w:sz w:val="24"/>
          <w:szCs w:val="24"/>
          <w:highlight w:val="none"/>
        </w:rPr>
        <w:t>，</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99"/>
          <w:sz w:val="24"/>
          <w:szCs w:val="24"/>
          <w:highlight w:val="none"/>
        </w:rPr>
        <w:t xml:space="preserve"> </w:t>
      </w:r>
      <w:r>
        <w:rPr>
          <w:rFonts w:hint="eastAsia" w:ascii="宋体" w:hAnsi="宋体" w:eastAsia="宋体" w:cs="宋体"/>
          <w:i w:val="0"/>
          <w:iCs w:val="0"/>
          <w:color w:val="auto"/>
          <w:spacing w:val="-3"/>
          <w:sz w:val="25"/>
          <w:szCs w:val="25"/>
          <w:highlight w:val="none"/>
        </w:rPr>
        <w:t>（其他未列明行业</w:t>
      </w:r>
      <w:r>
        <w:rPr>
          <w:rFonts w:hint="eastAsia" w:ascii="宋体" w:hAnsi="宋体" w:eastAsia="宋体" w:cs="宋体"/>
          <w:i w:val="0"/>
          <w:iCs w:val="0"/>
          <w:color w:val="auto"/>
          <w:spacing w:val="-38"/>
          <w:sz w:val="25"/>
          <w:szCs w:val="25"/>
          <w:highlight w:val="none"/>
        </w:rPr>
        <w:t>）</w:t>
      </w:r>
      <w:r>
        <w:rPr>
          <w:rFonts w:hint="eastAsia" w:ascii="宋体" w:hAnsi="宋体" w:eastAsia="宋体" w:cs="宋体"/>
          <w:i w:val="0"/>
          <w:iCs w:val="0"/>
          <w:color w:val="auto"/>
          <w:spacing w:val="-38"/>
          <w:sz w:val="24"/>
          <w:szCs w:val="24"/>
          <w:highlight w:val="none"/>
        </w:rPr>
        <w:t>；</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1"/>
          <w:sz w:val="24"/>
          <w:szCs w:val="24"/>
          <w:highlight w:val="none"/>
        </w:rPr>
        <w:t>承接企业为</w:t>
      </w:r>
      <w:r>
        <w:rPr>
          <w:rFonts w:hint="eastAsia"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97"/>
          <w:sz w:val="24"/>
          <w:szCs w:val="24"/>
          <w:highlight w:val="none"/>
        </w:rPr>
        <w:t xml:space="preserve"> </w:t>
      </w:r>
      <w:r>
        <w:rPr>
          <w:rFonts w:hint="eastAsia" w:ascii="宋体" w:hAnsi="宋体" w:eastAsia="宋体" w:cs="宋体"/>
          <w:i w:val="0"/>
          <w:iCs w:val="0"/>
          <w:color w:val="auto"/>
          <w:spacing w:val="-1"/>
          <w:sz w:val="25"/>
          <w:szCs w:val="25"/>
          <w:highlight w:val="none"/>
        </w:rPr>
        <w:t>（企业名称</w:t>
      </w:r>
      <w:r>
        <w:rPr>
          <w:rFonts w:hint="eastAsia" w:ascii="宋体" w:hAnsi="宋体" w:eastAsia="宋体" w:cs="宋体"/>
          <w:i w:val="0"/>
          <w:iCs w:val="0"/>
          <w:color w:val="auto"/>
          <w:spacing w:val="-28"/>
          <w:sz w:val="25"/>
          <w:szCs w:val="25"/>
          <w:highlight w:val="none"/>
        </w:rPr>
        <w:t>）</w:t>
      </w:r>
      <w:r>
        <w:rPr>
          <w:rFonts w:hint="eastAsia" w:ascii="宋体" w:hAnsi="宋体" w:eastAsia="宋体" w:cs="宋体"/>
          <w:i w:val="0"/>
          <w:iCs w:val="0"/>
          <w:color w:val="auto"/>
          <w:spacing w:val="-28"/>
          <w:sz w:val="24"/>
          <w:szCs w:val="24"/>
          <w:highlight w:val="none"/>
        </w:rPr>
        <w:t>，</w:t>
      </w:r>
      <w:r>
        <w:rPr>
          <w:rFonts w:hint="eastAsia" w:ascii="宋体" w:hAnsi="宋体" w:eastAsia="宋体" w:cs="宋体"/>
          <w:i w:val="0"/>
          <w:iCs w:val="0"/>
          <w:color w:val="auto"/>
          <w:spacing w:val="-1"/>
          <w:sz w:val="24"/>
          <w:szCs w:val="24"/>
          <w:highlight w:val="none"/>
        </w:rPr>
        <w:t>从业人员</w:t>
      </w:r>
      <w:r>
        <w:rPr>
          <w:rFonts w:hint="eastAsia"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108"/>
          <w:sz w:val="24"/>
          <w:szCs w:val="24"/>
          <w:highlight w:val="none"/>
        </w:rPr>
        <w:t xml:space="preserve"> </w:t>
      </w:r>
      <w:r>
        <w:rPr>
          <w:rFonts w:hint="eastAsia" w:ascii="宋体" w:hAnsi="宋体" w:eastAsia="宋体" w:cs="宋体"/>
          <w:i w:val="0"/>
          <w:iCs w:val="0"/>
          <w:color w:val="auto"/>
          <w:spacing w:val="-1"/>
          <w:sz w:val="24"/>
          <w:szCs w:val="24"/>
          <w:highlight w:val="none"/>
        </w:rPr>
        <w:t>人，营业收入为</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3"/>
          <w:sz w:val="24"/>
          <w:szCs w:val="24"/>
          <w:highlight w:val="none"/>
        </w:rPr>
        <w:t>万元，资产总额为</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104"/>
          <w:sz w:val="24"/>
          <w:szCs w:val="24"/>
          <w:highlight w:val="none"/>
        </w:rPr>
        <w:t xml:space="preserve"> </w:t>
      </w:r>
      <w:r>
        <w:rPr>
          <w:rFonts w:hint="eastAsia" w:ascii="宋体" w:hAnsi="宋体" w:eastAsia="宋体" w:cs="宋体"/>
          <w:i w:val="0"/>
          <w:iCs w:val="0"/>
          <w:color w:val="auto"/>
          <w:spacing w:val="-3"/>
          <w:sz w:val="24"/>
          <w:szCs w:val="24"/>
          <w:highlight w:val="none"/>
        </w:rPr>
        <w:t>万元</w:t>
      </w:r>
      <w:r>
        <w:rPr>
          <w:rFonts w:hint="eastAsia" w:ascii="宋体" w:hAnsi="宋体" w:eastAsia="宋体" w:cs="宋体"/>
          <w:i w:val="0"/>
          <w:iCs w:val="0"/>
          <w:color w:val="auto"/>
          <w:spacing w:val="-47"/>
          <w:sz w:val="24"/>
          <w:szCs w:val="24"/>
          <w:highlight w:val="none"/>
        </w:rPr>
        <w:t xml:space="preserve"> </w:t>
      </w:r>
      <w:r>
        <w:rPr>
          <w:rFonts w:hint="eastAsia" w:ascii="宋体" w:hAnsi="宋体" w:eastAsia="宋体" w:cs="宋体"/>
          <w:i w:val="0"/>
          <w:iCs w:val="0"/>
          <w:color w:val="auto"/>
          <w:spacing w:val="-3"/>
          <w:position w:val="11"/>
          <w:sz w:val="12"/>
          <w:szCs w:val="12"/>
          <w:highlight w:val="none"/>
        </w:rPr>
        <w:t>1</w:t>
      </w:r>
      <w:r>
        <w:rPr>
          <w:rFonts w:hint="eastAsia" w:ascii="宋体" w:hAnsi="宋体" w:eastAsia="宋体" w:cs="宋体"/>
          <w:i w:val="0"/>
          <w:iCs w:val="0"/>
          <w:color w:val="auto"/>
          <w:spacing w:val="-31"/>
          <w:position w:val="11"/>
          <w:sz w:val="12"/>
          <w:szCs w:val="12"/>
          <w:highlight w:val="none"/>
        </w:rPr>
        <w:t xml:space="preserve"> </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98"/>
          <w:sz w:val="24"/>
          <w:szCs w:val="24"/>
          <w:highlight w:val="none"/>
        </w:rPr>
        <w:t xml:space="preserve"> </w:t>
      </w:r>
      <w:r>
        <w:rPr>
          <w:rFonts w:hint="eastAsia" w:ascii="宋体" w:hAnsi="宋体" w:eastAsia="宋体" w:cs="宋体"/>
          <w:i w:val="0"/>
          <w:iCs w:val="0"/>
          <w:color w:val="auto"/>
          <w:spacing w:val="-4"/>
          <w:sz w:val="25"/>
          <w:szCs w:val="25"/>
          <w:highlight w:val="none"/>
        </w:rPr>
        <w:t>（中型企业、小型企业、微型</w:t>
      </w:r>
      <w:r>
        <w:rPr>
          <w:rFonts w:hint="eastAsia" w:ascii="宋体" w:hAnsi="宋体" w:eastAsia="宋体" w:cs="宋体"/>
          <w:i w:val="0"/>
          <w:iCs w:val="0"/>
          <w:color w:val="auto"/>
          <w:spacing w:val="21"/>
          <w:sz w:val="25"/>
          <w:szCs w:val="25"/>
          <w:highlight w:val="none"/>
        </w:rPr>
        <w:t>企业</w:t>
      </w:r>
      <w:r>
        <w:rPr>
          <w:rFonts w:hint="eastAsia" w:ascii="宋体" w:hAnsi="宋体" w:eastAsia="宋体" w:cs="宋体"/>
          <w:i w:val="0"/>
          <w:iCs w:val="0"/>
          <w:color w:val="auto"/>
          <w:spacing w:val="-23"/>
          <w:sz w:val="25"/>
          <w:szCs w:val="25"/>
          <w:highlight w:val="none"/>
        </w:rPr>
        <w:t>）</w:t>
      </w:r>
      <w:r>
        <w:rPr>
          <w:rFonts w:hint="eastAsia" w:ascii="宋体" w:hAnsi="宋体" w:eastAsia="宋体" w:cs="宋体"/>
          <w:i w:val="0"/>
          <w:iCs w:val="0"/>
          <w:color w:val="auto"/>
          <w:spacing w:val="-23"/>
          <w:sz w:val="24"/>
          <w:szCs w:val="24"/>
          <w:highlight w:val="none"/>
        </w:rPr>
        <w:t>；</w:t>
      </w:r>
    </w:p>
    <w:p w14:paraId="44D52737">
      <w:pPr>
        <w:spacing w:before="30" w:line="422" w:lineRule="auto"/>
        <w:ind w:left="3" w:right="157" w:firstLine="48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2.</w:t>
      </w:r>
      <w:r>
        <w:rPr>
          <w:rFonts w:hint="eastAsia" w:ascii="宋体" w:hAnsi="宋体" w:eastAsia="宋体" w:cs="宋体"/>
          <w:i w:val="0"/>
          <w:iCs w:val="0"/>
          <w:color w:val="auto"/>
          <w:spacing w:val="5"/>
          <w:sz w:val="25"/>
          <w:szCs w:val="25"/>
          <w:highlight w:val="none"/>
          <w:u w:val="single" w:color="auto"/>
        </w:rPr>
        <w:t xml:space="preserve">              </w:t>
      </w:r>
      <w:r>
        <w:rPr>
          <w:rFonts w:hint="eastAsia" w:ascii="宋体" w:hAnsi="宋体" w:eastAsia="宋体" w:cs="宋体"/>
          <w:i w:val="0"/>
          <w:iCs w:val="0"/>
          <w:color w:val="auto"/>
          <w:spacing w:val="-3"/>
          <w:sz w:val="25"/>
          <w:szCs w:val="25"/>
          <w:highlight w:val="none"/>
          <w:u w:val="single" w:color="auto"/>
        </w:rPr>
        <w:t>（标的名称</w:t>
      </w:r>
      <w:r>
        <w:rPr>
          <w:rFonts w:hint="eastAsia" w:ascii="宋体" w:hAnsi="宋体" w:eastAsia="宋体" w:cs="宋体"/>
          <w:i w:val="0"/>
          <w:iCs w:val="0"/>
          <w:color w:val="auto"/>
          <w:spacing w:val="-35"/>
          <w:sz w:val="25"/>
          <w:szCs w:val="25"/>
          <w:highlight w:val="none"/>
          <w:u w:val="single" w:color="auto"/>
        </w:rPr>
        <w:t>）</w:t>
      </w:r>
      <w:r>
        <w:rPr>
          <w:rFonts w:hint="eastAsia" w:ascii="宋体" w:hAnsi="宋体" w:eastAsia="宋体" w:cs="宋体"/>
          <w:i w:val="0"/>
          <w:iCs w:val="0"/>
          <w:color w:val="auto"/>
          <w:spacing w:val="-73"/>
          <w:sz w:val="25"/>
          <w:szCs w:val="25"/>
          <w:highlight w:val="none"/>
          <w:u w:val="single" w:color="auto"/>
        </w:rPr>
        <w:t xml:space="preserve"> </w:t>
      </w:r>
      <w:r>
        <w:rPr>
          <w:rFonts w:hint="eastAsia" w:ascii="宋体" w:hAnsi="宋体" w:eastAsia="宋体" w:cs="宋体"/>
          <w:i w:val="0"/>
          <w:iCs w:val="0"/>
          <w:color w:val="auto"/>
          <w:spacing w:val="-96"/>
          <w:sz w:val="25"/>
          <w:szCs w:val="25"/>
          <w:highlight w:val="none"/>
        </w:rPr>
        <w:t xml:space="preserve"> </w:t>
      </w:r>
      <w:r>
        <w:rPr>
          <w:rFonts w:hint="eastAsia" w:ascii="宋体" w:hAnsi="宋体" w:eastAsia="宋体" w:cs="宋体"/>
          <w:i w:val="0"/>
          <w:iCs w:val="0"/>
          <w:color w:val="auto"/>
          <w:spacing w:val="-35"/>
          <w:sz w:val="24"/>
          <w:szCs w:val="24"/>
          <w:highlight w:val="none"/>
        </w:rPr>
        <w:t>，</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98"/>
          <w:sz w:val="24"/>
          <w:szCs w:val="24"/>
          <w:highlight w:val="none"/>
        </w:rPr>
        <w:t xml:space="preserve"> </w:t>
      </w:r>
      <w:r>
        <w:rPr>
          <w:rFonts w:hint="eastAsia" w:ascii="宋体" w:hAnsi="宋体" w:eastAsia="宋体" w:cs="宋体"/>
          <w:i w:val="0"/>
          <w:iCs w:val="0"/>
          <w:color w:val="auto"/>
          <w:spacing w:val="-3"/>
          <w:sz w:val="25"/>
          <w:szCs w:val="25"/>
          <w:highlight w:val="none"/>
        </w:rPr>
        <w:t>（</w:t>
      </w:r>
      <w:r>
        <w:rPr>
          <w:rFonts w:hint="eastAsia" w:ascii="宋体" w:hAnsi="宋体" w:eastAsia="宋体" w:cs="宋体"/>
          <w:i w:val="0"/>
          <w:iCs w:val="0"/>
          <w:color w:val="auto"/>
          <w:spacing w:val="-3"/>
          <w:sz w:val="25"/>
          <w:szCs w:val="25"/>
          <w:highlight w:val="none"/>
        </w:rPr>
        <w:t>其他未列明行业</w:t>
      </w:r>
      <w:r>
        <w:rPr>
          <w:rFonts w:hint="eastAsia" w:ascii="宋体" w:hAnsi="宋体" w:eastAsia="宋体" w:cs="宋体"/>
          <w:i w:val="0"/>
          <w:iCs w:val="0"/>
          <w:color w:val="auto"/>
          <w:spacing w:val="-35"/>
          <w:sz w:val="25"/>
          <w:szCs w:val="25"/>
          <w:highlight w:val="none"/>
        </w:rPr>
        <w:t>）</w:t>
      </w:r>
      <w:r>
        <w:rPr>
          <w:rFonts w:hint="eastAsia" w:ascii="宋体" w:hAnsi="宋体" w:eastAsia="宋体" w:cs="宋体"/>
          <w:i w:val="0"/>
          <w:iCs w:val="0"/>
          <w:color w:val="auto"/>
          <w:spacing w:val="-35"/>
          <w:sz w:val="24"/>
          <w:szCs w:val="24"/>
          <w:highlight w:val="none"/>
        </w:rPr>
        <w:t>；</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1"/>
          <w:sz w:val="24"/>
          <w:szCs w:val="24"/>
          <w:highlight w:val="none"/>
        </w:rPr>
        <w:t>承接企业为</w:t>
      </w:r>
      <w:r>
        <w:rPr>
          <w:rFonts w:hint="eastAsia"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97"/>
          <w:sz w:val="24"/>
          <w:szCs w:val="24"/>
          <w:highlight w:val="none"/>
        </w:rPr>
        <w:t xml:space="preserve"> </w:t>
      </w:r>
      <w:r>
        <w:rPr>
          <w:rFonts w:hint="eastAsia" w:ascii="宋体" w:hAnsi="宋体" w:eastAsia="宋体" w:cs="宋体"/>
          <w:i w:val="0"/>
          <w:iCs w:val="0"/>
          <w:color w:val="auto"/>
          <w:spacing w:val="-1"/>
          <w:sz w:val="25"/>
          <w:szCs w:val="25"/>
          <w:highlight w:val="none"/>
        </w:rPr>
        <w:t>（企业名称</w:t>
      </w:r>
      <w:r>
        <w:rPr>
          <w:rFonts w:hint="eastAsia" w:ascii="宋体" w:hAnsi="宋体" w:eastAsia="宋体" w:cs="宋体"/>
          <w:i w:val="0"/>
          <w:iCs w:val="0"/>
          <w:color w:val="auto"/>
          <w:spacing w:val="-28"/>
          <w:sz w:val="25"/>
          <w:szCs w:val="25"/>
          <w:highlight w:val="none"/>
        </w:rPr>
        <w:t>）</w:t>
      </w:r>
      <w:r>
        <w:rPr>
          <w:rFonts w:hint="eastAsia" w:ascii="宋体" w:hAnsi="宋体" w:eastAsia="宋体" w:cs="宋体"/>
          <w:i w:val="0"/>
          <w:iCs w:val="0"/>
          <w:color w:val="auto"/>
          <w:spacing w:val="-28"/>
          <w:sz w:val="24"/>
          <w:szCs w:val="24"/>
          <w:highlight w:val="none"/>
        </w:rPr>
        <w:t>，</w:t>
      </w:r>
      <w:r>
        <w:rPr>
          <w:rFonts w:hint="eastAsia" w:ascii="宋体" w:hAnsi="宋体" w:eastAsia="宋体" w:cs="宋体"/>
          <w:i w:val="0"/>
          <w:iCs w:val="0"/>
          <w:color w:val="auto"/>
          <w:spacing w:val="-1"/>
          <w:sz w:val="24"/>
          <w:szCs w:val="24"/>
          <w:highlight w:val="none"/>
        </w:rPr>
        <w:t>从业人员</w:t>
      </w:r>
      <w:r>
        <w:rPr>
          <w:rFonts w:hint="eastAsia"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108"/>
          <w:sz w:val="24"/>
          <w:szCs w:val="24"/>
          <w:highlight w:val="none"/>
        </w:rPr>
        <w:t xml:space="preserve"> </w:t>
      </w:r>
      <w:r>
        <w:rPr>
          <w:rFonts w:hint="eastAsia" w:ascii="宋体" w:hAnsi="宋体" w:eastAsia="宋体" w:cs="宋体"/>
          <w:i w:val="0"/>
          <w:iCs w:val="0"/>
          <w:color w:val="auto"/>
          <w:spacing w:val="-1"/>
          <w:sz w:val="24"/>
          <w:szCs w:val="24"/>
          <w:highlight w:val="none"/>
        </w:rPr>
        <w:t>人，营业收入为</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3"/>
          <w:sz w:val="24"/>
          <w:szCs w:val="24"/>
          <w:highlight w:val="none"/>
        </w:rPr>
        <w:t>万元，资产总额为</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104"/>
          <w:sz w:val="24"/>
          <w:szCs w:val="24"/>
          <w:highlight w:val="none"/>
        </w:rPr>
        <w:t xml:space="preserve"> </w:t>
      </w:r>
      <w:r>
        <w:rPr>
          <w:rFonts w:hint="eastAsia" w:ascii="宋体" w:hAnsi="宋体" w:eastAsia="宋体" w:cs="宋体"/>
          <w:i w:val="0"/>
          <w:iCs w:val="0"/>
          <w:color w:val="auto"/>
          <w:spacing w:val="-3"/>
          <w:sz w:val="24"/>
          <w:szCs w:val="24"/>
          <w:highlight w:val="none"/>
        </w:rPr>
        <w:t>万元</w:t>
      </w:r>
      <w:r>
        <w:rPr>
          <w:rFonts w:hint="eastAsia" w:ascii="宋体" w:hAnsi="宋体" w:eastAsia="宋体" w:cs="宋体"/>
          <w:i w:val="0"/>
          <w:iCs w:val="0"/>
          <w:color w:val="auto"/>
          <w:spacing w:val="-47"/>
          <w:sz w:val="24"/>
          <w:szCs w:val="24"/>
          <w:highlight w:val="none"/>
        </w:rPr>
        <w:t xml:space="preserve"> </w:t>
      </w:r>
      <w:r>
        <w:rPr>
          <w:rFonts w:hint="eastAsia" w:ascii="宋体" w:hAnsi="宋体" w:eastAsia="宋体" w:cs="宋体"/>
          <w:i w:val="0"/>
          <w:iCs w:val="0"/>
          <w:color w:val="auto"/>
          <w:spacing w:val="-3"/>
          <w:position w:val="11"/>
          <w:sz w:val="12"/>
          <w:szCs w:val="12"/>
          <w:highlight w:val="none"/>
        </w:rPr>
        <w:t>1</w:t>
      </w:r>
      <w:r>
        <w:rPr>
          <w:rFonts w:hint="eastAsia" w:ascii="宋体" w:hAnsi="宋体" w:eastAsia="宋体" w:cs="宋体"/>
          <w:i w:val="0"/>
          <w:iCs w:val="0"/>
          <w:color w:val="auto"/>
          <w:spacing w:val="-31"/>
          <w:position w:val="11"/>
          <w:sz w:val="12"/>
          <w:szCs w:val="12"/>
          <w:highlight w:val="none"/>
        </w:rPr>
        <w:t xml:space="preserve"> </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98"/>
          <w:sz w:val="24"/>
          <w:szCs w:val="24"/>
          <w:highlight w:val="none"/>
        </w:rPr>
        <w:t xml:space="preserve"> </w:t>
      </w:r>
      <w:r>
        <w:rPr>
          <w:rFonts w:hint="eastAsia" w:ascii="宋体" w:hAnsi="宋体" w:eastAsia="宋体" w:cs="宋体"/>
          <w:i w:val="0"/>
          <w:iCs w:val="0"/>
          <w:color w:val="auto"/>
          <w:spacing w:val="-4"/>
          <w:sz w:val="25"/>
          <w:szCs w:val="25"/>
          <w:highlight w:val="none"/>
        </w:rPr>
        <w:t>（中型企业、小型企业、微型</w:t>
      </w:r>
      <w:r>
        <w:rPr>
          <w:rFonts w:hint="eastAsia" w:ascii="宋体" w:hAnsi="宋体" w:eastAsia="宋体" w:cs="宋体"/>
          <w:i w:val="0"/>
          <w:iCs w:val="0"/>
          <w:color w:val="auto"/>
          <w:sz w:val="25"/>
          <w:szCs w:val="25"/>
          <w:highlight w:val="none"/>
        </w:rPr>
        <w:t xml:space="preserve"> </w:t>
      </w:r>
      <w:r>
        <w:rPr>
          <w:rFonts w:hint="eastAsia" w:ascii="宋体" w:hAnsi="宋体" w:eastAsia="宋体" w:cs="宋体"/>
          <w:i w:val="0"/>
          <w:iCs w:val="0"/>
          <w:color w:val="auto"/>
          <w:spacing w:val="21"/>
          <w:sz w:val="25"/>
          <w:szCs w:val="25"/>
          <w:highlight w:val="none"/>
        </w:rPr>
        <w:t>企业</w:t>
      </w:r>
      <w:r>
        <w:rPr>
          <w:rFonts w:hint="eastAsia" w:ascii="宋体" w:hAnsi="宋体" w:eastAsia="宋体" w:cs="宋体"/>
          <w:i w:val="0"/>
          <w:iCs w:val="0"/>
          <w:color w:val="auto"/>
          <w:spacing w:val="-23"/>
          <w:sz w:val="25"/>
          <w:szCs w:val="25"/>
          <w:highlight w:val="none"/>
        </w:rPr>
        <w:t>）</w:t>
      </w:r>
      <w:r>
        <w:rPr>
          <w:rFonts w:hint="eastAsia" w:ascii="宋体" w:hAnsi="宋体" w:eastAsia="宋体" w:cs="宋体"/>
          <w:i w:val="0"/>
          <w:iCs w:val="0"/>
          <w:color w:val="auto"/>
          <w:spacing w:val="-23"/>
          <w:sz w:val="24"/>
          <w:szCs w:val="24"/>
          <w:highlight w:val="none"/>
        </w:rPr>
        <w:t>；</w:t>
      </w:r>
    </w:p>
    <w:p w14:paraId="1087B534">
      <w:pPr>
        <w:spacing w:before="32" w:line="378" w:lineRule="exact"/>
        <w:ind w:left="74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3"/>
          <w:position w:val="3"/>
          <w:sz w:val="24"/>
          <w:szCs w:val="24"/>
          <w:highlight w:val="none"/>
        </w:rPr>
        <w:t>……</w:t>
      </w:r>
    </w:p>
    <w:p w14:paraId="76B8B04E">
      <w:pPr>
        <w:spacing w:before="199" w:line="432" w:lineRule="auto"/>
        <w:ind w:left="13" w:right="103" w:firstLine="503"/>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
          <w:sz w:val="24"/>
          <w:szCs w:val="24"/>
          <w:highlight w:val="none"/>
        </w:rPr>
        <w:t>以上企业，不属于大企业的分支机构，不存在控股股东为大企业</w:t>
      </w:r>
      <w:r>
        <w:rPr>
          <w:rFonts w:hint="eastAsia" w:ascii="宋体" w:hAnsi="宋体" w:eastAsia="宋体" w:cs="宋体"/>
          <w:i w:val="0"/>
          <w:iCs w:val="0"/>
          <w:color w:val="auto"/>
          <w:spacing w:val="-2"/>
          <w:sz w:val="24"/>
          <w:szCs w:val="24"/>
          <w:highlight w:val="none"/>
        </w:rPr>
        <w:t>的情形，也</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1"/>
          <w:sz w:val="24"/>
          <w:szCs w:val="24"/>
          <w:highlight w:val="none"/>
        </w:rPr>
        <w:t>不存在与大企业的负责人为同一人的情形。</w:t>
      </w:r>
    </w:p>
    <w:p w14:paraId="5FABB5EB">
      <w:pPr>
        <w:spacing w:before="34" w:line="219" w:lineRule="auto"/>
        <w:ind w:left="490"/>
        <w:rPr>
          <w:rFonts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本企业对上述声明内容的真实性负责。如有虚</w:t>
      </w:r>
      <w:r>
        <w:rPr>
          <w:rFonts w:hint="eastAsia" w:ascii="宋体" w:hAnsi="宋体" w:eastAsia="宋体" w:cs="宋体"/>
          <w:i w:val="0"/>
          <w:iCs w:val="0"/>
          <w:color w:val="auto"/>
          <w:spacing w:val="-1"/>
          <w:sz w:val="24"/>
          <w:szCs w:val="24"/>
          <w:highlight w:val="none"/>
        </w:rPr>
        <w:t>假，将依法承担相应责任。</w:t>
      </w:r>
    </w:p>
    <w:p w14:paraId="2D821CCF">
      <w:pPr>
        <w:spacing w:before="297" w:line="432" w:lineRule="auto"/>
        <w:ind w:left="4781" w:right="1613" w:firstLine="22"/>
        <w:rPr>
          <w:rFonts w:ascii="宋体" w:hAnsi="宋体" w:eastAsia="宋体" w:cs="宋体"/>
          <w:color w:val="auto"/>
          <w:spacing w:val="1"/>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pacing w:val="-31"/>
          <w:sz w:val="24"/>
          <w:szCs w:val="24"/>
          <w:highlight w:val="none"/>
        </w:rPr>
        <w:t>）：</w:t>
      </w:r>
      <w:r>
        <w:rPr>
          <w:rFonts w:ascii="宋体" w:hAnsi="宋体" w:eastAsia="宋体" w:cs="宋体"/>
          <w:color w:val="auto"/>
          <w:spacing w:val="1"/>
          <w:sz w:val="24"/>
          <w:szCs w:val="24"/>
          <w:highlight w:val="none"/>
        </w:rPr>
        <w:t xml:space="preserve"> </w:t>
      </w:r>
    </w:p>
    <w:p w14:paraId="6875CCAF">
      <w:pPr>
        <w:spacing w:before="297" w:line="432" w:lineRule="auto"/>
        <w:ind w:left="4781" w:right="1613" w:firstLine="2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日</w:t>
      </w:r>
      <w:r>
        <w:rPr>
          <w:rFonts w:ascii="宋体" w:hAnsi="宋体" w:eastAsia="宋体" w:cs="宋体"/>
          <w:color w:val="auto"/>
          <w:spacing w:val="12"/>
          <w:sz w:val="24"/>
          <w:szCs w:val="24"/>
          <w:highlight w:val="none"/>
        </w:rPr>
        <w:t xml:space="preserve"> </w:t>
      </w:r>
      <w:r>
        <w:rPr>
          <w:rFonts w:ascii="宋体" w:hAnsi="宋体" w:eastAsia="宋体" w:cs="宋体"/>
          <w:color w:val="auto"/>
          <w:spacing w:val="-21"/>
          <w:sz w:val="24"/>
          <w:szCs w:val="24"/>
          <w:highlight w:val="none"/>
        </w:rPr>
        <w:t>期：</w:t>
      </w:r>
    </w:p>
    <w:p w14:paraId="50251C45">
      <w:pPr>
        <w:spacing w:line="432" w:lineRule="auto"/>
        <w:rPr>
          <w:rFonts w:ascii="宋体" w:hAnsi="宋体" w:eastAsia="宋体" w:cs="宋体"/>
          <w:color w:val="auto"/>
          <w:sz w:val="24"/>
          <w:szCs w:val="24"/>
          <w:highlight w:val="none"/>
        </w:rPr>
        <w:sectPr>
          <w:footerReference r:id="rId6" w:type="default"/>
          <w:pgSz w:w="11906" w:h="16839"/>
          <w:pgMar w:top="1118" w:right="1700" w:bottom="1084" w:left="1701" w:header="1104" w:footer="906" w:gutter="0"/>
          <w:pgNumType w:fmt="decimal"/>
          <w:cols w:space="720" w:num="1"/>
        </w:sectPr>
      </w:pPr>
    </w:p>
    <w:p w14:paraId="44C98738">
      <w:pPr>
        <w:pStyle w:val="89"/>
        <w:outlineLvl w:val="0"/>
        <w:rPr>
          <w:rFonts w:ascii="宋体" w:hAnsi="宋体" w:eastAsia="宋体" w:cs="宋体"/>
          <w:b w:val="0"/>
          <w:bCs/>
          <w:color w:val="auto"/>
          <w:highlight w:val="none"/>
        </w:rPr>
      </w:pPr>
      <w:bookmarkStart w:id="142" w:name="_Toc26894"/>
      <w:bookmarkStart w:id="143" w:name="_Toc17952"/>
      <w:r>
        <w:rPr>
          <w:rFonts w:hint="eastAsia" w:ascii="宋体" w:hAnsi="宋体" w:eastAsia="宋体" w:cs="宋体"/>
          <w:b w:val="0"/>
          <w:bCs/>
          <w:color w:val="auto"/>
          <w:highlight w:val="none"/>
        </w:rPr>
        <w:t>附件九：残疾人福利性单位声明函</w:t>
      </w:r>
      <w:bookmarkEnd w:id="142"/>
      <w:r>
        <w:rPr>
          <w:rFonts w:hint="eastAsia" w:ascii="宋体" w:hAnsi="宋体" w:eastAsia="宋体" w:cs="宋体"/>
          <w:b w:val="0"/>
          <w:bCs/>
          <w:color w:val="auto"/>
          <w:highlight w:val="none"/>
        </w:rPr>
        <w:t>（若有）</w:t>
      </w:r>
      <w:bookmarkEnd w:id="143"/>
    </w:p>
    <w:p w14:paraId="417712F3">
      <w:pPr>
        <w:spacing w:before="120" w:beforeLines="50" w:after="120" w:afterLines="50" w:line="300" w:lineRule="auto"/>
        <w:ind w:firstLine="624" w:firstLineChars="200"/>
        <w:rPr>
          <w:rFonts w:ascii="宋体" w:hAnsi="宋体" w:cs="宋体"/>
          <w:color w:val="auto"/>
          <w:spacing w:val="6"/>
          <w:sz w:val="30"/>
          <w:szCs w:val="30"/>
          <w:highlight w:val="none"/>
        </w:rPr>
      </w:pPr>
    </w:p>
    <w:p w14:paraId="3E8FBE7A">
      <w:pPr>
        <w:spacing w:before="120" w:beforeLines="50" w:after="12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141号）的规定，本单位为符合条件的残疾人福利性单位，且本单位参加______单位的项目编号为______的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7BF50A86">
      <w:pPr>
        <w:spacing w:before="120" w:beforeLines="50" w:after="12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本单位在本次政府采购活动中提供的残疾人福利单位产品报价合计为人民币（大写）圆整（￥：     ）。</w:t>
      </w:r>
    </w:p>
    <w:p w14:paraId="07CD3741">
      <w:pPr>
        <w:spacing w:before="120" w:beforeLines="50" w:after="12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43868DA">
      <w:pPr>
        <w:spacing w:before="120" w:beforeLines="50" w:after="120" w:afterLines="50" w:line="300" w:lineRule="auto"/>
        <w:ind w:firstLine="480" w:firstLineChars="200"/>
        <w:rPr>
          <w:rFonts w:ascii="宋体" w:hAnsi="宋体" w:cs="宋体"/>
          <w:color w:val="auto"/>
          <w:sz w:val="24"/>
          <w:highlight w:val="none"/>
        </w:rPr>
      </w:pPr>
    </w:p>
    <w:p w14:paraId="20D8C869">
      <w:pPr>
        <w:spacing w:before="120" w:beforeLines="50" w:after="12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（备注：1、供应商如不提供此声明函，价格将不做相应扣除。2、中标供应商为残疾人福利单位的，此声明函将随中标结果同时公告，接受社会监督）</w:t>
      </w:r>
    </w:p>
    <w:p w14:paraId="40788885">
      <w:pPr>
        <w:spacing w:before="120" w:beforeLines="50" w:after="120" w:afterLines="50" w:line="300" w:lineRule="auto"/>
        <w:ind w:firstLine="624" w:firstLineChars="200"/>
        <w:rPr>
          <w:rFonts w:ascii="宋体" w:hAnsi="宋体" w:cs="宋体"/>
          <w:color w:val="auto"/>
          <w:spacing w:val="6"/>
          <w:sz w:val="30"/>
          <w:szCs w:val="30"/>
          <w:highlight w:val="none"/>
        </w:rPr>
      </w:pPr>
    </w:p>
    <w:p w14:paraId="29491F65">
      <w:pPr>
        <w:spacing w:before="120" w:beforeLines="50" w:after="120" w:afterLines="50" w:line="300" w:lineRule="auto"/>
        <w:ind w:firstLine="468" w:firstLineChars="150"/>
        <w:jc w:val="center"/>
        <w:rPr>
          <w:rFonts w:ascii="宋体" w:hAnsi="宋体" w:cs="宋体"/>
          <w:color w:val="auto"/>
          <w:sz w:val="24"/>
          <w:highlight w:val="none"/>
        </w:rPr>
      </w:pPr>
      <w:r>
        <w:rPr>
          <w:rFonts w:hint="eastAsia" w:ascii="宋体" w:hAnsi="宋体" w:cs="宋体"/>
          <w:color w:val="auto"/>
          <w:spacing w:val="6"/>
          <w:sz w:val="30"/>
          <w:szCs w:val="30"/>
          <w:highlight w:val="none"/>
        </w:rPr>
        <w:t xml:space="preserve">             </w:t>
      </w:r>
      <w:r>
        <w:rPr>
          <w:rFonts w:hint="eastAsia" w:ascii="宋体" w:hAnsi="宋体" w:cs="宋体"/>
          <w:color w:val="auto"/>
          <w:sz w:val="24"/>
          <w:highlight w:val="none"/>
        </w:rPr>
        <w:t xml:space="preserve">            企业名称（公章）：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1EB9FFF">
      <w:pPr>
        <w:spacing w:before="120" w:beforeLines="50" w:after="120" w:afterLines="50" w:line="300" w:lineRule="auto"/>
        <w:ind w:firstLine="360" w:firstLineChars="150"/>
        <w:jc w:val="center"/>
        <w:rPr>
          <w:rFonts w:ascii="宋体" w:hAnsi="宋体" w:cs="宋体"/>
          <w:color w:val="auto"/>
          <w:sz w:val="24"/>
          <w:highlight w:val="none"/>
        </w:rPr>
      </w:pPr>
      <w:r>
        <w:rPr>
          <w:rFonts w:hint="eastAsia" w:ascii="宋体" w:hAnsi="宋体" w:cs="宋体"/>
          <w:color w:val="auto"/>
          <w:sz w:val="24"/>
          <w:highlight w:val="none"/>
        </w:rPr>
        <w:t xml:space="preserve">                     日  期：</w:t>
      </w:r>
      <w:r>
        <w:rPr>
          <w:rFonts w:hint="eastAsia" w:ascii="宋体" w:hAnsi="宋体" w:cs="宋体"/>
          <w:color w:val="auto"/>
          <w:sz w:val="24"/>
          <w:highlight w:val="none"/>
          <w:u w:val="single"/>
        </w:rPr>
        <w:t xml:space="preserve">                         </w:t>
      </w:r>
    </w:p>
    <w:p w14:paraId="48A7D387">
      <w:pPr>
        <w:widowControl w:val="0"/>
        <w:spacing w:line="360" w:lineRule="auto"/>
        <w:outlineLvl w:val="0"/>
        <w:rPr>
          <w:rFonts w:hint="eastAsia" w:ascii="宋体" w:hAnsi="宋体" w:cs="宋体"/>
          <w:b/>
          <w:color w:val="auto"/>
          <w:spacing w:val="6"/>
          <w:sz w:val="30"/>
          <w:szCs w:val="30"/>
          <w:highlight w:val="none"/>
        </w:rPr>
      </w:pPr>
      <w:bookmarkStart w:id="144" w:name="_Toc7655"/>
      <w:bookmarkStart w:id="145" w:name="_Toc46"/>
      <w:bookmarkStart w:id="146" w:name="_Toc10837"/>
      <w:bookmarkStart w:id="147" w:name="_Toc13079"/>
      <w:bookmarkStart w:id="148" w:name="_Toc20035"/>
    </w:p>
    <w:p w14:paraId="30F608F7">
      <w:pPr>
        <w:widowControl w:val="0"/>
        <w:spacing w:line="360" w:lineRule="auto"/>
        <w:outlineLvl w:val="0"/>
        <w:rPr>
          <w:rFonts w:hint="eastAsia" w:ascii="宋体" w:hAnsi="宋体" w:cs="宋体"/>
          <w:b/>
          <w:color w:val="auto"/>
          <w:spacing w:val="6"/>
          <w:sz w:val="30"/>
          <w:szCs w:val="30"/>
          <w:highlight w:val="none"/>
        </w:rPr>
      </w:pPr>
    </w:p>
    <w:p w14:paraId="09800445">
      <w:pPr>
        <w:widowControl w:val="0"/>
        <w:spacing w:line="360" w:lineRule="auto"/>
        <w:outlineLvl w:val="0"/>
        <w:rPr>
          <w:rFonts w:hint="eastAsia" w:ascii="宋体" w:hAnsi="宋体" w:cs="宋体"/>
          <w:b/>
          <w:color w:val="auto"/>
          <w:spacing w:val="6"/>
          <w:sz w:val="30"/>
          <w:szCs w:val="30"/>
          <w:highlight w:val="none"/>
        </w:rPr>
      </w:pPr>
    </w:p>
    <w:p w14:paraId="3D711E8B">
      <w:pPr>
        <w:widowControl w:val="0"/>
        <w:spacing w:line="360" w:lineRule="auto"/>
        <w:outlineLvl w:val="0"/>
        <w:rPr>
          <w:rFonts w:hint="eastAsia" w:ascii="宋体" w:hAnsi="宋体" w:cs="宋体"/>
          <w:b/>
          <w:color w:val="auto"/>
          <w:spacing w:val="6"/>
          <w:sz w:val="30"/>
          <w:szCs w:val="30"/>
          <w:highlight w:val="none"/>
        </w:rPr>
      </w:pPr>
    </w:p>
    <w:p w14:paraId="626ADE0D">
      <w:pPr>
        <w:widowControl w:val="0"/>
        <w:spacing w:line="360" w:lineRule="auto"/>
        <w:outlineLvl w:val="0"/>
        <w:rPr>
          <w:rFonts w:hint="eastAsia" w:ascii="宋体" w:hAnsi="宋体" w:cs="宋体"/>
          <w:b/>
          <w:color w:val="auto"/>
          <w:spacing w:val="6"/>
          <w:sz w:val="30"/>
          <w:szCs w:val="30"/>
          <w:highlight w:val="none"/>
        </w:rPr>
      </w:pPr>
    </w:p>
    <w:p w14:paraId="35535043">
      <w:pPr>
        <w:widowControl w:val="0"/>
        <w:spacing w:line="360" w:lineRule="auto"/>
        <w:outlineLvl w:val="0"/>
        <w:rPr>
          <w:rFonts w:hint="eastAsia" w:ascii="宋体" w:hAnsi="宋体" w:cs="宋体"/>
          <w:b/>
          <w:color w:val="auto"/>
          <w:spacing w:val="6"/>
          <w:sz w:val="30"/>
          <w:szCs w:val="30"/>
          <w:highlight w:val="none"/>
        </w:rPr>
      </w:pPr>
    </w:p>
    <w:p w14:paraId="5DD65C06">
      <w:pPr>
        <w:widowControl w:val="0"/>
        <w:spacing w:line="360" w:lineRule="auto"/>
        <w:outlineLvl w:val="0"/>
        <w:rPr>
          <w:rFonts w:hint="eastAsia" w:ascii="宋体" w:hAnsi="宋体" w:cs="宋体"/>
          <w:b/>
          <w:color w:val="auto"/>
          <w:spacing w:val="6"/>
          <w:sz w:val="30"/>
          <w:szCs w:val="30"/>
          <w:highlight w:val="none"/>
        </w:rPr>
      </w:pPr>
    </w:p>
    <w:p w14:paraId="21767192">
      <w:pPr>
        <w:widowControl w:val="0"/>
        <w:spacing w:line="360" w:lineRule="auto"/>
        <w:outlineLvl w:val="0"/>
        <w:rPr>
          <w:rFonts w:hint="eastAsia" w:ascii="宋体" w:hAnsi="宋体" w:cs="宋体"/>
          <w:b/>
          <w:color w:val="auto"/>
          <w:spacing w:val="6"/>
          <w:sz w:val="30"/>
          <w:szCs w:val="30"/>
          <w:highlight w:val="none"/>
        </w:rPr>
      </w:pPr>
    </w:p>
    <w:p w14:paraId="7A02F5FB">
      <w:pPr>
        <w:widowControl w:val="0"/>
        <w:spacing w:line="360" w:lineRule="auto"/>
        <w:outlineLvl w:val="0"/>
        <w:rPr>
          <w:rFonts w:hint="eastAsia" w:ascii="宋体" w:hAnsi="宋体" w:cs="宋体"/>
          <w:b/>
          <w:color w:val="auto"/>
          <w:spacing w:val="6"/>
          <w:sz w:val="30"/>
          <w:szCs w:val="30"/>
          <w:highlight w:val="none"/>
        </w:rPr>
      </w:pPr>
    </w:p>
    <w:p w14:paraId="72BA44DC">
      <w:pPr>
        <w:widowControl w:val="0"/>
        <w:spacing w:line="360" w:lineRule="auto"/>
        <w:outlineLvl w:val="0"/>
        <w:rPr>
          <w:rFonts w:hint="eastAsia" w:ascii="宋体" w:hAnsi="宋体" w:cs="宋体"/>
          <w:b/>
          <w:color w:val="auto"/>
          <w:spacing w:val="6"/>
          <w:sz w:val="30"/>
          <w:szCs w:val="30"/>
          <w:highlight w:val="none"/>
        </w:rPr>
      </w:pPr>
    </w:p>
    <w:p w14:paraId="71F6152F">
      <w:pPr>
        <w:widowControl w:val="0"/>
        <w:spacing w:line="360" w:lineRule="auto"/>
        <w:outlineLvl w:val="0"/>
        <w:rPr>
          <w:rFonts w:hint="eastAsia" w:ascii="宋体" w:hAnsi="宋体" w:cs="宋体"/>
          <w:b/>
          <w:color w:val="auto"/>
          <w:spacing w:val="6"/>
          <w:sz w:val="30"/>
          <w:szCs w:val="30"/>
          <w:highlight w:val="none"/>
        </w:rPr>
      </w:pPr>
    </w:p>
    <w:p w14:paraId="2266573D">
      <w:pPr>
        <w:widowControl w:val="0"/>
        <w:spacing w:line="360" w:lineRule="auto"/>
        <w:outlineLvl w:val="0"/>
        <w:rPr>
          <w:rFonts w:ascii="宋体" w:hAnsi="宋体"/>
          <w:b/>
          <w:color w:val="auto"/>
          <w:spacing w:val="6"/>
          <w:sz w:val="24"/>
          <w:szCs w:val="24"/>
          <w:highlight w:val="none"/>
        </w:rPr>
      </w:pPr>
      <w:r>
        <w:rPr>
          <w:rFonts w:hint="eastAsia" w:ascii="宋体" w:hAnsi="宋体" w:cs="宋体"/>
          <w:b/>
          <w:color w:val="auto"/>
          <w:spacing w:val="6"/>
          <w:sz w:val="30"/>
          <w:szCs w:val="30"/>
          <w:highlight w:val="none"/>
        </w:rPr>
        <w:t>附1.政府采购促进中小企业发展暂行办法</w:t>
      </w:r>
      <w:bookmarkEnd w:id="144"/>
      <w:bookmarkEnd w:id="145"/>
      <w:bookmarkEnd w:id="146"/>
      <w:bookmarkEnd w:id="147"/>
      <w:bookmarkEnd w:id="148"/>
    </w:p>
    <w:p w14:paraId="33ECA23C">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第一条</w:t>
      </w:r>
      <w:r>
        <w:rPr>
          <w:rFonts w:hint="eastAsia"/>
          <w:color w:val="auto"/>
          <w:sz w:val="24"/>
          <w:szCs w:val="24"/>
          <w:highlight w:val="none"/>
        </w:rPr>
        <w:t xml:space="preserve"> 为了发挥政府采购的政策功能，促进中小企业健康发展，根据《中华人民共和国政府采购法》、《中华人民共和国中小企业促进法》等有关法律法规，制定本办法。 </w:t>
      </w:r>
    </w:p>
    <w:p w14:paraId="09152660">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第二条</w:t>
      </w:r>
      <w:r>
        <w:rPr>
          <w:rFonts w:hint="eastAsia"/>
          <w:color w:val="auto"/>
          <w:sz w:val="24"/>
          <w:szCs w:val="24"/>
          <w:highlight w:val="none"/>
        </w:rPr>
        <w:t xml:space="preserve"> 本办法所称中小企业，是指在中华人民共和国 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3DE3EC9F">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第三条</w:t>
      </w:r>
      <w:r>
        <w:rPr>
          <w:rFonts w:hint="eastAsia"/>
          <w:color w:val="auto"/>
          <w:sz w:val="24"/>
          <w:szCs w:val="24"/>
          <w:highlight w:val="none"/>
        </w:rPr>
        <w:t xml:space="preserve"> 采购人在政府采购活动中应当通过加强采购需求管理，落实预留采购份额、价格评审优惠、优先采购等措施，提高中小企业在政府采购中的份额，支持中小企业发展。 </w:t>
      </w:r>
    </w:p>
    <w:p w14:paraId="0FC5E37D">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第四条</w:t>
      </w:r>
      <w:r>
        <w:rPr>
          <w:rFonts w:hint="eastAsia"/>
          <w:color w:val="auto"/>
          <w:sz w:val="24"/>
          <w:szCs w:val="24"/>
          <w:highlight w:val="none"/>
        </w:rPr>
        <w:t xml:space="preserve"> 在政府采购活动中，供应商提供的货物、工程或者服务符合下列情形的，享受本办法规定的中小企业扶持政策：</w:t>
      </w:r>
    </w:p>
    <w:p w14:paraId="2B38494F">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（一）在货物采购项目中，货物由中小企业制造，即货物由中小企业生产且使用该中小企业商号或者注册商标； </w:t>
      </w:r>
    </w:p>
    <w:p w14:paraId="71E64DAB">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（二）在工程采购项目中，工程由中小企业承建，即工程施工单位为中小企业； </w:t>
      </w:r>
    </w:p>
    <w:p w14:paraId="26C6A7C1">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三）在服务采购项目中，服务由中小企业承接，即提2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14:paraId="461F4ADD">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 xml:space="preserve">第五条 </w:t>
      </w:r>
      <w:r>
        <w:rPr>
          <w:rFonts w:hint="eastAsia"/>
          <w:color w:val="auto"/>
          <w:sz w:val="24"/>
          <w:szCs w:val="24"/>
          <w:highlight w:val="none"/>
        </w:rPr>
        <w:t xml:space="preserve">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 </w:t>
      </w:r>
    </w:p>
    <w:p w14:paraId="0F985B5B">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第六条</w:t>
      </w:r>
      <w:r>
        <w:rPr>
          <w:rFonts w:hint="eastAsia"/>
          <w:color w:val="auto"/>
          <w:sz w:val="24"/>
          <w:szCs w:val="24"/>
          <w:highlight w:val="none"/>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F11BC43">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符合下列情形之一的，可不专门面向中小企业预留采购份额：</w:t>
      </w:r>
    </w:p>
    <w:p w14:paraId="171E6790">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（一）法律法规和国家有关政策明确规定优先或者应当面向事业单位、社会组织等非企业主体采购的； </w:t>
      </w:r>
    </w:p>
    <w:p w14:paraId="663DC67F">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（二）因确需使用不可替代的专利、专有技术，基础设施限制，或者提供特定公共服务等原因，只能从中小企业之外的供应商处采购的；</w:t>
      </w:r>
    </w:p>
    <w:p w14:paraId="3D668B75">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（三）按照本办法规定预留采购份额无法确保充分供应、充分竞争，或者存在可能影响政府采购目标实现的情形； </w:t>
      </w:r>
    </w:p>
    <w:p w14:paraId="3C55CDAE">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（四）框架协议采购项目； </w:t>
      </w:r>
    </w:p>
    <w:p w14:paraId="1CA8D937">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（五）省级以上人民政府财政部门规定的其他情形。除上述情形外，其他均为适宜由中小企业提供的情形。 </w:t>
      </w:r>
    </w:p>
    <w:p w14:paraId="2288E326">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第七条</w:t>
      </w:r>
      <w:r>
        <w:rPr>
          <w:rFonts w:hint="eastAsia"/>
          <w:color w:val="auto"/>
          <w:sz w:val="24"/>
          <w:szCs w:val="24"/>
          <w:highlight w:val="none"/>
        </w:rPr>
        <w:t xml:space="preserve"> 采购限额标准以上，200万元以下的货物和服务采购项目、400万元以下的工程采购项目，适宜由中小企业提供的，采购人应当专门面向中小企业采购。 </w:t>
      </w:r>
    </w:p>
    <w:p w14:paraId="020DBAD3">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第八条</w:t>
      </w:r>
      <w:r>
        <w:rPr>
          <w:rFonts w:hint="eastAsia"/>
          <w:color w:val="auto"/>
          <w:sz w:val="24"/>
          <w:szCs w:val="24"/>
          <w:highlight w:val="none"/>
        </w:rPr>
        <w:t xml:space="preserve"> 超过200万元的货物和服务采购项目，预留该部分采购项目预算总额的30%以上专门面向中小企业采购，其中预留给小微企业的比例不低于60%。超过400万元的工程采购项目中适宜由中小企业提供的，预留该部分采购项目预算总额的40%以上专门面向中小企业采购，其中预留给小微企业的比例不低于60%。预留份额通过下列措施进行： </w:t>
      </w:r>
    </w:p>
    <w:p w14:paraId="2B05BB28">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（一）将采购项目整体或者设置采购包专门面向中小企业采购；</w:t>
      </w:r>
    </w:p>
    <w:p w14:paraId="578315CC">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（二）要求供应商以联合体形式参加采购活动，且联合体中中小企业承担的部分达到一定比例； </w:t>
      </w:r>
    </w:p>
    <w:p w14:paraId="39C35A3E">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（三）要求获得采购合同的供应商将采购项目中的一定比例分包给一家或者多家中小企业。组成联合体或者接受分包合同的中小企业与联合体内其他企业、分包企业之间不得存在直接控股、管理关系。 </w:t>
      </w:r>
    </w:p>
    <w:p w14:paraId="01789AED">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第九条</w:t>
      </w:r>
      <w:r>
        <w:rPr>
          <w:rFonts w:hint="eastAsia"/>
          <w:color w:val="auto"/>
          <w:sz w:val="24"/>
          <w:szCs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对于经主管预算单位统筹后未预留份额专门面向中小企业采购的采购项目，以及预留份额项目中的非预留部分采购包，采购人、采购代理机构应当对符合本办法规定的小微企业报价给予10%—20%（工程项目为</w:t>
      </w:r>
      <w:r>
        <w:rPr>
          <w:rFonts w:hint="eastAsia"/>
          <w:color w:val="auto"/>
          <w:sz w:val="24"/>
          <w:szCs w:val="24"/>
          <w:highlight w:val="none"/>
          <w:lang w:val="en-US" w:eastAsia="zh-CN"/>
        </w:rPr>
        <w:t>3</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color w:val="auto"/>
          <w:sz w:val="24"/>
          <w:szCs w:val="24"/>
          <w:highlight w:val="none"/>
          <w:lang w:val="en-US" w:eastAsia="zh-CN"/>
        </w:rPr>
        <w:t>3</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%作为其价格分。 接受大中型企业与小微企业组成联合体或者允许大中型企业向一家或者多家小微企业分包的采购项目，对于联合协议或者分包意向协议约定小微企业的合同份额占到合同总金额</w:t>
      </w:r>
      <w:r>
        <w:rPr>
          <w:rFonts w:hint="eastAsia"/>
          <w:color w:val="auto"/>
          <w:sz w:val="24"/>
          <w:szCs w:val="24"/>
          <w:highlight w:val="none"/>
          <w:lang w:val="en-US" w:eastAsia="zh-CN"/>
        </w:rPr>
        <w:t>30</w:t>
      </w:r>
      <w:r>
        <w:rPr>
          <w:rFonts w:hint="eastAsia"/>
          <w:color w:val="auto"/>
          <w:sz w:val="24"/>
          <w:szCs w:val="24"/>
          <w:highlight w:val="none"/>
        </w:rPr>
        <w:t xml:space="preserve">%以上的，采购人、采购代理机构应当对联合体或者大中型企业的报价给予4%-6%（工程项目为 </w:t>
      </w:r>
      <w:r>
        <w:rPr>
          <w:rFonts w:hint="eastAsia"/>
          <w:color w:val="auto"/>
          <w:sz w:val="24"/>
          <w:szCs w:val="24"/>
          <w:highlight w:val="none"/>
          <w:lang w:val="en-US" w:eastAsia="zh-CN"/>
        </w:rPr>
        <w:t>1</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color w:val="auto"/>
          <w:sz w:val="24"/>
          <w:szCs w:val="24"/>
          <w:highlight w:val="none"/>
          <w:lang w:val="en-US" w:eastAsia="zh-CN"/>
        </w:rPr>
        <w:t>1</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 xml:space="preserve">%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 </w:t>
      </w:r>
    </w:p>
    <w:p w14:paraId="04ED0068">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第十条</w:t>
      </w:r>
      <w:r>
        <w:rPr>
          <w:rFonts w:hint="eastAsia"/>
          <w:color w:val="auto"/>
          <w:sz w:val="24"/>
          <w:szCs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采购人应当严格按照本办法规定和主管预算单位制定的预留采购份额具体方案开展采购活动。预留份额的采购项目或者采购包，通过发布公告方式邀请供应商后，符合资格条件的中小企业数量不足3 家的，应当中止采购活动，视同未预留份额的采购项目或者采购包，按照本办法第九条有关规定重新组织采购活动。 </w:t>
      </w:r>
    </w:p>
    <w:p w14:paraId="13FA2CE1">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第十一条</w:t>
      </w:r>
      <w:r>
        <w:rPr>
          <w:rFonts w:hint="eastAsia"/>
          <w:color w:val="auto"/>
          <w:sz w:val="24"/>
          <w:szCs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 </w:t>
      </w:r>
    </w:p>
    <w:p w14:paraId="1756E199">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 xml:space="preserve">第十二条 </w:t>
      </w:r>
      <w:r>
        <w:rPr>
          <w:rFonts w:hint="eastAsia"/>
          <w:color w:val="auto"/>
          <w:sz w:val="24"/>
          <w:szCs w:val="24"/>
          <w:highlight w:val="none"/>
        </w:rPr>
        <w:t xml:space="preserve">采购项目涉及中小企业采购的，采购文件应当明确以下内容： </w:t>
      </w:r>
    </w:p>
    <w:p w14:paraId="4689CF7E">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（一）预留份额的采购项目或者采购包，明确该项目或相关采购包专门面向中小企业采购，以及相关标的及预算金额； </w:t>
      </w:r>
    </w:p>
    <w:p w14:paraId="79B58341">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（二）要求以联合体形式参加或者合同分包的，明确联合协议或者分包意向协议中中小企业合同金额应当达到的比例，并作为供应商资格条件； </w:t>
      </w:r>
    </w:p>
    <w:p w14:paraId="0708A34B">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（三）非预留份额的采购项目或者采购包，明确有关价格扣除比例或者价格分加分比例； </w:t>
      </w:r>
    </w:p>
    <w:p w14:paraId="1F3851A7">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（四）规定依据本办法规定享受扶持政策获得政府采购合同的，小微企业不得将合同分包给大中型企业，中型企业不得将合同分包给大型企业； </w:t>
      </w:r>
    </w:p>
    <w:p w14:paraId="16030B58">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（五）采购人认为具备相关条件的，明确对中小企业在资金支付期限、预付款比例等方面的优惠措施； </w:t>
      </w:r>
    </w:p>
    <w:p w14:paraId="778CCE10">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 xml:space="preserve">（六）明确采购标的对应的中小企业划分标准所属行业； </w:t>
      </w:r>
    </w:p>
    <w:p w14:paraId="72FEC7E6">
      <w:pPr>
        <w:widowControl w:val="0"/>
        <w:tabs>
          <w:tab w:val="left" w:pos="9030"/>
        </w:tabs>
        <w:spacing w:line="520" w:lineRule="exact"/>
        <w:ind w:firstLine="480" w:firstLineChars="200"/>
        <w:jc w:val="both"/>
        <w:rPr>
          <w:rFonts w:hint="eastAsia"/>
          <w:color w:val="auto"/>
          <w:sz w:val="24"/>
          <w:szCs w:val="24"/>
          <w:highlight w:val="none"/>
        </w:rPr>
      </w:pPr>
      <w:r>
        <w:rPr>
          <w:rFonts w:hint="eastAsia"/>
          <w:color w:val="auto"/>
          <w:sz w:val="24"/>
          <w:szCs w:val="24"/>
          <w:highlight w:val="none"/>
        </w:rPr>
        <w:t>（七）法律法规和省级以上人民政府财政部门规定的其他事项。</w:t>
      </w:r>
    </w:p>
    <w:p w14:paraId="766E86F7">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第十三条</w:t>
      </w:r>
      <w:r>
        <w:rPr>
          <w:rFonts w:hint="eastAsia"/>
          <w:color w:val="auto"/>
          <w:sz w:val="24"/>
          <w:szCs w:val="24"/>
          <w:highlight w:val="none"/>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 </w:t>
      </w:r>
    </w:p>
    <w:p w14:paraId="49FA1F43">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第十四条</w:t>
      </w:r>
      <w:r>
        <w:rPr>
          <w:rFonts w:hint="eastAsia"/>
          <w:color w:val="auto"/>
          <w:sz w:val="24"/>
          <w:szCs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 </w:t>
      </w:r>
    </w:p>
    <w:p w14:paraId="5D772CF5">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第十五条</w:t>
      </w:r>
      <w:r>
        <w:rPr>
          <w:rFonts w:hint="eastAsia"/>
          <w:color w:val="auto"/>
          <w:sz w:val="24"/>
          <w:szCs w:val="24"/>
          <w:highlight w:val="none"/>
        </w:rPr>
        <w:t xml:space="preserve"> 鼓励各地区、各部门在采购活动中允许中小企业引入信用担保手段，为中小企业在投标（响应）保证、履约保证等方面提供专业化服务。鼓励中小企业依法合规通过政府采购合同融资。 </w:t>
      </w:r>
    </w:p>
    <w:p w14:paraId="3D71F65B">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第十六条</w:t>
      </w:r>
      <w:r>
        <w:rPr>
          <w:rFonts w:hint="eastAsia"/>
          <w:color w:val="auto"/>
          <w:sz w:val="24"/>
          <w:szCs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 </w:t>
      </w:r>
    </w:p>
    <w:p w14:paraId="56EC02D8">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第十七条</w:t>
      </w:r>
      <w:r>
        <w:rPr>
          <w:rFonts w:hint="eastAsia"/>
          <w:color w:val="auto"/>
          <w:sz w:val="24"/>
          <w:szCs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 </w:t>
      </w:r>
    </w:p>
    <w:p w14:paraId="77FBB89D">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第十八条</w:t>
      </w:r>
      <w:r>
        <w:rPr>
          <w:rFonts w:hint="eastAsia"/>
          <w:color w:val="auto"/>
          <w:sz w:val="24"/>
          <w:szCs w:val="24"/>
          <w:highlight w:val="none"/>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 </w:t>
      </w:r>
    </w:p>
    <w:p w14:paraId="12333EC6">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第十九条</w:t>
      </w:r>
      <w:r>
        <w:rPr>
          <w:rFonts w:hint="eastAsia"/>
          <w:color w:val="auto"/>
          <w:sz w:val="24"/>
          <w:szCs w:val="24"/>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 </w:t>
      </w:r>
    </w:p>
    <w:p w14:paraId="61C9D9CD">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第二十条</w:t>
      </w:r>
      <w:r>
        <w:rPr>
          <w:rFonts w:hint="eastAsia"/>
          <w:color w:val="auto"/>
          <w:sz w:val="24"/>
          <w:szCs w:val="24"/>
          <w:highlight w:val="none"/>
        </w:rPr>
        <w:t xml:space="preserve">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4D193290">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第二十一条</w:t>
      </w:r>
      <w:r>
        <w:rPr>
          <w:rFonts w:hint="eastAsia"/>
          <w:color w:val="auto"/>
          <w:sz w:val="24"/>
          <w:szCs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8FE3D80">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第二十二条</w:t>
      </w:r>
      <w:r>
        <w:rPr>
          <w:rFonts w:hint="eastAsia"/>
          <w:color w:val="auto"/>
          <w:sz w:val="24"/>
          <w:szCs w:val="24"/>
          <w:highlight w:val="none"/>
        </w:rPr>
        <w:t xml:space="preserve"> 对外援助项目、国家相关资格或者资质管理制度另有规定的项目，不适用本办法。</w:t>
      </w:r>
    </w:p>
    <w:p w14:paraId="6D969A4B">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第二十三条</w:t>
      </w:r>
      <w:r>
        <w:rPr>
          <w:rFonts w:hint="eastAsia"/>
          <w:color w:val="auto"/>
          <w:sz w:val="24"/>
          <w:szCs w:val="24"/>
          <w:highlight w:val="none"/>
        </w:rPr>
        <w:t xml:space="preserve"> 关于视同中小企业的其他主体的政府采购扶持政策，由财政部会同有关部门另行规定。 </w:t>
      </w:r>
    </w:p>
    <w:p w14:paraId="4A7788F9">
      <w:pPr>
        <w:widowControl w:val="0"/>
        <w:tabs>
          <w:tab w:val="left" w:pos="9030"/>
        </w:tabs>
        <w:spacing w:line="520" w:lineRule="exact"/>
        <w:ind w:firstLine="480" w:firstLineChars="200"/>
        <w:jc w:val="both"/>
        <w:rPr>
          <w:rFonts w:hint="eastAsia"/>
          <w:color w:val="auto"/>
          <w:sz w:val="24"/>
          <w:szCs w:val="24"/>
          <w:highlight w:val="none"/>
        </w:rPr>
      </w:pPr>
      <w:r>
        <w:rPr>
          <w:rFonts w:hint="eastAsia"/>
          <w:bCs/>
          <w:color w:val="auto"/>
          <w:sz w:val="24"/>
          <w:szCs w:val="24"/>
          <w:highlight w:val="none"/>
        </w:rPr>
        <w:t>第二十四条</w:t>
      </w:r>
      <w:r>
        <w:rPr>
          <w:rFonts w:hint="eastAsia"/>
          <w:color w:val="auto"/>
          <w:sz w:val="24"/>
          <w:szCs w:val="24"/>
          <w:highlight w:val="none"/>
        </w:rPr>
        <w:t xml:space="preserve"> 省级财政部门可以会同中小企业主管部门根据本办法的规定制定具体实施办法。 </w:t>
      </w:r>
    </w:p>
    <w:p w14:paraId="1B55261A">
      <w:pPr>
        <w:widowControl w:val="0"/>
        <w:tabs>
          <w:tab w:val="left" w:pos="9030"/>
        </w:tabs>
        <w:spacing w:line="520" w:lineRule="exact"/>
        <w:ind w:firstLine="480" w:firstLineChars="200"/>
        <w:jc w:val="both"/>
        <w:rPr>
          <w:rFonts w:hint="eastAsia"/>
          <w:color w:val="auto"/>
          <w:sz w:val="28"/>
          <w:szCs w:val="24"/>
          <w:highlight w:val="none"/>
        </w:rPr>
      </w:pPr>
      <w:r>
        <w:rPr>
          <w:rFonts w:hint="eastAsia"/>
          <w:bCs/>
          <w:color w:val="auto"/>
          <w:sz w:val="24"/>
          <w:szCs w:val="24"/>
          <w:highlight w:val="none"/>
        </w:rPr>
        <w:t xml:space="preserve">第二十五条 </w:t>
      </w:r>
      <w:r>
        <w:rPr>
          <w:rFonts w:hint="eastAsia"/>
          <w:color w:val="auto"/>
          <w:sz w:val="24"/>
          <w:szCs w:val="24"/>
          <w:highlight w:val="none"/>
        </w:rPr>
        <w:t>本办法自2021年1月1日起施行。《财政部 工业和信息化部关于印发〈政府采购促进中小企业发展暂行办法〉的通知》（财库﹝2011﹞181 号）同时废止</w:t>
      </w:r>
      <w:r>
        <w:rPr>
          <w:rFonts w:hint="eastAsia"/>
          <w:color w:val="auto"/>
          <w:sz w:val="28"/>
          <w:szCs w:val="24"/>
          <w:highlight w:val="none"/>
        </w:rPr>
        <w:t>。</w:t>
      </w:r>
    </w:p>
    <w:p w14:paraId="126F2DC2">
      <w:pPr>
        <w:widowControl w:val="0"/>
        <w:spacing w:line="360" w:lineRule="auto"/>
        <w:rPr>
          <w:rFonts w:hint="eastAsia" w:ascii="宋体" w:hAnsi="宋体" w:cs="宋体"/>
          <w:b/>
          <w:color w:val="auto"/>
          <w:sz w:val="30"/>
          <w:szCs w:val="30"/>
          <w:highlight w:val="none"/>
        </w:rPr>
      </w:pPr>
    </w:p>
    <w:p w14:paraId="7B3EB1B3">
      <w:pPr>
        <w:widowControl w:val="0"/>
        <w:spacing w:line="360" w:lineRule="auto"/>
        <w:outlineLvl w:val="0"/>
        <w:rPr>
          <w:color w:val="auto"/>
          <w:sz w:val="24"/>
          <w:szCs w:val="24"/>
          <w:highlight w:val="none"/>
        </w:rPr>
      </w:pPr>
      <w:bookmarkStart w:id="149" w:name="_Toc27341"/>
      <w:bookmarkStart w:id="150" w:name="_Toc13465"/>
      <w:bookmarkStart w:id="151" w:name="_Toc8900"/>
      <w:bookmarkStart w:id="152" w:name="_Toc5054"/>
      <w:bookmarkStart w:id="153" w:name="_Toc23582"/>
      <w:r>
        <w:rPr>
          <w:rFonts w:hint="eastAsia" w:ascii="宋体" w:hAnsi="宋体" w:cs="宋体"/>
          <w:b/>
          <w:color w:val="auto"/>
          <w:sz w:val="30"/>
          <w:szCs w:val="30"/>
          <w:highlight w:val="none"/>
        </w:rPr>
        <w:t>附2.</w:t>
      </w:r>
      <w:r>
        <w:rPr>
          <w:rStyle w:val="37"/>
          <w:rFonts w:hint="eastAsia" w:ascii="宋体" w:hAnsi="宋体" w:cs="宋体"/>
          <w:color w:val="auto"/>
          <w:sz w:val="30"/>
          <w:szCs w:val="30"/>
          <w:highlight w:val="none"/>
        </w:rPr>
        <w:t>中小企业划型标准规定</w:t>
      </w:r>
      <w:bookmarkEnd w:id="149"/>
      <w:bookmarkEnd w:id="150"/>
      <w:bookmarkEnd w:id="151"/>
      <w:bookmarkEnd w:id="152"/>
      <w:bookmarkEnd w:id="153"/>
    </w:p>
    <w:p w14:paraId="53D5473E">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w:t>
      </w:r>
      <w:r>
        <w:rPr>
          <w:rFonts w:hint="eastAsia"/>
          <w:color w:val="auto"/>
          <w:sz w:val="24"/>
          <w:szCs w:val="24"/>
          <w:highlight w:val="none"/>
        </w:rPr>
        <w:t xml:space="preserve">  </w:t>
      </w:r>
      <w:r>
        <w:rPr>
          <w:color w:val="auto"/>
          <w:sz w:val="24"/>
          <w:szCs w:val="24"/>
          <w:highlight w:val="none"/>
        </w:rPr>
        <w:t>一、根据《中华人民共和国中小企业促进法》和《国务院关于进一步促进中小企业发展的若干意见》(国发〔2009〕36号)，制定本规定。</w:t>
      </w:r>
    </w:p>
    <w:p w14:paraId="4D32B131">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二、中小企业划分为中型、小型、微型三种类型，具体标准根据企业从业人员、营业收入、资产总额等指标，结合行业特点制定。</w:t>
      </w:r>
    </w:p>
    <w:p w14:paraId="6515BAD0">
      <w:pPr>
        <w:widowControl w:val="0"/>
        <w:tabs>
          <w:tab w:val="left" w:pos="9030"/>
        </w:tabs>
        <w:wordWrap w:val="0"/>
        <w:spacing w:line="520" w:lineRule="exact"/>
        <w:ind w:firstLine="480" w:firstLineChars="200"/>
        <w:rPr>
          <w:rFonts w:hint="eastAsia" w:eastAsia="宋体"/>
          <w:color w:val="auto"/>
          <w:kern w:val="2"/>
          <w:sz w:val="24"/>
          <w:szCs w:val="24"/>
          <w:highlight w:val="none"/>
          <w:lang w:eastAsia="zh-CN"/>
        </w:rPr>
      </w:pPr>
      <w:r>
        <w:rPr>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w:t>
      </w:r>
      <w:r>
        <w:rPr>
          <w:color w:val="auto"/>
          <w:kern w:val="2"/>
          <w:sz w:val="24"/>
          <w:szCs w:val="24"/>
          <w:highlight w:val="none"/>
        </w:rPr>
        <w:t>作，文化、体育和娱乐业等）。</w:t>
      </w:r>
    </w:p>
    <w:p w14:paraId="6663E055">
      <w:pPr>
        <w:widowControl w:val="0"/>
        <w:tabs>
          <w:tab w:val="left" w:pos="9030"/>
        </w:tabs>
        <w:wordWrap w:val="0"/>
        <w:spacing w:line="520" w:lineRule="exact"/>
        <w:ind w:firstLine="480" w:firstLineChars="200"/>
        <w:rPr>
          <w:rFonts w:hint="eastAsia" w:eastAsia="宋体"/>
          <w:color w:val="auto"/>
          <w:kern w:val="2"/>
          <w:sz w:val="24"/>
          <w:szCs w:val="24"/>
          <w:highlight w:val="none"/>
          <w:lang w:eastAsia="zh-CN"/>
        </w:rPr>
      </w:pPr>
      <w:r>
        <w:rPr>
          <w:rFonts w:hint="eastAsia"/>
          <w:color w:val="auto"/>
          <w:kern w:val="2"/>
          <w:sz w:val="24"/>
          <w:szCs w:val="24"/>
          <w:highlight w:val="none"/>
        </w:rPr>
        <w:t xml:space="preserve">   </w:t>
      </w:r>
      <w:r>
        <w:rPr>
          <w:color w:val="auto"/>
          <w:kern w:val="2"/>
          <w:sz w:val="24"/>
          <w:szCs w:val="24"/>
          <w:highlight w:val="none"/>
        </w:rPr>
        <w:t>四、各行业划型标准为：</w:t>
      </w:r>
    </w:p>
    <w:p w14:paraId="2B2420F7">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0337BD6F">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CDD63A">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906278">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60F929">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8CDB1D">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A4EF01">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4A69E2">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9F5F7F">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D75E57">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00FB51">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CDC919">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F27C32">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w:t>
      </w:r>
      <w:r>
        <w:rPr>
          <w:rFonts w:hint="eastAsia"/>
          <w:color w:val="auto"/>
          <w:sz w:val="24"/>
          <w:szCs w:val="24"/>
          <w:highlight w:val="none"/>
        </w:rPr>
        <w:t>为微型企业</w:t>
      </w:r>
    </w:p>
    <w:p w14:paraId="44C4E3BA">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9018A4">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635F51">
      <w:pPr>
        <w:widowControl w:val="0"/>
        <w:tabs>
          <w:tab w:val="left" w:pos="9030"/>
        </w:tabs>
        <w:wordWrap w:val="0"/>
        <w:spacing w:line="520" w:lineRule="exact"/>
        <w:ind w:firstLine="480" w:firstLineChars="200"/>
        <w:rPr>
          <w:rFonts w:hint="eastAsia" w:eastAsia="宋体"/>
          <w:color w:val="auto"/>
          <w:kern w:val="2"/>
          <w:sz w:val="24"/>
          <w:szCs w:val="24"/>
          <w:highlight w:val="none"/>
          <w:lang w:eastAsia="zh-CN"/>
        </w:rPr>
      </w:pPr>
      <w:r>
        <w:rPr>
          <w:color w:val="auto"/>
          <w:sz w:val="24"/>
          <w:szCs w:val="24"/>
          <w:highlight w:val="none"/>
        </w:rPr>
        <w:t>　　（十六）</w:t>
      </w:r>
      <w:r>
        <w:rPr>
          <w:color w:val="auto"/>
          <w:kern w:val="2"/>
          <w:sz w:val="24"/>
          <w:szCs w:val="24"/>
          <w:highlight w:val="none"/>
        </w:rPr>
        <w:t>其他未列明行业。从业人员300人以下的为中小微型企业。其中，从业人员100人及以上的为中型企业；从业人员10人及以上的为小型企业；从业人员10人以下的为微型企业。</w:t>
      </w:r>
    </w:p>
    <w:p w14:paraId="05E6F3B8">
      <w:pPr>
        <w:widowControl w:val="0"/>
        <w:tabs>
          <w:tab w:val="left" w:pos="9030"/>
        </w:tabs>
        <w:wordWrap w:val="0"/>
        <w:spacing w:line="520" w:lineRule="exact"/>
        <w:ind w:firstLine="480" w:firstLineChars="200"/>
        <w:rPr>
          <w:rFonts w:hint="eastAsia" w:eastAsia="宋体"/>
          <w:color w:val="auto"/>
          <w:kern w:val="2"/>
          <w:sz w:val="24"/>
          <w:szCs w:val="24"/>
          <w:highlight w:val="none"/>
          <w:lang w:eastAsia="zh-CN"/>
        </w:rPr>
      </w:pPr>
      <w:r>
        <w:rPr>
          <w:color w:val="auto"/>
          <w:kern w:val="2"/>
          <w:sz w:val="24"/>
          <w:szCs w:val="24"/>
          <w:highlight w:val="none"/>
        </w:rPr>
        <w:t>　　五、企业类型的划分以统计部门的统计数据为依据。</w:t>
      </w:r>
    </w:p>
    <w:p w14:paraId="69C14224">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六、本规定适用于在中华人民共和国境内依法设立的各类所有制和各种组织形式的企业。个体工商户和本规定以外的行业，参照本规定进行划型。</w:t>
      </w:r>
    </w:p>
    <w:p w14:paraId="4EB428A0">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C6C339D">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八、本规定由工业和信息化部、国家统计局会同有关部门根据《国民经济行业分类》修订情况和企业发展变化情况适时修订。</w:t>
      </w:r>
    </w:p>
    <w:p w14:paraId="36565739">
      <w:pPr>
        <w:widowControl w:val="0"/>
        <w:tabs>
          <w:tab w:val="left" w:pos="9030"/>
        </w:tabs>
        <w:wordWrap w:val="0"/>
        <w:spacing w:line="520" w:lineRule="exact"/>
        <w:ind w:firstLine="480" w:firstLineChars="200"/>
        <w:rPr>
          <w:rFonts w:hint="eastAsia" w:eastAsia="宋体"/>
          <w:color w:val="auto"/>
          <w:sz w:val="24"/>
          <w:szCs w:val="24"/>
          <w:highlight w:val="none"/>
          <w:lang w:eastAsia="zh-CN"/>
        </w:rPr>
      </w:pPr>
      <w:r>
        <w:rPr>
          <w:color w:val="auto"/>
          <w:sz w:val="24"/>
          <w:szCs w:val="24"/>
          <w:highlight w:val="none"/>
        </w:rPr>
        <w:t>　　九、本规定由工业和信息化部、国家统计局会同有关部门负责解释。</w:t>
      </w:r>
    </w:p>
    <w:p w14:paraId="3BC68044">
      <w:pPr>
        <w:widowControl w:val="0"/>
        <w:tabs>
          <w:tab w:val="left" w:pos="9030"/>
        </w:tabs>
        <w:wordWrap w:val="0"/>
        <w:spacing w:line="520" w:lineRule="exact"/>
        <w:ind w:firstLine="480" w:firstLineChars="200"/>
        <w:rPr>
          <w:color w:val="auto"/>
          <w:sz w:val="24"/>
          <w:szCs w:val="24"/>
          <w:highlight w:val="none"/>
        </w:rPr>
      </w:pPr>
      <w:r>
        <w:rPr>
          <w:color w:val="auto"/>
          <w:sz w:val="24"/>
          <w:szCs w:val="24"/>
          <w:highlight w:val="none"/>
        </w:rPr>
        <w:t>　　十、本规定自发布之日起执行，原国家经贸委、原国家计委、财政部和国家统计局2003年颁布的《中小企业标准暂行规定》同时废止。</w:t>
      </w:r>
    </w:p>
    <w:p w14:paraId="522DB5A1">
      <w:pPr>
        <w:widowControl w:val="0"/>
        <w:spacing w:line="520" w:lineRule="exact"/>
        <w:ind w:firstLine="480" w:firstLineChars="200"/>
        <w:jc w:val="right"/>
        <w:rPr>
          <w:color w:val="auto"/>
          <w:sz w:val="24"/>
          <w:szCs w:val="24"/>
          <w:highlight w:val="none"/>
        </w:rPr>
      </w:pPr>
      <w:r>
        <w:rPr>
          <w:rFonts w:hint="eastAsia"/>
          <w:color w:val="auto"/>
          <w:sz w:val="24"/>
          <w:szCs w:val="24"/>
          <w:highlight w:val="none"/>
        </w:rPr>
        <w:t>工业和信息化部 国家统计局</w:t>
      </w:r>
    </w:p>
    <w:p w14:paraId="61F84C1E">
      <w:pPr>
        <w:widowControl w:val="0"/>
        <w:spacing w:line="520" w:lineRule="exact"/>
        <w:ind w:firstLine="480" w:firstLineChars="200"/>
        <w:jc w:val="right"/>
        <w:rPr>
          <w:color w:val="auto"/>
          <w:sz w:val="24"/>
          <w:szCs w:val="24"/>
          <w:highlight w:val="none"/>
        </w:rPr>
      </w:pPr>
      <w:r>
        <w:rPr>
          <w:rFonts w:hint="eastAsia"/>
          <w:color w:val="auto"/>
          <w:sz w:val="24"/>
          <w:szCs w:val="24"/>
          <w:highlight w:val="none"/>
        </w:rPr>
        <w:t>国家发展和改革委员会  财政部</w:t>
      </w:r>
    </w:p>
    <w:p w14:paraId="677F7A42">
      <w:pPr>
        <w:widowControl w:val="0"/>
        <w:spacing w:line="520" w:lineRule="exact"/>
        <w:ind w:firstLine="480" w:firstLineChars="200"/>
        <w:jc w:val="right"/>
        <w:rPr>
          <w:rFonts w:hint="eastAsia" w:ascii="宋体" w:hAnsi="宋体"/>
          <w:b/>
          <w:color w:val="auto"/>
          <w:spacing w:val="6"/>
          <w:sz w:val="24"/>
          <w:szCs w:val="24"/>
          <w:highlight w:val="none"/>
        </w:rPr>
      </w:pPr>
      <w:r>
        <w:rPr>
          <w:rFonts w:hint="eastAsia"/>
          <w:color w:val="auto"/>
          <w:sz w:val="24"/>
          <w:szCs w:val="24"/>
          <w:highlight w:val="none"/>
        </w:rPr>
        <w:t>二〇一一年六月十八日</w:t>
      </w:r>
      <w:r>
        <w:rPr>
          <w:rFonts w:hint="eastAsia" w:ascii="仿宋_GB2312" w:eastAsia="仿宋_GB2312"/>
          <w:color w:val="auto"/>
          <w:spacing w:val="6"/>
          <w:sz w:val="24"/>
          <w:szCs w:val="24"/>
          <w:highlight w:val="none"/>
        </w:rPr>
        <w:t xml:space="preserve">  </w:t>
      </w:r>
    </w:p>
    <w:p w14:paraId="34D4CD81">
      <w:pPr>
        <w:widowControl w:val="0"/>
        <w:spacing w:line="440" w:lineRule="exact"/>
        <w:ind w:firstLine="506" w:firstLineChars="200"/>
        <w:rPr>
          <w:rFonts w:hint="eastAsia" w:ascii="宋体" w:hAnsi="宋体"/>
          <w:b/>
          <w:color w:val="auto"/>
          <w:spacing w:val="6"/>
          <w:sz w:val="24"/>
          <w:szCs w:val="24"/>
          <w:highlight w:val="none"/>
        </w:rPr>
      </w:pPr>
    </w:p>
    <w:p w14:paraId="48DF324B">
      <w:pPr>
        <w:widowControl w:val="0"/>
        <w:spacing w:line="360" w:lineRule="auto"/>
        <w:outlineLvl w:val="0"/>
        <w:rPr>
          <w:rFonts w:ascii="宋体" w:hAnsi="宋体"/>
          <w:b/>
          <w:color w:val="auto"/>
          <w:spacing w:val="6"/>
          <w:sz w:val="24"/>
          <w:szCs w:val="24"/>
          <w:highlight w:val="none"/>
        </w:rPr>
      </w:pPr>
      <w:bookmarkStart w:id="154" w:name="_Toc16684"/>
      <w:bookmarkStart w:id="155" w:name="_Toc29834"/>
      <w:bookmarkStart w:id="156" w:name="_Toc6022"/>
      <w:bookmarkStart w:id="157" w:name="_Toc8943"/>
      <w:bookmarkStart w:id="158" w:name="_Toc20199"/>
      <w:r>
        <w:rPr>
          <w:rFonts w:hint="eastAsia" w:ascii="宋体" w:hAnsi="宋体" w:cs="宋体"/>
          <w:b/>
          <w:color w:val="auto"/>
          <w:spacing w:val="6"/>
          <w:sz w:val="30"/>
          <w:szCs w:val="30"/>
          <w:highlight w:val="none"/>
        </w:rPr>
        <w:br w:type="page"/>
      </w:r>
      <w:r>
        <w:rPr>
          <w:rFonts w:hint="eastAsia" w:ascii="宋体" w:hAnsi="宋体" w:cs="宋体"/>
          <w:b/>
          <w:color w:val="auto"/>
          <w:spacing w:val="6"/>
          <w:sz w:val="30"/>
          <w:szCs w:val="30"/>
          <w:highlight w:val="none"/>
        </w:rPr>
        <w:t>附3.关于政府采购支持监狱企业发展有关问题的通知</w:t>
      </w:r>
      <w:bookmarkEnd w:id="154"/>
      <w:bookmarkEnd w:id="155"/>
      <w:bookmarkEnd w:id="156"/>
      <w:bookmarkEnd w:id="157"/>
      <w:bookmarkEnd w:id="158"/>
    </w:p>
    <w:p w14:paraId="61846B81">
      <w:pPr>
        <w:widowControl w:val="0"/>
        <w:spacing w:line="520" w:lineRule="exact"/>
        <w:ind w:firstLine="480" w:firstLineChars="200"/>
        <w:jc w:val="both"/>
        <w:rPr>
          <w:rFonts w:hint="eastAsia" w:cs="Arial"/>
          <w:color w:val="auto"/>
          <w:sz w:val="24"/>
          <w:szCs w:val="24"/>
          <w:highlight w:val="none"/>
        </w:rPr>
      </w:pPr>
      <w:r>
        <w:rPr>
          <w:rFonts w:cs="Arial"/>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cs="Arial"/>
          <w:color w:val="auto"/>
          <w:sz w:val="24"/>
          <w:szCs w:val="24"/>
          <w:highlight w:val="none"/>
        </w:rPr>
        <w:t>：</w:t>
      </w:r>
    </w:p>
    <w:p w14:paraId="0CA873C0">
      <w:pPr>
        <w:widowControl w:val="0"/>
        <w:spacing w:line="520" w:lineRule="exact"/>
        <w:ind w:firstLine="480" w:firstLineChars="200"/>
        <w:jc w:val="both"/>
        <w:rPr>
          <w:rFonts w:cs="Arial"/>
          <w:color w:val="auto"/>
          <w:sz w:val="24"/>
          <w:szCs w:val="24"/>
          <w:highlight w:val="none"/>
        </w:rPr>
      </w:pPr>
      <w:r>
        <w:rPr>
          <w:rFonts w:cs="Arial"/>
          <w:color w:val="auto"/>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59" w:name="OLE_LINK1"/>
      <w:r>
        <w:rPr>
          <w:rFonts w:cs="Arial"/>
          <w:color w:val="auto"/>
          <w:sz w:val="24"/>
          <w:szCs w:val="24"/>
          <w:highlight w:val="none"/>
        </w:rPr>
        <w:t>监狱企业</w:t>
      </w:r>
      <w:bookmarkEnd w:id="159"/>
      <w:r>
        <w:rPr>
          <w:rFonts w:cs="Arial"/>
          <w:color w:val="auto"/>
          <w:sz w:val="24"/>
          <w:szCs w:val="24"/>
          <w:highlight w:val="none"/>
        </w:rPr>
        <w:t>发展的作用，现就有关事项通知如下:</w:t>
      </w:r>
    </w:p>
    <w:p w14:paraId="4AE5ED6C">
      <w:pPr>
        <w:widowControl w:val="0"/>
        <w:spacing w:line="520" w:lineRule="exact"/>
        <w:ind w:firstLine="480" w:firstLineChars="200"/>
        <w:jc w:val="both"/>
        <w:rPr>
          <w:rFonts w:cs="Arial"/>
          <w:color w:val="auto"/>
          <w:sz w:val="24"/>
          <w:szCs w:val="24"/>
          <w:highlight w:val="none"/>
        </w:rPr>
      </w:pPr>
      <w:r>
        <w:rPr>
          <w:rFonts w:cs="Arial"/>
          <w:color w:val="auto"/>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A9AC6B3">
      <w:pPr>
        <w:widowControl w:val="0"/>
        <w:spacing w:line="520" w:lineRule="exact"/>
        <w:ind w:firstLine="480" w:firstLineChars="200"/>
        <w:jc w:val="both"/>
        <w:rPr>
          <w:rFonts w:cs="Arial"/>
          <w:color w:val="auto"/>
          <w:sz w:val="24"/>
          <w:szCs w:val="24"/>
          <w:highlight w:val="none"/>
        </w:rPr>
      </w:pPr>
      <w:r>
        <w:rPr>
          <w:rFonts w:cs="Arial"/>
          <w:color w:val="auto"/>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5ED1F4F">
      <w:pPr>
        <w:widowControl w:val="0"/>
        <w:spacing w:line="520" w:lineRule="exact"/>
        <w:ind w:firstLine="480" w:firstLineChars="200"/>
        <w:jc w:val="both"/>
        <w:rPr>
          <w:rFonts w:cs="Arial"/>
          <w:color w:val="auto"/>
          <w:sz w:val="24"/>
          <w:szCs w:val="24"/>
          <w:highlight w:val="none"/>
        </w:rPr>
      </w:pPr>
      <w:r>
        <w:rPr>
          <w:rFonts w:cs="Arial"/>
          <w:color w:val="auto"/>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BC0622A">
      <w:pPr>
        <w:widowControl w:val="0"/>
        <w:spacing w:line="520" w:lineRule="exact"/>
        <w:ind w:firstLine="480" w:firstLineChars="200"/>
        <w:jc w:val="both"/>
        <w:rPr>
          <w:rFonts w:cs="Arial"/>
          <w:color w:val="auto"/>
          <w:sz w:val="24"/>
          <w:szCs w:val="24"/>
          <w:highlight w:val="none"/>
        </w:rPr>
      </w:pPr>
      <w:r>
        <w:rPr>
          <w:rFonts w:cs="Arial"/>
          <w:color w:val="auto"/>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41E0293D">
      <w:pPr>
        <w:widowControl w:val="0"/>
        <w:spacing w:line="520" w:lineRule="exact"/>
        <w:ind w:firstLine="480" w:firstLineChars="200"/>
        <w:jc w:val="both"/>
        <w:rPr>
          <w:rFonts w:cs="Arial"/>
          <w:color w:val="auto"/>
          <w:sz w:val="24"/>
          <w:szCs w:val="24"/>
          <w:highlight w:val="none"/>
        </w:rPr>
      </w:pPr>
      <w:r>
        <w:rPr>
          <w:rFonts w:cs="Arial"/>
          <w:color w:val="auto"/>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8AC3C41">
      <w:pPr>
        <w:widowControl w:val="0"/>
        <w:spacing w:line="520" w:lineRule="exact"/>
        <w:ind w:firstLine="480" w:firstLineChars="200"/>
        <w:jc w:val="right"/>
        <w:rPr>
          <w:rFonts w:cs="Arial"/>
          <w:color w:val="auto"/>
          <w:sz w:val="24"/>
          <w:szCs w:val="24"/>
          <w:highlight w:val="none"/>
        </w:rPr>
      </w:pPr>
      <w:r>
        <w:rPr>
          <w:rFonts w:cs="Arial"/>
          <w:color w:val="auto"/>
          <w:sz w:val="24"/>
          <w:szCs w:val="24"/>
          <w:highlight w:val="none"/>
        </w:rPr>
        <w:t>　　财政部　司法部</w:t>
      </w:r>
    </w:p>
    <w:p w14:paraId="63B4F7FF">
      <w:pPr>
        <w:spacing w:line="520" w:lineRule="exact"/>
        <w:ind w:firstLine="480" w:firstLineChars="200"/>
        <w:jc w:val="right"/>
        <w:rPr>
          <w:rFonts w:hint="eastAsia"/>
          <w:color w:val="auto"/>
          <w:sz w:val="24"/>
          <w:highlight w:val="none"/>
        </w:rPr>
      </w:pPr>
      <w:r>
        <w:rPr>
          <w:rFonts w:cs="Arial"/>
          <w:color w:val="auto"/>
          <w:sz w:val="24"/>
          <w:szCs w:val="24"/>
          <w:highlight w:val="none"/>
        </w:rPr>
        <w:t>2014年6月10日</w:t>
      </w:r>
    </w:p>
    <w:p w14:paraId="18E7713D">
      <w:pPr>
        <w:pStyle w:val="33"/>
        <w:ind w:firstLine="0" w:firstLineChars="0"/>
        <w:jc w:val="center"/>
        <w:rPr>
          <w:color w:val="auto"/>
          <w:highlight w:val="none"/>
        </w:rPr>
      </w:pPr>
    </w:p>
    <w:sectPr>
      <w:headerReference r:id="rId7" w:type="default"/>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C3C0">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664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946A">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2BEFD">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C92BEFD">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18F12">
    <w:pPr>
      <w:spacing w:line="172" w:lineRule="auto"/>
      <w:ind w:left="417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0AFB3">
                          <w:pPr>
                            <w:pStyle w:val="2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BA0AFB3">
                    <w:pPr>
                      <w:pStyle w:val="2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E9F96">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9D0B6"/>
    <w:multiLevelType w:val="singleLevel"/>
    <w:tmpl w:val="E4D9D0B6"/>
    <w:lvl w:ilvl="0" w:tentative="0">
      <w:start w:val="1"/>
      <w:numFmt w:val="decimal"/>
      <w:suff w:val="nothing"/>
      <w:lvlText w:val="（%1）"/>
      <w:lvlJc w:val="left"/>
    </w:lvl>
  </w:abstractNum>
  <w:abstractNum w:abstractNumId="1">
    <w:nsid w:val="F722166A"/>
    <w:multiLevelType w:val="singleLevel"/>
    <w:tmpl w:val="F722166A"/>
    <w:lvl w:ilvl="0" w:tentative="0">
      <w:start w:val="1"/>
      <w:numFmt w:val="decimal"/>
      <w:suff w:val="nothing"/>
      <w:lvlText w:val="%1、"/>
      <w:lvlJc w:val="left"/>
    </w:lvl>
  </w:abstractNum>
  <w:abstractNum w:abstractNumId="2">
    <w:nsid w:val="FDFEC8F3"/>
    <w:multiLevelType w:val="singleLevel"/>
    <w:tmpl w:val="FDFEC8F3"/>
    <w:lvl w:ilvl="0" w:tentative="0">
      <w:start w:val="1"/>
      <w:numFmt w:val="decimal"/>
      <w:suff w:val="nothing"/>
      <w:lvlText w:val="%1、"/>
      <w:lvlJc w:val="left"/>
    </w:lvl>
  </w:abstractNum>
  <w:abstractNum w:abstractNumId="3">
    <w:nsid w:val="485E7914"/>
    <w:multiLevelType w:val="multilevel"/>
    <w:tmpl w:val="485E7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AF65BF"/>
    <w:multiLevelType w:val="singleLevel"/>
    <w:tmpl w:val="7DAF65BF"/>
    <w:lvl w:ilvl="0" w:tentative="0">
      <w:start w:val="1"/>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4EAB"/>
    <w:rsid w:val="00004EAB"/>
    <w:rsid w:val="000C63CC"/>
    <w:rsid w:val="000D3615"/>
    <w:rsid w:val="00193979"/>
    <w:rsid w:val="002255D6"/>
    <w:rsid w:val="002930B9"/>
    <w:rsid w:val="00404991"/>
    <w:rsid w:val="004659AD"/>
    <w:rsid w:val="00AE133E"/>
    <w:rsid w:val="00AF578A"/>
    <w:rsid w:val="00B2312A"/>
    <w:rsid w:val="00EB7958"/>
    <w:rsid w:val="00EC2636"/>
    <w:rsid w:val="00FA47DB"/>
    <w:rsid w:val="00FD3A1C"/>
    <w:rsid w:val="01587174"/>
    <w:rsid w:val="02617EA9"/>
    <w:rsid w:val="027A4C25"/>
    <w:rsid w:val="02CD6988"/>
    <w:rsid w:val="02EE6B93"/>
    <w:rsid w:val="030F2C50"/>
    <w:rsid w:val="03410DA9"/>
    <w:rsid w:val="03A74A9F"/>
    <w:rsid w:val="03BA365B"/>
    <w:rsid w:val="04223F6A"/>
    <w:rsid w:val="045855D2"/>
    <w:rsid w:val="05C570CE"/>
    <w:rsid w:val="076B2666"/>
    <w:rsid w:val="07C94C43"/>
    <w:rsid w:val="07FE4136"/>
    <w:rsid w:val="0A5A0F1B"/>
    <w:rsid w:val="0B5F3B89"/>
    <w:rsid w:val="0BBE2158"/>
    <w:rsid w:val="0C9A3726"/>
    <w:rsid w:val="0D1C7918"/>
    <w:rsid w:val="0D5D6764"/>
    <w:rsid w:val="0D67082F"/>
    <w:rsid w:val="0DF11DD7"/>
    <w:rsid w:val="0E007C64"/>
    <w:rsid w:val="0E0B56A6"/>
    <w:rsid w:val="104B514A"/>
    <w:rsid w:val="10B72860"/>
    <w:rsid w:val="11EA3BD2"/>
    <w:rsid w:val="11F54030"/>
    <w:rsid w:val="120F34B3"/>
    <w:rsid w:val="171A291F"/>
    <w:rsid w:val="17786A80"/>
    <w:rsid w:val="18455940"/>
    <w:rsid w:val="197A239E"/>
    <w:rsid w:val="1B040045"/>
    <w:rsid w:val="1B217F1A"/>
    <w:rsid w:val="1C051EDF"/>
    <w:rsid w:val="1C4112FA"/>
    <w:rsid w:val="1EC142D9"/>
    <w:rsid w:val="1F122C07"/>
    <w:rsid w:val="1FF00A7C"/>
    <w:rsid w:val="201B048A"/>
    <w:rsid w:val="216E26D1"/>
    <w:rsid w:val="21C430D5"/>
    <w:rsid w:val="22497E88"/>
    <w:rsid w:val="225449D0"/>
    <w:rsid w:val="22B154AD"/>
    <w:rsid w:val="22B26BDA"/>
    <w:rsid w:val="23805863"/>
    <w:rsid w:val="248C4A68"/>
    <w:rsid w:val="259B6835"/>
    <w:rsid w:val="261A4A43"/>
    <w:rsid w:val="27AA027B"/>
    <w:rsid w:val="27BD6A49"/>
    <w:rsid w:val="27FF406E"/>
    <w:rsid w:val="29D8068B"/>
    <w:rsid w:val="2ACF57A2"/>
    <w:rsid w:val="2B0E4FF8"/>
    <w:rsid w:val="2B21410A"/>
    <w:rsid w:val="2B2D0EF2"/>
    <w:rsid w:val="2BCB5516"/>
    <w:rsid w:val="2C3C2C1E"/>
    <w:rsid w:val="2C6820D0"/>
    <w:rsid w:val="2C6C1F2F"/>
    <w:rsid w:val="2DC63745"/>
    <w:rsid w:val="2F633134"/>
    <w:rsid w:val="2F927C10"/>
    <w:rsid w:val="2FC130E0"/>
    <w:rsid w:val="31541D9A"/>
    <w:rsid w:val="31A42DEB"/>
    <w:rsid w:val="31D644DB"/>
    <w:rsid w:val="32664652"/>
    <w:rsid w:val="333B65BA"/>
    <w:rsid w:val="339D19AC"/>
    <w:rsid w:val="35957DBF"/>
    <w:rsid w:val="360419AB"/>
    <w:rsid w:val="36E21696"/>
    <w:rsid w:val="39356F98"/>
    <w:rsid w:val="397D42F8"/>
    <w:rsid w:val="3A6330E9"/>
    <w:rsid w:val="3C16773E"/>
    <w:rsid w:val="3D96005C"/>
    <w:rsid w:val="3DFE5442"/>
    <w:rsid w:val="3ECD07D9"/>
    <w:rsid w:val="3EF20F5A"/>
    <w:rsid w:val="3FB34387"/>
    <w:rsid w:val="3FCA716E"/>
    <w:rsid w:val="40420002"/>
    <w:rsid w:val="41467584"/>
    <w:rsid w:val="425D3306"/>
    <w:rsid w:val="43BB5369"/>
    <w:rsid w:val="43DA174D"/>
    <w:rsid w:val="45026707"/>
    <w:rsid w:val="451524FA"/>
    <w:rsid w:val="453F445F"/>
    <w:rsid w:val="47082D26"/>
    <w:rsid w:val="47A30DF1"/>
    <w:rsid w:val="47FF58FC"/>
    <w:rsid w:val="48416436"/>
    <w:rsid w:val="4C23368E"/>
    <w:rsid w:val="4C472F8C"/>
    <w:rsid w:val="4CA669B9"/>
    <w:rsid w:val="4CB93105"/>
    <w:rsid w:val="50135579"/>
    <w:rsid w:val="50AD5C20"/>
    <w:rsid w:val="52E53D8C"/>
    <w:rsid w:val="537B7669"/>
    <w:rsid w:val="546F252A"/>
    <w:rsid w:val="54C03C11"/>
    <w:rsid w:val="54FD1F7B"/>
    <w:rsid w:val="55D63C50"/>
    <w:rsid w:val="57B63184"/>
    <w:rsid w:val="57DA843C"/>
    <w:rsid w:val="58E255A6"/>
    <w:rsid w:val="5913581D"/>
    <w:rsid w:val="5A330E25"/>
    <w:rsid w:val="5A9F2393"/>
    <w:rsid w:val="5C2773D2"/>
    <w:rsid w:val="5C735B49"/>
    <w:rsid w:val="5C7E43F9"/>
    <w:rsid w:val="5D2673CB"/>
    <w:rsid w:val="5D963863"/>
    <w:rsid w:val="5DD827D2"/>
    <w:rsid w:val="5E5142DE"/>
    <w:rsid w:val="5E902BEE"/>
    <w:rsid w:val="5ED157D7"/>
    <w:rsid w:val="5EDC2D27"/>
    <w:rsid w:val="5EED3918"/>
    <w:rsid w:val="5EFE237B"/>
    <w:rsid w:val="5F4D08C1"/>
    <w:rsid w:val="60171725"/>
    <w:rsid w:val="62635C90"/>
    <w:rsid w:val="637C69AE"/>
    <w:rsid w:val="644D12CB"/>
    <w:rsid w:val="64757DE4"/>
    <w:rsid w:val="648A61D9"/>
    <w:rsid w:val="652D6A41"/>
    <w:rsid w:val="66771F16"/>
    <w:rsid w:val="67F424B3"/>
    <w:rsid w:val="690418A9"/>
    <w:rsid w:val="69110BCA"/>
    <w:rsid w:val="69542012"/>
    <w:rsid w:val="699D66D9"/>
    <w:rsid w:val="69B956F1"/>
    <w:rsid w:val="6A6205D6"/>
    <w:rsid w:val="6A6B58F8"/>
    <w:rsid w:val="6B451E4C"/>
    <w:rsid w:val="6B6411A6"/>
    <w:rsid w:val="6C2D46F2"/>
    <w:rsid w:val="6F664223"/>
    <w:rsid w:val="70AF7522"/>
    <w:rsid w:val="70F3516F"/>
    <w:rsid w:val="71C71E92"/>
    <w:rsid w:val="72B5476A"/>
    <w:rsid w:val="732662F1"/>
    <w:rsid w:val="73505DC8"/>
    <w:rsid w:val="747C76EF"/>
    <w:rsid w:val="74825046"/>
    <w:rsid w:val="74C100C4"/>
    <w:rsid w:val="74D27FA0"/>
    <w:rsid w:val="74F1104E"/>
    <w:rsid w:val="780A3FA4"/>
    <w:rsid w:val="79193E9D"/>
    <w:rsid w:val="79943126"/>
    <w:rsid w:val="79DA1A8D"/>
    <w:rsid w:val="7AC8000B"/>
    <w:rsid w:val="7B693689"/>
    <w:rsid w:val="7B868F97"/>
    <w:rsid w:val="7C6069B0"/>
    <w:rsid w:val="7C916C49"/>
    <w:rsid w:val="7CB95D09"/>
    <w:rsid w:val="7D670A7C"/>
    <w:rsid w:val="7E23300C"/>
    <w:rsid w:val="7EA66892"/>
    <w:rsid w:val="7EFD1148"/>
    <w:rsid w:val="7F5A66D4"/>
    <w:rsid w:val="7FCFD296"/>
    <w:rsid w:val="7FE35E8A"/>
    <w:rsid w:val="7FEF6F0A"/>
    <w:rsid w:val="9FF66D6E"/>
    <w:rsid w:val="CF5B1467"/>
    <w:rsid w:val="DFB98935"/>
    <w:rsid w:val="F5DDD266"/>
    <w:rsid w:val="FCEE158C"/>
    <w:rsid w:val="FFFDEB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5"/>
    <w:qFormat/>
    <w:uiPriority w:val="9"/>
    <w:pPr>
      <w:keepNext/>
      <w:keepLines/>
      <w:spacing w:before="340" w:after="330" w:line="578" w:lineRule="auto"/>
      <w:jc w:val="center"/>
      <w:outlineLvl w:val="0"/>
    </w:pPr>
    <w:rPr>
      <w:bCs/>
      <w:kern w:val="44"/>
      <w:sz w:val="44"/>
      <w:szCs w:val="44"/>
    </w:rPr>
  </w:style>
  <w:style w:type="paragraph" w:styleId="5">
    <w:name w:val="heading 2"/>
    <w:basedOn w:val="1"/>
    <w:next w:val="1"/>
    <w:link w:val="48"/>
    <w:qFormat/>
    <w:uiPriority w:val="0"/>
    <w:pPr>
      <w:keepNext/>
      <w:keepLines/>
      <w:spacing w:before="260" w:after="260" w:line="500" w:lineRule="exact"/>
      <w:contextualSpacing/>
      <w:jc w:val="center"/>
      <w:outlineLvl w:val="1"/>
    </w:pPr>
    <w:rPr>
      <w:rFonts w:ascii="宋体" w:hAnsi="宋体"/>
      <w:sz w:val="32"/>
      <w:szCs w:val="28"/>
    </w:rPr>
  </w:style>
  <w:style w:type="paragraph" w:styleId="6">
    <w:name w:val="heading 3"/>
    <w:basedOn w:val="1"/>
    <w:next w:val="1"/>
    <w:link w:val="46"/>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7"/>
    <w:qFormat/>
    <w:uiPriority w:val="0"/>
    <w:pPr>
      <w:keepNext/>
      <w:keepLines/>
      <w:spacing w:before="280" w:after="290" w:line="376" w:lineRule="auto"/>
      <w:outlineLvl w:val="4"/>
    </w:pPr>
    <w:rPr>
      <w:b/>
      <w:bCs/>
      <w:sz w:val="28"/>
      <w:szCs w:val="28"/>
    </w:rPr>
  </w:style>
  <w:style w:type="paragraph" w:styleId="9">
    <w:name w:val="heading 6"/>
    <w:basedOn w:val="8"/>
    <w:next w:val="1"/>
    <w:link w:val="5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0">
    <w:name w:val="heading 7"/>
    <w:basedOn w:val="9"/>
    <w:next w:val="1"/>
    <w:link w:val="51"/>
    <w:autoRedefine/>
    <w:qFormat/>
    <w:uiPriority w:val="0"/>
    <w:pPr>
      <w:tabs>
        <w:tab w:val="clear" w:pos="1440"/>
      </w:tabs>
      <w:ind w:left="1276" w:hanging="1276"/>
      <w:outlineLvl w:val="6"/>
    </w:pPr>
  </w:style>
  <w:style w:type="paragraph" w:styleId="11">
    <w:name w:val="heading 8"/>
    <w:basedOn w:val="10"/>
    <w:next w:val="1"/>
    <w:link w:val="52"/>
    <w:autoRedefine/>
    <w:qFormat/>
    <w:uiPriority w:val="0"/>
    <w:pPr>
      <w:ind w:left="1418" w:hanging="1418"/>
      <w:outlineLvl w:val="7"/>
    </w:pPr>
  </w:style>
  <w:style w:type="paragraph" w:styleId="12">
    <w:name w:val="heading 9"/>
    <w:basedOn w:val="11"/>
    <w:next w:val="1"/>
    <w:link w:val="53"/>
    <w:autoRedefine/>
    <w:qFormat/>
    <w:uiPriority w:val="0"/>
    <w:pPr>
      <w:ind w:left="1559" w:hanging="1559"/>
      <w:outlineLvl w:val="8"/>
    </w:p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qFormat/>
    <w:uiPriority w:val="0"/>
    <w:pPr>
      <w:ind w:left="0" w:leftChars="0"/>
    </w:pPr>
    <w:rPr>
      <w:rFonts w:ascii="Times New Roman" w:hAnsi="Times New Roman" w:eastAsia="黑体"/>
      <w:sz w:val="24"/>
      <w:szCs w:val="22"/>
    </w:rPr>
  </w:style>
  <w:style w:type="paragraph" w:styleId="3">
    <w:name w:val="Date"/>
    <w:basedOn w:val="1"/>
    <w:next w:val="1"/>
    <w:qFormat/>
    <w:uiPriority w:val="0"/>
    <w:pPr>
      <w:ind w:left="100" w:leftChars="2500"/>
    </w:pPr>
    <w:rPr>
      <w:rFonts w:ascii="宋体" w:hAnsi="Courier New" w:cs="Courier New"/>
      <w:szCs w:val="21"/>
    </w:rPr>
  </w:style>
  <w:style w:type="paragraph" w:styleId="13">
    <w:name w:val="Normal Indent"/>
    <w:basedOn w:val="1"/>
    <w:link w:val="60"/>
    <w:qFormat/>
    <w:uiPriority w:val="0"/>
    <w:pPr>
      <w:ind w:firstLine="420" w:firstLineChars="200"/>
    </w:pPr>
  </w:style>
  <w:style w:type="paragraph" w:styleId="14">
    <w:name w:val="Document Map"/>
    <w:basedOn w:val="1"/>
    <w:link w:val="65"/>
    <w:autoRedefine/>
    <w:qFormat/>
    <w:uiPriority w:val="0"/>
    <w:rPr>
      <w:rFonts w:ascii="宋体"/>
      <w:sz w:val="18"/>
      <w:szCs w:val="18"/>
    </w:rPr>
  </w:style>
  <w:style w:type="paragraph" w:styleId="15">
    <w:name w:val="toa heading"/>
    <w:basedOn w:val="1"/>
    <w:next w:val="1"/>
    <w:semiHidden/>
    <w:qFormat/>
    <w:uiPriority w:val="99"/>
    <w:pPr>
      <w:spacing w:before="120"/>
    </w:pPr>
    <w:rPr>
      <w:rFonts w:ascii="Arial" w:hAnsi="Arial" w:cs="Arial"/>
      <w:sz w:val="24"/>
      <w:szCs w:val="24"/>
    </w:rPr>
  </w:style>
  <w:style w:type="paragraph" w:styleId="16">
    <w:name w:val="annotation text"/>
    <w:basedOn w:val="1"/>
    <w:link w:val="63"/>
    <w:qFormat/>
    <w:uiPriority w:val="0"/>
    <w:pPr>
      <w:jc w:val="left"/>
    </w:pPr>
  </w:style>
  <w:style w:type="paragraph" w:styleId="17">
    <w:name w:val="Body Text"/>
    <w:basedOn w:val="1"/>
    <w:next w:val="1"/>
    <w:qFormat/>
    <w:uiPriority w:val="0"/>
    <w:pPr>
      <w:spacing w:after="120"/>
    </w:pPr>
  </w:style>
  <w:style w:type="paragraph" w:styleId="18">
    <w:name w:val="Body Text Indent"/>
    <w:basedOn w:val="1"/>
    <w:next w:val="1"/>
    <w:qFormat/>
    <w:uiPriority w:val="0"/>
    <w:pPr>
      <w:ind w:firstLine="830" w:firstLineChars="352"/>
    </w:pPr>
    <w:rPr>
      <w:rFonts w:ascii="仿宋_GB2312" w:eastAsia="仿宋_GB2312"/>
      <w:sz w:val="32"/>
      <w:szCs w:val="20"/>
    </w:rPr>
  </w:style>
  <w:style w:type="paragraph" w:styleId="19">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0">
    <w:name w:val="toc 3"/>
    <w:basedOn w:val="1"/>
    <w:next w:val="1"/>
    <w:qFormat/>
    <w:uiPriority w:val="39"/>
    <w:pPr>
      <w:ind w:left="840" w:leftChars="400"/>
    </w:pPr>
  </w:style>
  <w:style w:type="paragraph" w:styleId="21">
    <w:name w:val="Plain Text"/>
    <w:basedOn w:val="1"/>
    <w:link w:val="57"/>
    <w:autoRedefine/>
    <w:qFormat/>
    <w:uiPriority w:val="0"/>
    <w:rPr>
      <w:rFonts w:ascii="宋体" w:hAnsi="Courier New"/>
      <w:szCs w:val="21"/>
    </w:rPr>
  </w:style>
  <w:style w:type="paragraph" w:styleId="22">
    <w:name w:val="Balloon Text"/>
    <w:basedOn w:val="1"/>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222"/>
      </w:tabs>
      <w:spacing w:line="440" w:lineRule="exact"/>
      <w:ind w:right="231" w:rightChars="110"/>
    </w:pPr>
    <w:rPr>
      <w:sz w:val="28"/>
    </w:rPr>
  </w:style>
  <w:style w:type="paragraph" w:styleId="26">
    <w:name w:val="toc 6"/>
    <w:basedOn w:val="1"/>
    <w:next w:val="1"/>
    <w:qFormat/>
    <w:uiPriority w:val="0"/>
    <w:pPr>
      <w:ind w:left="2100" w:leftChars="1000"/>
    </w:pPr>
    <w:rPr>
      <w:rFonts w:ascii="Times New Roman" w:hAnsi="Times New Roman" w:eastAsia="宋体" w:cs="Times New Roman"/>
    </w:rPr>
  </w:style>
  <w:style w:type="paragraph" w:styleId="27">
    <w:name w:val="Body Text Indent 3"/>
    <w:basedOn w:val="1"/>
    <w:link w:val="73"/>
    <w:autoRedefine/>
    <w:qFormat/>
    <w:uiPriority w:val="0"/>
    <w:pPr>
      <w:spacing w:after="120"/>
      <w:ind w:left="420" w:leftChars="200"/>
    </w:pPr>
    <w:rPr>
      <w:sz w:val="16"/>
      <w:szCs w:val="16"/>
    </w:rPr>
  </w:style>
  <w:style w:type="paragraph" w:styleId="28">
    <w:name w:val="toc 2"/>
    <w:basedOn w:val="1"/>
    <w:next w:val="1"/>
    <w:qFormat/>
    <w:uiPriority w:val="39"/>
    <w:pPr>
      <w:tabs>
        <w:tab w:val="right" w:leader="dot" w:pos="8222"/>
      </w:tabs>
      <w:ind w:left="420" w:leftChars="200"/>
      <w:jc w:val="left"/>
    </w:pPr>
    <w:rPr>
      <w:sz w:val="28"/>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5"/>
    <w:next w:val="1"/>
    <w:link w:val="44"/>
    <w:qFormat/>
    <w:uiPriority w:val="0"/>
    <w:pPr>
      <w:jc w:val="both"/>
    </w:pPr>
    <w:rPr>
      <w:sz w:val="44"/>
    </w:rPr>
  </w:style>
  <w:style w:type="paragraph" w:styleId="31">
    <w:name w:val="annotation subject"/>
    <w:basedOn w:val="16"/>
    <w:next w:val="16"/>
    <w:link w:val="62"/>
    <w:autoRedefine/>
    <w:qFormat/>
    <w:uiPriority w:val="99"/>
    <w:rPr>
      <w:rFonts w:ascii="Times New Roman" w:hAnsi="Times New Roman"/>
      <w:b/>
      <w:sz w:val="28"/>
      <w:szCs w:val="20"/>
    </w:rPr>
  </w:style>
  <w:style w:type="paragraph" w:styleId="32">
    <w:name w:val="Body Text First Indent"/>
    <w:basedOn w:val="17"/>
    <w:next w:val="26"/>
    <w:qFormat/>
    <w:uiPriority w:val="0"/>
    <w:pPr>
      <w:widowControl/>
      <w:ind w:firstLine="420" w:firstLineChars="100"/>
      <w:jc w:val="left"/>
    </w:pPr>
    <w:rPr>
      <w:rFonts w:ascii="Times New Roman" w:hAnsi="Times New Roman"/>
    </w:rPr>
  </w:style>
  <w:style w:type="paragraph" w:styleId="33">
    <w:name w:val="Body Text First Indent 2"/>
    <w:basedOn w:val="18"/>
    <w:qFormat/>
    <w:uiPriority w:val="0"/>
    <w:pPr>
      <w:ind w:firstLine="21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basedOn w:val="36"/>
    <w:autoRedefine/>
    <w:qFormat/>
    <w:uiPriority w:val="0"/>
    <w:rPr>
      <w:color w:val="333333"/>
      <w:u w:val="none"/>
    </w:rPr>
  </w:style>
  <w:style w:type="character" w:styleId="40">
    <w:name w:val="Hyperlink"/>
    <w:autoRedefine/>
    <w:qFormat/>
    <w:uiPriority w:val="99"/>
    <w:rPr>
      <w:color w:val="0000FF"/>
      <w:u w:val="single"/>
    </w:rPr>
  </w:style>
  <w:style w:type="character" w:styleId="41">
    <w:name w:val="annotation reference"/>
    <w:basedOn w:val="36"/>
    <w:autoRedefine/>
    <w:qFormat/>
    <w:uiPriority w:val="0"/>
    <w:rPr>
      <w:sz w:val="21"/>
      <w:szCs w:val="21"/>
    </w:rPr>
  </w:style>
  <w:style w:type="paragraph" w:customStyle="1" w:styleId="42">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3">
    <w:name w:val="case31"/>
    <w:autoRedefine/>
    <w:qFormat/>
    <w:uiPriority w:val="0"/>
    <w:rPr>
      <w:rFonts w:hint="default"/>
      <w:spacing w:val="390"/>
      <w:sz w:val="21"/>
      <w:szCs w:val="21"/>
    </w:rPr>
  </w:style>
  <w:style w:type="character" w:customStyle="1" w:styleId="44">
    <w:name w:val="标题 字符"/>
    <w:link w:val="30"/>
    <w:autoRedefine/>
    <w:qFormat/>
    <w:uiPriority w:val="0"/>
    <w:rPr>
      <w:rFonts w:ascii="宋体" w:hAnsi="宋体" w:eastAsia="宋体"/>
      <w:b/>
      <w:kern w:val="2"/>
      <w:sz w:val="44"/>
      <w:szCs w:val="28"/>
    </w:rPr>
  </w:style>
  <w:style w:type="character" w:customStyle="1" w:styleId="45">
    <w:name w:val="标题 1 字符"/>
    <w:link w:val="4"/>
    <w:autoRedefine/>
    <w:qFormat/>
    <w:uiPriority w:val="9"/>
    <w:rPr>
      <w:rFonts w:ascii="Calibri" w:hAnsi="Calibri"/>
      <w:b/>
      <w:bCs/>
      <w:kern w:val="44"/>
      <w:sz w:val="44"/>
      <w:szCs w:val="44"/>
    </w:rPr>
  </w:style>
  <w:style w:type="character" w:customStyle="1" w:styleId="46">
    <w:name w:val="标题 3 字符"/>
    <w:link w:val="6"/>
    <w:qFormat/>
    <w:uiPriority w:val="0"/>
    <w:rPr>
      <w:rFonts w:ascii="仿宋_GB2312" w:hAnsi="宋体" w:eastAsia="宋体"/>
      <w:b/>
      <w:kern w:val="2"/>
      <w:sz w:val="32"/>
      <w:szCs w:val="32"/>
    </w:rPr>
  </w:style>
  <w:style w:type="character" w:customStyle="1" w:styleId="47">
    <w:name w:val="标题 5 字符"/>
    <w:link w:val="8"/>
    <w:autoRedefine/>
    <w:qFormat/>
    <w:uiPriority w:val="0"/>
    <w:rPr>
      <w:rFonts w:ascii="Calibri" w:hAnsi="Calibri"/>
      <w:b/>
      <w:bCs/>
      <w:kern w:val="2"/>
      <w:sz w:val="28"/>
      <w:szCs w:val="28"/>
    </w:rPr>
  </w:style>
  <w:style w:type="character" w:customStyle="1" w:styleId="48">
    <w:name w:val="标题 2 字符"/>
    <w:link w:val="5"/>
    <w:autoRedefine/>
    <w:qFormat/>
    <w:uiPriority w:val="0"/>
    <w:rPr>
      <w:rFonts w:ascii="宋体" w:hAnsi="宋体" w:eastAsia="宋体"/>
      <w:b/>
      <w:kern w:val="2"/>
      <w:sz w:val="32"/>
      <w:szCs w:val="28"/>
    </w:rPr>
  </w:style>
  <w:style w:type="character" w:customStyle="1" w:styleId="49">
    <w:name w:val="标题 4 字符"/>
    <w:link w:val="7"/>
    <w:autoRedefine/>
    <w:qFormat/>
    <w:uiPriority w:val="0"/>
    <w:rPr>
      <w:rFonts w:ascii="Arial" w:hAnsi="Arial" w:eastAsia="黑体"/>
      <w:b/>
      <w:bCs/>
      <w:kern w:val="2"/>
      <w:sz w:val="28"/>
      <w:szCs w:val="28"/>
    </w:rPr>
  </w:style>
  <w:style w:type="character" w:customStyle="1" w:styleId="50">
    <w:name w:val="标题 6 字符"/>
    <w:link w:val="9"/>
    <w:autoRedefine/>
    <w:qFormat/>
    <w:uiPriority w:val="0"/>
    <w:rPr>
      <w:b/>
      <w:bCs/>
      <w:kern w:val="2"/>
      <w:sz w:val="30"/>
      <w:szCs w:val="18"/>
    </w:rPr>
  </w:style>
  <w:style w:type="character" w:customStyle="1" w:styleId="51">
    <w:name w:val="标题 7 字符"/>
    <w:link w:val="10"/>
    <w:autoRedefine/>
    <w:qFormat/>
    <w:uiPriority w:val="0"/>
    <w:rPr>
      <w:b/>
      <w:bCs/>
      <w:kern w:val="2"/>
      <w:sz w:val="30"/>
      <w:szCs w:val="18"/>
    </w:rPr>
  </w:style>
  <w:style w:type="character" w:customStyle="1" w:styleId="52">
    <w:name w:val="标题 8 字符"/>
    <w:link w:val="11"/>
    <w:autoRedefine/>
    <w:qFormat/>
    <w:uiPriority w:val="0"/>
    <w:rPr>
      <w:b/>
      <w:bCs/>
      <w:kern w:val="2"/>
      <w:sz w:val="30"/>
      <w:szCs w:val="18"/>
    </w:rPr>
  </w:style>
  <w:style w:type="character" w:customStyle="1" w:styleId="53">
    <w:name w:val="标题 9 字符"/>
    <w:link w:val="12"/>
    <w:autoRedefine/>
    <w:qFormat/>
    <w:uiPriority w:val="0"/>
    <w:rPr>
      <w:b/>
      <w:bCs/>
      <w:kern w:val="2"/>
      <w:sz w:val="30"/>
      <w:szCs w:val="18"/>
    </w:rPr>
  </w:style>
  <w:style w:type="paragraph" w:customStyle="1" w:styleId="54">
    <w:name w:val="列出段落1"/>
    <w:basedOn w:val="1"/>
    <w:autoRedefine/>
    <w:qFormat/>
    <w:uiPriority w:val="34"/>
    <w:pPr>
      <w:ind w:firstLine="420" w:firstLineChars="200"/>
    </w:pPr>
  </w:style>
  <w:style w:type="paragraph" w:customStyle="1" w:styleId="55">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6">
    <w:name w:val="页眉 字符"/>
    <w:link w:val="24"/>
    <w:autoRedefine/>
    <w:qFormat/>
    <w:uiPriority w:val="99"/>
    <w:rPr>
      <w:rFonts w:ascii="Calibri" w:hAnsi="Calibri" w:eastAsia="宋体" w:cs="Times New Roman"/>
      <w:kern w:val="2"/>
      <w:sz w:val="18"/>
      <w:szCs w:val="18"/>
    </w:rPr>
  </w:style>
  <w:style w:type="character" w:customStyle="1" w:styleId="57">
    <w:name w:val="纯文本 字符"/>
    <w:link w:val="21"/>
    <w:autoRedefine/>
    <w:qFormat/>
    <w:uiPriority w:val="0"/>
    <w:rPr>
      <w:rFonts w:ascii="宋体" w:hAnsi="Courier New" w:eastAsia="宋体" w:cs="Courier New"/>
      <w:kern w:val="2"/>
      <w:sz w:val="21"/>
      <w:szCs w:val="21"/>
    </w:rPr>
  </w:style>
  <w:style w:type="paragraph" w:customStyle="1" w:styleId="58">
    <w:name w:val="需求样式"/>
    <w:basedOn w:val="4"/>
    <w:link w:val="59"/>
    <w:autoRedefine/>
    <w:qFormat/>
    <w:uiPriority w:val="0"/>
    <w:pPr>
      <w:spacing w:before="120" w:after="120" w:line="360" w:lineRule="auto"/>
      <w:ind w:left="425" w:hanging="425"/>
    </w:pPr>
    <w:rPr>
      <w:rFonts w:ascii="Times New Roman" w:hAnsi="Times New Roman"/>
      <w:sz w:val="32"/>
      <w:szCs w:val="28"/>
    </w:rPr>
  </w:style>
  <w:style w:type="character" w:customStyle="1" w:styleId="59">
    <w:name w:val="需求样式 Char"/>
    <w:link w:val="58"/>
    <w:autoRedefine/>
    <w:qFormat/>
    <w:uiPriority w:val="0"/>
    <w:rPr>
      <w:b/>
      <w:bCs/>
      <w:kern w:val="44"/>
      <w:sz w:val="32"/>
      <w:szCs w:val="28"/>
    </w:rPr>
  </w:style>
  <w:style w:type="character" w:customStyle="1" w:styleId="60">
    <w:name w:val="正文缩进 字符"/>
    <w:link w:val="13"/>
    <w:autoRedefine/>
    <w:qFormat/>
    <w:uiPriority w:val="0"/>
    <w:rPr>
      <w:rFonts w:ascii="Calibri" w:hAnsi="Calibri" w:eastAsia="宋体"/>
      <w:kern w:val="2"/>
      <w:sz w:val="21"/>
      <w:szCs w:val="22"/>
      <w:lang w:val="en-US" w:eastAsia="zh-CN" w:bidi="ar-SA"/>
    </w:rPr>
  </w:style>
  <w:style w:type="character" w:customStyle="1" w:styleId="61">
    <w:name w:val="普通文字 Char Char2"/>
    <w:autoRedefine/>
    <w:qFormat/>
    <w:uiPriority w:val="0"/>
    <w:rPr>
      <w:rFonts w:ascii="宋体" w:hAnsi="Courier New" w:cs="Courier New"/>
      <w:kern w:val="2"/>
      <w:sz w:val="21"/>
      <w:szCs w:val="21"/>
    </w:rPr>
  </w:style>
  <w:style w:type="character" w:customStyle="1" w:styleId="62">
    <w:name w:val="批注主题 字符"/>
    <w:link w:val="31"/>
    <w:autoRedefine/>
    <w:qFormat/>
    <w:uiPriority w:val="99"/>
    <w:rPr>
      <w:b/>
      <w:kern w:val="2"/>
      <w:sz w:val="28"/>
    </w:rPr>
  </w:style>
  <w:style w:type="character" w:customStyle="1" w:styleId="63">
    <w:name w:val="批注文字 字符"/>
    <w:basedOn w:val="36"/>
    <w:link w:val="16"/>
    <w:autoRedefine/>
    <w:qFormat/>
    <w:uiPriority w:val="0"/>
    <w:rPr>
      <w:rFonts w:ascii="Calibri" w:hAnsi="Calibri"/>
      <w:kern w:val="2"/>
      <w:sz w:val="21"/>
      <w:szCs w:val="22"/>
    </w:rPr>
  </w:style>
  <w:style w:type="character" w:customStyle="1" w:styleId="64">
    <w:name w:val="批注主题 Char1"/>
    <w:basedOn w:val="63"/>
    <w:autoRedefine/>
    <w:qFormat/>
    <w:uiPriority w:val="0"/>
    <w:rPr>
      <w:rFonts w:ascii="Calibri" w:hAnsi="Calibri"/>
      <w:b/>
      <w:bCs/>
      <w:kern w:val="2"/>
      <w:sz w:val="21"/>
      <w:szCs w:val="22"/>
    </w:rPr>
  </w:style>
  <w:style w:type="character" w:customStyle="1" w:styleId="65">
    <w:name w:val="文档结构图 字符"/>
    <w:basedOn w:val="36"/>
    <w:link w:val="14"/>
    <w:autoRedefine/>
    <w:qFormat/>
    <w:uiPriority w:val="0"/>
    <w:rPr>
      <w:rFonts w:ascii="宋体" w:hAnsi="Calibri"/>
      <w:kern w:val="2"/>
      <w:sz w:val="18"/>
      <w:szCs w:val="18"/>
    </w:rPr>
  </w:style>
  <w:style w:type="paragraph" w:customStyle="1" w:styleId="66">
    <w:name w:val="修订1"/>
    <w:qFormat/>
    <w:uiPriority w:val="99"/>
    <w:rPr>
      <w:rFonts w:ascii="Calibri" w:hAnsi="Calibri" w:eastAsia="宋体" w:cs="Times New Roman"/>
      <w:kern w:val="2"/>
      <w:sz w:val="21"/>
      <w:szCs w:val="22"/>
      <w:lang w:val="en-US" w:eastAsia="zh-CN" w:bidi="ar-SA"/>
    </w:rPr>
  </w:style>
  <w:style w:type="paragraph" w:customStyle="1" w:styleId="67">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8">
    <w:name w:val="2册标题2 Char"/>
    <w:link w:val="69"/>
    <w:autoRedefine/>
    <w:qFormat/>
    <w:uiPriority w:val="0"/>
    <w:rPr>
      <w:rFonts w:ascii="Arial" w:hAnsi="Arial" w:eastAsia="黑体"/>
      <w:kern w:val="2"/>
      <w:sz w:val="30"/>
    </w:rPr>
  </w:style>
  <w:style w:type="paragraph" w:customStyle="1" w:styleId="69">
    <w:name w:val="2册标题2"/>
    <w:basedOn w:val="1"/>
    <w:next w:val="1"/>
    <w:link w:val="68"/>
    <w:autoRedefine/>
    <w:qFormat/>
    <w:uiPriority w:val="0"/>
    <w:pPr>
      <w:spacing w:beforeLines="50" w:afterLines="50" w:line="300" w:lineRule="auto"/>
      <w:outlineLvl w:val="1"/>
    </w:pPr>
    <w:rPr>
      <w:rFonts w:ascii="Arial" w:hAnsi="Arial" w:eastAsia="黑体"/>
      <w:sz w:val="30"/>
      <w:szCs w:val="20"/>
    </w:rPr>
  </w:style>
  <w:style w:type="paragraph" w:customStyle="1" w:styleId="70">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1">
    <w:name w:val="List Paragraph_e28a4b39-ba7e-4c4d-9ad9-ba510228f6f3"/>
    <w:basedOn w:val="1"/>
    <w:qFormat/>
    <w:uiPriority w:val="99"/>
    <w:pPr>
      <w:ind w:firstLine="420" w:firstLineChars="200"/>
    </w:pPr>
  </w:style>
  <w:style w:type="paragraph" w:customStyle="1" w:styleId="72">
    <w:name w:val="TOC Heading_a7a6b347-0562-4c7f-a34a-37813bd4bbd7"/>
    <w:basedOn w:val="4"/>
    <w:next w:val="1"/>
    <w:autoRedefine/>
    <w:qFormat/>
    <w:uiPriority w:val="39"/>
    <w:pPr>
      <w:widowControl/>
      <w:spacing w:before="240" w:after="0" w:line="259" w:lineRule="auto"/>
      <w:jc w:val="left"/>
      <w:outlineLvl w:val="9"/>
    </w:pPr>
    <w:rPr>
      <w:rFonts w:ascii="Cambria" w:hAnsi="Cambria" w:cs="宋体"/>
      <w:bCs w:val="0"/>
      <w:color w:val="376092"/>
      <w:kern w:val="0"/>
      <w:sz w:val="32"/>
      <w:szCs w:val="32"/>
    </w:rPr>
  </w:style>
  <w:style w:type="character" w:customStyle="1" w:styleId="73">
    <w:name w:val="正文文本缩进 3 字符"/>
    <w:basedOn w:val="36"/>
    <w:link w:val="27"/>
    <w:autoRedefine/>
    <w:qFormat/>
    <w:uiPriority w:val="0"/>
    <w:rPr>
      <w:rFonts w:ascii="Calibri" w:hAnsi="Calibri"/>
      <w:kern w:val="2"/>
      <w:sz w:val="16"/>
      <w:szCs w:val="16"/>
    </w:rPr>
  </w:style>
  <w:style w:type="paragraph" w:customStyle="1" w:styleId="7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76">
    <w:name w:val="font21"/>
    <w:autoRedefine/>
    <w:qFormat/>
    <w:uiPriority w:val="0"/>
    <w:rPr>
      <w:rFonts w:ascii="Arial" w:hAnsi="Arial" w:cs="Arial"/>
      <w:color w:val="FF0000"/>
      <w:sz w:val="20"/>
      <w:szCs w:val="20"/>
      <w:u w:val="none"/>
    </w:rPr>
  </w:style>
  <w:style w:type="character" w:customStyle="1" w:styleId="77">
    <w:name w:val="font31"/>
    <w:autoRedefine/>
    <w:qFormat/>
    <w:uiPriority w:val="0"/>
    <w:rPr>
      <w:rFonts w:hint="eastAsia" w:ascii="宋体" w:hAnsi="宋体" w:eastAsia="宋体" w:cs="宋体"/>
      <w:color w:val="FF0000"/>
      <w:sz w:val="20"/>
      <w:szCs w:val="20"/>
      <w:u w:val="none"/>
    </w:rPr>
  </w:style>
  <w:style w:type="character" w:customStyle="1" w:styleId="78">
    <w:name w:val="font01"/>
    <w:autoRedefine/>
    <w:qFormat/>
    <w:uiPriority w:val="0"/>
    <w:rPr>
      <w:rFonts w:hint="eastAsia" w:ascii="宋体" w:hAnsi="宋体" w:eastAsia="宋体" w:cs="宋体"/>
      <w:color w:val="FF0000"/>
      <w:sz w:val="20"/>
      <w:szCs w:val="20"/>
      <w:u w:val="single"/>
    </w:rPr>
  </w:style>
  <w:style w:type="character" w:customStyle="1" w:styleId="79">
    <w:name w:val="font11"/>
    <w:autoRedefine/>
    <w:qFormat/>
    <w:uiPriority w:val="0"/>
    <w:rPr>
      <w:rFonts w:hint="default" w:ascii="Arial" w:hAnsi="Arial" w:cs="Arial"/>
      <w:color w:val="FF0000"/>
      <w:sz w:val="20"/>
      <w:szCs w:val="20"/>
      <w:u w:val="single"/>
    </w:rPr>
  </w:style>
  <w:style w:type="paragraph" w:customStyle="1" w:styleId="80">
    <w:name w:val="No Spacing_bfaa14c9-ecd9-40fd-81dd-7aba2c1c22b9"/>
    <w:basedOn w:val="1"/>
    <w:autoRedefine/>
    <w:qFormat/>
    <w:uiPriority w:val="1"/>
    <w:rPr>
      <w:szCs w:val="24"/>
    </w:rPr>
  </w:style>
  <w:style w:type="paragraph" w:customStyle="1" w:styleId="81">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82">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3">
    <w:name w:val="标题 3_0_0"/>
    <w:basedOn w:val="84"/>
    <w:next w:val="82"/>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4">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5">
    <w:name w:val="正文文本缩进_1"/>
    <w:basedOn w:val="86"/>
    <w:autoRedefine/>
    <w:qFormat/>
    <w:uiPriority w:val="0"/>
    <w:pPr>
      <w:spacing w:line="500" w:lineRule="exact"/>
      <w:ind w:left="1588" w:leftChars="832" w:firstLine="433" w:firstLineChars="196"/>
    </w:pPr>
    <w:rPr>
      <w:kern w:val="0"/>
      <w:sz w:val="24"/>
    </w:rPr>
  </w:style>
  <w:style w:type="paragraph" w:customStyle="1" w:styleId="86">
    <w:name w:val="正文_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文本缩进_2"/>
    <w:basedOn w:val="88"/>
    <w:autoRedefine/>
    <w:qFormat/>
    <w:uiPriority w:val="0"/>
    <w:pPr>
      <w:spacing w:line="500" w:lineRule="exact"/>
      <w:ind w:left="1588" w:leftChars="832" w:firstLine="433" w:firstLineChars="196"/>
    </w:pPr>
    <w:rPr>
      <w:kern w:val="0"/>
      <w:sz w:val="24"/>
    </w:rPr>
  </w:style>
  <w:style w:type="paragraph" w:customStyle="1" w:styleId="88">
    <w:name w:val="正文_8"/>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9">
    <w:name w:val="Normal_11"/>
    <w:autoRedefine/>
    <w:qFormat/>
    <w:uiPriority w:val="0"/>
    <w:rPr>
      <w:rFonts w:ascii="黑体" w:hAnsi="黑体" w:eastAsia="黑体" w:cs="Times New Roman"/>
      <w:b/>
      <w:sz w:val="32"/>
      <w:szCs w:val="24"/>
      <w:lang w:val="en-US" w:eastAsia="zh-CN" w:bidi="ar-SA"/>
    </w:rPr>
  </w:style>
  <w:style w:type="paragraph" w:customStyle="1" w:styleId="90">
    <w:name w:val="正文文本_1"/>
    <w:basedOn w:val="91"/>
    <w:autoRedefine/>
    <w:qFormat/>
    <w:uiPriority w:val="0"/>
    <w:pPr>
      <w:spacing w:after="120"/>
    </w:pPr>
    <w:rPr>
      <w:kern w:val="0"/>
      <w:sz w:val="20"/>
    </w:rPr>
  </w:style>
  <w:style w:type="paragraph" w:customStyle="1" w:styleId="91">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93">
    <w:name w:val="采购正文"/>
    <w:autoRedefine/>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94">
    <w:name w:val="采购一级"/>
    <w:autoRedefine/>
    <w:qFormat/>
    <w:uiPriority w:val="0"/>
    <w:pPr>
      <w:snapToGrid w:val="0"/>
      <w:spacing w:line="560" w:lineRule="exact"/>
      <w:jc w:val="center"/>
    </w:pPr>
    <w:rPr>
      <w:rFonts w:ascii="方正小标宋简体" w:hAnsi="仿宋" w:eastAsia="方正小标宋简体" w:cs="Times New Roman"/>
      <w:b/>
      <w:kern w:val="44"/>
      <w:sz w:val="36"/>
      <w:szCs w:val="36"/>
      <w:lang w:val="en-US" w:eastAsia="zh-CN" w:bidi="ar-SA"/>
    </w:rPr>
  </w:style>
  <w:style w:type="paragraph" w:customStyle="1" w:styleId="95">
    <w:name w:val="Normal Indent1"/>
    <w:basedOn w:val="1"/>
    <w:qFormat/>
    <w:uiPriority w:val="0"/>
    <w:pPr>
      <w:ind w:firstLine="420" w:firstLineChars="200"/>
    </w:p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styleId="97">
    <w:name w:val="List Paragraph"/>
    <w:basedOn w:val="1"/>
    <w:qFormat/>
    <w:uiPriority w:val="99"/>
    <w:pPr>
      <w:ind w:firstLine="420" w:firstLineChars="200"/>
    </w:pPr>
  </w:style>
  <w:style w:type="paragraph" w:customStyle="1" w:styleId="9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19913</Words>
  <Characters>21112</Characters>
  <Lines>207</Lines>
  <Paragraphs>58</Paragraphs>
  <TotalTime>9</TotalTime>
  <ScaleCrop>false</ScaleCrop>
  <LinksUpToDate>false</LinksUpToDate>
  <CharactersWithSpaces>22906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2016-10-08T20:40:00Z</dcterms:created>
  <dc:creator>微软用户</dc:creator>
  <cp:lastModifiedBy>宽</cp:lastModifiedBy>
  <cp:lastPrinted>2021-07-12T20:06:00Z</cp:lastPrinted>
  <dcterms:modified xsi:type="dcterms:W3CDTF">2025-07-03T04:13:37Z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41F225BC5AA64D1C906F9E9F480442BB_13</vt:lpwstr>
  </property>
  <property fmtid="{D5CDD505-2E9C-101B-9397-08002B2CF9AE}" pid="4" name="KSOTemplateDocerSaveRecord">
    <vt:lpwstr>eyJoZGlkIjoiZmRkZjVlN2FjMGM4YTVkNTg5MzIzYWE1NWQyYTBkMjkiLCJ1c2VySWQiOiIyNzk0NzUwMDMifQ==</vt:lpwstr>
  </property>
</Properties>
</file>