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CF6DB">
      <w:pPr>
        <w:spacing w:line="480" w:lineRule="exact"/>
        <w:rPr>
          <w:rFonts w:hint="eastAsia" w:ascii="宋体" w:hAnsi="宋体" w:eastAsia="宋体" w:cs="宋体"/>
          <w:color w:val="auto"/>
          <w:sz w:val="24"/>
          <w:szCs w:val="24"/>
          <w:highlight w:val="none"/>
        </w:rPr>
      </w:pPr>
      <w:bookmarkStart w:id="0" w:name="EB776d769663d74e4699cd72d93f05cc45"/>
      <w:r>
        <w:rPr>
          <w:rFonts w:hint="eastAsia" w:ascii="宋体" w:hAnsi="宋体" w:eastAsia="宋体" w:cs="宋体"/>
          <w:color w:val="auto"/>
          <w:sz w:val="24"/>
          <w:szCs w:val="24"/>
          <w:highlight w:val="none"/>
        </w:rPr>
        <w:t xml:space="preserve"> </w:t>
      </w:r>
      <w:bookmarkEnd w:id="0"/>
    </w:p>
    <w:p w14:paraId="3DC8F0FC">
      <w:pPr>
        <w:spacing w:line="480" w:lineRule="exact"/>
        <w:jc w:val="right"/>
        <w:rPr>
          <w:rFonts w:hint="eastAsia" w:ascii="宋体" w:hAnsi="宋体" w:eastAsia="宋体" w:cs="宋体"/>
          <w:b/>
          <w:bCs/>
          <w:color w:val="auto"/>
          <w:sz w:val="36"/>
          <w:szCs w:val="36"/>
          <w:highlight w:val="none"/>
          <w:lang w:val="en-US" w:eastAsia="zh-CN"/>
        </w:rPr>
      </w:pPr>
      <w:bookmarkStart w:id="1" w:name="EBd1f1f1cbc738430f98f264ab6212c64a"/>
      <w:r>
        <w:rPr>
          <w:rFonts w:hint="eastAsia" w:ascii="宋体" w:hAnsi="宋体" w:eastAsia="宋体" w:cs="宋体"/>
          <w:color w:val="auto"/>
          <w:sz w:val="24"/>
          <w:szCs w:val="24"/>
          <w:highlight w:val="none"/>
        </w:rPr>
        <w:t xml:space="preserve"> </w:t>
      </w:r>
      <w:bookmarkEnd w:id="1"/>
    </w:p>
    <w:p w14:paraId="0A9B4E19">
      <w:pPr>
        <w:pStyle w:val="14"/>
        <w:numPr>
          <w:ilvl w:val="0"/>
          <w:numId w:val="0"/>
        </w:numPr>
        <w:tabs>
          <w:tab w:val="left" w:pos="780"/>
        </w:tabs>
        <w:ind w:leftChars="100" w:right="0" w:rightChars="0"/>
        <w:jc w:val="center"/>
        <w:rPr>
          <w:rFonts w:hint="eastAsia" w:ascii="宋体" w:hAnsi="宋体" w:eastAsia="宋体" w:cs="宋体"/>
          <w:b/>
          <w:bCs/>
          <w:color w:val="auto"/>
          <w:sz w:val="36"/>
          <w:szCs w:val="36"/>
          <w:highlight w:val="none"/>
          <w:lang w:val="en-US" w:eastAsia="zh-CN"/>
        </w:rPr>
      </w:pPr>
    </w:p>
    <w:p w14:paraId="65DCD274">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经发局采购零碳工业园区试点申报服务项目</w:t>
      </w:r>
    </w:p>
    <w:p w14:paraId="4FC2F0F6">
      <w:pPr>
        <w:pStyle w:val="31"/>
        <w:rPr>
          <w:rFonts w:hint="eastAsia" w:ascii="宋体" w:hAnsi="宋体" w:eastAsia="宋体" w:cs="宋体"/>
          <w:b/>
          <w:bCs/>
          <w:color w:val="auto"/>
          <w:sz w:val="52"/>
          <w:szCs w:val="52"/>
          <w:highlight w:val="none"/>
        </w:rPr>
      </w:pPr>
    </w:p>
    <w:p w14:paraId="193B177F">
      <w:pPr>
        <w:pStyle w:val="16"/>
        <w:rPr>
          <w:rFonts w:hint="eastAsia"/>
          <w:color w:val="auto"/>
        </w:rPr>
      </w:pPr>
    </w:p>
    <w:p w14:paraId="1959A255">
      <w:pPr>
        <w:pStyle w:val="31"/>
        <w:rPr>
          <w:rFonts w:hint="eastAsia" w:ascii="宋体" w:hAnsi="宋体" w:eastAsia="宋体" w:cs="宋体"/>
          <w:color w:val="auto"/>
          <w:highlight w:val="none"/>
        </w:rPr>
      </w:pPr>
    </w:p>
    <w:p w14:paraId="7EB2D39B">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竞争性磋商</w:t>
      </w:r>
      <w:r>
        <w:rPr>
          <w:rFonts w:hint="eastAsia" w:ascii="宋体" w:hAnsi="宋体" w:eastAsia="宋体" w:cs="宋体"/>
          <w:b/>
          <w:bCs/>
          <w:color w:val="auto"/>
          <w:sz w:val="52"/>
          <w:szCs w:val="52"/>
          <w:highlight w:val="none"/>
        </w:rPr>
        <w:t>文件</w:t>
      </w:r>
    </w:p>
    <w:p w14:paraId="466C3DF9">
      <w:pPr>
        <w:pStyle w:val="12"/>
        <w:numPr>
          <w:ilvl w:val="0"/>
          <w:numId w:val="0"/>
        </w:numPr>
        <w:ind w:leftChars="0" w:right="0" w:rightChars="0"/>
        <w:rPr>
          <w:rFonts w:hint="eastAsia" w:ascii="宋体" w:hAnsi="宋体" w:eastAsia="宋体" w:cs="宋体"/>
          <w:color w:val="auto"/>
          <w:highlight w:val="none"/>
        </w:rPr>
      </w:pPr>
    </w:p>
    <w:p w14:paraId="00E41D1B">
      <w:pPr>
        <w:pStyle w:val="13"/>
        <w:rPr>
          <w:rFonts w:hint="eastAsia" w:ascii="宋体" w:hAnsi="宋体" w:eastAsia="宋体" w:cs="宋体"/>
          <w:color w:val="auto"/>
          <w:highlight w:val="none"/>
        </w:rPr>
      </w:pPr>
    </w:p>
    <w:tbl>
      <w:tblPr>
        <w:tblStyle w:val="32"/>
        <w:tblpPr w:leftFromText="180" w:rightFromText="180" w:vertAnchor="text" w:horzAnchor="page" w:tblpX="1673" w:tblpY="1973"/>
        <w:tblOverlap w:val="never"/>
        <w:tblW w:w="8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421"/>
      </w:tblGrid>
      <w:tr w14:paraId="4090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59" w:hRule="atLeast"/>
        </w:trPr>
        <w:tc>
          <w:tcPr>
            <w:tcW w:w="8421" w:type="dxa"/>
            <w:noWrap w:val="0"/>
            <w:vAlign w:val="center"/>
          </w:tcPr>
          <w:p w14:paraId="73C99B06">
            <w:pPr>
              <w:spacing w:line="360" w:lineRule="auto"/>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采购人</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新疆准东经济技术开发区经济发展局</w:t>
            </w:r>
          </w:p>
        </w:tc>
      </w:tr>
      <w:tr w14:paraId="52A0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8" w:hRule="atLeast"/>
        </w:trPr>
        <w:tc>
          <w:tcPr>
            <w:tcW w:w="8421" w:type="dxa"/>
            <w:noWrap w:val="0"/>
            <w:vAlign w:val="center"/>
          </w:tcPr>
          <w:p w14:paraId="653C4B69">
            <w:pPr>
              <w:spacing w:line="360" w:lineRule="auto"/>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采购</w:t>
            </w:r>
            <w:r>
              <w:rPr>
                <w:rFonts w:hint="eastAsia" w:ascii="宋体" w:hAnsi="宋体" w:eastAsia="宋体" w:cs="宋体"/>
                <w:b/>
                <w:color w:val="auto"/>
                <w:sz w:val="30"/>
                <w:szCs w:val="30"/>
                <w:highlight w:val="none"/>
              </w:rPr>
              <w:t>代理机构：新疆昌盛方略项目管理有限公司</w:t>
            </w:r>
          </w:p>
        </w:tc>
      </w:tr>
      <w:tr w14:paraId="64B0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8" w:hRule="atLeast"/>
        </w:trPr>
        <w:tc>
          <w:tcPr>
            <w:tcW w:w="8421" w:type="dxa"/>
            <w:noWrap w:val="0"/>
            <w:vAlign w:val="center"/>
          </w:tcPr>
          <w:p w14:paraId="02A87CDD">
            <w:pPr>
              <w:spacing w:line="360" w:lineRule="auto"/>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CSFLZB-2025-142-FW</w:t>
            </w:r>
          </w:p>
        </w:tc>
      </w:tr>
    </w:tbl>
    <w:p w14:paraId="4733AE0B">
      <w:pPr>
        <w:pStyle w:val="11"/>
        <w:widowControl w:val="0"/>
        <w:numPr>
          <w:ilvl w:val="0"/>
          <w:numId w:val="0"/>
        </w:numPr>
        <w:jc w:val="both"/>
        <w:rPr>
          <w:rFonts w:hint="eastAsia" w:ascii="宋体" w:hAnsi="宋体" w:eastAsia="宋体" w:cs="宋体"/>
          <w:color w:val="auto"/>
          <w:sz w:val="24"/>
          <w:szCs w:val="24"/>
          <w:highlight w:val="none"/>
        </w:rPr>
      </w:pPr>
    </w:p>
    <w:p w14:paraId="52983251">
      <w:pPr>
        <w:pStyle w:val="11"/>
        <w:widowControl w:val="0"/>
        <w:numPr>
          <w:ilvl w:val="0"/>
          <w:numId w:val="0"/>
        </w:numPr>
        <w:jc w:val="both"/>
        <w:rPr>
          <w:rFonts w:hint="eastAsia" w:ascii="宋体" w:hAnsi="宋体" w:eastAsia="宋体" w:cs="宋体"/>
          <w:color w:val="auto"/>
          <w:sz w:val="24"/>
          <w:szCs w:val="24"/>
          <w:highlight w:val="none"/>
        </w:rPr>
      </w:pPr>
    </w:p>
    <w:p w14:paraId="28F07141">
      <w:pPr>
        <w:pStyle w:val="11"/>
        <w:widowControl w:val="0"/>
        <w:numPr>
          <w:ilvl w:val="0"/>
          <w:numId w:val="0"/>
        </w:numPr>
        <w:jc w:val="both"/>
        <w:rPr>
          <w:rFonts w:hint="eastAsia" w:ascii="宋体" w:hAnsi="宋体" w:eastAsia="宋体" w:cs="宋体"/>
          <w:color w:val="auto"/>
          <w:sz w:val="24"/>
          <w:szCs w:val="24"/>
          <w:highlight w:val="none"/>
        </w:rPr>
      </w:pPr>
    </w:p>
    <w:p w14:paraId="3313D55B">
      <w:pPr>
        <w:pStyle w:val="11"/>
        <w:widowControl w:val="0"/>
        <w:numPr>
          <w:ilvl w:val="0"/>
          <w:numId w:val="0"/>
        </w:numPr>
        <w:jc w:val="both"/>
        <w:rPr>
          <w:rFonts w:hint="eastAsia" w:ascii="宋体" w:hAnsi="宋体" w:eastAsia="宋体" w:cs="宋体"/>
          <w:color w:val="auto"/>
          <w:sz w:val="24"/>
          <w:szCs w:val="24"/>
          <w:highlight w:val="none"/>
        </w:rPr>
      </w:pPr>
    </w:p>
    <w:p w14:paraId="5133D683">
      <w:pPr>
        <w:pStyle w:val="11"/>
        <w:widowControl w:val="0"/>
        <w:numPr>
          <w:ilvl w:val="0"/>
          <w:numId w:val="0"/>
        </w:numPr>
        <w:jc w:val="both"/>
        <w:rPr>
          <w:rFonts w:hint="eastAsia" w:ascii="宋体" w:hAnsi="宋体" w:eastAsia="宋体" w:cs="宋体"/>
          <w:color w:val="auto"/>
          <w:sz w:val="24"/>
          <w:szCs w:val="24"/>
          <w:highlight w:val="none"/>
        </w:rPr>
      </w:pPr>
    </w:p>
    <w:sdt>
      <w:sdtPr>
        <w:rPr>
          <w:rFonts w:hint="eastAsia" w:ascii="宋体" w:hAnsi="宋体" w:eastAsia="宋体" w:cs="宋体"/>
          <w:color w:val="auto"/>
          <w:kern w:val="2"/>
          <w:sz w:val="21"/>
          <w:szCs w:val="22"/>
          <w:highlight w:val="none"/>
          <w:lang w:val="en-US" w:eastAsia="zh-CN" w:bidi="ar-SA"/>
        </w:rPr>
        <w:id w:val="147479248"/>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386773D7">
          <w:pPr>
            <w:spacing w:before="0" w:beforeLines="0" w:after="0" w:afterLines="0" w:line="600" w:lineRule="auto"/>
            <w:ind w:left="0" w:leftChars="0" w:right="0" w:rightChars="0" w:firstLine="0" w:firstLineChars="0"/>
            <w:jc w:val="center"/>
            <w:rPr>
              <w:rFonts w:hint="eastAsia" w:ascii="宋体" w:hAnsi="宋体" w:eastAsia="宋体" w:cs="宋体"/>
              <w:color w:val="auto"/>
              <w:kern w:val="2"/>
              <w:sz w:val="21"/>
              <w:szCs w:val="22"/>
              <w:highlight w:val="none"/>
              <w:lang w:val="en-US" w:eastAsia="zh-CN" w:bidi="ar-SA"/>
            </w:rPr>
          </w:pPr>
        </w:p>
        <w:p w14:paraId="47CDF19C">
          <w:pPr>
            <w:spacing w:before="0" w:beforeLines="0" w:after="0" w:afterLines="0" w:line="600" w:lineRule="auto"/>
            <w:ind w:left="0" w:leftChars="0" w:right="0" w:rightChars="0" w:firstLine="0" w:firstLineChars="0"/>
            <w:jc w:val="center"/>
            <w:rPr>
              <w:rFonts w:hint="eastAsia" w:ascii="宋体" w:hAnsi="宋体" w:eastAsia="宋体" w:cs="宋体"/>
              <w:color w:val="auto"/>
              <w:kern w:val="2"/>
              <w:sz w:val="21"/>
              <w:szCs w:val="22"/>
              <w:highlight w:val="none"/>
              <w:lang w:val="en-US" w:eastAsia="zh-CN" w:bidi="ar-SA"/>
            </w:rPr>
          </w:pPr>
        </w:p>
        <w:p w14:paraId="79566751">
          <w:pPr>
            <w:spacing w:before="0" w:beforeLines="0" w:after="0" w:afterLines="0" w:line="600" w:lineRule="auto"/>
            <w:ind w:left="0" w:leftChars="0" w:right="0" w:rightChars="0" w:firstLine="0" w:firstLineChars="0"/>
            <w:jc w:val="center"/>
            <w:rPr>
              <w:rFonts w:hint="eastAsia" w:ascii="宋体" w:hAnsi="宋体" w:eastAsia="宋体" w:cs="宋体"/>
              <w:color w:val="auto"/>
              <w:kern w:val="2"/>
              <w:sz w:val="21"/>
              <w:szCs w:val="22"/>
              <w:highlight w:val="none"/>
              <w:lang w:val="en-US" w:eastAsia="zh-CN" w:bidi="ar-SA"/>
            </w:rPr>
          </w:pPr>
        </w:p>
        <w:p w14:paraId="58801DF3">
          <w:pPr>
            <w:spacing w:line="360" w:lineRule="auto"/>
            <w:jc w:val="center"/>
            <w:rPr>
              <w:rFonts w:hint="eastAsia" w:ascii="宋体" w:hAnsi="宋体" w:eastAsia="宋体" w:cs="宋体"/>
              <w:b/>
              <w:bCs/>
              <w:color w:val="auto"/>
              <w:sz w:val="48"/>
              <w:szCs w:val="48"/>
              <w:highlight w:val="none"/>
            </w:rPr>
          </w:pPr>
        </w:p>
        <w:p w14:paraId="164E8875">
          <w:pPr>
            <w:spacing w:line="360" w:lineRule="auto"/>
            <w:jc w:val="center"/>
            <w:rPr>
              <w:rFonts w:hint="eastAsia" w:ascii="宋体" w:hAnsi="宋体" w:eastAsia="宋体" w:cs="宋体"/>
              <w:b/>
              <w:bCs/>
              <w:color w:val="auto"/>
              <w:sz w:val="48"/>
              <w:szCs w:val="48"/>
              <w:highlight w:val="none"/>
            </w:rPr>
          </w:pPr>
        </w:p>
        <w:p w14:paraId="4B062340">
          <w:pPr>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经发局采购零碳工业园区试点申报服务项目</w:t>
          </w:r>
        </w:p>
        <w:p w14:paraId="47F2931E">
          <w:pPr>
            <w:pageBreakBefore w:val="0"/>
            <w:wordWrap/>
            <w:topLinePunct w:val="0"/>
            <w:bidi w:val="0"/>
            <w:spacing w:line="360" w:lineRule="auto"/>
            <w:jc w:val="both"/>
            <w:outlineLvl w:val="0"/>
            <w:rPr>
              <w:rFonts w:hint="eastAsia" w:ascii="宋体" w:hAnsi="宋体" w:eastAsia="宋体" w:cs="宋体"/>
              <w:b/>
              <w:bCs/>
              <w:color w:val="auto"/>
              <w:sz w:val="44"/>
              <w:szCs w:val="44"/>
            </w:rPr>
          </w:pPr>
          <w:bookmarkStart w:id="2" w:name="_Toc15779"/>
        </w:p>
        <w:p w14:paraId="6F9F28F3">
          <w:pPr>
            <w:pageBreakBefore w:val="0"/>
            <w:wordWrap/>
            <w:topLinePunct w:val="0"/>
            <w:bidi w:val="0"/>
            <w:spacing w:line="360" w:lineRule="auto"/>
            <w:jc w:val="center"/>
            <w:outlineLvl w:val="0"/>
            <w:rPr>
              <w:rFonts w:hint="eastAsia" w:ascii="黑体" w:hAnsi="黑体" w:eastAsia="黑体" w:cs="黑体"/>
              <w:b/>
              <w:bCs/>
              <w:color w:val="auto"/>
              <w:sz w:val="72"/>
              <w:szCs w:val="72"/>
            </w:rPr>
          </w:pPr>
          <w:bookmarkStart w:id="3" w:name="_Toc29827"/>
          <w:r>
            <w:rPr>
              <w:rFonts w:hint="eastAsia" w:ascii="黑体" w:hAnsi="黑体" w:eastAsia="黑体" w:cs="黑体"/>
              <w:b/>
              <w:bCs/>
              <w:color w:val="auto"/>
              <w:sz w:val="72"/>
              <w:szCs w:val="72"/>
            </w:rPr>
            <w:t>竞争性磋商文件</w:t>
          </w:r>
          <w:bookmarkEnd w:id="2"/>
          <w:bookmarkEnd w:id="3"/>
        </w:p>
        <w:p w14:paraId="10577293">
          <w:pPr>
            <w:pageBreakBefore w:val="0"/>
            <w:wordWrap/>
            <w:topLinePunct w:val="0"/>
            <w:bidi w:val="0"/>
            <w:spacing w:line="420" w:lineRule="exact"/>
            <w:rPr>
              <w:rFonts w:hint="eastAsia" w:ascii="宋体" w:hAnsi="宋体" w:eastAsia="宋体" w:cs="宋体"/>
              <w:color w:val="auto"/>
              <w:sz w:val="28"/>
              <w:szCs w:val="28"/>
            </w:rPr>
          </w:pPr>
        </w:p>
        <w:p w14:paraId="0568F00D">
          <w:pPr>
            <w:pStyle w:val="42"/>
            <w:pageBreakBefore w:val="0"/>
            <w:topLinePunct w:val="0"/>
            <w:bidi w:val="0"/>
            <w:spacing w:line="420" w:lineRule="exact"/>
            <w:rPr>
              <w:rFonts w:hint="eastAsia" w:ascii="宋体" w:hAnsi="宋体" w:eastAsia="宋体" w:cs="宋体"/>
              <w:color w:val="auto"/>
              <w:sz w:val="28"/>
              <w:szCs w:val="28"/>
            </w:rPr>
          </w:pPr>
        </w:p>
        <w:p w14:paraId="78D4407C">
          <w:pPr>
            <w:pStyle w:val="42"/>
            <w:pageBreakBefore w:val="0"/>
            <w:topLinePunct w:val="0"/>
            <w:bidi w:val="0"/>
            <w:spacing w:line="420" w:lineRule="exact"/>
            <w:rPr>
              <w:rFonts w:hint="eastAsia" w:ascii="宋体" w:hAnsi="宋体" w:eastAsia="宋体" w:cs="宋体"/>
              <w:color w:val="auto"/>
              <w:sz w:val="28"/>
              <w:szCs w:val="28"/>
            </w:rPr>
          </w:pPr>
        </w:p>
        <w:p w14:paraId="6332934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采购人：新疆准东经济技术开发区经济发展局</w:t>
          </w:r>
        </w:p>
        <w:p w14:paraId="73A28DE2">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 xml:space="preserve">项目联系人：陈女士 </w:t>
          </w:r>
        </w:p>
        <w:p w14:paraId="6FAA3494">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 xml:space="preserve">联系电话： </w:t>
          </w:r>
          <w:r>
            <w:rPr>
              <w:rFonts w:hint="eastAsia" w:ascii="宋体" w:hAnsi="宋体" w:cs="宋体"/>
              <w:b w:val="0"/>
              <w:bCs/>
              <w:snapToGrid w:val="0"/>
              <w:color w:val="auto"/>
              <w:kern w:val="0"/>
              <w:sz w:val="30"/>
              <w:szCs w:val="30"/>
              <w:highlight w:val="none"/>
              <w:lang w:val="en-US" w:eastAsia="zh-CN"/>
            </w:rPr>
            <w:t>18299096085</w:t>
          </w:r>
          <w:r>
            <w:rPr>
              <w:rFonts w:hint="eastAsia" w:ascii="宋体" w:hAnsi="宋体" w:eastAsia="宋体" w:cs="宋体"/>
              <w:b w:val="0"/>
              <w:bCs/>
              <w:snapToGrid w:val="0"/>
              <w:color w:val="auto"/>
              <w:kern w:val="0"/>
              <w:sz w:val="30"/>
              <w:szCs w:val="30"/>
              <w:highlight w:val="none"/>
              <w:lang w:val="en-US" w:eastAsia="zh-CN"/>
            </w:rPr>
            <w:t xml:space="preserve"> </w:t>
          </w:r>
        </w:p>
        <w:p w14:paraId="69F2EA99">
          <w:pPr>
            <w:pageBreakBefore w:val="0"/>
            <w:widowControl w:val="0"/>
            <w:shd w:val="clear"/>
            <w:kinsoku w:val="0"/>
            <w:wordWrap/>
            <w:overflowPunct/>
            <w:topLinePunct w:val="0"/>
            <w:autoSpaceDE w:val="0"/>
            <w:autoSpaceDN w:val="0"/>
            <w:bidi w:val="0"/>
            <w:adjustRightInd w:val="0"/>
            <w:snapToGrid w:val="0"/>
            <w:spacing w:line="480" w:lineRule="auto"/>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p>
        <w:p w14:paraId="5DC39BF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采购代理机构：新疆昌盛方略项目管理有限公司</w:t>
          </w:r>
        </w:p>
        <w:p w14:paraId="51EB2A02">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项目联系人：蔚女士、努女士</w:t>
          </w:r>
        </w:p>
        <w:p w14:paraId="1CB74814">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联系电话：0994-8165002、18699479057</w:t>
          </w:r>
        </w:p>
        <w:p w14:paraId="40B9D17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联系地址：新疆昌吉回族自治州昌吉市南公园西路融投小镇1号楼A座14层（昌吉州国投大厦1幢14楼1419）</w:t>
          </w:r>
        </w:p>
        <w:p w14:paraId="3117361E">
          <w:pPr>
            <w:pStyle w:val="42"/>
            <w:rPr>
              <w:rFonts w:hint="eastAsia" w:ascii="宋体" w:hAnsi="宋体" w:eastAsia="宋体" w:cs="宋体"/>
              <w:b w:val="0"/>
              <w:bCs/>
              <w:snapToGrid w:val="0"/>
              <w:color w:val="auto"/>
              <w:kern w:val="0"/>
              <w:sz w:val="30"/>
              <w:szCs w:val="30"/>
              <w:highlight w:val="none"/>
              <w:lang w:val="en-US" w:eastAsia="zh-CN"/>
            </w:rPr>
          </w:pPr>
        </w:p>
        <w:p w14:paraId="57A0A236">
          <w:pPr>
            <w:pStyle w:val="42"/>
            <w:rPr>
              <w:rFonts w:hint="eastAsia" w:ascii="宋体" w:hAnsi="宋体" w:eastAsia="宋体" w:cs="宋体"/>
              <w:b w:val="0"/>
              <w:bCs/>
              <w:snapToGrid w:val="0"/>
              <w:color w:val="auto"/>
              <w:kern w:val="0"/>
              <w:sz w:val="30"/>
              <w:szCs w:val="30"/>
              <w:highlight w:val="none"/>
              <w:lang w:val="en-US" w:eastAsia="zh-CN"/>
            </w:rPr>
          </w:pPr>
        </w:p>
        <w:p w14:paraId="623CFE68">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center"/>
            <w:textAlignment w:val="baseline"/>
            <w:outlineLvl w:val="9"/>
            <w:rPr>
              <w:rFonts w:hint="eastAsia" w:ascii="宋体" w:hAnsi="宋体" w:eastAsia="宋体" w:cs="宋体"/>
              <w:b w:val="0"/>
              <w:bCs/>
              <w:snapToGrid w:val="0"/>
              <w:color w:val="auto"/>
              <w:kern w:val="0"/>
              <w:sz w:val="30"/>
              <w:szCs w:val="30"/>
              <w:highlight w:val="none"/>
              <w:lang w:val="en-US" w:eastAsia="zh-CN"/>
            </w:rPr>
          </w:pPr>
          <w:r>
            <w:rPr>
              <w:rFonts w:hint="eastAsia" w:ascii="宋体" w:hAnsi="宋体" w:eastAsia="宋体" w:cs="宋体"/>
              <w:b w:val="0"/>
              <w:bCs/>
              <w:snapToGrid w:val="0"/>
              <w:color w:val="auto"/>
              <w:kern w:val="0"/>
              <w:sz w:val="30"/>
              <w:szCs w:val="30"/>
              <w:highlight w:val="none"/>
              <w:lang w:val="en-US" w:eastAsia="zh-CN"/>
            </w:rPr>
            <w:t>二0二五年六月</w:t>
          </w:r>
        </w:p>
        <w:p w14:paraId="1D899AA8">
          <w:pPr>
            <w:spacing w:before="0" w:beforeLines="0" w:after="0" w:afterLines="0" w:line="600" w:lineRule="auto"/>
            <w:ind w:left="0" w:leftChars="0" w:right="0" w:rightChars="0" w:firstLine="0" w:firstLineChars="0"/>
            <w:jc w:val="center"/>
            <w:rPr>
              <w:rFonts w:hint="eastAsia" w:ascii="宋体" w:hAnsi="宋体" w:eastAsia="宋体" w:cs="宋体"/>
              <w:color w:val="auto"/>
              <w:sz w:val="28"/>
              <w:szCs w:val="28"/>
              <w:highlight w:val="none"/>
            </w:rPr>
          </w:pPr>
        </w:p>
        <w:p w14:paraId="0F6795CA">
          <w:pPr>
            <w:spacing w:before="0" w:beforeLines="0" w:after="0" w:afterLines="0" w:line="600" w:lineRule="auto"/>
            <w:ind w:left="0" w:leftChars="0" w:right="0" w:rightChars="0" w:firstLine="0" w:firstLineChars="0"/>
            <w:jc w:val="center"/>
            <w:rPr>
              <w:rFonts w:hint="eastAsia" w:ascii="宋体" w:hAnsi="宋体" w:eastAsia="宋体" w:cs="宋体"/>
              <w:color w:val="auto"/>
              <w:sz w:val="28"/>
              <w:szCs w:val="28"/>
              <w:highlight w:val="none"/>
            </w:rPr>
          </w:pPr>
        </w:p>
        <w:p w14:paraId="1BF8FBDE">
          <w:pPr>
            <w:spacing w:before="0" w:beforeLines="0" w:after="0" w:afterLines="0" w:line="60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2F2949AB">
          <w:pPr>
            <w:pStyle w:val="177"/>
            <w:tabs>
              <w:tab w:val="right" w:leader="dot" w:pos="907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65F3716A">
          <w:pPr>
            <w:pStyle w:val="177"/>
            <w:tabs>
              <w:tab w:val="right" w:leader="dot" w:pos="907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9A931E">
          <w:pPr>
            <w:pStyle w:val="177"/>
            <w:tabs>
              <w:tab w:val="right" w:leader="dot" w:pos="907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DC4AAF">
          <w:pPr>
            <w:pStyle w:val="177"/>
            <w:tabs>
              <w:tab w:val="right" w:leader="dot" w:pos="9070"/>
            </w:tabs>
            <w:spacing w:line="60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713C4FDD">
          <w:pPr>
            <w:pStyle w:val="177"/>
            <w:tabs>
              <w:tab w:val="right" w:leader="dot" w:pos="907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第四章 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_Toc5938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7EB174">
          <w:pPr>
            <w:pStyle w:val="177"/>
            <w:tabs>
              <w:tab w:val="right" w:leader="dot" w:pos="9070"/>
            </w:tabs>
            <w:spacing w:line="6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_Toc11344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第五章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_Toc11344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8B1459">
          <w:pPr>
            <w:pStyle w:val="177"/>
            <w:tabs>
              <w:tab w:val="right" w:leader="dot" w:pos="9070"/>
            </w:tabs>
            <w:spacing w:line="60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highlight w:val="none"/>
            </w:rPr>
            <w:t>第六章 竞争性磋商响应文件格式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0CB69F1E">
          <w:pPr>
            <w:pStyle w:val="177"/>
            <w:tabs>
              <w:tab w:val="right" w:leader="dot" w:pos="9070"/>
            </w:tabs>
            <w:spacing w:line="600" w:lineRule="auto"/>
            <w:rPr>
              <w:rFonts w:hint="eastAsia" w:ascii="宋体" w:hAnsi="宋体" w:eastAsia="宋体" w:cs="宋体"/>
              <w:color w:val="auto"/>
              <w:sz w:val="28"/>
              <w:szCs w:val="28"/>
              <w:highlight w:val="none"/>
            </w:rPr>
          </w:pPr>
        </w:p>
        <w:p w14:paraId="5A04DEF3">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fldChar w:fldCharType="end"/>
          </w:r>
        </w:p>
      </w:sdtContent>
    </w:sdt>
    <w:p w14:paraId="1FE4A94E">
      <w:pPr>
        <w:pStyle w:val="12"/>
        <w:spacing w:line="480" w:lineRule="exact"/>
        <w:rPr>
          <w:rFonts w:hint="eastAsia" w:ascii="宋体" w:hAnsi="宋体" w:eastAsia="宋体" w:cs="宋体"/>
          <w:color w:val="auto"/>
          <w:sz w:val="24"/>
          <w:szCs w:val="24"/>
          <w:highlight w:val="none"/>
        </w:rPr>
      </w:pPr>
    </w:p>
    <w:p w14:paraId="605796AA">
      <w:pPr>
        <w:spacing w:line="480" w:lineRule="exact"/>
        <w:rPr>
          <w:rFonts w:hint="eastAsia" w:ascii="宋体" w:hAnsi="宋体" w:eastAsia="宋体" w:cs="宋体"/>
          <w:color w:val="auto"/>
          <w:sz w:val="24"/>
          <w:szCs w:val="24"/>
          <w:highlight w:val="none"/>
        </w:rPr>
      </w:pPr>
    </w:p>
    <w:p w14:paraId="67FE94BE">
      <w:pPr>
        <w:spacing w:line="480" w:lineRule="exact"/>
        <w:rPr>
          <w:rFonts w:hint="eastAsia" w:ascii="宋体" w:hAnsi="宋体" w:eastAsia="宋体" w:cs="宋体"/>
          <w:color w:val="auto"/>
          <w:sz w:val="24"/>
          <w:szCs w:val="24"/>
          <w:highlight w:val="none"/>
        </w:rPr>
      </w:pPr>
    </w:p>
    <w:p w14:paraId="5AF204B9">
      <w:pPr>
        <w:pStyle w:val="2"/>
        <w:numPr>
          <w:ilvl w:val="0"/>
          <w:numId w:val="3"/>
        </w:numPr>
        <w:spacing w:before="0" w:after="0" w:line="600" w:lineRule="auto"/>
        <w:jc w:val="center"/>
        <w:rPr>
          <w:rFonts w:hint="eastAsia" w:ascii="宋体" w:hAnsi="宋体" w:eastAsia="宋体" w:cs="宋体"/>
          <w:b/>
          <w:bCs w:val="0"/>
          <w:color w:val="auto"/>
          <w:sz w:val="24"/>
          <w:szCs w:val="24"/>
          <w:highlight w:val="none"/>
        </w:rPr>
        <w:sectPr>
          <w:headerReference r:id="rId3" w:type="default"/>
          <w:footerReference r:id="rId4" w:type="default"/>
          <w:pgSz w:w="11906" w:h="16838"/>
          <w:pgMar w:top="1417" w:right="1418" w:bottom="1417" w:left="1418" w:header="851" w:footer="850" w:gutter="0"/>
          <w:cols w:space="720" w:num="1"/>
          <w:docGrid w:type="lines" w:linePitch="312" w:charSpace="0"/>
        </w:sectPr>
      </w:pPr>
      <w:bookmarkStart w:id="4" w:name="_Toc10054"/>
      <w:bookmarkStart w:id="5" w:name="_Toc1833"/>
    </w:p>
    <w:p w14:paraId="1D31FE0C">
      <w:pPr>
        <w:pStyle w:val="2"/>
        <w:numPr>
          <w:ilvl w:val="0"/>
          <w:numId w:val="3"/>
        </w:numPr>
        <w:spacing w:before="0" w:after="0" w:line="440" w:lineRule="exact"/>
        <w:jc w:val="center"/>
        <w:rPr>
          <w:rFonts w:hint="eastAsia" w:ascii="宋体" w:hAnsi="宋体" w:eastAsia="宋体" w:cs="宋体"/>
          <w:b/>
          <w:bCs w:val="0"/>
          <w:color w:val="auto"/>
          <w:sz w:val="24"/>
          <w:szCs w:val="24"/>
          <w:highlight w:val="none"/>
        </w:rPr>
      </w:pPr>
      <w:bookmarkStart w:id="6" w:name="_Toc26273"/>
      <w:bookmarkStart w:id="7" w:name="_Toc6"/>
      <w:bookmarkStart w:id="8" w:name="_Toc27566"/>
      <w:r>
        <w:rPr>
          <w:rFonts w:hint="eastAsia" w:ascii="宋体" w:hAnsi="宋体" w:eastAsia="宋体" w:cs="宋体"/>
          <w:b/>
          <w:bCs w:val="0"/>
          <w:color w:val="auto"/>
          <w:sz w:val="24"/>
          <w:szCs w:val="24"/>
          <w:highlight w:val="none"/>
        </w:rPr>
        <w:t>竞争性磋商公告</w:t>
      </w:r>
      <w:bookmarkEnd w:id="4"/>
      <w:bookmarkEnd w:id="5"/>
      <w:bookmarkEnd w:id="6"/>
      <w:bookmarkEnd w:id="7"/>
      <w:bookmarkEnd w:id="8"/>
    </w:p>
    <w:tbl>
      <w:tblPr>
        <w:tblStyle w:val="32"/>
        <w:tblW w:w="102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80"/>
      </w:tblGrid>
      <w:tr w14:paraId="7230B0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90" w:hRule="atLeast"/>
        </w:trPr>
        <w:tc>
          <w:tcPr>
            <w:tcW w:w="102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1774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highlight w:val="none"/>
              </w:rPr>
            </w:pPr>
            <w:bookmarkStart w:id="9" w:name="_Toc531075008"/>
            <w:bookmarkStart w:id="10" w:name="_Toc10571"/>
            <w:bookmarkStart w:id="11" w:name="_Toc532543564"/>
            <w:r>
              <w:rPr>
                <w:rFonts w:hint="eastAsia" w:ascii="宋体" w:hAnsi="宋体" w:eastAsia="宋体" w:cs="宋体"/>
                <w:b/>
                <w:bCs/>
                <w:i w:val="0"/>
                <w:iCs w:val="0"/>
                <w:caps w:val="0"/>
                <w:color w:val="auto"/>
                <w:spacing w:val="0"/>
                <w:kern w:val="0"/>
                <w:sz w:val="24"/>
                <w:szCs w:val="24"/>
                <w:highlight w:val="none"/>
                <w:lang w:val="en-US" w:eastAsia="zh-CN" w:bidi="ar"/>
              </w:rPr>
              <w:t>项目概况</w:t>
            </w:r>
          </w:p>
          <w:p w14:paraId="07680773">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rPr>
                <w:rFonts w:hint="eastAsia" w:ascii="宋体" w:hAnsi="宋体" w:eastAsia="宋体" w:cs="宋体"/>
                <w:color w:val="auto"/>
                <w:sz w:val="24"/>
                <w:szCs w:val="24"/>
                <w:highlight w:val="none"/>
              </w:rPr>
            </w:pPr>
            <w:r>
              <w:rPr>
                <w:rFonts w:hint="eastAsia" w:cs="宋体"/>
                <w:color w:val="auto"/>
                <w:szCs w:val="24"/>
                <w:highlight w:val="none"/>
                <w:lang w:eastAsia="zh-CN"/>
              </w:rPr>
              <w:t>经发局采购零碳工业园区试点申报服务项目</w:t>
            </w:r>
            <w:r>
              <w:rPr>
                <w:rFonts w:hint="eastAsia" w:ascii="宋体" w:hAnsi="宋体" w:eastAsia="宋体" w:cs="宋体"/>
                <w:i w:val="0"/>
                <w:iCs w:val="0"/>
                <w:caps w:val="0"/>
                <w:color w:val="auto"/>
                <w:spacing w:val="0"/>
                <w:sz w:val="24"/>
                <w:szCs w:val="24"/>
                <w:highlight w:val="none"/>
              </w:rPr>
              <w:t>的潜在</w:t>
            </w:r>
            <w:r>
              <w:rPr>
                <w:rFonts w:hint="eastAsia" w:ascii="宋体" w:hAnsi="宋体" w:eastAsia="宋体" w:cs="宋体"/>
                <w:i w:val="0"/>
                <w:iCs w:val="0"/>
                <w:caps w:val="0"/>
                <w:color w:val="auto"/>
                <w:spacing w:val="0"/>
                <w:sz w:val="24"/>
                <w:szCs w:val="24"/>
                <w:lang w:eastAsia="zh-CN"/>
              </w:rPr>
              <w:t>供应商</w:t>
            </w:r>
            <w:r>
              <w:rPr>
                <w:rFonts w:hint="eastAsia" w:ascii="宋体" w:hAnsi="宋体" w:eastAsia="宋体" w:cs="宋体"/>
                <w:i w:val="0"/>
                <w:iCs w:val="0"/>
                <w:caps w:val="0"/>
                <w:color w:val="auto"/>
                <w:spacing w:val="0"/>
                <w:sz w:val="24"/>
                <w:szCs w:val="24"/>
                <w:highlight w:val="none"/>
              </w:rPr>
              <w:t>应在供应商登陆政采云平台http://www.zcygov.cn/，在线申请获取采购文件（登录政府采购云平台→项目采购→ 获取采购文件→申请，审核通过后可下载</w:t>
            </w:r>
            <w:r>
              <w:rPr>
                <w:rFonts w:hint="eastAsia" w:cs="宋体"/>
                <w:i w:val="0"/>
                <w:iCs w:val="0"/>
                <w:caps w:val="0"/>
                <w:color w:val="auto"/>
                <w:spacing w:val="0"/>
                <w:sz w:val="24"/>
                <w:szCs w:val="24"/>
                <w:highlight w:val="none"/>
                <w:lang w:eastAsia="zh-CN"/>
              </w:rPr>
              <w:t>磋商</w:t>
            </w:r>
            <w:r>
              <w:rPr>
                <w:rFonts w:hint="eastAsia" w:ascii="宋体" w:hAnsi="宋体" w:eastAsia="宋体" w:cs="宋体"/>
                <w:i w:val="0"/>
                <w:iCs w:val="0"/>
                <w:caps w:val="0"/>
                <w:color w:val="auto"/>
                <w:spacing w:val="0"/>
                <w:sz w:val="24"/>
                <w:szCs w:val="24"/>
                <w:highlight w:val="none"/>
              </w:rPr>
              <w:t>文件，如有操作性问题，可与政采云在线客服进行咨询，咨询电话：95763），获取</w:t>
            </w:r>
            <w:r>
              <w:rPr>
                <w:rFonts w:hint="eastAsia" w:cs="宋体"/>
                <w:i w:val="0"/>
                <w:iCs w:val="0"/>
                <w:caps w:val="0"/>
                <w:color w:val="auto"/>
                <w:spacing w:val="0"/>
                <w:sz w:val="24"/>
                <w:szCs w:val="24"/>
                <w:highlight w:val="none"/>
                <w:lang w:val="en-US" w:eastAsia="zh-CN"/>
              </w:rPr>
              <w:t>采购文件</w:t>
            </w:r>
            <w:r>
              <w:rPr>
                <w:rFonts w:hint="eastAsia" w:ascii="宋体" w:hAnsi="宋体" w:eastAsia="宋体" w:cs="宋体"/>
                <w:i w:val="0"/>
                <w:iCs w:val="0"/>
                <w:caps w:val="0"/>
                <w:color w:val="auto"/>
                <w:spacing w:val="0"/>
                <w:sz w:val="24"/>
                <w:szCs w:val="24"/>
                <w:highlight w:val="none"/>
              </w:rPr>
              <w:t>，并于 202</w:t>
            </w: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kern w:val="0"/>
                <w:sz w:val="24"/>
                <w:szCs w:val="24"/>
                <w:highlight w:val="none"/>
                <w:u w:val="single"/>
                <w:lang w:val="en-US" w:eastAsia="zh-CN" w:bidi="ar"/>
              </w:rPr>
              <w:t xml:space="preserve"> </w:t>
            </w:r>
            <w:r>
              <w:rPr>
                <w:rFonts w:hint="eastAsia" w:cs="宋体"/>
                <w:i w:val="0"/>
                <w:iCs w:val="0"/>
                <w:caps w:val="0"/>
                <w:color w:val="auto"/>
                <w:spacing w:val="0"/>
                <w:kern w:val="0"/>
                <w:sz w:val="24"/>
                <w:szCs w:val="24"/>
                <w:highlight w:val="none"/>
                <w:u w:val="single"/>
                <w:lang w:val="en-US" w:eastAsia="zh-CN" w:bidi="ar"/>
              </w:rPr>
              <w:t xml:space="preserve">06 </w:t>
            </w:r>
            <w:r>
              <w:rPr>
                <w:rFonts w:hint="eastAsia" w:ascii="宋体" w:hAnsi="宋体" w:eastAsia="宋体" w:cs="宋体"/>
                <w:i w:val="0"/>
                <w:iCs w:val="0"/>
                <w:caps w:val="0"/>
                <w:color w:val="auto"/>
                <w:spacing w:val="0"/>
                <w:sz w:val="24"/>
                <w:szCs w:val="24"/>
                <w:highlight w:val="none"/>
              </w:rPr>
              <w:t>月</w:t>
            </w:r>
            <w:r>
              <w:rPr>
                <w:rFonts w:hint="eastAsia" w:cs="宋体"/>
                <w:i w:val="0"/>
                <w:iCs w:val="0"/>
                <w:caps w:val="0"/>
                <w:color w:val="auto"/>
                <w:spacing w:val="0"/>
                <w:sz w:val="24"/>
                <w:szCs w:val="24"/>
                <w:highlight w:val="none"/>
                <w:u w:val="single"/>
                <w:lang w:val="en-US" w:eastAsia="zh-CN"/>
              </w:rPr>
              <w:t xml:space="preserve"> </w:t>
            </w:r>
            <w:r>
              <w:rPr>
                <w:rFonts w:hint="eastAsia" w:cs="宋体"/>
                <w:i w:val="0"/>
                <w:iCs w:val="0"/>
                <w:caps w:val="0"/>
                <w:color w:val="auto"/>
                <w:spacing w:val="0"/>
                <w:kern w:val="0"/>
                <w:sz w:val="24"/>
                <w:szCs w:val="24"/>
                <w:highlight w:val="none"/>
                <w:u w:val="single"/>
                <w:lang w:val="en-US" w:eastAsia="zh-CN" w:bidi="ar"/>
              </w:rPr>
              <w:t xml:space="preserve">30 </w:t>
            </w:r>
            <w:r>
              <w:rPr>
                <w:rFonts w:hint="eastAsia" w:ascii="宋体" w:hAnsi="宋体" w:eastAsia="宋体" w:cs="宋体"/>
                <w:i w:val="0"/>
                <w:iCs w:val="0"/>
                <w:caps w:val="0"/>
                <w:color w:val="auto"/>
                <w:spacing w:val="0"/>
                <w:sz w:val="24"/>
                <w:szCs w:val="24"/>
                <w:highlight w:val="none"/>
              </w:rPr>
              <w:t>日</w:t>
            </w:r>
            <w:r>
              <w:rPr>
                <w:rFonts w:hint="eastAsia" w:ascii="宋体" w:hAnsi="宋体" w:eastAsia="宋体" w:cs="宋体"/>
                <w:i w:val="0"/>
                <w:iCs w:val="0"/>
                <w:caps w:val="0"/>
                <w:color w:val="auto"/>
                <w:spacing w:val="0"/>
                <w:sz w:val="24"/>
                <w:szCs w:val="24"/>
                <w:highlight w:val="none"/>
                <w:lang w:val="en-US" w:eastAsia="zh-CN"/>
              </w:rPr>
              <w:t>1</w:t>
            </w:r>
            <w:r>
              <w:rPr>
                <w:rFonts w:hint="eastAsia"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00</w:t>
            </w:r>
            <w:r>
              <w:rPr>
                <w:rFonts w:hint="eastAsia" w:cs="宋体"/>
                <w:i w:val="0"/>
                <w:iCs w:val="0"/>
                <w:caps w:val="0"/>
                <w:color w:val="auto"/>
                <w:spacing w:val="0"/>
                <w:sz w:val="24"/>
                <w:szCs w:val="24"/>
                <w:highlight w:val="none"/>
                <w:lang w:val="en-US" w:eastAsia="zh-CN"/>
              </w:rPr>
              <w:t>时</w:t>
            </w:r>
            <w:r>
              <w:rPr>
                <w:rFonts w:hint="eastAsia" w:ascii="宋体" w:hAnsi="宋体" w:eastAsia="宋体" w:cs="宋体"/>
                <w:i w:val="0"/>
                <w:iCs w:val="0"/>
                <w:caps w:val="0"/>
                <w:color w:val="auto"/>
                <w:spacing w:val="0"/>
                <w:sz w:val="24"/>
                <w:szCs w:val="24"/>
                <w:highlight w:val="none"/>
              </w:rPr>
              <w:t>（北京时间）前（上传）电子</w:t>
            </w:r>
            <w:r>
              <w:rPr>
                <w:rFonts w:hint="eastAsia"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文件。</w:t>
            </w:r>
          </w:p>
        </w:tc>
      </w:tr>
    </w:tbl>
    <w:p w14:paraId="6E2264BB">
      <w:pPr>
        <w:pStyle w:val="29"/>
        <w:spacing w:before="255" w:beforeAutospacing="0" w:after="255" w:afterAutospacing="0" w:line="440" w:lineRule="exact"/>
        <w:jc w:val="both"/>
        <w:rPr>
          <w:rFonts w:hint="eastAsia" w:ascii="宋体" w:hAnsi="宋体" w:eastAsia="宋体" w:cs="宋体"/>
          <w:color w:val="auto"/>
          <w:szCs w:val="24"/>
          <w:highlight w:val="none"/>
          <w:shd w:val="clear" w:color="auto" w:fill="FFFFFF"/>
        </w:rPr>
      </w:pPr>
      <w:r>
        <w:rPr>
          <w:rStyle w:val="35"/>
          <w:rFonts w:hint="eastAsia" w:ascii="宋体" w:hAnsi="宋体" w:eastAsia="宋体" w:cs="宋体"/>
          <w:color w:val="auto"/>
          <w:szCs w:val="24"/>
          <w:highlight w:val="none"/>
          <w:shd w:val="clear" w:color="auto" w:fill="FFFFFF"/>
        </w:rPr>
        <w:t>一、项目基本情况</w:t>
      </w:r>
    </w:p>
    <w:p w14:paraId="64FA4F02">
      <w:pPr>
        <w:pStyle w:val="29"/>
        <w:spacing w:before="0" w:beforeAutospacing="0" w:after="0" w:afterAutospacing="0" w:line="440" w:lineRule="exact"/>
        <w:ind w:firstLine="72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项目编号：</w:t>
      </w:r>
      <w:r>
        <w:rPr>
          <w:rFonts w:hint="eastAsia" w:cs="宋体"/>
          <w:color w:val="auto"/>
          <w:szCs w:val="24"/>
          <w:highlight w:val="none"/>
          <w:shd w:val="clear" w:color="auto" w:fill="FFFFFF"/>
          <w:lang w:eastAsia="zh-CN"/>
        </w:rPr>
        <w:t>CSFLZB-2025-142-FW</w:t>
      </w:r>
      <w:r>
        <w:rPr>
          <w:rFonts w:hint="eastAsia" w:ascii="宋体" w:hAnsi="宋体" w:eastAsia="宋体" w:cs="宋体"/>
          <w:color w:val="auto"/>
          <w:szCs w:val="24"/>
          <w:highlight w:val="none"/>
          <w:shd w:val="clear" w:color="auto" w:fill="FFFFFF"/>
        </w:rPr>
        <w:t xml:space="preserve"> </w:t>
      </w:r>
    </w:p>
    <w:p w14:paraId="56DD4F99">
      <w:pPr>
        <w:pStyle w:val="29"/>
        <w:spacing w:before="0" w:beforeAutospacing="0" w:after="0" w:afterAutospacing="0" w:line="440" w:lineRule="exact"/>
        <w:ind w:firstLine="720"/>
        <w:rPr>
          <w:rFonts w:hint="eastAsia" w:ascii="宋体" w:hAnsi="宋体" w:eastAsia="宋体" w:cs="宋体"/>
          <w:color w:val="auto"/>
          <w:szCs w:val="24"/>
          <w:highlight w:val="none"/>
          <w:shd w:val="clear" w:color="auto" w:fill="FFFFFF"/>
          <w:lang w:val="zh-CN" w:eastAsia="zh-CN"/>
        </w:rPr>
      </w:pPr>
      <w:r>
        <w:rPr>
          <w:rFonts w:hint="eastAsia" w:ascii="宋体" w:hAnsi="宋体" w:eastAsia="宋体" w:cs="宋体"/>
          <w:color w:val="auto"/>
          <w:szCs w:val="24"/>
          <w:highlight w:val="none"/>
          <w:shd w:val="clear" w:color="auto" w:fill="FFFFFF"/>
        </w:rPr>
        <w:t>项目名称：</w:t>
      </w:r>
      <w:bookmarkStart w:id="12" w:name="_Hlk140773940"/>
      <w:r>
        <w:rPr>
          <w:rFonts w:hint="eastAsia" w:cs="宋体"/>
          <w:color w:val="auto"/>
          <w:szCs w:val="24"/>
          <w:highlight w:val="none"/>
          <w:lang w:eastAsia="zh-CN"/>
        </w:rPr>
        <w:t>经发局采购零碳工业园区试点申报服务项目</w:t>
      </w:r>
    </w:p>
    <w:bookmarkEnd w:id="12"/>
    <w:p w14:paraId="54C0D68F">
      <w:pPr>
        <w:pStyle w:val="29"/>
        <w:spacing w:before="0" w:beforeAutospacing="0" w:after="0" w:afterAutospacing="0" w:line="440" w:lineRule="exact"/>
        <w:ind w:firstLine="72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采购方式：竞争性磋商</w:t>
      </w:r>
    </w:p>
    <w:p w14:paraId="44DCE54F">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00" w:lineRule="exact"/>
        <w:ind w:left="0" w:right="0" w:firstLine="480"/>
        <w:jc w:val="left"/>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color w:val="auto"/>
          <w:szCs w:val="24"/>
          <w:highlight w:val="none"/>
          <w:shd w:val="clear" w:color="auto" w:fill="FFFFFF"/>
          <w:lang w:val="en-US" w:eastAsia="zh-CN"/>
        </w:rPr>
        <w:t xml:space="preserve">  </w:t>
      </w:r>
      <w:r>
        <w:rPr>
          <w:rFonts w:hint="eastAsia" w:ascii="宋体" w:hAnsi="宋体" w:eastAsia="宋体" w:cs="宋体"/>
          <w:i w:val="0"/>
          <w:iCs w:val="0"/>
          <w:caps w:val="0"/>
          <w:color w:val="auto"/>
          <w:spacing w:val="0"/>
          <w:kern w:val="0"/>
          <w:sz w:val="24"/>
          <w:szCs w:val="24"/>
          <w:highlight w:val="none"/>
          <w:lang w:val="en-US" w:eastAsia="zh-CN" w:bidi="ar"/>
        </w:rPr>
        <w:t>预算金额（元）：</w:t>
      </w:r>
      <w:r>
        <w:rPr>
          <w:rFonts w:hint="eastAsia" w:ascii="宋体" w:hAnsi="宋体" w:cs="宋体"/>
          <w:i w:val="0"/>
          <w:iCs w:val="0"/>
          <w:caps w:val="0"/>
          <w:color w:val="auto"/>
          <w:spacing w:val="0"/>
          <w:kern w:val="0"/>
          <w:sz w:val="24"/>
          <w:szCs w:val="24"/>
          <w:highlight w:val="none"/>
          <w:lang w:val="en-US" w:eastAsia="zh-CN" w:bidi="ar"/>
        </w:rPr>
        <w:t xml:space="preserve">900000.00     </w:t>
      </w:r>
    </w:p>
    <w:p w14:paraId="63ECA4D9">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500" w:lineRule="exact"/>
        <w:ind w:right="0" w:firstLine="720" w:firstLineChars="300"/>
        <w:jc w:val="left"/>
        <w:rPr>
          <w:rFonts w:hint="default" w:ascii="宋体" w:hAnsi="宋体" w:eastAsia="宋体" w:cs="宋体"/>
          <w:color w:val="auto"/>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最高限价（元）：</w:t>
      </w:r>
      <w:r>
        <w:rPr>
          <w:rFonts w:hint="eastAsia" w:ascii="宋体" w:hAnsi="宋体" w:cs="宋体"/>
          <w:i w:val="0"/>
          <w:iCs w:val="0"/>
          <w:caps w:val="0"/>
          <w:color w:val="auto"/>
          <w:spacing w:val="0"/>
          <w:kern w:val="0"/>
          <w:sz w:val="24"/>
          <w:szCs w:val="24"/>
          <w:highlight w:val="none"/>
          <w:lang w:val="en-US" w:eastAsia="zh-CN" w:bidi="ar"/>
        </w:rPr>
        <w:t>900000.00</w:t>
      </w:r>
    </w:p>
    <w:p w14:paraId="4ABF5E72">
      <w:pPr>
        <w:pStyle w:val="29"/>
        <w:spacing w:before="0" w:beforeAutospacing="0" w:after="0" w:afterAutospacing="0" w:line="440" w:lineRule="exact"/>
        <w:ind w:firstLine="720"/>
        <w:rPr>
          <w:rFonts w:hint="eastAsia"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采购需求：</w:t>
      </w:r>
      <w:r>
        <w:rPr>
          <w:rFonts w:hint="eastAsia" w:cs="宋体"/>
          <w:color w:val="auto"/>
          <w:sz w:val="24"/>
          <w:szCs w:val="24"/>
          <w:highlight w:val="none"/>
          <w:shd w:val="clear" w:color="auto" w:fill="FFFFFF"/>
          <w:lang w:val="en-US" w:eastAsia="zh-CN"/>
        </w:rPr>
        <w:t>一、现状调研与基础分析；二、目标设定与发展路径规划；三、重点任务与技术路线设计；四、方案实施计划与保障措施；五、协助园区争创国家级零碳园区试点。</w:t>
      </w:r>
      <w:r>
        <w:rPr>
          <w:rFonts w:hint="eastAsia" w:ascii="宋体" w:hAnsi="宋体" w:eastAsia="宋体" w:cs="宋体"/>
          <w:color w:val="auto"/>
          <w:sz w:val="24"/>
          <w:szCs w:val="24"/>
          <w:highlight w:val="none"/>
          <w:shd w:val="clear" w:color="auto" w:fill="FFFFFF"/>
          <w:lang w:val="en-US" w:eastAsia="zh-CN"/>
        </w:rPr>
        <w:t xml:space="preserve">（具体详见采购文件项目需求）。 </w:t>
      </w:r>
      <w:r>
        <w:rPr>
          <w:rFonts w:hint="eastAsia" w:cs="宋体"/>
          <w:color w:val="auto"/>
          <w:sz w:val="24"/>
          <w:szCs w:val="24"/>
          <w:highlight w:val="none"/>
          <w:shd w:val="clear" w:color="auto" w:fill="FFFFFF"/>
          <w:lang w:val="en-US" w:eastAsia="zh-CN"/>
        </w:rPr>
        <w:t xml:space="preserve"> </w:t>
      </w:r>
    </w:p>
    <w:p w14:paraId="422E77C3">
      <w:pPr>
        <w:pStyle w:val="29"/>
        <w:spacing w:before="0" w:beforeAutospacing="0" w:after="0" w:afterAutospacing="0" w:line="440" w:lineRule="exact"/>
        <w:ind w:firstLine="720"/>
        <w:rPr>
          <w:rFonts w:hint="eastAsia" w:cs="宋体"/>
          <w:color w:val="auto"/>
          <w:sz w:val="24"/>
          <w:szCs w:val="24"/>
          <w:highlight w:val="none"/>
          <w:u w:val="none"/>
          <w:lang w:val="en-US" w:eastAsia="zh-CN"/>
        </w:rPr>
      </w:pPr>
      <w:r>
        <w:rPr>
          <w:rFonts w:hint="eastAsia" w:ascii="宋体" w:hAnsi="宋体" w:eastAsia="宋体" w:cs="宋体"/>
          <w:color w:val="auto"/>
          <w:szCs w:val="24"/>
          <w:highlight w:val="none"/>
          <w:shd w:val="clear" w:color="auto" w:fill="FFFFFF"/>
        </w:rPr>
        <w:t>服务期限：</w:t>
      </w:r>
      <w:r>
        <w:rPr>
          <w:rFonts w:hint="eastAsia" w:cs="宋体"/>
          <w:color w:val="auto"/>
          <w:sz w:val="24"/>
          <w:szCs w:val="24"/>
          <w:highlight w:val="none"/>
          <w:u w:val="none"/>
          <w:lang w:val="en-US" w:eastAsia="zh-CN"/>
        </w:rPr>
        <w:t>合同签订后12个月内按要求完成国家级零碳工业园区试点申报方案。</w:t>
      </w:r>
    </w:p>
    <w:p w14:paraId="443DE763">
      <w:pPr>
        <w:pStyle w:val="29"/>
        <w:pageBreakBefore w:val="0"/>
        <w:topLinePunct w:val="0"/>
        <w:bidi w:val="0"/>
        <w:spacing w:before="0" w:beforeAutospacing="0" w:after="0" w:afterAutospacing="0" w:line="420" w:lineRule="exact"/>
        <w:ind w:firstLine="720"/>
        <w:rPr>
          <w:rFonts w:hint="eastAsia"/>
          <w:color w:val="auto"/>
          <w:lang w:val="en-US" w:eastAsia="zh-CN"/>
        </w:rPr>
      </w:pPr>
      <w:r>
        <w:rPr>
          <w:rFonts w:hint="eastAsia" w:ascii="宋体" w:hAnsi="宋体" w:eastAsia="宋体" w:cs="宋体"/>
          <w:color w:val="auto"/>
          <w:sz w:val="24"/>
          <w:szCs w:val="24"/>
          <w:shd w:val="clear" w:color="auto" w:fill="FFFFFF"/>
        </w:rPr>
        <w:t>质量要求：</w:t>
      </w:r>
      <w:r>
        <w:rPr>
          <w:rFonts w:hint="eastAsia" w:ascii="宋体" w:hAnsi="宋体" w:eastAsia="宋体" w:cs="宋体"/>
          <w:color w:val="auto"/>
          <w:sz w:val="24"/>
          <w:szCs w:val="24"/>
          <w:shd w:val="clear" w:color="auto" w:fill="FFFFFF"/>
          <w:lang w:val="en-US" w:eastAsia="zh-CN"/>
        </w:rPr>
        <w:t>符合国家及行业现行相关规范和标准。</w:t>
      </w:r>
    </w:p>
    <w:p w14:paraId="2E2A7153">
      <w:pPr>
        <w:pStyle w:val="29"/>
        <w:spacing w:before="0" w:beforeAutospacing="0" w:after="0" w:afterAutospacing="0" w:line="440" w:lineRule="exact"/>
        <w:rPr>
          <w:rFonts w:hint="eastAsia" w:ascii="宋体" w:hAnsi="宋体" w:eastAsia="宋体" w:cs="宋体"/>
          <w:color w:val="auto"/>
          <w:szCs w:val="24"/>
          <w:highlight w:val="none"/>
        </w:rPr>
      </w:pPr>
      <w:r>
        <w:rPr>
          <w:rStyle w:val="35"/>
          <w:rFonts w:hint="eastAsia" w:ascii="宋体" w:hAnsi="宋体" w:eastAsia="宋体" w:cs="宋体"/>
          <w:color w:val="auto"/>
          <w:szCs w:val="24"/>
          <w:highlight w:val="none"/>
          <w:shd w:val="clear" w:color="auto" w:fill="FFFFFF"/>
        </w:rPr>
        <w:t>二、申请人的资格要求：</w:t>
      </w:r>
    </w:p>
    <w:p w14:paraId="13135475">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1.满足《中华人民共和国政府采购法》第二十二条规定；</w:t>
      </w:r>
    </w:p>
    <w:p w14:paraId="093DBA0A">
      <w:pPr>
        <w:pStyle w:val="29"/>
        <w:pageBreakBefore w:val="0"/>
        <w:topLinePunct w:val="0"/>
        <w:bidi w:val="0"/>
        <w:spacing w:before="0" w:beforeAutospacing="0" w:after="0" w:afterAutospacing="0" w:line="420" w:lineRule="exact"/>
        <w:ind w:firstLine="72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2</w:t>
      </w:r>
      <w:r>
        <w:rPr>
          <w:rStyle w:val="35"/>
          <w:rFonts w:hint="eastAsia" w:ascii="宋体" w:hAnsi="宋体" w:eastAsia="宋体"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rPr>
        <w:t>落实政府采购政策需满足的资格要求：</w:t>
      </w:r>
      <w:bookmarkStart w:id="156" w:name="_GoBack"/>
      <w:r>
        <w:rPr>
          <w:rStyle w:val="35"/>
          <w:rFonts w:hint="eastAsia" w:cs="宋体"/>
          <w:b w:val="0"/>
          <w:bCs w:val="0"/>
          <w:color w:val="auto"/>
          <w:sz w:val="24"/>
          <w:szCs w:val="24"/>
          <w:shd w:val="clear" w:color="auto" w:fill="FFFFFF"/>
          <w:lang w:val="en-US" w:eastAsia="zh-CN"/>
        </w:rPr>
        <w:t>本项目专门面向小微企业采购</w:t>
      </w:r>
      <w:bookmarkEnd w:id="156"/>
      <w:r>
        <w:rPr>
          <w:rStyle w:val="35"/>
          <w:rFonts w:hint="eastAsia" w:ascii="宋体" w:hAnsi="宋体" w:eastAsia="宋体" w:cs="宋体"/>
          <w:b w:val="0"/>
          <w:bCs w:val="0"/>
          <w:color w:val="auto"/>
          <w:szCs w:val="24"/>
          <w:highlight w:val="none"/>
          <w:shd w:val="clear" w:color="auto" w:fill="FFFFFF"/>
        </w:rPr>
        <w:t>。</w:t>
      </w:r>
    </w:p>
    <w:p w14:paraId="61C4F5A8">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3.本项目的特定资格要求：</w:t>
      </w:r>
    </w:p>
    <w:p w14:paraId="3477FA53">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rPr>
      </w:pPr>
      <w:r>
        <w:rPr>
          <w:rStyle w:val="35"/>
          <w:rFonts w:hint="eastAsia" w:cs="宋体"/>
          <w:b w:val="0"/>
          <w:bCs w:val="0"/>
          <w:color w:val="auto"/>
          <w:szCs w:val="24"/>
          <w:highlight w:val="none"/>
          <w:shd w:val="clear" w:color="auto" w:fill="FFFFFF"/>
          <w:lang w:eastAsia="zh-CN"/>
        </w:rPr>
        <w:t>（1）</w:t>
      </w:r>
      <w:r>
        <w:rPr>
          <w:rFonts w:hint="eastAsia"/>
          <w:color w:val="auto"/>
          <w:highlight w:val="none"/>
          <w:lang w:val="en-US" w:eastAsia="zh-CN"/>
        </w:rPr>
        <w:t>供应商</w:t>
      </w:r>
      <w:r>
        <w:rPr>
          <w:rFonts w:hint="default"/>
          <w:color w:val="auto"/>
          <w:highlight w:val="none"/>
          <w:lang w:val="en-US" w:eastAsia="zh-CN"/>
        </w:rPr>
        <w:t>必须是中华人民共和国境内注册的，具有独立法人资格的企业</w:t>
      </w:r>
      <w:r>
        <w:rPr>
          <w:rStyle w:val="35"/>
          <w:rFonts w:hint="eastAsia" w:ascii="宋体" w:hAnsi="宋体" w:eastAsia="宋体" w:cs="宋体"/>
          <w:b w:val="0"/>
          <w:bCs w:val="0"/>
          <w:color w:val="auto"/>
          <w:szCs w:val="24"/>
          <w:highlight w:val="none"/>
          <w:shd w:val="clear" w:color="auto" w:fill="FFFFFF"/>
        </w:rPr>
        <w:t>；</w:t>
      </w:r>
    </w:p>
    <w:p w14:paraId="23355601">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lang w:eastAsia="zh-CN"/>
        </w:rPr>
      </w:pPr>
      <w:r>
        <w:rPr>
          <w:rStyle w:val="35"/>
          <w:rFonts w:hint="eastAsia" w:cs="宋体"/>
          <w:b w:val="0"/>
          <w:bCs w:val="0"/>
          <w:color w:val="auto"/>
          <w:szCs w:val="24"/>
          <w:highlight w:val="none"/>
          <w:shd w:val="clear" w:color="auto" w:fill="FFFFFF"/>
          <w:lang w:eastAsia="zh-CN"/>
        </w:rPr>
        <w:t>（2）</w:t>
      </w:r>
      <w:r>
        <w:rPr>
          <w:rFonts w:hint="eastAsia"/>
          <w:color w:val="auto"/>
          <w:highlight w:val="none"/>
          <w:lang w:val="en-US" w:eastAsia="zh-CN"/>
        </w:rPr>
        <w:t>拟派项目负责人须具有环境相关专业中级（含）以上职称</w:t>
      </w:r>
      <w:r>
        <w:rPr>
          <w:rStyle w:val="35"/>
          <w:rFonts w:hint="eastAsia" w:cs="宋体"/>
          <w:b w:val="0"/>
          <w:bCs w:val="0"/>
          <w:color w:val="auto"/>
          <w:szCs w:val="24"/>
          <w:highlight w:val="none"/>
          <w:shd w:val="clear" w:color="auto" w:fill="FFFFFF"/>
          <w:lang w:eastAsia="zh-CN"/>
        </w:rPr>
        <w:t>；</w:t>
      </w:r>
    </w:p>
    <w:p w14:paraId="0DC62EEA">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eastAsia="zh-CN"/>
        </w:rPr>
        <w:t>（3）</w:t>
      </w:r>
      <w:r>
        <w:rPr>
          <w:rStyle w:val="35"/>
          <w:rFonts w:hint="eastAsia" w:ascii="宋体" w:hAnsi="宋体" w:eastAsia="宋体" w:cs="宋体"/>
          <w:b w:val="0"/>
          <w:bCs w:val="0"/>
          <w:color w:val="auto"/>
          <w:szCs w:val="24"/>
          <w:highlight w:val="none"/>
          <w:shd w:val="clear" w:color="auto" w:fill="FFFFFF"/>
          <w:lang w:val="en-US" w:eastAsia="zh-CN"/>
        </w:rPr>
        <w:t>具有履行合同所必需的设备和专业技术能力</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声明函格式自拟</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即具有</w:t>
      </w:r>
      <w:r>
        <w:rPr>
          <w:rStyle w:val="35"/>
          <w:rFonts w:hint="eastAsia" w:cs="宋体"/>
          <w:b w:val="0"/>
          <w:bCs w:val="0"/>
          <w:color w:val="auto"/>
          <w:szCs w:val="24"/>
          <w:highlight w:val="none"/>
          <w:shd w:val="clear" w:color="auto" w:fill="FFFFFF"/>
          <w:lang w:val="en-US" w:eastAsia="zh-CN"/>
        </w:rPr>
        <w:t>承担</w:t>
      </w:r>
      <w:r>
        <w:rPr>
          <w:rStyle w:val="35"/>
          <w:rFonts w:hint="eastAsia" w:ascii="宋体" w:hAnsi="宋体" w:eastAsia="宋体" w:cs="宋体"/>
          <w:b w:val="0"/>
          <w:bCs w:val="0"/>
          <w:color w:val="auto"/>
          <w:szCs w:val="24"/>
          <w:highlight w:val="none"/>
          <w:shd w:val="clear" w:color="auto" w:fill="FFFFFF"/>
          <w:lang w:val="en-US" w:eastAsia="zh-CN"/>
        </w:rPr>
        <w:t>本项目能力；</w:t>
      </w:r>
    </w:p>
    <w:p w14:paraId="2CC6C238">
      <w:pPr>
        <w:pStyle w:val="29"/>
        <w:spacing w:before="0" w:beforeAutospacing="0" w:after="0" w:afterAutospacing="0" w:line="440" w:lineRule="exact"/>
        <w:ind w:firstLine="720" w:firstLineChars="300"/>
        <w:rPr>
          <w:rFonts w:hint="eastAsia" w:ascii="宋体" w:hAnsi="宋体" w:eastAsia="宋体" w:cs="宋体"/>
          <w:b w:val="0"/>
          <w:bCs w:val="0"/>
          <w:color w:val="auto"/>
          <w:kern w:val="2"/>
          <w:sz w:val="24"/>
          <w:szCs w:val="24"/>
          <w:highlight w:val="none"/>
          <w:lang w:val="en-US" w:eastAsia="zh-CN" w:bidi="ar-SA"/>
        </w:rPr>
      </w:pPr>
      <w:r>
        <w:rPr>
          <w:rStyle w:val="35"/>
          <w:rFonts w:hint="eastAsia" w:cs="宋体"/>
          <w:b w:val="0"/>
          <w:bCs w:val="0"/>
          <w:color w:val="auto"/>
          <w:szCs w:val="24"/>
          <w:highlight w:val="none"/>
          <w:shd w:val="clear" w:color="auto" w:fill="FFFFFF"/>
          <w:lang w:val="en-US" w:eastAsia="zh-CN"/>
        </w:rPr>
        <w:t>（4）</w:t>
      </w:r>
      <w:r>
        <w:rPr>
          <w:rStyle w:val="35"/>
          <w:rFonts w:hint="eastAsia" w:ascii="宋体" w:hAnsi="宋体" w:eastAsia="宋体" w:cs="宋体"/>
          <w:b w:val="0"/>
          <w:bCs w:val="0"/>
          <w:color w:val="auto"/>
          <w:szCs w:val="24"/>
          <w:highlight w:val="none"/>
          <w:shd w:val="clear" w:color="auto" w:fill="FFFFFF"/>
          <w:lang w:val="en-US" w:eastAsia="zh-CN"/>
        </w:rPr>
        <w:t>具有依</w:t>
      </w:r>
      <w:r>
        <w:rPr>
          <w:rFonts w:hint="eastAsia" w:ascii="宋体" w:hAnsi="宋体" w:eastAsia="宋体" w:cs="宋体"/>
          <w:color w:val="auto"/>
          <w:kern w:val="2"/>
          <w:sz w:val="24"/>
          <w:szCs w:val="24"/>
          <w:highlight w:val="none"/>
          <w:lang w:val="en-US" w:eastAsia="zh-CN" w:bidi="ar-SA"/>
        </w:rPr>
        <w:t>法缴纳税收和社会保障资金的良好记录</w:t>
      </w:r>
      <w:r>
        <w:rPr>
          <w:rFonts w:hint="eastAsia" w:ascii="宋体" w:hAnsi="宋体" w:eastAsia="宋体" w:cs="宋体"/>
          <w:b w:val="0"/>
          <w:bCs w:val="0"/>
          <w:color w:val="auto"/>
          <w:kern w:val="2"/>
          <w:sz w:val="24"/>
          <w:szCs w:val="24"/>
          <w:highlight w:val="none"/>
          <w:lang w:val="en-US" w:eastAsia="zh-CN" w:bidi="ar-SA"/>
        </w:rPr>
        <w:t>（提供本单位近三个月内任意一个月的依法缴纳税收和社会保障资金的相关材料）；</w:t>
      </w:r>
    </w:p>
    <w:p w14:paraId="46CC8F15">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val="en-US" w:eastAsia="zh-CN"/>
        </w:rPr>
        <w:t>（5）</w:t>
      </w:r>
      <w:r>
        <w:rPr>
          <w:rStyle w:val="35"/>
          <w:rFonts w:hint="eastAsia" w:ascii="宋体" w:hAnsi="宋体" w:eastAsia="宋体" w:cs="宋体"/>
          <w:b w:val="0"/>
          <w:bCs w:val="0"/>
          <w:color w:val="auto"/>
          <w:szCs w:val="24"/>
          <w:highlight w:val="none"/>
          <w:shd w:val="clear" w:color="auto" w:fill="FFFFFF"/>
          <w:lang w:val="en-US" w:eastAsia="zh-CN"/>
        </w:rPr>
        <w:t>单位负责人为同一人或者存在直接控股、管理关系的不同供应商，不得参加同一合同项下的政府采购活动</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提供声明函格式自拟</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w:t>
      </w:r>
    </w:p>
    <w:p w14:paraId="6C8CD374">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val="en-US" w:eastAsia="zh-CN"/>
        </w:rPr>
        <w:t>（6）</w:t>
      </w:r>
      <w:r>
        <w:rPr>
          <w:rFonts w:hint="eastAsia"/>
          <w:color w:val="auto"/>
          <w:highlight w:val="none"/>
          <w:lang w:val="en-US" w:eastAsia="zh-CN"/>
        </w:rPr>
        <w:t>供应商</w:t>
      </w:r>
      <w:r>
        <w:rPr>
          <w:rFonts w:hint="eastAsia" w:ascii="宋体" w:hAnsi="宋体" w:eastAsia="宋体" w:cs="宋体"/>
          <w:color w:val="auto"/>
          <w:kern w:val="2"/>
          <w:sz w:val="24"/>
          <w:szCs w:val="24"/>
          <w:highlight w:val="none"/>
          <w:lang w:val="en-US" w:eastAsia="zh-CN" w:bidi="ar-SA"/>
        </w:rPr>
        <w:t>参加政府采购活动前三年内，在经营活动中没有重大违法记录，在“信用中国”网站（www.creditchina.gov.cn）、中国政府采购网（www.ccgp.gov.cn）没有被列入失信被执行人、重大税收违法失信主体名单、政府采购严重违法失信行为记录名单及</w:t>
      </w:r>
      <w:r>
        <w:rPr>
          <w:rStyle w:val="35"/>
          <w:rFonts w:hint="eastAsia" w:ascii="宋体" w:hAnsi="宋体" w:eastAsia="宋体" w:cs="宋体"/>
          <w:b w:val="0"/>
          <w:bCs w:val="0"/>
          <w:color w:val="auto"/>
          <w:szCs w:val="24"/>
          <w:highlight w:val="none"/>
          <w:shd w:val="clear" w:color="auto" w:fill="FFFFFF"/>
          <w:lang w:val="en-US" w:eastAsia="zh-CN"/>
        </w:rPr>
        <w:t>其他不符合规定条件；</w:t>
      </w:r>
    </w:p>
    <w:p w14:paraId="1B068FDC">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ascii="宋体" w:hAnsi="宋体" w:eastAsia="宋体" w:cs="宋体"/>
          <w:b w:val="0"/>
          <w:bCs w:val="0"/>
          <w:color w:val="auto"/>
          <w:szCs w:val="24"/>
          <w:highlight w:val="none"/>
          <w:shd w:val="clear" w:color="auto" w:fill="FFFFFF"/>
          <w:lang w:val="en-US" w:eastAsia="zh-CN"/>
        </w:rPr>
        <w:t>（7）本项目不接受联合体投标。</w:t>
      </w:r>
    </w:p>
    <w:p w14:paraId="3421E353">
      <w:pPr>
        <w:pStyle w:val="29"/>
        <w:spacing w:before="0" w:beforeAutospacing="0" w:after="0" w:afterAutospacing="0" w:line="440" w:lineRule="exact"/>
        <w:ind w:firstLine="720"/>
        <w:rPr>
          <w:rFonts w:hint="eastAsia" w:ascii="宋体" w:hAnsi="宋体" w:eastAsia="宋体" w:cs="宋体"/>
          <w:color w:val="auto"/>
          <w:szCs w:val="24"/>
          <w:highlight w:val="none"/>
        </w:rPr>
      </w:pPr>
      <w:r>
        <w:rPr>
          <w:rStyle w:val="35"/>
          <w:rFonts w:hint="eastAsia" w:ascii="宋体" w:hAnsi="宋体" w:eastAsia="宋体" w:cs="宋体"/>
          <w:color w:val="auto"/>
          <w:szCs w:val="24"/>
          <w:highlight w:val="none"/>
          <w:shd w:val="clear" w:color="auto" w:fill="FFFFFF"/>
        </w:rPr>
        <w:t>三、获取采购文件</w:t>
      </w:r>
    </w:p>
    <w:p w14:paraId="1CF39D44">
      <w:pPr>
        <w:pStyle w:val="29"/>
        <w:spacing w:before="0" w:beforeAutospacing="0" w:after="0" w:afterAutospacing="0" w:line="440" w:lineRule="exact"/>
        <w:ind w:firstLine="720" w:firstLineChars="3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时间：</w:t>
      </w:r>
      <w:r>
        <w:rPr>
          <w:rFonts w:hint="eastAsia" w:ascii="宋体" w:hAnsi="宋体" w:eastAsia="宋体" w:cs="Times New Roman"/>
          <w:color w:val="auto"/>
          <w:highlight w:val="none"/>
          <w:lang w:val="en-US" w:eastAsia="zh-CN"/>
        </w:rPr>
        <w:t>2025年06月</w:t>
      </w:r>
      <w:r>
        <w:rPr>
          <w:rFonts w:hint="eastAsia" w:cs="Times New Roman"/>
          <w:color w:val="auto"/>
          <w:highlight w:val="none"/>
          <w:lang w:val="en-US" w:eastAsia="zh-CN"/>
        </w:rPr>
        <w:t>20</w:t>
      </w:r>
      <w:r>
        <w:rPr>
          <w:rFonts w:hint="eastAsia" w:ascii="宋体" w:hAnsi="宋体" w:eastAsia="宋体" w:cs="Times New Roman"/>
          <w:color w:val="auto"/>
          <w:highlight w:val="none"/>
          <w:lang w:val="en-US" w:eastAsia="zh-CN"/>
        </w:rPr>
        <w:t>日至2025年06月</w:t>
      </w:r>
      <w:r>
        <w:rPr>
          <w:rFonts w:hint="eastAsia" w:cs="Times New Roman"/>
          <w:color w:val="auto"/>
          <w:highlight w:val="none"/>
          <w:lang w:val="en-US" w:eastAsia="zh-CN"/>
        </w:rPr>
        <w:t>27</w:t>
      </w:r>
      <w:r>
        <w:rPr>
          <w:rFonts w:hint="eastAsia" w:ascii="宋体" w:hAnsi="宋体" w:eastAsia="宋体" w:cs="Times New Roman"/>
          <w:color w:val="auto"/>
          <w:highlight w:val="none"/>
          <w:lang w:val="en-US" w:eastAsia="zh-CN"/>
        </w:rPr>
        <w:t>日，每天上午00：00至14：00，下午14：00至23：59</w:t>
      </w:r>
      <w:r>
        <w:rPr>
          <w:rFonts w:hint="eastAsia" w:ascii="宋体" w:hAnsi="宋体" w:eastAsia="宋体" w:cs="宋体"/>
          <w:color w:val="auto"/>
          <w:szCs w:val="24"/>
          <w:highlight w:val="none"/>
          <w:shd w:val="clear" w:color="auto" w:fill="FFFFFF"/>
        </w:rPr>
        <w:t>（北京时间，法定节假日除外）</w:t>
      </w:r>
    </w:p>
    <w:p w14:paraId="61B95EC4">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eastAsia="zh-CN"/>
        </w:rPr>
      </w:pPr>
      <w:r>
        <w:rPr>
          <w:rStyle w:val="35"/>
          <w:rFonts w:hint="eastAsia" w:ascii="宋体" w:hAnsi="宋体" w:eastAsia="宋体" w:cs="宋体"/>
          <w:b w:val="0"/>
          <w:bCs w:val="0"/>
          <w:color w:val="auto"/>
          <w:szCs w:val="24"/>
          <w:highlight w:val="none"/>
          <w:shd w:val="clear" w:color="auto" w:fill="FFFFFF"/>
        </w:rPr>
        <w:t>地点：</w:t>
      </w:r>
      <w:r>
        <w:rPr>
          <w:rStyle w:val="35"/>
          <w:rFonts w:hint="eastAsia" w:ascii="宋体" w:hAnsi="宋体" w:eastAsia="宋体" w:cs="宋体"/>
          <w:b w:val="0"/>
          <w:bCs w:val="0"/>
          <w:color w:val="auto"/>
          <w:sz w:val="24"/>
          <w:szCs w:val="24"/>
          <w:shd w:val="clear" w:color="auto" w:fill="FFFFFF"/>
        </w:rPr>
        <w:t>供应商登陆政采云平台http//www.zcygov.cn/，在线申请获取</w:t>
      </w:r>
      <w:r>
        <w:rPr>
          <w:rStyle w:val="35"/>
          <w:rFonts w:hint="eastAsia" w:ascii="宋体" w:hAnsi="宋体" w:eastAsia="宋体" w:cs="宋体"/>
          <w:b w:val="0"/>
          <w:bCs w:val="0"/>
          <w:color w:val="auto"/>
          <w:sz w:val="24"/>
          <w:szCs w:val="24"/>
          <w:shd w:val="clear" w:color="auto" w:fill="FFFFFF"/>
          <w:lang w:val="en-US" w:eastAsia="zh-CN"/>
        </w:rPr>
        <w:t>采购</w:t>
      </w:r>
      <w:r>
        <w:rPr>
          <w:rStyle w:val="35"/>
          <w:rFonts w:hint="eastAsia" w:ascii="宋体" w:hAnsi="宋体" w:eastAsia="宋体" w:cs="宋体"/>
          <w:b w:val="0"/>
          <w:bCs w:val="0"/>
          <w:color w:val="auto"/>
          <w:sz w:val="24"/>
          <w:szCs w:val="24"/>
          <w:shd w:val="clear" w:color="auto" w:fill="FFFFFF"/>
        </w:rPr>
        <w:t>文件（登录政府采购云平台→项目采购→获取</w:t>
      </w:r>
      <w:r>
        <w:rPr>
          <w:rStyle w:val="35"/>
          <w:rFonts w:hint="eastAsia" w:ascii="宋体" w:hAnsi="宋体" w:eastAsia="宋体" w:cs="宋体"/>
          <w:b w:val="0"/>
          <w:bCs w:val="0"/>
          <w:color w:val="auto"/>
          <w:sz w:val="24"/>
          <w:szCs w:val="24"/>
          <w:shd w:val="clear" w:color="auto" w:fill="FFFFFF"/>
          <w:lang w:val="en-US" w:eastAsia="zh-CN"/>
        </w:rPr>
        <w:t>采购</w:t>
      </w:r>
      <w:r>
        <w:rPr>
          <w:rStyle w:val="35"/>
          <w:rFonts w:hint="eastAsia" w:ascii="宋体" w:hAnsi="宋体" w:eastAsia="宋体" w:cs="宋体"/>
          <w:b w:val="0"/>
          <w:bCs w:val="0"/>
          <w:color w:val="auto"/>
          <w:sz w:val="24"/>
          <w:szCs w:val="24"/>
          <w:shd w:val="clear" w:color="auto" w:fill="FFFFFF"/>
        </w:rPr>
        <w:t>文件→申请，审核通过后可下载</w:t>
      </w:r>
      <w:r>
        <w:rPr>
          <w:rStyle w:val="35"/>
          <w:rFonts w:hint="eastAsia" w:ascii="宋体" w:hAnsi="宋体" w:eastAsia="宋体" w:cs="宋体"/>
          <w:b w:val="0"/>
          <w:bCs w:val="0"/>
          <w:color w:val="auto"/>
          <w:sz w:val="24"/>
          <w:szCs w:val="24"/>
          <w:shd w:val="clear" w:color="auto" w:fill="FFFFFF"/>
          <w:lang w:val="en-US" w:eastAsia="zh-CN"/>
        </w:rPr>
        <w:t>采购</w:t>
      </w:r>
      <w:r>
        <w:rPr>
          <w:rStyle w:val="35"/>
          <w:rFonts w:hint="eastAsia" w:ascii="宋体" w:hAnsi="宋体" w:eastAsia="宋体" w:cs="宋体"/>
          <w:b w:val="0"/>
          <w:bCs w:val="0"/>
          <w:color w:val="auto"/>
          <w:sz w:val="24"/>
          <w:szCs w:val="24"/>
          <w:shd w:val="clear" w:color="auto" w:fill="FFFFFF"/>
        </w:rPr>
        <w:t>文件，如有操作性问题，可与政采云在线客服进行咨询，咨询电话：95763）</w:t>
      </w:r>
      <w:r>
        <w:rPr>
          <w:rStyle w:val="35"/>
          <w:rFonts w:hint="eastAsia" w:cs="宋体"/>
          <w:b w:val="0"/>
          <w:bCs w:val="0"/>
          <w:color w:val="auto"/>
          <w:szCs w:val="24"/>
          <w:highlight w:val="none"/>
          <w:shd w:val="clear" w:color="auto" w:fill="FFFFFF"/>
          <w:lang w:val="en-US" w:eastAsia="zh-CN"/>
        </w:rPr>
        <w:t xml:space="preserve"> </w:t>
      </w:r>
    </w:p>
    <w:p w14:paraId="4B32DE9A">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方式：（1）线上获取（登录政府采购云平台→项目采购→获取采购文件→申请，审核通过后可下载采购文件）。本次招标不提供纸质版采购文件。（2）供应商获取采购文件前应注册成为政府采购云平台正式供应商。</w:t>
      </w:r>
    </w:p>
    <w:p w14:paraId="5A9A5B18">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售价：采购文件费为0元/份。</w:t>
      </w:r>
    </w:p>
    <w:p w14:paraId="17F28671">
      <w:pPr>
        <w:pStyle w:val="29"/>
        <w:spacing w:before="0" w:beforeAutospacing="0" w:after="0" w:afterAutospacing="0" w:line="440" w:lineRule="exact"/>
        <w:ind w:firstLine="723" w:firstLineChars="300"/>
        <w:rPr>
          <w:rFonts w:hint="eastAsia" w:ascii="宋体" w:hAnsi="宋体" w:eastAsia="宋体" w:cs="宋体"/>
          <w:color w:val="auto"/>
          <w:szCs w:val="24"/>
          <w:highlight w:val="none"/>
        </w:rPr>
      </w:pPr>
      <w:r>
        <w:rPr>
          <w:rStyle w:val="35"/>
          <w:rFonts w:hint="eastAsia" w:ascii="宋体" w:hAnsi="宋体" w:eastAsia="宋体" w:cs="宋体"/>
          <w:color w:val="auto"/>
          <w:szCs w:val="24"/>
          <w:highlight w:val="none"/>
          <w:shd w:val="clear" w:color="auto" w:fill="FFFFFF"/>
        </w:rPr>
        <w:t>四、响应文件提交</w:t>
      </w:r>
      <w:r>
        <w:rPr>
          <w:rFonts w:hint="eastAsia" w:ascii="宋体" w:hAnsi="宋体" w:eastAsia="宋体" w:cs="宋体"/>
          <w:color w:val="auto"/>
          <w:szCs w:val="24"/>
          <w:highlight w:val="none"/>
          <w:shd w:val="clear" w:color="auto" w:fill="FFFFFF"/>
        </w:rPr>
        <w:t> </w:t>
      </w:r>
    </w:p>
    <w:p w14:paraId="281EFBEF">
      <w:pPr>
        <w:pStyle w:val="29"/>
        <w:spacing w:before="0" w:beforeAutospacing="0" w:after="0" w:afterAutospacing="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    截止时间：</w:t>
      </w:r>
      <w:r>
        <w:rPr>
          <w:rFonts w:hint="eastAsia" w:cs="宋体"/>
          <w:color w:val="auto"/>
          <w:szCs w:val="24"/>
          <w:highlight w:val="none"/>
          <w:shd w:val="clear" w:color="auto" w:fill="FFFFFF"/>
          <w:lang w:eastAsia="zh-CN"/>
        </w:rPr>
        <w:t>2025年</w:t>
      </w:r>
      <w:r>
        <w:rPr>
          <w:rFonts w:hint="eastAsia" w:cs="宋体"/>
          <w:color w:val="auto"/>
          <w:szCs w:val="24"/>
          <w:highlight w:val="none"/>
          <w:shd w:val="clear" w:color="auto" w:fill="FFFFFF"/>
          <w:lang w:val="en-US" w:eastAsia="zh-CN"/>
        </w:rPr>
        <w:t>06</w:t>
      </w:r>
      <w:r>
        <w:rPr>
          <w:rFonts w:hint="eastAsia" w:ascii="宋体" w:hAnsi="宋体" w:eastAsia="宋体" w:cs="宋体"/>
          <w:color w:val="auto"/>
          <w:szCs w:val="24"/>
          <w:highlight w:val="none"/>
          <w:shd w:val="clear" w:color="auto" w:fill="FFFFFF"/>
        </w:rPr>
        <w:t>月</w:t>
      </w:r>
      <w:r>
        <w:rPr>
          <w:rFonts w:hint="eastAsia" w:cs="宋体"/>
          <w:color w:val="auto"/>
          <w:szCs w:val="24"/>
          <w:highlight w:val="none"/>
          <w:shd w:val="clear" w:color="auto" w:fill="FFFFFF"/>
          <w:lang w:val="en-US" w:eastAsia="zh-CN"/>
        </w:rPr>
        <w:t>30</w:t>
      </w:r>
      <w:r>
        <w:rPr>
          <w:rFonts w:hint="eastAsia" w:ascii="宋体" w:hAnsi="宋体" w:eastAsia="宋体" w:cs="宋体"/>
          <w:color w:val="auto"/>
          <w:szCs w:val="24"/>
          <w:highlight w:val="none"/>
          <w:shd w:val="clear" w:color="auto" w:fill="FFFFFF"/>
        </w:rPr>
        <w:t xml:space="preserve">日 </w:t>
      </w:r>
      <w:r>
        <w:rPr>
          <w:rFonts w:hint="eastAsia" w:cs="宋体"/>
          <w:color w:val="auto"/>
          <w:szCs w:val="24"/>
          <w:highlight w:val="none"/>
          <w:shd w:val="clear" w:color="auto" w:fill="FFFFFF"/>
          <w:lang w:val="en-US" w:eastAsia="zh-CN"/>
        </w:rPr>
        <w:t>16</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rPr>
        <w:t>00</w:t>
      </w:r>
      <w:r>
        <w:rPr>
          <w:rFonts w:hint="eastAsia" w:cs="宋体"/>
          <w:color w:val="auto"/>
          <w:szCs w:val="24"/>
          <w:highlight w:val="none"/>
          <w:shd w:val="clear" w:color="auto" w:fill="FFFFFF"/>
          <w:lang w:eastAsia="zh-CN"/>
        </w:rPr>
        <w:t>时</w:t>
      </w:r>
      <w:r>
        <w:rPr>
          <w:rFonts w:hint="eastAsia" w:ascii="宋体" w:hAnsi="宋体" w:eastAsia="宋体" w:cs="宋体"/>
          <w:color w:val="auto"/>
          <w:szCs w:val="24"/>
          <w:highlight w:val="none"/>
          <w:shd w:val="clear" w:color="auto" w:fill="FFFFFF"/>
        </w:rPr>
        <w:t>（北京时间）</w:t>
      </w:r>
    </w:p>
    <w:p w14:paraId="025D0AE0">
      <w:pPr>
        <w:pStyle w:val="29"/>
        <w:spacing w:before="0" w:beforeAutospacing="0" w:after="0" w:afterAutospacing="0" w:line="440" w:lineRule="exact"/>
        <w:ind w:firstLine="72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 xml:space="preserve">地点：请登录政采云投标客户端投标  </w:t>
      </w:r>
    </w:p>
    <w:p w14:paraId="38C9E462">
      <w:pPr>
        <w:pStyle w:val="29"/>
        <w:spacing w:before="0" w:beforeAutospacing="0" w:after="0" w:afterAutospacing="0" w:line="440" w:lineRule="exact"/>
        <w:ind w:firstLine="720"/>
        <w:rPr>
          <w:rFonts w:hint="eastAsia" w:ascii="宋体" w:hAnsi="宋体" w:eastAsia="宋体" w:cs="宋体"/>
          <w:color w:val="auto"/>
          <w:szCs w:val="24"/>
          <w:highlight w:val="none"/>
        </w:rPr>
      </w:pPr>
      <w:r>
        <w:rPr>
          <w:rStyle w:val="35"/>
          <w:rFonts w:hint="eastAsia" w:ascii="宋体" w:hAnsi="宋体" w:eastAsia="宋体" w:cs="宋体"/>
          <w:color w:val="auto"/>
          <w:szCs w:val="24"/>
          <w:highlight w:val="none"/>
          <w:shd w:val="clear" w:color="auto" w:fill="FFFFFF"/>
        </w:rPr>
        <w:t>五、响应文件开启</w:t>
      </w:r>
      <w:r>
        <w:rPr>
          <w:rFonts w:hint="eastAsia" w:ascii="宋体" w:hAnsi="宋体" w:eastAsia="宋体" w:cs="宋体"/>
          <w:color w:val="auto"/>
          <w:szCs w:val="24"/>
          <w:highlight w:val="none"/>
          <w:shd w:val="clear" w:color="auto" w:fill="FFFFFF"/>
        </w:rPr>
        <w:t> </w:t>
      </w:r>
    </w:p>
    <w:p w14:paraId="680B006C">
      <w:pPr>
        <w:pStyle w:val="29"/>
        <w:spacing w:before="0" w:beforeAutospacing="0" w:after="0" w:afterAutospacing="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    开启时间：</w:t>
      </w:r>
      <w:r>
        <w:rPr>
          <w:rFonts w:hint="eastAsia" w:cs="宋体"/>
          <w:color w:val="auto"/>
          <w:szCs w:val="24"/>
          <w:highlight w:val="none"/>
          <w:shd w:val="clear" w:color="auto" w:fill="FFFFFF"/>
          <w:lang w:eastAsia="zh-CN"/>
        </w:rPr>
        <w:t>2025年</w:t>
      </w:r>
      <w:r>
        <w:rPr>
          <w:rFonts w:hint="eastAsia" w:cs="宋体"/>
          <w:color w:val="auto"/>
          <w:szCs w:val="24"/>
          <w:highlight w:val="none"/>
          <w:shd w:val="clear" w:color="auto" w:fill="FFFFFF"/>
          <w:lang w:val="en-US" w:eastAsia="zh-CN"/>
        </w:rPr>
        <w:t>06</w:t>
      </w:r>
      <w:r>
        <w:rPr>
          <w:rFonts w:hint="eastAsia" w:ascii="宋体" w:hAnsi="宋体" w:eastAsia="宋体" w:cs="宋体"/>
          <w:color w:val="auto"/>
          <w:szCs w:val="24"/>
          <w:highlight w:val="none"/>
          <w:shd w:val="clear" w:color="auto" w:fill="FFFFFF"/>
        </w:rPr>
        <w:t>月</w:t>
      </w:r>
      <w:r>
        <w:rPr>
          <w:rFonts w:hint="eastAsia" w:cs="宋体"/>
          <w:color w:val="auto"/>
          <w:szCs w:val="24"/>
          <w:highlight w:val="none"/>
          <w:shd w:val="clear" w:color="auto" w:fill="FFFFFF"/>
          <w:lang w:val="en-US" w:eastAsia="zh-CN"/>
        </w:rPr>
        <w:t>30</w:t>
      </w:r>
      <w:r>
        <w:rPr>
          <w:rFonts w:hint="eastAsia" w:ascii="宋体" w:hAnsi="宋体" w:eastAsia="宋体" w:cs="宋体"/>
          <w:color w:val="auto"/>
          <w:szCs w:val="24"/>
          <w:highlight w:val="none"/>
          <w:shd w:val="clear" w:color="auto" w:fill="FFFFFF"/>
        </w:rPr>
        <w:t>日 1</w:t>
      </w:r>
      <w:r>
        <w:rPr>
          <w:rFonts w:hint="eastAsia" w:cs="宋体"/>
          <w:color w:val="auto"/>
          <w:szCs w:val="24"/>
          <w:highlight w:val="none"/>
          <w:shd w:val="clear" w:color="auto" w:fill="FFFFFF"/>
          <w:lang w:val="en-US" w:eastAsia="zh-CN"/>
        </w:rPr>
        <w:t>6</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rPr>
        <w:t>00</w:t>
      </w:r>
      <w:r>
        <w:rPr>
          <w:rFonts w:hint="eastAsia" w:cs="宋体"/>
          <w:color w:val="auto"/>
          <w:szCs w:val="24"/>
          <w:highlight w:val="none"/>
          <w:shd w:val="clear" w:color="auto" w:fill="FFFFFF"/>
          <w:lang w:eastAsia="zh-CN"/>
        </w:rPr>
        <w:t>时</w:t>
      </w:r>
      <w:r>
        <w:rPr>
          <w:rFonts w:hint="eastAsia" w:ascii="宋体" w:hAnsi="宋体" w:eastAsia="宋体" w:cs="宋体"/>
          <w:color w:val="auto"/>
          <w:szCs w:val="24"/>
          <w:highlight w:val="none"/>
          <w:shd w:val="clear" w:color="auto" w:fill="FFFFFF"/>
        </w:rPr>
        <w:t>（北京时间）</w:t>
      </w:r>
    </w:p>
    <w:p w14:paraId="3576A0D9">
      <w:pPr>
        <w:pStyle w:val="29"/>
        <w:pageBreakBefore w:val="0"/>
        <w:topLinePunct w:val="0"/>
        <w:bidi w:val="0"/>
        <w:spacing w:before="0" w:beforeAutospacing="0" w:after="0" w:afterAutospacing="0" w:line="420" w:lineRule="exact"/>
        <w:ind w:firstLine="72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地点：</w:t>
      </w:r>
      <w:r>
        <w:rPr>
          <w:rFonts w:hint="eastAsia" w:ascii="宋体" w:hAnsi="宋体" w:eastAsia="宋体" w:cs="宋体"/>
          <w:color w:val="auto"/>
          <w:sz w:val="24"/>
          <w:szCs w:val="24"/>
          <w:shd w:val="clear" w:color="auto" w:fill="FFFFFF"/>
        </w:rPr>
        <w:t>在政府采购云平台（www.zcygov.cn）上开启</w:t>
      </w:r>
      <w:r>
        <w:rPr>
          <w:rFonts w:hint="eastAsia" w:ascii="宋体" w:hAnsi="宋体" w:eastAsia="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，开标时间后，待采购组织机构发出解密通知后30分钟内，供应商须登录“政采云”平台，用“项目采购</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开标评标”功能解密</w:t>
      </w:r>
      <w:r>
        <w:rPr>
          <w:rFonts w:hint="eastAsia" w:ascii="宋体" w:hAnsi="宋体" w:eastAsia="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w:t>
      </w:r>
    </w:p>
    <w:p w14:paraId="775B5A76">
      <w:pPr>
        <w:spacing w:line="440" w:lineRule="exact"/>
        <w:ind w:firstLine="720"/>
        <w:rPr>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shd w:val="clear" w:color="auto" w:fill="FFFFFF"/>
        </w:rPr>
        <w:t>六、公告期限</w:t>
      </w:r>
    </w:p>
    <w:p w14:paraId="2EAF644F">
      <w:pPr>
        <w:pStyle w:val="29"/>
        <w:spacing w:before="0" w:beforeAutospacing="0" w:after="0" w:afterAutospacing="0" w:line="440" w:lineRule="exact"/>
        <w:ind w:firstLine="84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自本公告发布之日起5个工作日。</w:t>
      </w:r>
    </w:p>
    <w:p w14:paraId="365B10E7">
      <w:pPr>
        <w:pStyle w:val="29"/>
        <w:numPr>
          <w:ilvl w:val="0"/>
          <w:numId w:val="4"/>
        </w:numPr>
        <w:spacing w:before="0" w:beforeAutospacing="0" w:after="0" w:afterAutospacing="0" w:line="440" w:lineRule="exact"/>
        <w:ind w:firstLine="723" w:firstLineChars="300"/>
        <w:rPr>
          <w:rStyle w:val="35"/>
          <w:rFonts w:hint="eastAsia" w:ascii="宋体" w:hAnsi="宋体" w:eastAsia="宋体" w:cs="宋体"/>
          <w:color w:val="auto"/>
          <w:szCs w:val="24"/>
          <w:highlight w:val="none"/>
          <w:shd w:val="clear" w:color="auto" w:fill="FFFFFF"/>
        </w:rPr>
      </w:pPr>
      <w:r>
        <w:rPr>
          <w:rStyle w:val="35"/>
          <w:rFonts w:hint="eastAsia" w:ascii="宋体" w:hAnsi="宋体" w:eastAsia="宋体" w:cs="宋体"/>
          <w:color w:val="auto"/>
          <w:szCs w:val="24"/>
          <w:highlight w:val="none"/>
          <w:shd w:val="clear" w:color="auto" w:fill="FFFFFF"/>
        </w:rPr>
        <w:t>其他补充事宜</w:t>
      </w:r>
    </w:p>
    <w:p w14:paraId="01CF12C9">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本项目采用全流程不见面电子开评标，投标供应商需要使用CA加密设备，供应商可通过新疆数字证书认证中心官网（https//www.xjca.com.cn/）或下载“新疆政务通”APP自行进行申领。</w:t>
      </w:r>
    </w:p>
    <w:p w14:paraId="41995626">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本项目实行网上投标，采用加密电子</w:t>
      </w:r>
      <w:r>
        <w:rPr>
          <w:rStyle w:val="35"/>
          <w:rFonts w:hint="eastAsia" w:ascii="宋体" w:hAnsi="宋体" w:eastAsia="宋体" w:cs="宋体"/>
          <w:b w:val="0"/>
          <w:bCs w:val="0"/>
          <w:color w:val="auto"/>
          <w:sz w:val="24"/>
          <w:szCs w:val="24"/>
          <w:shd w:val="clear" w:color="auto" w:fill="FFFFFF"/>
          <w:lang w:eastAsia="zh-CN"/>
        </w:rPr>
        <w:t>响应文件（</w:t>
      </w:r>
      <w:r>
        <w:rPr>
          <w:rStyle w:val="35"/>
          <w:rFonts w:hint="eastAsia" w:ascii="宋体" w:hAnsi="宋体" w:eastAsia="宋体" w:cs="宋体"/>
          <w:b w:val="0"/>
          <w:bCs w:val="0"/>
          <w:color w:val="auto"/>
          <w:sz w:val="24"/>
          <w:szCs w:val="24"/>
          <w:shd w:val="clear" w:color="auto" w:fill="FFFFFF"/>
        </w:rPr>
        <w:t>供应商须使用CA加密设备通过政采云电子投标客户端制作</w:t>
      </w:r>
      <w:r>
        <w:rPr>
          <w:rStyle w:val="35"/>
          <w:rFonts w:hint="eastAsia" w:ascii="宋体" w:hAnsi="宋体" w:eastAsia="宋体" w:cs="宋体"/>
          <w:b w:val="0"/>
          <w:bCs w:val="0"/>
          <w:color w:val="auto"/>
          <w:sz w:val="24"/>
          <w:szCs w:val="24"/>
          <w:shd w:val="clear" w:color="auto" w:fill="FFFFFF"/>
          <w:lang w:eastAsia="zh-CN"/>
        </w:rPr>
        <w:t>响应文件</w:t>
      </w:r>
      <w:r>
        <w:rPr>
          <w:rStyle w:val="35"/>
          <w:rFonts w:hint="eastAsia" w:ascii="宋体" w:hAnsi="宋体" w:eastAsia="宋体" w:cs="宋体"/>
          <w:b w:val="0"/>
          <w:bCs w:val="0"/>
          <w:color w:val="auto"/>
          <w:sz w:val="24"/>
          <w:szCs w:val="24"/>
          <w:shd w:val="clear" w:color="auto" w:fill="FFFFFF"/>
        </w:rPr>
        <w:t>)。若供应商参与投标，自行承担投标一切费用。</w:t>
      </w:r>
    </w:p>
    <w:p w14:paraId="0DBFF019">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6CB5EA6">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供应商将政采云电子交易客户端下载、安装完成后，可通过账号密码或CA登录客户端进行</w:t>
      </w:r>
      <w:r>
        <w:rPr>
          <w:rStyle w:val="35"/>
          <w:rFonts w:hint="eastAsia" w:ascii="宋体" w:hAnsi="宋体" w:eastAsia="宋体" w:cs="宋体"/>
          <w:b w:val="0"/>
          <w:bCs w:val="0"/>
          <w:color w:val="auto"/>
          <w:sz w:val="24"/>
          <w:szCs w:val="24"/>
          <w:shd w:val="clear" w:color="auto" w:fill="FFFFFF"/>
          <w:lang w:eastAsia="zh-CN"/>
        </w:rPr>
        <w:t>响应文件</w:t>
      </w:r>
      <w:r>
        <w:rPr>
          <w:rStyle w:val="35"/>
          <w:rFonts w:hint="eastAsia" w:ascii="宋体" w:hAnsi="宋体" w:eastAsia="宋体" w:cs="宋体"/>
          <w:b w:val="0"/>
          <w:bCs w:val="0"/>
          <w:color w:val="auto"/>
          <w:sz w:val="24"/>
          <w:szCs w:val="24"/>
          <w:shd w:val="clear" w:color="auto" w:fill="FFFFFF"/>
        </w:rPr>
        <w:t>制作。在使用政采云投标客户端时，建议使用WIN7+64位及以上操作系统。客户端请至新疆政府采购网（http//www.ccgp-xinjiang.gov.cn/）下载专区查看，如有问题可拨打政采云客户服务热线95763进行咨询。</w:t>
      </w:r>
    </w:p>
    <w:p w14:paraId="56594A44">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供应商在开标时须使用制作加密电子</w:t>
      </w:r>
      <w:r>
        <w:rPr>
          <w:rStyle w:val="35"/>
          <w:rFonts w:hint="eastAsia" w:ascii="宋体" w:hAnsi="宋体" w:eastAsia="宋体" w:cs="宋体"/>
          <w:b w:val="0"/>
          <w:bCs w:val="0"/>
          <w:color w:val="auto"/>
          <w:sz w:val="24"/>
          <w:szCs w:val="24"/>
          <w:shd w:val="clear" w:color="auto" w:fill="FFFFFF"/>
          <w:lang w:eastAsia="zh-CN"/>
        </w:rPr>
        <w:t>响应文件</w:t>
      </w:r>
      <w:r>
        <w:rPr>
          <w:rStyle w:val="35"/>
          <w:rFonts w:hint="eastAsia" w:ascii="宋体" w:hAnsi="宋体" w:eastAsia="宋体" w:cs="宋体"/>
          <w:b w:val="0"/>
          <w:bCs w:val="0"/>
          <w:color w:val="auto"/>
          <w:sz w:val="24"/>
          <w:szCs w:val="24"/>
          <w:shd w:val="clear" w:color="auto" w:fill="FFFFFF"/>
        </w:rPr>
        <w:t>所使用的CA锁及电脑，电脑须提前配置好浏览器（建议使用谷歌浏览器），以便开标时解锁。</w:t>
      </w:r>
    </w:p>
    <w:p w14:paraId="02A1C062">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6B10C8AA">
      <w:pPr>
        <w:pStyle w:val="29"/>
        <w:pageBreakBefore w:val="0"/>
        <w:numPr>
          <w:ilvl w:val="0"/>
          <w:numId w:val="5"/>
        </w:numPr>
        <w:topLinePunct w:val="0"/>
        <w:bidi w:val="0"/>
        <w:spacing w:before="0" w:beforeAutospacing="0" w:after="0" w:afterAutospacing="0" w:line="420" w:lineRule="exact"/>
        <w:ind w:firstLine="480" w:firstLineChars="200"/>
        <w:rPr>
          <w:rStyle w:val="35"/>
          <w:rFonts w:hint="eastAsia" w:ascii="宋体" w:hAnsi="宋体" w:eastAsia="宋体" w:cs="宋体"/>
          <w:b w:val="0"/>
          <w:bCs w:val="0"/>
          <w:color w:val="auto"/>
          <w:sz w:val="24"/>
          <w:szCs w:val="24"/>
          <w:shd w:val="clear" w:color="auto" w:fill="FFFFFF"/>
        </w:rPr>
      </w:pPr>
      <w:r>
        <w:rPr>
          <w:rStyle w:val="35"/>
          <w:rFonts w:hint="eastAsia" w:ascii="宋体" w:hAnsi="宋体" w:eastAsia="宋体" w:cs="宋体"/>
          <w:b w:val="0"/>
          <w:bCs w:val="0"/>
          <w:color w:val="auto"/>
          <w:sz w:val="24"/>
          <w:szCs w:val="24"/>
          <w:shd w:val="clear" w:color="auto" w:fill="FFFFFF"/>
        </w:rPr>
        <w:t>为了保证开评标顺利进行，政采云线上开标功能完全实现，供应商开标所使用的电脑设备须具有视频及语音功能。</w:t>
      </w:r>
    </w:p>
    <w:p w14:paraId="2F31279A">
      <w:pPr>
        <w:pStyle w:val="29"/>
        <w:pageBreakBefore w:val="0"/>
        <w:numPr>
          <w:ilvl w:val="0"/>
          <w:numId w:val="5"/>
        </w:numPr>
        <w:topLinePunct w:val="0"/>
        <w:bidi w:val="0"/>
        <w:spacing w:before="0" w:beforeAutospacing="0" w:after="0" w:afterAutospacing="0" w:line="420" w:lineRule="exact"/>
        <w:ind w:firstLine="480" w:firstLineChars="200"/>
        <w:rPr>
          <w:rFonts w:hint="eastAsia" w:ascii="宋体" w:hAnsi="宋体" w:eastAsia="宋体" w:cs="宋体"/>
          <w:color w:val="auto"/>
          <w:sz w:val="24"/>
          <w:szCs w:val="24"/>
          <w:lang w:val="en-US" w:eastAsia="zh-CN"/>
        </w:rPr>
      </w:pPr>
      <w:r>
        <w:rPr>
          <w:rStyle w:val="35"/>
          <w:rFonts w:hint="eastAsia" w:ascii="宋体" w:hAnsi="宋体" w:eastAsia="宋体" w:cs="宋体"/>
          <w:b w:val="0"/>
          <w:bCs w:val="0"/>
          <w:color w:val="auto"/>
          <w:sz w:val="24"/>
          <w:szCs w:val="24"/>
          <w:shd w:val="clear" w:color="auto" w:fill="FFFFFF"/>
          <w:lang w:val="en-US" w:eastAsia="zh-CN"/>
        </w:rPr>
        <w:t>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本项目采购标的对应的中小企业划分标准所属行业为</w:t>
      </w:r>
      <w:r>
        <w:rPr>
          <w:rStyle w:val="35"/>
          <w:rFonts w:hint="eastAsia" w:ascii="宋体" w:hAnsi="宋体" w:eastAsia="宋体" w:cs="宋体"/>
          <w:b/>
          <w:bCs/>
          <w:color w:val="auto"/>
          <w:sz w:val="24"/>
          <w:szCs w:val="24"/>
          <w:shd w:val="clear" w:color="auto" w:fill="FFFFFF"/>
          <w:lang w:val="en-US" w:eastAsia="zh-CN"/>
        </w:rPr>
        <w:t>其他未列明行业</w:t>
      </w:r>
      <w:r>
        <w:rPr>
          <w:rStyle w:val="35"/>
          <w:rFonts w:hint="eastAsia" w:ascii="宋体" w:hAnsi="宋体" w:eastAsia="宋体" w:cs="宋体"/>
          <w:b w:val="0"/>
          <w:bCs w:val="0"/>
          <w:color w:val="auto"/>
          <w:sz w:val="24"/>
          <w:szCs w:val="24"/>
          <w:shd w:val="clear" w:color="auto" w:fill="FFFFFF"/>
          <w:lang w:val="en-US" w:eastAsia="zh-CN"/>
        </w:rPr>
        <w:t>。</w:t>
      </w:r>
    </w:p>
    <w:p w14:paraId="4782C04A">
      <w:pPr>
        <w:pStyle w:val="29"/>
        <w:spacing w:before="0" w:beforeAutospacing="0" w:after="0" w:afterAutospacing="0" w:line="440" w:lineRule="exact"/>
        <w:ind w:left="420" w:leftChars="200"/>
        <w:rPr>
          <w:rFonts w:hint="eastAsia" w:ascii="宋体" w:hAnsi="宋体" w:eastAsia="宋体" w:cs="宋体"/>
          <w:color w:val="auto"/>
          <w:szCs w:val="24"/>
          <w:highlight w:val="none"/>
        </w:rPr>
      </w:pPr>
      <w:r>
        <w:rPr>
          <w:rStyle w:val="35"/>
          <w:rFonts w:hint="eastAsia" w:ascii="宋体" w:hAnsi="宋体" w:eastAsia="宋体" w:cs="宋体"/>
          <w:color w:val="auto"/>
          <w:szCs w:val="24"/>
          <w:highlight w:val="none"/>
          <w:shd w:val="clear" w:color="auto" w:fill="FFFFFF"/>
        </w:rPr>
        <w:t>八、凡对本次招标提出询问，请按以下方式联系</w:t>
      </w:r>
    </w:p>
    <w:p w14:paraId="1B81555E">
      <w:pPr>
        <w:pStyle w:val="29"/>
        <w:spacing w:before="0" w:beforeAutospacing="0" w:after="0" w:afterAutospacing="0" w:line="440" w:lineRule="exact"/>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  1.采购人信息</w:t>
      </w:r>
    </w:p>
    <w:p w14:paraId="29106C5C">
      <w:pPr>
        <w:pStyle w:val="29"/>
        <w:spacing w:before="0" w:beforeAutospacing="0" w:after="0" w:afterAutospacing="0" w:line="440" w:lineRule="exact"/>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  名称：</w:t>
      </w:r>
      <w:r>
        <w:rPr>
          <w:rFonts w:hint="eastAsia" w:cs="宋体"/>
          <w:color w:val="auto"/>
          <w:szCs w:val="24"/>
          <w:highlight w:val="none"/>
          <w:shd w:val="clear" w:color="auto" w:fill="FFFFFF"/>
          <w:lang w:eastAsia="zh-CN"/>
        </w:rPr>
        <w:t>新疆准东经济技术开发区经济发展局</w:t>
      </w:r>
    </w:p>
    <w:p w14:paraId="68400B9E">
      <w:pPr>
        <w:pStyle w:val="29"/>
        <w:spacing w:before="0" w:beforeAutospacing="0" w:after="0" w:afterAutospacing="0" w:line="440" w:lineRule="exact"/>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  地址：</w:t>
      </w:r>
      <w:r>
        <w:rPr>
          <w:rFonts w:hint="eastAsia" w:cs="宋体"/>
          <w:color w:val="auto"/>
          <w:szCs w:val="24"/>
          <w:highlight w:val="none"/>
          <w:shd w:val="clear" w:color="auto" w:fill="FFFFFF"/>
          <w:lang w:eastAsia="zh-CN"/>
        </w:rPr>
        <w:t>新疆准东开发区五彩湾新城五彩路51号</w:t>
      </w:r>
      <w:r>
        <w:rPr>
          <w:rFonts w:hint="eastAsia" w:ascii="宋体" w:hAnsi="宋体" w:eastAsia="宋体" w:cs="宋体"/>
          <w:color w:val="auto"/>
          <w:szCs w:val="24"/>
          <w:highlight w:val="none"/>
          <w:shd w:val="clear" w:color="auto" w:fill="FFFFFF"/>
        </w:rPr>
        <w:t xml:space="preserve"> </w:t>
      </w:r>
    </w:p>
    <w:p w14:paraId="42B21FD7">
      <w:pPr>
        <w:pStyle w:val="29"/>
        <w:spacing w:before="0" w:beforeAutospacing="0" w:after="0" w:afterAutospacing="0" w:line="440" w:lineRule="exact"/>
        <w:rPr>
          <w:rFonts w:hint="default" w:ascii="宋体" w:hAnsi="宋体" w:eastAsia="宋体" w:cs="宋体"/>
          <w:color w:val="auto"/>
          <w:szCs w:val="24"/>
          <w:highlight w:val="none"/>
          <w:shd w:val="clear" w:color="auto" w:fill="FFFFFF"/>
          <w:lang w:val="en-US" w:eastAsia="zh-CN"/>
        </w:rPr>
      </w:pPr>
      <w:r>
        <w:rPr>
          <w:rFonts w:hint="eastAsia" w:ascii="宋体" w:hAnsi="宋体" w:eastAsia="宋体" w:cs="宋体"/>
          <w:color w:val="auto"/>
          <w:szCs w:val="24"/>
          <w:highlight w:val="none"/>
          <w:shd w:val="clear" w:color="auto" w:fill="FFFFFF"/>
        </w:rPr>
        <w:t>  项目联系人：</w:t>
      </w:r>
      <w:r>
        <w:rPr>
          <w:rFonts w:hint="eastAsia" w:cs="宋体"/>
          <w:color w:val="auto"/>
          <w:szCs w:val="24"/>
          <w:highlight w:val="none"/>
          <w:shd w:val="clear" w:color="auto" w:fill="FFFFFF"/>
          <w:lang w:val="en-US" w:eastAsia="zh-CN"/>
        </w:rPr>
        <w:t xml:space="preserve"> </w:t>
      </w:r>
      <w:r>
        <w:rPr>
          <w:rFonts w:hint="eastAsia" w:ascii="宋体" w:hAnsi="宋体" w:cs="宋体"/>
          <w:color w:val="auto"/>
          <w:sz w:val="24"/>
          <w:szCs w:val="24"/>
          <w:highlight w:val="none"/>
          <w:lang w:val="en-US" w:eastAsia="zh-CN"/>
        </w:rPr>
        <w:t>陈女士</w:t>
      </w:r>
      <w:r>
        <w:rPr>
          <w:rFonts w:hint="eastAsia" w:cs="宋体"/>
          <w:color w:val="auto"/>
          <w:szCs w:val="24"/>
          <w:highlight w:val="none"/>
          <w:shd w:val="clear" w:color="auto" w:fill="FFFFFF"/>
          <w:lang w:val="en-US" w:eastAsia="zh-CN"/>
        </w:rPr>
        <w:t xml:space="preserve"> </w:t>
      </w:r>
    </w:p>
    <w:p w14:paraId="3601A01F">
      <w:pPr>
        <w:pStyle w:val="29"/>
        <w:spacing w:before="0" w:beforeAutospacing="0" w:after="0" w:afterAutospacing="0" w:line="440" w:lineRule="exact"/>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  项目联系方式：</w:t>
      </w:r>
      <w:r>
        <w:rPr>
          <w:rFonts w:hint="eastAsia" w:cs="宋体"/>
          <w:color w:val="auto"/>
          <w:szCs w:val="24"/>
          <w:highlight w:val="none"/>
          <w:shd w:val="clear" w:color="auto" w:fill="FFFFFF"/>
          <w:lang w:val="en-US" w:eastAsia="zh-CN"/>
        </w:rPr>
        <w:t xml:space="preserve"> 18299096085 </w:t>
      </w:r>
      <w:r>
        <w:rPr>
          <w:rFonts w:hint="eastAsia" w:ascii="宋体" w:hAnsi="宋体" w:eastAsia="宋体" w:cs="宋体"/>
          <w:color w:val="auto"/>
          <w:szCs w:val="24"/>
          <w:highlight w:val="none"/>
          <w:shd w:val="clear" w:color="auto" w:fill="FFFFFF"/>
        </w:rPr>
        <w:t>   </w:t>
      </w:r>
    </w:p>
    <w:p w14:paraId="6D5B71CC">
      <w:pPr>
        <w:pStyle w:val="29"/>
        <w:spacing w:before="0" w:beforeAutospacing="0" w:after="0" w:afterAutospacing="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 xml:space="preserve">  </w:t>
      </w:r>
      <w:r>
        <w:rPr>
          <w:rFonts w:hint="eastAsia" w:cs="宋体"/>
          <w:color w:val="auto"/>
          <w:szCs w:val="24"/>
          <w:highlight w:val="none"/>
          <w:shd w:val="clear" w:color="auto" w:fill="FFFFFF"/>
          <w:lang w:val="en-US" w:eastAsia="zh-CN"/>
        </w:rPr>
        <w:t xml:space="preserve"> </w:t>
      </w:r>
      <w:r>
        <w:rPr>
          <w:rFonts w:hint="eastAsia" w:ascii="宋体" w:hAnsi="宋体" w:eastAsia="宋体" w:cs="宋体"/>
          <w:color w:val="auto"/>
          <w:szCs w:val="24"/>
          <w:highlight w:val="none"/>
          <w:shd w:val="clear" w:color="auto" w:fill="FFFFFF"/>
        </w:rPr>
        <w:t>2.采购代理机构信息</w:t>
      </w:r>
    </w:p>
    <w:p w14:paraId="55C6A3E7">
      <w:pPr>
        <w:pStyle w:val="29"/>
        <w:spacing w:before="0" w:beforeAutospacing="0" w:after="0" w:afterAutospacing="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 </w:t>
      </w:r>
      <w:r>
        <w:rPr>
          <w:rFonts w:hint="eastAsia" w:cs="宋体"/>
          <w:color w:val="auto"/>
          <w:szCs w:val="24"/>
          <w:highlight w:val="none"/>
          <w:shd w:val="clear" w:color="auto" w:fill="FFFFFF"/>
          <w:lang w:val="en-US" w:eastAsia="zh-CN"/>
        </w:rPr>
        <w:t xml:space="preserve"> </w:t>
      </w:r>
      <w:r>
        <w:rPr>
          <w:rFonts w:hint="eastAsia" w:ascii="宋体" w:hAnsi="宋体" w:eastAsia="宋体" w:cs="宋体"/>
          <w:color w:val="auto"/>
          <w:szCs w:val="24"/>
          <w:highlight w:val="none"/>
          <w:shd w:val="clear" w:color="auto" w:fill="FFFFFF"/>
        </w:rPr>
        <w:t xml:space="preserve"> 名称：</w:t>
      </w:r>
      <w:r>
        <w:rPr>
          <w:rFonts w:hint="eastAsia" w:ascii="宋体" w:hAnsi="宋体" w:eastAsia="宋体" w:cs="宋体"/>
          <w:color w:val="auto"/>
          <w:szCs w:val="24"/>
          <w:highlight w:val="none"/>
        </w:rPr>
        <w:t>新疆昌盛方略项目管理有限公司</w:t>
      </w:r>
      <w:r>
        <w:rPr>
          <w:rFonts w:hint="eastAsia" w:ascii="宋体" w:hAnsi="宋体" w:eastAsia="宋体" w:cs="宋体"/>
          <w:color w:val="auto"/>
          <w:szCs w:val="24"/>
          <w:highlight w:val="none"/>
          <w:shd w:val="clear" w:color="auto" w:fill="FFFFFF"/>
        </w:rPr>
        <w:t> </w:t>
      </w:r>
    </w:p>
    <w:p w14:paraId="7A4C8028">
      <w:pPr>
        <w:pStyle w:val="29"/>
        <w:spacing w:before="75" w:beforeAutospacing="0" w:after="75" w:afterAutospacing="0" w:line="440" w:lineRule="exact"/>
        <w:ind w:firstLine="480" w:firstLineChars="200"/>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地址：</w:t>
      </w:r>
      <w:r>
        <w:rPr>
          <w:rFonts w:hint="eastAsia" w:cs="宋体"/>
          <w:color w:val="auto"/>
          <w:szCs w:val="24"/>
          <w:highlight w:val="none"/>
          <w:shd w:val="clear" w:color="auto" w:fill="FFFFFF"/>
          <w:lang w:eastAsia="zh-CN"/>
        </w:rPr>
        <w:t>新疆昌吉回族自治州昌吉市南公园西路融投小镇1号楼A座14层（昌吉州国投大厦1幢14楼1419）</w:t>
      </w:r>
    </w:p>
    <w:p w14:paraId="1261A70E">
      <w:pPr>
        <w:pStyle w:val="29"/>
        <w:spacing w:before="75" w:beforeAutospacing="0" w:after="75" w:afterAutospacing="0" w:line="440" w:lineRule="exact"/>
        <w:ind w:firstLine="480" w:firstLineChars="200"/>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项目联系人：</w:t>
      </w:r>
      <w:r>
        <w:rPr>
          <w:rFonts w:hint="eastAsia" w:cs="宋体"/>
          <w:color w:val="auto"/>
          <w:szCs w:val="24"/>
          <w:highlight w:val="none"/>
          <w:shd w:val="clear" w:color="auto" w:fill="FFFFFF"/>
          <w:lang w:eastAsia="zh-CN"/>
        </w:rPr>
        <w:t>蔚女士、努女士</w:t>
      </w:r>
      <w:r>
        <w:rPr>
          <w:rFonts w:hint="eastAsia" w:ascii="宋体" w:hAnsi="宋体" w:eastAsia="宋体" w:cs="宋体"/>
          <w:color w:val="auto"/>
          <w:szCs w:val="24"/>
          <w:highlight w:val="none"/>
          <w:shd w:val="clear" w:color="auto" w:fill="FFFFFF"/>
        </w:rPr>
        <w:t xml:space="preserve">   </w:t>
      </w:r>
    </w:p>
    <w:p w14:paraId="4E89538A">
      <w:pPr>
        <w:pStyle w:val="29"/>
        <w:spacing w:before="75" w:beforeAutospacing="0" w:after="75" w:afterAutospacing="0" w:line="440" w:lineRule="exact"/>
        <w:ind w:firstLine="480" w:firstLineChars="200"/>
        <w:rPr>
          <w:rFonts w:hint="eastAsia" w:ascii="宋体" w:hAnsi="宋体" w:eastAsia="宋体" w:cs="宋体"/>
          <w:color w:val="auto"/>
          <w:szCs w:val="24"/>
          <w:highlight w:val="none"/>
          <w:shd w:val="clear" w:color="auto" w:fill="FFFFFF"/>
          <w:lang w:val="en-US" w:eastAsia="zh-CN"/>
        </w:rPr>
      </w:pPr>
      <w:r>
        <w:rPr>
          <w:rFonts w:hint="eastAsia" w:ascii="宋体" w:hAnsi="宋体" w:eastAsia="宋体" w:cs="宋体"/>
          <w:color w:val="auto"/>
          <w:szCs w:val="24"/>
          <w:highlight w:val="none"/>
          <w:shd w:val="clear" w:color="auto" w:fill="FFFFFF"/>
        </w:rPr>
        <w:t>项目联系方式：</w:t>
      </w:r>
      <w:r>
        <w:rPr>
          <w:rFonts w:hint="eastAsia" w:cs="宋体"/>
          <w:color w:val="auto"/>
          <w:szCs w:val="24"/>
          <w:highlight w:val="none"/>
          <w:shd w:val="clear" w:color="auto" w:fill="FFFFFF"/>
          <w:lang w:val="en-US" w:eastAsia="zh-CN"/>
        </w:rPr>
        <w:t xml:space="preserve">0994-8165002 </w:t>
      </w:r>
      <w:r>
        <w:rPr>
          <w:rFonts w:hint="eastAsia" w:cs="宋体"/>
          <w:color w:val="auto"/>
          <w:szCs w:val="24"/>
          <w:highlight w:val="none"/>
          <w:shd w:val="clear" w:color="auto" w:fill="FFFFFF"/>
          <w:lang w:eastAsia="zh-CN"/>
        </w:rPr>
        <w:t>13779267588</w:t>
      </w:r>
    </w:p>
    <w:p w14:paraId="063277DB">
      <w:pPr>
        <w:pStyle w:val="11"/>
        <w:widowControl w:val="0"/>
        <w:numPr>
          <w:ilvl w:val="0"/>
          <w:numId w:val="0"/>
        </w:numPr>
        <w:jc w:val="both"/>
        <w:rPr>
          <w:rFonts w:hint="eastAsia" w:ascii="宋体" w:hAnsi="宋体" w:eastAsia="宋体" w:cs="宋体"/>
          <w:color w:val="auto"/>
          <w:highlight w:val="none"/>
        </w:rPr>
      </w:pPr>
    </w:p>
    <w:p w14:paraId="739FA5BE">
      <w:pPr>
        <w:pStyle w:val="11"/>
        <w:widowControl w:val="0"/>
        <w:numPr>
          <w:ilvl w:val="0"/>
          <w:numId w:val="0"/>
        </w:numPr>
        <w:jc w:val="both"/>
        <w:rPr>
          <w:rFonts w:hint="eastAsia" w:ascii="宋体" w:hAnsi="宋体" w:eastAsia="宋体" w:cs="宋体"/>
          <w:color w:val="auto"/>
          <w:highlight w:val="none"/>
        </w:rPr>
      </w:pPr>
    </w:p>
    <w:p w14:paraId="63FD055D">
      <w:pPr>
        <w:pStyle w:val="11"/>
        <w:widowControl w:val="0"/>
        <w:numPr>
          <w:ilvl w:val="0"/>
          <w:numId w:val="0"/>
        </w:numPr>
        <w:jc w:val="both"/>
        <w:rPr>
          <w:rFonts w:hint="eastAsia" w:ascii="宋体" w:hAnsi="宋体" w:eastAsia="宋体" w:cs="宋体"/>
          <w:color w:val="auto"/>
          <w:highlight w:val="none"/>
        </w:rPr>
      </w:pPr>
    </w:p>
    <w:p w14:paraId="231F2A0F">
      <w:pPr>
        <w:pStyle w:val="11"/>
        <w:widowControl w:val="0"/>
        <w:numPr>
          <w:ilvl w:val="0"/>
          <w:numId w:val="0"/>
        </w:numPr>
        <w:jc w:val="both"/>
        <w:rPr>
          <w:rFonts w:hint="eastAsia" w:ascii="宋体" w:hAnsi="宋体" w:eastAsia="宋体" w:cs="宋体"/>
          <w:color w:val="auto"/>
          <w:highlight w:val="none"/>
        </w:rPr>
      </w:pPr>
    </w:p>
    <w:p w14:paraId="14377033">
      <w:pPr>
        <w:pStyle w:val="11"/>
        <w:widowControl w:val="0"/>
        <w:numPr>
          <w:ilvl w:val="0"/>
          <w:numId w:val="0"/>
        </w:numPr>
        <w:jc w:val="both"/>
        <w:rPr>
          <w:rFonts w:hint="eastAsia" w:ascii="宋体" w:hAnsi="宋体" w:eastAsia="宋体" w:cs="宋体"/>
          <w:color w:val="auto"/>
          <w:highlight w:val="none"/>
        </w:rPr>
      </w:pPr>
    </w:p>
    <w:p w14:paraId="37F8668F">
      <w:pPr>
        <w:pStyle w:val="11"/>
        <w:widowControl w:val="0"/>
        <w:numPr>
          <w:ilvl w:val="0"/>
          <w:numId w:val="0"/>
        </w:numPr>
        <w:jc w:val="both"/>
        <w:rPr>
          <w:rFonts w:hint="eastAsia" w:ascii="宋体" w:hAnsi="宋体" w:eastAsia="宋体" w:cs="宋体"/>
          <w:color w:val="auto"/>
          <w:highlight w:val="none"/>
        </w:rPr>
      </w:pPr>
    </w:p>
    <w:p w14:paraId="7D98BD4A">
      <w:pPr>
        <w:pStyle w:val="11"/>
        <w:widowControl w:val="0"/>
        <w:numPr>
          <w:ilvl w:val="0"/>
          <w:numId w:val="0"/>
        </w:numPr>
        <w:jc w:val="both"/>
        <w:rPr>
          <w:rFonts w:hint="eastAsia" w:ascii="宋体" w:hAnsi="宋体" w:eastAsia="宋体" w:cs="宋体"/>
          <w:color w:val="auto"/>
          <w:highlight w:val="none"/>
        </w:rPr>
      </w:pPr>
    </w:p>
    <w:p w14:paraId="50FB539E">
      <w:pPr>
        <w:pStyle w:val="11"/>
        <w:widowControl w:val="0"/>
        <w:numPr>
          <w:ilvl w:val="0"/>
          <w:numId w:val="0"/>
        </w:numPr>
        <w:jc w:val="both"/>
        <w:rPr>
          <w:rFonts w:hint="eastAsia" w:ascii="宋体" w:hAnsi="宋体" w:eastAsia="宋体" w:cs="宋体"/>
          <w:color w:val="auto"/>
          <w:highlight w:val="none"/>
        </w:rPr>
      </w:pPr>
    </w:p>
    <w:p w14:paraId="4F7105A1">
      <w:pPr>
        <w:pStyle w:val="11"/>
        <w:widowControl w:val="0"/>
        <w:numPr>
          <w:ilvl w:val="0"/>
          <w:numId w:val="0"/>
        </w:numPr>
        <w:jc w:val="both"/>
        <w:rPr>
          <w:rFonts w:hint="eastAsia" w:ascii="宋体" w:hAnsi="宋体" w:eastAsia="宋体" w:cs="宋体"/>
          <w:color w:val="auto"/>
          <w:highlight w:val="none"/>
        </w:rPr>
      </w:pPr>
    </w:p>
    <w:p w14:paraId="18483AF7">
      <w:pPr>
        <w:pStyle w:val="11"/>
        <w:widowControl w:val="0"/>
        <w:numPr>
          <w:ilvl w:val="0"/>
          <w:numId w:val="0"/>
        </w:numPr>
        <w:jc w:val="both"/>
        <w:rPr>
          <w:rFonts w:hint="eastAsia" w:ascii="宋体" w:hAnsi="宋体" w:eastAsia="宋体" w:cs="宋体"/>
          <w:color w:val="auto"/>
          <w:highlight w:val="none"/>
        </w:rPr>
      </w:pPr>
    </w:p>
    <w:p w14:paraId="687367A3">
      <w:pPr>
        <w:pStyle w:val="11"/>
        <w:widowControl w:val="0"/>
        <w:numPr>
          <w:ilvl w:val="0"/>
          <w:numId w:val="0"/>
        </w:numPr>
        <w:jc w:val="both"/>
        <w:rPr>
          <w:rFonts w:hint="eastAsia" w:ascii="宋体" w:hAnsi="宋体" w:eastAsia="宋体" w:cs="宋体"/>
          <w:color w:val="auto"/>
          <w:highlight w:val="none"/>
        </w:rPr>
      </w:pPr>
    </w:p>
    <w:p w14:paraId="6728291B">
      <w:pPr>
        <w:pStyle w:val="11"/>
        <w:widowControl w:val="0"/>
        <w:numPr>
          <w:ilvl w:val="0"/>
          <w:numId w:val="0"/>
        </w:numPr>
        <w:jc w:val="both"/>
        <w:rPr>
          <w:rFonts w:hint="eastAsia" w:ascii="宋体" w:hAnsi="宋体" w:eastAsia="宋体" w:cs="宋体"/>
          <w:color w:val="auto"/>
          <w:highlight w:val="none"/>
        </w:rPr>
      </w:pPr>
    </w:p>
    <w:p w14:paraId="588E5D3C">
      <w:pPr>
        <w:pStyle w:val="11"/>
        <w:widowControl w:val="0"/>
        <w:numPr>
          <w:ilvl w:val="0"/>
          <w:numId w:val="0"/>
        </w:numPr>
        <w:jc w:val="both"/>
        <w:rPr>
          <w:rFonts w:hint="eastAsia" w:ascii="宋体" w:hAnsi="宋体" w:eastAsia="宋体" w:cs="宋体"/>
          <w:color w:val="auto"/>
          <w:highlight w:val="none"/>
        </w:rPr>
      </w:pPr>
    </w:p>
    <w:p w14:paraId="76466B56">
      <w:pPr>
        <w:pStyle w:val="11"/>
        <w:widowControl w:val="0"/>
        <w:numPr>
          <w:ilvl w:val="0"/>
          <w:numId w:val="0"/>
        </w:numPr>
        <w:jc w:val="both"/>
        <w:rPr>
          <w:rFonts w:hint="eastAsia" w:ascii="宋体" w:hAnsi="宋体" w:eastAsia="宋体" w:cs="宋体"/>
          <w:color w:val="auto"/>
          <w:highlight w:val="none"/>
        </w:rPr>
      </w:pPr>
    </w:p>
    <w:p w14:paraId="22E90223">
      <w:pPr>
        <w:pStyle w:val="11"/>
        <w:widowControl w:val="0"/>
        <w:numPr>
          <w:ilvl w:val="0"/>
          <w:numId w:val="0"/>
        </w:numPr>
        <w:jc w:val="both"/>
        <w:rPr>
          <w:rFonts w:hint="eastAsia" w:ascii="宋体" w:hAnsi="宋体" w:eastAsia="宋体" w:cs="宋体"/>
          <w:color w:val="auto"/>
          <w:highlight w:val="none"/>
        </w:rPr>
      </w:pPr>
    </w:p>
    <w:p w14:paraId="7F505446">
      <w:pPr>
        <w:pStyle w:val="11"/>
        <w:widowControl w:val="0"/>
        <w:numPr>
          <w:ilvl w:val="0"/>
          <w:numId w:val="0"/>
        </w:numPr>
        <w:jc w:val="both"/>
        <w:rPr>
          <w:rFonts w:hint="eastAsia" w:ascii="宋体" w:hAnsi="宋体" w:eastAsia="宋体" w:cs="宋体"/>
          <w:color w:val="auto"/>
          <w:highlight w:val="none"/>
        </w:rPr>
      </w:pPr>
    </w:p>
    <w:p w14:paraId="1251B1A4">
      <w:pPr>
        <w:pStyle w:val="11"/>
        <w:widowControl w:val="0"/>
        <w:numPr>
          <w:ilvl w:val="0"/>
          <w:numId w:val="0"/>
        </w:numPr>
        <w:jc w:val="both"/>
        <w:rPr>
          <w:rFonts w:hint="eastAsia" w:ascii="宋体" w:hAnsi="宋体" w:eastAsia="宋体" w:cs="宋体"/>
          <w:color w:val="auto"/>
          <w:highlight w:val="none"/>
        </w:rPr>
      </w:pPr>
    </w:p>
    <w:p w14:paraId="65CDB1E3">
      <w:pPr>
        <w:pStyle w:val="11"/>
        <w:widowControl w:val="0"/>
        <w:numPr>
          <w:ilvl w:val="0"/>
          <w:numId w:val="0"/>
        </w:numPr>
        <w:jc w:val="both"/>
        <w:rPr>
          <w:rFonts w:hint="eastAsia" w:ascii="宋体" w:hAnsi="宋体" w:eastAsia="宋体" w:cs="宋体"/>
          <w:color w:val="auto"/>
          <w:highlight w:val="none"/>
        </w:rPr>
      </w:pPr>
    </w:p>
    <w:p w14:paraId="34B8FA37">
      <w:pPr>
        <w:pStyle w:val="11"/>
        <w:widowControl w:val="0"/>
        <w:numPr>
          <w:ilvl w:val="0"/>
          <w:numId w:val="0"/>
        </w:numPr>
        <w:jc w:val="both"/>
        <w:rPr>
          <w:rFonts w:hint="eastAsia" w:ascii="宋体" w:hAnsi="宋体" w:eastAsia="宋体" w:cs="宋体"/>
          <w:color w:val="auto"/>
          <w:highlight w:val="none"/>
        </w:rPr>
      </w:pPr>
    </w:p>
    <w:p w14:paraId="302EE02C">
      <w:pPr>
        <w:pStyle w:val="11"/>
        <w:widowControl w:val="0"/>
        <w:numPr>
          <w:ilvl w:val="0"/>
          <w:numId w:val="0"/>
        </w:numPr>
        <w:jc w:val="both"/>
        <w:rPr>
          <w:rFonts w:hint="eastAsia" w:ascii="宋体" w:hAnsi="宋体" w:eastAsia="宋体" w:cs="宋体"/>
          <w:color w:val="auto"/>
          <w:highlight w:val="none"/>
        </w:rPr>
      </w:pPr>
    </w:p>
    <w:p w14:paraId="2A79DD9E">
      <w:pPr>
        <w:pStyle w:val="11"/>
        <w:widowControl w:val="0"/>
        <w:numPr>
          <w:ilvl w:val="0"/>
          <w:numId w:val="0"/>
        </w:numPr>
        <w:jc w:val="both"/>
        <w:rPr>
          <w:rFonts w:hint="eastAsia" w:ascii="宋体" w:hAnsi="宋体" w:eastAsia="宋体" w:cs="宋体"/>
          <w:color w:val="auto"/>
          <w:highlight w:val="none"/>
        </w:rPr>
      </w:pPr>
    </w:p>
    <w:p w14:paraId="101F258B">
      <w:pPr>
        <w:pStyle w:val="11"/>
        <w:widowControl w:val="0"/>
        <w:numPr>
          <w:ilvl w:val="0"/>
          <w:numId w:val="0"/>
        </w:numPr>
        <w:jc w:val="both"/>
        <w:rPr>
          <w:rFonts w:hint="eastAsia" w:ascii="宋体" w:hAnsi="宋体" w:eastAsia="宋体" w:cs="宋体"/>
          <w:color w:val="auto"/>
          <w:highlight w:val="none"/>
        </w:rPr>
      </w:pPr>
    </w:p>
    <w:p w14:paraId="4322F069">
      <w:pPr>
        <w:pStyle w:val="11"/>
        <w:widowControl w:val="0"/>
        <w:numPr>
          <w:ilvl w:val="0"/>
          <w:numId w:val="0"/>
        </w:numPr>
        <w:jc w:val="both"/>
        <w:rPr>
          <w:rFonts w:hint="eastAsia" w:ascii="宋体" w:hAnsi="宋体" w:eastAsia="宋体" w:cs="宋体"/>
          <w:color w:val="auto"/>
          <w:highlight w:val="none"/>
        </w:rPr>
      </w:pPr>
    </w:p>
    <w:p w14:paraId="398FA0F6">
      <w:pPr>
        <w:pStyle w:val="11"/>
        <w:widowControl w:val="0"/>
        <w:numPr>
          <w:ilvl w:val="0"/>
          <w:numId w:val="0"/>
        </w:numPr>
        <w:jc w:val="both"/>
        <w:rPr>
          <w:rFonts w:hint="eastAsia" w:ascii="宋体" w:hAnsi="宋体" w:eastAsia="宋体" w:cs="宋体"/>
          <w:color w:val="auto"/>
          <w:highlight w:val="none"/>
        </w:rPr>
      </w:pPr>
    </w:p>
    <w:p w14:paraId="03FA6D9D">
      <w:pPr>
        <w:pStyle w:val="11"/>
        <w:widowControl w:val="0"/>
        <w:numPr>
          <w:ilvl w:val="0"/>
          <w:numId w:val="0"/>
        </w:numPr>
        <w:jc w:val="both"/>
        <w:rPr>
          <w:rFonts w:hint="eastAsia" w:ascii="宋体" w:hAnsi="宋体" w:eastAsia="宋体" w:cs="宋体"/>
          <w:color w:val="auto"/>
          <w:highlight w:val="none"/>
        </w:rPr>
      </w:pPr>
    </w:p>
    <w:p w14:paraId="3D8C4BF2">
      <w:pPr>
        <w:pStyle w:val="11"/>
        <w:widowControl w:val="0"/>
        <w:numPr>
          <w:ilvl w:val="0"/>
          <w:numId w:val="0"/>
        </w:numPr>
        <w:jc w:val="both"/>
        <w:rPr>
          <w:rFonts w:hint="eastAsia" w:ascii="宋体" w:hAnsi="宋体" w:eastAsia="宋体" w:cs="宋体"/>
          <w:color w:val="auto"/>
          <w:highlight w:val="none"/>
        </w:rPr>
      </w:pPr>
    </w:p>
    <w:p w14:paraId="2CF4293A">
      <w:pPr>
        <w:pStyle w:val="11"/>
        <w:widowControl w:val="0"/>
        <w:numPr>
          <w:ilvl w:val="0"/>
          <w:numId w:val="0"/>
        </w:numPr>
        <w:jc w:val="both"/>
        <w:rPr>
          <w:rFonts w:hint="eastAsia" w:ascii="宋体" w:hAnsi="宋体" w:eastAsia="宋体" w:cs="宋体"/>
          <w:color w:val="auto"/>
          <w:highlight w:val="none"/>
        </w:rPr>
      </w:pPr>
    </w:p>
    <w:p w14:paraId="0A151D0A">
      <w:pPr>
        <w:pStyle w:val="11"/>
        <w:widowControl w:val="0"/>
        <w:numPr>
          <w:ilvl w:val="0"/>
          <w:numId w:val="0"/>
        </w:numPr>
        <w:jc w:val="both"/>
        <w:rPr>
          <w:rFonts w:hint="eastAsia" w:ascii="宋体" w:hAnsi="宋体" w:eastAsia="宋体" w:cs="宋体"/>
          <w:color w:val="auto"/>
          <w:highlight w:val="none"/>
        </w:rPr>
      </w:pPr>
    </w:p>
    <w:p w14:paraId="0535A361">
      <w:pPr>
        <w:pStyle w:val="11"/>
        <w:widowControl w:val="0"/>
        <w:numPr>
          <w:ilvl w:val="0"/>
          <w:numId w:val="0"/>
        </w:numPr>
        <w:jc w:val="both"/>
        <w:rPr>
          <w:rFonts w:hint="eastAsia" w:ascii="宋体" w:hAnsi="宋体" w:eastAsia="宋体" w:cs="宋体"/>
          <w:color w:val="auto"/>
          <w:highlight w:val="none"/>
        </w:rPr>
      </w:pPr>
    </w:p>
    <w:p w14:paraId="4F657183">
      <w:pPr>
        <w:pStyle w:val="11"/>
        <w:widowControl w:val="0"/>
        <w:numPr>
          <w:ilvl w:val="0"/>
          <w:numId w:val="0"/>
        </w:numPr>
        <w:jc w:val="both"/>
        <w:rPr>
          <w:rFonts w:hint="eastAsia" w:ascii="宋体" w:hAnsi="宋体" w:eastAsia="宋体" w:cs="宋体"/>
          <w:color w:val="auto"/>
          <w:highlight w:val="none"/>
        </w:rPr>
      </w:pPr>
    </w:p>
    <w:p w14:paraId="3A311072">
      <w:pPr>
        <w:pStyle w:val="11"/>
        <w:widowControl w:val="0"/>
        <w:numPr>
          <w:ilvl w:val="0"/>
          <w:numId w:val="0"/>
        </w:numPr>
        <w:jc w:val="both"/>
        <w:rPr>
          <w:rFonts w:hint="eastAsia" w:ascii="宋体" w:hAnsi="宋体" w:eastAsia="宋体" w:cs="宋体"/>
          <w:color w:val="auto"/>
          <w:highlight w:val="none"/>
        </w:rPr>
      </w:pPr>
    </w:p>
    <w:p w14:paraId="06AF4BC6">
      <w:pPr>
        <w:pStyle w:val="11"/>
        <w:widowControl w:val="0"/>
        <w:numPr>
          <w:ilvl w:val="0"/>
          <w:numId w:val="0"/>
        </w:numPr>
        <w:jc w:val="both"/>
        <w:rPr>
          <w:rFonts w:hint="eastAsia" w:ascii="宋体" w:hAnsi="宋体" w:eastAsia="宋体" w:cs="宋体"/>
          <w:color w:val="auto"/>
          <w:highlight w:val="none"/>
        </w:rPr>
      </w:pPr>
    </w:p>
    <w:p w14:paraId="511EA1E2">
      <w:pPr>
        <w:pStyle w:val="11"/>
        <w:widowControl w:val="0"/>
        <w:numPr>
          <w:ilvl w:val="0"/>
          <w:numId w:val="0"/>
        </w:numPr>
        <w:jc w:val="both"/>
        <w:rPr>
          <w:rFonts w:hint="eastAsia" w:ascii="宋体" w:hAnsi="宋体" w:eastAsia="宋体" w:cs="宋体"/>
          <w:color w:val="auto"/>
          <w:highlight w:val="none"/>
        </w:rPr>
      </w:pPr>
    </w:p>
    <w:p w14:paraId="4828DB13">
      <w:pPr>
        <w:pStyle w:val="11"/>
        <w:widowControl w:val="0"/>
        <w:numPr>
          <w:ilvl w:val="0"/>
          <w:numId w:val="0"/>
        </w:numPr>
        <w:jc w:val="both"/>
        <w:rPr>
          <w:rFonts w:hint="eastAsia" w:ascii="宋体" w:hAnsi="宋体" w:eastAsia="宋体" w:cs="宋体"/>
          <w:color w:val="auto"/>
          <w:highlight w:val="none"/>
        </w:rPr>
      </w:pPr>
    </w:p>
    <w:p w14:paraId="7BFC7AA0">
      <w:pPr>
        <w:pStyle w:val="11"/>
        <w:widowControl w:val="0"/>
        <w:numPr>
          <w:ilvl w:val="0"/>
          <w:numId w:val="0"/>
        </w:numPr>
        <w:jc w:val="both"/>
        <w:rPr>
          <w:rFonts w:hint="eastAsia" w:ascii="宋体" w:hAnsi="宋体" w:eastAsia="宋体" w:cs="宋体"/>
          <w:color w:val="auto"/>
          <w:highlight w:val="none"/>
        </w:rPr>
      </w:pPr>
    </w:p>
    <w:p w14:paraId="33F7B801">
      <w:pPr>
        <w:pStyle w:val="11"/>
        <w:widowControl w:val="0"/>
        <w:numPr>
          <w:ilvl w:val="0"/>
          <w:numId w:val="0"/>
        </w:numPr>
        <w:jc w:val="both"/>
        <w:rPr>
          <w:rFonts w:hint="eastAsia" w:ascii="宋体" w:hAnsi="宋体" w:eastAsia="宋体" w:cs="宋体"/>
          <w:color w:val="auto"/>
          <w:highlight w:val="none"/>
        </w:rPr>
      </w:pPr>
    </w:p>
    <w:p w14:paraId="193DA91D">
      <w:pPr>
        <w:pStyle w:val="11"/>
        <w:widowControl w:val="0"/>
        <w:numPr>
          <w:ilvl w:val="0"/>
          <w:numId w:val="0"/>
        </w:numPr>
        <w:jc w:val="both"/>
        <w:rPr>
          <w:rFonts w:hint="eastAsia" w:ascii="宋体" w:hAnsi="宋体" w:eastAsia="宋体" w:cs="宋体"/>
          <w:color w:val="auto"/>
          <w:highlight w:val="none"/>
        </w:rPr>
      </w:pPr>
    </w:p>
    <w:p w14:paraId="06B97D76">
      <w:pPr>
        <w:pStyle w:val="11"/>
        <w:widowControl w:val="0"/>
        <w:numPr>
          <w:ilvl w:val="0"/>
          <w:numId w:val="0"/>
        </w:numPr>
        <w:jc w:val="both"/>
        <w:rPr>
          <w:rFonts w:hint="eastAsia" w:ascii="宋体" w:hAnsi="宋体" w:eastAsia="宋体" w:cs="宋体"/>
          <w:color w:val="auto"/>
          <w:highlight w:val="none"/>
        </w:rPr>
      </w:pPr>
    </w:p>
    <w:p w14:paraId="164B4D8B">
      <w:pPr>
        <w:pStyle w:val="11"/>
        <w:widowControl w:val="0"/>
        <w:numPr>
          <w:ilvl w:val="0"/>
          <w:numId w:val="0"/>
        </w:numPr>
        <w:jc w:val="both"/>
        <w:rPr>
          <w:rFonts w:hint="eastAsia" w:ascii="宋体" w:hAnsi="宋体" w:eastAsia="宋体" w:cs="宋体"/>
          <w:color w:val="auto"/>
          <w:highlight w:val="none"/>
        </w:rPr>
      </w:pPr>
    </w:p>
    <w:p w14:paraId="6BEE1274">
      <w:pPr>
        <w:pStyle w:val="11"/>
        <w:widowControl w:val="0"/>
        <w:numPr>
          <w:ilvl w:val="0"/>
          <w:numId w:val="0"/>
        </w:numPr>
        <w:jc w:val="both"/>
        <w:rPr>
          <w:rFonts w:hint="eastAsia" w:ascii="宋体" w:hAnsi="宋体" w:eastAsia="宋体" w:cs="宋体"/>
          <w:color w:val="auto"/>
          <w:highlight w:val="none"/>
        </w:rPr>
      </w:pPr>
    </w:p>
    <w:p w14:paraId="4886A522">
      <w:pPr>
        <w:pStyle w:val="11"/>
        <w:widowControl w:val="0"/>
        <w:numPr>
          <w:ilvl w:val="0"/>
          <w:numId w:val="0"/>
        </w:numPr>
        <w:jc w:val="both"/>
        <w:rPr>
          <w:rFonts w:hint="eastAsia" w:ascii="宋体" w:hAnsi="宋体" w:eastAsia="宋体" w:cs="宋体"/>
          <w:color w:val="auto"/>
          <w:highlight w:val="none"/>
        </w:rPr>
      </w:pPr>
    </w:p>
    <w:p w14:paraId="2AF33C29">
      <w:pPr>
        <w:pStyle w:val="11"/>
        <w:widowControl w:val="0"/>
        <w:numPr>
          <w:ilvl w:val="0"/>
          <w:numId w:val="0"/>
        </w:numPr>
        <w:jc w:val="both"/>
        <w:rPr>
          <w:rFonts w:hint="eastAsia" w:ascii="宋体" w:hAnsi="宋体" w:eastAsia="宋体" w:cs="宋体"/>
          <w:color w:val="auto"/>
          <w:highlight w:val="none"/>
        </w:rPr>
      </w:pPr>
    </w:p>
    <w:p w14:paraId="4A1827E4">
      <w:pPr>
        <w:pStyle w:val="2"/>
        <w:jc w:val="center"/>
        <w:rPr>
          <w:rFonts w:hint="eastAsia" w:ascii="宋体" w:hAnsi="宋体" w:eastAsia="宋体" w:cs="宋体"/>
          <w:b/>
          <w:bCs w:val="0"/>
          <w:color w:val="auto"/>
          <w:sz w:val="24"/>
          <w:szCs w:val="24"/>
          <w:highlight w:val="none"/>
        </w:rPr>
      </w:pPr>
      <w:bookmarkStart w:id="13" w:name="_Toc25750"/>
      <w:bookmarkStart w:id="14" w:name="_Toc1232"/>
      <w:bookmarkStart w:id="15" w:name="_Toc12637"/>
      <w:bookmarkStart w:id="16" w:name="_Toc14684"/>
      <w:bookmarkStart w:id="17" w:name="_Toc728"/>
      <w:r>
        <w:rPr>
          <w:rFonts w:hint="eastAsia" w:ascii="宋体" w:hAnsi="宋体" w:eastAsia="宋体" w:cs="宋体"/>
          <w:b/>
          <w:bCs w:val="0"/>
          <w:color w:val="auto"/>
          <w:sz w:val="24"/>
          <w:szCs w:val="24"/>
          <w:highlight w:val="none"/>
        </w:rPr>
        <w:t>第二章 供应商须知</w:t>
      </w:r>
      <w:bookmarkEnd w:id="9"/>
      <w:bookmarkEnd w:id="10"/>
      <w:bookmarkEnd w:id="11"/>
      <w:bookmarkEnd w:id="13"/>
      <w:bookmarkEnd w:id="14"/>
      <w:bookmarkEnd w:id="15"/>
      <w:bookmarkEnd w:id="16"/>
      <w:bookmarkEnd w:id="17"/>
    </w:p>
    <w:p w14:paraId="6C1BC6D2">
      <w:pPr>
        <w:pStyle w:val="45"/>
        <w:spacing w:after="200"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供应商须知前附表</w:t>
      </w:r>
    </w:p>
    <w:tbl>
      <w:tblPr>
        <w:tblStyle w:val="32"/>
        <w:tblW w:w="978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1496"/>
        <w:gridCol w:w="7281"/>
      </w:tblGrid>
      <w:tr w14:paraId="0B314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blHeader/>
          <w:jc w:val="center"/>
        </w:trPr>
        <w:tc>
          <w:tcPr>
            <w:tcW w:w="1006" w:type="dxa"/>
            <w:vAlign w:val="center"/>
          </w:tcPr>
          <w:p w14:paraId="11587FFD">
            <w:pPr>
              <w:pStyle w:val="45"/>
              <w:adjustRightInd w:val="0"/>
              <w:snapToGrid w:val="0"/>
              <w:spacing w:before="156" w:beforeLines="50" w:after="200"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1496" w:type="dxa"/>
            <w:vAlign w:val="center"/>
          </w:tcPr>
          <w:p w14:paraId="3182D14A">
            <w:pPr>
              <w:pStyle w:val="45"/>
              <w:adjustRightInd w:val="0"/>
              <w:snapToGrid w:val="0"/>
              <w:spacing w:before="156" w:beforeLines="50" w:after="200"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281" w:type="dxa"/>
            <w:vAlign w:val="center"/>
          </w:tcPr>
          <w:p w14:paraId="761CE168">
            <w:pPr>
              <w:pStyle w:val="45"/>
              <w:adjustRightInd w:val="0"/>
              <w:snapToGrid w:val="0"/>
              <w:spacing w:before="156" w:beforeLines="50" w:after="200"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14:paraId="2E5A3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06" w:type="dxa"/>
            <w:vAlign w:val="center"/>
          </w:tcPr>
          <w:p w14:paraId="11FD56CE">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496" w:type="dxa"/>
            <w:vAlign w:val="center"/>
          </w:tcPr>
          <w:p w14:paraId="116012A0">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281" w:type="dxa"/>
            <w:vAlign w:val="center"/>
          </w:tcPr>
          <w:p w14:paraId="076E1233">
            <w:pPr>
              <w:pStyle w:val="46"/>
              <w:tabs>
                <w:tab w:val="left" w:pos="943"/>
              </w:tabs>
              <w:adjustRightInd w:val="0"/>
              <w:snapToGrid w:val="0"/>
              <w:spacing w:before="156" w:beforeLines="50" w:after="200"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经发局采购零碳工业园区试点申报服务项目</w:t>
            </w:r>
          </w:p>
        </w:tc>
      </w:tr>
      <w:tr w14:paraId="487EF5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09655EE2">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1496" w:type="dxa"/>
            <w:vAlign w:val="center"/>
          </w:tcPr>
          <w:p w14:paraId="14BF47CA">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7281" w:type="dxa"/>
            <w:vAlign w:val="center"/>
          </w:tcPr>
          <w:p w14:paraId="26DC909A">
            <w:pPr>
              <w:pStyle w:val="29"/>
              <w:spacing w:before="0" w:beforeAutospacing="0" w:after="0" w:afterAutospacing="0" w:line="440" w:lineRule="exact"/>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rPr>
              <w:t>名称：</w:t>
            </w:r>
            <w:r>
              <w:rPr>
                <w:rFonts w:hint="eastAsia" w:cs="宋体"/>
                <w:color w:val="auto"/>
                <w:szCs w:val="24"/>
                <w:highlight w:val="none"/>
                <w:shd w:val="clear" w:color="auto" w:fill="FFFFFF"/>
                <w:lang w:eastAsia="zh-CN"/>
              </w:rPr>
              <w:t>新疆准东经济技术开发区经济发展局</w:t>
            </w:r>
          </w:p>
          <w:p w14:paraId="25B62FA1">
            <w:pPr>
              <w:pStyle w:val="46"/>
              <w:adjustRightInd w:val="0"/>
              <w:snapToGrid w:val="0"/>
              <w:spacing w:before="156" w:beforeLines="50" w:after="20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新疆准东开发区五彩湾新城五彩路51号</w:t>
            </w:r>
            <w:r>
              <w:rPr>
                <w:rFonts w:hint="eastAsia" w:ascii="宋体" w:hAnsi="宋体" w:eastAsia="宋体" w:cs="宋体"/>
                <w:color w:val="auto"/>
                <w:sz w:val="24"/>
                <w:szCs w:val="24"/>
                <w:highlight w:val="none"/>
              </w:rPr>
              <w:t xml:space="preserve"> </w:t>
            </w:r>
          </w:p>
          <w:p w14:paraId="08EAFDC4">
            <w:pPr>
              <w:pStyle w:val="46"/>
              <w:adjustRightInd w:val="0"/>
              <w:snapToGrid w:val="0"/>
              <w:spacing w:before="156" w:beforeLines="50" w:after="200"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陈女士</w:t>
            </w:r>
          </w:p>
          <w:p w14:paraId="0A8FA824">
            <w:pPr>
              <w:pStyle w:val="164"/>
              <w:tabs>
                <w:tab w:val="left" w:pos="6587"/>
              </w:tabs>
              <w:spacing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w:t>
            </w:r>
            <w:r>
              <w:rPr>
                <w:rFonts w:hint="eastAsia" w:ascii="宋体" w:hAnsi="宋体" w:cs="宋体"/>
                <w:color w:val="auto"/>
                <w:sz w:val="24"/>
                <w:szCs w:val="24"/>
                <w:highlight w:val="none"/>
                <w:lang w:eastAsia="zh-CN"/>
              </w:rPr>
              <w:t xml:space="preserve"> 18299096085</w:t>
            </w:r>
          </w:p>
        </w:tc>
      </w:tr>
      <w:tr w14:paraId="4AFD3A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8" w:hRule="atLeast"/>
          <w:jc w:val="center"/>
        </w:trPr>
        <w:tc>
          <w:tcPr>
            <w:tcW w:w="1006" w:type="dxa"/>
            <w:vAlign w:val="center"/>
          </w:tcPr>
          <w:p w14:paraId="0A96C1EA">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496" w:type="dxa"/>
            <w:vAlign w:val="center"/>
          </w:tcPr>
          <w:p w14:paraId="3E1727F7">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7281" w:type="dxa"/>
            <w:vAlign w:val="center"/>
          </w:tcPr>
          <w:p w14:paraId="634C12A9">
            <w:pPr>
              <w:pStyle w:val="53"/>
              <w:widowControl/>
              <w:spacing w:after="200" w:line="440" w:lineRule="exact"/>
              <w:rPr>
                <w:rStyle w:val="35"/>
                <w:rFonts w:hint="eastAsia" w:ascii="宋体" w:hAnsi="宋体" w:eastAsia="宋体" w:cs="宋体"/>
                <w:b w:val="0"/>
                <w:bCs w:val="0"/>
                <w:color w:val="auto"/>
                <w:kern w:val="0"/>
                <w:sz w:val="24"/>
                <w:szCs w:val="24"/>
                <w:highlight w:val="none"/>
                <w:shd w:val="clear" w:color="auto" w:fill="FFFFFF"/>
                <w:lang w:val="en-US" w:eastAsia="zh-CN" w:bidi="ar-SA"/>
              </w:rPr>
            </w:pPr>
            <w:r>
              <w:rPr>
                <w:rStyle w:val="35"/>
                <w:rFonts w:hint="eastAsia" w:ascii="宋体" w:hAnsi="宋体" w:eastAsia="宋体" w:cs="宋体"/>
                <w:b w:val="0"/>
                <w:bCs w:val="0"/>
                <w:color w:val="auto"/>
                <w:kern w:val="0"/>
                <w:sz w:val="24"/>
                <w:szCs w:val="24"/>
                <w:highlight w:val="none"/>
                <w:shd w:val="clear" w:color="auto" w:fill="FFFFFF"/>
                <w:lang w:val="en-US" w:eastAsia="zh-CN" w:bidi="ar-SA"/>
              </w:rPr>
              <w:t>名称：新疆昌盛方略项目管理有限公司 </w:t>
            </w:r>
          </w:p>
          <w:p w14:paraId="20C141ED">
            <w:pPr>
              <w:pStyle w:val="29"/>
              <w:spacing w:before="75" w:beforeAutospacing="0" w:after="75" w:afterAutospacing="0" w:line="440" w:lineRule="exact"/>
              <w:rPr>
                <w:rStyle w:val="35"/>
                <w:rFonts w:hint="eastAsia" w:ascii="宋体" w:hAnsi="宋体" w:eastAsia="宋体" w:cs="宋体"/>
                <w:b w:val="0"/>
                <w:bCs w:val="0"/>
                <w:color w:val="auto"/>
                <w:kern w:val="0"/>
                <w:sz w:val="24"/>
                <w:szCs w:val="24"/>
                <w:highlight w:val="none"/>
                <w:shd w:val="clear" w:color="auto" w:fill="FFFFFF"/>
                <w:lang w:val="en-US" w:eastAsia="zh-CN" w:bidi="ar-SA"/>
              </w:rPr>
            </w:pPr>
            <w:r>
              <w:rPr>
                <w:rStyle w:val="35"/>
                <w:rFonts w:hint="eastAsia" w:ascii="宋体" w:hAnsi="宋体" w:eastAsia="宋体" w:cs="宋体"/>
                <w:b w:val="0"/>
                <w:bCs w:val="0"/>
                <w:color w:val="auto"/>
                <w:kern w:val="0"/>
                <w:sz w:val="24"/>
                <w:szCs w:val="24"/>
                <w:highlight w:val="none"/>
                <w:shd w:val="clear" w:color="auto" w:fill="FFFFFF"/>
                <w:lang w:val="en-US" w:eastAsia="zh-CN" w:bidi="ar-SA"/>
              </w:rPr>
              <w:t>地址：新疆昌吉回族自治州昌吉市南公园西路融投小镇1号楼A座14层（昌吉州国投大厦1幢14楼1419）</w:t>
            </w:r>
          </w:p>
          <w:p w14:paraId="16ED401E">
            <w:pPr>
              <w:pStyle w:val="53"/>
              <w:widowControl/>
              <w:spacing w:after="200" w:line="440" w:lineRule="exact"/>
              <w:rPr>
                <w:rStyle w:val="35"/>
                <w:rFonts w:hint="eastAsia" w:ascii="宋体" w:hAnsi="宋体" w:eastAsia="宋体" w:cs="宋体"/>
                <w:b w:val="0"/>
                <w:bCs w:val="0"/>
                <w:color w:val="auto"/>
                <w:kern w:val="0"/>
                <w:sz w:val="24"/>
                <w:szCs w:val="24"/>
                <w:highlight w:val="none"/>
                <w:shd w:val="clear" w:color="auto" w:fill="FFFFFF"/>
                <w:lang w:val="en-US" w:eastAsia="zh-CN" w:bidi="ar-SA"/>
              </w:rPr>
            </w:pPr>
            <w:r>
              <w:rPr>
                <w:rStyle w:val="35"/>
                <w:rFonts w:hint="eastAsia" w:ascii="宋体" w:hAnsi="宋体" w:eastAsia="宋体" w:cs="宋体"/>
                <w:b w:val="0"/>
                <w:bCs w:val="0"/>
                <w:color w:val="auto"/>
                <w:kern w:val="0"/>
                <w:sz w:val="24"/>
                <w:szCs w:val="24"/>
                <w:highlight w:val="none"/>
                <w:shd w:val="clear" w:color="auto" w:fill="FFFFFF"/>
                <w:lang w:val="en-US" w:eastAsia="zh-CN" w:bidi="ar-SA"/>
              </w:rPr>
              <w:t>联 系人：蔚女士、努女士</w:t>
            </w:r>
          </w:p>
          <w:p w14:paraId="4429F72F">
            <w:pPr>
              <w:pStyle w:val="53"/>
              <w:widowControl/>
              <w:spacing w:after="200" w:line="440" w:lineRule="exact"/>
              <w:rPr>
                <w:rFonts w:hint="eastAsia" w:ascii="宋体" w:hAnsi="宋体" w:eastAsia="宋体" w:cs="宋体"/>
                <w:color w:val="auto"/>
                <w:sz w:val="24"/>
                <w:szCs w:val="24"/>
                <w:highlight w:val="none"/>
                <w:lang w:eastAsia="zh-CN"/>
              </w:rPr>
            </w:pPr>
            <w:r>
              <w:rPr>
                <w:rStyle w:val="35"/>
                <w:rFonts w:hint="eastAsia" w:ascii="宋体" w:hAnsi="宋体" w:eastAsia="宋体" w:cs="宋体"/>
                <w:b w:val="0"/>
                <w:bCs w:val="0"/>
                <w:color w:val="auto"/>
                <w:kern w:val="0"/>
                <w:sz w:val="24"/>
                <w:szCs w:val="24"/>
                <w:highlight w:val="none"/>
                <w:shd w:val="clear" w:color="auto" w:fill="FFFFFF"/>
                <w:lang w:val="en-US" w:eastAsia="zh-CN" w:bidi="ar-SA"/>
              </w:rPr>
              <w:t>联系电话：0994-8165002 13779267588</w:t>
            </w:r>
          </w:p>
        </w:tc>
      </w:tr>
      <w:tr w14:paraId="58484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006" w:type="dxa"/>
            <w:vAlign w:val="center"/>
          </w:tcPr>
          <w:p w14:paraId="6774C86A">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496" w:type="dxa"/>
            <w:vAlign w:val="center"/>
          </w:tcPr>
          <w:p w14:paraId="04C6163E">
            <w:pPr>
              <w:pStyle w:val="55"/>
              <w:adjustRightInd w:val="0"/>
              <w:snapToGrid w:val="0"/>
              <w:spacing w:before="156" w:beforeLines="50"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项目预算</w:t>
            </w:r>
          </w:p>
        </w:tc>
        <w:tc>
          <w:tcPr>
            <w:tcW w:w="7281" w:type="dxa"/>
            <w:vAlign w:val="center"/>
          </w:tcPr>
          <w:p w14:paraId="4424E3C7">
            <w:pPr>
              <w:pStyle w:val="47"/>
              <w:autoSpaceDE w:val="0"/>
              <w:autoSpaceDN w:val="0"/>
              <w:spacing w:line="440" w:lineRule="exact"/>
              <w:rPr>
                <w:rFonts w:hint="default"/>
                <w:color w:val="auto"/>
                <w:highlight w:val="none"/>
                <w:lang w:val="en-US" w:eastAsia="zh-CN"/>
              </w:rPr>
            </w:pPr>
            <w:r>
              <w:rPr>
                <w:rFonts w:hint="eastAsia" w:ascii="宋体" w:hAnsi="宋体" w:cs="宋体"/>
                <w:color w:val="auto"/>
                <w:sz w:val="24"/>
                <w:szCs w:val="24"/>
                <w:highlight w:val="none"/>
                <w:lang w:val="en-US" w:eastAsia="zh-CN"/>
              </w:rPr>
              <w:t>最高限价（元）：900000；</w:t>
            </w:r>
            <w:r>
              <w:rPr>
                <w:rFonts w:hint="eastAsia" w:ascii="宋体" w:hAnsi="宋体" w:eastAsia="宋体" w:cs="宋体"/>
                <w:color w:val="auto"/>
                <w:sz w:val="24"/>
                <w:szCs w:val="24"/>
                <w:highlight w:val="none"/>
                <w:lang w:val="zh-CN"/>
              </w:rPr>
              <w:t>（大写）：</w:t>
            </w:r>
            <w:r>
              <w:rPr>
                <w:rFonts w:hint="eastAsia" w:ascii="宋体" w:hAnsi="宋体" w:cs="宋体"/>
                <w:color w:val="auto"/>
                <w:sz w:val="24"/>
                <w:szCs w:val="24"/>
                <w:highlight w:val="none"/>
                <w:lang w:val="en-US" w:eastAsia="zh-CN"/>
              </w:rPr>
              <w:t>玖拾万</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w:t>
            </w:r>
          </w:p>
        </w:tc>
      </w:tr>
      <w:tr w14:paraId="02A38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006" w:type="dxa"/>
            <w:vAlign w:val="center"/>
          </w:tcPr>
          <w:p w14:paraId="6E94D3B9">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1496" w:type="dxa"/>
            <w:vAlign w:val="center"/>
          </w:tcPr>
          <w:p w14:paraId="0A720A39">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7281" w:type="dxa"/>
            <w:vAlign w:val="center"/>
          </w:tcPr>
          <w:p w14:paraId="1E1A57CB">
            <w:pPr>
              <w:pStyle w:val="29"/>
              <w:spacing w:before="0" w:beforeAutospacing="0" w:after="0" w:afterAutospacing="0" w:line="440" w:lineRule="exact"/>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1.满足《中华人民共和国政府采购法》第二十二条规定；</w:t>
            </w:r>
          </w:p>
          <w:p w14:paraId="22BAF444">
            <w:pPr>
              <w:pStyle w:val="29"/>
              <w:spacing w:before="0" w:beforeAutospacing="0" w:after="0" w:afterAutospacing="0" w:line="440" w:lineRule="exact"/>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2</w:t>
            </w:r>
            <w:r>
              <w:rPr>
                <w:rStyle w:val="35"/>
                <w:rFonts w:hint="eastAsia" w:ascii="宋体" w:hAnsi="宋体" w:eastAsia="宋体"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rPr>
              <w:t>落实政府采购政策需满足的资格要求：</w:t>
            </w:r>
            <w:r>
              <w:rPr>
                <w:rStyle w:val="35"/>
                <w:rFonts w:hint="eastAsia" w:cs="宋体"/>
                <w:b w:val="0"/>
                <w:bCs w:val="0"/>
                <w:color w:val="auto"/>
                <w:szCs w:val="24"/>
                <w:highlight w:val="none"/>
                <w:shd w:val="clear" w:color="auto" w:fill="FFFFFF"/>
                <w:lang w:eastAsia="zh-CN"/>
              </w:rPr>
              <w:t>本项目专门面向小微企业采购</w:t>
            </w:r>
            <w:r>
              <w:rPr>
                <w:rStyle w:val="35"/>
                <w:rFonts w:hint="eastAsia" w:ascii="宋体" w:hAnsi="宋体" w:eastAsia="宋体" w:cs="宋体"/>
                <w:b w:val="0"/>
                <w:bCs w:val="0"/>
                <w:color w:val="auto"/>
                <w:szCs w:val="24"/>
                <w:highlight w:val="none"/>
                <w:shd w:val="clear" w:color="auto" w:fill="FFFFFF"/>
              </w:rPr>
              <w:t>。</w:t>
            </w:r>
          </w:p>
          <w:p w14:paraId="612DE7D1">
            <w:pPr>
              <w:pStyle w:val="29"/>
              <w:spacing w:before="0" w:beforeAutospacing="0" w:after="0" w:afterAutospacing="0" w:line="440" w:lineRule="exact"/>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3.本项目的特定资格要求：</w:t>
            </w:r>
          </w:p>
          <w:p w14:paraId="62916CC3">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（1）供应商必须是中华人民共和国境内注册的，具有独立法人资格的企业；</w:t>
            </w:r>
          </w:p>
          <w:p w14:paraId="4A8C6E43">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（2）</w:t>
            </w:r>
            <w:r>
              <w:rPr>
                <w:rFonts w:hint="eastAsia" w:cs="宋体"/>
                <w:color w:val="auto"/>
                <w:szCs w:val="24"/>
                <w:highlight w:val="none"/>
                <w:u w:val="none"/>
                <w:lang w:eastAsia="zh-CN"/>
              </w:rPr>
              <w:t>拟派项目负责人须具有环境相关专业中级（含）以上职称</w:t>
            </w:r>
            <w:r>
              <w:rPr>
                <w:rFonts w:hint="eastAsia" w:ascii="宋体" w:hAnsi="宋体" w:eastAsia="宋体" w:cs="宋体"/>
                <w:color w:val="auto"/>
                <w:szCs w:val="24"/>
                <w:highlight w:val="none"/>
                <w:u w:val="none"/>
              </w:rPr>
              <w:t>；</w:t>
            </w:r>
          </w:p>
          <w:p w14:paraId="0D432C8D">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（3）具有履行合同所必需的设备和专业技术能力（声明函格式自拟）即具有承担本项目能力；</w:t>
            </w:r>
          </w:p>
          <w:p w14:paraId="2EE8D4A5">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（4）具有依法缴纳税收和社会保障资金的良好记录（提供本单位近三个月内任意一个月的依法缴纳税收和社会保障资金的相关材料）；</w:t>
            </w:r>
          </w:p>
          <w:p w14:paraId="3976F093">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（5）单位负责人为同一人或者存在直接控股、管理关系的不同供应商，不得参加同一合同项下的政府采购活动（提供声明函格式自拟）；</w:t>
            </w:r>
          </w:p>
          <w:p w14:paraId="110C10BF">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6）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0D2DE938">
            <w:pPr>
              <w:pStyle w:val="29"/>
              <w:spacing w:before="0" w:beforeAutospacing="0" w:after="0" w:afterAutospacing="0" w:line="440" w:lineRule="exact"/>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（7）本项目不接受联合体投标。</w:t>
            </w:r>
          </w:p>
        </w:tc>
      </w:tr>
      <w:tr w14:paraId="36294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006" w:type="dxa"/>
            <w:vAlign w:val="center"/>
          </w:tcPr>
          <w:p w14:paraId="1EC015CF">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1496" w:type="dxa"/>
            <w:vAlign w:val="center"/>
          </w:tcPr>
          <w:p w14:paraId="60FDEB58">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联合体投标    </w:t>
            </w:r>
          </w:p>
        </w:tc>
        <w:tc>
          <w:tcPr>
            <w:tcW w:w="7281" w:type="dxa"/>
            <w:vAlign w:val="center"/>
          </w:tcPr>
          <w:p w14:paraId="72D81E42">
            <w:pPr>
              <w:pStyle w:val="45"/>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 xml:space="preserve">不接受 </w:t>
            </w:r>
          </w:p>
          <w:p w14:paraId="371F79CC">
            <w:pPr>
              <w:pStyle w:val="45"/>
              <w:adjustRightInd w:val="0"/>
              <w:snapToGrid w:val="0"/>
              <w:spacing w:before="156" w:beforeLines="50" w:after="20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□接受</w:t>
            </w:r>
          </w:p>
        </w:tc>
      </w:tr>
      <w:tr w14:paraId="69F8E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64D81C7F">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1496" w:type="dxa"/>
            <w:vAlign w:val="center"/>
          </w:tcPr>
          <w:p w14:paraId="74F61009">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7281" w:type="dxa"/>
            <w:vAlign w:val="center"/>
          </w:tcPr>
          <w:p w14:paraId="1601AFEB">
            <w:pPr>
              <w:pStyle w:val="45"/>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 xml:space="preserve">不接受            </w:t>
            </w:r>
          </w:p>
          <w:p w14:paraId="45ED1E1E">
            <w:pPr>
              <w:pStyle w:val="45"/>
              <w:adjustRightInd w:val="0"/>
              <w:snapToGrid w:val="0"/>
              <w:spacing w:before="156" w:beforeLines="50" w:after="20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接受</w:t>
            </w:r>
          </w:p>
        </w:tc>
      </w:tr>
      <w:tr w14:paraId="4C1A6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006" w:type="dxa"/>
            <w:vAlign w:val="center"/>
          </w:tcPr>
          <w:p w14:paraId="17B1965C">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1496" w:type="dxa"/>
            <w:vAlign w:val="center"/>
          </w:tcPr>
          <w:p w14:paraId="272CEBF3">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7281" w:type="dxa"/>
            <w:vAlign w:val="center"/>
          </w:tcPr>
          <w:p w14:paraId="3A052288">
            <w:pPr>
              <w:pStyle w:val="45"/>
              <w:adjustRightInd w:val="0"/>
              <w:snapToGrid w:val="0"/>
              <w:spacing w:before="156" w:beforeLines="50" w:after="200" w:line="440" w:lineRule="exact"/>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rPr>
              <w:t>新疆政府采购网</w:t>
            </w:r>
          </w:p>
        </w:tc>
      </w:tr>
      <w:tr w14:paraId="0DCCF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1006" w:type="dxa"/>
            <w:vAlign w:val="center"/>
          </w:tcPr>
          <w:p w14:paraId="0CBC50B3">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1496" w:type="dxa"/>
            <w:vAlign w:val="center"/>
          </w:tcPr>
          <w:p w14:paraId="2D3FA82B">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p>
          <w:p w14:paraId="5DE28501">
            <w:pPr>
              <w:pStyle w:val="45"/>
              <w:adjustRightInd w:val="0"/>
              <w:snapToGrid w:val="0"/>
              <w:spacing w:before="156" w:beforeLines="50" w:after="200" w:line="440" w:lineRule="exact"/>
              <w:rPr>
                <w:rFonts w:hint="eastAsia" w:ascii="宋体" w:hAnsi="宋体" w:eastAsia="宋体" w:cs="宋体"/>
                <w:b/>
                <w:bCs/>
                <w:color w:val="auto"/>
                <w:sz w:val="24"/>
                <w:szCs w:val="24"/>
                <w:highlight w:val="none"/>
              </w:rPr>
            </w:pPr>
          </w:p>
        </w:tc>
        <w:tc>
          <w:tcPr>
            <w:tcW w:w="7281" w:type="dxa"/>
            <w:vAlign w:val="center"/>
          </w:tcPr>
          <w:p w14:paraId="2AB1EA26">
            <w:pPr>
              <w:pStyle w:val="45"/>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 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rPr>
              <w:t>北京时间</w:t>
            </w:r>
            <w:r>
              <w:rPr>
                <w:rFonts w:hint="eastAsia" w:ascii="宋体" w:hAnsi="宋体" w:cs="宋体"/>
                <w:color w:val="auto"/>
                <w:sz w:val="24"/>
                <w:szCs w:val="24"/>
                <w:highlight w:val="none"/>
                <w:lang w:eastAsia="zh-CN"/>
              </w:rPr>
              <w:t>）</w:t>
            </w:r>
          </w:p>
          <w:p w14:paraId="082C016E">
            <w:pPr>
              <w:pStyle w:val="45"/>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备注：磋商文件领取截止时间不得少于5个工作日，公告时间不得少于10日。</w:t>
            </w:r>
          </w:p>
        </w:tc>
      </w:tr>
      <w:tr w14:paraId="13C62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1006" w:type="dxa"/>
            <w:vAlign w:val="center"/>
          </w:tcPr>
          <w:p w14:paraId="7BEB7AEB">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1496" w:type="dxa"/>
            <w:vAlign w:val="center"/>
          </w:tcPr>
          <w:p w14:paraId="2313563B">
            <w:pPr>
              <w:pStyle w:val="45"/>
              <w:spacing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磋商时间、地点</w:t>
            </w:r>
          </w:p>
        </w:tc>
        <w:tc>
          <w:tcPr>
            <w:tcW w:w="7281" w:type="dxa"/>
            <w:vAlign w:val="center"/>
          </w:tcPr>
          <w:p w14:paraId="0FF1EF36">
            <w:pPr>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采用不见面开标</w:t>
            </w:r>
            <w:r>
              <w:rPr>
                <w:rFonts w:hint="eastAsia" w:ascii="宋体" w:hAnsi="宋体" w:eastAsia="宋体" w:cs="宋体"/>
                <w:color w:val="auto"/>
                <w:sz w:val="24"/>
                <w:szCs w:val="24"/>
                <w:highlight w:val="none"/>
              </w:rPr>
              <w:t>：</w:t>
            </w:r>
          </w:p>
          <w:p w14:paraId="6F3BE7F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递交磋商响应文件的截止时间：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rPr>
              <w:t>（北京时间）</w:t>
            </w:r>
          </w:p>
          <w:p w14:paraId="5FA5D8A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递交磋商响应文件的地点：政采云平台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"https://www.zcygov.cn/%E4%B8%8D%E8%A7%81%E9%9D%A2%E5%BC%80%E6%A0%87%E5%A4%A7%E5%8E%85%EF%BC%89"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https://www.zcygov.cn/不见面开标大厅</w:t>
            </w:r>
            <w:r>
              <w:rPr>
                <w:rFonts w:hint="eastAsia" w:ascii="宋体" w:hAnsi="宋体" w:eastAsia="宋体" w:cs="宋体"/>
                <w:color w:val="auto"/>
                <w:sz w:val="24"/>
                <w:szCs w:val="24"/>
                <w:highlight w:val="none"/>
              </w:rPr>
              <w:fldChar w:fldCharType="end"/>
            </w:r>
          </w:p>
          <w:p w14:paraId="393F8086">
            <w:pPr>
              <w:pStyle w:val="178"/>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不见面开标默认解密时长：</w:t>
            </w:r>
            <w:r>
              <w:rPr>
                <w:rFonts w:hint="eastAsia" w:ascii="宋体" w:hAnsi="宋体" w:eastAsia="宋体" w:cs="宋体"/>
                <w:bCs/>
                <w:color w:val="auto"/>
                <w:kern w:val="2"/>
                <w:sz w:val="24"/>
                <w:szCs w:val="24"/>
                <w:highlight w:val="none"/>
                <w:u w:val="single"/>
              </w:rPr>
              <w:t>30分钟</w:t>
            </w:r>
          </w:p>
          <w:p w14:paraId="722272E7">
            <w:pPr>
              <w:pStyle w:val="53"/>
              <w:widowControl/>
              <w:spacing w:after="200"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关于能否延长解密时间的约定：</w:t>
            </w:r>
            <w:r>
              <w:rPr>
                <w:rFonts w:hint="eastAsia" w:ascii="宋体" w:hAnsi="宋体" w:eastAsia="宋体" w:cs="宋体"/>
                <w:color w:val="auto"/>
                <w:sz w:val="24"/>
                <w:szCs w:val="24"/>
                <w:highlight w:val="none"/>
                <w:u w:val="single"/>
              </w:rPr>
              <w:t>开标现场若发现默认解密时长不足，由采购人决定是否延长解密时长。</w:t>
            </w:r>
          </w:p>
        </w:tc>
      </w:tr>
      <w:tr w14:paraId="5CD96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06" w:type="dxa"/>
            <w:vAlign w:val="center"/>
          </w:tcPr>
          <w:p w14:paraId="6CC49B7A">
            <w:pPr>
              <w:pStyle w:val="45"/>
              <w:adjustRightInd w:val="0"/>
              <w:snapToGrid w:val="0"/>
              <w:spacing w:before="156" w:beforeLines="50" w:after="200" w:line="44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tc>
        <w:tc>
          <w:tcPr>
            <w:tcW w:w="1496" w:type="dxa"/>
            <w:vAlign w:val="center"/>
          </w:tcPr>
          <w:p w14:paraId="38405525">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p>
          <w:p w14:paraId="6321C7CC">
            <w:pPr>
              <w:pStyle w:val="45"/>
              <w:adjustRightInd w:val="0"/>
              <w:snapToGrid w:val="0"/>
              <w:spacing w:before="156" w:beforeLines="50" w:after="20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磋商小组的组建及评审专家的确定方式</w:t>
            </w:r>
          </w:p>
        </w:tc>
        <w:tc>
          <w:tcPr>
            <w:tcW w:w="7281" w:type="dxa"/>
            <w:vAlign w:val="center"/>
          </w:tcPr>
          <w:p w14:paraId="61A9ACD6">
            <w:pPr>
              <w:pStyle w:val="46"/>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评审。</w:t>
            </w:r>
          </w:p>
          <w:p w14:paraId="0F4A5659">
            <w:pPr>
              <w:pStyle w:val="46"/>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小组确定方式：</w:t>
            </w:r>
          </w:p>
          <w:p w14:paraId="54871856">
            <w:pPr>
              <w:pStyle w:val="46"/>
              <w:adjustRightInd w:val="0"/>
              <w:snapToGrid w:val="0"/>
              <w:spacing w:before="156" w:beforeLines="50"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计算机随机抽取语音通知方式 </w:t>
            </w:r>
          </w:p>
        </w:tc>
      </w:tr>
      <w:tr w14:paraId="7E67A9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3F93D2BE">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1496" w:type="dxa"/>
            <w:vAlign w:val="center"/>
          </w:tcPr>
          <w:p w14:paraId="5DEBC28D">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磋商保证金</w:t>
            </w:r>
          </w:p>
        </w:tc>
        <w:tc>
          <w:tcPr>
            <w:tcW w:w="7281" w:type="dxa"/>
            <w:vAlign w:val="center"/>
          </w:tcPr>
          <w:p w14:paraId="2E469BF0">
            <w:pPr>
              <w:spacing w:line="44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保证金</w:t>
            </w:r>
            <w:r>
              <w:rPr>
                <w:rFonts w:hint="eastAsia" w:ascii="宋体" w:hAnsi="宋体" w:eastAsia="宋体" w:cs="宋体"/>
                <w:b/>
                <w:bCs/>
                <w:color w:val="auto"/>
                <w:sz w:val="24"/>
                <w:szCs w:val="24"/>
                <w:highlight w:val="none"/>
                <w:lang w:val="zh-CN"/>
              </w:rPr>
              <w:t>（小写）：</w:t>
            </w:r>
            <w:r>
              <w:rPr>
                <w:rFonts w:hint="eastAsia" w:ascii="宋体"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000</w:t>
            </w:r>
            <w:r>
              <w:rPr>
                <w:rFonts w:hint="eastAsia" w:ascii="宋体" w:hAnsi="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元</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金额（大写）：</w:t>
            </w:r>
            <w:r>
              <w:rPr>
                <w:rFonts w:hint="eastAsia" w:ascii="宋体" w:hAnsi="宋体" w:cs="宋体"/>
                <w:b/>
                <w:bCs/>
                <w:color w:val="auto"/>
                <w:sz w:val="24"/>
                <w:szCs w:val="24"/>
                <w:highlight w:val="none"/>
                <w:lang w:val="en-US" w:eastAsia="zh-CN"/>
              </w:rPr>
              <w:t>壹万捌仟</w:t>
            </w:r>
            <w:r>
              <w:rPr>
                <w:rFonts w:hint="eastAsia" w:ascii="宋体" w:hAnsi="宋体" w:eastAsia="宋体" w:cs="宋体"/>
                <w:b/>
                <w:bCs/>
                <w:color w:val="auto"/>
                <w:sz w:val="24"/>
                <w:szCs w:val="24"/>
                <w:highlight w:val="none"/>
              </w:rPr>
              <w:t>元整</w:t>
            </w:r>
            <w:r>
              <w:rPr>
                <w:rFonts w:hint="eastAsia" w:ascii="宋体" w:hAnsi="宋体" w:eastAsia="宋体" w:cs="宋体"/>
                <w:b/>
                <w:bCs/>
                <w:color w:val="auto"/>
                <w:sz w:val="24"/>
                <w:szCs w:val="24"/>
                <w:highlight w:val="none"/>
                <w:lang w:eastAsia="zh-CN"/>
              </w:rPr>
              <w:t>。</w:t>
            </w:r>
          </w:p>
          <w:p w14:paraId="0818433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到账截止时间：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eastAsia="zh-CN"/>
              </w:rPr>
              <w:t>时（</w:t>
            </w:r>
            <w:r>
              <w:rPr>
                <w:rFonts w:hint="eastAsia" w:ascii="宋体" w:hAnsi="宋体" w:eastAsia="宋体" w:cs="宋体"/>
                <w:color w:val="auto"/>
                <w:sz w:val="24"/>
                <w:szCs w:val="24"/>
                <w:highlight w:val="none"/>
              </w:rPr>
              <w:t>北京时间</w:t>
            </w:r>
            <w:r>
              <w:rPr>
                <w:rFonts w:hint="eastAsia" w:ascii="宋体" w:hAnsi="宋体" w:cs="宋体"/>
                <w:color w:val="auto"/>
                <w:sz w:val="24"/>
                <w:szCs w:val="24"/>
                <w:highlight w:val="none"/>
                <w:lang w:eastAsia="zh-CN"/>
              </w:rPr>
              <w:t>）</w:t>
            </w:r>
          </w:p>
          <w:p w14:paraId="15F89613">
            <w:pPr>
              <w:pStyle w:val="47"/>
              <w:keepNext w:val="0"/>
              <w:keepLines w:val="0"/>
              <w:pageBreakBefore w:val="0"/>
              <w:kinsoku/>
              <w:overflowPunct/>
              <w:topLinePunct w:val="0"/>
              <w:autoSpaceDE w:val="0"/>
              <w:autoSpaceDN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保证金的提交：</w:t>
            </w:r>
          </w:p>
          <w:p w14:paraId="2250F39B">
            <w:pPr>
              <w:pStyle w:val="47"/>
              <w:keepNext w:val="0"/>
              <w:keepLines w:val="0"/>
              <w:pageBreakBefore w:val="0"/>
              <w:kinsoku/>
              <w:overflowPunct/>
              <w:topLinePunct w:val="0"/>
              <w:autoSpaceDE w:val="0"/>
              <w:autoSpaceDN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的形式：</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需以电汇、转账、支票、汇票、本票或者金融机构、担保机构出具的保函等非现金形式提交。</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于投标截止时间（开标时间）之前缴纳并到账，必须从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基本账户支出。</w:t>
            </w:r>
          </w:p>
          <w:p w14:paraId="1493C072">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采用银行转账方式的应从供应商的基本账户汇入下面采购人指定的开户银行账户。供应商应充分考虑资金到账时间，在规定的时限前自行办妥</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缴纳手续，</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的缴付时间以电汇凭证和网银对账单上的时间为准，超过缴纳的时限缴纳</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视为报名无效。</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采用电汇或网银</w:t>
            </w:r>
            <w:r>
              <w:rPr>
                <w:rFonts w:hint="eastAsia" w:ascii="宋体" w:hAnsi="宋体" w:eastAsia="宋体" w:cs="宋体"/>
                <w:color w:val="auto"/>
                <w:sz w:val="24"/>
                <w:szCs w:val="24"/>
                <w:lang w:eastAsia="zh-CN"/>
              </w:rPr>
              <w:t>转账的</w:t>
            </w:r>
            <w:r>
              <w:rPr>
                <w:rFonts w:hint="eastAsia" w:ascii="宋体" w:hAnsi="宋体" w:eastAsia="宋体" w:cs="宋体"/>
                <w:color w:val="auto"/>
                <w:sz w:val="24"/>
                <w:szCs w:val="24"/>
              </w:rPr>
              <w:t>方式，由供应商</w:t>
            </w:r>
            <w:r>
              <w:rPr>
                <w:rFonts w:hint="eastAsia" w:ascii="宋体" w:hAnsi="宋体" w:eastAsia="宋体" w:cs="宋体"/>
                <w:color w:val="auto"/>
                <w:sz w:val="24"/>
                <w:szCs w:val="24"/>
                <w:lang w:eastAsia="zh-CN"/>
              </w:rPr>
              <w:t>基本账户</w:t>
            </w:r>
            <w:r>
              <w:rPr>
                <w:rFonts w:hint="eastAsia" w:ascii="宋体" w:hAnsi="宋体" w:eastAsia="宋体" w:cs="宋体"/>
                <w:color w:val="auto"/>
                <w:sz w:val="24"/>
                <w:szCs w:val="24"/>
              </w:rPr>
              <w:t>汇至新疆昌盛方略项目管理有限公司（账户单位新疆昌盛方略项目管理有限公司；开户行名称交通银行昌吉北京南路支行；账号728728038013000134671；开户行行号301885000031），不得以现金和其他形式缴纳，不得以分公司、办事处或其他机构名义缴纳，供应商在缴纳</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时，需在</w:t>
            </w:r>
            <w:r>
              <w:rPr>
                <w:rFonts w:hint="eastAsia" w:ascii="宋体" w:hAnsi="宋体" w:eastAsia="宋体" w:cs="宋体"/>
                <w:color w:val="auto"/>
                <w:sz w:val="24"/>
                <w:szCs w:val="24"/>
                <w:lang w:eastAsia="zh-CN"/>
              </w:rPr>
              <w:t>进账凭证</w:t>
            </w:r>
            <w:r>
              <w:rPr>
                <w:rFonts w:hint="eastAsia" w:ascii="宋体" w:hAnsi="宋体" w:eastAsia="宋体" w:cs="宋体"/>
                <w:color w:val="auto"/>
                <w:sz w:val="24"/>
                <w:szCs w:val="24"/>
              </w:rPr>
              <w:t>上明确资金用途和投标项目名称，并注明联系人及电话，以便查对核实。</w:t>
            </w:r>
          </w:p>
          <w:p w14:paraId="2F86BD89">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在退还保证金时需携带以下资料：</w:t>
            </w:r>
          </w:p>
          <w:p w14:paraId="1A6BCB99">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请贵公司开具对开收据（原件），内容为：收到新疆昌盛方略项目管理有限公司XXXXXXXX项目保证金，金额写清楚，并加盖财务章；②贵公司营业执照（复印件盖公章）；③贵公司开户许可证（复印件盖公章）；④日期请落款在公示期结束后。</w:t>
            </w:r>
          </w:p>
          <w:p w14:paraId="35AD34C1">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金融机构、担保机构出具的保函，</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在开具保函时，保函需注明项目名称及单位名称，保函的有效期不得少于投标有效期，担保金额不得少于</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金额。</w:t>
            </w:r>
          </w:p>
          <w:p w14:paraId="28936D24">
            <w:pPr>
              <w:pStyle w:val="53"/>
              <w:spacing w:after="200"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rPr>
              <w:t>银行保函、保险保函形式缴纳的</w:t>
            </w:r>
            <w:r>
              <w:rPr>
                <w:rFonts w:hint="eastAsia" w:ascii="宋体" w:hAnsi="宋体" w:eastAsia="宋体" w:cs="宋体"/>
                <w:color w:val="auto"/>
                <w:sz w:val="24"/>
                <w:szCs w:val="24"/>
                <w:lang w:eastAsia="zh-CN"/>
              </w:rPr>
              <w:t>磋商保证金</w:t>
            </w:r>
            <w:r>
              <w:rPr>
                <w:rFonts w:hint="eastAsia" w:ascii="宋体" w:hAnsi="宋体" w:eastAsia="宋体" w:cs="宋体"/>
                <w:color w:val="auto"/>
                <w:sz w:val="24"/>
                <w:szCs w:val="24"/>
              </w:rPr>
              <w:t>按协议执行，无需办理退款手续。</w:t>
            </w:r>
          </w:p>
        </w:tc>
      </w:tr>
      <w:tr w14:paraId="14444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06" w:type="dxa"/>
            <w:vAlign w:val="center"/>
          </w:tcPr>
          <w:p w14:paraId="15CB8911">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w:t>
            </w:r>
          </w:p>
        </w:tc>
        <w:tc>
          <w:tcPr>
            <w:tcW w:w="1496" w:type="dxa"/>
            <w:vAlign w:val="center"/>
          </w:tcPr>
          <w:p w14:paraId="11CC464C">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评审办法</w:t>
            </w:r>
          </w:p>
        </w:tc>
        <w:tc>
          <w:tcPr>
            <w:tcW w:w="7281" w:type="dxa"/>
            <w:vAlign w:val="center"/>
          </w:tcPr>
          <w:p w14:paraId="5C9E132C">
            <w:pPr>
              <w:pStyle w:val="45"/>
              <w:spacing w:after="200" w:line="440" w:lineRule="exact"/>
              <w:ind w:left="520" w:leftChars="1" w:hanging="518" w:hanging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2695E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006" w:type="dxa"/>
            <w:vAlign w:val="center"/>
          </w:tcPr>
          <w:p w14:paraId="7238E3A3">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w:t>
            </w:r>
          </w:p>
        </w:tc>
        <w:tc>
          <w:tcPr>
            <w:tcW w:w="1496" w:type="dxa"/>
            <w:vAlign w:val="center"/>
          </w:tcPr>
          <w:p w14:paraId="4754B6F5">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磋商有效期</w:t>
            </w:r>
          </w:p>
        </w:tc>
        <w:tc>
          <w:tcPr>
            <w:tcW w:w="7281" w:type="dxa"/>
            <w:vAlign w:val="center"/>
          </w:tcPr>
          <w:p w14:paraId="4B5C9C63">
            <w:pPr>
              <w:pStyle w:val="45"/>
              <w:adjustRightInd w:val="0"/>
              <w:snapToGrid w:val="0"/>
              <w:spacing w:before="156" w:beforeLines="50" w:after="200"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日（日历日）</w:t>
            </w:r>
          </w:p>
        </w:tc>
      </w:tr>
      <w:tr w14:paraId="0DDF4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1AF6F03F">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w:t>
            </w:r>
          </w:p>
        </w:tc>
        <w:tc>
          <w:tcPr>
            <w:tcW w:w="1496" w:type="dxa"/>
            <w:vAlign w:val="center"/>
          </w:tcPr>
          <w:p w14:paraId="611C0273">
            <w:pPr>
              <w:spacing w:line="44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文件份数及要求</w:t>
            </w:r>
          </w:p>
        </w:tc>
        <w:tc>
          <w:tcPr>
            <w:tcW w:w="7281" w:type="dxa"/>
            <w:vAlign w:val="center"/>
          </w:tcPr>
          <w:p w14:paraId="4892178B">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待开标结束后，排名第一的企业请按照此文件格式要求提供纸质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highlight w:val="none"/>
              </w:rPr>
              <w:t>三份至新疆昌盛方略项目管理有限公司（</w:t>
            </w:r>
            <w:r>
              <w:rPr>
                <w:rFonts w:hint="eastAsia" w:ascii="宋体" w:hAnsi="宋体" w:cs="宋体"/>
                <w:color w:val="auto"/>
                <w:sz w:val="24"/>
                <w:szCs w:val="24"/>
                <w:highlight w:val="none"/>
                <w:lang w:eastAsia="zh-CN"/>
              </w:rPr>
              <w:t>新疆昌吉回族自治州昌吉市南公园西路融投小镇1号楼A座14层（昌吉州国投大厦1幢14楼1419）</w:t>
            </w:r>
            <w:r>
              <w:rPr>
                <w:rFonts w:hint="eastAsia" w:ascii="宋体" w:hAnsi="宋体" w:eastAsia="宋体" w:cs="宋体"/>
                <w:color w:val="auto"/>
                <w:sz w:val="24"/>
                <w:szCs w:val="24"/>
                <w:highlight w:val="none"/>
              </w:rPr>
              <w:t>）。</w:t>
            </w:r>
          </w:p>
          <w:p w14:paraId="40943059">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装订形式：不得采用活页、拉杆等形式，必须采用胶装。</w:t>
            </w:r>
          </w:p>
        </w:tc>
      </w:tr>
      <w:tr w14:paraId="2F6CD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006" w:type="dxa"/>
            <w:vAlign w:val="center"/>
          </w:tcPr>
          <w:p w14:paraId="385B1CDB">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1496" w:type="dxa"/>
            <w:vAlign w:val="center"/>
          </w:tcPr>
          <w:p w14:paraId="5FFEDC8B">
            <w:pPr>
              <w:spacing w:line="44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文件形式</w:t>
            </w:r>
          </w:p>
        </w:tc>
        <w:tc>
          <w:tcPr>
            <w:tcW w:w="7281" w:type="dxa"/>
            <w:vAlign w:val="center"/>
          </w:tcPr>
          <w:p w14:paraId="50872891">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包括“电子加密</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”和“备份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编制完成后同时生成。</w:t>
            </w:r>
          </w:p>
          <w:p w14:paraId="5A5F674E">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“电子加密</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”是指通过“政采云电子交易客户端”完成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编制后生成并加密的数据电文形式的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76BF9E86">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”是指与“电子加密</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”同时生成的数据电文形式的电子文件（备份标书，用于供应商标书解密异常时应急使用），其他方式编制的备份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视为无效备份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tc>
      </w:tr>
      <w:tr w14:paraId="20C70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1006" w:type="dxa"/>
            <w:vAlign w:val="center"/>
          </w:tcPr>
          <w:p w14:paraId="61E44C49">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p>
        </w:tc>
        <w:tc>
          <w:tcPr>
            <w:tcW w:w="1496" w:type="dxa"/>
            <w:vAlign w:val="center"/>
          </w:tcPr>
          <w:p w14:paraId="5F4750FA">
            <w:pPr>
              <w:pStyle w:val="45"/>
              <w:spacing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进口产品</w:t>
            </w:r>
          </w:p>
        </w:tc>
        <w:tc>
          <w:tcPr>
            <w:tcW w:w="7281" w:type="dxa"/>
            <w:vAlign w:val="center"/>
          </w:tcPr>
          <w:p w14:paraId="790A6AAC">
            <w:pPr>
              <w:pStyle w:val="45"/>
              <w:autoSpaceDE w:val="0"/>
              <w:autoSpaceDN w:val="0"/>
              <w:adjustRightInd w:val="0"/>
              <w:spacing w:after="200"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□是               </w:t>
            </w:r>
          </w:p>
          <w:p w14:paraId="05A33776">
            <w:pPr>
              <w:pStyle w:val="45"/>
              <w:autoSpaceDE w:val="0"/>
              <w:autoSpaceDN w:val="0"/>
              <w:adjustRightInd w:val="0"/>
              <w:spacing w:after="200" w:line="4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否</w:t>
            </w:r>
          </w:p>
        </w:tc>
      </w:tr>
      <w:tr w14:paraId="78BCA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1006" w:type="dxa"/>
            <w:vAlign w:val="center"/>
          </w:tcPr>
          <w:p w14:paraId="13331FEE">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w:t>
            </w:r>
          </w:p>
        </w:tc>
        <w:tc>
          <w:tcPr>
            <w:tcW w:w="1496" w:type="dxa"/>
            <w:vAlign w:val="center"/>
          </w:tcPr>
          <w:p w14:paraId="2D677C87">
            <w:pPr>
              <w:pStyle w:val="45"/>
              <w:spacing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踏勘现场</w:t>
            </w:r>
          </w:p>
        </w:tc>
        <w:tc>
          <w:tcPr>
            <w:tcW w:w="7281" w:type="dxa"/>
            <w:vAlign w:val="center"/>
          </w:tcPr>
          <w:p w14:paraId="428E36FA">
            <w:pPr>
              <w:pStyle w:val="45"/>
              <w:autoSpaceDE w:val="0"/>
              <w:autoSpaceDN w:val="0"/>
              <w:adjustRightInd w:val="0"/>
              <w:spacing w:after="200"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自行踏勘。</w:t>
            </w:r>
          </w:p>
          <w:p w14:paraId="75714B8C">
            <w:pPr>
              <w:pStyle w:val="45"/>
              <w:autoSpaceDE w:val="0"/>
              <w:autoSpaceDN w:val="0"/>
              <w:adjustRightInd w:val="0"/>
              <w:spacing w:after="20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□统一组织。</w:t>
            </w:r>
          </w:p>
        </w:tc>
      </w:tr>
      <w:tr w14:paraId="3C564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006" w:type="dxa"/>
            <w:vAlign w:val="center"/>
          </w:tcPr>
          <w:p w14:paraId="74B40E20">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w:t>
            </w:r>
          </w:p>
        </w:tc>
        <w:tc>
          <w:tcPr>
            <w:tcW w:w="1496" w:type="dxa"/>
            <w:vAlign w:val="center"/>
          </w:tcPr>
          <w:p w14:paraId="7A905A32">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响应文件的上传和递交</w:t>
            </w:r>
          </w:p>
        </w:tc>
        <w:tc>
          <w:tcPr>
            <w:tcW w:w="7281" w:type="dxa"/>
            <w:vAlign w:val="center"/>
          </w:tcPr>
          <w:p w14:paraId="54B5EC2F">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电子加密响应文件：响应文件制作完成并生成加密标书，在投标截止时间前，供应商需将加密的响应文件上传至政采云平台，在开标时间开始后，待采购组织机构发出解密通知后30分钟内解密响应文件。</w:t>
            </w:r>
          </w:p>
          <w:p w14:paraId="57CA3D89">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a.供应商未能在投标截止时间前成功上传电子加密响应文件的投标无效。</w:t>
            </w:r>
          </w:p>
          <w:p w14:paraId="4B0B8C6C">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b.供应商成功上传电子加密响应文件后，可自行打印响应文件接收回执。</w:t>
            </w:r>
          </w:p>
        </w:tc>
      </w:tr>
      <w:tr w14:paraId="0BCB7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restart"/>
            <w:vAlign w:val="center"/>
          </w:tcPr>
          <w:p w14:paraId="2EC3CDA0">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p>
        </w:tc>
        <w:tc>
          <w:tcPr>
            <w:tcW w:w="1496" w:type="dxa"/>
            <w:vMerge w:val="restart"/>
            <w:vAlign w:val="center"/>
          </w:tcPr>
          <w:p w14:paraId="4CF53C17">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重要说明</w:t>
            </w:r>
          </w:p>
        </w:tc>
        <w:tc>
          <w:tcPr>
            <w:tcW w:w="7281" w:type="dxa"/>
            <w:vAlign w:val="center"/>
          </w:tcPr>
          <w:p w14:paraId="59A7BA34">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1.本项目采用全流程不见面电子开评标，投标供应商需要使用CA加密设备，供应商可通过新疆数字证书认证中心官网（https//www.xjca.com.cn/）或下载“新疆政务通”APP自行进行申领。</w:t>
            </w:r>
          </w:p>
          <w:p w14:paraId="670A7EC9">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2.本项目实行网上投标，采用加密电子</w:t>
            </w:r>
            <w:r>
              <w:rPr>
                <w:rFonts w:hint="eastAsia" w:ascii="宋体" w:hAnsi="宋体" w:eastAsia="宋体" w:cs="宋体"/>
                <w:color w:val="auto"/>
                <w:kern w:val="0"/>
                <w:sz w:val="24"/>
                <w:szCs w:val="24"/>
                <w:lang w:eastAsia="zh-CN" w:bidi="en-US"/>
              </w:rPr>
              <w:t>响应文件（</w:t>
            </w:r>
            <w:r>
              <w:rPr>
                <w:rFonts w:hint="eastAsia" w:ascii="宋体" w:hAnsi="宋体" w:eastAsia="宋体" w:cs="宋体"/>
                <w:color w:val="auto"/>
                <w:kern w:val="0"/>
                <w:sz w:val="24"/>
                <w:szCs w:val="24"/>
                <w:lang w:bidi="en-US"/>
              </w:rPr>
              <w:t>供应商须使用CA加密设备通过政采云电子投标客户端制作</w:t>
            </w:r>
            <w:r>
              <w:rPr>
                <w:rFonts w:hint="eastAsia" w:ascii="宋体" w:hAnsi="宋体" w:eastAsia="宋体" w:cs="宋体"/>
                <w:color w:val="auto"/>
                <w:kern w:val="0"/>
                <w:sz w:val="24"/>
                <w:szCs w:val="24"/>
                <w:lang w:eastAsia="zh-CN" w:bidi="en-US"/>
              </w:rPr>
              <w:t>响应文件</w:t>
            </w:r>
            <w:r>
              <w:rPr>
                <w:rFonts w:hint="eastAsia" w:ascii="宋体" w:hAnsi="宋体" w:eastAsia="宋体" w:cs="宋体"/>
                <w:color w:val="auto"/>
                <w:kern w:val="0"/>
                <w:sz w:val="24"/>
                <w:szCs w:val="24"/>
                <w:lang w:bidi="en-US"/>
              </w:rPr>
              <w:t>)。若供应商参与投标，自行承担投标一切费用。</w:t>
            </w:r>
          </w:p>
          <w:p w14:paraId="1645687A">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CF00EA5">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4.供应商将政采云电子交易客户端下载、安装完成后，可通过账号密码或CA登录客户端进行</w:t>
            </w:r>
            <w:r>
              <w:rPr>
                <w:rFonts w:hint="eastAsia" w:ascii="宋体" w:hAnsi="宋体" w:eastAsia="宋体" w:cs="宋体"/>
                <w:color w:val="auto"/>
                <w:kern w:val="0"/>
                <w:sz w:val="24"/>
                <w:szCs w:val="24"/>
                <w:lang w:eastAsia="zh-CN" w:bidi="en-US"/>
              </w:rPr>
              <w:t>响应文件</w:t>
            </w:r>
            <w:r>
              <w:rPr>
                <w:rFonts w:hint="eastAsia" w:ascii="宋体" w:hAnsi="宋体" w:eastAsia="宋体" w:cs="宋体"/>
                <w:color w:val="auto"/>
                <w:kern w:val="0"/>
                <w:sz w:val="24"/>
                <w:szCs w:val="24"/>
                <w:lang w:bidi="en-US"/>
              </w:rPr>
              <w:t>制作。在使用政采云投标客户端时，建议使用WIN7+64位及以上操作系统。客户端请至新疆政府采购网（http//www.ccgp-xinjiang.gov.cn/）下载专区查看，如有问题可拨打政采云客户服务热线95763进行咨询。</w:t>
            </w:r>
          </w:p>
          <w:p w14:paraId="6A7D20D6">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5.供应商在开标时须使用制作加密电子</w:t>
            </w:r>
            <w:r>
              <w:rPr>
                <w:rFonts w:hint="eastAsia" w:ascii="宋体" w:hAnsi="宋体" w:eastAsia="宋体" w:cs="宋体"/>
                <w:color w:val="auto"/>
                <w:kern w:val="0"/>
                <w:sz w:val="24"/>
                <w:szCs w:val="24"/>
                <w:lang w:eastAsia="zh-CN" w:bidi="en-US"/>
              </w:rPr>
              <w:t>响应文件</w:t>
            </w:r>
            <w:r>
              <w:rPr>
                <w:rFonts w:hint="eastAsia" w:ascii="宋体" w:hAnsi="宋体" w:eastAsia="宋体" w:cs="宋体"/>
                <w:color w:val="auto"/>
                <w:kern w:val="0"/>
                <w:sz w:val="24"/>
                <w:szCs w:val="24"/>
                <w:lang w:bidi="en-US"/>
              </w:rPr>
              <w:t>所使用的CA锁及电脑，电脑须提前配置好浏览器（建议使用谷歌浏览器），以便开标时解锁。</w:t>
            </w:r>
          </w:p>
          <w:p w14:paraId="3FFE59CB">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C7C4410">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bidi="en-US"/>
              </w:rPr>
              <w:t>7.为了保证开评标顺利进行，政采云线上开标功能完全实现，供应商开标所使用的电脑设备须具有视频及语音功能。</w:t>
            </w:r>
          </w:p>
        </w:tc>
      </w:tr>
      <w:tr w14:paraId="54121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continue"/>
            <w:vAlign w:val="center"/>
          </w:tcPr>
          <w:p w14:paraId="505436CE">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p>
        </w:tc>
        <w:tc>
          <w:tcPr>
            <w:tcW w:w="1496" w:type="dxa"/>
            <w:vMerge w:val="continue"/>
            <w:vAlign w:val="center"/>
          </w:tcPr>
          <w:p w14:paraId="6B3686BF">
            <w:pPr>
              <w:spacing w:line="440" w:lineRule="exact"/>
              <w:jc w:val="left"/>
              <w:rPr>
                <w:rFonts w:hint="eastAsia" w:ascii="宋体" w:hAnsi="宋体" w:eastAsia="宋体" w:cs="宋体"/>
                <w:b/>
                <w:bCs/>
                <w:color w:val="auto"/>
                <w:sz w:val="24"/>
                <w:szCs w:val="24"/>
                <w:highlight w:val="none"/>
              </w:rPr>
            </w:pPr>
          </w:p>
        </w:tc>
        <w:tc>
          <w:tcPr>
            <w:tcW w:w="7281" w:type="dxa"/>
            <w:vAlign w:val="center"/>
          </w:tcPr>
          <w:p w14:paraId="0DDFB2FB">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电子招投标情况说明：</w:t>
            </w:r>
          </w:p>
          <w:p w14:paraId="3F9A8BB8">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电子招投标：本项目以数据电文形式，依托“政府采购云平台（www.zcygov.cn）”进行招投标活动。</w:t>
            </w:r>
          </w:p>
          <w:p w14:paraId="390090AC">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EFA3ED3">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招标文件的获取：使用账号登录或者短信验证码或者使用CA登录政采云平台；进入“项目采购”应用，在获取招标文件菜单中选择项目，获取招标文件</w:t>
            </w:r>
            <w:r>
              <w:rPr>
                <w:rFonts w:hint="eastAsia" w:ascii="宋体" w:hAnsi="宋体" w:eastAsia="宋体" w:cs="宋体"/>
                <w:color w:val="auto"/>
                <w:sz w:val="24"/>
                <w:szCs w:val="24"/>
                <w:lang w:eastAsia="zh-CN"/>
              </w:rPr>
              <w:t>。</w:t>
            </w:r>
          </w:p>
          <w:p w14:paraId="5290ED55">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的解密：供应商按照平台提示和招标文件的规定在半小时内完成在线解密。通过“政府采购云平台”上传递交的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无法按时解密，投标供应商提供了备份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的，以备份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为依据，否则视为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撤回。通过“政府采购云平台”上传递交的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已按时解密的，备份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自动失效。供应商仅提供备份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，没有在电子交易平台传输递交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的，投标无效。</w:t>
            </w:r>
          </w:p>
          <w:p w14:paraId="1AD61C86">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具体操作指南：详见政采云平台“服务中心-帮助文档-项目采购-操作流程-电子招投标-政府采购项目电子交易管理操作指南-供应商”。</w:t>
            </w:r>
          </w:p>
          <w:p w14:paraId="15081CEE">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供应商在进行上述操作时，如遇技术问题可登录政采云（https//</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），点击右侧咨询小采，获取采小蜜智能服务管家帮助，或拨打政采云服务热线95763获取热线服务帮助。</w:t>
            </w:r>
          </w:p>
          <w:p w14:paraId="3FA2F110">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温馨提醒：供应商应提前上传，以便在上传时遇到技术问题，有充足的时间请教平台的技术人员。</w:t>
            </w:r>
          </w:p>
          <w:p w14:paraId="51253C6A">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296EE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089E45D2">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p>
        </w:tc>
        <w:tc>
          <w:tcPr>
            <w:tcW w:w="1496" w:type="dxa"/>
            <w:vAlign w:val="center"/>
          </w:tcPr>
          <w:p w14:paraId="1F481E78">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7281" w:type="dxa"/>
            <w:vAlign w:val="center"/>
          </w:tcPr>
          <w:p w14:paraId="280E6425">
            <w:pPr>
              <w:pStyle w:val="64"/>
              <w:spacing w:after="200" w:line="44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招标代理服务费：由中标供应商支付，中标单位在领取本项目中标通知书时，参照《国家计委关于印发招标代理服务收费管理暂行办法的通知</w:t>
            </w:r>
            <w:r>
              <w:rPr>
                <w:rFonts w:hint="eastAsia" w:ascii="宋体" w:hAnsi="宋体" w:cs="宋体"/>
                <w:color w:val="auto"/>
                <w:sz w:val="24"/>
                <w:szCs w:val="24"/>
                <w:highlight w:val="none"/>
                <w:u w:val="none"/>
                <w:lang w:val="en-US" w:eastAsia="zh-CN"/>
              </w:rPr>
              <w:t>（审</w:t>
            </w:r>
            <w:r>
              <w:rPr>
                <w:rFonts w:hint="eastAsia" w:ascii="宋体" w:hAnsi="宋体" w:eastAsia="宋体" w:cs="宋体"/>
                <w:color w:val="auto"/>
                <w:sz w:val="24"/>
                <w:szCs w:val="24"/>
                <w:highlight w:val="none"/>
                <w:u w:val="none"/>
                <w:lang w:val="en-US" w:eastAsia="zh-CN"/>
              </w:rPr>
              <w:t>计价格</w:t>
            </w:r>
            <w:r>
              <w:rPr>
                <w:rFonts w:hint="eastAsia" w:ascii="宋体" w:hAnsi="宋体" w:cs="宋体"/>
                <w:color w:val="auto"/>
                <w:sz w:val="24"/>
                <w:szCs w:val="24"/>
                <w:highlight w:val="none"/>
                <w:u w:val="none"/>
                <w:lang w:val="en-US" w:eastAsia="zh-CN"/>
              </w:rPr>
              <w:t>〔2002〕1980号</w:t>
            </w:r>
            <w:r>
              <w:rPr>
                <w:rFonts w:hint="eastAsia" w:ascii="宋体" w:hAnsi="宋体" w:eastAsia="宋体" w:cs="宋体"/>
                <w:color w:val="auto"/>
                <w:sz w:val="24"/>
                <w:szCs w:val="24"/>
                <w:highlight w:val="none"/>
                <w:u w:val="none"/>
                <w:lang w:val="en-US" w:eastAsia="zh-CN"/>
              </w:rPr>
              <w:t>）及《招标代理服务收费有关问题》（发改办价格〔2003〕857号文）中规定由中标单位向招标代理机构支付本项目代理费。此费用由供应商综合考虑到投标报价中，不再单独列项。</w:t>
            </w:r>
          </w:p>
          <w:p w14:paraId="7523C6EA">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招标代理服务费的交纳方式：在领取</w:t>
            </w:r>
            <w:r>
              <w:rPr>
                <w:rFonts w:hint="eastAsia" w:ascii="宋体" w:hAnsi="宋体" w:eastAsia="宋体" w:cs="宋体"/>
                <w:color w:val="auto"/>
                <w:kern w:val="2"/>
                <w:sz w:val="24"/>
                <w:szCs w:val="24"/>
                <w:lang w:val="en-US" w:eastAsia="zh-CN" w:bidi="ar-SA"/>
              </w:rPr>
              <w:t>成交</w:t>
            </w:r>
            <w:r>
              <w:rPr>
                <w:rFonts w:hint="eastAsia" w:ascii="宋体" w:hAnsi="宋体" w:eastAsia="宋体" w:cs="宋体"/>
                <w:color w:val="auto"/>
                <w:kern w:val="2"/>
                <w:sz w:val="24"/>
                <w:szCs w:val="24"/>
                <w:lang w:val="en-US" w:eastAsia="en-US" w:bidi="ar-SA"/>
              </w:rPr>
              <w:t>通知书前向招标代理机构交纳服务费，可用电汇、现金等形式一次缴清。</w:t>
            </w:r>
          </w:p>
          <w:p w14:paraId="3DE076F5">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缴纳招标代理服务费账号：</w:t>
            </w:r>
          </w:p>
          <w:p w14:paraId="34444A27">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账户名称：新疆昌盛方略项目管理有限公司</w:t>
            </w:r>
          </w:p>
          <w:p w14:paraId="6F219899">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开 户 行：新疆昌吉农村商业银行股份有限公司天山北路支行</w:t>
            </w:r>
          </w:p>
          <w:p w14:paraId="3F9FEFEC">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账    号：806010012010110433857</w:t>
            </w:r>
          </w:p>
          <w:p w14:paraId="1E06655E">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行    号：402885000459</w:t>
            </w:r>
          </w:p>
          <w:p w14:paraId="4638A805">
            <w:pPr>
              <w:pStyle w:val="67"/>
              <w:rPr>
                <w:rFonts w:hint="eastAsia"/>
                <w:color w:val="auto"/>
              </w:rPr>
            </w:pPr>
            <w:r>
              <w:rPr>
                <w:rFonts w:hint="eastAsia" w:ascii="宋体" w:hAnsi="宋体" w:eastAsia="宋体" w:cs="宋体"/>
                <w:color w:val="auto"/>
                <w:kern w:val="2"/>
                <w:sz w:val="24"/>
                <w:szCs w:val="24"/>
                <w:lang w:val="en-US" w:eastAsia="en-US" w:bidi="ar-SA"/>
              </w:rPr>
              <w:t>打款时请备注（招标编号或项目名称简称+代理费）</w:t>
            </w:r>
          </w:p>
        </w:tc>
      </w:tr>
      <w:tr w14:paraId="0DA08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06" w:type="dxa"/>
            <w:vMerge w:val="restart"/>
            <w:vAlign w:val="center"/>
          </w:tcPr>
          <w:p w14:paraId="685FCDF1">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p>
        </w:tc>
        <w:tc>
          <w:tcPr>
            <w:tcW w:w="1496" w:type="dxa"/>
            <w:vMerge w:val="restart"/>
            <w:vAlign w:val="center"/>
          </w:tcPr>
          <w:p w14:paraId="21BE314C">
            <w:pPr>
              <w:pStyle w:val="45"/>
              <w:spacing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中小微型企业有关政策</w:t>
            </w:r>
          </w:p>
        </w:tc>
        <w:tc>
          <w:tcPr>
            <w:tcW w:w="7281" w:type="dxa"/>
            <w:vAlign w:val="center"/>
          </w:tcPr>
          <w:p w14:paraId="0059657B">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根据财政部、工业和信息化部关于印发《政府采购促进中小企业发展管理办法》的通知（财库</w:t>
            </w:r>
            <w:r>
              <w:rPr>
                <w:rFonts w:hint="eastAsia" w:ascii="宋体" w:hAnsi="宋体" w:eastAsia="宋体" w:cs="宋体"/>
                <w:color w:val="auto"/>
                <w:sz w:val="24"/>
                <w:szCs w:val="24"/>
                <w:lang w:eastAsia="zh-CN"/>
              </w:rPr>
              <w:t>〔2020〕46号</w:t>
            </w:r>
            <w:r>
              <w:rPr>
                <w:rFonts w:hint="eastAsia" w:ascii="宋体" w:hAnsi="宋体" w:eastAsia="宋体" w:cs="宋体"/>
                <w:color w:val="auto"/>
                <w:sz w:val="24"/>
                <w:szCs w:val="24"/>
              </w:rPr>
              <w:t>）和（财库</w:t>
            </w:r>
            <w:r>
              <w:rPr>
                <w:rFonts w:hint="eastAsia" w:ascii="宋体" w:hAnsi="宋体" w:eastAsia="宋体" w:cs="宋体"/>
                <w:color w:val="auto"/>
                <w:sz w:val="24"/>
                <w:szCs w:val="24"/>
                <w:lang w:eastAsia="zh-CN"/>
              </w:rPr>
              <w:t>〔2020〕19号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及其所投产品的制造商均属于《工业和信息化部、国家统计局、国家发展和改革委员会、财政部关于印发中小企业划型标准规定的通知》（工信部联企业</w:t>
            </w:r>
            <w:r>
              <w:rPr>
                <w:rFonts w:hint="eastAsia" w:ascii="宋体" w:hAnsi="宋体" w:eastAsia="宋体" w:cs="宋体"/>
                <w:color w:val="auto"/>
                <w:sz w:val="24"/>
                <w:szCs w:val="24"/>
                <w:lang w:eastAsia="zh-CN"/>
              </w:rPr>
              <w:t>〔2011〕300号</w:t>
            </w:r>
            <w:r>
              <w:rPr>
                <w:rFonts w:hint="eastAsia" w:ascii="宋体" w:hAnsi="宋体" w:eastAsia="宋体" w:cs="宋体"/>
                <w:color w:val="auto"/>
                <w:sz w:val="24"/>
                <w:szCs w:val="24"/>
              </w:rPr>
              <w:t>）中规定的小型、微型企业标准的，按招标文件格式提供《中小企业声明函》。</w:t>
            </w:r>
          </w:p>
        </w:tc>
      </w:tr>
      <w:tr w14:paraId="08F28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06" w:type="dxa"/>
            <w:vMerge w:val="continue"/>
            <w:vAlign w:val="center"/>
          </w:tcPr>
          <w:p w14:paraId="4E25181B">
            <w:pPr>
              <w:pStyle w:val="29"/>
              <w:spacing w:before="0" w:beforeAutospacing="0" w:after="0" w:afterAutospacing="0" w:line="440" w:lineRule="exact"/>
              <w:rPr>
                <w:color w:val="auto"/>
              </w:rPr>
            </w:pPr>
          </w:p>
        </w:tc>
        <w:tc>
          <w:tcPr>
            <w:tcW w:w="1496" w:type="dxa"/>
            <w:vMerge w:val="continue"/>
            <w:vAlign w:val="center"/>
          </w:tcPr>
          <w:p w14:paraId="564C4ADE">
            <w:pPr>
              <w:pStyle w:val="29"/>
              <w:spacing w:before="0" w:beforeAutospacing="0" w:after="0" w:afterAutospacing="0" w:line="440" w:lineRule="exact"/>
              <w:rPr>
                <w:color w:val="auto"/>
              </w:rPr>
            </w:pPr>
          </w:p>
        </w:tc>
        <w:tc>
          <w:tcPr>
            <w:tcW w:w="7281" w:type="dxa"/>
            <w:vAlign w:val="center"/>
          </w:tcPr>
          <w:p w14:paraId="669419F0">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根据财政部、司令部《关于政府采购支持监狱企业发展有关问题》的通知财库</w:t>
            </w:r>
            <w:r>
              <w:rPr>
                <w:rFonts w:hint="eastAsia" w:ascii="宋体" w:hAnsi="宋体" w:eastAsia="宋体" w:cs="宋体"/>
                <w:color w:val="auto"/>
                <w:sz w:val="24"/>
                <w:szCs w:val="24"/>
                <w:lang w:eastAsia="zh-CN"/>
              </w:rPr>
              <w:t>〔2014〕68号</w:t>
            </w:r>
            <w:r>
              <w:rPr>
                <w:rFonts w:hint="eastAsia" w:ascii="宋体" w:hAnsi="宋体" w:eastAsia="宋体" w:cs="宋体"/>
                <w:color w:val="auto"/>
                <w:sz w:val="24"/>
                <w:szCs w:val="24"/>
              </w:rPr>
              <w:t>，监狱企业参加本项目投标时，应当提供由省级以上监狱管理局、戒毒管理局（新疆生产建设兵团）出具的属于监狱企业的证明文件。监狱企业视同小型、微型企业。</w:t>
            </w:r>
          </w:p>
        </w:tc>
      </w:tr>
      <w:tr w14:paraId="5F4D4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06" w:type="dxa"/>
            <w:vMerge w:val="continue"/>
            <w:vAlign w:val="center"/>
          </w:tcPr>
          <w:p w14:paraId="12271904">
            <w:pPr>
              <w:pStyle w:val="29"/>
              <w:spacing w:before="0" w:beforeAutospacing="0" w:after="0" w:afterAutospacing="0" w:line="440" w:lineRule="exact"/>
              <w:rPr>
                <w:rFonts w:hint="eastAsia" w:ascii="宋体" w:hAnsi="宋体" w:eastAsia="宋体" w:cs="宋体"/>
                <w:color w:val="auto"/>
                <w:sz w:val="24"/>
                <w:szCs w:val="24"/>
                <w:highlight w:val="none"/>
                <w:u w:val="single"/>
                <w:lang w:eastAsia="zh-CN"/>
              </w:rPr>
            </w:pPr>
          </w:p>
        </w:tc>
        <w:tc>
          <w:tcPr>
            <w:tcW w:w="1496" w:type="dxa"/>
            <w:vMerge w:val="continue"/>
            <w:vAlign w:val="center"/>
          </w:tcPr>
          <w:p w14:paraId="0FC0D34B">
            <w:pPr>
              <w:pStyle w:val="29"/>
              <w:spacing w:before="0" w:beforeAutospacing="0" w:after="0" w:afterAutospacing="0" w:line="440" w:lineRule="exact"/>
              <w:rPr>
                <w:rFonts w:hint="eastAsia" w:ascii="宋体" w:hAnsi="宋体" w:eastAsia="宋体" w:cs="宋体"/>
                <w:color w:val="auto"/>
                <w:sz w:val="24"/>
                <w:szCs w:val="24"/>
                <w:highlight w:val="none"/>
                <w:u w:val="single"/>
                <w:lang w:eastAsia="zh-CN"/>
              </w:rPr>
            </w:pPr>
          </w:p>
        </w:tc>
        <w:tc>
          <w:tcPr>
            <w:tcW w:w="7281" w:type="dxa"/>
            <w:vAlign w:val="center"/>
          </w:tcPr>
          <w:p w14:paraId="532AA977">
            <w:pPr>
              <w:keepNext w:val="0"/>
              <w:keepLines w:val="0"/>
              <w:pageBreakBefore w:val="0"/>
              <w:kinsoku/>
              <w:overflowPunct/>
              <w:topLinePunct w:val="0"/>
              <w:bidi w:val="0"/>
              <w:spacing w:line="36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根据财政部、民政部、中国残疾人联合会《关于促进残疾人就业政府采购政策的通知》（财库</w:t>
            </w:r>
            <w:r>
              <w:rPr>
                <w:rFonts w:hint="eastAsia" w:ascii="宋体" w:hAnsi="宋体" w:eastAsia="宋体" w:cs="宋体"/>
                <w:color w:val="auto"/>
                <w:sz w:val="24"/>
                <w:szCs w:val="24"/>
                <w:lang w:eastAsia="zh-CN"/>
              </w:rPr>
              <w:t>〔2017〕141号</w:t>
            </w:r>
            <w:r>
              <w:rPr>
                <w:rFonts w:hint="eastAsia" w:ascii="宋体" w:hAnsi="宋体" w:eastAsia="宋体" w:cs="宋体"/>
                <w:color w:val="auto"/>
                <w:sz w:val="24"/>
                <w:szCs w:val="24"/>
              </w:rPr>
              <w:t>），在政府采购活动中，残疾人福利性单位视同小型、微型企业。</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属于残疾人福利性单位的，按照招标文件格式提供残疾人福利性单位声明函。</w:t>
            </w:r>
          </w:p>
        </w:tc>
      </w:tr>
      <w:tr w14:paraId="7852B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006" w:type="dxa"/>
            <w:vAlign w:val="center"/>
          </w:tcPr>
          <w:p w14:paraId="2B8F966A">
            <w:pPr>
              <w:pStyle w:val="45"/>
              <w:tabs>
                <w:tab w:val="left" w:pos="265"/>
              </w:tabs>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w:t>
            </w:r>
          </w:p>
        </w:tc>
        <w:tc>
          <w:tcPr>
            <w:tcW w:w="1496" w:type="dxa"/>
            <w:vAlign w:val="center"/>
          </w:tcPr>
          <w:p w14:paraId="1270C133">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履约保证金</w:t>
            </w:r>
          </w:p>
        </w:tc>
        <w:tc>
          <w:tcPr>
            <w:tcW w:w="7281" w:type="dxa"/>
            <w:vAlign w:val="center"/>
          </w:tcPr>
          <w:p w14:paraId="7F366F5D">
            <w:pPr>
              <w:keepNext w:val="0"/>
              <w:keepLines w:val="0"/>
              <w:pageBreakBefore w:val="0"/>
              <w:shd w:val="clear" w:color="auto" w:fill="auto"/>
              <w:kinsoku/>
              <w:overflowPunct/>
              <w:topLinePunct w:val="0"/>
              <w:bidi w:val="0"/>
              <w:spacing w:line="36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履约担保金额：</w:t>
            </w:r>
            <w:r>
              <w:rPr>
                <w:rFonts w:hint="eastAsia" w:ascii="宋体" w:hAnsi="宋体" w:cs="宋体"/>
                <w:b w:val="0"/>
                <w:bCs w:val="0"/>
                <w:color w:val="auto"/>
                <w:sz w:val="24"/>
                <w:szCs w:val="24"/>
                <w:lang w:val="en-US" w:eastAsia="zh-CN"/>
              </w:rPr>
              <w:t>/</w:t>
            </w:r>
          </w:p>
          <w:p w14:paraId="630DEDE5">
            <w:pPr>
              <w:pStyle w:val="45"/>
              <w:spacing w:after="200" w:line="440" w:lineRule="exact"/>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lang w:val="en-US" w:eastAsia="zh-CN"/>
              </w:rPr>
              <w:t>履约担保形式：</w:t>
            </w:r>
            <w:r>
              <w:rPr>
                <w:rFonts w:hint="eastAsia" w:ascii="宋体" w:hAnsi="宋体" w:cs="宋体"/>
                <w:b w:val="0"/>
                <w:bCs w:val="0"/>
                <w:color w:val="auto"/>
                <w:sz w:val="24"/>
                <w:szCs w:val="24"/>
                <w:lang w:val="en-US" w:eastAsia="zh-CN"/>
              </w:rPr>
              <w:t>/</w:t>
            </w:r>
          </w:p>
        </w:tc>
      </w:tr>
      <w:tr w14:paraId="2FD99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6" w:type="dxa"/>
            <w:vAlign w:val="center"/>
          </w:tcPr>
          <w:p w14:paraId="2456E2F4">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w:t>
            </w:r>
          </w:p>
        </w:tc>
        <w:tc>
          <w:tcPr>
            <w:tcW w:w="1496" w:type="dxa"/>
            <w:vAlign w:val="center"/>
          </w:tcPr>
          <w:p w14:paraId="1A21DA31">
            <w:pPr>
              <w:pStyle w:val="46"/>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服务期限</w:t>
            </w:r>
          </w:p>
        </w:tc>
        <w:tc>
          <w:tcPr>
            <w:tcW w:w="7281" w:type="dxa"/>
            <w:vAlign w:val="center"/>
          </w:tcPr>
          <w:p w14:paraId="206403AE">
            <w:pPr>
              <w:pStyle w:val="31"/>
              <w:spacing w:line="440" w:lineRule="exact"/>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合同签订后12个月内按要求完成国家级零碳工业园区试点申报方案。</w:t>
            </w:r>
          </w:p>
        </w:tc>
      </w:tr>
      <w:tr w14:paraId="3AC95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006" w:type="dxa"/>
            <w:vAlign w:val="center"/>
          </w:tcPr>
          <w:p w14:paraId="71E25ED4">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w:t>
            </w:r>
          </w:p>
        </w:tc>
        <w:tc>
          <w:tcPr>
            <w:tcW w:w="1496" w:type="dxa"/>
            <w:vAlign w:val="center"/>
          </w:tcPr>
          <w:p w14:paraId="596B7277">
            <w:pPr>
              <w:adjustRightInd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采购内容</w:t>
            </w:r>
          </w:p>
        </w:tc>
        <w:tc>
          <w:tcPr>
            <w:tcW w:w="7281" w:type="dxa"/>
            <w:vAlign w:val="center"/>
          </w:tcPr>
          <w:p w14:paraId="7F1C20E3">
            <w:pPr>
              <w:pStyle w:val="29"/>
              <w:spacing w:before="0" w:beforeAutospacing="0" w:after="0" w:afterAutospacing="0" w:line="440" w:lineRule="exact"/>
              <w:rPr>
                <w:rFonts w:hint="eastAsia" w:ascii="宋体" w:hAnsi="宋体" w:eastAsia="宋体" w:cs="宋体"/>
                <w:color w:val="auto"/>
                <w:szCs w:val="24"/>
                <w:highlight w:val="none"/>
                <w:lang w:eastAsia="zh-CN"/>
              </w:rPr>
            </w:pPr>
            <w:r>
              <w:rPr>
                <w:rFonts w:hint="eastAsia" w:cs="宋体"/>
                <w:color w:val="auto"/>
                <w:szCs w:val="24"/>
                <w:highlight w:val="none"/>
                <w:lang w:eastAsia="zh-CN"/>
              </w:rPr>
              <w:t>一、现状调研与基础分析；二、目标设定与发展路径规划；三、重点任务与技术路线设计；四、方案实施计划与保障措施；五、协助园区争创国家级零碳园区试点。</w:t>
            </w:r>
            <w:r>
              <w:rPr>
                <w:rFonts w:hint="eastAsia" w:ascii="宋体" w:hAnsi="宋体" w:eastAsia="宋体" w:cs="宋体"/>
                <w:color w:val="auto"/>
                <w:szCs w:val="24"/>
                <w:highlight w:val="none"/>
                <w:lang w:eastAsia="zh-CN"/>
              </w:rPr>
              <w:t xml:space="preserve">（具体详见采购文件项目需求）。 </w:t>
            </w:r>
          </w:p>
        </w:tc>
      </w:tr>
      <w:tr w14:paraId="47146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006" w:type="dxa"/>
            <w:vAlign w:val="center"/>
          </w:tcPr>
          <w:p w14:paraId="7503E07C">
            <w:pPr>
              <w:pStyle w:val="45"/>
              <w:adjustRightInd w:val="0"/>
              <w:snapToGrid w:val="0"/>
              <w:spacing w:before="156" w:beforeLines="50" w:after="200" w:line="44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26</w:t>
            </w:r>
          </w:p>
        </w:tc>
        <w:tc>
          <w:tcPr>
            <w:tcW w:w="1496" w:type="dxa"/>
            <w:shd w:val="clear" w:color="auto" w:fill="auto"/>
            <w:vAlign w:val="center"/>
          </w:tcPr>
          <w:p w14:paraId="61905DB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质量要求</w:t>
            </w:r>
          </w:p>
        </w:tc>
        <w:tc>
          <w:tcPr>
            <w:tcW w:w="7281" w:type="dxa"/>
            <w:shd w:val="clear" w:color="auto" w:fill="auto"/>
            <w:vAlign w:val="center"/>
          </w:tcPr>
          <w:p w14:paraId="307E04A2">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符合国家及行业现行相关规范和标准。</w:t>
            </w:r>
          </w:p>
        </w:tc>
      </w:tr>
      <w:tr w14:paraId="24B8D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006" w:type="dxa"/>
            <w:vAlign w:val="center"/>
          </w:tcPr>
          <w:p w14:paraId="31CC0B88">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7</w:t>
            </w:r>
          </w:p>
        </w:tc>
        <w:tc>
          <w:tcPr>
            <w:tcW w:w="1496" w:type="dxa"/>
            <w:vAlign w:val="center"/>
          </w:tcPr>
          <w:p w14:paraId="477986F0">
            <w:pPr>
              <w:pStyle w:val="45"/>
              <w:adjustRightInd w:val="0"/>
              <w:snapToGrid w:val="0"/>
              <w:spacing w:before="156" w:beforeLines="50" w:after="200"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付款方式</w:t>
            </w:r>
          </w:p>
        </w:tc>
        <w:tc>
          <w:tcPr>
            <w:tcW w:w="7281" w:type="dxa"/>
            <w:vAlign w:val="center"/>
          </w:tcPr>
          <w:p w14:paraId="2B7172E6">
            <w:pPr>
              <w:pStyle w:val="45"/>
              <w:wordWrap w:val="0"/>
              <w:spacing w:after="200" w:line="440" w:lineRule="exact"/>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以甲乙双方</w:t>
            </w:r>
            <w:r>
              <w:rPr>
                <w:rFonts w:hint="eastAsia" w:ascii="宋体" w:hAnsi="宋体" w:eastAsia="宋体" w:cs="宋体"/>
                <w:color w:val="auto"/>
                <w:sz w:val="24"/>
                <w:szCs w:val="24"/>
                <w:highlight w:val="none"/>
              </w:rPr>
              <w:t>最终签订</w:t>
            </w:r>
            <w:r>
              <w:rPr>
                <w:rFonts w:hint="eastAsia" w:ascii="宋体" w:hAnsi="宋体" w:eastAsia="宋体" w:cs="宋体"/>
                <w:color w:val="auto"/>
                <w:sz w:val="24"/>
                <w:szCs w:val="24"/>
                <w:highlight w:val="none"/>
                <w:lang w:val="en-US" w:eastAsia="zh-CN"/>
              </w:rPr>
              <w:t>的合同</w:t>
            </w:r>
            <w:r>
              <w:rPr>
                <w:rFonts w:hint="eastAsia" w:ascii="宋体" w:hAnsi="宋体" w:eastAsia="宋体" w:cs="宋体"/>
                <w:color w:val="auto"/>
                <w:sz w:val="24"/>
                <w:szCs w:val="24"/>
                <w:highlight w:val="none"/>
              </w:rPr>
              <w:t>为准。</w:t>
            </w:r>
          </w:p>
        </w:tc>
      </w:tr>
      <w:tr w14:paraId="3C41FE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006" w:type="dxa"/>
            <w:vAlign w:val="center"/>
          </w:tcPr>
          <w:p w14:paraId="2C30B798">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8</w:t>
            </w:r>
          </w:p>
        </w:tc>
        <w:tc>
          <w:tcPr>
            <w:tcW w:w="1496" w:type="dxa"/>
            <w:vAlign w:val="center"/>
          </w:tcPr>
          <w:p w14:paraId="5867BF4E">
            <w:pPr>
              <w:pStyle w:val="45"/>
              <w:adjustRightInd w:val="0"/>
              <w:snapToGrid w:val="0"/>
              <w:spacing w:before="156" w:beforeLines="50" w:after="200" w:line="440" w:lineRule="exact"/>
              <w:ind w:firstLine="241" w:firstLineChars="1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w:t>
            </w:r>
            <w:r>
              <w:rPr>
                <w:rFonts w:hint="eastAsia" w:ascii="宋体" w:hAnsi="宋体" w:cs="宋体"/>
                <w:b/>
                <w:bCs/>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疑</w:t>
            </w:r>
          </w:p>
        </w:tc>
        <w:tc>
          <w:tcPr>
            <w:tcW w:w="7281" w:type="dxa"/>
            <w:vAlign w:val="center"/>
          </w:tcPr>
          <w:p w14:paraId="1DB34D52">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递交方式：（1）对采购文件提出质疑的，应当在获取采购文件或者采购文件公告期限届满之日起7个工作日内提出，供应商应在法定质疑期内一次性提出所有质疑事项。（2）质疑函应以书面形式（按照财政部94号令要求）通知采购代理机构。采购代理机构将在收到质疑函后7个工作日内作出答复，并以书面形式通知质疑供应商。（注：供应商在法定质疑期内必须一次性提出针对同一采购程序环节的质疑）</w:t>
            </w:r>
          </w:p>
          <w:p w14:paraId="6A3A180C">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2.接收部门：新疆昌盛方略项目管理有限公司。</w:t>
            </w:r>
          </w:p>
          <w:p w14:paraId="1DAA0552">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3.联系电话：0994-8165002、13779267588</w:t>
            </w:r>
          </w:p>
          <w:p w14:paraId="76ABE578">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4.通讯地址：新疆昌吉回族自治州昌吉市南公园西路融投小镇1号楼A座14层（昌吉州国投大厦1幢14楼1419）</w:t>
            </w:r>
          </w:p>
          <w:p w14:paraId="65D70814">
            <w:pPr>
              <w:pStyle w:val="45"/>
              <w:wordWrap w:val="0"/>
              <w:spacing w:after="200" w:line="440" w:lineRule="exact"/>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u w:val="none"/>
                <w:lang w:val="en-US" w:eastAsia="zh-CN"/>
              </w:rPr>
              <w:t>5.邮箱：</w:t>
            </w:r>
            <w:r>
              <w:rPr>
                <w:rFonts w:hint="eastAsia" w:ascii="宋体" w:hAnsi="宋体" w:cs="宋体"/>
                <w:color w:val="auto"/>
                <w:sz w:val="24"/>
                <w:szCs w:val="24"/>
                <w:u w:val="none"/>
                <w:lang w:val="en-US" w:eastAsia="zh-CN"/>
              </w:rPr>
              <w:t>313984146@qq.com</w:t>
            </w:r>
          </w:p>
        </w:tc>
      </w:tr>
      <w:tr w14:paraId="6A8CF1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006" w:type="dxa"/>
            <w:vAlign w:val="center"/>
          </w:tcPr>
          <w:p w14:paraId="0FFEC6D6">
            <w:pPr>
              <w:pStyle w:val="45"/>
              <w:adjustRightInd w:val="0"/>
              <w:snapToGrid w:val="0"/>
              <w:spacing w:before="156" w:beforeLines="50" w:after="20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w:t>
            </w:r>
          </w:p>
        </w:tc>
        <w:tc>
          <w:tcPr>
            <w:tcW w:w="1496" w:type="dxa"/>
            <w:vAlign w:val="center"/>
          </w:tcPr>
          <w:p w14:paraId="227C1682">
            <w:pPr>
              <w:pStyle w:val="58"/>
              <w:adjustRightInd w:val="0"/>
              <w:snapToGrid w:val="0"/>
              <w:spacing w:before="156" w:beforeLines="50" w:after="200"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地点</w:t>
            </w:r>
          </w:p>
        </w:tc>
        <w:tc>
          <w:tcPr>
            <w:tcW w:w="7281" w:type="dxa"/>
            <w:vAlign w:val="center"/>
          </w:tcPr>
          <w:p w14:paraId="7D2F5F14">
            <w:pPr>
              <w:pStyle w:val="58"/>
              <w:wordWrap w:val="0"/>
              <w:spacing w:before="120" w:after="200" w:line="44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新疆准东经济技术开发区。</w:t>
            </w:r>
          </w:p>
        </w:tc>
      </w:tr>
      <w:tr w14:paraId="5AB686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006" w:type="dxa"/>
            <w:vAlign w:val="center"/>
          </w:tcPr>
          <w:p w14:paraId="4A6882E4">
            <w:pPr>
              <w:pStyle w:val="45"/>
              <w:adjustRightInd w:val="0"/>
              <w:snapToGrid w:val="0"/>
              <w:spacing w:before="156" w:beforeLines="50" w:after="200" w:line="44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29</w:t>
            </w:r>
          </w:p>
        </w:tc>
        <w:tc>
          <w:tcPr>
            <w:tcW w:w="1496" w:type="dxa"/>
            <w:vAlign w:val="center"/>
          </w:tcPr>
          <w:p w14:paraId="1439C2A8">
            <w:pPr>
              <w:pStyle w:val="58"/>
              <w:adjustRightInd w:val="0"/>
              <w:snapToGrid w:val="0"/>
              <w:spacing w:before="156" w:beforeLines="50" w:after="200" w:line="44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c>
          <w:tcPr>
            <w:tcW w:w="7281" w:type="dxa"/>
            <w:vAlign w:val="center"/>
          </w:tcPr>
          <w:p w14:paraId="67356CED">
            <w:pPr>
              <w:pStyle w:val="58"/>
              <w:wordWrap w:val="0"/>
              <w:spacing w:before="120" w:after="200"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w:t>
            </w:r>
          </w:p>
          <w:p w14:paraId="477CAE5D">
            <w:pPr>
              <w:pStyle w:val="58"/>
              <w:wordWrap w:val="0"/>
              <w:spacing w:before="120" w:after="200"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本项目采购标的对应的中小企业划分标准所属行业为</w:t>
            </w:r>
            <w:r>
              <w:rPr>
                <w:rFonts w:hint="eastAsia" w:ascii="宋体" w:hAnsi="宋体" w:eastAsia="宋体" w:cs="宋体"/>
                <w:b/>
                <w:bCs/>
                <w:color w:val="auto"/>
                <w:kern w:val="2"/>
                <w:sz w:val="24"/>
                <w:szCs w:val="24"/>
                <w:lang w:val="en-US" w:eastAsia="zh-CN" w:bidi="ar-SA"/>
              </w:rPr>
              <w:t>其他未列明行业</w:t>
            </w:r>
            <w:r>
              <w:rPr>
                <w:rFonts w:hint="eastAsia" w:ascii="宋体" w:hAnsi="宋体" w:eastAsia="宋体" w:cs="宋体"/>
                <w:color w:val="auto"/>
                <w:kern w:val="2"/>
                <w:sz w:val="24"/>
                <w:szCs w:val="24"/>
                <w:lang w:val="en-US" w:eastAsia="zh-CN" w:bidi="ar-SA"/>
              </w:rPr>
              <w:t>。</w:t>
            </w:r>
          </w:p>
        </w:tc>
      </w:tr>
      <w:tr w14:paraId="559E0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783" w:type="dxa"/>
            <w:gridSpan w:val="3"/>
            <w:vAlign w:val="center"/>
          </w:tcPr>
          <w:p w14:paraId="513A45EE">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注意事项：</w:t>
            </w:r>
            <w:r>
              <w:rPr>
                <w:rFonts w:hint="eastAsia" w:ascii="宋体" w:hAnsi="宋体" w:eastAsia="宋体" w:cs="宋体"/>
                <w:color w:val="auto"/>
                <w:sz w:val="24"/>
                <w:szCs w:val="24"/>
              </w:rPr>
              <w:t>1、着重提醒各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注意，并认真查看招标文件中的每一个条款及要求，因误读招标文件而造成的后果，</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概不负责。</w:t>
            </w:r>
          </w:p>
          <w:p w14:paraId="01F692F9">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eastAsia="zh-CN" w:bidi="en-US"/>
              </w:rPr>
              <w:t>2.供应商</w:t>
            </w:r>
            <w:r>
              <w:rPr>
                <w:rFonts w:hint="eastAsia" w:ascii="宋体" w:hAnsi="宋体" w:eastAsia="宋体" w:cs="宋体"/>
                <w:color w:val="auto"/>
                <w:sz w:val="24"/>
                <w:szCs w:val="24"/>
                <w:lang w:bidi="en-US"/>
              </w:rPr>
              <w:t>使用相同IP地址的，一经发现，相关部门将进一步核实，查实后按串通投标处理。</w:t>
            </w:r>
          </w:p>
          <w:p w14:paraId="64C19F91">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为保证本项目质量，良好的售后服务，最低报价不作为中标的唯一依据。</w:t>
            </w:r>
          </w:p>
          <w:p w14:paraId="2AC7CC88">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7BF891F">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rPr>
              <w:t>：</w:t>
            </w:r>
          </w:p>
          <w:p w14:paraId="1762BDF6">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投标企业严格遵守国家的法律法规及招标纪律，无违法违纪及商业贿赂行为。</w:t>
            </w:r>
          </w:p>
          <w:p w14:paraId="48EB6FE0">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不管投标结果如何，供应商均应自行承担投标所需一切费用。</w:t>
            </w:r>
          </w:p>
          <w:p w14:paraId="56518C06">
            <w:pPr>
              <w:keepNext w:val="0"/>
              <w:keepLines w:val="0"/>
              <w:pageBreakBefore w:val="0"/>
              <w:kinsoku/>
              <w:overflowPunct/>
              <w:topLinePunct w:val="0"/>
              <w:bidi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供应商应以书面形式保证中标后由本公司组织实施，不得以任何理由将项目转包给其他机构。</w:t>
            </w:r>
          </w:p>
          <w:p w14:paraId="360795F0">
            <w:pPr>
              <w:spacing w:line="440" w:lineRule="exact"/>
              <w:rPr>
                <w:rFonts w:hint="eastAsia" w:ascii="宋体" w:hAnsi="宋体" w:eastAsia="宋体" w:cs="宋体"/>
                <w:b/>
                <w:bCs/>
                <w:color w:val="auto"/>
                <w:sz w:val="24"/>
                <w:szCs w:val="24"/>
                <w:highlight w:val="none"/>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招标文件中如出现前后不一致情况，均以前附表内容为准。</w:t>
            </w:r>
          </w:p>
        </w:tc>
      </w:tr>
    </w:tbl>
    <w:p w14:paraId="7489BF98">
      <w:pPr>
        <w:pStyle w:val="45"/>
        <w:spacing w:after="200" w:line="48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1、本表内容与招标文件</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内容不一致的，应当以本表内容为准。</w:t>
      </w:r>
    </w:p>
    <w:p w14:paraId="3BB74729">
      <w:pPr>
        <w:pStyle w:val="45"/>
        <w:spacing w:after="200"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表</w:t>
      </w:r>
      <w:r>
        <w:rPr>
          <w:rFonts w:hint="eastAsia" w:ascii="宋体" w:hAnsi="宋体" w:eastAsia="宋体" w:cs="宋体"/>
          <w:color w:val="auto"/>
          <w:kern w:val="0"/>
          <w:sz w:val="24"/>
          <w:szCs w:val="24"/>
          <w:highlight w:val="none"/>
        </w:rPr>
        <w:t>示选择使用该项。</w:t>
      </w:r>
      <w:bookmarkStart w:id="18" w:name="_Toc349637920"/>
      <w:bookmarkStart w:id="19" w:name="_Toc9434"/>
      <w:bookmarkStart w:id="20" w:name="_Toc349573121"/>
      <w:bookmarkStart w:id="21" w:name="_Toc298240405"/>
      <w:bookmarkStart w:id="22" w:name="_Toc267301282"/>
      <w:bookmarkStart w:id="23" w:name="_Toc15631"/>
      <w:bookmarkStart w:id="24" w:name="_Toc498351179"/>
      <w:bookmarkStart w:id="25" w:name="_Toc293736019"/>
      <w:bookmarkStart w:id="26" w:name="_Toc293736062"/>
      <w:bookmarkStart w:id="27" w:name="_Toc293739000"/>
      <w:bookmarkStart w:id="28" w:name="_Toc28752"/>
      <w:bookmarkStart w:id="29" w:name="_Toc532543565"/>
      <w:bookmarkStart w:id="30" w:name="_Toc446599321"/>
      <w:bookmarkStart w:id="31" w:name="_Toc186"/>
      <w:bookmarkStart w:id="32" w:name="_Toc531075009"/>
    </w:p>
    <w:p w14:paraId="6CCBA442">
      <w:pPr>
        <w:pStyle w:val="45"/>
        <w:spacing w:after="200" w:line="480" w:lineRule="exact"/>
        <w:rPr>
          <w:rFonts w:hint="eastAsia" w:ascii="宋体" w:hAnsi="宋体" w:eastAsia="宋体" w:cs="宋体"/>
          <w:color w:val="auto"/>
          <w:kern w:val="0"/>
          <w:sz w:val="24"/>
          <w:szCs w:val="24"/>
          <w:highlight w:val="none"/>
        </w:rPr>
      </w:pPr>
    </w:p>
    <w:p w14:paraId="7C8CD82E">
      <w:pPr>
        <w:pStyle w:val="45"/>
        <w:spacing w:after="200" w:line="480" w:lineRule="exact"/>
        <w:rPr>
          <w:rFonts w:hint="eastAsia" w:ascii="宋体" w:hAnsi="宋体" w:eastAsia="宋体" w:cs="宋体"/>
          <w:color w:val="auto"/>
          <w:kern w:val="0"/>
          <w:sz w:val="24"/>
          <w:szCs w:val="24"/>
          <w:highlight w:val="none"/>
        </w:rPr>
      </w:pPr>
    </w:p>
    <w:p w14:paraId="4AF5F276">
      <w:pPr>
        <w:pStyle w:val="45"/>
        <w:spacing w:after="200" w:line="480" w:lineRule="exact"/>
        <w:rPr>
          <w:rFonts w:hint="eastAsia" w:ascii="宋体" w:hAnsi="宋体" w:eastAsia="宋体" w:cs="宋体"/>
          <w:color w:val="auto"/>
          <w:kern w:val="0"/>
          <w:sz w:val="24"/>
          <w:szCs w:val="24"/>
          <w:highlight w:val="none"/>
        </w:rPr>
      </w:pPr>
    </w:p>
    <w:p w14:paraId="74959968">
      <w:pPr>
        <w:pStyle w:val="45"/>
        <w:spacing w:after="200" w:line="480" w:lineRule="exact"/>
        <w:rPr>
          <w:rFonts w:hint="eastAsia" w:ascii="宋体" w:hAnsi="宋体" w:eastAsia="宋体" w:cs="宋体"/>
          <w:color w:val="auto"/>
          <w:kern w:val="0"/>
          <w:sz w:val="24"/>
          <w:szCs w:val="24"/>
          <w:highlight w:val="none"/>
        </w:rPr>
      </w:pPr>
    </w:p>
    <w:p w14:paraId="10EF7FD6">
      <w:pPr>
        <w:pStyle w:val="45"/>
        <w:spacing w:after="200" w:line="480" w:lineRule="exact"/>
        <w:rPr>
          <w:rFonts w:hint="eastAsia" w:ascii="宋体" w:hAnsi="宋体" w:eastAsia="宋体" w:cs="宋体"/>
          <w:color w:val="auto"/>
          <w:kern w:val="0"/>
          <w:sz w:val="24"/>
          <w:szCs w:val="24"/>
          <w:highlight w:val="none"/>
        </w:rPr>
      </w:pPr>
    </w:p>
    <w:p w14:paraId="630E1C09">
      <w:pPr>
        <w:pStyle w:val="45"/>
        <w:spacing w:after="200" w:line="480" w:lineRule="exact"/>
        <w:rPr>
          <w:rFonts w:hint="eastAsia" w:ascii="宋体" w:hAnsi="宋体" w:eastAsia="宋体" w:cs="宋体"/>
          <w:color w:val="auto"/>
          <w:kern w:val="0"/>
          <w:sz w:val="24"/>
          <w:szCs w:val="24"/>
          <w:highlight w:val="none"/>
        </w:rPr>
      </w:pPr>
    </w:p>
    <w:p w14:paraId="7B8DF35D">
      <w:pPr>
        <w:pStyle w:val="3"/>
        <w:pageBreakBefore w:val="0"/>
        <w:wordWrap/>
        <w:topLinePunct w:val="0"/>
        <w:autoSpaceDE/>
        <w:autoSpaceDN/>
        <w:bidi w:val="0"/>
        <w:adjustRightInd/>
        <w:snapToGrid/>
        <w:spacing w:before="100" w:beforeAutospacing="1" w:after="100" w:afterAutospacing="1" w:line="440" w:lineRule="exact"/>
        <w:ind w:left="57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一、说　明</w:t>
      </w:r>
      <w:bookmarkEnd w:id="18"/>
      <w:bookmarkEnd w:id="19"/>
      <w:bookmarkEnd w:id="20"/>
      <w:bookmarkEnd w:id="21"/>
      <w:bookmarkEnd w:id="22"/>
      <w:bookmarkEnd w:id="23"/>
      <w:bookmarkEnd w:id="24"/>
    </w:p>
    <w:p w14:paraId="2968DE33">
      <w:pPr>
        <w:pageBreakBefore w:val="0"/>
        <w:wordWrap/>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适用范围</w:t>
      </w:r>
    </w:p>
    <w:p w14:paraId="3CF40FEF">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本磋商文件仅适用于本次磋商中所叙述项目的货物及服务采购。</w:t>
      </w:r>
    </w:p>
    <w:p w14:paraId="343A4B04">
      <w:pPr>
        <w:pageBreakBefore w:val="0"/>
        <w:wordWrap/>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1.2定义</w:t>
      </w:r>
    </w:p>
    <w:p w14:paraId="64AC0435">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“采购人”是指：详见供应商须知前附表。</w:t>
      </w:r>
    </w:p>
    <w:p w14:paraId="5C194AC7">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1.2.2“采购代理机构”是指：详见供应商须知前附表。 </w:t>
      </w:r>
    </w:p>
    <w:p w14:paraId="73B39E14">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1.2.3“监管部门”是指：详见供应商须知前附表。</w:t>
      </w:r>
    </w:p>
    <w:p w14:paraId="55F3D31D">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1.2.4“供应商”是指；响应磋商文件要求并且符合磋商文件规定资格条件和参加竞争性磋商的法人、其他组织或者自然人。</w:t>
      </w:r>
    </w:p>
    <w:p w14:paraId="5BB3BFEC">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1.2.5“成交供应商”是指；是指经磋商小组评审，授予合同的供应商。</w:t>
      </w:r>
    </w:p>
    <w:p w14:paraId="43628BBE">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1.2.6“电子响应文件”是指；利用新疆政府采购网政采云平台加密的响应文件。</w:t>
      </w:r>
    </w:p>
    <w:p w14:paraId="6E62D9DF">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1.2.7采购人和采购代理机构统称为招标采购单位。</w:t>
      </w:r>
    </w:p>
    <w:p w14:paraId="6480775D">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1.3货物、服务、工程</w:t>
      </w:r>
    </w:p>
    <w:p w14:paraId="04B2EC08">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1.3.1“货物”是指：供应商制造或组织符合磋商文件要求的货物，包括原材料、燃料、设备、产品等。磋商文件中没有提及磋商货物来源地的，根据《</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》的相关规定均应是本国货物，另有规定的除外。提供的货物必须是其合法生产的符合国家有关标准要求的货物，并能够按照合同规定的品牌、产地、质量、价格和有效期等履约。</w:t>
      </w:r>
    </w:p>
    <w:p w14:paraId="0B1C005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1.3.2“服务”是指：除货物和工程以外的其他政府采购对象。包括：政府自身需要的服务和政府向社会公众提供的公共服务。</w:t>
      </w:r>
    </w:p>
    <w:p w14:paraId="6C2960A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1.3.3“工程”是指建设工程，包括建筑物和构筑物的新建、改建、扩建、装修、拆除、修缮等。</w:t>
      </w:r>
    </w:p>
    <w:p w14:paraId="1869FD8F">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1.4磋商费用</w:t>
      </w:r>
    </w:p>
    <w:p w14:paraId="46AAE52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1.4.1供应商应承担所有与准备和参加竞争性磋商有关的费用。不论磋商的结果如何，采购单位均无义务和责任承担这些费用。</w:t>
      </w:r>
    </w:p>
    <w:p w14:paraId="1850BBAE">
      <w:pPr>
        <w:pageBreakBefore w:val="0"/>
        <w:wordWrap/>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1.5合格供应商的条件</w:t>
      </w:r>
    </w:p>
    <w:p w14:paraId="21796459">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1.5.1合格供应商应满足以下全部条件：</w:t>
      </w:r>
    </w:p>
    <w:p w14:paraId="65711335">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rPr>
      </w:pPr>
      <w:bookmarkStart w:id="33" w:name="_Toc267301283"/>
      <w:bookmarkStart w:id="34" w:name="_Toc349637921"/>
      <w:bookmarkStart w:id="35" w:name="_Toc5040"/>
      <w:bookmarkStart w:id="36" w:name="_Toc4581"/>
      <w:bookmarkStart w:id="37" w:name="_Toc298240406"/>
      <w:bookmarkStart w:id="38" w:name="_Toc349573122"/>
      <w:bookmarkStart w:id="39" w:name="_Toc498351180"/>
      <w:r>
        <w:rPr>
          <w:rStyle w:val="35"/>
          <w:rFonts w:hint="eastAsia" w:ascii="宋体" w:hAnsi="宋体" w:eastAsia="宋体" w:cs="宋体"/>
          <w:b w:val="0"/>
          <w:bCs w:val="0"/>
          <w:color w:val="auto"/>
          <w:szCs w:val="24"/>
          <w:highlight w:val="none"/>
          <w:shd w:val="clear" w:color="auto" w:fill="FFFFFF"/>
        </w:rPr>
        <w:t>1.满足《中华人民共和国政府采购法》第二十二条规定；</w:t>
      </w:r>
    </w:p>
    <w:p w14:paraId="587604ED">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2</w:t>
      </w:r>
      <w:r>
        <w:rPr>
          <w:rStyle w:val="35"/>
          <w:rFonts w:hint="eastAsia" w:ascii="宋体" w:hAnsi="宋体" w:eastAsia="宋体"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rPr>
        <w:t>落实政府采购政策需满足的资格要求：</w:t>
      </w:r>
      <w:r>
        <w:rPr>
          <w:rStyle w:val="35"/>
          <w:rFonts w:hint="eastAsia" w:cs="宋体"/>
          <w:b w:val="0"/>
          <w:bCs w:val="0"/>
          <w:color w:val="auto"/>
          <w:szCs w:val="24"/>
          <w:highlight w:val="none"/>
          <w:shd w:val="clear" w:color="auto" w:fill="FFFFFF"/>
          <w:lang w:eastAsia="zh-CN"/>
        </w:rPr>
        <w:t>本项目专门面向小微企业采购</w:t>
      </w:r>
      <w:r>
        <w:rPr>
          <w:rStyle w:val="35"/>
          <w:rFonts w:hint="eastAsia" w:ascii="宋体" w:hAnsi="宋体" w:eastAsia="宋体" w:cs="宋体"/>
          <w:b w:val="0"/>
          <w:bCs w:val="0"/>
          <w:color w:val="auto"/>
          <w:szCs w:val="24"/>
          <w:highlight w:val="none"/>
          <w:shd w:val="clear" w:color="auto" w:fill="FFFFFF"/>
        </w:rPr>
        <w:t>。</w:t>
      </w:r>
    </w:p>
    <w:p w14:paraId="77268ADA">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rPr>
      </w:pPr>
      <w:r>
        <w:rPr>
          <w:rStyle w:val="35"/>
          <w:rFonts w:hint="eastAsia" w:ascii="宋体" w:hAnsi="宋体" w:eastAsia="宋体" w:cs="宋体"/>
          <w:b w:val="0"/>
          <w:bCs w:val="0"/>
          <w:color w:val="auto"/>
          <w:szCs w:val="24"/>
          <w:highlight w:val="none"/>
          <w:shd w:val="clear" w:color="auto" w:fill="FFFFFF"/>
        </w:rPr>
        <w:t>3.本项目的特定资格要求：</w:t>
      </w:r>
    </w:p>
    <w:p w14:paraId="120FBAA9">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rPr>
      </w:pPr>
      <w:r>
        <w:rPr>
          <w:rStyle w:val="35"/>
          <w:rFonts w:hint="eastAsia" w:cs="宋体"/>
          <w:b w:val="0"/>
          <w:bCs w:val="0"/>
          <w:color w:val="auto"/>
          <w:szCs w:val="24"/>
          <w:highlight w:val="none"/>
          <w:shd w:val="clear" w:color="auto" w:fill="FFFFFF"/>
          <w:lang w:eastAsia="zh-CN"/>
        </w:rPr>
        <w:t>（1）</w:t>
      </w:r>
      <w:r>
        <w:rPr>
          <w:rStyle w:val="35"/>
          <w:rFonts w:hint="eastAsia" w:ascii="宋体" w:hAnsi="宋体" w:eastAsia="宋体" w:cs="宋体"/>
          <w:b w:val="0"/>
          <w:bCs w:val="0"/>
          <w:color w:val="auto"/>
          <w:szCs w:val="24"/>
          <w:highlight w:val="none"/>
          <w:shd w:val="clear" w:color="auto" w:fill="FFFFFF"/>
        </w:rPr>
        <w:t>供应商</w:t>
      </w:r>
      <w:r>
        <w:rPr>
          <w:rFonts w:hint="default"/>
          <w:color w:val="auto"/>
          <w:highlight w:val="none"/>
          <w:lang w:val="en-US" w:eastAsia="zh-CN"/>
        </w:rPr>
        <w:t>必须是中华人民共和国境内注册的，具有独立法人资格的企业</w:t>
      </w:r>
      <w:r>
        <w:rPr>
          <w:rStyle w:val="35"/>
          <w:rFonts w:hint="eastAsia" w:ascii="宋体" w:hAnsi="宋体" w:eastAsia="宋体" w:cs="宋体"/>
          <w:b w:val="0"/>
          <w:bCs w:val="0"/>
          <w:color w:val="auto"/>
          <w:szCs w:val="24"/>
          <w:highlight w:val="none"/>
          <w:shd w:val="clear" w:color="auto" w:fill="FFFFFF"/>
        </w:rPr>
        <w:t>；</w:t>
      </w:r>
    </w:p>
    <w:p w14:paraId="355FF54E">
      <w:pPr>
        <w:pStyle w:val="29"/>
        <w:spacing w:before="0" w:beforeAutospacing="0" w:after="0" w:afterAutospacing="0" w:line="440" w:lineRule="exact"/>
        <w:ind w:firstLine="720"/>
        <w:rPr>
          <w:rStyle w:val="35"/>
          <w:rFonts w:hint="eastAsia" w:ascii="宋体" w:hAnsi="宋体" w:eastAsia="宋体" w:cs="宋体"/>
          <w:b w:val="0"/>
          <w:bCs w:val="0"/>
          <w:color w:val="auto"/>
          <w:szCs w:val="24"/>
          <w:highlight w:val="none"/>
          <w:shd w:val="clear" w:color="auto" w:fill="FFFFFF"/>
          <w:lang w:eastAsia="zh-CN"/>
        </w:rPr>
      </w:pPr>
      <w:r>
        <w:rPr>
          <w:rStyle w:val="35"/>
          <w:rFonts w:hint="eastAsia" w:cs="宋体"/>
          <w:b w:val="0"/>
          <w:bCs w:val="0"/>
          <w:color w:val="auto"/>
          <w:szCs w:val="24"/>
          <w:highlight w:val="none"/>
          <w:shd w:val="clear" w:color="auto" w:fill="FFFFFF"/>
          <w:lang w:eastAsia="zh-CN"/>
        </w:rPr>
        <w:t>（2）</w:t>
      </w:r>
      <w:r>
        <w:rPr>
          <w:rFonts w:hint="eastAsia"/>
          <w:color w:val="auto"/>
          <w:highlight w:val="none"/>
          <w:lang w:val="en-US" w:eastAsia="zh-CN"/>
        </w:rPr>
        <w:t>拟派项目负责人须具有环境相关专业中级（含）以上职称</w:t>
      </w:r>
      <w:r>
        <w:rPr>
          <w:rStyle w:val="35"/>
          <w:rFonts w:hint="eastAsia" w:cs="宋体"/>
          <w:b w:val="0"/>
          <w:bCs w:val="0"/>
          <w:color w:val="auto"/>
          <w:szCs w:val="24"/>
          <w:highlight w:val="none"/>
          <w:shd w:val="clear" w:color="auto" w:fill="FFFFFF"/>
          <w:lang w:eastAsia="zh-CN"/>
        </w:rPr>
        <w:t>；</w:t>
      </w:r>
    </w:p>
    <w:p w14:paraId="7E5FE55E">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eastAsia="zh-CN"/>
        </w:rPr>
        <w:t>（3）</w:t>
      </w:r>
      <w:r>
        <w:rPr>
          <w:rStyle w:val="35"/>
          <w:rFonts w:hint="eastAsia" w:ascii="宋体" w:hAnsi="宋体" w:eastAsia="宋体" w:cs="宋体"/>
          <w:b w:val="0"/>
          <w:bCs w:val="0"/>
          <w:color w:val="auto"/>
          <w:szCs w:val="24"/>
          <w:highlight w:val="none"/>
          <w:shd w:val="clear" w:color="auto" w:fill="FFFFFF"/>
          <w:lang w:val="en-US" w:eastAsia="zh-CN"/>
        </w:rPr>
        <w:t>具有履行合同所必需的设备和专业技术能力</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声明函格式自拟</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即具有</w:t>
      </w:r>
      <w:r>
        <w:rPr>
          <w:rStyle w:val="35"/>
          <w:rFonts w:hint="eastAsia" w:cs="宋体"/>
          <w:b w:val="0"/>
          <w:bCs w:val="0"/>
          <w:color w:val="auto"/>
          <w:szCs w:val="24"/>
          <w:highlight w:val="none"/>
          <w:shd w:val="clear" w:color="auto" w:fill="FFFFFF"/>
          <w:lang w:val="en-US" w:eastAsia="zh-CN"/>
        </w:rPr>
        <w:t>承担</w:t>
      </w:r>
      <w:r>
        <w:rPr>
          <w:rStyle w:val="35"/>
          <w:rFonts w:hint="eastAsia" w:ascii="宋体" w:hAnsi="宋体" w:eastAsia="宋体" w:cs="宋体"/>
          <w:b w:val="0"/>
          <w:bCs w:val="0"/>
          <w:color w:val="auto"/>
          <w:szCs w:val="24"/>
          <w:highlight w:val="none"/>
          <w:shd w:val="clear" w:color="auto" w:fill="FFFFFF"/>
          <w:lang w:val="en-US" w:eastAsia="zh-CN"/>
        </w:rPr>
        <w:t>本项目能力；</w:t>
      </w:r>
    </w:p>
    <w:p w14:paraId="73A76B08">
      <w:pPr>
        <w:pStyle w:val="29"/>
        <w:spacing w:before="0" w:beforeAutospacing="0" w:after="0" w:afterAutospacing="0" w:line="440" w:lineRule="exact"/>
        <w:ind w:firstLine="720" w:firstLineChars="300"/>
        <w:rPr>
          <w:rFonts w:hint="eastAsia" w:ascii="宋体" w:hAnsi="宋体" w:eastAsia="宋体" w:cs="宋体"/>
          <w:b w:val="0"/>
          <w:bCs w:val="0"/>
          <w:color w:val="auto"/>
          <w:kern w:val="2"/>
          <w:sz w:val="24"/>
          <w:szCs w:val="24"/>
          <w:highlight w:val="none"/>
          <w:lang w:val="en-US" w:eastAsia="zh-CN" w:bidi="ar-SA"/>
        </w:rPr>
      </w:pPr>
      <w:r>
        <w:rPr>
          <w:rStyle w:val="35"/>
          <w:rFonts w:hint="eastAsia" w:cs="宋体"/>
          <w:b w:val="0"/>
          <w:bCs w:val="0"/>
          <w:color w:val="auto"/>
          <w:szCs w:val="24"/>
          <w:highlight w:val="none"/>
          <w:shd w:val="clear" w:color="auto" w:fill="FFFFFF"/>
          <w:lang w:val="en-US" w:eastAsia="zh-CN"/>
        </w:rPr>
        <w:t>（4）</w:t>
      </w:r>
      <w:r>
        <w:rPr>
          <w:rStyle w:val="35"/>
          <w:rFonts w:hint="eastAsia" w:ascii="宋体" w:hAnsi="宋体" w:eastAsia="宋体" w:cs="宋体"/>
          <w:b w:val="0"/>
          <w:bCs w:val="0"/>
          <w:color w:val="auto"/>
          <w:szCs w:val="24"/>
          <w:highlight w:val="none"/>
          <w:shd w:val="clear" w:color="auto" w:fill="FFFFFF"/>
          <w:lang w:val="en-US" w:eastAsia="zh-CN"/>
        </w:rPr>
        <w:t>具有依</w:t>
      </w:r>
      <w:r>
        <w:rPr>
          <w:rFonts w:hint="eastAsia" w:ascii="宋体" w:hAnsi="宋体" w:eastAsia="宋体" w:cs="宋体"/>
          <w:color w:val="auto"/>
          <w:kern w:val="2"/>
          <w:sz w:val="24"/>
          <w:szCs w:val="24"/>
          <w:highlight w:val="none"/>
          <w:lang w:val="en-US" w:eastAsia="zh-CN" w:bidi="ar-SA"/>
        </w:rPr>
        <w:t>法缴纳税收和社会</w:t>
      </w:r>
      <w:r>
        <w:rPr>
          <w:rFonts w:hint="eastAsia" w:ascii="宋体" w:hAnsi="宋体" w:eastAsia="宋体" w:cs="宋体"/>
          <w:b w:val="0"/>
          <w:bCs w:val="0"/>
          <w:color w:val="auto"/>
          <w:kern w:val="2"/>
          <w:sz w:val="24"/>
          <w:szCs w:val="24"/>
          <w:highlight w:val="none"/>
          <w:lang w:val="en-US" w:eastAsia="zh-CN" w:bidi="ar-SA"/>
        </w:rPr>
        <w:t>保障资金的良好记录（提供本单位近三个月内任意一个月的依法缴纳税收和社会保障资金的相关材料）；</w:t>
      </w:r>
    </w:p>
    <w:p w14:paraId="71BBB0D1">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val="en-US" w:eastAsia="zh-CN"/>
        </w:rPr>
        <w:t>（5）</w:t>
      </w:r>
      <w:r>
        <w:rPr>
          <w:rStyle w:val="35"/>
          <w:rFonts w:hint="eastAsia" w:ascii="宋体" w:hAnsi="宋体" w:eastAsia="宋体" w:cs="宋体"/>
          <w:b w:val="0"/>
          <w:bCs w:val="0"/>
          <w:color w:val="auto"/>
          <w:szCs w:val="24"/>
          <w:highlight w:val="none"/>
          <w:shd w:val="clear" w:color="auto" w:fill="FFFFFF"/>
          <w:lang w:val="en-US" w:eastAsia="zh-CN"/>
        </w:rPr>
        <w:t>单位负责人为同一人或者存在直接控股、管理关系的不同供应商，不得参加同一合同项下的政府采购活动</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提供声明函格式自拟</w:t>
      </w:r>
      <w:r>
        <w:rPr>
          <w:rStyle w:val="35"/>
          <w:rFonts w:hint="eastAsia" w:cs="宋体"/>
          <w:b w:val="0"/>
          <w:bCs w:val="0"/>
          <w:color w:val="auto"/>
          <w:szCs w:val="24"/>
          <w:highlight w:val="none"/>
          <w:shd w:val="clear" w:color="auto" w:fill="FFFFFF"/>
          <w:lang w:val="en-US" w:eastAsia="zh-CN"/>
        </w:rPr>
        <w:t>）</w:t>
      </w:r>
      <w:r>
        <w:rPr>
          <w:rStyle w:val="35"/>
          <w:rFonts w:hint="eastAsia" w:ascii="宋体" w:hAnsi="宋体" w:eastAsia="宋体" w:cs="宋体"/>
          <w:b w:val="0"/>
          <w:bCs w:val="0"/>
          <w:color w:val="auto"/>
          <w:szCs w:val="24"/>
          <w:highlight w:val="none"/>
          <w:shd w:val="clear" w:color="auto" w:fill="FFFFFF"/>
          <w:lang w:val="en-US" w:eastAsia="zh-CN"/>
        </w:rPr>
        <w:t>；</w:t>
      </w:r>
    </w:p>
    <w:p w14:paraId="2296951E">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cs="宋体"/>
          <w:b w:val="0"/>
          <w:bCs w:val="0"/>
          <w:color w:val="auto"/>
          <w:szCs w:val="24"/>
          <w:highlight w:val="none"/>
          <w:shd w:val="clear" w:color="auto" w:fill="FFFFFF"/>
          <w:lang w:val="en-US" w:eastAsia="zh-CN"/>
        </w:rPr>
        <w:t>（6）</w:t>
      </w:r>
      <w:r>
        <w:rPr>
          <w:rStyle w:val="35"/>
          <w:rFonts w:hint="eastAsia" w:ascii="宋体" w:hAnsi="宋体" w:eastAsia="宋体" w:cs="宋体"/>
          <w:b w:val="0"/>
          <w:bCs w:val="0"/>
          <w:color w:val="auto"/>
          <w:szCs w:val="24"/>
          <w:highlight w:val="none"/>
          <w:shd w:val="clear" w:color="auto" w:fill="FFFFFF"/>
          <w:lang w:val="en-US" w:eastAsia="zh-CN"/>
        </w:rPr>
        <w:t>供应商</w:t>
      </w:r>
      <w:r>
        <w:rPr>
          <w:rFonts w:hint="eastAsia" w:ascii="宋体" w:hAnsi="宋体" w:eastAsia="宋体" w:cs="宋体"/>
          <w:b w:val="0"/>
          <w:bCs w:val="0"/>
          <w:color w:val="auto"/>
          <w:kern w:val="2"/>
          <w:sz w:val="24"/>
          <w:szCs w:val="24"/>
          <w:highlight w:val="none"/>
          <w:lang w:val="en-US" w:eastAsia="zh-CN" w:bidi="ar-SA"/>
        </w:rPr>
        <w:t>参加政府采购活动前三年内，在</w:t>
      </w:r>
      <w:r>
        <w:rPr>
          <w:rFonts w:hint="eastAsia" w:ascii="宋体" w:hAnsi="宋体" w:eastAsia="宋体" w:cs="宋体"/>
          <w:color w:val="auto"/>
          <w:kern w:val="2"/>
          <w:sz w:val="24"/>
          <w:szCs w:val="24"/>
          <w:highlight w:val="none"/>
          <w:lang w:val="en-US" w:eastAsia="zh-CN" w:bidi="ar-SA"/>
        </w:rPr>
        <w:t>经营活动中没有重大违法记录，在“信用中国”网站（www.creditchina.gov.cn）、中国政府采购网（www.ccgp.gov.cn）没有被列入失信被执行人、重大税收违法失信主体名单、政府采购严重违法失信行为记录名单及</w:t>
      </w:r>
      <w:r>
        <w:rPr>
          <w:rStyle w:val="35"/>
          <w:rFonts w:hint="eastAsia" w:ascii="宋体" w:hAnsi="宋体" w:eastAsia="宋体" w:cs="宋体"/>
          <w:b w:val="0"/>
          <w:bCs w:val="0"/>
          <w:color w:val="auto"/>
          <w:szCs w:val="24"/>
          <w:highlight w:val="none"/>
          <w:shd w:val="clear" w:color="auto" w:fill="FFFFFF"/>
          <w:lang w:val="en-US" w:eastAsia="zh-CN"/>
        </w:rPr>
        <w:t>其他不符合规定条件；</w:t>
      </w:r>
    </w:p>
    <w:p w14:paraId="245CB6A5">
      <w:pPr>
        <w:pStyle w:val="29"/>
        <w:spacing w:before="0" w:beforeAutospacing="0" w:after="0" w:afterAutospacing="0" w:line="440" w:lineRule="exact"/>
        <w:ind w:firstLine="720" w:firstLineChars="300"/>
        <w:rPr>
          <w:rStyle w:val="35"/>
          <w:rFonts w:hint="eastAsia" w:ascii="宋体" w:hAnsi="宋体" w:eastAsia="宋体" w:cs="宋体"/>
          <w:b w:val="0"/>
          <w:bCs w:val="0"/>
          <w:color w:val="auto"/>
          <w:szCs w:val="24"/>
          <w:highlight w:val="none"/>
          <w:shd w:val="clear" w:color="auto" w:fill="FFFFFF"/>
          <w:lang w:val="en-US" w:eastAsia="zh-CN"/>
        </w:rPr>
      </w:pPr>
      <w:r>
        <w:rPr>
          <w:rStyle w:val="35"/>
          <w:rFonts w:hint="eastAsia" w:ascii="宋体" w:hAnsi="宋体" w:eastAsia="宋体" w:cs="宋体"/>
          <w:b w:val="0"/>
          <w:bCs w:val="0"/>
          <w:color w:val="auto"/>
          <w:szCs w:val="24"/>
          <w:highlight w:val="none"/>
          <w:shd w:val="clear" w:color="auto" w:fill="FFFFFF"/>
          <w:lang w:val="en-US" w:eastAsia="zh-CN"/>
        </w:rPr>
        <w:t>（7）本项目不接受联合体投标。</w:t>
      </w:r>
    </w:p>
    <w:p w14:paraId="1FB4DAEB">
      <w:pPr>
        <w:pStyle w:val="3"/>
        <w:pageBreakBefore w:val="0"/>
        <w:wordWrap/>
        <w:topLinePunct w:val="0"/>
        <w:autoSpaceDE/>
        <w:autoSpaceDN/>
        <w:bidi w:val="0"/>
        <w:adjustRightInd/>
        <w:snapToGrid/>
        <w:spacing w:before="100" w:beforeAutospacing="1" w:after="100" w:afterAutospacing="1" w:line="440" w:lineRule="exact"/>
        <w:ind w:left="57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二、磋商文件</w:t>
      </w:r>
      <w:bookmarkEnd w:id="33"/>
      <w:bookmarkEnd w:id="34"/>
      <w:bookmarkEnd w:id="35"/>
      <w:bookmarkEnd w:id="36"/>
      <w:bookmarkEnd w:id="37"/>
      <w:bookmarkEnd w:id="38"/>
      <w:bookmarkEnd w:id="39"/>
    </w:p>
    <w:p w14:paraId="7338C8E3">
      <w:pPr>
        <w:pageBreakBefore w:val="0"/>
        <w:wordWrap/>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2.1磋商文件的构成</w:t>
      </w:r>
    </w:p>
    <w:p w14:paraId="2E64C0E8">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2.1.1磋商文件由下列文件以及在采购过程中发出的修正和补充文件组成：</w:t>
      </w:r>
    </w:p>
    <w:p w14:paraId="7DFF0222">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磋商公告；</w:t>
      </w:r>
    </w:p>
    <w:p w14:paraId="0DA97E0B">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供应商须知；</w:t>
      </w:r>
    </w:p>
    <w:p w14:paraId="24BABB48">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w:t>
      </w:r>
    </w:p>
    <w:p w14:paraId="13F70567">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评审方法；</w:t>
      </w:r>
    </w:p>
    <w:p w14:paraId="48EB251A">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合同条款；</w:t>
      </w:r>
    </w:p>
    <w:p w14:paraId="00C20535">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竞争性磋商响应文件格式；</w:t>
      </w:r>
    </w:p>
    <w:p w14:paraId="3203B7DA">
      <w:pPr>
        <w:pageBreakBefore w:val="0"/>
        <w:wordWrap/>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14:paraId="2B4432D8">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72A894D">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2.2.磋商文件的澄清</w:t>
      </w:r>
    </w:p>
    <w:p w14:paraId="11CB2C8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在收到磋商文件后，若有疑问需要澄清，应于收到磋商文件后二日内以书面形式（包括书面文字、传真、电子邮件等）向采购人或采购代理机构（以下统称采购机构）提出，采购机构将以书面形式予以解答，解答内容将送达所有参与磋商采购活动的供应商。</w:t>
      </w:r>
    </w:p>
    <w:p w14:paraId="14EF77D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2.2.2提交首次响应文件</w:t>
      </w:r>
      <w:r>
        <w:rPr>
          <w:rFonts w:hint="eastAsia" w:ascii="宋体" w:hAnsi="宋体" w:cs="宋体"/>
          <w:color w:val="auto"/>
          <w:sz w:val="24"/>
          <w:szCs w:val="24"/>
          <w:highlight w:val="none"/>
          <w:lang w:eastAsia="zh-CN"/>
        </w:rPr>
        <w:t>截止</w:t>
      </w:r>
      <w:r>
        <w:rPr>
          <w:rFonts w:hint="eastAsia" w:ascii="宋体" w:hAnsi="宋体" w:eastAsia="宋体" w:cs="宋体"/>
          <w:color w:val="auto"/>
          <w:sz w:val="24"/>
          <w:szCs w:val="24"/>
          <w:highlight w:val="none"/>
        </w:rPr>
        <w:t>时间前，采购人、采购代理机构或者磋商小组可以对已发出的磋商文件进行必要的澄清或者修改，澄清或者修改的内容作为磋商文件的组成部分。澄清或者修改的内容可能影响响应文件编制的，采购人或采购代理机构应当在提交首次响应文件截止时间至少5日前，以书面形式通知所有获取磋商文件的供应商，不足5日的，采购人、采购代理机构应当顺延提交首次响应文件的截止时间。</w:t>
      </w:r>
    </w:p>
    <w:p w14:paraId="7972760B">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2.3.磋商文件的修改</w:t>
      </w:r>
    </w:p>
    <w:p w14:paraId="259ED04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采购单位可以对已发出的磋商文件进行必要的澄清或者修改。澄清或者修改的内容可能影响响应文件编制的，采购人或采购代理机构应当在提交首次响应文件截止时间至少5日前，在新疆政府采购网政采云平台发布更正公告，不足5日的，采购人、采购代理机构应当顺延提交首次响应文件的截止时间。</w:t>
      </w:r>
    </w:p>
    <w:p w14:paraId="33AEE32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2.3.2澄清或者修改的内容是磋商文件的组成部分，将在新疆政府采购网政采云平台向所有供应商公布，对供应商具有约束力。</w:t>
      </w:r>
    </w:p>
    <w:p w14:paraId="33397CA2">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2.3.3为使供应商有充足的时间对磋商文件的修改部分进行研究，采购单位可适当推迟响应文件截止期，并通过在新疆政府采购网政采云平台上发布公告方式通知所有下载磋商文件的供应商。</w:t>
      </w:r>
    </w:p>
    <w:p w14:paraId="6233443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2.3.4供应商应注意及时浏览网上发布的澄清或修改通知并下载，因供应商原因未及时获知澄清、修改或补充内容而导致的任何后果将由供应商自行承担。</w:t>
      </w:r>
    </w:p>
    <w:p w14:paraId="0BD60419">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40" w:name="_Toc20396"/>
      <w:bookmarkStart w:id="41" w:name="_Toc21257"/>
      <w:r>
        <w:rPr>
          <w:rFonts w:hint="eastAsia" w:ascii="宋体" w:hAnsi="宋体" w:eastAsia="宋体" w:cs="宋体"/>
          <w:b/>
          <w:bCs/>
          <w:color w:val="auto"/>
          <w:sz w:val="24"/>
          <w:szCs w:val="24"/>
          <w:highlight w:val="none"/>
        </w:rPr>
        <w:t>三、响应文件的编制和数量</w:t>
      </w:r>
      <w:bookmarkEnd w:id="40"/>
      <w:bookmarkEnd w:id="41"/>
    </w:p>
    <w:p w14:paraId="19B91E27">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3.1.响应文件的语言</w:t>
      </w:r>
    </w:p>
    <w:p w14:paraId="66D3CED2">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89A8EEC">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3.2响应文件的构成</w:t>
      </w:r>
    </w:p>
    <w:p w14:paraId="40B8D5BD">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3.2.1供应商编制的响应文件应包括但不少于下列内容</w:t>
      </w:r>
      <w:r>
        <w:rPr>
          <w:rFonts w:hint="eastAsia" w:ascii="宋体" w:hAnsi="宋体" w:cs="宋体"/>
          <w:color w:val="auto"/>
          <w:sz w:val="24"/>
          <w:szCs w:val="24"/>
          <w:highlight w:val="none"/>
          <w:lang w:eastAsia="zh-CN"/>
        </w:rPr>
        <w:t>：</w:t>
      </w:r>
    </w:p>
    <w:p w14:paraId="1F28625F">
      <w:pPr>
        <w:pStyle w:val="5"/>
        <w:pageBreakBefore w:val="0"/>
        <w:numPr>
          <w:ilvl w:val="0"/>
          <w:numId w:val="6"/>
        </w:numPr>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商务文件内容</w:t>
      </w:r>
    </w:p>
    <w:p w14:paraId="0B3710E0">
      <w:pPr>
        <w:pStyle w:val="5"/>
        <w:pageBreakBefore w:val="0"/>
        <w:numPr>
          <w:ilvl w:val="0"/>
          <w:numId w:val="6"/>
        </w:numPr>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技术文件内容</w:t>
      </w:r>
    </w:p>
    <w:p w14:paraId="3C80CB42">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3.3响应文件编制</w:t>
      </w:r>
    </w:p>
    <w:p w14:paraId="0B5BD3F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3.3.1响应文件编制时，应按照磋商文件“第六章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响应文件格式”中的目录和磋商技术规格、参数及相关要求格式进行编制，保证目录清晰、内容完整。</w:t>
      </w:r>
    </w:p>
    <w:p w14:paraId="3C03C79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3.3.2供应商应按照供应商须知前附表</w:t>
      </w:r>
      <w:r>
        <w:rPr>
          <w:rFonts w:hint="eastAsia" w:ascii="宋体" w:hAnsi="宋体" w:cs="宋体"/>
          <w:color w:val="auto"/>
          <w:sz w:val="24"/>
          <w:szCs w:val="24"/>
          <w:highlight w:val="none"/>
          <w:lang w:eastAsia="zh-CN"/>
        </w:rPr>
        <w:t>要求</w:t>
      </w:r>
      <w:r>
        <w:rPr>
          <w:rFonts w:hint="eastAsia" w:ascii="宋体" w:hAnsi="宋体" w:eastAsia="宋体" w:cs="宋体"/>
          <w:color w:val="auto"/>
          <w:sz w:val="24"/>
          <w:szCs w:val="24"/>
          <w:highlight w:val="none"/>
        </w:rPr>
        <w:t>编制响应文件。</w:t>
      </w:r>
    </w:p>
    <w:p w14:paraId="335548C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3.3.3网上提交的电子响应文件为正本。</w:t>
      </w:r>
    </w:p>
    <w:p w14:paraId="27C02E1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3.3.4供应商因自身原因导致电子响应文件无法导入电子评标系统的，该响应文件视为无效文件。</w:t>
      </w:r>
    </w:p>
    <w:p w14:paraId="5339138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3.3.5电子响应文件具有法律效力，与其他形式的响应文件在内容和格式上等同，若响应文件与磋商文件要求不一致，其内容影响成交结果时，责任由供应商自行承担。</w:t>
      </w:r>
    </w:p>
    <w:p w14:paraId="54A6A4D2">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3.3.6为了保证电子标书的合法性、安全性和完整性，电子响应文件转换完成后，应在规定区域加盖单位和法定代表人CA印章。电子响应文件若无CA电子签章，则视为无效文件。</w:t>
      </w:r>
    </w:p>
    <w:p w14:paraId="611138D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3.3.5供应商应完整地填写磋商文件中提供的《竞争性磋商函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竞争性磋商报价一览表》等磋商文件中规定的所有内容。</w:t>
      </w:r>
    </w:p>
    <w:p w14:paraId="23AB22C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3.3.6供应商必须保证响应文件所提供的全部资料真实可靠，并接受采购单位对其中任何资料进一步核实的要求。</w:t>
      </w:r>
    </w:p>
    <w:p w14:paraId="751E0D24">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3.4.磋商报价要求</w:t>
      </w:r>
    </w:p>
    <w:p w14:paraId="43E3BEE8">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3.4.1供应商所提供的货物或服务或工程均以人民币报价。</w:t>
      </w:r>
    </w:p>
    <w:p w14:paraId="47B8B408">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rPr>
        <w:t>商应按照“第三章 采购需求”规定的服务内容责任范围以及合同条款进行报价。并按《竞争性磋商报价一览表》确定的格式报出总价。磋商报价中不得包含磋商文件要求以外的内容，否则，在评审时不予核减。磋商报价中也不得缺漏磋商文件所要求的内容，否则，在评审时将被视为已包含在磋商报价中。</w:t>
      </w:r>
    </w:p>
    <w:p w14:paraId="6B16E99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3.4.3每一种规格的服务只允许有一个报价，否则将被视为无效磋商。</w:t>
      </w:r>
    </w:p>
    <w:p w14:paraId="032B983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3.4.4供应商所报的总价在合同执行过程中是固定不变的，不得以任何理由予以变更。</w:t>
      </w:r>
    </w:p>
    <w:p w14:paraId="066058B2">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3.4.5供应商的最后磋商报价超过项目采购预算的为无效报价。</w:t>
      </w:r>
    </w:p>
    <w:p w14:paraId="7E2000A1">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3.5备选方案</w:t>
      </w:r>
    </w:p>
    <w:p w14:paraId="41371E3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3.5.1供应商应按照供应商须知前附表要求编制磋商备选方案，否则将被视为无效响应文件。</w:t>
      </w:r>
    </w:p>
    <w:p w14:paraId="3B336248">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3.6联合体磋商</w:t>
      </w:r>
    </w:p>
    <w:p w14:paraId="19CEA5B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3.6.1两个以上供应商可以组成一个联合体，以一个供应商的身份共同参与磋商。</w:t>
      </w:r>
    </w:p>
    <w:p w14:paraId="2CBE926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7A4779D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3.6.3联合体各方之间必须签订联合磋商协议，明确约定联合体主体及各方承担的工作和相应的责任，其响应文件中必须提供联合磋商协议。</w:t>
      </w:r>
    </w:p>
    <w:p w14:paraId="74E4205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以联合体形式参加政府采购活动的，联合体各方不得再单独参加或者与其他供应商另外组成联合体参加同一合同项下的政府采购活动。</w:t>
      </w:r>
    </w:p>
    <w:p w14:paraId="2346E483">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3.6.5采取联合体形式磋商的，其响应文件必须由联合体所有成员或其各自正式书面授权的代表签署（盖章），以便对所有成员作为整体及作为个体均具有法律约束力。</w:t>
      </w:r>
    </w:p>
    <w:p w14:paraId="1DF75729">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3.6.6联合体成交的，联合体各方应当共同与采购人签订采购合同。</w:t>
      </w:r>
    </w:p>
    <w:p w14:paraId="19F74A2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3.6.7联合体中有同类资质的供应商按照联合体分工承担相同工作的，应当按照资质等级较低的供应商确定资质等级。</w:t>
      </w:r>
    </w:p>
    <w:p w14:paraId="20B9B675">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3.7.磋商保证金</w:t>
      </w:r>
    </w:p>
    <w:p w14:paraId="149A519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3.7.1供应商应在响应文件截止时间之前，按照供应商须知前附表载明的账户，将规定数额的保证金以转账或电汇方式缴纳至该账号内（不接受现金缴纳）。保证金缴纳时间以到账时间为准。</w:t>
      </w:r>
    </w:p>
    <w:p w14:paraId="1D9320F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3.7.2对于未能按要求提交保证金的将视为未响应磋商文件的要求，其响应文件无效。</w:t>
      </w:r>
    </w:p>
    <w:p w14:paraId="766CF12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561BF323">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3.7.4成交供应商的磋商保证金，在供应商与采购人签订合同，并将合同原件报采购代理机构后5个工作日内，按照保证金的来款渠道原路退还至供应商缴纳保证金的企业银行账户内。</w:t>
      </w:r>
    </w:p>
    <w:p w14:paraId="43109AC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3.7.5有下列情形之一的，保证金将被不予退还</w:t>
      </w:r>
      <w:r>
        <w:rPr>
          <w:rFonts w:hint="eastAsia" w:ascii="宋体" w:hAnsi="宋体" w:cs="宋体"/>
          <w:color w:val="auto"/>
          <w:sz w:val="24"/>
          <w:szCs w:val="24"/>
          <w:highlight w:val="none"/>
          <w:lang w:eastAsia="zh-CN"/>
        </w:rPr>
        <w:t>：</w:t>
      </w:r>
    </w:p>
    <w:p w14:paraId="6374B31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供应商在响应文件中提供虚假资料的；</w:t>
      </w:r>
    </w:p>
    <w:p w14:paraId="5C650E2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除因不可抗力或磋商文件认可的情形以外，成交供应商不与采购人签订合同的；</w:t>
      </w:r>
    </w:p>
    <w:p w14:paraId="3AD364A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供应商与采购人、其他供应商或者采购代理机构恶意串通的</w:t>
      </w:r>
    </w:p>
    <w:p w14:paraId="77D1C8FF">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磋商文件规定的其他情形。</w:t>
      </w:r>
    </w:p>
    <w:p w14:paraId="6A3EC384">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3.8.磋商的有效期</w:t>
      </w:r>
    </w:p>
    <w:p w14:paraId="799AB24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3.8.1磋商有效期详见供应商须知前附表。供应商响应文件中有效期不足的将被视为无效文件。</w:t>
      </w:r>
    </w:p>
    <w:p w14:paraId="4A88827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有效期内供应商未经采购结果确认谈判达成一致不得改变其磋商最后报价及承诺的全部义务。</w:t>
      </w:r>
    </w:p>
    <w:p w14:paraId="02948C9C">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42" w:name="_Toc10075"/>
      <w:bookmarkStart w:id="43" w:name="_Toc25265"/>
      <w:r>
        <w:rPr>
          <w:rFonts w:hint="eastAsia" w:ascii="宋体" w:hAnsi="宋体" w:eastAsia="宋体" w:cs="宋体"/>
          <w:b/>
          <w:bCs/>
          <w:color w:val="auto"/>
          <w:sz w:val="24"/>
          <w:szCs w:val="24"/>
          <w:highlight w:val="none"/>
        </w:rPr>
        <w:t>四、响应文件的递交</w:t>
      </w:r>
      <w:bookmarkEnd w:id="42"/>
      <w:bookmarkEnd w:id="43"/>
    </w:p>
    <w:p w14:paraId="4CBD4BE9">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4.1.1响应文件的密封和标记。电子响应文件的内容按要求进行签章。未按要求进行数字证书认证的响应文件，电子评标系统将无法接受，采购单位不予受理。</w:t>
      </w:r>
    </w:p>
    <w:p w14:paraId="066B64B7">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4.2响应文件的递交</w:t>
      </w:r>
    </w:p>
    <w:p w14:paraId="5E0DB07D">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供应商应在磋商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35CA616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是否采用不见面开标详见供应商须知前附表，若项目采用不见面开标。需将电子响应文件在投标截止时间前通过新疆政府采购网政采云平台上传完成。逾期上传的或者未上传到平台的响应文件，采购人不予受理。</w:t>
      </w:r>
    </w:p>
    <w:p w14:paraId="4B9750A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采购单位将拒绝并原封退回在规定的响应文件递交截止期后送达的任何响应文件。由于对网上招标操作不熟悉或自身电脑、网络的原因导致不能在响应文件递交截止时间之前上传响应文件，新疆政府采购网政采云平台将不负任何责任。建议于开标前1个工作日完成响应文件的制作与上传。</w:t>
      </w:r>
    </w:p>
    <w:p w14:paraId="05CC1A4D">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4.3响应文件的修改和撤回</w:t>
      </w:r>
    </w:p>
    <w:p w14:paraId="3A1CE63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DD3A77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4.3.2供应商所提交的响应文件在评审结束后，无论中标与否都不退还。</w:t>
      </w:r>
    </w:p>
    <w:p w14:paraId="3551A4C0">
      <w:pPr>
        <w:pStyle w:val="5"/>
        <w:pageBreakBefore w:val="0"/>
        <w:wordWrap/>
        <w:topLinePunct w:val="0"/>
        <w:autoSpaceDE/>
        <w:autoSpaceDN/>
        <w:bidi w:val="0"/>
        <w:adjustRightInd/>
        <w:snapToGrid/>
        <w:spacing w:line="440" w:lineRule="exact"/>
        <w:ind w:firstLine="0" w:firstLineChars="0"/>
        <w:jc w:val="center"/>
        <w:textAlignment w:val="auto"/>
        <w:outlineLvl w:val="1"/>
        <w:rPr>
          <w:rFonts w:hint="eastAsia" w:ascii="宋体" w:hAnsi="宋体" w:eastAsia="宋体" w:cs="宋体"/>
          <w:b/>
          <w:bCs/>
          <w:color w:val="auto"/>
          <w:sz w:val="24"/>
          <w:szCs w:val="24"/>
          <w:highlight w:val="none"/>
        </w:rPr>
      </w:pPr>
      <w:bookmarkStart w:id="44" w:name="_Toc7961"/>
      <w:bookmarkStart w:id="45" w:name="_Toc29546"/>
      <w:r>
        <w:rPr>
          <w:rFonts w:hint="eastAsia" w:ascii="宋体" w:hAnsi="宋体" w:eastAsia="宋体" w:cs="宋体"/>
          <w:b/>
          <w:bCs/>
          <w:color w:val="auto"/>
          <w:sz w:val="24"/>
          <w:szCs w:val="24"/>
          <w:highlight w:val="none"/>
        </w:rPr>
        <w:t>五、竞争性磋商程序</w:t>
      </w:r>
      <w:bookmarkEnd w:id="44"/>
      <w:bookmarkEnd w:id="45"/>
    </w:p>
    <w:p w14:paraId="52BB78E2">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5.1磋商小组的组成</w:t>
      </w:r>
    </w:p>
    <w:p w14:paraId="47B7CEAE">
      <w:pPr>
        <w:pStyle w:val="5"/>
        <w:pageBreakBefore w:val="0"/>
        <w:wordWrap/>
        <w:topLinePunct w:val="0"/>
        <w:autoSpaceDE/>
        <w:autoSpaceDN/>
        <w:bidi w:val="0"/>
        <w:adjustRightInd/>
        <w:snapToGrid/>
        <w:spacing w:line="440" w:lineRule="exact"/>
        <w:ind w:firstLine="480"/>
        <w:textAlignment w:val="auto"/>
        <w:rPr>
          <w:rFonts w:hint="eastAsia"/>
          <w:color w:val="auto"/>
          <w:highlight w:val="none"/>
        </w:rPr>
      </w:pPr>
      <w:r>
        <w:rPr>
          <w:rFonts w:hint="eastAsia" w:ascii="宋体" w:hAnsi="宋体" w:eastAsia="宋体" w:cs="宋体"/>
          <w:color w:val="auto"/>
          <w:sz w:val="24"/>
          <w:szCs w:val="24"/>
          <w:highlight w:val="none"/>
        </w:rPr>
        <w:t>5.1.1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评审。</w:t>
      </w:r>
    </w:p>
    <w:p w14:paraId="518A5DC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5.1.2磋商小组由采购人代表和有关技术、经济等方面的专家组成。全面负责对响应文件的审查、评审、磋商、打分等全部评审工作。磋商小组人数以及技术、经济方面的专家组成见供应商须知前附表。</w:t>
      </w:r>
    </w:p>
    <w:p w14:paraId="4EB06DE5">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5.2磋商方法</w:t>
      </w:r>
    </w:p>
    <w:p w14:paraId="701FDBCF">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采购人在规定的递交响应文件截止时间（开标时间）和供应商须知前附表规定的地点开标。供应商的法定代表人或其委托代理人无需到达开标现场，仅需在任意地点通过新疆政府采购网政采云平台，完成远程解密、提疑澄清、开标唱标、结果公布等交互环节。</w:t>
      </w:r>
    </w:p>
    <w:p w14:paraId="12334F13">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法定代表人或法定代表人授权委托人参与远程交互，中途不得更换，在废标、澄清、提疑、传送文件等特殊情况下需要交互时，供应商一端参与交互的人员</w:t>
      </w:r>
      <w:r>
        <w:rPr>
          <w:rFonts w:hint="eastAsia" w:ascii="宋体" w:hAnsi="宋体" w:cs="宋体"/>
          <w:color w:val="auto"/>
          <w:sz w:val="24"/>
          <w:szCs w:val="24"/>
          <w:highlight w:val="none"/>
          <w:lang w:eastAsia="zh-CN"/>
        </w:rPr>
        <w:t>将</w:t>
      </w:r>
      <w:r>
        <w:rPr>
          <w:rFonts w:hint="eastAsia" w:ascii="宋体" w:hAnsi="宋体" w:eastAsia="宋体" w:cs="宋体"/>
          <w:color w:val="auto"/>
          <w:sz w:val="24"/>
          <w:szCs w:val="24"/>
          <w:highlight w:val="none"/>
        </w:rPr>
        <w:t>被视为是供应商的授权委托人或法人代表，供应商不得以不承认交互人员的资格或身份等为借口推脱，供应商自行承担随意更换人员所导致的一切后果。</w:t>
      </w:r>
    </w:p>
    <w:p w14:paraId="1C19BF4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5.2.1项目评审方法详见磋商文件“第四章 评审方法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BE591DC">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5.3响应文件的初审</w:t>
      </w:r>
    </w:p>
    <w:p w14:paraId="0FD62D8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初审分为资格性检查和符合性检查。</w:t>
      </w:r>
    </w:p>
    <w:p w14:paraId="36E44D1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5.3.1资格性检查</w:t>
      </w:r>
    </w:p>
    <w:p w14:paraId="455D137E">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磋商小组根据评审办法前附表规定的评审因素和评审标准，对供应商的响应文件进行资格评审。资格性检查不合格的供应商的响应文件作无效文件处理。</w:t>
      </w:r>
    </w:p>
    <w:p w14:paraId="31061DB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磋商小组在进行资格检查时，不得改变磋商文件中已载明的资格条件、标准和办法。资格性检查不合格的供应商的响应文件作无效文件处理。</w:t>
      </w:r>
    </w:p>
    <w:p w14:paraId="3DCE69A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磋商小组在评审中必要时可按供应商提供的联系方式就有关问题进行查询核实，或要求供应商做出书面澄清，查询及澄清结果将作为审查的依据。</w:t>
      </w:r>
    </w:p>
    <w:p w14:paraId="7D97D49D">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通过全部资格性检查条件合格的供应商才能通过资格检查，其响应文件方可进入下一个检查阶段。</w:t>
      </w:r>
    </w:p>
    <w:p w14:paraId="6E54B15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5.3.2符合性检查</w:t>
      </w:r>
    </w:p>
    <w:p w14:paraId="206D4C89">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磋商小组根据评审办法前附表规定的评审因素和评审标准，对供应商的响应文件进行符合性检查。符合性检查不合格的供应商的响应文件作无效文件处理。</w:t>
      </w:r>
    </w:p>
    <w:p w14:paraId="6BDC0157">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5.4违法违规行为</w:t>
      </w:r>
    </w:p>
    <w:p w14:paraId="24B3E11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5.4.1在评审过程中，磋商小组发现供应商有下列情形之一的，作无效文件处理</w:t>
      </w:r>
      <w:r>
        <w:rPr>
          <w:rFonts w:hint="eastAsia" w:ascii="宋体" w:hAnsi="宋体" w:cs="宋体"/>
          <w:color w:val="auto"/>
          <w:sz w:val="24"/>
          <w:szCs w:val="24"/>
          <w:highlight w:val="none"/>
          <w:lang w:eastAsia="zh-CN"/>
        </w:rPr>
        <w:t>：</w:t>
      </w:r>
    </w:p>
    <w:p w14:paraId="649935E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属于同一集团、协会、商会等组织成员的供应商按照该组织要求协同磋商；</w:t>
      </w:r>
    </w:p>
    <w:p w14:paraId="2A62FDC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（2）不同供应商的响应文件由同一单位或者个人编制；</w:t>
      </w:r>
    </w:p>
    <w:p w14:paraId="5D212498">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（3）不同供应商委托同一单位或者个人办理磋商事宜；</w:t>
      </w:r>
    </w:p>
    <w:p w14:paraId="53A1272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（4）不同供应商的响应文件载明的项目管理成员为同一人；</w:t>
      </w:r>
    </w:p>
    <w:p w14:paraId="3509FB8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（5）不同供应商的响应文件异常一致或者磋商报价呈规律性差异</w:t>
      </w:r>
      <w:r>
        <w:rPr>
          <w:rFonts w:hint="eastAsia" w:ascii="宋体" w:hAnsi="宋体" w:cs="宋体"/>
          <w:color w:val="auto"/>
          <w:sz w:val="24"/>
          <w:szCs w:val="24"/>
          <w:highlight w:val="none"/>
          <w:lang w:eastAsia="zh-CN"/>
        </w:rPr>
        <w:t>；</w:t>
      </w:r>
    </w:p>
    <w:p w14:paraId="7B7EC52F">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（6）不同供应商的响应文件相互混装；</w:t>
      </w:r>
    </w:p>
    <w:p w14:paraId="38FA045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（7）不同供应商的磋商保证金从同一单位或者个人的账户转出；</w:t>
      </w:r>
    </w:p>
    <w:p w14:paraId="2D23DFF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(8）</w:t>
      </w:r>
      <w:r>
        <w:rPr>
          <w:rFonts w:hint="eastAsia" w:ascii="宋体" w:hAnsi="宋体" w:eastAsia="宋体" w:cs="宋体"/>
          <w:color w:val="auto"/>
          <w:sz w:val="24"/>
          <w:szCs w:val="24"/>
          <w:highlight w:val="none"/>
        </w:rPr>
        <w:t>使用伪造、变造的行政许可证件；</w:t>
      </w:r>
    </w:p>
    <w:p w14:paraId="5D2D97D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eastAsia="宋体" w:cs="宋体"/>
          <w:color w:val="auto"/>
          <w:sz w:val="24"/>
          <w:szCs w:val="24"/>
          <w:highlight w:val="none"/>
        </w:rPr>
        <w:t>提供虚假的财务状况或者业绩；</w:t>
      </w:r>
    </w:p>
    <w:p w14:paraId="1E77849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(10）</w:t>
      </w:r>
      <w:r>
        <w:rPr>
          <w:rFonts w:hint="eastAsia" w:ascii="宋体" w:hAnsi="宋体" w:eastAsia="宋体" w:cs="宋体"/>
          <w:color w:val="auto"/>
          <w:sz w:val="24"/>
          <w:szCs w:val="24"/>
          <w:highlight w:val="none"/>
        </w:rPr>
        <w:t>提供虚假的项目负责人或者主要技术人员简历、劳动关系证明</w:t>
      </w:r>
      <w:r>
        <w:rPr>
          <w:rFonts w:hint="eastAsia" w:ascii="宋体" w:hAnsi="宋体" w:cs="宋体"/>
          <w:color w:val="auto"/>
          <w:sz w:val="24"/>
          <w:szCs w:val="24"/>
          <w:highlight w:val="none"/>
          <w:lang w:eastAsia="zh-CN"/>
        </w:rPr>
        <w:t>；</w:t>
      </w:r>
    </w:p>
    <w:p w14:paraId="5A882339">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(11）</w:t>
      </w:r>
      <w:r>
        <w:rPr>
          <w:rFonts w:hint="eastAsia" w:ascii="宋体" w:hAnsi="宋体" w:eastAsia="宋体" w:cs="宋体"/>
          <w:color w:val="auto"/>
          <w:sz w:val="24"/>
          <w:szCs w:val="24"/>
          <w:highlight w:val="none"/>
        </w:rPr>
        <w:t>提供虚假的信用状况；</w:t>
      </w:r>
    </w:p>
    <w:p w14:paraId="2D6C1D3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（12）其他弄虚作假的行为。</w:t>
      </w:r>
    </w:p>
    <w:p w14:paraId="4D63ED86">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5.5 磋商小组审查响应文件是否完整、有无计算上的错误等。</w:t>
      </w:r>
    </w:p>
    <w:p w14:paraId="1D6FBD7E">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 响应文件的修正及澄清</w:t>
      </w:r>
    </w:p>
    <w:p w14:paraId="6E63067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磋商小组对确定为实质上响应磋商文件要求的响应文件进行校核，看其是否有计算或表达上的错误，算术错误将按以下方法更正</w:t>
      </w:r>
    </w:p>
    <w:p w14:paraId="73A1CF82">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3F10501D">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1F37E1F">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5.5.3实质上没有响应磋商文件要求的响应文件将被视为无效文件。供应商不得通过修正或撤销不合要求的偏离从而使其成为实质上响应的文件。</w:t>
      </w:r>
    </w:p>
    <w:p w14:paraId="7004A7D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5.5.4评审期间，磋商小组有权要求供应商对其响应文件中含义不明确、同类问题表述不一致或者有明显文字和计算错误的内容等</w:t>
      </w:r>
      <w:r>
        <w:rPr>
          <w:rFonts w:hint="eastAsia" w:ascii="宋体" w:hAnsi="宋体" w:cs="宋体"/>
          <w:color w:val="auto"/>
          <w:sz w:val="24"/>
          <w:szCs w:val="24"/>
          <w:highlight w:val="none"/>
          <w:lang w:eastAsia="zh-CN"/>
        </w:rPr>
        <w:t>做必要</w:t>
      </w:r>
      <w:r>
        <w:rPr>
          <w:rFonts w:hint="eastAsia" w:ascii="宋体" w:hAnsi="宋体" w:eastAsia="宋体" w:cs="宋体"/>
          <w:color w:val="auto"/>
          <w:sz w:val="24"/>
          <w:szCs w:val="24"/>
          <w:highlight w:val="none"/>
        </w:rPr>
        <w:t>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14:paraId="2487CF19">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5.5.5供应商的澄清文件是其响应文件的组成部分。</w:t>
      </w:r>
    </w:p>
    <w:p w14:paraId="067C4721">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5.6磋商</w:t>
      </w:r>
    </w:p>
    <w:p w14:paraId="05CD086E">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5.6.1磋商小组所有成员应当集中与单一供应商分别进行磋商，并给予所有参加磋商的供应商平等的磋商机会。</w:t>
      </w:r>
    </w:p>
    <w:p w14:paraId="4853EB24">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p>
    <w:p w14:paraId="6449E04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5.6.3对磋商文件作出的实质性变动是磋商文件的有效组成部分，磋商小组应当及时以书面形式同时通知所有参加磋商的供应商。</w:t>
      </w:r>
    </w:p>
    <w:p w14:paraId="4A0BFEE3">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8EB55AE">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5.6.5磋商文件能够详细列明采购标的的技术、服务要求的，磋商结束后，磋商小组应当要求所有实质性响应的供应商在规定时间内提交最后报价，提交最后报价的供应商不得少于2家。</w:t>
      </w:r>
    </w:p>
    <w:p w14:paraId="17A94D56">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5461704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5.6.7已提交响应文件的供应商，在提交最后报价之前，可以根据磋商情况退出磋商。其磋商保证金将予以退还。</w:t>
      </w:r>
    </w:p>
    <w:p w14:paraId="2CB7A7B1">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5.6.8最后报价是供应商响应文件的有效组成部分。市场竞争不充分的科研项目，以及需要扶持的科技成果转化项目，提交最后报价的供应商可以为2家。</w:t>
      </w:r>
    </w:p>
    <w:p w14:paraId="7A7C7FC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5.6.9经磋商确定最终采购需求和提交最后报价的供应商后，由磋商小组采用综合评分法对提交最后报价的供应商的响应文件和最后报价进行综合评分。</w:t>
      </w:r>
    </w:p>
    <w:p w14:paraId="7D34AD6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5.6.10采购结果确认</w:t>
      </w:r>
    </w:p>
    <w:p w14:paraId="24928215">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磋商小组按照采购文件确定的评标方法、步骤、标准，对响应文件进行评审。按评审后得分由高到</w:t>
      </w:r>
      <w:r>
        <w:rPr>
          <w:rFonts w:hint="eastAsia" w:ascii="宋体" w:hAnsi="宋体" w:cs="宋体"/>
          <w:color w:val="auto"/>
          <w:sz w:val="24"/>
          <w:szCs w:val="24"/>
          <w:highlight w:val="none"/>
          <w:lang w:eastAsia="zh-CN"/>
        </w:rPr>
        <w:t>低</w:t>
      </w:r>
      <w:r>
        <w:rPr>
          <w:rFonts w:hint="eastAsia" w:ascii="宋体" w:hAnsi="宋体" w:eastAsia="宋体" w:cs="宋体"/>
          <w:color w:val="auto"/>
          <w:sz w:val="24"/>
          <w:szCs w:val="24"/>
          <w:highlight w:val="none"/>
        </w:rPr>
        <w:t>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06DC96B7">
      <w:pPr>
        <w:pStyle w:val="5"/>
        <w:pageBreakBefore w:val="0"/>
        <w:wordWrap/>
        <w:topLinePunct w:val="0"/>
        <w:autoSpaceDE/>
        <w:autoSpaceDN/>
        <w:bidi w:val="0"/>
        <w:adjustRightInd/>
        <w:snapToGrid/>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5.7公示或公告</w:t>
      </w:r>
    </w:p>
    <w:p w14:paraId="5B8F05D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5.7.1成交供应商确定后，采购代理机构将在新疆政府采购网政采云平台上发布成交公告，同时向成交供应商发出《成交通知书》。《成交通知书》是合同的组成部分，对成交供应商和采购人具有同等法律效力。</w:t>
      </w:r>
    </w:p>
    <w:p w14:paraId="2CA76AD2">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46" w:name="_Toc503548054"/>
      <w:bookmarkStart w:id="47" w:name="_Toc18389"/>
      <w:bookmarkStart w:id="48" w:name="_Toc26094"/>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开标</w:t>
      </w:r>
      <w:bookmarkEnd w:id="46"/>
    </w:p>
    <w:p w14:paraId="5A96EE5B">
      <w:pPr>
        <w:pStyle w:val="12"/>
        <w:pageBreakBefore w:val="0"/>
        <w:kinsoku w:val="0"/>
        <w:wordWrap/>
        <w:overflowPunct w:val="0"/>
        <w:topLinePunct w:val="0"/>
        <w:autoSpaceDE/>
        <w:autoSpaceDN/>
        <w:bidi w:val="0"/>
        <w:adjustRightInd/>
        <w:snapToGrid/>
        <w:spacing w:before="34" w:line="440" w:lineRule="exact"/>
        <w:ind w:left="598" w:right="101" w:hanging="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1.开标时间、地点：</w:t>
      </w:r>
    </w:p>
    <w:p w14:paraId="1ACEF075">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开标时间、地点：</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将按照规定的时间和地点组织开标会议，邀请所有供应商的法定代表人或授权代表准时到场参加开标会议。</w:t>
      </w:r>
    </w:p>
    <w:p w14:paraId="5F4EECC1">
      <w:pPr>
        <w:pStyle w:val="12"/>
        <w:pageBreakBefore w:val="0"/>
        <w:kinsoku w:val="0"/>
        <w:wordWrap/>
        <w:overflowPunct w:val="0"/>
        <w:topLinePunct w:val="0"/>
        <w:autoSpaceDE/>
        <w:autoSpaceDN/>
        <w:bidi w:val="0"/>
        <w:adjustRightInd/>
        <w:snapToGrid/>
        <w:spacing w:before="35"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开标程序：</w:t>
      </w:r>
    </w:p>
    <w:p w14:paraId="7986A127">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69592BE3">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宣布在提交响应文件截止时间前收到的响应文件数量；</w:t>
      </w:r>
    </w:p>
    <w:p w14:paraId="704D0E99">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 xml:space="preserve">宣布开标纪律，开标人、唱标人、记录人、监督人等有关人员名单； </w:t>
      </w:r>
    </w:p>
    <w:p w14:paraId="07DB1D25">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公布</w:t>
      </w:r>
      <w:r>
        <w:rPr>
          <w:rFonts w:hint="eastAsia" w:ascii="宋体" w:hAnsi="宋体" w:eastAsia="宋体" w:cs="宋体"/>
          <w:color w:val="auto"/>
          <w:sz w:val="24"/>
          <w:szCs w:val="24"/>
          <w:highlight w:val="none"/>
          <w:lang w:eastAsia="zh-CN"/>
        </w:rPr>
        <w:t>最高投标限价</w:t>
      </w:r>
      <w:r>
        <w:rPr>
          <w:rFonts w:hint="eastAsia" w:ascii="宋体" w:hAnsi="宋体" w:eastAsia="宋体" w:cs="宋体"/>
          <w:color w:val="auto"/>
          <w:sz w:val="24"/>
          <w:szCs w:val="24"/>
          <w:highlight w:val="none"/>
        </w:rPr>
        <w:t>及相关内容；</w:t>
      </w:r>
    </w:p>
    <w:p w14:paraId="7A669CC7">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公布</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保证金的递交情况、投标报价、服务期限及其他内容，并制作记录；</w:t>
      </w:r>
    </w:p>
    <w:p w14:paraId="4D3C894A">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人代表、记录人以及有关监督人员在开标记录上签字确认，并存档备查；</w:t>
      </w:r>
    </w:p>
    <w:p w14:paraId="0C25E077">
      <w:pPr>
        <w:pStyle w:val="12"/>
        <w:pageBreakBefore w:val="0"/>
        <w:kinsoku w:val="0"/>
        <w:wordWrap/>
        <w:overflowPunct w:val="0"/>
        <w:topLinePunct w:val="0"/>
        <w:autoSpaceDE/>
        <w:autoSpaceDN/>
        <w:bidi w:val="0"/>
        <w:adjustRightInd/>
        <w:snapToGrid/>
        <w:spacing w:before="34" w:line="440" w:lineRule="exact"/>
        <w:ind w:right="30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开标结束。</w:t>
      </w:r>
    </w:p>
    <w:p w14:paraId="0A6E8F90">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49" w:name="_Toc503548055"/>
      <w:r>
        <w:rPr>
          <w:rFonts w:hint="eastAsia"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评标</w:t>
      </w:r>
      <w:bookmarkEnd w:id="49"/>
    </w:p>
    <w:p w14:paraId="572BA9A9">
      <w:pPr>
        <w:pStyle w:val="12"/>
        <w:pageBreakBefore w:val="0"/>
        <w:kinsoku w:val="0"/>
        <w:wordWrap/>
        <w:overflowPunct w:val="0"/>
        <w:topLinePunct w:val="0"/>
        <w:autoSpaceDE/>
        <w:autoSpaceDN/>
        <w:bidi w:val="0"/>
        <w:adjustRightInd/>
        <w:snapToGrid/>
        <w:spacing w:before="35" w:line="440" w:lineRule="exact"/>
        <w:textAlignment w:val="auto"/>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1.磋商小组</w:t>
      </w:r>
    </w:p>
    <w:p w14:paraId="6A11064F">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评标由采购人依法组建的磋商小组负责。磋商小组由采购人熟悉相关业务</w:t>
      </w:r>
      <w:r>
        <w:rPr>
          <w:rFonts w:hint="eastAsia" w:ascii="宋体" w:hAnsi="宋体" w:eastAsia="宋体" w:cs="宋体"/>
          <w:color w:val="auto"/>
          <w:sz w:val="24"/>
          <w:szCs w:val="24"/>
          <w:highlight w:val="none"/>
        </w:rPr>
        <w:t>的代表，以及有关技术、经济等方面的专家三人</w:t>
      </w:r>
      <w:r>
        <w:rPr>
          <w:rFonts w:hint="eastAsia" w:ascii="宋体" w:hAnsi="宋体" w:eastAsia="宋体" w:cs="宋体"/>
          <w:color w:val="auto"/>
          <w:sz w:val="24"/>
          <w:szCs w:val="24"/>
          <w:highlight w:val="none"/>
          <w:lang w:eastAsia="zh-CN"/>
        </w:rPr>
        <w:t>以上</w:t>
      </w:r>
      <w:r>
        <w:rPr>
          <w:rFonts w:hint="eastAsia" w:ascii="宋体" w:hAnsi="宋体" w:eastAsia="宋体" w:cs="宋体"/>
          <w:color w:val="auto"/>
          <w:sz w:val="24"/>
          <w:szCs w:val="24"/>
          <w:highlight w:val="none"/>
        </w:rPr>
        <w:t>单数组成。</w:t>
      </w:r>
    </w:p>
    <w:p w14:paraId="16D82E8F">
      <w:pPr>
        <w:pStyle w:val="12"/>
        <w:pageBreakBefore w:val="0"/>
        <w:tabs>
          <w:tab w:val="left" w:pos="1438"/>
        </w:tabs>
        <w:kinsoku w:val="0"/>
        <w:wordWrap/>
        <w:overflowPunct w:val="0"/>
        <w:topLinePunct w:val="0"/>
        <w:autoSpaceDE/>
        <w:autoSpaceDN/>
        <w:bidi w:val="0"/>
        <w:adjustRightInd/>
        <w:snapToGrid/>
        <w:spacing w:before="36" w:line="440" w:lineRule="exact"/>
        <w:ind w:left="5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磋商小组成员有下列情形之一的，应当回避；</w:t>
      </w:r>
    </w:p>
    <w:p w14:paraId="770EC479">
      <w:pPr>
        <w:pStyle w:val="12"/>
        <w:pageBreakBefore w:val="0"/>
        <w:kinsoku w:val="0"/>
        <w:wordWrap/>
        <w:overflowPunct w:val="0"/>
        <w:topLinePunct w:val="0"/>
        <w:autoSpaceDE/>
        <w:autoSpaceDN/>
        <w:bidi w:val="0"/>
        <w:adjustRightInd/>
        <w:snapToGrid/>
        <w:spacing w:line="440" w:lineRule="exact"/>
        <w:ind w:left="598"/>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采购人或供应商的主要负责人的近亲属。</w:t>
      </w:r>
    </w:p>
    <w:p w14:paraId="0924B7A6">
      <w:pPr>
        <w:pStyle w:val="12"/>
        <w:pageBreakBefore w:val="0"/>
        <w:tabs>
          <w:tab w:val="left" w:pos="1438"/>
        </w:tabs>
        <w:kinsoku w:val="0"/>
        <w:wordWrap/>
        <w:overflowPunct w:val="0"/>
        <w:topLinePunct w:val="0"/>
        <w:autoSpaceDE/>
        <w:autoSpaceDN/>
        <w:bidi w:val="0"/>
        <w:adjustRightInd/>
        <w:snapToGrid/>
        <w:spacing w:before="36" w:line="440" w:lineRule="exact"/>
        <w:ind w:left="598"/>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项目主管部门或者行政监督部门的人员。</w:t>
      </w:r>
    </w:p>
    <w:p w14:paraId="5A7E2138">
      <w:pPr>
        <w:pStyle w:val="12"/>
        <w:pageBreakBefore w:val="0"/>
        <w:tabs>
          <w:tab w:val="left" w:pos="1438"/>
        </w:tabs>
        <w:kinsoku w:val="0"/>
        <w:wordWrap/>
        <w:overflowPunct w:val="0"/>
        <w:topLinePunct w:val="0"/>
        <w:autoSpaceDE/>
        <w:autoSpaceDN/>
        <w:bidi w:val="0"/>
        <w:adjustRightInd/>
        <w:snapToGrid/>
        <w:spacing w:before="36" w:line="440" w:lineRule="exact"/>
        <w:ind w:left="598"/>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与供应商有经济利益关系，可能影响对投标公正评审的。</w:t>
      </w:r>
    </w:p>
    <w:p w14:paraId="599081AF">
      <w:pPr>
        <w:pStyle w:val="12"/>
        <w:pageBreakBefore w:val="0"/>
        <w:tabs>
          <w:tab w:val="left" w:pos="1438"/>
        </w:tabs>
        <w:kinsoku w:val="0"/>
        <w:wordWrap/>
        <w:overflowPunct w:val="0"/>
        <w:topLinePunct w:val="0"/>
        <w:autoSpaceDE/>
        <w:autoSpaceDN/>
        <w:bidi w:val="0"/>
        <w:adjustRightInd/>
        <w:snapToGrid/>
        <w:spacing w:before="36" w:line="440" w:lineRule="exact"/>
        <w:ind w:left="598"/>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曾因在招标、评标以及其他与招标投标有关活动中从事违法行为而受过行政</w:t>
      </w:r>
    </w:p>
    <w:p w14:paraId="1B12719D">
      <w:pPr>
        <w:pStyle w:val="12"/>
        <w:pageBreakBefore w:val="0"/>
        <w:tabs>
          <w:tab w:val="left" w:pos="1438"/>
        </w:tabs>
        <w:kinsoku w:val="0"/>
        <w:wordWrap/>
        <w:overflowPunct w:val="0"/>
        <w:topLinePunct w:val="0"/>
        <w:autoSpaceDE/>
        <w:autoSpaceDN/>
        <w:bidi w:val="0"/>
        <w:adjustRightInd/>
        <w:snapToGrid/>
        <w:spacing w:before="36"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处罚或刑事处罚的。</w:t>
      </w:r>
    </w:p>
    <w:p w14:paraId="7BD5077F">
      <w:pPr>
        <w:pStyle w:val="12"/>
        <w:pageBreakBefore w:val="0"/>
        <w:tabs>
          <w:tab w:val="left" w:pos="1438"/>
        </w:tabs>
        <w:kinsoku w:val="0"/>
        <w:wordWrap/>
        <w:overflowPunct w:val="0"/>
        <w:topLinePunct w:val="0"/>
        <w:autoSpaceDE/>
        <w:autoSpaceDN/>
        <w:bidi w:val="0"/>
        <w:adjustRightInd/>
        <w:snapToGrid/>
        <w:spacing w:before="36" w:line="440" w:lineRule="exact"/>
        <w:ind w:left="598"/>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5）其他可能</w:t>
      </w:r>
      <w:r>
        <w:rPr>
          <w:rFonts w:hint="eastAsia" w:ascii="宋体" w:hAnsi="宋体" w:eastAsia="宋体" w:cs="宋体"/>
          <w:color w:val="auto"/>
          <w:sz w:val="24"/>
          <w:szCs w:val="24"/>
          <w:highlight w:val="none"/>
        </w:rPr>
        <w:t>影响公正评标的情形。</w:t>
      </w:r>
    </w:p>
    <w:p w14:paraId="146F4A6A">
      <w:pPr>
        <w:pStyle w:val="12"/>
        <w:pageBreakBefore w:val="0"/>
        <w:kinsoku w:val="0"/>
        <w:wordWrap/>
        <w:overflowPunct w:val="0"/>
        <w:topLinePunct w:val="0"/>
        <w:autoSpaceDE/>
        <w:autoSpaceDN/>
        <w:bidi w:val="0"/>
        <w:adjustRightInd/>
        <w:snapToGrid/>
        <w:spacing w:before="35" w:line="440" w:lineRule="exact"/>
        <w:textAlignment w:val="auto"/>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2.评标原则</w:t>
      </w:r>
    </w:p>
    <w:p w14:paraId="3A6057D4">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14:paraId="3223CBC7">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项目实施机构成立磋商小组，负责本次项目采购的磋商工作，磋商小组由业主代表与技术、经济等方面专家组成共3人以上</w:t>
      </w:r>
      <w:r>
        <w:rPr>
          <w:rFonts w:hint="eastAsia" w:ascii="宋体" w:hAnsi="宋体" w:eastAsia="宋体" w:cs="宋体"/>
          <w:color w:val="auto"/>
          <w:sz w:val="24"/>
          <w:szCs w:val="24"/>
          <w:highlight w:val="none"/>
          <w:lang w:eastAsia="zh-CN"/>
        </w:rPr>
        <w:t>单数</w:t>
      </w:r>
      <w:r>
        <w:rPr>
          <w:rFonts w:hint="eastAsia" w:ascii="宋体" w:hAnsi="宋体" w:eastAsia="宋体" w:cs="宋体"/>
          <w:color w:val="auto"/>
          <w:sz w:val="24"/>
          <w:szCs w:val="24"/>
          <w:highlight w:val="none"/>
        </w:rPr>
        <w:t>组成，其中评审专家人数不得少于磋商小组成员总数的2/3。评审专家应当从政府采购评审</w:t>
      </w:r>
      <w:r>
        <w:rPr>
          <w:rFonts w:hint="eastAsia" w:ascii="宋体" w:hAnsi="宋体" w:cs="宋体"/>
          <w:color w:val="auto"/>
          <w:sz w:val="24"/>
          <w:szCs w:val="24"/>
          <w:highlight w:val="none"/>
          <w:lang w:eastAsia="zh-CN"/>
        </w:rPr>
        <w:t>专家</w:t>
      </w:r>
      <w:r>
        <w:rPr>
          <w:rFonts w:hint="eastAsia" w:ascii="宋体" w:hAnsi="宋体" w:eastAsia="宋体" w:cs="宋体"/>
          <w:color w:val="auto"/>
          <w:sz w:val="24"/>
          <w:szCs w:val="24"/>
          <w:highlight w:val="none"/>
        </w:rPr>
        <w:t>库内相关专业的专家名单中随机抽取，符合本办法（财库214号文）第三条第四项规定情形的项目，以及特殊情况。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E6721EF">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317CFD">
      <w:pPr>
        <w:pStyle w:val="12"/>
        <w:pageBreakBefore w:val="0"/>
        <w:kinsoku w:val="0"/>
        <w:wordWrap/>
        <w:overflowPunct w:val="0"/>
        <w:topLinePunct w:val="0"/>
        <w:autoSpaceDE/>
        <w:autoSpaceDN/>
        <w:bidi w:val="0"/>
        <w:adjustRightInd/>
        <w:snapToGrid/>
        <w:spacing w:before="35" w:line="440" w:lineRule="exact"/>
        <w:ind w:left="598" w:right="238" w:hanging="480"/>
        <w:textAlignment w:val="auto"/>
        <w:rPr>
          <w:rFonts w:hint="eastAsia" w:ascii="宋体" w:hAnsi="宋体" w:eastAsia="宋体" w:cs="宋体"/>
          <w:b/>
          <w:bCs/>
          <w:color w:val="auto"/>
          <w:spacing w:val="22"/>
          <w:w w:val="99"/>
          <w:sz w:val="24"/>
          <w:szCs w:val="24"/>
          <w:highlight w:val="none"/>
        </w:rPr>
      </w:pPr>
      <w:r>
        <w:rPr>
          <w:rFonts w:hint="eastAsia" w:ascii="宋体" w:hAnsi="宋体" w:eastAsia="宋体" w:cs="宋体"/>
          <w:b/>
          <w:bCs/>
          <w:color w:val="auto"/>
          <w:w w:val="95"/>
          <w:sz w:val="24"/>
          <w:szCs w:val="24"/>
          <w:highlight w:val="none"/>
        </w:rPr>
        <w:t>3.</w:t>
      </w:r>
      <w:r>
        <w:rPr>
          <w:rFonts w:hint="eastAsia" w:ascii="宋体" w:hAnsi="宋体" w:eastAsia="宋体" w:cs="宋体"/>
          <w:b/>
          <w:bCs/>
          <w:color w:val="auto"/>
          <w:sz w:val="24"/>
          <w:szCs w:val="24"/>
          <w:highlight w:val="none"/>
        </w:rPr>
        <w:t>评标</w:t>
      </w:r>
    </w:p>
    <w:p w14:paraId="39A518EE">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3.1磋商小组按照竞争性磋商文件中规定的方法、评审因素、标准和程序对磋</w:t>
      </w:r>
      <w:r>
        <w:rPr>
          <w:rFonts w:hint="eastAsia" w:ascii="宋体" w:hAnsi="宋体" w:cs="宋体"/>
          <w:color w:val="auto"/>
          <w:sz w:val="24"/>
          <w:szCs w:val="24"/>
          <w:highlight w:val="none"/>
          <w:lang w:eastAsia="zh-CN"/>
        </w:rPr>
        <w:t>商响应</w:t>
      </w:r>
      <w:r>
        <w:rPr>
          <w:rFonts w:hint="eastAsia" w:ascii="宋体" w:hAnsi="宋体" w:eastAsia="宋体" w:cs="宋体"/>
          <w:color w:val="auto"/>
          <w:sz w:val="24"/>
          <w:szCs w:val="24"/>
          <w:highlight w:val="none"/>
        </w:rPr>
        <w:t>性文件进行评审。竞争性磋商文件中没有规定的方法、评审因素和标准，不作为评标依据。详见“评标办法”内容。</w:t>
      </w:r>
    </w:p>
    <w:p w14:paraId="06955BB1">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3.2评标过程严格保密。供应商对评委会的评标过程或合同授予决定施加影响的任何行为都可能导致其投标被拒绝。</w:t>
      </w:r>
    </w:p>
    <w:p w14:paraId="265E5722">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评委会可要求供应商对其磋商响应性文件中非实质性的有关问题进行澄清、说明或者补正。有关澄清、说明或者补正的要求和答复应以书面形式提交。供应商的澄清、说明或者补正不得超出磋商响应性文件的范围或者改变磋商响应性文件的实质性内容。</w:t>
      </w:r>
    </w:p>
    <w:p w14:paraId="42C38A87">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评委会认定实质性响应竞争性磋商文件的投标是磋商响应性文件与竞争性磋商文件要求的全部条款、条件和规格相符，没有实质性负偏离。评委会评审磋商响应性文件的响应性依据是磋商响应性文件本身的内容，而不寻求外部的证据。</w:t>
      </w:r>
    </w:p>
    <w:p w14:paraId="0BC0E12B">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3.5如果磋商响应性文件没有实质性响应竞争性磋商文件的要求，评委会将予以拒绝。供应商不得通过修正或</w:t>
      </w:r>
      <w:r>
        <w:rPr>
          <w:rFonts w:hint="eastAsia" w:ascii="宋体" w:hAnsi="宋体" w:cs="宋体"/>
          <w:color w:val="auto"/>
          <w:sz w:val="24"/>
          <w:szCs w:val="24"/>
          <w:highlight w:val="none"/>
          <w:lang w:eastAsia="zh-CN"/>
        </w:rPr>
        <w:t>撤销</w:t>
      </w:r>
      <w:r>
        <w:rPr>
          <w:rFonts w:hint="eastAsia" w:ascii="宋体" w:hAnsi="宋体" w:eastAsia="宋体" w:cs="宋体"/>
          <w:color w:val="auto"/>
          <w:sz w:val="24"/>
          <w:szCs w:val="24"/>
          <w:highlight w:val="none"/>
        </w:rPr>
        <w:t>不合要求的偏离或保留从而使其投标成为实质性响应的投标。</w:t>
      </w:r>
    </w:p>
    <w:p w14:paraId="0EA71ED8">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3.6评委会只对确定为实质性响应竞争性磋商文件要求的磋商响应性文件，根据竞争性磋商文件的评审标准采用相同的评标程序、评分办法进行评价和比较。</w:t>
      </w:r>
    </w:p>
    <w:p w14:paraId="7781DAFC">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0" w:name="_Toc503548056"/>
      <w:r>
        <w:rPr>
          <w:rFonts w:hint="eastAsia"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定标</w:t>
      </w:r>
      <w:bookmarkEnd w:id="50"/>
    </w:p>
    <w:p w14:paraId="1974ACAB">
      <w:pPr>
        <w:pStyle w:val="12"/>
        <w:pageBreakBefore w:val="0"/>
        <w:kinsoku w:val="0"/>
        <w:wordWrap/>
        <w:overflowPunct w:val="0"/>
        <w:topLinePunct w:val="0"/>
        <w:autoSpaceDE/>
        <w:autoSpaceDN/>
        <w:bidi w:val="0"/>
        <w:adjustRightInd/>
        <w:snapToGrid/>
        <w:spacing w:before="35" w:line="440" w:lineRule="exact"/>
        <w:ind w:left="598" w:right="238" w:hanging="480"/>
        <w:textAlignment w:val="auto"/>
        <w:rPr>
          <w:rFonts w:hint="eastAsia" w:ascii="宋体" w:hAnsi="宋体" w:eastAsia="宋体" w:cs="宋体"/>
          <w:b/>
          <w:bCs/>
          <w:color w:val="auto"/>
          <w:w w:val="95"/>
          <w:sz w:val="24"/>
          <w:szCs w:val="24"/>
          <w:highlight w:val="none"/>
        </w:rPr>
      </w:pPr>
      <w:r>
        <w:rPr>
          <w:rFonts w:hint="eastAsia" w:ascii="宋体" w:hAnsi="宋体" w:eastAsia="宋体" w:cs="宋体"/>
          <w:b/>
          <w:bCs/>
          <w:color w:val="auto"/>
          <w:w w:val="95"/>
          <w:sz w:val="24"/>
          <w:szCs w:val="24"/>
          <w:highlight w:val="none"/>
        </w:rPr>
        <w:t>1.定标</w:t>
      </w:r>
    </w:p>
    <w:p w14:paraId="5FC8CE23">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w w:val="95"/>
          <w:kern w:val="0"/>
          <w:sz w:val="24"/>
          <w:szCs w:val="24"/>
          <w:highlight w:val="none"/>
        </w:rPr>
      </w:pPr>
      <w:r>
        <w:rPr>
          <w:rFonts w:hint="eastAsia" w:ascii="宋体" w:hAnsi="宋体" w:eastAsia="宋体" w:cs="宋体"/>
          <w:color w:val="auto"/>
          <w:sz w:val="24"/>
          <w:szCs w:val="24"/>
          <w:highlight w:val="none"/>
        </w:rPr>
        <w:t>1.1 定标原则：磋商小组按照公开、公平、公正、诚实信用的原则对待参与磋商的供应商的响应文件；经磋商确定最终采购需求和提交最后报价的供应商后，由磋商小组采用综合评分法对提交最后报价的供应商的响应文件和最后报价进行综合评分。</w:t>
      </w:r>
      <w:r>
        <w:rPr>
          <w:rFonts w:hint="eastAsia" w:ascii="宋体" w:hAnsi="宋体" w:eastAsia="宋体" w:cs="宋体"/>
          <w:color w:val="auto"/>
          <w:kern w:val="0"/>
          <w:sz w:val="24"/>
          <w:szCs w:val="24"/>
          <w:highlight w:val="none"/>
        </w:rPr>
        <w:t>能够最大限度满足竞争性磋商文件中规定的各项综合评价标准且得分最高（但投标价格低于成本价的除外）。</w:t>
      </w:r>
    </w:p>
    <w:p w14:paraId="759909C7">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定标方法：综合评分法。</w:t>
      </w:r>
    </w:p>
    <w:p w14:paraId="3906AEB8">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定标方式：根据评委会推荐的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候选人名单，采购人确定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557BD3AB">
      <w:pPr>
        <w:pStyle w:val="12"/>
        <w:pageBreakBefore w:val="0"/>
        <w:kinsoku w:val="0"/>
        <w:wordWrap/>
        <w:overflowPunct w:val="0"/>
        <w:topLinePunct w:val="0"/>
        <w:autoSpaceDE/>
        <w:autoSpaceDN/>
        <w:bidi w:val="0"/>
        <w:adjustRightInd/>
        <w:snapToGrid/>
        <w:spacing w:before="35" w:line="440" w:lineRule="exact"/>
        <w:ind w:left="598" w:right="238" w:hanging="480"/>
        <w:textAlignment w:val="auto"/>
        <w:rPr>
          <w:rFonts w:hint="eastAsia" w:ascii="宋体" w:hAnsi="宋体" w:eastAsia="宋体" w:cs="宋体"/>
          <w:b/>
          <w:bCs/>
          <w:color w:val="auto"/>
          <w:w w:val="95"/>
          <w:sz w:val="24"/>
          <w:szCs w:val="24"/>
          <w:highlight w:val="none"/>
        </w:rPr>
      </w:pPr>
      <w:r>
        <w:rPr>
          <w:rFonts w:hint="eastAsia" w:ascii="宋体" w:hAnsi="宋体" w:eastAsia="宋体" w:cs="宋体"/>
          <w:b/>
          <w:bCs/>
          <w:color w:val="auto"/>
          <w:w w:val="95"/>
          <w:sz w:val="24"/>
          <w:szCs w:val="24"/>
          <w:highlight w:val="none"/>
        </w:rPr>
        <w:t>2.定标程序</w:t>
      </w:r>
    </w:p>
    <w:p w14:paraId="34567E3D">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磋商小组按照综合评审打分结果由高到低排列顺序。综合得分相同的，按投标报价由低到高顺序排列。得分且投标报价相同的，按技术指标优劣顺序排列。前三名的供应商为拟</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w:t>
      </w:r>
    </w:p>
    <w:p w14:paraId="49900CD2">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采购人根据书面评标报告和被推荐的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候选人，确定得分最高的供应商为拟</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单位。</w:t>
      </w:r>
    </w:p>
    <w:p w14:paraId="3907AF79">
      <w:pPr>
        <w:pageBreakBefore w:val="0"/>
        <w:wordWrap/>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结果在“</w:t>
      </w:r>
      <w:r>
        <w:rPr>
          <w:rFonts w:hint="eastAsia" w:ascii="宋体" w:hAnsi="宋体" w:eastAsia="宋体" w:cs="宋体"/>
          <w:color w:val="auto"/>
          <w:sz w:val="24"/>
          <w:szCs w:val="24"/>
          <w:highlight w:val="none"/>
          <w:lang w:val="en-US" w:eastAsia="zh-CN"/>
        </w:rPr>
        <w:t>新疆政府采购网</w:t>
      </w:r>
      <w:r>
        <w:rPr>
          <w:rFonts w:hint="eastAsia" w:ascii="宋体" w:hAnsi="宋体" w:eastAsia="宋体" w:cs="宋体"/>
          <w:color w:val="auto"/>
          <w:sz w:val="24"/>
          <w:szCs w:val="24"/>
          <w:highlight w:val="none"/>
        </w:rPr>
        <w:t>” 上予以公告。同时向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9FA3124">
      <w:pPr>
        <w:pStyle w:val="12"/>
        <w:pageBreakBefore w:val="0"/>
        <w:kinsoku w:val="0"/>
        <w:wordWrap/>
        <w:overflowPunct w:val="0"/>
        <w:topLinePunct w:val="0"/>
        <w:autoSpaceDE/>
        <w:autoSpaceDN/>
        <w:bidi w:val="0"/>
        <w:adjustRightInd/>
        <w:snapToGrid/>
        <w:spacing w:before="151"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通知书</w:t>
      </w:r>
    </w:p>
    <w:p w14:paraId="2A3F73F1">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结果在公示期满无质疑或投诉后，该结果将作为正式中标或签订《采购合同》的凭据。</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将以书面形式《成交通知书》通知</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的供应商其投标被接受。在该通知书发出三十日内，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单位应与采购人签订采购合同。</w:t>
      </w:r>
    </w:p>
    <w:p w14:paraId="60F489BC">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通知书为签订政府采购合同的依据，是合同的有效组成部分。</w:t>
      </w:r>
    </w:p>
    <w:p w14:paraId="18D002FC">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通知书对采购人和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人均具有法律效力。</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通知书发出后，采购人改变</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结果，或者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人无正当理由放弃中标的，应当承担相应的法律责任。</w:t>
      </w:r>
    </w:p>
    <w:p w14:paraId="3A416D90">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人的磋商响应性文件</w:t>
      </w:r>
      <w:r>
        <w:rPr>
          <w:rFonts w:hint="eastAsia" w:ascii="宋体" w:hAnsi="宋体" w:cs="宋体"/>
          <w:color w:val="auto"/>
          <w:sz w:val="24"/>
          <w:szCs w:val="24"/>
          <w:highlight w:val="none"/>
          <w:lang w:eastAsia="zh-CN"/>
        </w:rPr>
        <w:t>不应</w:t>
      </w:r>
      <w:r>
        <w:rPr>
          <w:rFonts w:hint="eastAsia" w:ascii="宋体" w:hAnsi="宋体" w:eastAsia="宋体" w:cs="宋体"/>
          <w:color w:val="auto"/>
          <w:sz w:val="24"/>
          <w:szCs w:val="24"/>
          <w:highlight w:val="none"/>
        </w:rPr>
        <w:t>作为无效投标处理或者有政府采购法律法规规章制度规定的中标无效情形的，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在取得有权主体的认定以后，应当宣布发出的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通知书无效，并收回发出的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人也应当缴回），依法重新确定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人或者重新开展采购活动。</w:t>
      </w:r>
    </w:p>
    <w:p w14:paraId="68093542">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1" w:name="_Toc503548057"/>
      <w:r>
        <w:rPr>
          <w:rFonts w:hint="eastAsia"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合同签订及履行</w:t>
      </w:r>
      <w:bookmarkEnd w:id="51"/>
    </w:p>
    <w:p w14:paraId="2127E1B4">
      <w:pPr>
        <w:pStyle w:val="12"/>
        <w:pageBreakBefore w:val="0"/>
        <w:kinsoku w:val="0"/>
        <w:wordWrap/>
        <w:overflowPunct w:val="0"/>
        <w:topLinePunct w:val="0"/>
        <w:autoSpaceDE/>
        <w:autoSpaceDN/>
        <w:bidi w:val="0"/>
        <w:adjustRightInd/>
        <w:snapToGrid/>
        <w:spacing w:before="151"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1.合同授予原则</w:t>
      </w:r>
    </w:p>
    <w:p w14:paraId="1A1C7717">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采购人将把合同授予经磋商小组评议推荐，在法定公示时间后，收到《成交通知书》的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单位。若因</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单位违约或因不可抗力等原因不能被授予合同，则合同将授予排序在该</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单位之后的下一个供应商，以此类推。</w:t>
      </w:r>
    </w:p>
    <w:p w14:paraId="22903829">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采购人保留在签订合同时调整方案需求和变动所购服务内容的权力。</w:t>
      </w:r>
    </w:p>
    <w:p w14:paraId="3D372EBA">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采购人不得向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人提出任何不合理的要求，作为签订合同的条件，不得与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人私下订立背离合同实质性内容的任何协议，所签订的合同不得对竞争性磋商文件和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人磋商响应性文件作实质性修改。</w:t>
      </w:r>
    </w:p>
    <w:p w14:paraId="45F33492">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人应当按照合同约定履行义务，完成</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项目的设计任务，不得将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项目的转让（转包）给他人。</w:t>
      </w:r>
    </w:p>
    <w:p w14:paraId="051977D6">
      <w:pPr>
        <w:pStyle w:val="12"/>
        <w:pageBreakBefore w:val="0"/>
        <w:kinsoku w:val="0"/>
        <w:wordWrap/>
        <w:overflowPunct w:val="0"/>
        <w:topLinePunct w:val="0"/>
        <w:autoSpaceDE/>
        <w:autoSpaceDN/>
        <w:bidi w:val="0"/>
        <w:adjustRightInd/>
        <w:snapToGrid/>
        <w:spacing w:before="34"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2.合同的签署</w:t>
      </w:r>
    </w:p>
    <w:p w14:paraId="3E71F53A">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人依据《成交通知书》与采购人签订合同，签订时间为《成交通知书》发出之日起三十日内。</w:t>
      </w:r>
    </w:p>
    <w:p w14:paraId="662BBE94">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单位按《成交通知书》中规定的时间和地点，在</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监督下，由法定代表人或授权代表与采购人签订合同。采购人与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单位是合同权利与义务的直接全部责任承担人。所发出的《成交通知书》对采购人和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单位具有同等法律效力。</w:t>
      </w:r>
    </w:p>
    <w:p w14:paraId="4C7A4ECE">
      <w:pPr>
        <w:pStyle w:val="12"/>
        <w:pageBreakBefore w:val="0"/>
        <w:tabs>
          <w:tab w:val="left" w:pos="1080"/>
        </w:tabs>
        <w:kinsoku w:val="0"/>
        <w:wordWrap/>
        <w:overflowPunct w:val="0"/>
        <w:topLinePunct w:val="0"/>
        <w:autoSpaceDE/>
        <w:autoSpaceDN/>
        <w:bidi w:val="0"/>
        <w:adjustRightInd/>
        <w:snapToGrid/>
        <w:spacing w:before="26" w:line="440" w:lineRule="exact"/>
        <w:ind w:right="234"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2.3《成交通知书》发出后，采购人拒绝签订《采购合同》或擅自改变中标内容，按照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定金罚则及损害赔偿的原则处罚并办理。若由于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单位的原因逾期未与采购人签订采购合同的，将视为放弃中标，取消其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资格并将按照《中华人民共和国政府采购法》相关规定进行处理。</w:t>
      </w:r>
    </w:p>
    <w:p w14:paraId="17A2019C">
      <w:pPr>
        <w:pStyle w:val="12"/>
        <w:pageBreakBefore w:val="0"/>
        <w:kinsoku w:val="0"/>
        <w:wordWrap/>
        <w:overflowPunct w:val="0"/>
        <w:topLinePunct w:val="0"/>
        <w:autoSpaceDE/>
        <w:autoSpaceDN/>
        <w:bidi w:val="0"/>
        <w:adjustRightInd/>
        <w:snapToGrid/>
        <w:spacing w:before="37" w:line="440" w:lineRule="exact"/>
        <w:ind w:right="248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3.履行合同</w:t>
      </w:r>
    </w:p>
    <w:p w14:paraId="2C7EC73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人与采购人签订合同后，合同双方应严格执行合同条款，履行合同规定的义务，保证合同的顺利完成。</w:t>
      </w:r>
    </w:p>
    <w:p w14:paraId="080D8261">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在合同履行过程中，如发生合同纠纷，合同双方应按照《</w:t>
      </w:r>
      <w:r>
        <w:rPr>
          <w:rFonts w:hint="eastAsia" w:ascii="宋体"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》的有关规定进行处理。</w:t>
      </w:r>
    </w:p>
    <w:p w14:paraId="65265BBD">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2" w:name="_Toc503548058"/>
      <w:r>
        <w:rPr>
          <w:rFonts w:hint="eastAsia"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重新招标和不再招标</w:t>
      </w:r>
      <w:bookmarkEnd w:id="52"/>
    </w:p>
    <w:p w14:paraId="17974B3D">
      <w:pPr>
        <w:pStyle w:val="12"/>
        <w:pageBreakBefore w:val="0"/>
        <w:kinsoku w:val="0"/>
        <w:wordWrap/>
        <w:overflowPunct w:val="0"/>
        <w:topLinePunct w:val="0"/>
        <w:autoSpaceDE/>
        <w:autoSpaceDN/>
        <w:bidi w:val="0"/>
        <w:adjustRightInd/>
        <w:snapToGrid/>
        <w:spacing w:before="37" w:line="440" w:lineRule="exact"/>
        <w:ind w:right="2481"/>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1.</w:t>
      </w:r>
      <w:r>
        <w:rPr>
          <w:rFonts w:hint="eastAsia" w:ascii="宋体" w:hAnsi="宋体" w:eastAsia="宋体" w:cs="宋体"/>
          <w:b/>
          <w:bCs/>
          <w:color w:val="auto"/>
          <w:sz w:val="24"/>
          <w:szCs w:val="24"/>
          <w:highlight w:val="none"/>
        </w:rPr>
        <w:t>重新招标</w:t>
      </w:r>
    </w:p>
    <w:p w14:paraId="1F88733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有下列情形之一的，采购人将重新招标：</w:t>
      </w:r>
    </w:p>
    <w:p w14:paraId="6030F81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投标截止时间止，供应商少于</w:t>
      </w:r>
      <w:r>
        <w:rPr>
          <w:rFonts w:hint="eastAsia" w:ascii="宋体" w:hAnsi="宋体" w:eastAsia="宋体" w:cs="宋体"/>
          <w:color w:val="auto"/>
          <w:spacing w:val="4"/>
          <w:sz w:val="24"/>
          <w:szCs w:val="24"/>
          <w:highlight w:val="none"/>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宋体" w:hAnsi="宋体" w:eastAsia="宋体" w:cs="宋体"/>
          <w:color w:val="auto"/>
          <w:sz w:val="24"/>
          <w:szCs w:val="24"/>
          <w:highlight w:val="none"/>
        </w:rPr>
        <w:t>规定的家数。</w:t>
      </w:r>
    </w:p>
    <w:p w14:paraId="4E6BE01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经磋商小组评审后否决所有投标的。</w:t>
      </w:r>
    </w:p>
    <w:p w14:paraId="6765E577">
      <w:pPr>
        <w:pStyle w:val="12"/>
        <w:pageBreakBefore w:val="0"/>
        <w:kinsoku w:val="0"/>
        <w:wordWrap/>
        <w:overflowPunct w:val="0"/>
        <w:topLinePunct w:val="0"/>
        <w:autoSpaceDE/>
        <w:autoSpaceDN/>
        <w:bidi w:val="0"/>
        <w:adjustRightInd/>
        <w:snapToGrid/>
        <w:spacing w:line="440" w:lineRule="exact"/>
        <w:ind w:right="4044" w:firstLine="24"/>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2．不再招标</w:t>
      </w:r>
    </w:p>
    <w:p w14:paraId="0681EF0F">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重新招标后供应商仍少于</w:t>
      </w:r>
      <w:r>
        <w:rPr>
          <w:rFonts w:hint="eastAsia" w:ascii="宋体" w:hAnsi="宋体" w:eastAsia="宋体" w:cs="宋体"/>
          <w:color w:val="auto"/>
          <w:spacing w:val="4"/>
          <w:sz w:val="24"/>
          <w:szCs w:val="24"/>
          <w:highlight w:val="none"/>
        </w:rPr>
        <w:t>《政府采购货物和服务招标投标管理办法》、《政府采购竞争性磋商采购方式管理暂行办法》、《财政部关于政府采购竞争性磋商采购方式管理暂行办法有关问题的补充通知》及相关法规</w:t>
      </w:r>
      <w:r>
        <w:rPr>
          <w:rFonts w:hint="eastAsia" w:ascii="宋体" w:hAnsi="宋体" w:eastAsia="宋体" w:cs="宋体"/>
          <w:color w:val="auto"/>
          <w:sz w:val="24"/>
          <w:szCs w:val="24"/>
          <w:highlight w:val="none"/>
        </w:rPr>
        <w:t>规定的家数，或者所有投标被否决的，属于必须审批或核准的工程建设、货物、服务项目，经原审批或核准部门批准后不再进行招标。</w:t>
      </w:r>
    </w:p>
    <w:p w14:paraId="13A021F5">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3" w:name="_Toc503548059"/>
      <w:r>
        <w:rPr>
          <w:rFonts w:hint="eastAsia"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纪律和监督</w:t>
      </w:r>
      <w:bookmarkEnd w:id="53"/>
    </w:p>
    <w:p w14:paraId="70C6C5BC">
      <w:pPr>
        <w:pStyle w:val="12"/>
        <w:pageBreakBefore w:val="0"/>
        <w:kinsoku w:val="0"/>
        <w:wordWrap/>
        <w:overflowPunct w:val="0"/>
        <w:topLinePunct w:val="0"/>
        <w:autoSpaceDE/>
        <w:autoSpaceDN/>
        <w:bidi w:val="0"/>
        <w:adjustRightInd/>
        <w:snapToGrid/>
        <w:spacing w:line="440" w:lineRule="exact"/>
        <w:ind w:right="4044" w:firstLine="2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1．对采购人的纪律要求</w:t>
      </w:r>
    </w:p>
    <w:p w14:paraId="06A461A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不得泄露</w:t>
      </w:r>
      <w:r>
        <w:rPr>
          <w:rFonts w:hint="eastAsia" w:ascii="宋体" w:hAnsi="宋体" w:eastAsia="宋体" w:cs="宋体"/>
          <w:color w:val="auto"/>
          <w:sz w:val="24"/>
          <w:szCs w:val="24"/>
          <w:highlight w:val="none"/>
        </w:rPr>
        <w:t>招标投标活动中应当保密的情况和资料，不得与供应商串通损害国家利益、社会公共利益或者他人合法权益。下列行为视为采购人与供应商串通投标：</w:t>
      </w:r>
    </w:p>
    <w:p w14:paraId="1B4506A8">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采购人在开标前开启磋商响应性文件，并将投标情况告知</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供应商，或者协助供应商撤换磋商响应性文件，更改报价；</w:t>
      </w:r>
    </w:p>
    <w:p w14:paraId="2F0843A1">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采购人向供应商泄露标底；</w:t>
      </w:r>
    </w:p>
    <w:p w14:paraId="45E4D9C9">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采购人与供应商商定，投标时压低或抬高标价，</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后再给供应商或采购人额外补偿；</w:t>
      </w:r>
    </w:p>
    <w:p w14:paraId="56578627">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采购人预先内定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3EC151A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串通投标行为。</w:t>
      </w:r>
    </w:p>
    <w:p w14:paraId="69EEAB1A">
      <w:pPr>
        <w:pStyle w:val="12"/>
        <w:pageBreakBefore w:val="0"/>
        <w:kinsoku w:val="0"/>
        <w:wordWrap/>
        <w:overflowPunct w:val="0"/>
        <w:topLinePunct w:val="0"/>
        <w:autoSpaceDE/>
        <w:autoSpaceDN/>
        <w:bidi w:val="0"/>
        <w:adjustRightInd/>
        <w:snapToGrid/>
        <w:spacing w:before="34" w:line="440" w:lineRule="exact"/>
        <w:ind w:left="598" w:right="178" w:hanging="480"/>
        <w:textAlignment w:val="auto"/>
        <w:rPr>
          <w:rFonts w:hint="eastAsia" w:ascii="宋体" w:hAnsi="宋体" w:eastAsia="宋体" w:cs="宋体"/>
          <w:b/>
          <w:bCs/>
          <w:color w:val="auto"/>
          <w:spacing w:val="25"/>
          <w:w w:val="99"/>
          <w:sz w:val="24"/>
          <w:szCs w:val="24"/>
          <w:highlight w:val="none"/>
        </w:rPr>
      </w:pPr>
      <w:r>
        <w:rPr>
          <w:rFonts w:hint="eastAsia" w:ascii="宋体" w:hAnsi="宋体" w:eastAsia="宋体" w:cs="宋体"/>
          <w:b/>
          <w:bCs/>
          <w:color w:val="auto"/>
          <w:sz w:val="24"/>
          <w:szCs w:val="24"/>
          <w:highlight w:val="none"/>
        </w:rPr>
        <w:t>2.对供应商的纪律要求</w:t>
      </w:r>
    </w:p>
    <w:p w14:paraId="1A4FEC7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谈判；不得拒绝有关部门的监督检查或者向监督检查部门提供虚假情况。</w:t>
      </w:r>
    </w:p>
    <w:p w14:paraId="22CB01F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下列行为视为以他人名义投标：</w:t>
      </w:r>
    </w:p>
    <w:p w14:paraId="47F2CD72">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供应商挂靠其他单位；</w:t>
      </w:r>
    </w:p>
    <w:p w14:paraId="6BC949B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从其他</w:t>
      </w:r>
      <w:r>
        <w:rPr>
          <w:rFonts w:hint="eastAsia" w:ascii="宋体" w:hAnsi="宋体" w:eastAsia="宋体" w:cs="宋体"/>
          <w:color w:val="auto"/>
          <w:sz w:val="24"/>
          <w:szCs w:val="24"/>
          <w:highlight w:val="none"/>
        </w:rPr>
        <w:t>单位通过转让或租借的方式获取资格或资质证书；</w:t>
      </w:r>
    </w:p>
    <w:p w14:paraId="1942B65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(3）由其他</w:t>
      </w:r>
      <w:r>
        <w:rPr>
          <w:rFonts w:hint="eastAsia" w:ascii="宋体" w:hAnsi="宋体" w:eastAsia="宋体" w:cs="宋体"/>
          <w:color w:val="auto"/>
          <w:sz w:val="24"/>
          <w:szCs w:val="24"/>
          <w:highlight w:val="none"/>
        </w:rPr>
        <w:t>单位及法定代表人在自己编制的磋商响应性文件上加盖印章或签字；</w:t>
      </w:r>
    </w:p>
    <w:p w14:paraId="60AB39E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法律法规规定的</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情形。</w:t>
      </w:r>
    </w:p>
    <w:p w14:paraId="28F83307">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下列行为均视为供应商串通投标：</w:t>
      </w:r>
    </w:p>
    <w:p w14:paraId="0A2FAC3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供应商串通投标报价：</w:t>
      </w:r>
    </w:p>
    <w:p w14:paraId="4BB6F9B5">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a）供应商之间相互约定抬高或压低投标报价；</w:t>
      </w:r>
    </w:p>
    <w:p w14:paraId="6E82528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b）供应商之间相互约定，在招标项目中分别以高、中、低价位报价；</w:t>
      </w:r>
    </w:p>
    <w:p w14:paraId="7E96963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c）供应商之间先进行内部竞价，内定中标人，然后再参加投标；</w:t>
      </w:r>
    </w:p>
    <w:p w14:paraId="572ECB1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d）不同供应商的投标报价或报价组成异常一致的；</w:t>
      </w:r>
    </w:p>
    <w:p w14:paraId="1378A36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e）供应商之间</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串通投标报价的行为。</w:t>
      </w:r>
    </w:p>
    <w:p w14:paraId="3F027B4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不同供应商磋商响应性文件的编制人或审核人为同一人或同一单位人员的；</w:t>
      </w:r>
    </w:p>
    <w:p w14:paraId="22A6BBA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不同供应商磋商响应性文件的授权签署人为同一人或同一单位人员的；</w:t>
      </w:r>
    </w:p>
    <w:p w14:paraId="2E13D275">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不同供应商委托同一人办理投标事宜的；</w:t>
      </w:r>
    </w:p>
    <w:p w14:paraId="66DB293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不同供应商的磋商响应性文件相互混装的；</w:t>
      </w:r>
    </w:p>
    <w:p w14:paraId="0A8FC55A">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 不同供应商使用同一单位的资金缴纳投标保证金的；</w:t>
      </w:r>
    </w:p>
    <w:p w14:paraId="46722B2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 不同供应商的磋商响应性文件载明的项目成员出现相同人员的；</w:t>
      </w:r>
    </w:p>
    <w:p w14:paraId="3F31273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.8 不同供应商的磋商响应性文件内容存在非正常一致的；</w:t>
      </w:r>
    </w:p>
    <w:p w14:paraId="6DB1FA7A">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 不同供应商的服务方案中专门针对本项目的内容基本雷同的；</w:t>
      </w:r>
    </w:p>
    <w:p w14:paraId="086E575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 不同供应商的磋商响应性文件出现磋商小组认为不应当雷同的情况的；</w:t>
      </w:r>
    </w:p>
    <w:p w14:paraId="730FB7E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法律法规规章规定的其他围标串标行为。</w:t>
      </w:r>
    </w:p>
    <w:p w14:paraId="1085E3E4">
      <w:pPr>
        <w:pStyle w:val="12"/>
        <w:pageBreakBefore w:val="0"/>
        <w:kinsoku w:val="0"/>
        <w:wordWrap/>
        <w:overflowPunct w:val="0"/>
        <w:topLinePunct w:val="0"/>
        <w:autoSpaceDE/>
        <w:autoSpaceDN/>
        <w:bidi w:val="0"/>
        <w:adjustRightInd/>
        <w:snapToGrid/>
        <w:spacing w:before="26" w:line="440" w:lineRule="exact"/>
        <w:ind w:right="5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3.对磋商小组成员的纪律要求</w:t>
      </w:r>
    </w:p>
    <w:p w14:paraId="3DDCC95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磋商小组成员不得收受他人的财物或者其他好处，不得向他人</w:t>
      </w:r>
      <w:r>
        <w:rPr>
          <w:rFonts w:hint="eastAsia" w:ascii="宋体" w:hAnsi="宋体" w:cs="宋体"/>
          <w:color w:val="auto"/>
          <w:sz w:val="24"/>
          <w:szCs w:val="24"/>
          <w:highlight w:val="none"/>
          <w:lang w:eastAsia="zh-CN"/>
        </w:rPr>
        <w:t>透露</w:t>
      </w:r>
      <w:r>
        <w:rPr>
          <w:rFonts w:hint="eastAsia" w:ascii="宋体" w:hAnsi="宋体" w:eastAsia="宋体" w:cs="宋体"/>
          <w:color w:val="auto"/>
          <w:sz w:val="24"/>
          <w:szCs w:val="24"/>
          <w:highlight w:val="none"/>
        </w:rPr>
        <w:t>对磋商响应性文件的评审和比较、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候选人的推荐情况以及评标有关的其他情况。在评标活动中，磋商小组成员不得擅离职守，</w:t>
      </w:r>
      <w:bookmarkStart w:id="54" w:name="bookmark13"/>
      <w:bookmarkEnd w:id="54"/>
      <w:bookmarkStart w:id="55" w:name="bookmark14"/>
      <w:bookmarkEnd w:id="55"/>
      <w:bookmarkStart w:id="56" w:name="（十三）废标"/>
      <w:bookmarkEnd w:id="56"/>
      <w:bookmarkStart w:id="57" w:name="（十二）无效投标"/>
      <w:bookmarkEnd w:id="57"/>
      <w:r>
        <w:rPr>
          <w:rFonts w:hint="eastAsia" w:ascii="宋体" w:hAnsi="宋体" w:eastAsia="宋体" w:cs="宋体"/>
          <w:color w:val="auto"/>
          <w:sz w:val="24"/>
          <w:szCs w:val="24"/>
          <w:highlight w:val="none"/>
        </w:rPr>
        <w:t>影响评标程序正常进行，不得使用“评标办法”没有规定的评审因素和标准进行评标。</w:t>
      </w:r>
    </w:p>
    <w:p w14:paraId="11ED6F0E">
      <w:pPr>
        <w:pStyle w:val="12"/>
        <w:pageBreakBefore w:val="0"/>
        <w:kinsoku w:val="0"/>
        <w:wordWrap/>
        <w:overflowPunct w:val="0"/>
        <w:topLinePunct w:val="0"/>
        <w:autoSpaceDE/>
        <w:autoSpaceDN/>
        <w:bidi w:val="0"/>
        <w:adjustRightInd/>
        <w:snapToGrid/>
        <w:spacing w:before="38" w:line="440" w:lineRule="exact"/>
        <w:ind w:left="598" w:right="50" w:hanging="480"/>
        <w:textAlignment w:val="auto"/>
        <w:rPr>
          <w:rFonts w:hint="eastAsia" w:ascii="宋体" w:hAnsi="宋体" w:eastAsia="宋体" w:cs="宋体"/>
          <w:b/>
          <w:bCs/>
          <w:color w:val="auto"/>
          <w:spacing w:val="26"/>
          <w:w w:val="99"/>
          <w:sz w:val="24"/>
          <w:szCs w:val="24"/>
          <w:highlight w:val="none"/>
        </w:rPr>
      </w:pPr>
      <w:r>
        <w:rPr>
          <w:rFonts w:hint="eastAsia" w:ascii="宋体" w:hAnsi="宋体" w:eastAsia="宋体" w:cs="宋体"/>
          <w:b/>
          <w:bCs/>
          <w:color w:val="auto"/>
          <w:sz w:val="24"/>
          <w:szCs w:val="24"/>
          <w:highlight w:val="none"/>
        </w:rPr>
        <w:t>4.对与评标活动有关的工作人员的纪律要求</w:t>
      </w:r>
    </w:p>
    <w:p w14:paraId="54784E7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w:t>
      </w:r>
      <w:r>
        <w:rPr>
          <w:rFonts w:hint="eastAsia" w:ascii="宋体" w:hAnsi="宋体" w:cs="宋体"/>
          <w:color w:val="auto"/>
          <w:sz w:val="24"/>
          <w:szCs w:val="24"/>
          <w:highlight w:val="none"/>
          <w:lang w:eastAsia="zh-CN"/>
        </w:rPr>
        <w:t>透露</w:t>
      </w:r>
      <w:r>
        <w:rPr>
          <w:rFonts w:hint="eastAsia" w:ascii="宋体" w:hAnsi="宋体" w:eastAsia="宋体" w:cs="宋体"/>
          <w:color w:val="auto"/>
          <w:sz w:val="24"/>
          <w:szCs w:val="24"/>
          <w:highlight w:val="none"/>
        </w:rPr>
        <w:t>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69EC5E26">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8" w:name="_Toc503548060"/>
      <w:r>
        <w:rPr>
          <w:rFonts w:hint="eastAsia" w:ascii="宋体" w:hAnsi="宋体" w:eastAsia="宋体" w:cs="宋体"/>
          <w:b/>
          <w:bCs/>
          <w:color w:val="auto"/>
          <w:sz w:val="24"/>
          <w:szCs w:val="24"/>
          <w:highlight w:val="none"/>
          <w:lang w:val="en-US" w:eastAsia="zh-CN"/>
        </w:rPr>
        <w:t>十</w:t>
      </w:r>
      <w:r>
        <w:rPr>
          <w:rFonts w:hint="eastAsia"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无效投标</w:t>
      </w:r>
      <w:bookmarkEnd w:id="58"/>
    </w:p>
    <w:p w14:paraId="5965EDB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遇到下列情况之一时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的投标将被视为无效投标</w:t>
      </w:r>
      <w:r>
        <w:rPr>
          <w:rFonts w:hint="eastAsia" w:ascii="宋体" w:hAnsi="宋体" w:cs="宋体"/>
          <w:color w:val="auto"/>
          <w:sz w:val="24"/>
          <w:szCs w:val="24"/>
          <w:highlight w:val="none"/>
          <w:lang w:eastAsia="zh-CN"/>
        </w:rPr>
        <w:t>：</w:t>
      </w:r>
    </w:p>
    <w:p w14:paraId="0060D93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文件的规定提交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保证金的；</w:t>
      </w:r>
    </w:p>
    <w:p w14:paraId="6C2F3459">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文件未按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文件要求签署、盖章的；</w:t>
      </w:r>
    </w:p>
    <w:p w14:paraId="25E9A6E2">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文件中规定的资格要求的；</w:t>
      </w:r>
    </w:p>
    <w:p w14:paraId="4D7DAEE1">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文件中规定的预算金额或者最高限价的；</w:t>
      </w:r>
    </w:p>
    <w:p w14:paraId="1BB4E97D">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文件含有采购人不能接受的附加条件的；</w:t>
      </w:r>
    </w:p>
    <w:p w14:paraId="559FAA0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(6）法律法规</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文件规定的其他无效情形；</w:t>
      </w:r>
    </w:p>
    <w:p w14:paraId="690CFECA">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有下列情形之一的，视为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串通投标，其投标无效：</w:t>
      </w:r>
    </w:p>
    <w:p w14:paraId="1CBC5919">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的投标文件由同一单位或者个人编制；</w:t>
      </w:r>
    </w:p>
    <w:p w14:paraId="2C095CBA">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委托同一单位或者个人办理投标事宜；</w:t>
      </w:r>
    </w:p>
    <w:p w14:paraId="41A6989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p>
    <w:p w14:paraId="4A7CE7B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p>
    <w:p w14:paraId="15CCC139">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的投标文件相互混装；</w:t>
      </w:r>
    </w:p>
    <w:p w14:paraId="0AAD3EF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保证金从同一单位或者个人的账户转出。</w:t>
      </w:r>
    </w:p>
    <w:p w14:paraId="1AE8D90D">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59" w:name="_Toc503548061"/>
      <w:r>
        <w:rPr>
          <w:rFonts w:hint="eastAsia" w:ascii="宋体" w:hAnsi="宋体" w:eastAsia="宋体" w:cs="宋体"/>
          <w:b/>
          <w:bCs/>
          <w:color w:val="auto"/>
          <w:sz w:val="24"/>
          <w:szCs w:val="24"/>
          <w:highlight w:val="none"/>
          <w:lang w:val="en-US" w:eastAsia="zh-CN"/>
        </w:rPr>
        <w:t>十</w:t>
      </w:r>
      <w:r>
        <w:rPr>
          <w:rFonts w:hint="eastAsia"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废标</w:t>
      </w:r>
      <w:bookmarkEnd w:id="59"/>
    </w:p>
    <w:p w14:paraId="4A01DF5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招标采购中，出现下列情形之一的，予以废标：</w:t>
      </w:r>
    </w:p>
    <w:p w14:paraId="606B0CD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单位或者对竞争性磋商文件作实质响应的投标单位不足</w:t>
      </w:r>
      <w:r>
        <w:rPr>
          <w:rFonts w:hint="eastAsia" w:ascii="宋体" w:hAnsi="宋体" w:eastAsia="宋体" w:cs="宋体"/>
          <w:color w:val="auto"/>
          <w:spacing w:val="4"/>
          <w:sz w:val="24"/>
          <w:szCs w:val="24"/>
          <w:highlight w:val="none"/>
        </w:rPr>
        <w:t>《政府采购货物和服务招标投标管理办法</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政府购买服务管理办法（暂行）</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政府采购竞争性磋商采购方式管理暂行办法</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财政部关于政府采购竞争性磋商采购方式管理暂行办法有关问题的补充通知》及相关法规</w:t>
      </w:r>
      <w:r>
        <w:rPr>
          <w:rFonts w:hint="eastAsia" w:ascii="宋体" w:hAnsi="宋体" w:eastAsia="宋体" w:cs="宋体"/>
          <w:color w:val="auto"/>
          <w:sz w:val="24"/>
          <w:szCs w:val="24"/>
          <w:highlight w:val="none"/>
        </w:rPr>
        <w:t>规定的家数；</w:t>
      </w:r>
    </w:p>
    <w:p w14:paraId="2AFF9B6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出现影响采购公正的违法、违规行为的；</w:t>
      </w:r>
    </w:p>
    <w:p w14:paraId="29BDD4D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供应商的报价均超过了采购预算，采购人不能支付的；</w:t>
      </w:r>
    </w:p>
    <w:p w14:paraId="0D4E67AD">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因重大变故，采购任务取消的。废标后，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应在发布公告相同的网站上公告，并公告废标的详细理由。</w:t>
      </w:r>
    </w:p>
    <w:p w14:paraId="7B5B5163">
      <w:pPr>
        <w:pStyle w:val="3"/>
        <w:pageBreakBefore w:val="0"/>
        <w:wordWrap/>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60" w:name="_Toc503548062"/>
      <w:r>
        <w:rPr>
          <w:rFonts w:hint="eastAsia" w:ascii="宋体" w:hAnsi="宋体" w:eastAsia="宋体" w:cs="宋体"/>
          <w:b/>
          <w:bCs/>
          <w:color w:val="auto"/>
          <w:sz w:val="24"/>
          <w:szCs w:val="24"/>
          <w:highlight w:val="none"/>
          <w:lang w:val="en-US" w:eastAsia="zh-CN"/>
        </w:rPr>
        <w:t>十</w:t>
      </w:r>
      <w:r>
        <w:rPr>
          <w:rFonts w:hint="eastAsia"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质疑和投诉</w:t>
      </w:r>
      <w:bookmarkEnd w:id="60"/>
    </w:p>
    <w:p w14:paraId="052B2CA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1.供应商对政府采购活动事项有疑问的，可以向采购人提出询问，采购人应当及时作出答复，但答复的内容不得涉及商业秘密。</w:t>
      </w:r>
    </w:p>
    <w:p w14:paraId="388BA168">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2.供应商认为竞争性磋商文件、采购过程和中标、中标结果使自己的权益受到损害的，可以在知道或者应知其权益受到损害之日起七个工作日内，以规范的格式，详实的证明材料以书面形式向采购人提出质疑。</w:t>
      </w:r>
    </w:p>
    <w:p w14:paraId="3CEFEDBD">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3.采购人应当在收到供应商的书面质疑后七个工作日内作出答复，并以书面形式通知质疑供应商和其他有关供应商，但答复的内容不得涉及商业秘密。</w:t>
      </w:r>
    </w:p>
    <w:p w14:paraId="403AF12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委托采购代理机构采购的，供应商可以向采购代理机构提出询问或者质疑，采购代理机构应当依照《中华人民共和国政府采购法》第五十一条、第五十三条的规定就采购人委托授权范围内的事项作出答复。</w:t>
      </w:r>
    </w:p>
    <w:p w14:paraId="3621626A">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5.质疑供应商对采购人、采购代理机构的答复不满意或者采购人、采购代理机构未在规定的时间内作出答复的，可以在答复期满后十五个工作日内向同级政府采购监督管理部门投诉。</w:t>
      </w:r>
    </w:p>
    <w:p w14:paraId="5AEAA50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6.政府采购监督管理部门应当在收到投诉后三十个工作日内，对投诉事项作出处理决定，并以书面形式通知投诉人和与投诉事项有关的当事人。</w:t>
      </w:r>
    </w:p>
    <w:p w14:paraId="0B6E1B6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7.政府采购监督管理部门在处理投诉事项期间，可以视具体情况书面通知采购人暂停采购活动，但暂停时间最长不得超过三十日。</w:t>
      </w:r>
    </w:p>
    <w:p w14:paraId="14DDA71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8.投诉人对政府采购监督管理部门的投诉处理决定不服或者政府采购监督管理部门逾期未作处理的，可以依法申请行政复议或者向人民法院提起行政诉讼。</w:t>
      </w:r>
    </w:p>
    <w:p w14:paraId="12554EE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9.质疑、投诉书应当包括下列主要内容：</w:t>
      </w:r>
    </w:p>
    <w:p w14:paraId="5D732D4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投诉人和被投诉人的名称、地址、电话等；</w:t>
      </w:r>
    </w:p>
    <w:p w14:paraId="1BD121F6">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具体的投诉事项及事实依据；</w:t>
      </w:r>
    </w:p>
    <w:p w14:paraId="0D1CF693">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eastAsia="宋体" w:cs="宋体"/>
          <w:color w:val="auto"/>
          <w:sz w:val="24"/>
          <w:szCs w:val="24"/>
          <w:highlight w:val="none"/>
        </w:rPr>
        <w:t>提供有关质疑事项真实可靠的书面证明材料；</w:t>
      </w:r>
    </w:p>
    <w:p w14:paraId="51D6A294">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提起投诉的日期。质疑、投诉书应当署名。质疑、投诉人为自然人的，应当由本人签字；质疑、投诉人为法人或者其他组织的，应当由法定代表人签字并加盖公章；质疑、投诉人为委托授权人的应该出具针对本质疑、投诉事项的法人委托授权书。</w:t>
      </w:r>
    </w:p>
    <w:p w14:paraId="5E7C8F72">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10.投诉人有下列情形之一的，属于虚假、恶意投诉，财政部门应当驳回投诉，将其列入不良行为记录名单，并依法予以处罚：</w:t>
      </w:r>
    </w:p>
    <w:p w14:paraId="56CFF95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1 年内3 次以上投诉均查无实据的；</w:t>
      </w:r>
    </w:p>
    <w:p w14:paraId="5DFD7AFB">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捏造事实或者提供虚假投诉材料的。</w:t>
      </w:r>
    </w:p>
    <w:p w14:paraId="35B3D485">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11.澄清或质疑不予受理的情况有下列情形之一的，属于无效质疑，被质疑人不予受理，由此产生的影响由供应商自行承担：</w:t>
      </w:r>
    </w:p>
    <w:p w14:paraId="098111EF">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不是参与该政府采购项目活动供应商的；</w:t>
      </w:r>
    </w:p>
    <w:p w14:paraId="2F84BD9C">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被质疑人为采购人或政府采购代理机构之外的；</w:t>
      </w:r>
    </w:p>
    <w:p w14:paraId="178CD7FE">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所有质疑事项超过质疑有效期的；</w:t>
      </w:r>
    </w:p>
    <w:p w14:paraId="0AB9E0BF">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以具有法律效力的文书送达之外方式提出的；</w:t>
      </w:r>
    </w:p>
    <w:p w14:paraId="2E031040">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未按上述规定递交澄清或质疑函的；</w:t>
      </w:r>
    </w:p>
    <w:p w14:paraId="390DD8C2">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6）其他不</w:t>
      </w:r>
      <w:r>
        <w:rPr>
          <w:rFonts w:hint="eastAsia" w:ascii="宋体" w:hAnsi="宋体" w:eastAsia="宋体" w:cs="宋体"/>
          <w:color w:val="auto"/>
          <w:sz w:val="24"/>
          <w:szCs w:val="24"/>
          <w:highlight w:val="none"/>
        </w:rPr>
        <w:t>符合受理条件的情形。</w:t>
      </w:r>
    </w:p>
    <w:p w14:paraId="1D9431D2">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12.腐败和欺诈行为</w:t>
      </w:r>
    </w:p>
    <w:p w14:paraId="405BEA49">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eastAsia="宋体" w:cs="宋体"/>
          <w:color w:val="auto"/>
          <w:sz w:val="24"/>
          <w:szCs w:val="24"/>
          <w:highlight w:val="none"/>
        </w:rPr>
        <w:t>定义“腐败行为”系指提供、给予、接受或索取任何有价值的物品来影响</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和/或采购人在采购过程或合同实施过程中的行为。“欺诈行为”系指为了影响采购过程或合同实施过程而谎报事实，损害</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和采购人的利益，包括供应商之间串通投标（递交《磋商响应性文件》之前和之后），人为地使投标丧失竞争性，剥夺采购人从自由公开竞争所能获得的权益。</w:t>
      </w:r>
    </w:p>
    <w:p w14:paraId="0C3E460D">
      <w:pPr>
        <w:pStyle w:val="12"/>
        <w:pageBreakBefore w:val="0"/>
        <w:kinsoku w:val="0"/>
        <w:wordWrap/>
        <w:overflowPunct w:val="0"/>
        <w:topLinePunct w:val="0"/>
        <w:autoSpaceDE/>
        <w:autoSpaceDN/>
        <w:bidi w:val="0"/>
        <w:adjustRightInd/>
        <w:snapToGrid/>
        <w:spacing w:before="34" w:line="440" w:lineRule="exact"/>
        <w:ind w:right="126"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eastAsia="宋体" w:cs="宋体"/>
          <w:color w:val="auto"/>
          <w:sz w:val="24"/>
          <w:szCs w:val="24"/>
          <w:highlight w:val="none"/>
        </w:rPr>
        <w:t>如果</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和采购人认为供应商在本项目的竞争中有腐败或欺诈行为，其投标将被拒绝。</w:t>
      </w:r>
    </w:p>
    <w:bookmarkEnd w:id="47"/>
    <w:bookmarkEnd w:id="48"/>
    <w:p w14:paraId="3148E62F">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61" w:name="_Toc9816"/>
      <w:bookmarkStart w:id="62" w:name="_Toc17336"/>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项目验收</w:t>
      </w:r>
      <w:bookmarkEnd w:id="61"/>
      <w:bookmarkEnd w:id="62"/>
    </w:p>
    <w:p w14:paraId="5E4A657B">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8.1采购单位按照政府采购合同规定的技术、服务、安全标准对供应商履约情况进行验收，并出具验收书。验收书包括每一项技术、服务、安全标准的履约情况。</w:t>
      </w:r>
    </w:p>
    <w:p w14:paraId="704CCD8C">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8.2验收标准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磋商文件、响应文件、政府采购合同规定的标准。</w:t>
      </w:r>
    </w:p>
    <w:p w14:paraId="7069B5A9">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63" w:name="_Toc2211"/>
      <w:bookmarkStart w:id="64" w:name="_Toc25729"/>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适用法律</w:t>
      </w:r>
      <w:bookmarkEnd w:id="63"/>
      <w:bookmarkEnd w:id="64"/>
    </w:p>
    <w:p w14:paraId="2CD000EF">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9.1招标采购单位和供应商的一切招标投标活动均适用于《</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》、《政府采购实施条例》、《政府采购竞争性磋商采购方式管理办法》等相关规定。</w:t>
      </w:r>
    </w:p>
    <w:p w14:paraId="2D1D0543">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65" w:name="_Toc10718"/>
      <w:bookmarkStart w:id="66" w:name="_Toc19329"/>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磋商文件的解释权</w:t>
      </w:r>
      <w:bookmarkEnd w:id="65"/>
      <w:bookmarkEnd w:id="66"/>
    </w:p>
    <w:p w14:paraId="37790F8E">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10.1本项目磋商文件的最终解释权为采购单位所有。</w:t>
      </w:r>
    </w:p>
    <w:p w14:paraId="7E3035A6">
      <w:pPr>
        <w:pStyle w:val="5"/>
        <w:pageBreakBefore w:val="0"/>
        <w:wordWrap/>
        <w:topLinePunct w:val="0"/>
        <w:autoSpaceDE/>
        <w:autoSpaceDN/>
        <w:bidi w:val="0"/>
        <w:adjustRightInd/>
        <w:snapToGrid/>
        <w:spacing w:line="440" w:lineRule="exact"/>
        <w:ind w:firstLine="482"/>
        <w:jc w:val="center"/>
        <w:textAlignment w:val="auto"/>
        <w:outlineLvl w:val="1"/>
        <w:rPr>
          <w:rFonts w:hint="eastAsia" w:ascii="宋体" w:hAnsi="宋体" w:eastAsia="宋体" w:cs="宋体"/>
          <w:b/>
          <w:bCs/>
          <w:color w:val="auto"/>
          <w:sz w:val="24"/>
          <w:szCs w:val="24"/>
          <w:highlight w:val="none"/>
        </w:rPr>
      </w:pPr>
      <w:bookmarkStart w:id="67" w:name="_Toc2219"/>
      <w:bookmarkStart w:id="68" w:name="_Toc12601"/>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其他注意事项</w:t>
      </w:r>
      <w:bookmarkEnd w:id="67"/>
      <w:bookmarkEnd w:id="68"/>
    </w:p>
    <w:p w14:paraId="449609FD">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11.1单位负责人为同一人或者存在直接控股、管理关系的不同供应商，不得参加同一合同项下的政府采购活动。</w:t>
      </w:r>
    </w:p>
    <w:p w14:paraId="6DADEA2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11.2供应商为采购项目提供整体设计、规范编制或者项目管理、监理、检测等服务的供应商，不得再参加该采购项目的其他采购活动。</w:t>
      </w:r>
    </w:p>
    <w:p w14:paraId="7B8B9887">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11.3政府采购法第二十二条第一款第五项所称重大违法记录，是指供应商因违法经营受到刑事处罚或者责令停产停业、吊销许可证或者执照、较大数额罚款等行政处罚。</w:t>
      </w:r>
    </w:p>
    <w:p w14:paraId="7BC1297A">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11.4按照财政部《关于规范政府采购行政处罚有关问题的通知》的规定，各级人民政府财政部门依法对参加政府采购活动的供应商作出的禁止参加政府采购活动等行政处罚决定在全国范围内生效。</w:t>
      </w:r>
    </w:p>
    <w:p w14:paraId="6F919BA0">
      <w:pPr>
        <w:pStyle w:val="5"/>
        <w:pageBreakBefore w:val="0"/>
        <w:wordWrap/>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11.5供应商在参加政府采购活动前3年内因违法经营被禁止在一定期限内参加政府采购活动，期限届满的，可以参加政府采购活动。</w:t>
      </w:r>
    </w:p>
    <w:p w14:paraId="2AC04E6B">
      <w:pPr>
        <w:rPr>
          <w:rFonts w:hint="eastAsia" w:ascii="宋体" w:hAnsi="宋体" w:eastAsia="宋体" w:cs="宋体"/>
          <w:color w:val="auto"/>
          <w:sz w:val="24"/>
          <w:szCs w:val="24"/>
          <w:highlight w:val="none"/>
        </w:rPr>
      </w:pPr>
    </w:p>
    <w:p w14:paraId="036FC231">
      <w:pPr>
        <w:pStyle w:val="3"/>
        <w:rPr>
          <w:rFonts w:hint="eastAsia" w:ascii="宋体" w:hAnsi="宋体" w:eastAsia="宋体" w:cs="宋体"/>
          <w:color w:val="auto"/>
          <w:sz w:val="24"/>
          <w:szCs w:val="24"/>
          <w:highlight w:val="none"/>
        </w:rPr>
      </w:pPr>
    </w:p>
    <w:p w14:paraId="23CA9E93">
      <w:pPr>
        <w:rPr>
          <w:rFonts w:hint="eastAsia" w:ascii="宋体" w:hAnsi="宋体" w:eastAsia="宋体" w:cs="宋体"/>
          <w:color w:val="auto"/>
          <w:sz w:val="24"/>
          <w:szCs w:val="24"/>
          <w:highlight w:val="none"/>
        </w:rPr>
      </w:pPr>
    </w:p>
    <w:p w14:paraId="7F620792">
      <w:pPr>
        <w:pStyle w:val="2"/>
        <w:spacing w:line="600" w:lineRule="auto"/>
        <w:jc w:val="center"/>
        <w:rPr>
          <w:rFonts w:hint="eastAsia" w:ascii="宋体" w:hAnsi="宋体" w:eastAsia="宋体" w:cs="宋体"/>
          <w:b/>
          <w:bCs w:val="0"/>
          <w:color w:val="auto"/>
          <w:sz w:val="24"/>
          <w:szCs w:val="24"/>
          <w:highlight w:val="none"/>
        </w:rPr>
      </w:pPr>
      <w:bookmarkStart w:id="69" w:name="_Toc3262"/>
      <w:bookmarkStart w:id="70" w:name="_Toc15203"/>
      <w:r>
        <w:rPr>
          <w:rFonts w:hint="eastAsia" w:ascii="宋体" w:hAnsi="宋体" w:eastAsia="宋体" w:cs="宋体"/>
          <w:b/>
          <w:bCs w:val="0"/>
          <w:color w:val="auto"/>
          <w:sz w:val="24"/>
          <w:szCs w:val="24"/>
          <w:highlight w:val="none"/>
        </w:rPr>
        <w:t>第三章 采购</w:t>
      </w:r>
      <w:bookmarkEnd w:id="25"/>
      <w:bookmarkEnd w:id="26"/>
      <w:bookmarkEnd w:id="27"/>
      <w:r>
        <w:rPr>
          <w:rFonts w:hint="eastAsia" w:ascii="宋体" w:hAnsi="宋体" w:eastAsia="宋体" w:cs="宋体"/>
          <w:b/>
          <w:bCs w:val="0"/>
          <w:color w:val="auto"/>
          <w:sz w:val="24"/>
          <w:szCs w:val="24"/>
          <w:highlight w:val="none"/>
        </w:rPr>
        <w:t>需求</w:t>
      </w:r>
      <w:bookmarkEnd w:id="28"/>
      <w:bookmarkEnd w:id="29"/>
      <w:bookmarkEnd w:id="30"/>
      <w:bookmarkEnd w:id="31"/>
      <w:bookmarkEnd w:id="32"/>
      <w:bookmarkEnd w:id="69"/>
      <w:bookmarkEnd w:id="70"/>
      <w:bookmarkStart w:id="71" w:name="_Toc531075010"/>
      <w:bookmarkStart w:id="72" w:name="_Toc532543566"/>
      <w:bookmarkStart w:id="73" w:name="_Toc10724"/>
    </w:p>
    <w:p w14:paraId="6DD99A4E">
      <w:pPr>
        <w:pStyle w:val="29"/>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项目概况</w:t>
      </w:r>
    </w:p>
    <w:p w14:paraId="2AC25506">
      <w:pPr>
        <w:pStyle w:val="29"/>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shd w:val="clear" w:color="auto" w:fill="FFFFFF"/>
          <w:lang w:val="zh-CN"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项目名称：</w:t>
      </w:r>
      <w:r>
        <w:rPr>
          <w:rFonts w:hint="eastAsia" w:cs="宋体"/>
          <w:b w:val="0"/>
          <w:bCs w:val="0"/>
          <w:color w:val="auto"/>
          <w:sz w:val="24"/>
          <w:szCs w:val="24"/>
          <w:highlight w:val="none"/>
          <w:lang w:eastAsia="zh-CN"/>
        </w:rPr>
        <w:t>经发局采购零碳工业园区试点申报服务项目</w:t>
      </w:r>
    </w:p>
    <w:p w14:paraId="212B723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采购预算：</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lang w:val="en-US" w:eastAsia="zh-CN"/>
        </w:rPr>
        <w:t>万元</w:t>
      </w:r>
    </w:p>
    <w:p w14:paraId="49965B06">
      <w:pPr>
        <w:spacing w:line="360" w:lineRule="auto"/>
        <w:ind w:firstLine="480" w:firstLineChars="200"/>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服务期限：</w:t>
      </w:r>
      <w:r>
        <w:rPr>
          <w:rFonts w:hint="eastAsia" w:ascii="宋体" w:hAnsi="宋体" w:cs="宋体"/>
          <w:b w:val="0"/>
          <w:bCs w:val="0"/>
          <w:color w:val="auto"/>
          <w:sz w:val="24"/>
          <w:szCs w:val="24"/>
          <w:highlight w:val="none"/>
          <w:u w:val="none"/>
          <w:lang w:val="en-US" w:eastAsia="zh-CN"/>
        </w:rPr>
        <w:t xml:space="preserve">合同签订后12个月内按要求完成国家级零碳工业园区试点申报方案。 </w:t>
      </w:r>
    </w:p>
    <w:p w14:paraId="2F3F118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shd w:val="clear" w:color="auto" w:fill="FFFFFF"/>
          <w:lang w:val="en-US" w:eastAsia="zh-CN"/>
        </w:rPr>
        <w:t>4.</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一、现状调研与基础分析；二、目标设定与发展路径规划；三、重点任务与技术路线设计；四、方案实施计划与保障措施；五、协助园区争创国家级零碳园区试点。</w:t>
      </w:r>
      <w:r>
        <w:rPr>
          <w:rFonts w:hint="eastAsia" w:ascii="宋体" w:hAnsi="宋体" w:eastAsia="宋体" w:cs="宋体"/>
          <w:b w:val="0"/>
          <w:bCs w:val="0"/>
          <w:color w:val="auto"/>
          <w:sz w:val="24"/>
          <w:szCs w:val="24"/>
          <w:highlight w:val="none"/>
          <w:lang w:eastAsia="zh-CN"/>
        </w:rPr>
        <w:t>（具体详见采购文件项目需求）。</w:t>
      </w:r>
    </w:p>
    <w:p w14:paraId="6695D80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服务地点：新疆准东经济技术开发区</w:t>
      </w:r>
      <w:r>
        <w:rPr>
          <w:rFonts w:hint="eastAsia" w:ascii="宋体" w:hAnsi="宋体" w:eastAsia="宋体" w:cs="宋体"/>
          <w:b w:val="0"/>
          <w:bCs w:val="0"/>
          <w:color w:val="auto"/>
          <w:szCs w:val="24"/>
          <w:highlight w:val="none"/>
          <w:lang w:eastAsia="zh-CN"/>
        </w:rPr>
        <w:t xml:space="preserve"> </w:t>
      </w:r>
      <w:r>
        <w:rPr>
          <w:rFonts w:hint="eastAsia" w:ascii="宋体" w:hAnsi="宋体" w:eastAsia="宋体" w:cs="宋体"/>
          <w:b w:val="0"/>
          <w:bCs w:val="0"/>
          <w:color w:val="auto"/>
          <w:sz w:val="24"/>
          <w:szCs w:val="24"/>
          <w:highlight w:val="none"/>
        </w:rPr>
        <w:t xml:space="preserve">                                                                         </w:t>
      </w:r>
    </w:p>
    <w:p w14:paraId="28715407">
      <w:pPr>
        <w:pageBreakBefore w:val="0"/>
        <w:numPr>
          <w:ilvl w:val="0"/>
          <w:numId w:val="0"/>
        </w:numPr>
        <w:kinsoku/>
        <w:autoSpaceDE w:val="0"/>
        <w:autoSpaceDN w:val="0"/>
        <w:bidi w:val="0"/>
        <w:adjustRightInd w:val="0"/>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6.服务内容</w:t>
      </w:r>
    </w:p>
    <w:p w14:paraId="349BDE43">
      <w:pPr>
        <w:keepNext w:val="0"/>
        <w:keepLines w:val="0"/>
        <w:pageBreakBefore w:val="0"/>
        <w:widowControl w:val="0"/>
        <w:kinsoku/>
        <w:wordWrap/>
        <w:overflowPunct/>
        <w:topLinePunct w:val="0"/>
        <w:autoSpaceDE/>
        <w:autoSpaceDN/>
        <w:bidi w:val="0"/>
        <w:adjustRightInd/>
        <w:snapToGrid/>
        <w:spacing w:line="560" w:lineRule="exact"/>
        <w:ind w:firstLine="438" w:firstLineChars="200"/>
        <w:jc w:val="both"/>
        <w:textAlignment w:val="auto"/>
        <w:rPr>
          <w:rFonts w:hint="eastAsia" w:ascii="宋体" w:hAnsi="宋体" w:eastAsia="宋体" w:cs="宋体"/>
          <w:b/>
          <w:bCs/>
          <w:color w:val="auto"/>
          <w:spacing w:val="-11"/>
          <w:sz w:val="24"/>
          <w:szCs w:val="24"/>
          <w:lang w:eastAsia="zh-CN"/>
        </w:rPr>
      </w:pPr>
      <w:bookmarkStart w:id="74" w:name="_Toc26845"/>
      <w:bookmarkStart w:id="75" w:name="_Toc2064"/>
      <w:bookmarkStart w:id="76" w:name="_Toc18735"/>
      <w:bookmarkStart w:id="77" w:name="_Toc14247"/>
      <w:bookmarkStart w:id="78" w:name="_Toc5938"/>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一</w:t>
      </w:r>
      <w:r>
        <w:rPr>
          <w:rFonts w:hint="eastAsia" w:ascii="宋体" w:hAnsi="宋体" w:eastAsia="宋体" w:cs="宋体"/>
          <w:b/>
          <w:bCs/>
          <w:color w:val="auto"/>
          <w:spacing w:val="-11"/>
          <w:sz w:val="24"/>
          <w:szCs w:val="24"/>
          <w:lang w:eastAsia="zh-CN"/>
        </w:rPr>
        <w:t>）现状调研与基础分析</w:t>
      </w:r>
    </w:p>
    <w:p w14:paraId="1FA07805">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1.</w:t>
      </w:r>
      <w:r>
        <w:rPr>
          <w:rFonts w:hint="eastAsia" w:ascii="宋体" w:hAnsi="宋体" w:eastAsia="宋体" w:cs="宋体"/>
          <w:color w:val="auto"/>
          <w:spacing w:val="-11"/>
          <w:sz w:val="24"/>
          <w:szCs w:val="24"/>
          <w:lang w:eastAsia="zh-CN"/>
        </w:rPr>
        <w:t>开展园区碳排放现状调查，建立园区碳排放基线，包括产业结构、能源消耗、碳排放来源、污染物排放等分析；</w:t>
      </w:r>
    </w:p>
    <w:p w14:paraId="5C6BDAA3">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lang w:eastAsia="zh-CN"/>
        </w:rPr>
        <w:t>评估园区可再生能源利用现状，分析光伏、风电、储能等清洁能源在园区的可开发潜力；</w:t>
      </w:r>
    </w:p>
    <w:p w14:paraId="3DA86FC8">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lang w:eastAsia="zh-CN"/>
        </w:rPr>
        <w:t>梳理国家及地方零碳园区相关政策，研究先进零碳园区案例，结合</w:t>
      </w:r>
      <w:r>
        <w:rPr>
          <w:rFonts w:hint="eastAsia" w:ascii="宋体" w:hAnsi="宋体" w:eastAsia="宋体" w:cs="宋体"/>
          <w:color w:val="auto"/>
          <w:spacing w:val="-11"/>
          <w:sz w:val="24"/>
          <w:szCs w:val="24"/>
          <w:lang w:val="en-US" w:eastAsia="zh-CN"/>
        </w:rPr>
        <w:t>准东</w:t>
      </w:r>
      <w:r>
        <w:rPr>
          <w:rFonts w:hint="eastAsia" w:ascii="宋体" w:hAnsi="宋体" w:eastAsia="宋体" w:cs="宋体"/>
          <w:color w:val="auto"/>
          <w:spacing w:val="-11"/>
          <w:sz w:val="24"/>
          <w:szCs w:val="24"/>
          <w:lang w:eastAsia="zh-CN"/>
        </w:rPr>
        <w:t>经开区实际，提出适用的技术路径。</w:t>
      </w:r>
    </w:p>
    <w:p w14:paraId="74762015">
      <w:pPr>
        <w:keepNext w:val="0"/>
        <w:keepLines w:val="0"/>
        <w:pageBreakBefore w:val="0"/>
        <w:widowControl w:val="0"/>
        <w:kinsoku/>
        <w:wordWrap/>
        <w:overflowPunct/>
        <w:topLinePunct w:val="0"/>
        <w:autoSpaceDE/>
        <w:autoSpaceDN/>
        <w:bidi w:val="0"/>
        <w:adjustRightInd/>
        <w:snapToGrid/>
        <w:spacing w:line="560" w:lineRule="exact"/>
        <w:ind w:firstLine="438"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二</w:t>
      </w:r>
      <w:r>
        <w:rPr>
          <w:rFonts w:hint="eastAsia" w:ascii="宋体" w:hAnsi="宋体" w:eastAsia="宋体" w:cs="宋体"/>
          <w:b/>
          <w:bCs/>
          <w:color w:val="auto"/>
          <w:spacing w:val="-11"/>
          <w:sz w:val="24"/>
          <w:szCs w:val="24"/>
          <w:lang w:eastAsia="zh-CN"/>
        </w:rPr>
        <w:t>）目标设定与发展路径规划</w:t>
      </w:r>
    </w:p>
    <w:p w14:paraId="493AC2C2">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1.</w:t>
      </w:r>
      <w:r>
        <w:rPr>
          <w:rFonts w:hint="eastAsia" w:ascii="宋体" w:hAnsi="宋体" w:eastAsia="宋体" w:cs="宋体"/>
          <w:color w:val="auto"/>
          <w:spacing w:val="-11"/>
          <w:sz w:val="24"/>
          <w:szCs w:val="24"/>
          <w:lang w:eastAsia="zh-CN"/>
        </w:rPr>
        <w:t>结合国家碳达峰、碳中和目标，制定园区零碳发展目标，分阶段设定目标节点（如2025年、2030年等）；</w:t>
      </w:r>
    </w:p>
    <w:p w14:paraId="4C51FB7E">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lang w:eastAsia="zh-CN"/>
        </w:rPr>
        <w:t>设计园区绿色零碳发展路径，明确重点行业、重点企业的减排方向，提出能源替代、节能降碳等具体举措；</w:t>
      </w:r>
    </w:p>
    <w:p w14:paraId="5936795B">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lang w:eastAsia="zh-CN"/>
        </w:rPr>
        <w:t>探索碳市场机制在园区的应用，研究碳交易、碳足迹管理等市场化手段在园区的落地模式。</w:t>
      </w:r>
    </w:p>
    <w:p w14:paraId="639269B5">
      <w:pPr>
        <w:keepNext w:val="0"/>
        <w:keepLines w:val="0"/>
        <w:pageBreakBefore w:val="0"/>
        <w:widowControl w:val="0"/>
        <w:kinsoku/>
        <w:wordWrap/>
        <w:overflowPunct/>
        <w:topLinePunct w:val="0"/>
        <w:autoSpaceDE/>
        <w:autoSpaceDN/>
        <w:bidi w:val="0"/>
        <w:adjustRightInd/>
        <w:snapToGrid/>
        <w:spacing w:line="560" w:lineRule="exact"/>
        <w:ind w:firstLine="438" w:firstLineChars="200"/>
        <w:jc w:val="both"/>
        <w:textAlignment w:val="auto"/>
        <w:rPr>
          <w:rFonts w:hint="eastAsia"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三</w:t>
      </w:r>
      <w:r>
        <w:rPr>
          <w:rFonts w:hint="eastAsia" w:ascii="宋体" w:hAnsi="宋体" w:eastAsia="宋体" w:cs="宋体"/>
          <w:b/>
          <w:bCs/>
          <w:color w:val="auto"/>
          <w:spacing w:val="-11"/>
          <w:sz w:val="24"/>
          <w:szCs w:val="24"/>
          <w:lang w:eastAsia="zh-CN"/>
        </w:rPr>
        <w:t>）重点任务与技术路线设计</w:t>
      </w:r>
    </w:p>
    <w:p w14:paraId="5063C5ED">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1.</w:t>
      </w:r>
      <w:r>
        <w:rPr>
          <w:rFonts w:hint="eastAsia" w:ascii="宋体" w:hAnsi="宋体" w:eastAsia="宋体" w:cs="宋体"/>
          <w:color w:val="auto"/>
          <w:spacing w:val="-11"/>
          <w:sz w:val="24"/>
          <w:szCs w:val="24"/>
          <w:lang w:eastAsia="zh-CN"/>
        </w:rPr>
        <w:t>零碳能源系统：制定园区可再生能源发展方案，优化能源管网，推动非化石能源利用、多能互补、储能技术应用、智能微网建设及与周边绿电电网对接，实现园区电力零碳化；</w:t>
      </w:r>
    </w:p>
    <w:p w14:paraId="6BE21145">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lang w:eastAsia="zh-CN"/>
        </w:rPr>
        <w:t>产业低碳转型：提出绿色制造改造方案，促进企业节能技改、能源管理优化、废弃物循环利用网络建设、废旧资源综合利用，发展低能耗、低污染、低碳排放、高附加值的新兴产业，推动园区产业低碳化发展；</w:t>
      </w:r>
    </w:p>
    <w:p w14:paraId="211B9D26">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lang w:eastAsia="zh-CN"/>
        </w:rPr>
        <w:t>绿色交通与建筑：推广新能源汽车、充电设施布局规划，绿色交通基础设施建设，推动园区建筑节能改造，光伏与建筑一体化，提高建筑能效。</w:t>
      </w:r>
    </w:p>
    <w:p w14:paraId="549900D0">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4.</w:t>
      </w:r>
      <w:r>
        <w:rPr>
          <w:rFonts w:hint="eastAsia" w:ascii="宋体" w:hAnsi="宋体" w:eastAsia="宋体" w:cs="宋体"/>
          <w:color w:val="auto"/>
          <w:spacing w:val="-11"/>
          <w:sz w:val="24"/>
          <w:szCs w:val="24"/>
          <w:lang w:eastAsia="zh-CN"/>
        </w:rPr>
        <w:t>碳汇与绿色管理：推进碳汇建设，包括CCUS技术应用和生态碳汇建设；搭建智能化管理平台，实现能源和碳排放监测统计，引入第三方专业技术服务，提升园区绿色低碳管理水平。</w:t>
      </w:r>
    </w:p>
    <w:p w14:paraId="5C6B8ED6">
      <w:pPr>
        <w:keepNext w:val="0"/>
        <w:keepLines w:val="0"/>
        <w:pageBreakBefore w:val="0"/>
        <w:widowControl w:val="0"/>
        <w:kinsoku/>
        <w:wordWrap/>
        <w:overflowPunct/>
        <w:topLinePunct w:val="0"/>
        <w:autoSpaceDE/>
        <w:autoSpaceDN/>
        <w:bidi w:val="0"/>
        <w:adjustRightInd/>
        <w:snapToGrid/>
        <w:spacing w:line="560" w:lineRule="exact"/>
        <w:ind w:firstLine="438" w:firstLineChars="200"/>
        <w:jc w:val="both"/>
        <w:textAlignment w:val="auto"/>
        <w:rPr>
          <w:rFonts w:hint="eastAsia" w:ascii="宋体" w:hAnsi="宋体" w:eastAsia="宋体" w:cs="宋体"/>
          <w:b/>
          <w:bCs/>
          <w:color w:val="auto"/>
          <w:spacing w:val="-11"/>
          <w:sz w:val="24"/>
          <w:szCs w:val="24"/>
          <w:lang w:eastAsia="zh-CN"/>
        </w:rPr>
      </w:pP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四</w:t>
      </w:r>
      <w:r>
        <w:rPr>
          <w:rFonts w:hint="eastAsia" w:ascii="宋体" w:hAnsi="宋体" w:eastAsia="宋体" w:cs="宋体"/>
          <w:b/>
          <w:bCs/>
          <w:color w:val="auto"/>
          <w:spacing w:val="-11"/>
          <w:sz w:val="24"/>
          <w:szCs w:val="24"/>
          <w:lang w:eastAsia="zh-CN"/>
        </w:rPr>
        <w:t>）方案实施计划与保障措施</w:t>
      </w:r>
    </w:p>
    <w:p w14:paraId="6AAB3979">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1.</w:t>
      </w:r>
      <w:r>
        <w:rPr>
          <w:rFonts w:hint="eastAsia" w:ascii="宋体" w:hAnsi="宋体" w:eastAsia="宋体" w:cs="宋体"/>
          <w:color w:val="auto"/>
          <w:spacing w:val="-11"/>
          <w:sz w:val="24"/>
          <w:szCs w:val="24"/>
          <w:lang w:eastAsia="zh-CN"/>
        </w:rPr>
        <w:t>制定园区零碳建设的阶段性实施计划，明确关键节点、任务分工、时间表和预期成效；</w:t>
      </w:r>
    </w:p>
    <w:p w14:paraId="3F824B99">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lang w:eastAsia="zh-CN"/>
        </w:rPr>
        <w:t>构建园区零碳绩效考核机制，提出科学可量化的评估指标，确保零碳园区建设进展可追踪、可考核；</w:t>
      </w:r>
    </w:p>
    <w:p w14:paraId="4A4A670C">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lang w:eastAsia="zh-CN"/>
        </w:rPr>
        <w:t>分析园区零碳转型的潜在风险及应对策略，确保方案具备长期可持续性。</w:t>
      </w:r>
    </w:p>
    <w:p w14:paraId="36F82828">
      <w:pPr>
        <w:keepNext w:val="0"/>
        <w:keepLines w:val="0"/>
        <w:pageBreakBefore w:val="0"/>
        <w:widowControl w:val="0"/>
        <w:kinsoku/>
        <w:wordWrap/>
        <w:overflowPunct/>
        <w:topLinePunct w:val="0"/>
        <w:autoSpaceDE/>
        <w:autoSpaceDN/>
        <w:bidi w:val="0"/>
        <w:adjustRightInd/>
        <w:snapToGrid/>
        <w:spacing w:line="560" w:lineRule="exact"/>
        <w:ind w:firstLine="438" w:firstLineChars="200"/>
        <w:jc w:val="both"/>
        <w:textAlignment w:val="auto"/>
        <w:rPr>
          <w:rFonts w:hint="eastAsia" w:ascii="宋体" w:hAnsi="宋体" w:eastAsia="宋体" w:cs="宋体"/>
          <w:b/>
          <w:bCs/>
          <w:color w:val="auto"/>
          <w:spacing w:val="-11"/>
          <w:sz w:val="24"/>
          <w:szCs w:val="24"/>
          <w:lang w:val="en-US" w:eastAsia="zh-CN"/>
        </w:rPr>
      </w:pPr>
      <w:r>
        <w:rPr>
          <w:rFonts w:hint="eastAsia" w:ascii="宋体" w:hAnsi="宋体" w:eastAsia="宋体" w:cs="宋体"/>
          <w:b/>
          <w:bCs/>
          <w:color w:val="auto"/>
          <w:spacing w:val="-11"/>
          <w:sz w:val="24"/>
          <w:szCs w:val="24"/>
          <w:lang w:val="en-US" w:eastAsia="zh-CN"/>
        </w:rPr>
        <w:t>（五）协助园区争创国家级零碳园区试点</w:t>
      </w:r>
    </w:p>
    <w:p w14:paraId="24E7C6B1">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1.编制完成国家级零碳园区试点申报方案；</w:t>
      </w:r>
    </w:p>
    <w:p w14:paraId="35D5930D">
      <w:pPr>
        <w:keepNext w:val="0"/>
        <w:keepLines w:val="0"/>
        <w:pageBreakBefore w:val="0"/>
        <w:widowControl w:val="0"/>
        <w:kinsoku/>
        <w:wordWrap/>
        <w:overflowPunct/>
        <w:topLinePunct w:val="0"/>
        <w:autoSpaceDE/>
        <w:autoSpaceDN/>
        <w:bidi w:val="0"/>
        <w:adjustRightInd/>
        <w:snapToGrid/>
        <w:spacing w:line="560" w:lineRule="exact"/>
        <w:ind w:firstLine="436" w:firstLineChars="200"/>
        <w:jc w:val="both"/>
        <w:textAlignment w:val="auto"/>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2.配合管委会申报国家级零碳园区，开展相关协调工作。</w:t>
      </w:r>
    </w:p>
    <w:p w14:paraId="699C6F76">
      <w:pPr>
        <w:pStyle w:val="11"/>
        <w:widowControl w:val="0"/>
        <w:numPr>
          <w:ilvl w:val="0"/>
          <w:numId w:val="0"/>
        </w:numPr>
        <w:jc w:val="both"/>
        <w:rPr>
          <w:rFonts w:hint="eastAsia" w:ascii="宋体" w:hAnsi="宋体" w:eastAsia="宋体" w:cs="宋体"/>
          <w:b/>
          <w:bCs w:val="0"/>
          <w:color w:val="auto"/>
          <w:sz w:val="24"/>
          <w:szCs w:val="24"/>
          <w:highlight w:val="none"/>
        </w:rPr>
      </w:pPr>
    </w:p>
    <w:p w14:paraId="2BB90FC9">
      <w:pPr>
        <w:pStyle w:val="11"/>
        <w:widowControl w:val="0"/>
        <w:numPr>
          <w:ilvl w:val="0"/>
          <w:numId w:val="0"/>
        </w:numPr>
        <w:jc w:val="both"/>
        <w:rPr>
          <w:rFonts w:hint="eastAsia" w:ascii="宋体" w:hAnsi="宋体" w:eastAsia="宋体" w:cs="宋体"/>
          <w:b/>
          <w:bCs w:val="0"/>
          <w:color w:val="auto"/>
          <w:sz w:val="24"/>
          <w:szCs w:val="24"/>
          <w:highlight w:val="none"/>
        </w:rPr>
      </w:pPr>
    </w:p>
    <w:p w14:paraId="5756D8D0">
      <w:pPr>
        <w:pStyle w:val="11"/>
        <w:widowControl w:val="0"/>
        <w:numPr>
          <w:ilvl w:val="0"/>
          <w:numId w:val="0"/>
        </w:numPr>
        <w:jc w:val="both"/>
        <w:rPr>
          <w:rFonts w:hint="eastAsia" w:ascii="宋体" w:hAnsi="宋体" w:eastAsia="宋体" w:cs="宋体"/>
          <w:b/>
          <w:bCs w:val="0"/>
          <w:color w:val="auto"/>
          <w:sz w:val="24"/>
          <w:szCs w:val="24"/>
          <w:highlight w:val="none"/>
        </w:rPr>
      </w:pPr>
    </w:p>
    <w:p w14:paraId="16597641">
      <w:pPr>
        <w:pStyle w:val="11"/>
        <w:widowControl w:val="0"/>
        <w:numPr>
          <w:ilvl w:val="0"/>
          <w:numId w:val="0"/>
        </w:numPr>
        <w:jc w:val="both"/>
        <w:rPr>
          <w:rFonts w:hint="eastAsia" w:ascii="宋体" w:hAnsi="宋体" w:eastAsia="宋体" w:cs="宋体"/>
          <w:b/>
          <w:bCs w:val="0"/>
          <w:color w:val="auto"/>
          <w:sz w:val="24"/>
          <w:szCs w:val="24"/>
          <w:highlight w:val="none"/>
        </w:rPr>
      </w:pPr>
    </w:p>
    <w:p w14:paraId="1372FEED">
      <w:pPr>
        <w:pStyle w:val="11"/>
        <w:widowControl w:val="0"/>
        <w:numPr>
          <w:ilvl w:val="0"/>
          <w:numId w:val="0"/>
        </w:numPr>
        <w:jc w:val="both"/>
        <w:rPr>
          <w:rFonts w:hint="eastAsia" w:ascii="宋体" w:hAnsi="宋体" w:eastAsia="宋体" w:cs="宋体"/>
          <w:b/>
          <w:bCs w:val="0"/>
          <w:color w:val="auto"/>
          <w:sz w:val="24"/>
          <w:szCs w:val="24"/>
          <w:highlight w:val="none"/>
        </w:rPr>
      </w:pPr>
    </w:p>
    <w:p w14:paraId="36260EB3">
      <w:pPr>
        <w:pStyle w:val="11"/>
        <w:widowControl w:val="0"/>
        <w:numPr>
          <w:ilvl w:val="0"/>
          <w:numId w:val="0"/>
        </w:numPr>
        <w:jc w:val="both"/>
        <w:rPr>
          <w:rFonts w:hint="eastAsia" w:ascii="宋体" w:hAnsi="宋体" w:eastAsia="宋体" w:cs="宋体"/>
          <w:b/>
          <w:bCs w:val="0"/>
          <w:color w:val="auto"/>
          <w:sz w:val="24"/>
          <w:szCs w:val="24"/>
          <w:highlight w:val="none"/>
        </w:rPr>
      </w:pPr>
    </w:p>
    <w:p w14:paraId="6E5630A9">
      <w:pPr>
        <w:pStyle w:val="11"/>
        <w:widowControl w:val="0"/>
        <w:numPr>
          <w:ilvl w:val="0"/>
          <w:numId w:val="0"/>
        </w:numPr>
        <w:jc w:val="both"/>
        <w:rPr>
          <w:rFonts w:hint="eastAsia" w:ascii="宋体" w:hAnsi="宋体" w:eastAsia="宋体" w:cs="宋体"/>
          <w:b/>
          <w:bCs w:val="0"/>
          <w:color w:val="auto"/>
          <w:sz w:val="24"/>
          <w:szCs w:val="24"/>
          <w:highlight w:val="none"/>
        </w:rPr>
      </w:pPr>
    </w:p>
    <w:p w14:paraId="37B42117">
      <w:pPr>
        <w:pStyle w:val="11"/>
        <w:widowControl w:val="0"/>
        <w:numPr>
          <w:ilvl w:val="0"/>
          <w:numId w:val="0"/>
        </w:numPr>
        <w:jc w:val="both"/>
        <w:rPr>
          <w:rFonts w:hint="eastAsia" w:ascii="宋体" w:hAnsi="宋体" w:eastAsia="宋体" w:cs="宋体"/>
          <w:b/>
          <w:bCs w:val="0"/>
          <w:color w:val="auto"/>
          <w:sz w:val="24"/>
          <w:szCs w:val="24"/>
          <w:highlight w:val="none"/>
        </w:rPr>
      </w:pPr>
    </w:p>
    <w:p w14:paraId="302132F4">
      <w:pPr>
        <w:pStyle w:val="11"/>
        <w:widowControl w:val="0"/>
        <w:numPr>
          <w:ilvl w:val="0"/>
          <w:numId w:val="0"/>
        </w:numPr>
        <w:jc w:val="both"/>
        <w:rPr>
          <w:rFonts w:hint="eastAsia" w:ascii="宋体" w:hAnsi="宋体" w:eastAsia="宋体" w:cs="宋体"/>
          <w:b/>
          <w:bCs w:val="0"/>
          <w:color w:val="auto"/>
          <w:sz w:val="24"/>
          <w:szCs w:val="24"/>
          <w:highlight w:val="none"/>
        </w:rPr>
      </w:pPr>
    </w:p>
    <w:p w14:paraId="66C11FF3">
      <w:pPr>
        <w:pStyle w:val="11"/>
        <w:widowControl w:val="0"/>
        <w:numPr>
          <w:ilvl w:val="0"/>
          <w:numId w:val="0"/>
        </w:numPr>
        <w:jc w:val="both"/>
        <w:rPr>
          <w:rFonts w:hint="eastAsia" w:ascii="宋体" w:hAnsi="宋体" w:eastAsia="宋体" w:cs="宋体"/>
          <w:b/>
          <w:bCs w:val="0"/>
          <w:color w:val="auto"/>
          <w:sz w:val="24"/>
          <w:szCs w:val="24"/>
          <w:highlight w:val="none"/>
        </w:rPr>
      </w:pPr>
    </w:p>
    <w:p w14:paraId="0DA4B159">
      <w:pPr>
        <w:pStyle w:val="11"/>
        <w:widowControl w:val="0"/>
        <w:numPr>
          <w:ilvl w:val="0"/>
          <w:numId w:val="0"/>
        </w:numPr>
        <w:jc w:val="both"/>
        <w:rPr>
          <w:rFonts w:hint="eastAsia" w:ascii="宋体" w:hAnsi="宋体" w:eastAsia="宋体" w:cs="宋体"/>
          <w:b/>
          <w:bCs w:val="0"/>
          <w:color w:val="auto"/>
          <w:sz w:val="24"/>
          <w:szCs w:val="24"/>
          <w:highlight w:val="none"/>
        </w:rPr>
      </w:pPr>
    </w:p>
    <w:p w14:paraId="4F64CD95">
      <w:pPr>
        <w:pStyle w:val="11"/>
        <w:widowControl w:val="0"/>
        <w:numPr>
          <w:ilvl w:val="0"/>
          <w:numId w:val="0"/>
        </w:numPr>
        <w:jc w:val="both"/>
        <w:rPr>
          <w:rFonts w:hint="eastAsia" w:ascii="宋体" w:hAnsi="宋体" w:eastAsia="宋体" w:cs="宋体"/>
          <w:b/>
          <w:bCs w:val="0"/>
          <w:color w:val="auto"/>
          <w:sz w:val="24"/>
          <w:szCs w:val="24"/>
          <w:highlight w:val="none"/>
        </w:rPr>
      </w:pPr>
    </w:p>
    <w:p w14:paraId="1ED1E144">
      <w:pPr>
        <w:pStyle w:val="11"/>
        <w:widowControl w:val="0"/>
        <w:numPr>
          <w:ilvl w:val="0"/>
          <w:numId w:val="0"/>
        </w:numPr>
        <w:jc w:val="both"/>
        <w:rPr>
          <w:rFonts w:hint="eastAsia" w:ascii="宋体" w:hAnsi="宋体" w:eastAsia="宋体" w:cs="宋体"/>
          <w:b/>
          <w:bCs w:val="0"/>
          <w:color w:val="auto"/>
          <w:sz w:val="24"/>
          <w:szCs w:val="24"/>
          <w:highlight w:val="none"/>
        </w:rPr>
      </w:pPr>
    </w:p>
    <w:p w14:paraId="75576E29">
      <w:pPr>
        <w:pStyle w:val="11"/>
        <w:widowControl w:val="0"/>
        <w:numPr>
          <w:ilvl w:val="0"/>
          <w:numId w:val="0"/>
        </w:numPr>
        <w:jc w:val="both"/>
        <w:rPr>
          <w:rFonts w:hint="eastAsia" w:ascii="宋体" w:hAnsi="宋体" w:eastAsia="宋体" w:cs="宋体"/>
          <w:b/>
          <w:bCs w:val="0"/>
          <w:color w:val="auto"/>
          <w:sz w:val="24"/>
          <w:szCs w:val="24"/>
          <w:highlight w:val="none"/>
        </w:rPr>
      </w:pPr>
    </w:p>
    <w:p w14:paraId="1E3C50A8">
      <w:pPr>
        <w:pStyle w:val="11"/>
        <w:widowControl w:val="0"/>
        <w:numPr>
          <w:ilvl w:val="0"/>
          <w:numId w:val="0"/>
        </w:numPr>
        <w:jc w:val="both"/>
        <w:rPr>
          <w:rFonts w:hint="eastAsia" w:ascii="宋体" w:hAnsi="宋体" w:eastAsia="宋体" w:cs="宋体"/>
          <w:b/>
          <w:bCs w:val="0"/>
          <w:color w:val="auto"/>
          <w:sz w:val="24"/>
          <w:szCs w:val="24"/>
          <w:highlight w:val="none"/>
        </w:rPr>
      </w:pPr>
    </w:p>
    <w:p w14:paraId="6177FEEA">
      <w:pPr>
        <w:pStyle w:val="11"/>
        <w:widowControl w:val="0"/>
        <w:numPr>
          <w:ilvl w:val="0"/>
          <w:numId w:val="0"/>
        </w:numPr>
        <w:jc w:val="both"/>
        <w:rPr>
          <w:rFonts w:hint="eastAsia" w:ascii="宋体" w:hAnsi="宋体" w:eastAsia="宋体" w:cs="宋体"/>
          <w:b/>
          <w:bCs w:val="0"/>
          <w:color w:val="auto"/>
          <w:sz w:val="24"/>
          <w:szCs w:val="24"/>
          <w:highlight w:val="none"/>
        </w:rPr>
      </w:pPr>
    </w:p>
    <w:p w14:paraId="3C69FFEE">
      <w:pPr>
        <w:pStyle w:val="2"/>
        <w:numPr>
          <w:ilvl w:val="0"/>
          <w:numId w:val="7"/>
        </w:numPr>
        <w:spacing w:line="60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评审方法</w:t>
      </w:r>
      <w:bookmarkEnd w:id="71"/>
      <w:bookmarkEnd w:id="72"/>
      <w:bookmarkEnd w:id="73"/>
      <w:bookmarkEnd w:id="74"/>
      <w:bookmarkEnd w:id="75"/>
      <w:bookmarkEnd w:id="76"/>
      <w:bookmarkEnd w:id="77"/>
      <w:bookmarkEnd w:id="78"/>
    </w:p>
    <w:p w14:paraId="7959EE1D">
      <w:pPr>
        <w:pStyle w:val="2"/>
        <w:numPr>
          <w:ilvl w:val="0"/>
          <w:numId w:val="0"/>
        </w:numPr>
        <w:spacing w:line="600" w:lineRule="auto"/>
        <w:jc w:val="both"/>
        <w:rPr>
          <w:rFonts w:hint="eastAsia" w:ascii="宋体" w:hAnsi="宋体" w:eastAsia="宋体" w:cs="宋体"/>
          <w:b/>
          <w:color w:val="auto"/>
          <w:sz w:val="24"/>
          <w:szCs w:val="24"/>
          <w:highlight w:val="none"/>
        </w:rPr>
      </w:pPr>
      <w:bookmarkStart w:id="79" w:name="_Toc8638"/>
      <w:bookmarkStart w:id="80" w:name="_Toc9601"/>
      <w:r>
        <w:rPr>
          <w:rFonts w:hint="eastAsia" w:ascii="宋体" w:hAnsi="宋体" w:eastAsia="宋体" w:cs="宋体"/>
          <w:b/>
          <w:color w:val="auto"/>
          <w:sz w:val="24"/>
          <w:szCs w:val="24"/>
          <w:highlight w:val="none"/>
        </w:rPr>
        <w:t>一、综合评分</w:t>
      </w:r>
      <w:bookmarkEnd w:id="79"/>
      <w:bookmarkEnd w:id="80"/>
    </w:p>
    <w:p w14:paraId="3D8CEA8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1.经磋商确定最终采购需求和提交最后报价的供应商后，由磋商小组采用综合评分法对提交最后报价的供应商的响应文件和最后报价进行综合评分。</w:t>
      </w:r>
    </w:p>
    <w:p w14:paraId="2F0907E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6C4891A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2.评审时，磋商小组各成员应当独立对每个有效响应的文件进行评价、打分，然后汇总每个供应商每项评分因素的得分。</w:t>
      </w:r>
    </w:p>
    <w:p w14:paraId="4A01C17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3.符合《政府采购竞争性磋商采购方式管理暂行办法》（财库</w:t>
      </w:r>
      <w:r>
        <w:rPr>
          <w:rFonts w:hint="eastAsia" w:ascii="宋体" w:hAnsi="宋体" w:cs="宋体"/>
          <w:color w:val="auto"/>
          <w:sz w:val="24"/>
          <w:szCs w:val="24"/>
          <w:highlight w:val="none"/>
          <w:lang w:eastAsia="zh-CN"/>
        </w:rPr>
        <w:t>〔2014〕214号</w:t>
      </w:r>
      <w:r>
        <w:rPr>
          <w:rFonts w:hint="eastAsia" w:ascii="宋体" w:hAnsi="宋体" w:eastAsia="宋体" w:cs="宋体"/>
          <w:color w:val="auto"/>
          <w:sz w:val="24"/>
          <w:szCs w:val="24"/>
          <w:highlight w:val="none"/>
        </w:rPr>
        <w:t>）中第三条第三项的规定和执行统一价格标准的项目，其价格不列为评分因素。有特殊情况需要在上述规定范围外设定价格分权重的，应当经本级人民政府财政部门审核同意。</w:t>
      </w:r>
    </w:p>
    <w:p w14:paraId="34AA0E22">
      <w:pPr>
        <w:numPr>
          <w:ilvl w:val="0"/>
          <w:numId w:val="8"/>
        </w:numPr>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综合评分细则表</w:t>
      </w:r>
    </w:p>
    <w:p w14:paraId="2F152A4E">
      <w:pPr>
        <w:shd w:val="clear" w:color="auto" w:fill="auto"/>
        <w:spacing w:line="400" w:lineRule="exact"/>
        <w:ind w:firstLine="354" w:firstLineChars="147"/>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资格性审查</w:t>
      </w:r>
      <w:r>
        <w:rPr>
          <w:rFonts w:hint="eastAsia" w:ascii="宋体" w:hAnsi="宋体" w:eastAsia="宋体" w:cs="宋体"/>
          <w:b/>
          <w:color w:val="auto"/>
          <w:sz w:val="24"/>
          <w:szCs w:val="24"/>
          <w:highlight w:val="none"/>
          <w:lang w:eastAsia="zh-CN"/>
        </w:rPr>
        <w:t>：</w:t>
      </w:r>
    </w:p>
    <w:p w14:paraId="653E278D">
      <w:pPr>
        <w:shd w:val="clear" w:color="auto" w:fill="auto"/>
        <w:spacing w:line="40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bl>
      <w:tblPr>
        <w:tblStyle w:val="3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30"/>
        <w:gridCol w:w="5550"/>
        <w:gridCol w:w="1980"/>
      </w:tblGrid>
      <w:tr w14:paraId="63F3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6" w:type="dxa"/>
            <w:noWrap w:val="0"/>
            <w:vAlign w:val="center"/>
          </w:tcPr>
          <w:p w14:paraId="6A7C3D5E">
            <w:pPr>
              <w:pStyle w:val="185"/>
              <w:spacing w:before="184" w:line="229"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序号</w:t>
            </w:r>
          </w:p>
        </w:tc>
        <w:tc>
          <w:tcPr>
            <w:tcW w:w="1230" w:type="dxa"/>
            <w:noWrap w:val="0"/>
            <w:vAlign w:val="top"/>
          </w:tcPr>
          <w:p w14:paraId="3E199D3E">
            <w:pPr>
              <w:pStyle w:val="185"/>
              <w:spacing w:before="184" w:line="228"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类型</w:t>
            </w:r>
          </w:p>
        </w:tc>
        <w:tc>
          <w:tcPr>
            <w:tcW w:w="5550" w:type="dxa"/>
            <w:noWrap w:val="0"/>
            <w:vAlign w:val="top"/>
          </w:tcPr>
          <w:p w14:paraId="63753C76">
            <w:pPr>
              <w:pStyle w:val="185"/>
              <w:spacing w:before="184" w:line="229"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pacing w:val="5"/>
                <w:sz w:val="24"/>
                <w:szCs w:val="24"/>
                <w:highlight w:val="none"/>
              </w:rPr>
              <w:t>要求</w:t>
            </w:r>
          </w:p>
        </w:tc>
        <w:tc>
          <w:tcPr>
            <w:tcW w:w="1980" w:type="dxa"/>
            <w:noWrap w:val="0"/>
            <w:vAlign w:val="center"/>
          </w:tcPr>
          <w:p w14:paraId="72246BFA">
            <w:pPr>
              <w:shd w:val="clear" w:color="auto" w:fill="auto"/>
              <w:jc w:val="center"/>
              <w:rPr>
                <w:rFonts w:hint="default" w:ascii="宋体" w:hAnsi="宋体" w:eastAsia="宋体" w:cs="宋体"/>
                <w:b/>
                <w:color w:val="auto"/>
                <w:sz w:val="24"/>
                <w:szCs w:val="24"/>
                <w:highlight w:val="none"/>
                <w:lang w:val="en-US"/>
              </w:rPr>
            </w:pPr>
            <w:r>
              <w:rPr>
                <w:rFonts w:hint="eastAsia" w:ascii="宋体" w:hAnsi="宋体" w:eastAsia="宋体" w:cs="宋体"/>
                <w:color w:val="auto"/>
                <w:spacing w:val="8"/>
                <w:sz w:val="24"/>
                <w:szCs w:val="24"/>
                <w:highlight w:val="none"/>
              </w:rPr>
              <w:t>要求说明</w:t>
            </w:r>
          </w:p>
        </w:tc>
      </w:tr>
      <w:tr w14:paraId="53C7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6" w:type="dxa"/>
            <w:noWrap w:val="0"/>
            <w:vAlign w:val="center"/>
          </w:tcPr>
          <w:p w14:paraId="608B5C90">
            <w:pPr>
              <w:shd w:val="clear" w:color="auto" w:fill="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230" w:type="dxa"/>
            <w:noWrap w:val="0"/>
            <w:vAlign w:val="center"/>
          </w:tcPr>
          <w:p w14:paraId="54CC3160">
            <w:pPr>
              <w:spacing w:line="300" w:lineRule="auto"/>
              <w:ind w:left="1" w:leftChars="0"/>
              <w:jc w:val="center"/>
              <w:rPr>
                <w:rFonts w:hint="eastAsia" w:ascii="宋体" w:hAnsi="宋体" w:eastAsia="宋体" w:cs="宋体"/>
                <w:color w:val="auto"/>
                <w:spacing w:val="0"/>
                <w:w w:val="100"/>
                <w:position w:val="0"/>
                <w:sz w:val="24"/>
                <w:szCs w:val="24"/>
                <w:highlight w:val="none"/>
                <w:shd w:val="clear" w:color="auto" w:fill="auto"/>
                <w:lang w:val="en-US" w:eastAsia="en-US" w:bidi="en-US"/>
              </w:rPr>
            </w:pPr>
            <w:r>
              <w:rPr>
                <w:rFonts w:hint="eastAsia" w:ascii="宋体" w:hAnsi="宋体" w:eastAsia="宋体" w:cs="宋体"/>
                <w:color w:val="auto"/>
                <w:sz w:val="24"/>
                <w:szCs w:val="24"/>
                <w:highlight w:val="none"/>
              </w:rPr>
              <w:t>基本资质</w:t>
            </w:r>
          </w:p>
        </w:tc>
        <w:tc>
          <w:tcPr>
            <w:tcW w:w="5550" w:type="dxa"/>
            <w:noWrap w:val="0"/>
            <w:vAlign w:val="center"/>
          </w:tcPr>
          <w:p w14:paraId="3B0679B2">
            <w:pPr>
              <w:spacing w:line="300" w:lineRule="auto"/>
              <w:ind w:left="1" w:leftChars="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法定代表人身份证明和法定代表人授权书是否提供且有效</w:t>
            </w:r>
            <w:r>
              <w:rPr>
                <w:rFonts w:hint="eastAsia" w:ascii="宋体" w:hAnsi="宋体" w:eastAsia="宋体" w:cs="宋体"/>
                <w:color w:val="auto"/>
                <w:sz w:val="24"/>
                <w:szCs w:val="24"/>
                <w:highlight w:val="none"/>
                <w:lang w:eastAsia="zh-CN"/>
              </w:rPr>
              <w:t>。</w:t>
            </w:r>
          </w:p>
        </w:tc>
        <w:tc>
          <w:tcPr>
            <w:tcW w:w="1980" w:type="dxa"/>
            <w:noWrap w:val="0"/>
            <w:vAlign w:val="center"/>
          </w:tcPr>
          <w:p w14:paraId="2CA6A28E">
            <w:pPr>
              <w:spacing w:line="300" w:lineRule="auto"/>
              <w:ind w:left="1"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文件要求的格式</w:t>
            </w:r>
          </w:p>
        </w:tc>
      </w:tr>
      <w:tr w14:paraId="44D6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6" w:type="dxa"/>
            <w:noWrap w:val="0"/>
            <w:vAlign w:val="center"/>
          </w:tcPr>
          <w:p w14:paraId="4BF213EC">
            <w:pPr>
              <w:shd w:val="clear" w:color="auto" w:fill="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30" w:type="dxa"/>
            <w:noWrap w:val="0"/>
            <w:vAlign w:val="center"/>
          </w:tcPr>
          <w:p w14:paraId="47F77DB3">
            <w:pPr>
              <w:spacing w:line="300" w:lineRule="auto"/>
              <w:ind w:left="1" w:leftChars="0"/>
              <w:jc w:val="center"/>
              <w:rPr>
                <w:rFonts w:hint="eastAsia" w:ascii="宋体" w:hAnsi="宋体" w:eastAsia="宋体" w:cs="宋体"/>
                <w:color w:val="auto"/>
                <w:spacing w:val="0"/>
                <w:w w:val="100"/>
                <w:position w:val="0"/>
                <w:sz w:val="24"/>
                <w:szCs w:val="24"/>
                <w:highlight w:val="none"/>
                <w:shd w:val="clear" w:color="auto" w:fill="auto"/>
                <w:lang w:val="en-US" w:eastAsia="zh-CN" w:bidi="en-US"/>
              </w:rPr>
            </w:pPr>
            <w:r>
              <w:rPr>
                <w:rFonts w:hint="eastAsia" w:ascii="宋体" w:hAnsi="宋体" w:eastAsia="宋体" w:cs="宋体"/>
                <w:color w:val="auto"/>
                <w:sz w:val="24"/>
                <w:szCs w:val="24"/>
                <w:highlight w:val="none"/>
              </w:rPr>
              <w:t>基本资质</w:t>
            </w:r>
          </w:p>
        </w:tc>
        <w:tc>
          <w:tcPr>
            <w:tcW w:w="5550" w:type="dxa"/>
            <w:noWrap w:val="0"/>
            <w:vAlign w:val="center"/>
          </w:tcPr>
          <w:p w14:paraId="7FB1E7A0">
            <w:pPr>
              <w:spacing w:line="300" w:lineRule="auto"/>
              <w:ind w:left="1" w:lef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保证金是否按照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r>
              <w:rPr>
                <w:rFonts w:hint="eastAsia" w:ascii="宋体" w:hAnsi="宋体" w:eastAsia="宋体" w:cs="宋体"/>
                <w:color w:val="auto"/>
                <w:sz w:val="24"/>
                <w:szCs w:val="24"/>
                <w:highlight w:val="none"/>
                <w:lang w:val="en-US" w:eastAsia="zh-CN"/>
              </w:rPr>
              <w:t>缴</w:t>
            </w:r>
            <w:r>
              <w:rPr>
                <w:rFonts w:hint="eastAsia" w:ascii="宋体" w:hAnsi="宋体" w:eastAsia="宋体" w:cs="宋体"/>
                <w:color w:val="auto"/>
                <w:sz w:val="24"/>
                <w:szCs w:val="24"/>
                <w:highlight w:val="none"/>
              </w:rPr>
              <w:t>纳</w:t>
            </w:r>
            <w:r>
              <w:rPr>
                <w:rFonts w:hint="eastAsia" w:ascii="宋体" w:hAnsi="宋体" w:eastAsia="宋体" w:cs="宋体"/>
                <w:color w:val="auto"/>
                <w:sz w:val="24"/>
                <w:szCs w:val="24"/>
                <w:highlight w:val="none"/>
                <w:lang w:eastAsia="zh-CN"/>
              </w:rPr>
              <w:t>。</w:t>
            </w:r>
          </w:p>
        </w:tc>
        <w:tc>
          <w:tcPr>
            <w:tcW w:w="1980" w:type="dxa"/>
            <w:noWrap w:val="0"/>
            <w:vAlign w:val="center"/>
          </w:tcPr>
          <w:p w14:paraId="60EB5B24">
            <w:pPr>
              <w:spacing w:line="300" w:lineRule="auto"/>
              <w:ind w:left="1"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文件要求的金额缴纳</w:t>
            </w:r>
          </w:p>
        </w:tc>
      </w:tr>
      <w:tr w14:paraId="2551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26" w:type="dxa"/>
            <w:noWrap w:val="0"/>
            <w:vAlign w:val="center"/>
          </w:tcPr>
          <w:p w14:paraId="1BE4102A">
            <w:pPr>
              <w:shd w:val="clear" w:color="auto" w:fill="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230" w:type="dxa"/>
            <w:noWrap w:val="0"/>
            <w:vAlign w:val="center"/>
          </w:tcPr>
          <w:p w14:paraId="314E455C">
            <w:pPr>
              <w:spacing w:line="300" w:lineRule="auto"/>
              <w:ind w:left="1" w:leftChars="0"/>
              <w:jc w:val="center"/>
              <w:rPr>
                <w:rFonts w:hint="eastAsia" w:ascii="宋体" w:hAnsi="宋体" w:eastAsia="宋体" w:cs="宋体"/>
                <w:color w:val="auto"/>
                <w:spacing w:val="0"/>
                <w:w w:val="100"/>
                <w:position w:val="0"/>
                <w:sz w:val="24"/>
                <w:szCs w:val="24"/>
                <w:highlight w:val="none"/>
                <w:shd w:val="clear" w:color="auto" w:fill="auto"/>
                <w:lang w:val="en-US" w:eastAsia="zh-CN" w:bidi="en-US"/>
              </w:rPr>
            </w:pPr>
            <w:r>
              <w:rPr>
                <w:rFonts w:hint="eastAsia" w:ascii="宋体" w:hAnsi="宋体" w:eastAsia="宋体" w:cs="宋体"/>
                <w:color w:val="auto"/>
                <w:sz w:val="24"/>
                <w:szCs w:val="24"/>
                <w:highlight w:val="none"/>
              </w:rPr>
              <w:t>特定资质</w:t>
            </w:r>
          </w:p>
        </w:tc>
        <w:tc>
          <w:tcPr>
            <w:tcW w:w="5550" w:type="dxa"/>
            <w:noWrap w:val="0"/>
            <w:vAlign w:val="center"/>
          </w:tcPr>
          <w:p w14:paraId="25DC2866">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eastAsia="zh-CN" w:bidi="ar"/>
              </w:rPr>
              <w:t>供应商必须是中华人民共和国境内注册的，具有独立法人资格的企业；</w:t>
            </w:r>
          </w:p>
          <w:p w14:paraId="729D4E05">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(2）拟派项目负责人须具有环境相关专业中级（含）以上职称</w:t>
            </w:r>
            <w:r>
              <w:rPr>
                <w:rFonts w:hint="eastAsia" w:ascii="宋体" w:hAnsi="宋体" w:eastAsia="宋体" w:cs="宋体"/>
                <w:color w:val="auto"/>
                <w:kern w:val="0"/>
                <w:sz w:val="24"/>
                <w:szCs w:val="24"/>
                <w:highlight w:val="none"/>
                <w:lang w:eastAsia="zh-CN" w:bidi="ar"/>
              </w:rPr>
              <w:t>；</w:t>
            </w:r>
          </w:p>
          <w:p w14:paraId="52AEED6F">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(3）</w:t>
            </w:r>
            <w:r>
              <w:rPr>
                <w:rFonts w:hint="eastAsia" w:ascii="宋体" w:hAnsi="宋体" w:eastAsia="宋体" w:cs="宋体"/>
                <w:color w:val="auto"/>
                <w:kern w:val="0"/>
                <w:sz w:val="24"/>
                <w:szCs w:val="24"/>
                <w:highlight w:val="none"/>
                <w:lang w:eastAsia="zh-CN" w:bidi="ar"/>
              </w:rPr>
              <w:t>具有履行合同所必需的设备和专业技术能力</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声明函格式自拟</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即具有承担本项目能力；</w:t>
            </w:r>
          </w:p>
          <w:p w14:paraId="4565506E">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(4）</w:t>
            </w:r>
            <w:r>
              <w:rPr>
                <w:rFonts w:hint="eastAsia" w:ascii="宋体" w:hAnsi="宋体" w:eastAsia="宋体" w:cs="宋体"/>
                <w:color w:val="auto"/>
                <w:kern w:val="0"/>
                <w:sz w:val="24"/>
                <w:szCs w:val="24"/>
                <w:highlight w:val="none"/>
                <w:lang w:eastAsia="zh-CN" w:bidi="ar"/>
              </w:rPr>
              <w:t>具有依法缴纳税收和社会保障资金的良好记录（提供本单位近三个月内任意一个月的依法缴纳税收和社会保障资金的相关材料）；</w:t>
            </w:r>
          </w:p>
          <w:p w14:paraId="622832F7">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(5）</w:t>
            </w:r>
            <w:r>
              <w:rPr>
                <w:rFonts w:hint="eastAsia" w:ascii="宋体" w:hAnsi="宋体" w:eastAsia="宋体" w:cs="宋体"/>
                <w:color w:val="auto"/>
                <w:kern w:val="0"/>
                <w:sz w:val="24"/>
                <w:szCs w:val="24"/>
                <w:highlight w:val="none"/>
                <w:lang w:eastAsia="zh-CN" w:bidi="ar"/>
              </w:rPr>
              <w:t>单位负责人为同一人或者存在直接控股、管理关系的不同供应商，不得参加同一合同项下的政府采购活动</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eastAsia="zh-CN" w:bidi="ar"/>
              </w:rPr>
              <w:t>提供声明函格式自拟)；</w:t>
            </w:r>
          </w:p>
          <w:p w14:paraId="3EF26E5D">
            <w:pPr>
              <w:ind w:left="1" w:leftChars="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(6）</w:t>
            </w:r>
            <w:r>
              <w:rPr>
                <w:rFonts w:hint="eastAsia" w:ascii="宋体" w:hAnsi="宋体" w:eastAsia="宋体" w:cs="宋体"/>
                <w:color w:val="auto"/>
                <w:kern w:val="0"/>
                <w:sz w:val="24"/>
                <w:szCs w:val="24"/>
                <w:highlight w:val="none"/>
                <w:lang w:eastAsia="zh-CN" w:bidi="ar"/>
              </w:rPr>
              <w:t>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1F684BBE">
            <w:pPr>
              <w:ind w:left="1" w:leftChars="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（7）本项目不接受联合体投标。</w:t>
            </w:r>
          </w:p>
        </w:tc>
        <w:tc>
          <w:tcPr>
            <w:tcW w:w="1980" w:type="dxa"/>
            <w:noWrap w:val="0"/>
            <w:vAlign w:val="center"/>
          </w:tcPr>
          <w:p w14:paraId="548BB9A1">
            <w:pPr>
              <w:spacing w:line="300" w:lineRule="auto"/>
              <w:ind w:left="1"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提供相关证明文件</w:t>
            </w:r>
          </w:p>
        </w:tc>
      </w:tr>
      <w:tr w14:paraId="014C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86" w:type="dxa"/>
            <w:gridSpan w:val="4"/>
            <w:noWrap w:val="0"/>
            <w:vAlign w:val="center"/>
          </w:tcPr>
          <w:p w14:paraId="0BDB5C1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结论：是否通过评审（须填写通过或不通过）</w:t>
            </w:r>
          </w:p>
          <w:p w14:paraId="470EE04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注：如有一项不合格，作废标处理。</w:t>
            </w:r>
          </w:p>
        </w:tc>
      </w:tr>
    </w:tbl>
    <w:p w14:paraId="6D32E8B7">
      <w:pPr>
        <w:pStyle w:val="42"/>
        <w:rPr>
          <w:rFonts w:hint="eastAsia" w:ascii="宋体" w:hAnsi="宋体" w:eastAsia="宋体" w:cs="宋体"/>
          <w:color w:val="auto"/>
          <w:sz w:val="24"/>
          <w:szCs w:val="24"/>
          <w:highlight w:val="none"/>
        </w:rPr>
      </w:pPr>
    </w:p>
    <w:p w14:paraId="5A392B9C">
      <w:pPr>
        <w:shd w:val="clear" w:color="auto" w:fill="auto"/>
        <w:spacing w:line="400" w:lineRule="exact"/>
        <w:ind w:firstLine="581" w:firstLineChars="24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如评标专家在检验电子标书过程中，如果由于供应商自身原因导致评标专家无法查看并检验电子标书中以上相关资料的，否决其投标。即使投标单位将原件携带至现场的，同样按无效投标处理。</w:t>
      </w:r>
    </w:p>
    <w:p w14:paraId="2619421A">
      <w:pPr>
        <w:shd w:val="clear" w:color="auto" w:fill="auto"/>
        <w:spacing w:line="400" w:lineRule="exact"/>
        <w:rPr>
          <w:rFonts w:hint="eastAsia" w:ascii="宋体" w:hAnsi="宋体" w:eastAsia="宋体" w:cs="宋体"/>
          <w:b/>
          <w:color w:val="auto"/>
          <w:sz w:val="24"/>
          <w:szCs w:val="24"/>
          <w:highlight w:val="none"/>
        </w:rPr>
      </w:pPr>
    </w:p>
    <w:p w14:paraId="19F32349">
      <w:pPr>
        <w:shd w:val="clear" w:color="auto" w:fill="auto"/>
        <w:spacing w:before="156" w:beforeLines="50" w:line="44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符合性审查</w:t>
      </w:r>
    </w:p>
    <w:p w14:paraId="78983A24">
      <w:pPr>
        <w:shd w:val="clear" w:color="auto" w:fill="auto"/>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bl>
      <w:tblPr>
        <w:tblStyle w:val="3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719"/>
        <w:gridCol w:w="647"/>
      </w:tblGrid>
      <w:tr w14:paraId="7D2D6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237" w:type="dxa"/>
            <w:vMerge w:val="restart"/>
            <w:tcBorders>
              <w:top w:val="single" w:color="auto" w:sz="4" w:space="0"/>
              <w:left w:val="single" w:color="auto" w:sz="4" w:space="0"/>
            </w:tcBorders>
            <w:noWrap w:val="0"/>
            <w:vAlign w:val="center"/>
          </w:tcPr>
          <w:p w14:paraId="57105053">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6832" w:type="dxa"/>
            <w:gridSpan w:val="2"/>
            <w:vMerge w:val="restart"/>
            <w:tcBorders>
              <w:top w:val="single" w:color="auto" w:sz="4" w:space="0"/>
            </w:tcBorders>
            <w:noWrap w:val="0"/>
            <w:vAlign w:val="center"/>
          </w:tcPr>
          <w:p w14:paraId="472E8B43">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14:paraId="0E712577">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3408F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37" w:type="dxa"/>
            <w:vMerge w:val="continue"/>
            <w:tcBorders>
              <w:left w:val="single" w:color="auto" w:sz="4" w:space="0"/>
              <w:bottom w:val="single" w:color="auto" w:sz="4" w:space="0"/>
            </w:tcBorders>
            <w:noWrap w:val="0"/>
            <w:vAlign w:val="center"/>
          </w:tcPr>
          <w:p w14:paraId="47EF081E">
            <w:pPr>
              <w:shd w:val="clear" w:color="auto" w:fill="auto"/>
              <w:rPr>
                <w:rFonts w:hint="eastAsia" w:ascii="宋体" w:hAnsi="宋体" w:eastAsia="宋体" w:cs="宋体"/>
                <w:color w:val="auto"/>
                <w:sz w:val="24"/>
                <w:szCs w:val="24"/>
                <w:highlight w:val="none"/>
              </w:rPr>
            </w:pPr>
          </w:p>
        </w:tc>
        <w:tc>
          <w:tcPr>
            <w:tcW w:w="6832" w:type="dxa"/>
            <w:gridSpan w:val="2"/>
            <w:vMerge w:val="continue"/>
            <w:tcBorders>
              <w:bottom w:val="single" w:color="auto" w:sz="4" w:space="0"/>
            </w:tcBorders>
            <w:noWrap w:val="0"/>
            <w:vAlign w:val="top"/>
          </w:tcPr>
          <w:p w14:paraId="43A901F1">
            <w:pPr>
              <w:shd w:val="clear" w:color="auto" w:fill="auto"/>
              <w:rPr>
                <w:rFonts w:hint="eastAsia" w:ascii="宋体" w:hAnsi="宋体" w:eastAsia="宋体" w:cs="宋体"/>
                <w:color w:val="auto"/>
                <w:sz w:val="24"/>
                <w:szCs w:val="24"/>
                <w:highlight w:val="none"/>
              </w:rPr>
            </w:pPr>
          </w:p>
        </w:tc>
        <w:tc>
          <w:tcPr>
            <w:tcW w:w="719" w:type="dxa"/>
            <w:noWrap w:val="0"/>
            <w:vAlign w:val="center"/>
          </w:tcPr>
          <w:p w14:paraId="6B248638">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p>
        </w:tc>
        <w:tc>
          <w:tcPr>
            <w:tcW w:w="647" w:type="dxa"/>
            <w:tcBorders>
              <w:right w:val="single" w:color="auto" w:sz="4" w:space="0"/>
            </w:tcBorders>
            <w:noWrap w:val="0"/>
            <w:vAlign w:val="center"/>
          </w:tcPr>
          <w:p w14:paraId="255D3E00">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tc>
      </w:tr>
      <w:tr w14:paraId="0EDC7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14:paraId="5E09950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49C1130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76A790E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2911850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tc>
        <w:tc>
          <w:tcPr>
            <w:tcW w:w="561" w:type="dxa"/>
            <w:tcBorders>
              <w:top w:val="single" w:color="auto" w:sz="4" w:space="0"/>
              <w:left w:val="single" w:color="auto" w:sz="4" w:space="0"/>
              <w:right w:val="single" w:color="auto" w:sz="4" w:space="0"/>
            </w:tcBorders>
            <w:noWrap w:val="0"/>
            <w:vAlign w:val="center"/>
          </w:tcPr>
          <w:p w14:paraId="13D90D8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71" w:type="dxa"/>
            <w:tcBorders>
              <w:top w:val="single" w:color="auto" w:sz="4" w:space="0"/>
              <w:left w:val="single" w:color="auto" w:sz="4" w:space="0"/>
              <w:right w:val="single" w:color="auto" w:sz="4" w:space="0"/>
            </w:tcBorders>
            <w:noWrap w:val="0"/>
            <w:vAlign w:val="center"/>
          </w:tcPr>
          <w:p w14:paraId="333E704A">
            <w:pPr>
              <w:widowControl/>
              <w:shd w:val="clear" w:color="auto" w:fill="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其报价未超过采购预算金额，且只有一个有效报价，不得提交选择性报价。</w:t>
            </w:r>
          </w:p>
        </w:tc>
        <w:tc>
          <w:tcPr>
            <w:tcW w:w="719" w:type="dxa"/>
            <w:tcBorders>
              <w:left w:val="single" w:color="auto" w:sz="4" w:space="0"/>
              <w:right w:val="single" w:color="auto" w:sz="4" w:space="0"/>
            </w:tcBorders>
            <w:noWrap w:val="0"/>
            <w:vAlign w:val="top"/>
          </w:tcPr>
          <w:p w14:paraId="05C7837B">
            <w:pPr>
              <w:shd w:val="clear" w:color="auto" w:fill="auto"/>
              <w:jc w:val="center"/>
              <w:rPr>
                <w:rFonts w:hint="eastAsia" w:ascii="宋体" w:hAnsi="宋体" w:eastAsia="宋体" w:cs="宋体"/>
                <w:b/>
                <w:color w:val="auto"/>
                <w:sz w:val="24"/>
                <w:szCs w:val="24"/>
                <w:highlight w:val="none"/>
              </w:rPr>
            </w:pPr>
          </w:p>
        </w:tc>
        <w:tc>
          <w:tcPr>
            <w:tcW w:w="647" w:type="dxa"/>
            <w:tcBorders>
              <w:left w:val="single" w:color="auto" w:sz="4" w:space="0"/>
              <w:right w:val="single" w:color="auto" w:sz="4" w:space="0"/>
            </w:tcBorders>
            <w:noWrap w:val="0"/>
            <w:vAlign w:val="top"/>
          </w:tcPr>
          <w:p w14:paraId="1C5499B8">
            <w:pPr>
              <w:shd w:val="clear" w:color="auto" w:fill="auto"/>
              <w:jc w:val="center"/>
              <w:rPr>
                <w:rFonts w:hint="eastAsia" w:ascii="宋体" w:hAnsi="宋体" w:eastAsia="宋体" w:cs="宋体"/>
                <w:b/>
                <w:color w:val="auto"/>
                <w:sz w:val="24"/>
                <w:szCs w:val="24"/>
                <w:highlight w:val="none"/>
              </w:rPr>
            </w:pPr>
          </w:p>
        </w:tc>
      </w:tr>
      <w:tr w14:paraId="16A12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continue"/>
            <w:tcBorders>
              <w:left w:val="single" w:color="auto" w:sz="4" w:space="0"/>
              <w:right w:val="single" w:color="auto" w:sz="4" w:space="0"/>
            </w:tcBorders>
            <w:noWrap w:val="0"/>
            <w:vAlign w:val="center"/>
          </w:tcPr>
          <w:p w14:paraId="456F51A6">
            <w:pPr>
              <w:shd w:val="clear" w:color="auto" w:fill="auto"/>
              <w:jc w:val="center"/>
              <w:rPr>
                <w:rFonts w:hint="eastAsia" w:ascii="宋体" w:hAnsi="宋体" w:eastAsia="宋体" w:cs="宋体"/>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14:paraId="3D3481FB">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271" w:type="dxa"/>
            <w:tcBorders>
              <w:top w:val="single" w:color="auto" w:sz="4" w:space="0"/>
              <w:left w:val="single" w:color="auto" w:sz="4" w:space="0"/>
              <w:right w:val="single" w:color="auto" w:sz="4" w:space="0"/>
            </w:tcBorders>
            <w:noWrap w:val="0"/>
            <w:vAlign w:val="center"/>
          </w:tcPr>
          <w:p w14:paraId="561EF12C">
            <w:pPr>
              <w:widowControl/>
              <w:shd w:val="clear" w:color="auto" w:fill="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法定代表人身份证明及授权委托书有效，且符合</w:t>
            </w:r>
            <w:r>
              <w:rPr>
                <w:rFonts w:hint="eastAsia" w:ascii="宋体" w:hAnsi="宋体" w:eastAsia="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文件规定的格式。</w:t>
            </w:r>
          </w:p>
        </w:tc>
        <w:tc>
          <w:tcPr>
            <w:tcW w:w="719" w:type="dxa"/>
            <w:tcBorders>
              <w:left w:val="single" w:color="auto" w:sz="4" w:space="0"/>
              <w:right w:val="single" w:color="auto" w:sz="4" w:space="0"/>
            </w:tcBorders>
            <w:noWrap w:val="0"/>
            <w:vAlign w:val="top"/>
          </w:tcPr>
          <w:p w14:paraId="700C54A0">
            <w:pPr>
              <w:shd w:val="clear" w:color="auto" w:fill="auto"/>
              <w:jc w:val="center"/>
              <w:rPr>
                <w:rFonts w:hint="eastAsia" w:ascii="宋体" w:hAnsi="宋体" w:eastAsia="宋体" w:cs="宋体"/>
                <w:b/>
                <w:color w:val="auto"/>
                <w:sz w:val="24"/>
                <w:szCs w:val="24"/>
                <w:highlight w:val="none"/>
              </w:rPr>
            </w:pPr>
          </w:p>
        </w:tc>
        <w:tc>
          <w:tcPr>
            <w:tcW w:w="647" w:type="dxa"/>
            <w:tcBorders>
              <w:left w:val="single" w:color="auto" w:sz="4" w:space="0"/>
              <w:right w:val="single" w:color="auto" w:sz="4" w:space="0"/>
            </w:tcBorders>
            <w:noWrap w:val="0"/>
            <w:vAlign w:val="top"/>
          </w:tcPr>
          <w:p w14:paraId="21BADC56">
            <w:pPr>
              <w:shd w:val="clear" w:color="auto" w:fill="auto"/>
              <w:jc w:val="center"/>
              <w:rPr>
                <w:rFonts w:hint="eastAsia" w:ascii="宋体" w:hAnsi="宋体" w:eastAsia="宋体" w:cs="宋体"/>
                <w:b/>
                <w:color w:val="auto"/>
                <w:sz w:val="24"/>
                <w:szCs w:val="24"/>
                <w:highlight w:val="none"/>
              </w:rPr>
            </w:pPr>
          </w:p>
        </w:tc>
      </w:tr>
      <w:tr w14:paraId="0CC79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14:paraId="1FBFA457">
            <w:pPr>
              <w:shd w:val="clear" w:color="auto" w:fill="auto"/>
              <w:rPr>
                <w:rFonts w:hint="eastAsia" w:ascii="宋体" w:hAnsi="宋体" w:eastAsia="宋体" w:cs="宋体"/>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14:paraId="6ADEA5F6">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271" w:type="dxa"/>
            <w:tcBorders>
              <w:top w:val="single" w:color="auto" w:sz="4" w:space="0"/>
              <w:left w:val="single" w:color="auto" w:sz="4" w:space="0"/>
              <w:right w:val="single" w:color="auto" w:sz="4" w:space="0"/>
            </w:tcBorders>
            <w:noWrap w:val="0"/>
            <w:vAlign w:val="center"/>
          </w:tcPr>
          <w:p w14:paraId="3F5DFAAE">
            <w:pPr>
              <w:widowControl/>
              <w:shd w:val="clear" w:color="auto" w:fill="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val="en-US" w:eastAsia="zh-CN" w:bidi="ar"/>
              </w:rPr>
              <w:t>磋商文件</w:t>
            </w:r>
            <w:r>
              <w:rPr>
                <w:rFonts w:hint="eastAsia" w:ascii="宋体" w:hAnsi="宋体" w:eastAsia="宋体" w:cs="宋体"/>
                <w:color w:val="auto"/>
                <w:kern w:val="0"/>
                <w:sz w:val="24"/>
                <w:szCs w:val="24"/>
                <w:highlight w:val="none"/>
                <w:lang w:val="en-US" w:eastAsia="zh-CN" w:bidi="ar"/>
              </w:rPr>
              <w:t>规定的服务期限。</w:t>
            </w:r>
          </w:p>
        </w:tc>
        <w:tc>
          <w:tcPr>
            <w:tcW w:w="719" w:type="dxa"/>
            <w:tcBorders>
              <w:left w:val="single" w:color="auto" w:sz="4" w:space="0"/>
            </w:tcBorders>
            <w:noWrap w:val="0"/>
            <w:vAlign w:val="top"/>
          </w:tcPr>
          <w:p w14:paraId="1F665242">
            <w:pPr>
              <w:shd w:val="clear" w:color="auto" w:fill="auto"/>
              <w:rPr>
                <w:rFonts w:hint="eastAsia" w:ascii="宋体" w:hAnsi="宋体" w:eastAsia="宋体" w:cs="宋体"/>
                <w:color w:val="auto"/>
                <w:sz w:val="24"/>
                <w:szCs w:val="24"/>
                <w:highlight w:val="none"/>
              </w:rPr>
            </w:pPr>
          </w:p>
        </w:tc>
        <w:tc>
          <w:tcPr>
            <w:tcW w:w="647" w:type="dxa"/>
            <w:tcBorders>
              <w:right w:val="single" w:color="auto" w:sz="4" w:space="0"/>
            </w:tcBorders>
            <w:noWrap w:val="0"/>
            <w:vAlign w:val="top"/>
          </w:tcPr>
          <w:p w14:paraId="1C8C245C">
            <w:pPr>
              <w:shd w:val="clear" w:color="auto" w:fill="auto"/>
              <w:rPr>
                <w:rFonts w:hint="eastAsia" w:ascii="宋体" w:hAnsi="宋体" w:eastAsia="宋体" w:cs="宋体"/>
                <w:color w:val="auto"/>
                <w:sz w:val="24"/>
                <w:szCs w:val="24"/>
                <w:highlight w:val="none"/>
              </w:rPr>
            </w:pPr>
          </w:p>
        </w:tc>
      </w:tr>
      <w:tr w14:paraId="047D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14:paraId="04009E05">
            <w:pPr>
              <w:shd w:val="clear" w:color="auto" w:fill="auto"/>
              <w:rPr>
                <w:rFonts w:hint="eastAsia" w:ascii="宋体" w:hAnsi="宋体" w:eastAsia="宋体" w:cs="宋体"/>
                <w:color w:val="auto"/>
                <w:sz w:val="24"/>
                <w:szCs w:val="24"/>
                <w:highlight w:val="none"/>
              </w:rPr>
            </w:pPr>
          </w:p>
        </w:tc>
        <w:tc>
          <w:tcPr>
            <w:tcW w:w="561" w:type="dxa"/>
            <w:tcBorders>
              <w:left w:val="single" w:color="auto" w:sz="4" w:space="0"/>
            </w:tcBorders>
            <w:noWrap w:val="0"/>
            <w:vAlign w:val="center"/>
          </w:tcPr>
          <w:p w14:paraId="36A86E24">
            <w:pPr>
              <w:shd w:val="clear" w:color="auto" w:fill="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6271" w:type="dxa"/>
            <w:tcBorders>
              <w:right w:val="single" w:color="auto" w:sz="4" w:space="0"/>
            </w:tcBorders>
            <w:noWrap w:val="0"/>
            <w:vAlign w:val="center"/>
          </w:tcPr>
          <w:p w14:paraId="185EC4CB">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响应文件内容齐全、无遗漏。</w:t>
            </w:r>
          </w:p>
        </w:tc>
        <w:tc>
          <w:tcPr>
            <w:tcW w:w="719" w:type="dxa"/>
            <w:tcBorders>
              <w:left w:val="single" w:color="auto" w:sz="4" w:space="0"/>
            </w:tcBorders>
            <w:noWrap w:val="0"/>
            <w:vAlign w:val="top"/>
          </w:tcPr>
          <w:p w14:paraId="1A474F08">
            <w:pPr>
              <w:shd w:val="clear" w:color="auto" w:fill="auto"/>
              <w:rPr>
                <w:rFonts w:hint="eastAsia" w:ascii="宋体" w:hAnsi="宋体" w:eastAsia="宋体" w:cs="宋体"/>
                <w:color w:val="auto"/>
                <w:sz w:val="24"/>
                <w:szCs w:val="24"/>
                <w:highlight w:val="none"/>
              </w:rPr>
            </w:pPr>
          </w:p>
        </w:tc>
        <w:tc>
          <w:tcPr>
            <w:tcW w:w="647" w:type="dxa"/>
            <w:tcBorders>
              <w:right w:val="single" w:color="auto" w:sz="4" w:space="0"/>
            </w:tcBorders>
            <w:noWrap w:val="0"/>
            <w:vAlign w:val="top"/>
          </w:tcPr>
          <w:p w14:paraId="4A88F01F">
            <w:pPr>
              <w:shd w:val="clear" w:color="auto" w:fill="auto"/>
              <w:rPr>
                <w:rFonts w:hint="eastAsia" w:ascii="宋体" w:hAnsi="宋体" w:eastAsia="宋体" w:cs="宋体"/>
                <w:color w:val="auto"/>
                <w:sz w:val="24"/>
                <w:szCs w:val="24"/>
                <w:highlight w:val="none"/>
              </w:rPr>
            </w:pPr>
          </w:p>
        </w:tc>
      </w:tr>
      <w:tr w14:paraId="6D931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14:paraId="33029653">
            <w:pPr>
              <w:shd w:val="clear" w:color="auto" w:fill="auto"/>
              <w:rPr>
                <w:rFonts w:hint="eastAsia" w:ascii="宋体" w:hAnsi="宋体" w:eastAsia="宋体" w:cs="宋体"/>
                <w:color w:val="auto"/>
                <w:sz w:val="24"/>
                <w:szCs w:val="24"/>
                <w:highlight w:val="none"/>
              </w:rPr>
            </w:pPr>
          </w:p>
        </w:tc>
        <w:tc>
          <w:tcPr>
            <w:tcW w:w="561" w:type="dxa"/>
            <w:tcBorders>
              <w:left w:val="single" w:color="auto" w:sz="4" w:space="0"/>
              <w:bottom w:val="single" w:color="auto" w:sz="4" w:space="0"/>
            </w:tcBorders>
            <w:noWrap w:val="0"/>
            <w:vAlign w:val="center"/>
          </w:tcPr>
          <w:p w14:paraId="54EE9541">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271" w:type="dxa"/>
            <w:tcBorders>
              <w:bottom w:val="single" w:color="auto" w:sz="4" w:space="0"/>
              <w:right w:val="single" w:color="auto" w:sz="4" w:space="0"/>
            </w:tcBorders>
            <w:noWrap w:val="0"/>
            <w:vAlign w:val="center"/>
          </w:tcPr>
          <w:p w14:paraId="2F64966A">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w:t>
            </w:r>
            <w:r>
              <w:rPr>
                <w:rFonts w:hint="eastAsia" w:ascii="宋体" w:hAnsi="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文件规定的招标内容全部作出响应。</w:t>
            </w:r>
          </w:p>
        </w:tc>
        <w:tc>
          <w:tcPr>
            <w:tcW w:w="719" w:type="dxa"/>
            <w:tcBorders>
              <w:left w:val="single" w:color="auto" w:sz="4" w:space="0"/>
              <w:bottom w:val="single" w:color="auto" w:sz="4" w:space="0"/>
            </w:tcBorders>
            <w:noWrap w:val="0"/>
            <w:vAlign w:val="top"/>
          </w:tcPr>
          <w:p w14:paraId="070DD2F3">
            <w:pPr>
              <w:shd w:val="clear" w:color="auto" w:fill="auto"/>
              <w:rPr>
                <w:rFonts w:hint="eastAsia" w:ascii="宋体" w:hAnsi="宋体" w:eastAsia="宋体" w:cs="宋体"/>
                <w:color w:val="auto"/>
                <w:sz w:val="24"/>
                <w:szCs w:val="24"/>
                <w:highlight w:val="none"/>
              </w:rPr>
            </w:pPr>
          </w:p>
        </w:tc>
        <w:tc>
          <w:tcPr>
            <w:tcW w:w="647" w:type="dxa"/>
            <w:tcBorders>
              <w:bottom w:val="single" w:color="auto" w:sz="4" w:space="0"/>
              <w:right w:val="single" w:color="auto" w:sz="4" w:space="0"/>
            </w:tcBorders>
            <w:noWrap w:val="0"/>
            <w:vAlign w:val="top"/>
          </w:tcPr>
          <w:p w14:paraId="07ABFAFA">
            <w:pPr>
              <w:shd w:val="clear" w:color="auto" w:fill="auto"/>
              <w:rPr>
                <w:rFonts w:hint="eastAsia" w:ascii="宋体" w:hAnsi="宋体" w:eastAsia="宋体" w:cs="宋体"/>
                <w:color w:val="auto"/>
                <w:sz w:val="24"/>
                <w:szCs w:val="24"/>
                <w:highlight w:val="none"/>
              </w:rPr>
            </w:pPr>
          </w:p>
        </w:tc>
      </w:tr>
      <w:tr w14:paraId="39BA6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14:paraId="4CDDB82F">
            <w:pPr>
              <w:shd w:val="clear" w:color="auto" w:fill="auto"/>
              <w:rPr>
                <w:rFonts w:hint="eastAsia" w:ascii="宋体" w:hAnsi="宋体" w:eastAsia="宋体" w:cs="宋体"/>
                <w:color w:val="auto"/>
                <w:sz w:val="24"/>
                <w:szCs w:val="24"/>
                <w:highlight w:val="none"/>
              </w:rPr>
            </w:pPr>
          </w:p>
        </w:tc>
        <w:tc>
          <w:tcPr>
            <w:tcW w:w="561" w:type="dxa"/>
            <w:tcBorders>
              <w:left w:val="single" w:color="auto" w:sz="4" w:space="0"/>
              <w:bottom w:val="single" w:color="auto" w:sz="4" w:space="0"/>
            </w:tcBorders>
            <w:shd w:val="clear" w:color="auto" w:fill="auto"/>
            <w:noWrap w:val="0"/>
            <w:vAlign w:val="center"/>
          </w:tcPr>
          <w:p w14:paraId="1AB7C134">
            <w:pPr>
              <w:pageBreakBefore w:val="0"/>
              <w:shd w:val="clear" w:color="auto" w:fill="auto"/>
              <w:topLinePunct w:val="0"/>
              <w:bidi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6271" w:type="dxa"/>
            <w:tcBorders>
              <w:bottom w:val="single" w:color="auto" w:sz="4" w:space="0"/>
              <w:right w:val="single" w:color="auto" w:sz="4" w:space="0"/>
            </w:tcBorders>
            <w:shd w:val="clear" w:color="auto" w:fill="auto"/>
            <w:noWrap w:val="0"/>
            <w:vAlign w:val="center"/>
          </w:tcPr>
          <w:p w14:paraId="6A450C93">
            <w:pPr>
              <w:pageBreakBefore w:val="0"/>
              <w:widowControl/>
              <w:shd w:val="clear" w:color="auto" w:fill="auto"/>
              <w:topLinePunct w:val="0"/>
              <w:bidi w:val="0"/>
              <w:spacing w:line="42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满足</w:t>
            </w:r>
            <w:r>
              <w:rPr>
                <w:rFonts w:hint="eastAsia" w:ascii="宋体" w:hAnsi="宋体" w:eastAsia="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文件提出的</w:t>
            </w:r>
            <w:r>
              <w:rPr>
                <w:rFonts w:hint="eastAsia" w:ascii="宋体" w:hAnsi="宋体" w:eastAsia="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质量</w:t>
            </w:r>
            <w:r>
              <w:rPr>
                <w:rFonts w:hint="eastAsia" w:ascii="宋体" w:hAnsi="宋体" w:eastAsia="宋体" w:cs="宋体"/>
                <w:color w:val="auto"/>
                <w:kern w:val="0"/>
                <w:sz w:val="24"/>
                <w:szCs w:val="24"/>
                <w:highlight w:val="none"/>
                <w:lang w:val="en-US" w:eastAsia="zh-CN" w:bidi="ar"/>
              </w:rPr>
              <w:t>及</w:t>
            </w:r>
            <w:r>
              <w:rPr>
                <w:rFonts w:hint="eastAsia" w:ascii="宋体" w:hAnsi="宋体" w:cs="宋体"/>
                <w:color w:val="auto"/>
                <w:kern w:val="0"/>
                <w:sz w:val="24"/>
                <w:szCs w:val="24"/>
                <w:highlight w:val="none"/>
                <w:lang w:val="en-US" w:eastAsia="zh-CN" w:bidi="ar"/>
              </w:rPr>
              <w:t>参数</w:t>
            </w:r>
            <w:r>
              <w:rPr>
                <w:rFonts w:hint="eastAsia" w:ascii="宋体" w:hAnsi="宋体" w:eastAsia="宋体" w:cs="宋体"/>
                <w:color w:val="auto"/>
                <w:kern w:val="0"/>
                <w:sz w:val="24"/>
                <w:szCs w:val="24"/>
                <w:highlight w:val="none"/>
                <w:lang w:bidi="ar"/>
              </w:rPr>
              <w:t>要求。</w:t>
            </w:r>
          </w:p>
        </w:tc>
        <w:tc>
          <w:tcPr>
            <w:tcW w:w="719" w:type="dxa"/>
            <w:tcBorders>
              <w:left w:val="single" w:color="auto" w:sz="4" w:space="0"/>
              <w:bottom w:val="single" w:color="auto" w:sz="4" w:space="0"/>
            </w:tcBorders>
            <w:noWrap w:val="0"/>
            <w:vAlign w:val="top"/>
          </w:tcPr>
          <w:p w14:paraId="62B52F89">
            <w:pPr>
              <w:shd w:val="clear" w:color="auto" w:fill="auto"/>
              <w:rPr>
                <w:rFonts w:hint="eastAsia" w:ascii="宋体" w:hAnsi="宋体" w:eastAsia="宋体" w:cs="宋体"/>
                <w:color w:val="auto"/>
                <w:sz w:val="24"/>
                <w:szCs w:val="24"/>
                <w:highlight w:val="none"/>
              </w:rPr>
            </w:pPr>
          </w:p>
        </w:tc>
        <w:tc>
          <w:tcPr>
            <w:tcW w:w="647" w:type="dxa"/>
            <w:tcBorders>
              <w:bottom w:val="single" w:color="auto" w:sz="4" w:space="0"/>
              <w:right w:val="single" w:color="auto" w:sz="4" w:space="0"/>
            </w:tcBorders>
            <w:noWrap w:val="0"/>
            <w:vAlign w:val="top"/>
          </w:tcPr>
          <w:p w14:paraId="2A628DFE">
            <w:pPr>
              <w:shd w:val="clear" w:color="auto" w:fill="auto"/>
              <w:rPr>
                <w:rFonts w:hint="eastAsia" w:ascii="宋体" w:hAnsi="宋体" w:eastAsia="宋体" w:cs="宋体"/>
                <w:color w:val="auto"/>
                <w:sz w:val="24"/>
                <w:szCs w:val="24"/>
                <w:highlight w:val="none"/>
              </w:rPr>
            </w:pPr>
          </w:p>
        </w:tc>
      </w:tr>
      <w:tr w14:paraId="3F2FF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14:paraId="2836FA8F">
            <w:pPr>
              <w:shd w:val="clear" w:color="auto" w:fill="auto"/>
              <w:rPr>
                <w:rFonts w:hint="eastAsia" w:ascii="宋体" w:hAnsi="宋体" w:eastAsia="宋体" w:cs="宋体"/>
                <w:color w:val="auto"/>
                <w:sz w:val="24"/>
                <w:szCs w:val="24"/>
                <w:highlight w:val="none"/>
              </w:rPr>
            </w:pPr>
          </w:p>
        </w:tc>
        <w:tc>
          <w:tcPr>
            <w:tcW w:w="561" w:type="dxa"/>
            <w:tcBorders>
              <w:top w:val="single" w:color="auto" w:sz="4" w:space="0"/>
              <w:left w:val="single" w:color="auto" w:sz="4" w:space="0"/>
            </w:tcBorders>
            <w:noWrap w:val="0"/>
            <w:vAlign w:val="center"/>
          </w:tcPr>
          <w:p w14:paraId="1410DC20">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271" w:type="dxa"/>
            <w:tcBorders>
              <w:top w:val="single" w:color="auto" w:sz="4" w:space="0"/>
              <w:right w:val="single" w:color="auto" w:sz="4" w:space="0"/>
            </w:tcBorders>
            <w:noWrap w:val="0"/>
            <w:vAlign w:val="center"/>
          </w:tcPr>
          <w:p w14:paraId="552A7AD7">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按照</w:t>
            </w:r>
            <w:r>
              <w:rPr>
                <w:rFonts w:hint="eastAsia" w:ascii="宋体" w:hAnsi="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文件规定要求签署、盖章的。</w:t>
            </w:r>
          </w:p>
        </w:tc>
        <w:tc>
          <w:tcPr>
            <w:tcW w:w="719" w:type="dxa"/>
            <w:tcBorders>
              <w:top w:val="single" w:color="auto" w:sz="4" w:space="0"/>
              <w:left w:val="single" w:color="auto" w:sz="4" w:space="0"/>
            </w:tcBorders>
            <w:noWrap w:val="0"/>
            <w:vAlign w:val="top"/>
          </w:tcPr>
          <w:p w14:paraId="11C9ABB6">
            <w:pPr>
              <w:shd w:val="clear" w:color="auto" w:fill="auto"/>
              <w:rPr>
                <w:rFonts w:hint="eastAsia" w:ascii="宋体" w:hAnsi="宋体" w:eastAsia="宋体" w:cs="宋体"/>
                <w:color w:val="auto"/>
                <w:sz w:val="24"/>
                <w:szCs w:val="24"/>
                <w:highlight w:val="none"/>
              </w:rPr>
            </w:pPr>
          </w:p>
        </w:tc>
        <w:tc>
          <w:tcPr>
            <w:tcW w:w="647" w:type="dxa"/>
            <w:tcBorders>
              <w:top w:val="single" w:color="auto" w:sz="4" w:space="0"/>
              <w:right w:val="single" w:color="auto" w:sz="4" w:space="0"/>
            </w:tcBorders>
            <w:noWrap w:val="0"/>
            <w:vAlign w:val="top"/>
          </w:tcPr>
          <w:p w14:paraId="6BE078C9">
            <w:pPr>
              <w:shd w:val="clear" w:color="auto" w:fill="auto"/>
              <w:rPr>
                <w:rFonts w:hint="eastAsia" w:ascii="宋体" w:hAnsi="宋体" w:eastAsia="宋体" w:cs="宋体"/>
                <w:color w:val="auto"/>
                <w:sz w:val="24"/>
                <w:szCs w:val="24"/>
                <w:highlight w:val="none"/>
              </w:rPr>
            </w:pPr>
          </w:p>
        </w:tc>
      </w:tr>
      <w:tr w14:paraId="4CDE7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237" w:type="dxa"/>
            <w:vMerge w:val="continue"/>
            <w:tcBorders>
              <w:left w:val="single" w:color="auto" w:sz="4" w:space="0"/>
              <w:right w:val="single" w:color="auto" w:sz="4" w:space="0"/>
            </w:tcBorders>
            <w:noWrap w:val="0"/>
            <w:vAlign w:val="center"/>
          </w:tcPr>
          <w:p w14:paraId="6D8C9654">
            <w:pPr>
              <w:shd w:val="clear" w:color="auto" w:fill="auto"/>
              <w:rPr>
                <w:rFonts w:hint="eastAsia" w:ascii="宋体" w:hAnsi="宋体" w:eastAsia="宋体" w:cs="宋体"/>
                <w:color w:val="auto"/>
                <w:sz w:val="24"/>
                <w:szCs w:val="24"/>
                <w:highlight w:val="none"/>
              </w:rPr>
            </w:pPr>
          </w:p>
        </w:tc>
        <w:tc>
          <w:tcPr>
            <w:tcW w:w="561" w:type="dxa"/>
            <w:tcBorders>
              <w:left w:val="single" w:color="auto" w:sz="4" w:space="0"/>
            </w:tcBorders>
            <w:noWrap w:val="0"/>
            <w:vAlign w:val="center"/>
          </w:tcPr>
          <w:p w14:paraId="5435D3A5">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6271" w:type="dxa"/>
            <w:tcBorders>
              <w:right w:val="single" w:color="auto" w:sz="4" w:space="0"/>
            </w:tcBorders>
            <w:noWrap w:val="0"/>
            <w:vAlign w:val="center"/>
          </w:tcPr>
          <w:p w14:paraId="0F6B916A">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投标有效期满足</w:t>
            </w:r>
            <w:r>
              <w:rPr>
                <w:rFonts w:hint="eastAsia" w:ascii="宋体" w:hAnsi="宋体"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bidi="ar"/>
              </w:rPr>
              <w:t>文件要求。</w:t>
            </w:r>
          </w:p>
        </w:tc>
        <w:tc>
          <w:tcPr>
            <w:tcW w:w="719" w:type="dxa"/>
            <w:tcBorders>
              <w:left w:val="single" w:color="auto" w:sz="4" w:space="0"/>
            </w:tcBorders>
            <w:noWrap w:val="0"/>
            <w:vAlign w:val="top"/>
          </w:tcPr>
          <w:p w14:paraId="639A3329">
            <w:pPr>
              <w:shd w:val="clear" w:color="auto" w:fill="auto"/>
              <w:rPr>
                <w:rFonts w:hint="eastAsia" w:ascii="宋体" w:hAnsi="宋体" w:eastAsia="宋体" w:cs="宋体"/>
                <w:color w:val="auto"/>
                <w:sz w:val="24"/>
                <w:szCs w:val="24"/>
                <w:highlight w:val="none"/>
              </w:rPr>
            </w:pPr>
          </w:p>
        </w:tc>
        <w:tc>
          <w:tcPr>
            <w:tcW w:w="647" w:type="dxa"/>
            <w:tcBorders>
              <w:right w:val="single" w:color="auto" w:sz="4" w:space="0"/>
            </w:tcBorders>
            <w:noWrap w:val="0"/>
            <w:vAlign w:val="top"/>
          </w:tcPr>
          <w:p w14:paraId="4138F54F">
            <w:pPr>
              <w:shd w:val="clear" w:color="auto" w:fill="auto"/>
              <w:rPr>
                <w:rFonts w:hint="eastAsia" w:ascii="宋体" w:hAnsi="宋体" w:eastAsia="宋体" w:cs="宋体"/>
                <w:color w:val="auto"/>
                <w:sz w:val="24"/>
                <w:szCs w:val="24"/>
                <w:highlight w:val="none"/>
              </w:rPr>
            </w:pPr>
          </w:p>
        </w:tc>
      </w:tr>
      <w:tr w14:paraId="41994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14:paraId="49C39273">
            <w:pPr>
              <w:shd w:val="clear" w:color="auto" w:fill="auto"/>
              <w:rPr>
                <w:rFonts w:hint="eastAsia" w:ascii="宋体" w:hAnsi="宋体" w:eastAsia="宋体" w:cs="宋体"/>
                <w:color w:val="auto"/>
                <w:sz w:val="24"/>
                <w:szCs w:val="24"/>
                <w:highlight w:val="none"/>
              </w:rPr>
            </w:pPr>
          </w:p>
        </w:tc>
        <w:tc>
          <w:tcPr>
            <w:tcW w:w="561" w:type="dxa"/>
            <w:tcBorders>
              <w:left w:val="single" w:color="auto" w:sz="4" w:space="0"/>
            </w:tcBorders>
            <w:noWrap w:val="0"/>
            <w:vAlign w:val="center"/>
          </w:tcPr>
          <w:p w14:paraId="4283622E">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6271" w:type="dxa"/>
            <w:tcBorders>
              <w:right w:val="single" w:color="auto" w:sz="4" w:space="0"/>
            </w:tcBorders>
            <w:noWrap w:val="0"/>
            <w:vAlign w:val="center"/>
          </w:tcPr>
          <w:p w14:paraId="138A9F4F">
            <w:pPr>
              <w:widowControl/>
              <w:shd w:val="clear" w:color="auto" w:fill="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响应文件未附有采购人不能接受的附加条件及</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lang w:eastAsia="zh-CN"/>
              </w:rPr>
              <w:t>和</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eastAsia="zh-CN"/>
              </w:rPr>
              <w:t>规定的其他无效情形。</w:t>
            </w:r>
          </w:p>
        </w:tc>
        <w:tc>
          <w:tcPr>
            <w:tcW w:w="719" w:type="dxa"/>
            <w:tcBorders>
              <w:left w:val="single" w:color="auto" w:sz="4" w:space="0"/>
            </w:tcBorders>
            <w:noWrap w:val="0"/>
            <w:vAlign w:val="top"/>
          </w:tcPr>
          <w:p w14:paraId="10642D8E">
            <w:pPr>
              <w:shd w:val="clear" w:color="auto" w:fill="auto"/>
              <w:rPr>
                <w:rFonts w:hint="eastAsia" w:ascii="宋体" w:hAnsi="宋体" w:eastAsia="宋体" w:cs="宋体"/>
                <w:color w:val="auto"/>
                <w:sz w:val="24"/>
                <w:szCs w:val="24"/>
                <w:highlight w:val="none"/>
              </w:rPr>
            </w:pPr>
          </w:p>
        </w:tc>
        <w:tc>
          <w:tcPr>
            <w:tcW w:w="647" w:type="dxa"/>
            <w:tcBorders>
              <w:right w:val="single" w:color="auto" w:sz="4" w:space="0"/>
            </w:tcBorders>
            <w:noWrap w:val="0"/>
            <w:vAlign w:val="top"/>
          </w:tcPr>
          <w:p w14:paraId="04542990">
            <w:pPr>
              <w:shd w:val="clear" w:color="auto" w:fill="auto"/>
              <w:rPr>
                <w:rFonts w:hint="eastAsia" w:ascii="宋体" w:hAnsi="宋体" w:eastAsia="宋体" w:cs="宋体"/>
                <w:color w:val="auto"/>
                <w:sz w:val="24"/>
                <w:szCs w:val="24"/>
                <w:highlight w:val="none"/>
              </w:rPr>
            </w:pPr>
          </w:p>
        </w:tc>
      </w:tr>
      <w:tr w14:paraId="5E1A9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069" w:type="dxa"/>
            <w:gridSpan w:val="3"/>
            <w:tcBorders>
              <w:left w:val="single" w:color="auto" w:sz="4" w:space="0"/>
              <w:bottom w:val="single" w:color="auto" w:sz="4" w:space="0"/>
              <w:right w:val="single" w:color="auto" w:sz="4" w:space="0"/>
            </w:tcBorders>
            <w:noWrap w:val="0"/>
            <w:vAlign w:val="center"/>
          </w:tcPr>
          <w:p w14:paraId="525E7701">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结论：是否通过评审（须填写通过或不通过）</w:t>
            </w:r>
          </w:p>
          <w:p w14:paraId="03BA092E">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5FD1E7D4">
            <w:pPr>
              <w:shd w:val="clear" w:color="auto" w:fill="auto"/>
              <w:rPr>
                <w:rFonts w:hint="eastAsia" w:ascii="宋体" w:hAnsi="宋体" w:eastAsia="宋体" w:cs="宋体"/>
                <w:color w:val="auto"/>
                <w:sz w:val="24"/>
                <w:szCs w:val="24"/>
                <w:highlight w:val="none"/>
              </w:rPr>
            </w:pPr>
          </w:p>
        </w:tc>
      </w:tr>
    </w:tbl>
    <w:p w14:paraId="24DC1652">
      <w:pPr>
        <w:rPr>
          <w:rFonts w:hint="eastAsia" w:ascii="宋体" w:hAnsi="宋体" w:eastAsia="宋体" w:cs="宋体"/>
          <w:color w:val="auto"/>
          <w:highlight w:val="none"/>
        </w:rPr>
      </w:pPr>
    </w:p>
    <w:p w14:paraId="100788F2">
      <w:pPr>
        <w:shd w:val="clear" w:color="auto" w:fill="auto"/>
        <w:spacing w:before="156" w:beforeLines="50" w:line="440" w:lineRule="exact"/>
        <w:ind w:firstLine="241" w:firstLineChars="100"/>
        <w:rPr>
          <w:rFonts w:hint="eastAsia" w:ascii="宋体" w:hAnsi="宋体" w:eastAsia="宋体" w:cs="宋体"/>
          <w:b/>
          <w:color w:val="auto"/>
          <w:sz w:val="24"/>
          <w:szCs w:val="24"/>
          <w:highlight w:val="none"/>
          <w:lang w:val="en-US" w:eastAsia="zh-CN"/>
        </w:rPr>
      </w:pPr>
    </w:p>
    <w:p w14:paraId="4D6E9121">
      <w:pPr>
        <w:pStyle w:val="31"/>
        <w:rPr>
          <w:rFonts w:hint="eastAsia" w:ascii="宋体" w:hAnsi="宋体" w:eastAsia="宋体" w:cs="宋体"/>
          <w:b/>
          <w:color w:val="auto"/>
          <w:sz w:val="24"/>
          <w:szCs w:val="24"/>
          <w:highlight w:val="none"/>
          <w:lang w:val="en-US" w:eastAsia="zh-CN"/>
        </w:rPr>
      </w:pPr>
    </w:p>
    <w:p w14:paraId="15AEA41D">
      <w:pPr>
        <w:pStyle w:val="16"/>
        <w:rPr>
          <w:rFonts w:hint="eastAsia"/>
          <w:color w:val="auto"/>
          <w:lang w:val="en-US" w:eastAsia="zh-CN"/>
        </w:rPr>
      </w:pPr>
    </w:p>
    <w:p w14:paraId="6582ACD2">
      <w:pPr>
        <w:pStyle w:val="16"/>
        <w:rPr>
          <w:rFonts w:hint="eastAsia"/>
          <w:color w:val="auto"/>
          <w:highlight w:val="none"/>
          <w:lang w:val="en-US" w:eastAsia="zh-CN"/>
        </w:rPr>
      </w:pPr>
    </w:p>
    <w:p w14:paraId="6B308E32">
      <w:pPr>
        <w:shd w:val="clear" w:color="auto" w:fill="auto"/>
        <w:spacing w:before="156" w:beforeLines="50" w:line="440" w:lineRule="exact"/>
        <w:ind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2.3综合评分表</w:t>
      </w:r>
    </w:p>
    <w:p w14:paraId="6AE6739A">
      <w:pPr>
        <w:pStyle w:val="7"/>
        <w:ind w:firstLine="240" w:firstLineChars="1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评审细则</w:t>
      </w:r>
      <w:bookmarkStart w:id="81" w:name="EB2384fbc2f1234e9abdb101be34da8f0a"/>
    </w:p>
    <w:bookmarkEnd w:id="81"/>
    <w:tbl>
      <w:tblPr>
        <w:tblStyle w:val="32"/>
        <w:tblpPr w:leftFromText="180" w:rightFromText="180" w:vertAnchor="text" w:horzAnchor="page" w:tblpX="1694" w:tblpY="117"/>
        <w:tblOverlap w:val="never"/>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64"/>
        <w:gridCol w:w="824"/>
        <w:gridCol w:w="6272"/>
      </w:tblGrid>
      <w:tr w14:paraId="54B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55" w:type="dxa"/>
            <w:gridSpan w:val="2"/>
            <w:noWrap w:val="0"/>
            <w:vAlign w:val="center"/>
          </w:tcPr>
          <w:p w14:paraId="1879EE9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24" w:type="dxa"/>
            <w:noWrap w:val="0"/>
            <w:vAlign w:val="center"/>
          </w:tcPr>
          <w:p w14:paraId="7C99BB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272" w:type="dxa"/>
            <w:noWrap w:val="0"/>
            <w:vAlign w:val="center"/>
          </w:tcPr>
          <w:p w14:paraId="36CC06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16E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51" w:type="dxa"/>
            <w:gridSpan w:val="4"/>
            <w:noWrap w:val="0"/>
            <w:vAlign w:val="center"/>
          </w:tcPr>
          <w:p w14:paraId="24279D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p>
        </w:tc>
      </w:tr>
      <w:tr w14:paraId="41F4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591" w:type="dxa"/>
            <w:noWrap w:val="0"/>
            <w:vAlign w:val="center"/>
          </w:tcPr>
          <w:p w14:paraId="5590F23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4" w:type="dxa"/>
            <w:noWrap w:val="0"/>
            <w:vAlign w:val="center"/>
          </w:tcPr>
          <w:p w14:paraId="3B51E82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824" w:type="dxa"/>
            <w:noWrap w:val="0"/>
            <w:vAlign w:val="center"/>
          </w:tcPr>
          <w:p w14:paraId="317F65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0分</w:t>
            </w:r>
          </w:p>
        </w:tc>
        <w:tc>
          <w:tcPr>
            <w:tcW w:w="6272" w:type="dxa"/>
            <w:noWrap w:val="0"/>
            <w:vAlign w:val="center"/>
          </w:tcPr>
          <w:p w14:paraId="09244E17">
            <w:pPr>
              <w:keepNext w:val="0"/>
              <w:keepLines w:val="0"/>
              <w:widowControl/>
              <w:suppressLineNumbers w:val="0"/>
              <w:spacing w:line="360" w:lineRule="auto"/>
              <w:jc w:val="left"/>
              <w:rPr>
                <w:rFonts w:hint="eastAsia"/>
                <w:color w:val="auto"/>
                <w:highlight w:val="none"/>
              </w:rPr>
            </w:pPr>
            <w:r>
              <w:rPr>
                <w:rFonts w:hint="eastAsia" w:ascii="宋体" w:hAnsi="宋体" w:eastAsia="宋体" w:cs="宋体"/>
                <w:color w:val="auto"/>
                <w:kern w:val="0"/>
                <w:sz w:val="24"/>
                <w:szCs w:val="24"/>
                <w:highlight w:val="none"/>
                <w:lang w:val="en-US" w:eastAsia="zh-CN" w:bidi="ar"/>
              </w:rPr>
              <w:t>采用综合评分法计算，价格分统一采用低价优先法计算，即满足磋商文件要求且投标价格最低的投标报价为评标基准价，其价格分为满分。其他供应商的价格部分统一按照下列公式计算：投标报价得分=（评标基准价/有效投标报价）×最大分值。</w:t>
            </w:r>
          </w:p>
        </w:tc>
      </w:tr>
      <w:tr w14:paraId="3C7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51" w:type="dxa"/>
            <w:gridSpan w:val="4"/>
            <w:noWrap w:val="0"/>
            <w:vAlign w:val="center"/>
          </w:tcPr>
          <w:p w14:paraId="286104B7">
            <w:pPr>
              <w:pStyle w:val="25"/>
              <w:keepNext w:val="0"/>
              <w:keepLines w:val="0"/>
              <w:pageBreakBefore w:val="0"/>
              <w:widowControl w:val="0"/>
              <w:tabs>
                <w:tab w:val="left" w:pos="1961"/>
              </w:tabs>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二、商务部分（</w:t>
            </w:r>
            <w:r>
              <w:rPr>
                <w:rFonts w:hint="eastAsia" w:ascii="宋体" w:hAnsi="宋体" w:cs="宋体"/>
                <w:b/>
                <w:bCs/>
                <w:color w:val="auto"/>
                <w:kern w:val="2"/>
                <w:sz w:val="24"/>
                <w:szCs w:val="24"/>
                <w:highlight w:val="none"/>
                <w:lang w:val="en-US" w:eastAsia="zh-CN" w:bidi="ar-SA"/>
              </w:rPr>
              <w:t>25</w:t>
            </w:r>
            <w:r>
              <w:rPr>
                <w:rFonts w:hint="eastAsia" w:ascii="宋体" w:hAnsi="宋体" w:eastAsia="宋体" w:cs="宋体"/>
                <w:b/>
                <w:bCs/>
                <w:color w:val="auto"/>
                <w:kern w:val="2"/>
                <w:sz w:val="24"/>
                <w:szCs w:val="24"/>
                <w:highlight w:val="none"/>
                <w:lang w:val="en-US" w:eastAsia="zh-CN" w:bidi="ar-SA"/>
              </w:rPr>
              <w:t>分）</w:t>
            </w:r>
          </w:p>
        </w:tc>
      </w:tr>
      <w:tr w14:paraId="3F9D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591" w:type="dxa"/>
            <w:noWrap w:val="0"/>
            <w:vAlign w:val="center"/>
          </w:tcPr>
          <w:p w14:paraId="2B57772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4" w:type="dxa"/>
            <w:noWrap w:val="0"/>
            <w:vAlign w:val="center"/>
          </w:tcPr>
          <w:p w14:paraId="1F06038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p>
          <w:p w14:paraId="25F783D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p>
        </w:tc>
        <w:tc>
          <w:tcPr>
            <w:tcW w:w="824" w:type="dxa"/>
            <w:noWrap w:val="0"/>
            <w:vAlign w:val="center"/>
          </w:tcPr>
          <w:p w14:paraId="4BC861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w:t>
            </w:r>
          </w:p>
        </w:tc>
        <w:tc>
          <w:tcPr>
            <w:tcW w:w="6272" w:type="dxa"/>
            <w:noWrap w:val="0"/>
            <w:vAlign w:val="center"/>
          </w:tcPr>
          <w:p w14:paraId="458BDC9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需提供近三年（2022年6月1日至今）类似业绩，每提供一个得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分，最高可得</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w:t>
            </w:r>
          </w:p>
          <w:p w14:paraId="4B6632EB">
            <w:pPr>
              <w:keepNext w:val="0"/>
              <w:keepLines w:val="0"/>
              <w:widowControl/>
              <w:suppressLineNumbers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注：1.类似业绩是承接过高质量发展咨询相关课题项目或承担过节能环保、低碳领域咨询相关类似项目编制工作。 </w:t>
            </w:r>
          </w:p>
          <w:p w14:paraId="07D81230">
            <w:pPr>
              <w:keepNext w:val="0"/>
              <w:keepLines w:val="0"/>
              <w:widowControl/>
              <w:suppressLineNumbers w:val="0"/>
              <w:spacing w:line="360" w:lineRule="auto"/>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 xml:space="preserve">2.业绩以提供（委托协议或合同或中标通知书）原件的扫描件为准（包括服务内容、双方签字盖章页），以上材料提供齐全为有效业绩，无效业绩不得分。 </w:t>
            </w:r>
          </w:p>
        </w:tc>
      </w:tr>
      <w:tr w14:paraId="2F3F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591" w:type="dxa"/>
            <w:noWrap w:val="0"/>
            <w:vAlign w:val="center"/>
          </w:tcPr>
          <w:p w14:paraId="0CD85E8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64" w:type="dxa"/>
            <w:shd w:val="clear" w:color="auto" w:fill="auto"/>
            <w:noWrap w:val="0"/>
            <w:vAlign w:val="center"/>
          </w:tcPr>
          <w:p w14:paraId="1FFDE30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p>
          <w:p w14:paraId="4CDE2C3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团队成员配置</w:t>
            </w:r>
          </w:p>
          <w:p w14:paraId="6AA2D1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824" w:type="dxa"/>
            <w:shd w:val="clear" w:color="auto" w:fill="auto"/>
            <w:noWrap w:val="0"/>
            <w:vAlign w:val="center"/>
          </w:tcPr>
          <w:p w14:paraId="0EFFD10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6272" w:type="dxa"/>
            <w:shd w:val="clear" w:color="auto" w:fill="auto"/>
            <w:noWrap w:val="0"/>
            <w:vAlign w:val="center"/>
          </w:tcPr>
          <w:p w14:paraId="5BDE1134">
            <w:pPr>
              <w:keepNext w:val="0"/>
              <w:keepLines w:val="0"/>
              <w:widowControl/>
              <w:suppressLineNumbers w:val="0"/>
              <w:spacing w:line="360" w:lineRule="auto"/>
              <w:jc w:val="left"/>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lang w:val="en-US" w:eastAsia="zh-CN"/>
              </w:rPr>
              <w:t>1.其余团队人员5人，（需提供项目团队人员提供相关证书复印件</w:t>
            </w:r>
            <w:r>
              <w:rPr>
                <w:rFonts w:hint="eastAsia" w:ascii="宋体" w:hAnsi="宋体" w:eastAsia="宋体" w:cs="宋体"/>
                <w:b w:val="0"/>
                <w:bCs/>
                <w:color w:val="auto"/>
                <w:kern w:val="2"/>
                <w:sz w:val="24"/>
                <w:szCs w:val="24"/>
                <w:highlight w:val="none"/>
                <w:lang w:val="en-US" w:eastAsia="zh-CN"/>
              </w:rPr>
              <w:t>及近半年的社保缴纳证明）附项</w:t>
            </w:r>
            <w:r>
              <w:rPr>
                <w:rFonts w:hint="eastAsia" w:ascii="宋体" w:hAnsi="宋体" w:eastAsia="宋体" w:cs="宋体"/>
                <w:b w:val="0"/>
                <w:bCs/>
                <w:color w:val="auto"/>
                <w:kern w:val="2"/>
                <w:sz w:val="24"/>
                <w:szCs w:val="24"/>
                <w:lang w:val="en-US" w:eastAsia="zh-CN"/>
              </w:rPr>
              <w:t>目团队到位名单，满足本项基本要求后得</w:t>
            </w:r>
            <w:r>
              <w:rPr>
                <w:rFonts w:hint="eastAsia" w:ascii="宋体" w:hAnsi="宋体" w:cs="宋体"/>
                <w:b w:val="0"/>
                <w:bCs/>
                <w:color w:val="auto"/>
                <w:kern w:val="2"/>
                <w:sz w:val="24"/>
                <w:szCs w:val="24"/>
                <w:lang w:val="en-US" w:eastAsia="zh-CN"/>
              </w:rPr>
              <w:t>5</w:t>
            </w:r>
            <w:r>
              <w:rPr>
                <w:rFonts w:hint="eastAsia" w:ascii="宋体" w:hAnsi="宋体" w:eastAsia="宋体" w:cs="宋体"/>
                <w:b w:val="0"/>
                <w:bCs/>
                <w:color w:val="auto"/>
                <w:kern w:val="2"/>
                <w:sz w:val="24"/>
                <w:szCs w:val="24"/>
                <w:lang w:val="en-US" w:eastAsia="zh-CN"/>
              </w:rPr>
              <w:t>分，不满足不得分。</w:t>
            </w:r>
          </w:p>
          <w:p w14:paraId="4ABE555B">
            <w:pPr>
              <w:keepNext w:val="0"/>
              <w:keepLines w:val="0"/>
              <w:widowControl/>
              <w:suppressLineNumbers w:val="0"/>
              <w:spacing w:line="360" w:lineRule="auto"/>
              <w:jc w:val="left"/>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lang w:val="en-US" w:eastAsia="zh-CN"/>
              </w:rPr>
              <w:t>2.针对本项目制定合理的团队成员配置计划，人力方案管理机制设置科学合理，岗位齐全，职责分工明确。</w:t>
            </w:r>
          </w:p>
          <w:p w14:paraId="545E3B19">
            <w:pPr>
              <w:keepNext w:val="0"/>
              <w:keepLines w:val="0"/>
              <w:widowControl/>
              <w:suppressLineNumbers w:val="0"/>
              <w:spacing w:line="360" w:lineRule="auto"/>
              <w:jc w:val="left"/>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lang w:val="en-US" w:eastAsia="zh-CN"/>
              </w:rPr>
              <w:t>配备人员充足且能力较好得</w:t>
            </w:r>
            <w:r>
              <w:rPr>
                <w:rFonts w:hint="eastAsia" w:ascii="宋体" w:hAnsi="宋体" w:cs="宋体"/>
                <w:b w:val="0"/>
                <w:bCs/>
                <w:color w:val="auto"/>
                <w:kern w:val="2"/>
                <w:sz w:val="24"/>
                <w:szCs w:val="24"/>
                <w:lang w:val="en-US" w:eastAsia="zh-CN"/>
              </w:rPr>
              <w:t>5</w:t>
            </w:r>
            <w:r>
              <w:rPr>
                <w:rFonts w:hint="eastAsia" w:ascii="宋体" w:hAnsi="宋体" w:eastAsia="宋体" w:cs="宋体"/>
                <w:b w:val="0"/>
                <w:bCs/>
                <w:color w:val="auto"/>
                <w:kern w:val="2"/>
                <w:sz w:val="24"/>
                <w:szCs w:val="24"/>
                <w:lang w:val="en-US" w:eastAsia="zh-CN"/>
              </w:rPr>
              <w:t>分，</w:t>
            </w:r>
          </w:p>
          <w:p w14:paraId="7F61282B">
            <w:pPr>
              <w:keepNext w:val="0"/>
              <w:keepLines w:val="0"/>
              <w:widowControl/>
              <w:suppressLineNumbers w:val="0"/>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ascii="宋体" w:hAnsi="宋体" w:eastAsia="宋体" w:cs="宋体"/>
                <w:b w:val="0"/>
                <w:bCs/>
                <w:color w:val="auto"/>
                <w:kern w:val="2"/>
                <w:sz w:val="24"/>
                <w:szCs w:val="24"/>
                <w:lang w:val="en-US" w:eastAsia="zh-CN"/>
              </w:rPr>
              <w:t>配备人员较充足且能力一般得</w:t>
            </w:r>
            <w:r>
              <w:rPr>
                <w:rFonts w:hint="eastAsia" w:ascii="宋体" w:hAnsi="宋体" w:cs="宋体"/>
                <w:b w:val="0"/>
                <w:bCs/>
                <w:color w:val="auto"/>
                <w:kern w:val="2"/>
                <w:sz w:val="24"/>
                <w:szCs w:val="24"/>
                <w:lang w:val="en-US" w:eastAsia="zh-CN"/>
              </w:rPr>
              <w:t>3</w:t>
            </w:r>
            <w:r>
              <w:rPr>
                <w:rFonts w:hint="eastAsia" w:ascii="宋体" w:hAnsi="宋体" w:eastAsia="宋体" w:cs="宋体"/>
                <w:b w:val="0"/>
                <w:bCs/>
                <w:color w:val="auto"/>
                <w:kern w:val="2"/>
                <w:sz w:val="24"/>
                <w:szCs w:val="24"/>
                <w:lang w:val="en-US" w:eastAsia="zh-CN"/>
              </w:rPr>
              <w:t>分。</w:t>
            </w:r>
          </w:p>
        </w:tc>
      </w:tr>
      <w:tr w14:paraId="501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951" w:type="dxa"/>
            <w:gridSpan w:val="4"/>
            <w:noWrap w:val="0"/>
            <w:vAlign w:val="center"/>
          </w:tcPr>
          <w:p w14:paraId="6437B4C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技术</w:t>
            </w:r>
            <w:r>
              <w:rPr>
                <w:rFonts w:hint="eastAsia" w:ascii="宋体" w:hAnsi="宋体" w:eastAsia="宋体" w:cs="宋体"/>
                <w:b/>
                <w:bCs/>
                <w:color w:val="auto"/>
                <w:kern w:val="2"/>
                <w:sz w:val="24"/>
                <w:szCs w:val="24"/>
                <w:highlight w:val="none"/>
                <w:lang w:val="en-US" w:eastAsia="zh-CN" w:bidi="ar-SA"/>
              </w:rPr>
              <w:t>部分（</w:t>
            </w:r>
            <w:r>
              <w:rPr>
                <w:rFonts w:hint="eastAsia" w:ascii="宋体" w:hAnsi="宋体" w:cs="宋体"/>
                <w:b/>
                <w:bCs/>
                <w:color w:val="auto"/>
                <w:kern w:val="2"/>
                <w:sz w:val="24"/>
                <w:szCs w:val="24"/>
                <w:highlight w:val="none"/>
                <w:lang w:val="en-US" w:eastAsia="zh-CN" w:bidi="ar-SA"/>
              </w:rPr>
              <w:t>65</w:t>
            </w:r>
            <w:r>
              <w:rPr>
                <w:rFonts w:hint="eastAsia" w:ascii="宋体" w:hAnsi="宋体" w:eastAsia="宋体" w:cs="宋体"/>
                <w:b/>
                <w:bCs/>
                <w:color w:val="auto"/>
                <w:kern w:val="2"/>
                <w:sz w:val="24"/>
                <w:szCs w:val="24"/>
                <w:highlight w:val="none"/>
                <w:lang w:val="en-US" w:eastAsia="zh-CN" w:bidi="ar-SA"/>
              </w:rPr>
              <w:t>分）</w:t>
            </w:r>
          </w:p>
        </w:tc>
      </w:tr>
      <w:tr w14:paraId="2F8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591" w:type="dxa"/>
            <w:noWrap w:val="0"/>
            <w:vAlign w:val="center"/>
          </w:tcPr>
          <w:p w14:paraId="3EFCDB8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264" w:type="dxa"/>
            <w:noWrap w:val="0"/>
            <w:vAlign w:val="center"/>
          </w:tcPr>
          <w:p w14:paraId="7A7097ED">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p w14:paraId="0B1A715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项目总体分析及服务方案</w:t>
            </w:r>
          </w:p>
        </w:tc>
        <w:tc>
          <w:tcPr>
            <w:tcW w:w="824" w:type="dxa"/>
            <w:noWrap w:val="0"/>
            <w:vAlign w:val="center"/>
          </w:tcPr>
          <w:p w14:paraId="6E0A224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分</w:t>
            </w:r>
          </w:p>
        </w:tc>
        <w:tc>
          <w:tcPr>
            <w:tcW w:w="6272" w:type="dxa"/>
            <w:noWrap w:val="0"/>
            <w:vAlign w:val="center"/>
          </w:tcPr>
          <w:p w14:paraId="24C751AB">
            <w:pPr>
              <w:keepNext w:val="0"/>
              <w:keepLines w:val="0"/>
              <w:widowControl/>
              <w:suppressLineNumbers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需制定科学合理、与服务项目需求吻合、思路清晰、详尽完善的项目总体分析，服务内容制定全面，服务方案科学可行，针对性强，符合要求。</w:t>
            </w:r>
            <w:r>
              <w:rPr>
                <w:rFonts w:hint="eastAsia" w:ascii="宋体" w:hAnsi="宋体" w:cs="宋体"/>
                <w:color w:val="auto"/>
                <w:kern w:val="0"/>
                <w:sz w:val="24"/>
                <w:szCs w:val="24"/>
                <w:highlight w:val="none"/>
                <w:lang w:val="en-US" w:eastAsia="zh-CN" w:bidi="ar"/>
              </w:rPr>
              <w:t xml:space="preserve"> </w:t>
            </w:r>
          </w:p>
          <w:p w14:paraId="18A5BE7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项目总体分析合理、切实可行、科学规范、针对性好，完全响应磋商文件要求得30分；</w:t>
            </w:r>
          </w:p>
          <w:p w14:paraId="0642F69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项目总体分析较为合理、可行性较高、科学规范、针对性较好，较为响应磋商文件要求得20分；</w:t>
            </w:r>
          </w:p>
          <w:p w14:paraId="0FBC494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项目总体分析合理性一般、可行性一般、科学规范、针对性一般，一般响应磋商文件要求得10分；</w:t>
            </w:r>
          </w:p>
          <w:p w14:paraId="73911C33">
            <w:pPr>
              <w:keepNext w:val="0"/>
              <w:keepLines w:val="0"/>
              <w:widowControl/>
              <w:suppressLineNumbers w:val="0"/>
              <w:spacing w:line="360" w:lineRule="auto"/>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服务方案不响应磋商文件要求的不得分。</w:t>
            </w:r>
          </w:p>
        </w:tc>
      </w:tr>
      <w:tr w14:paraId="37A0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591" w:type="dxa"/>
            <w:noWrap w:val="0"/>
            <w:vAlign w:val="center"/>
          </w:tcPr>
          <w:p w14:paraId="1241267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64" w:type="dxa"/>
            <w:noWrap w:val="0"/>
            <w:vAlign w:val="center"/>
          </w:tcPr>
          <w:p w14:paraId="441F01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p>
          <w:p w14:paraId="78213CA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w:t>
            </w:r>
          </w:p>
          <w:p w14:paraId="4DA21F8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及保障措</w:t>
            </w:r>
          </w:p>
          <w:p w14:paraId="64F1A76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w:t>
            </w:r>
          </w:p>
        </w:tc>
        <w:tc>
          <w:tcPr>
            <w:tcW w:w="824" w:type="dxa"/>
            <w:noWrap w:val="0"/>
            <w:vAlign w:val="center"/>
          </w:tcPr>
          <w:p w14:paraId="685392F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w:t>
            </w:r>
          </w:p>
        </w:tc>
        <w:tc>
          <w:tcPr>
            <w:tcW w:w="6272" w:type="dxa"/>
            <w:noWrap w:val="0"/>
            <w:vAlign w:val="center"/>
          </w:tcPr>
          <w:p w14:paraId="1B66E16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根据供应商提供的进度计划及保障措施进行综合评分，包含但不限于： </w:t>
            </w:r>
          </w:p>
          <w:p w14:paraId="5E68430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①时间节点分析，结合本项目进行申报的</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分析合理</w:t>
            </w:r>
            <w:r>
              <w:rPr>
                <w:rFonts w:hint="eastAsia" w:ascii="宋体" w:hAnsi="宋体" w:cs="宋体"/>
                <w:color w:val="auto"/>
                <w:kern w:val="0"/>
                <w:sz w:val="24"/>
                <w:szCs w:val="24"/>
                <w:highlight w:val="none"/>
                <w:lang w:val="en-US" w:eastAsia="zh-CN" w:bidi="ar"/>
              </w:rPr>
              <w:t>得5分，</w:t>
            </w:r>
            <w:r>
              <w:rPr>
                <w:rFonts w:hint="eastAsia" w:ascii="宋体" w:hAnsi="宋体" w:eastAsia="宋体" w:cs="宋体"/>
                <w:color w:val="auto"/>
                <w:kern w:val="0"/>
                <w:sz w:val="24"/>
                <w:szCs w:val="24"/>
                <w:highlight w:val="none"/>
                <w:lang w:val="en-US" w:eastAsia="zh-CN" w:bidi="ar"/>
              </w:rPr>
              <w:t>分析较为合理</w:t>
            </w:r>
            <w:r>
              <w:rPr>
                <w:rFonts w:hint="eastAsia" w:ascii="宋体" w:hAnsi="宋体" w:cs="宋体"/>
                <w:color w:val="auto"/>
                <w:kern w:val="0"/>
                <w:sz w:val="24"/>
                <w:szCs w:val="24"/>
                <w:highlight w:val="none"/>
                <w:lang w:val="en-US" w:eastAsia="zh-CN" w:bidi="ar"/>
              </w:rPr>
              <w:t>得3分，</w:t>
            </w:r>
            <w:r>
              <w:rPr>
                <w:rFonts w:hint="eastAsia" w:ascii="宋体" w:hAnsi="宋体" w:eastAsia="宋体" w:cs="宋体"/>
                <w:color w:val="auto"/>
                <w:kern w:val="0"/>
                <w:sz w:val="24"/>
                <w:szCs w:val="24"/>
                <w:highlight w:val="none"/>
                <w:lang w:val="en-US" w:eastAsia="zh-CN" w:bidi="ar"/>
              </w:rPr>
              <w:t>分析合理性一般</w:t>
            </w:r>
            <w:r>
              <w:rPr>
                <w:rFonts w:hint="eastAsia" w:ascii="宋体" w:hAnsi="宋体" w:cs="宋体"/>
                <w:color w:val="auto"/>
                <w:kern w:val="0"/>
                <w:sz w:val="24"/>
                <w:szCs w:val="24"/>
                <w:highlight w:val="none"/>
                <w:lang w:val="en-US" w:eastAsia="zh-CN" w:bidi="ar"/>
              </w:rPr>
              <w:t>得1</w:t>
            </w:r>
            <w:r>
              <w:rPr>
                <w:rFonts w:hint="eastAsia" w:ascii="宋体" w:hAnsi="宋体" w:eastAsia="宋体" w:cs="宋体"/>
                <w:color w:val="auto"/>
                <w:kern w:val="0"/>
                <w:sz w:val="24"/>
                <w:szCs w:val="24"/>
                <w:highlight w:val="none"/>
                <w:lang w:val="en-US" w:eastAsia="zh-CN" w:bidi="ar"/>
              </w:rPr>
              <w:t xml:space="preserve">分； </w:t>
            </w:r>
          </w:p>
          <w:p w14:paraId="564803D5">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②工作计划安排</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可行性高</w:t>
            </w:r>
            <w:r>
              <w:rPr>
                <w:rFonts w:hint="eastAsia" w:ascii="宋体" w:hAnsi="宋体" w:cs="宋体"/>
                <w:color w:val="auto"/>
                <w:kern w:val="0"/>
                <w:sz w:val="24"/>
                <w:szCs w:val="24"/>
                <w:highlight w:val="none"/>
                <w:lang w:val="en-US" w:eastAsia="zh-CN" w:bidi="ar"/>
              </w:rPr>
              <w:t>得5分，</w:t>
            </w:r>
            <w:r>
              <w:rPr>
                <w:rFonts w:hint="eastAsia" w:ascii="宋体" w:hAnsi="宋体" w:eastAsia="宋体" w:cs="宋体"/>
                <w:color w:val="auto"/>
                <w:kern w:val="0"/>
                <w:sz w:val="24"/>
                <w:szCs w:val="24"/>
                <w:highlight w:val="none"/>
                <w:lang w:val="en-US" w:eastAsia="zh-CN" w:bidi="ar"/>
              </w:rPr>
              <w:t>可行性较高</w:t>
            </w:r>
            <w:r>
              <w:rPr>
                <w:rFonts w:hint="eastAsia" w:ascii="宋体" w:hAnsi="宋体" w:cs="宋体"/>
                <w:color w:val="auto"/>
                <w:kern w:val="0"/>
                <w:sz w:val="24"/>
                <w:szCs w:val="24"/>
                <w:highlight w:val="none"/>
                <w:lang w:val="en-US" w:eastAsia="zh-CN" w:bidi="ar"/>
              </w:rPr>
              <w:t>得3分，</w:t>
            </w:r>
            <w:r>
              <w:rPr>
                <w:rFonts w:hint="eastAsia" w:ascii="宋体" w:hAnsi="宋体" w:eastAsia="宋体" w:cs="宋体"/>
                <w:color w:val="auto"/>
                <w:kern w:val="0"/>
                <w:sz w:val="24"/>
                <w:szCs w:val="24"/>
                <w:highlight w:val="none"/>
                <w:lang w:val="en-US" w:eastAsia="zh-CN" w:bidi="ar"/>
              </w:rPr>
              <w:t>可行性一</w:t>
            </w:r>
            <w:r>
              <w:rPr>
                <w:rFonts w:hint="eastAsia" w:ascii="宋体" w:hAnsi="宋体" w:cs="宋体"/>
                <w:color w:val="auto"/>
                <w:kern w:val="0"/>
                <w:sz w:val="24"/>
                <w:szCs w:val="24"/>
                <w:highlight w:val="none"/>
                <w:lang w:val="en-US" w:eastAsia="zh-CN" w:bidi="ar"/>
              </w:rPr>
              <w:t>般得1</w:t>
            </w:r>
            <w:r>
              <w:rPr>
                <w:rFonts w:hint="eastAsia" w:ascii="宋体" w:hAnsi="宋体" w:eastAsia="宋体" w:cs="宋体"/>
                <w:color w:val="auto"/>
                <w:kern w:val="0"/>
                <w:sz w:val="24"/>
                <w:szCs w:val="24"/>
                <w:highlight w:val="none"/>
                <w:lang w:val="en-US" w:eastAsia="zh-CN" w:bidi="ar"/>
              </w:rPr>
              <w:t xml:space="preserve">分； </w:t>
            </w:r>
          </w:p>
          <w:p w14:paraId="7ED2AC1B">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③服务期限内保障措施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可行性高</w:t>
            </w:r>
            <w:r>
              <w:rPr>
                <w:rFonts w:hint="eastAsia" w:ascii="宋体" w:hAnsi="宋体" w:cs="宋体"/>
                <w:color w:val="auto"/>
                <w:kern w:val="0"/>
                <w:sz w:val="24"/>
                <w:szCs w:val="24"/>
                <w:highlight w:val="none"/>
                <w:lang w:val="en-US" w:eastAsia="zh-CN" w:bidi="ar"/>
              </w:rPr>
              <w:t>得5分，</w:t>
            </w:r>
            <w:r>
              <w:rPr>
                <w:rFonts w:hint="eastAsia" w:ascii="宋体" w:hAnsi="宋体" w:eastAsia="宋体" w:cs="宋体"/>
                <w:color w:val="auto"/>
                <w:kern w:val="0"/>
                <w:sz w:val="24"/>
                <w:szCs w:val="24"/>
                <w:highlight w:val="none"/>
                <w:lang w:val="en-US" w:eastAsia="zh-CN" w:bidi="ar"/>
              </w:rPr>
              <w:t>可行性较高</w:t>
            </w:r>
            <w:r>
              <w:rPr>
                <w:rFonts w:hint="eastAsia" w:ascii="宋体" w:hAnsi="宋体" w:cs="宋体"/>
                <w:color w:val="auto"/>
                <w:kern w:val="0"/>
                <w:sz w:val="24"/>
                <w:szCs w:val="24"/>
                <w:highlight w:val="none"/>
                <w:lang w:val="en-US" w:eastAsia="zh-CN" w:bidi="ar"/>
              </w:rPr>
              <w:t>得3分，</w:t>
            </w:r>
            <w:r>
              <w:rPr>
                <w:rFonts w:hint="eastAsia" w:ascii="宋体" w:hAnsi="宋体" w:eastAsia="宋体" w:cs="宋体"/>
                <w:color w:val="auto"/>
                <w:kern w:val="0"/>
                <w:sz w:val="24"/>
                <w:szCs w:val="24"/>
                <w:highlight w:val="none"/>
                <w:lang w:val="en-US" w:eastAsia="zh-CN" w:bidi="ar"/>
              </w:rPr>
              <w:t>可行性一</w:t>
            </w:r>
            <w:r>
              <w:rPr>
                <w:rFonts w:hint="eastAsia" w:ascii="宋体" w:hAnsi="宋体" w:cs="宋体"/>
                <w:color w:val="auto"/>
                <w:kern w:val="0"/>
                <w:sz w:val="24"/>
                <w:szCs w:val="24"/>
                <w:highlight w:val="none"/>
                <w:lang w:val="en-US" w:eastAsia="zh-CN" w:bidi="ar"/>
              </w:rPr>
              <w:t>般得1</w:t>
            </w:r>
            <w:r>
              <w:rPr>
                <w:rFonts w:hint="eastAsia" w:ascii="宋体" w:hAnsi="宋体" w:eastAsia="宋体" w:cs="宋体"/>
                <w:color w:val="auto"/>
                <w:kern w:val="0"/>
                <w:sz w:val="24"/>
                <w:szCs w:val="24"/>
                <w:highlight w:val="none"/>
                <w:lang w:val="en-US" w:eastAsia="zh-CN" w:bidi="ar"/>
              </w:rPr>
              <w:t xml:space="preserve">分； </w:t>
            </w:r>
          </w:p>
          <w:p w14:paraId="20BDB61E">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不提供得0分。 </w:t>
            </w:r>
          </w:p>
        </w:tc>
      </w:tr>
      <w:tr w14:paraId="48AA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91" w:type="dxa"/>
            <w:noWrap w:val="0"/>
            <w:vAlign w:val="center"/>
          </w:tcPr>
          <w:p w14:paraId="7DCF4C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64" w:type="dxa"/>
            <w:noWrap w:val="0"/>
            <w:vAlign w:val="center"/>
          </w:tcPr>
          <w:p w14:paraId="0E8D16D6">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p w14:paraId="728F8F2E">
            <w:pPr>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保密措施</w:t>
            </w:r>
          </w:p>
          <w:p w14:paraId="0F0B2C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p>
        </w:tc>
        <w:tc>
          <w:tcPr>
            <w:tcW w:w="824" w:type="dxa"/>
            <w:noWrap w:val="0"/>
            <w:vAlign w:val="center"/>
          </w:tcPr>
          <w:p w14:paraId="1E7942F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272" w:type="dxa"/>
            <w:noWrap w:val="0"/>
            <w:vAlign w:val="center"/>
          </w:tcPr>
          <w:p w14:paraId="5CDE1DD1">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根据供应商提供的保密措施进行综合评分，包含但不限于</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14:paraId="16530671">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w:t>
            </w:r>
            <w:r>
              <w:rPr>
                <w:rFonts w:hint="eastAsia" w:ascii="宋体" w:hAnsi="宋体" w:cs="宋体"/>
                <w:color w:val="auto"/>
                <w:kern w:val="0"/>
                <w:sz w:val="24"/>
                <w:szCs w:val="24"/>
                <w:highlight w:val="none"/>
                <w:lang w:val="en-US" w:eastAsia="zh-CN" w:bidi="ar"/>
              </w:rPr>
              <w:t>申报服务的</w:t>
            </w:r>
            <w:r>
              <w:rPr>
                <w:rFonts w:hint="eastAsia" w:ascii="宋体" w:hAnsi="宋体" w:eastAsia="宋体" w:cs="宋体"/>
                <w:color w:val="auto"/>
                <w:kern w:val="0"/>
                <w:sz w:val="24"/>
                <w:szCs w:val="24"/>
                <w:highlight w:val="none"/>
                <w:lang w:val="en-US" w:eastAsia="zh-CN" w:bidi="ar"/>
              </w:rPr>
              <w:t>保密制度</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 xml:space="preserve">； </w:t>
            </w:r>
          </w:p>
          <w:p w14:paraId="2943C2CE">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w:t>
            </w:r>
            <w:r>
              <w:rPr>
                <w:rFonts w:hint="eastAsia" w:ascii="宋体" w:hAnsi="宋体" w:cs="宋体"/>
                <w:color w:val="auto"/>
                <w:kern w:val="0"/>
                <w:sz w:val="24"/>
                <w:szCs w:val="24"/>
                <w:highlight w:val="none"/>
                <w:lang w:val="en-US" w:eastAsia="zh-CN" w:bidi="ar"/>
              </w:rPr>
              <w:t>申报服务的</w:t>
            </w:r>
            <w:r>
              <w:rPr>
                <w:rFonts w:hint="eastAsia" w:ascii="宋体" w:hAnsi="宋体" w:eastAsia="宋体" w:cs="宋体"/>
                <w:color w:val="auto"/>
                <w:kern w:val="0"/>
                <w:sz w:val="24"/>
                <w:szCs w:val="24"/>
                <w:highlight w:val="none"/>
                <w:lang w:val="en-US" w:eastAsia="zh-CN" w:bidi="ar"/>
              </w:rPr>
              <w:t>保密措施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 xml:space="preserve">； </w:t>
            </w:r>
          </w:p>
          <w:p w14:paraId="0F8A50C8">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w:t>
            </w:r>
            <w:r>
              <w:rPr>
                <w:rFonts w:hint="eastAsia" w:ascii="宋体" w:hAnsi="宋体" w:cs="宋体"/>
                <w:color w:val="auto"/>
                <w:kern w:val="0"/>
                <w:sz w:val="24"/>
                <w:szCs w:val="24"/>
                <w:highlight w:val="none"/>
                <w:lang w:val="en-US" w:eastAsia="zh-CN" w:bidi="ar"/>
              </w:rPr>
              <w:t>申报服务的</w:t>
            </w:r>
            <w:r>
              <w:rPr>
                <w:rFonts w:hint="eastAsia" w:ascii="宋体" w:hAnsi="宋体" w:eastAsia="宋体" w:cs="宋体"/>
                <w:color w:val="auto"/>
                <w:kern w:val="0"/>
                <w:sz w:val="24"/>
                <w:szCs w:val="24"/>
                <w:highlight w:val="none"/>
                <w:lang w:val="en-US" w:eastAsia="zh-CN" w:bidi="ar"/>
              </w:rPr>
              <w:t>安全措施</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得0.5分</w:t>
            </w:r>
            <w:r>
              <w:rPr>
                <w:rFonts w:hint="eastAsia" w:ascii="宋体" w:hAnsi="宋体" w:eastAsia="宋体" w:cs="宋体"/>
                <w:color w:val="auto"/>
                <w:kern w:val="0"/>
                <w:sz w:val="24"/>
                <w:szCs w:val="24"/>
                <w:highlight w:val="none"/>
                <w:lang w:val="en-US" w:eastAsia="zh-CN" w:bidi="ar"/>
              </w:rPr>
              <w:t xml:space="preserve">； </w:t>
            </w:r>
          </w:p>
          <w:p w14:paraId="42570C58">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不提供得0分。</w:t>
            </w:r>
          </w:p>
        </w:tc>
      </w:tr>
      <w:tr w14:paraId="59B4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1" w:type="dxa"/>
            <w:noWrap w:val="0"/>
            <w:vAlign w:val="center"/>
          </w:tcPr>
          <w:p w14:paraId="5C36036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64" w:type="dxa"/>
            <w:noWrap w:val="0"/>
            <w:vAlign w:val="center"/>
          </w:tcPr>
          <w:p w14:paraId="5A18B60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p w14:paraId="437E2153">
            <w:pPr>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后续服务</w:t>
            </w:r>
          </w:p>
          <w:p w14:paraId="07DE938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p>
        </w:tc>
        <w:tc>
          <w:tcPr>
            <w:tcW w:w="824" w:type="dxa"/>
            <w:noWrap w:val="0"/>
            <w:vAlign w:val="center"/>
          </w:tcPr>
          <w:p w14:paraId="3EF042B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6272" w:type="dxa"/>
            <w:noWrap w:val="0"/>
            <w:vAlign w:val="center"/>
          </w:tcPr>
          <w:p w14:paraId="5102F34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根据供应商提供的后续服务进行评审，后续服务包括但不限于： </w:t>
            </w:r>
          </w:p>
          <w:p w14:paraId="7FF0574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①后续服务机构沟通机制及方法</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 xml:space="preserve">； </w:t>
            </w:r>
          </w:p>
          <w:p w14:paraId="0FEBF76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②后续服务队伍人员情况</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 xml:space="preserve">； </w:t>
            </w:r>
          </w:p>
          <w:p w14:paraId="31E46A1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③后续服务响应时间</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 xml:space="preserve">； </w:t>
            </w:r>
          </w:p>
          <w:p w14:paraId="6AA6DE55">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④后续服务技术支持能力</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r>
              <w:rPr>
                <w:rFonts w:hint="eastAsia" w:ascii="宋体" w:hAnsi="宋体" w:eastAsia="宋体" w:cs="宋体"/>
                <w:color w:val="auto"/>
                <w:kern w:val="0"/>
                <w:sz w:val="24"/>
                <w:szCs w:val="24"/>
                <w:highlight w:val="none"/>
                <w:lang w:val="en-US" w:eastAsia="zh-CN" w:bidi="ar"/>
              </w:rPr>
              <w:t>；</w:t>
            </w:r>
          </w:p>
          <w:p w14:paraId="4A7FD852">
            <w:pPr>
              <w:keepNext w:val="0"/>
              <w:keepLines w:val="0"/>
              <w:widowControl/>
              <w:suppressLineNumbers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 5 \* GB3 \* MERGEFORMAT </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⑤</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后续数据的可追溯性（备份存储）能力</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针对性好</w:t>
            </w:r>
            <w:r>
              <w:rPr>
                <w:rFonts w:hint="eastAsia" w:ascii="宋体" w:hAnsi="宋体" w:cs="宋体"/>
                <w:color w:val="auto"/>
                <w:kern w:val="0"/>
                <w:sz w:val="24"/>
                <w:szCs w:val="24"/>
                <w:highlight w:val="none"/>
                <w:lang w:val="en-US" w:eastAsia="zh-CN" w:bidi="ar"/>
              </w:rPr>
              <w:t>得2分，</w:t>
            </w:r>
            <w:r>
              <w:rPr>
                <w:rFonts w:hint="eastAsia" w:ascii="宋体" w:hAnsi="宋体" w:eastAsia="宋体" w:cs="宋体"/>
                <w:color w:val="auto"/>
                <w:kern w:val="0"/>
                <w:sz w:val="24"/>
                <w:szCs w:val="24"/>
                <w:highlight w:val="none"/>
                <w:lang w:val="en-US" w:eastAsia="zh-CN" w:bidi="ar"/>
              </w:rPr>
              <w:t>针对性一般</w:t>
            </w:r>
            <w:r>
              <w:rPr>
                <w:rFonts w:hint="eastAsia" w:ascii="宋体" w:hAnsi="宋体" w:cs="宋体"/>
                <w:color w:val="auto"/>
                <w:kern w:val="0"/>
                <w:sz w:val="24"/>
                <w:szCs w:val="24"/>
                <w:highlight w:val="none"/>
                <w:lang w:val="en-US" w:eastAsia="zh-CN" w:bidi="ar"/>
              </w:rPr>
              <w:t>得1分。</w:t>
            </w:r>
          </w:p>
          <w:p w14:paraId="024C4087">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不提供得0分。</w:t>
            </w:r>
          </w:p>
        </w:tc>
      </w:tr>
      <w:tr w14:paraId="1EC6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1" w:type="dxa"/>
            <w:noWrap w:val="0"/>
            <w:vAlign w:val="center"/>
          </w:tcPr>
          <w:p w14:paraId="157659A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64" w:type="dxa"/>
            <w:noWrap w:val="0"/>
            <w:vAlign w:val="center"/>
          </w:tcPr>
          <w:p w14:paraId="33F4123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合理化建议</w:t>
            </w:r>
          </w:p>
        </w:tc>
        <w:tc>
          <w:tcPr>
            <w:tcW w:w="824" w:type="dxa"/>
            <w:noWrap w:val="0"/>
            <w:vAlign w:val="center"/>
          </w:tcPr>
          <w:p w14:paraId="08FD4E62">
            <w:pPr>
              <w:jc w:val="center"/>
              <w:rPr>
                <w:rFonts w:hint="eastAsia" w:ascii="宋体" w:hAnsi="宋体" w:eastAsia="宋体" w:cs="宋体"/>
                <w:color w:val="auto"/>
                <w:sz w:val="24"/>
                <w:szCs w:val="24"/>
                <w:highlight w:val="none"/>
                <w:lang w:val="en-US" w:eastAsia="zh-CN" w:bidi="ar"/>
              </w:rPr>
            </w:pPr>
          </w:p>
          <w:p w14:paraId="4F9FD539">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5分</w:t>
            </w:r>
          </w:p>
        </w:tc>
        <w:tc>
          <w:tcPr>
            <w:tcW w:w="6272" w:type="dxa"/>
            <w:noWrap w:val="0"/>
            <w:vAlign w:val="center"/>
          </w:tcPr>
          <w:p w14:paraId="3E3DA2F3">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提供针对本项目的合理化建议，更好地完成申报工作。</w:t>
            </w:r>
          </w:p>
          <w:p w14:paraId="5299E3B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合理化建议多样完善、切实可行、针对性强，完全响应磋商文件要求得5分；</w:t>
            </w:r>
          </w:p>
          <w:p w14:paraId="29720C08">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合理化建议较为完善、切实可行、针对性较强，较响应磋商文件要求得3分；</w:t>
            </w:r>
          </w:p>
          <w:p w14:paraId="5502A1AF">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合理化建议不响应磋商文件得0分。</w:t>
            </w:r>
          </w:p>
        </w:tc>
      </w:tr>
      <w:tr w14:paraId="3FFE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951" w:type="dxa"/>
            <w:gridSpan w:val="4"/>
            <w:noWrap w:val="0"/>
            <w:vAlign w:val="center"/>
          </w:tcPr>
          <w:p w14:paraId="5D6F193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合计</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100分。</w:t>
            </w:r>
          </w:p>
        </w:tc>
      </w:tr>
    </w:tbl>
    <w:p w14:paraId="76760A27">
      <w:pPr>
        <w:widowControl/>
        <w:adjustRightInd w:val="0"/>
        <w:snapToGrid w:val="0"/>
        <w:spacing w:line="480" w:lineRule="exact"/>
        <w:rPr>
          <w:rFonts w:hint="eastAsia" w:ascii="宋体" w:hAnsi="宋体" w:eastAsia="宋体" w:cs="宋体"/>
          <w:b/>
          <w:bCs/>
          <w:color w:val="auto"/>
          <w:sz w:val="24"/>
          <w:szCs w:val="24"/>
          <w:highlight w:val="none"/>
        </w:rPr>
      </w:pPr>
    </w:p>
    <w:p w14:paraId="41A197BE">
      <w:pPr>
        <w:widowControl/>
        <w:adjustRightInd w:val="0"/>
        <w:snapToGrid w:val="0"/>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推荐成交供应商</w:t>
      </w:r>
    </w:p>
    <w:p w14:paraId="0FFE38DD">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每个标段，评审得分由高到低顺序推荐3名以上成交候选供应商，并编写评审报告。评审得分相同的，最后报价低的优先。评审得分且最后报价相同的，按照技术指标优劣顺序推荐。</w:t>
      </w:r>
    </w:p>
    <w:p w14:paraId="4E681333">
      <w:pPr>
        <w:widowControl/>
        <w:adjustRightInd w:val="0"/>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lang w:val="en-US" w:eastAsia="zh-CN"/>
        </w:rPr>
        <w:t>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lang w:val="en-US" w:eastAsia="zh-CN"/>
        </w:rPr>
        <w:t>委员会应当将其作为无效投标处理。</w:t>
      </w:r>
    </w:p>
    <w:p w14:paraId="0C94AA0A">
      <w:pPr>
        <w:widowControl/>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2.评分计算方法解释</w:t>
      </w:r>
    </w:p>
    <w:p w14:paraId="7F34A89C">
      <w:pPr>
        <w:widowControl/>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（1）</w:t>
      </w:r>
      <w:r>
        <w:rPr>
          <w:rFonts w:hint="eastAsia" w:ascii="宋体" w:hAnsi="宋体" w:eastAsia="宋体" w:cs="宋体"/>
          <w:bCs/>
          <w:color w:val="auto"/>
          <w:sz w:val="24"/>
          <w:szCs w:val="24"/>
          <w:highlight w:val="none"/>
        </w:rPr>
        <w:t>供应商的评审得分是指所有磋商小组成员对其评分的算术平均值。</w:t>
      </w:r>
    </w:p>
    <w:p w14:paraId="1D4F5740">
      <w:pPr>
        <w:widowControl/>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（2）</w:t>
      </w:r>
      <w:r>
        <w:rPr>
          <w:rFonts w:hint="eastAsia" w:ascii="宋体" w:hAnsi="宋体" w:eastAsia="宋体" w:cs="宋体"/>
          <w:bCs/>
          <w:color w:val="auto"/>
          <w:sz w:val="24"/>
          <w:szCs w:val="24"/>
          <w:highlight w:val="none"/>
        </w:rPr>
        <w:t>计算过程中，算术平均值保留2位小数（百分比亦取2位小数），第三位小数四舍五入。</w:t>
      </w:r>
    </w:p>
    <w:p w14:paraId="55B62271">
      <w:pPr>
        <w:widowControl/>
        <w:adjustRightInd w:val="0"/>
        <w:snapToGrid w:val="0"/>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确定成交供应商</w:t>
      </w:r>
    </w:p>
    <w:p w14:paraId="1892005F">
      <w:pPr>
        <w:widowControl/>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1.采购代理机构应当在评审结束后2个工作日内将评审报告送采购人确认。</w:t>
      </w:r>
    </w:p>
    <w:p w14:paraId="4A9C0E7D">
      <w:pPr>
        <w:widowControl/>
        <w:adjustRightInd w:val="0"/>
        <w:snapToGrid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BDF937">
      <w:pPr>
        <w:widowControl/>
        <w:spacing w:line="480" w:lineRule="exact"/>
        <w:jc w:val="left"/>
        <w:rPr>
          <w:rFonts w:hint="eastAsia" w:ascii="宋体" w:hAnsi="宋体" w:eastAsia="宋体" w:cs="宋体"/>
          <w:b/>
          <w:bCs/>
          <w:color w:val="auto"/>
          <w:sz w:val="24"/>
          <w:szCs w:val="24"/>
          <w:highlight w:val="none"/>
        </w:rPr>
      </w:pPr>
      <w:bookmarkStart w:id="82" w:name="_Toc28184"/>
      <w:bookmarkStart w:id="83" w:name="_Toc18050"/>
      <w:r>
        <w:rPr>
          <w:rFonts w:hint="eastAsia" w:ascii="宋体" w:hAnsi="宋体" w:eastAsia="宋体" w:cs="宋体"/>
          <w:b/>
          <w:bCs/>
          <w:color w:val="auto"/>
          <w:sz w:val="24"/>
          <w:szCs w:val="24"/>
          <w:highlight w:val="none"/>
        </w:rPr>
        <w:br w:type="page"/>
      </w:r>
    </w:p>
    <w:p w14:paraId="3A204732">
      <w:pPr>
        <w:pStyle w:val="2"/>
        <w:numPr>
          <w:ilvl w:val="0"/>
          <w:numId w:val="7"/>
        </w:numPr>
        <w:spacing w:line="600" w:lineRule="auto"/>
        <w:ind w:left="0" w:leftChars="0" w:firstLine="0" w:firstLineChars="0"/>
        <w:jc w:val="center"/>
        <w:rPr>
          <w:rFonts w:hint="eastAsia" w:ascii="宋体" w:hAnsi="宋体" w:eastAsia="宋体" w:cs="宋体"/>
          <w:b/>
          <w:bCs w:val="0"/>
          <w:color w:val="auto"/>
          <w:sz w:val="24"/>
          <w:szCs w:val="24"/>
          <w:highlight w:val="none"/>
        </w:rPr>
      </w:pPr>
      <w:bookmarkStart w:id="84" w:name="_Toc4859"/>
      <w:bookmarkStart w:id="85" w:name="_Toc14260"/>
      <w:bookmarkStart w:id="86" w:name="_Toc20759"/>
      <w:bookmarkStart w:id="87" w:name="_Toc1437"/>
      <w:bookmarkStart w:id="88" w:name="_Toc11344"/>
      <w:r>
        <w:rPr>
          <w:rFonts w:hint="eastAsia" w:ascii="宋体" w:hAnsi="宋体" w:eastAsia="宋体" w:cs="宋体"/>
          <w:b/>
          <w:bCs w:val="0"/>
          <w:color w:val="auto"/>
          <w:sz w:val="24"/>
          <w:szCs w:val="24"/>
          <w:highlight w:val="none"/>
        </w:rPr>
        <w:t>合 同 条 款</w:t>
      </w:r>
      <w:bookmarkEnd w:id="82"/>
      <w:bookmarkEnd w:id="83"/>
      <w:bookmarkEnd w:id="84"/>
      <w:bookmarkEnd w:id="85"/>
      <w:bookmarkEnd w:id="86"/>
      <w:bookmarkEnd w:id="87"/>
      <w:bookmarkEnd w:id="88"/>
    </w:p>
    <w:p w14:paraId="0FB97C13">
      <w:pPr>
        <w:pStyle w:val="12"/>
        <w:spacing w:line="263" w:lineRule="auto"/>
        <w:rPr>
          <w:rFonts w:hint="eastAsia" w:ascii="仿宋" w:hAnsi="仿宋" w:eastAsia="仿宋" w:cs="仿宋"/>
          <w:color w:val="auto"/>
          <w:lang w:eastAsia="zh-CN"/>
        </w:rPr>
      </w:pPr>
    </w:p>
    <w:p w14:paraId="59D9ABA2">
      <w:pPr>
        <w:pStyle w:val="12"/>
        <w:spacing w:line="264" w:lineRule="auto"/>
        <w:rPr>
          <w:rFonts w:hint="eastAsia" w:ascii="仿宋" w:hAnsi="仿宋" w:eastAsia="仿宋" w:cs="仿宋"/>
          <w:color w:val="auto"/>
          <w:lang w:eastAsia="zh-CN"/>
        </w:rPr>
      </w:pPr>
    </w:p>
    <w:p w14:paraId="0E9A51AD">
      <w:pPr>
        <w:pStyle w:val="12"/>
        <w:spacing w:line="264" w:lineRule="auto"/>
        <w:rPr>
          <w:rFonts w:hint="eastAsia" w:ascii="仿宋" w:hAnsi="仿宋" w:eastAsia="仿宋" w:cs="仿宋"/>
          <w:color w:val="auto"/>
          <w:lang w:eastAsia="zh-CN"/>
        </w:rPr>
      </w:pPr>
    </w:p>
    <w:p w14:paraId="513C1BEF">
      <w:pPr>
        <w:pStyle w:val="12"/>
        <w:spacing w:line="264" w:lineRule="auto"/>
        <w:rPr>
          <w:rFonts w:hint="eastAsia" w:ascii="仿宋" w:hAnsi="仿宋" w:eastAsia="仿宋" w:cs="仿宋"/>
          <w:color w:val="auto"/>
          <w:lang w:eastAsia="zh-CN"/>
        </w:rPr>
      </w:pPr>
    </w:p>
    <w:p w14:paraId="0A08819C">
      <w:pPr>
        <w:pStyle w:val="12"/>
        <w:spacing w:line="264" w:lineRule="auto"/>
        <w:rPr>
          <w:rFonts w:hint="eastAsia" w:ascii="仿宋" w:hAnsi="仿宋" w:eastAsia="仿宋" w:cs="仿宋"/>
          <w:color w:val="auto"/>
          <w:lang w:eastAsia="zh-CN"/>
        </w:rPr>
      </w:pPr>
    </w:p>
    <w:p w14:paraId="0360F2BA">
      <w:pPr>
        <w:pStyle w:val="12"/>
        <w:spacing w:line="264" w:lineRule="auto"/>
        <w:rPr>
          <w:rFonts w:hint="eastAsia" w:ascii="仿宋" w:hAnsi="仿宋" w:eastAsia="仿宋" w:cs="仿宋"/>
          <w:color w:val="auto"/>
          <w:lang w:eastAsia="zh-CN"/>
        </w:rPr>
      </w:pPr>
    </w:p>
    <w:p w14:paraId="394C6DC3">
      <w:pPr>
        <w:pStyle w:val="12"/>
        <w:spacing w:line="264" w:lineRule="auto"/>
        <w:rPr>
          <w:rFonts w:hint="eastAsia" w:ascii="仿宋" w:hAnsi="仿宋" w:eastAsia="仿宋" w:cs="仿宋"/>
          <w:color w:val="auto"/>
          <w:lang w:eastAsia="zh-CN"/>
        </w:rPr>
      </w:pPr>
    </w:p>
    <w:p w14:paraId="441BA16A">
      <w:pPr>
        <w:spacing w:line="219" w:lineRule="auto"/>
        <w:jc w:val="center"/>
        <w:outlineLvl w:val="0"/>
        <w:rPr>
          <w:rFonts w:hint="eastAsia" w:ascii="仿宋" w:hAnsi="仿宋" w:eastAsia="仿宋" w:cs="仿宋"/>
          <w:color w:val="auto"/>
          <w:sz w:val="44"/>
          <w:szCs w:val="44"/>
          <w:lang w:eastAsia="zh-CN"/>
        </w:rPr>
      </w:pPr>
      <w:r>
        <w:rPr>
          <w:rFonts w:hint="eastAsia" w:ascii="仿宋" w:hAnsi="仿宋" w:eastAsia="仿宋" w:cs="仿宋"/>
          <w:b/>
          <w:bCs/>
          <w:color w:val="auto"/>
          <w:spacing w:val="-6"/>
          <w:sz w:val="44"/>
          <w:szCs w:val="44"/>
          <w:lang w:eastAsia="zh-CN"/>
        </w:rPr>
        <w:t>技术服务合同</w:t>
      </w:r>
    </w:p>
    <w:p w14:paraId="730C3599">
      <w:pPr>
        <w:pStyle w:val="12"/>
        <w:spacing w:line="266" w:lineRule="auto"/>
        <w:rPr>
          <w:rFonts w:hint="eastAsia" w:ascii="仿宋" w:hAnsi="仿宋" w:eastAsia="仿宋" w:cs="仿宋"/>
          <w:color w:val="auto"/>
          <w:lang w:eastAsia="zh-CN"/>
        </w:rPr>
      </w:pPr>
    </w:p>
    <w:p w14:paraId="36712379">
      <w:pPr>
        <w:pStyle w:val="12"/>
        <w:spacing w:line="266" w:lineRule="auto"/>
        <w:rPr>
          <w:rFonts w:hint="eastAsia" w:ascii="仿宋" w:hAnsi="仿宋" w:eastAsia="仿宋" w:cs="仿宋"/>
          <w:color w:val="auto"/>
          <w:lang w:eastAsia="zh-CN"/>
        </w:rPr>
      </w:pPr>
    </w:p>
    <w:p w14:paraId="2D6A9A39">
      <w:pPr>
        <w:pStyle w:val="12"/>
        <w:spacing w:line="267" w:lineRule="auto"/>
        <w:rPr>
          <w:rFonts w:hint="eastAsia" w:ascii="仿宋" w:hAnsi="仿宋" w:eastAsia="仿宋" w:cs="仿宋"/>
          <w:color w:val="auto"/>
          <w:lang w:eastAsia="zh-CN"/>
        </w:rPr>
      </w:pPr>
    </w:p>
    <w:p w14:paraId="6DAB3833">
      <w:pPr>
        <w:pStyle w:val="12"/>
        <w:spacing w:line="267" w:lineRule="auto"/>
        <w:rPr>
          <w:rFonts w:hint="eastAsia" w:ascii="仿宋" w:hAnsi="仿宋" w:eastAsia="仿宋" w:cs="仿宋"/>
          <w:color w:val="auto"/>
          <w:lang w:eastAsia="zh-CN"/>
        </w:rPr>
      </w:pPr>
    </w:p>
    <w:p w14:paraId="5C97DEE8">
      <w:pPr>
        <w:pStyle w:val="12"/>
        <w:spacing w:line="267" w:lineRule="auto"/>
        <w:rPr>
          <w:rFonts w:hint="eastAsia" w:ascii="仿宋" w:hAnsi="仿宋" w:eastAsia="仿宋" w:cs="仿宋"/>
          <w:color w:val="auto"/>
          <w:lang w:eastAsia="zh-CN"/>
        </w:rPr>
      </w:pPr>
    </w:p>
    <w:p w14:paraId="494F5727">
      <w:pPr>
        <w:pStyle w:val="12"/>
        <w:spacing w:line="267" w:lineRule="auto"/>
        <w:rPr>
          <w:rFonts w:hint="eastAsia" w:ascii="仿宋" w:hAnsi="仿宋" w:eastAsia="仿宋" w:cs="仿宋"/>
          <w:color w:val="auto"/>
          <w:lang w:eastAsia="zh-CN"/>
        </w:rPr>
      </w:pPr>
    </w:p>
    <w:p w14:paraId="03CF4A17">
      <w:pPr>
        <w:pStyle w:val="12"/>
        <w:spacing w:line="267" w:lineRule="auto"/>
        <w:rPr>
          <w:rFonts w:hint="eastAsia" w:ascii="仿宋" w:hAnsi="仿宋" w:eastAsia="仿宋" w:cs="仿宋"/>
          <w:color w:val="auto"/>
          <w:lang w:eastAsia="zh-CN"/>
        </w:rPr>
      </w:pPr>
    </w:p>
    <w:p w14:paraId="4259FC71">
      <w:pPr>
        <w:pStyle w:val="12"/>
        <w:spacing w:line="267" w:lineRule="auto"/>
        <w:rPr>
          <w:rFonts w:hint="eastAsia" w:ascii="仿宋" w:hAnsi="仿宋" w:eastAsia="仿宋" w:cs="仿宋"/>
          <w:color w:val="auto"/>
          <w:sz w:val="32"/>
          <w:szCs w:val="32"/>
          <w:lang w:eastAsia="zh-CN"/>
        </w:rPr>
      </w:pPr>
    </w:p>
    <w:p w14:paraId="11365BB6">
      <w:pPr>
        <w:keepNext w:val="0"/>
        <w:keepLines w:val="0"/>
        <w:pageBreakBefore w:val="0"/>
        <w:widowControl/>
        <w:kinsoku w:val="0"/>
        <w:wordWrap/>
        <w:overflowPunct/>
        <w:topLinePunct w:val="0"/>
        <w:autoSpaceDE w:val="0"/>
        <w:autoSpaceDN w:val="0"/>
        <w:bidi w:val="0"/>
        <w:adjustRightInd/>
        <w:snapToGrid w:val="0"/>
        <w:spacing w:before="72" w:line="360" w:lineRule="auto"/>
        <w:ind w:left="2943" w:leftChars="668" w:hanging="1540" w:hangingChars="500"/>
        <w:textAlignment w:val="baseline"/>
        <w:rPr>
          <w:rFonts w:hint="eastAsia" w:ascii="仿宋" w:hAnsi="仿宋" w:eastAsia="仿宋" w:cs="仿宋"/>
          <w:color w:val="auto"/>
          <w:spacing w:val="-6"/>
          <w:position w:val="24"/>
          <w:sz w:val="32"/>
          <w:szCs w:val="32"/>
          <w:u w:val="single"/>
          <w:lang w:val="en-US" w:eastAsia="zh-CN"/>
        </w:rPr>
      </w:pPr>
      <w:r>
        <w:rPr>
          <w:rFonts w:hint="eastAsia" w:ascii="仿宋" w:hAnsi="仿宋" w:eastAsia="仿宋" w:cs="仿宋"/>
          <w:color w:val="auto"/>
          <w:spacing w:val="-6"/>
          <w:position w:val="24"/>
          <w:sz w:val="32"/>
          <w:szCs w:val="32"/>
          <w:lang w:eastAsia="zh-CN"/>
        </w:rPr>
        <w:t>项目名称：</w:t>
      </w:r>
      <w:r>
        <w:rPr>
          <w:rFonts w:hint="eastAsia" w:ascii="仿宋" w:hAnsi="仿宋" w:eastAsia="仿宋" w:cs="仿宋"/>
          <w:color w:val="auto"/>
          <w:spacing w:val="-6"/>
          <w:position w:val="24"/>
          <w:sz w:val="32"/>
          <w:szCs w:val="32"/>
          <w:u w:val="single"/>
          <w:lang w:val="en-US" w:eastAsia="zh-CN"/>
        </w:rPr>
        <w:t xml:space="preserve">                                         </w:t>
      </w:r>
    </w:p>
    <w:p w14:paraId="734D2BF0">
      <w:pPr>
        <w:keepNext w:val="0"/>
        <w:keepLines w:val="0"/>
        <w:pageBreakBefore w:val="0"/>
        <w:widowControl/>
        <w:kinsoku w:val="0"/>
        <w:wordWrap/>
        <w:overflowPunct/>
        <w:topLinePunct w:val="0"/>
        <w:autoSpaceDE w:val="0"/>
        <w:autoSpaceDN w:val="0"/>
        <w:bidi w:val="0"/>
        <w:adjustRightInd/>
        <w:snapToGrid w:val="0"/>
        <w:spacing w:before="72" w:line="360" w:lineRule="auto"/>
        <w:ind w:left="1403"/>
        <w:textAlignment w:val="baseline"/>
        <w:rPr>
          <w:rFonts w:hint="eastAsia" w:ascii="仿宋" w:hAnsi="仿宋" w:eastAsia="仿宋" w:cs="仿宋"/>
          <w:color w:val="auto"/>
          <w:spacing w:val="-5"/>
          <w:sz w:val="32"/>
          <w:szCs w:val="32"/>
          <w:lang w:val="en-US" w:eastAsia="zh-CN"/>
        </w:rPr>
      </w:pPr>
      <w:r>
        <w:rPr>
          <w:rFonts w:hint="eastAsia" w:ascii="仿宋" w:hAnsi="仿宋" w:eastAsia="仿宋" w:cs="仿宋"/>
          <w:color w:val="auto"/>
          <w:spacing w:val="-5"/>
          <w:sz w:val="32"/>
          <w:szCs w:val="32"/>
          <w:lang w:eastAsia="zh-CN"/>
        </w:rPr>
        <w:t>委托方(甲方)：</w:t>
      </w:r>
      <w:r>
        <w:rPr>
          <w:rFonts w:hint="eastAsia" w:ascii="仿宋" w:hAnsi="仿宋" w:eastAsia="仿宋" w:cs="仿宋"/>
          <w:color w:val="auto"/>
          <w:spacing w:val="-5"/>
          <w:sz w:val="32"/>
          <w:szCs w:val="32"/>
          <w:u w:val="single"/>
          <w:lang w:val="en-US" w:eastAsia="zh-CN"/>
        </w:rPr>
        <w:t xml:space="preserve">                                     </w:t>
      </w:r>
    </w:p>
    <w:p w14:paraId="729B8681">
      <w:pPr>
        <w:keepNext w:val="0"/>
        <w:keepLines w:val="0"/>
        <w:pageBreakBefore w:val="0"/>
        <w:widowControl/>
        <w:kinsoku w:val="0"/>
        <w:wordWrap/>
        <w:overflowPunct/>
        <w:topLinePunct w:val="0"/>
        <w:autoSpaceDE w:val="0"/>
        <w:autoSpaceDN w:val="0"/>
        <w:bidi w:val="0"/>
        <w:adjustRightInd/>
        <w:snapToGrid w:val="0"/>
        <w:spacing w:before="72" w:line="360" w:lineRule="auto"/>
        <w:ind w:left="1403"/>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pacing w:val="-5"/>
          <w:sz w:val="32"/>
          <w:szCs w:val="32"/>
          <w:lang w:eastAsia="zh-CN"/>
        </w:rPr>
        <w:t>服务方(乙方)：</w:t>
      </w:r>
      <w:r>
        <w:rPr>
          <w:rFonts w:hint="eastAsia" w:ascii="仿宋" w:hAnsi="仿宋" w:eastAsia="仿宋" w:cs="仿宋"/>
          <w:color w:val="auto"/>
          <w:spacing w:val="-5"/>
          <w:sz w:val="32"/>
          <w:szCs w:val="32"/>
          <w:u w:val="single"/>
          <w:lang w:val="en-US" w:eastAsia="zh-CN"/>
        </w:rPr>
        <w:t xml:space="preserve">                                     </w:t>
      </w:r>
    </w:p>
    <w:p w14:paraId="5383E77E">
      <w:pPr>
        <w:pStyle w:val="12"/>
        <w:spacing w:line="242" w:lineRule="auto"/>
        <w:rPr>
          <w:rFonts w:hint="eastAsia" w:ascii="仿宋" w:hAnsi="仿宋" w:eastAsia="仿宋" w:cs="仿宋"/>
          <w:color w:val="auto"/>
          <w:sz w:val="32"/>
          <w:szCs w:val="32"/>
          <w:lang w:eastAsia="zh-CN"/>
        </w:rPr>
      </w:pPr>
    </w:p>
    <w:p w14:paraId="0654A485">
      <w:pPr>
        <w:pStyle w:val="12"/>
        <w:spacing w:line="242" w:lineRule="auto"/>
        <w:rPr>
          <w:rFonts w:hint="eastAsia" w:ascii="仿宋" w:hAnsi="仿宋" w:eastAsia="仿宋" w:cs="仿宋"/>
          <w:color w:val="auto"/>
          <w:sz w:val="32"/>
          <w:szCs w:val="32"/>
          <w:lang w:eastAsia="zh-CN"/>
        </w:rPr>
      </w:pPr>
    </w:p>
    <w:p w14:paraId="78382A53">
      <w:pPr>
        <w:pStyle w:val="12"/>
        <w:spacing w:line="242" w:lineRule="auto"/>
        <w:rPr>
          <w:rFonts w:hint="eastAsia" w:ascii="仿宋" w:hAnsi="仿宋" w:eastAsia="仿宋" w:cs="仿宋"/>
          <w:color w:val="auto"/>
          <w:sz w:val="32"/>
          <w:szCs w:val="32"/>
          <w:lang w:eastAsia="zh-CN"/>
        </w:rPr>
      </w:pPr>
    </w:p>
    <w:p w14:paraId="1DBCB235">
      <w:pPr>
        <w:pStyle w:val="12"/>
        <w:spacing w:line="242" w:lineRule="auto"/>
        <w:rPr>
          <w:rFonts w:hint="eastAsia" w:ascii="仿宋" w:hAnsi="仿宋" w:eastAsia="仿宋" w:cs="仿宋"/>
          <w:color w:val="auto"/>
          <w:sz w:val="32"/>
          <w:szCs w:val="32"/>
          <w:lang w:eastAsia="zh-CN"/>
        </w:rPr>
      </w:pPr>
    </w:p>
    <w:p w14:paraId="6B0D5F10">
      <w:pPr>
        <w:pStyle w:val="12"/>
        <w:spacing w:line="242" w:lineRule="auto"/>
        <w:rPr>
          <w:rFonts w:hint="eastAsia" w:ascii="仿宋" w:hAnsi="仿宋" w:eastAsia="仿宋" w:cs="仿宋"/>
          <w:color w:val="auto"/>
          <w:sz w:val="32"/>
          <w:szCs w:val="32"/>
          <w:lang w:eastAsia="zh-CN"/>
        </w:rPr>
      </w:pPr>
    </w:p>
    <w:p w14:paraId="7B04D169">
      <w:pPr>
        <w:pStyle w:val="12"/>
        <w:spacing w:line="242" w:lineRule="auto"/>
        <w:rPr>
          <w:rFonts w:hint="eastAsia" w:ascii="仿宋" w:hAnsi="仿宋" w:eastAsia="仿宋" w:cs="仿宋"/>
          <w:color w:val="auto"/>
          <w:sz w:val="32"/>
          <w:szCs w:val="32"/>
          <w:lang w:eastAsia="zh-CN"/>
        </w:rPr>
      </w:pPr>
    </w:p>
    <w:p w14:paraId="02E298DE">
      <w:pPr>
        <w:pStyle w:val="12"/>
        <w:spacing w:line="243" w:lineRule="auto"/>
        <w:rPr>
          <w:rFonts w:hint="eastAsia" w:ascii="仿宋" w:hAnsi="仿宋" w:eastAsia="仿宋" w:cs="仿宋"/>
          <w:color w:val="auto"/>
          <w:sz w:val="32"/>
          <w:szCs w:val="32"/>
          <w:lang w:eastAsia="zh-CN"/>
        </w:rPr>
      </w:pPr>
    </w:p>
    <w:p w14:paraId="4A0F2988">
      <w:pPr>
        <w:pStyle w:val="12"/>
        <w:spacing w:line="243" w:lineRule="auto"/>
        <w:rPr>
          <w:rFonts w:hint="eastAsia" w:ascii="仿宋" w:hAnsi="仿宋" w:eastAsia="仿宋" w:cs="仿宋"/>
          <w:color w:val="auto"/>
          <w:sz w:val="32"/>
          <w:szCs w:val="32"/>
          <w:lang w:eastAsia="zh-CN"/>
        </w:rPr>
      </w:pPr>
    </w:p>
    <w:p w14:paraId="42B918AE">
      <w:pPr>
        <w:pStyle w:val="12"/>
        <w:spacing w:line="243" w:lineRule="auto"/>
        <w:rPr>
          <w:rFonts w:hint="eastAsia" w:ascii="仿宋" w:hAnsi="仿宋" w:eastAsia="仿宋" w:cs="仿宋"/>
          <w:color w:val="auto"/>
          <w:sz w:val="32"/>
          <w:szCs w:val="32"/>
          <w:lang w:eastAsia="zh-CN"/>
        </w:rPr>
      </w:pPr>
    </w:p>
    <w:p w14:paraId="51F4A69F">
      <w:pPr>
        <w:pStyle w:val="12"/>
        <w:spacing w:line="243" w:lineRule="auto"/>
        <w:rPr>
          <w:rFonts w:hint="eastAsia" w:ascii="仿宋" w:hAnsi="仿宋" w:eastAsia="仿宋" w:cs="仿宋"/>
          <w:color w:val="auto"/>
          <w:sz w:val="32"/>
          <w:szCs w:val="32"/>
          <w:lang w:eastAsia="zh-CN"/>
        </w:rPr>
      </w:pPr>
    </w:p>
    <w:p w14:paraId="31A912AE">
      <w:pPr>
        <w:spacing w:before="71" w:line="219" w:lineRule="auto"/>
        <w:ind w:left="2693"/>
        <w:rPr>
          <w:rFonts w:hint="eastAsia" w:ascii="仿宋" w:hAnsi="仿宋" w:eastAsia="仿宋" w:cs="仿宋"/>
          <w:color w:val="auto"/>
          <w:sz w:val="32"/>
          <w:szCs w:val="32"/>
          <w:lang w:eastAsia="zh-CN"/>
        </w:rPr>
      </w:pPr>
      <w:r>
        <w:rPr>
          <w:rFonts w:hint="eastAsia" w:ascii="仿宋" w:hAnsi="仿宋" w:eastAsia="仿宋" w:cs="仿宋"/>
          <w:color w:val="auto"/>
          <w:spacing w:val="14"/>
          <w:sz w:val="32"/>
          <w:szCs w:val="32"/>
          <w:lang w:eastAsia="zh-CN"/>
        </w:rPr>
        <w:t>签订日期：2025年</w:t>
      </w:r>
      <w:r>
        <w:rPr>
          <w:rFonts w:hint="eastAsia" w:ascii="仿宋" w:hAnsi="仿宋" w:eastAsia="仿宋" w:cs="仿宋"/>
          <w:color w:val="auto"/>
          <w:spacing w:val="14"/>
          <w:sz w:val="32"/>
          <w:szCs w:val="32"/>
          <w:lang w:val="en-US" w:eastAsia="zh-CN"/>
        </w:rPr>
        <w:t xml:space="preserve">   </w:t>
      </w:r>
      <w:r>
        <w:rPr>
          <w:rFonts w:hint="eastAsia" w:ascii="仿宋" w:hAnsi="仿宋" w:eastAsia="仿宋" w:cs="仿宋"/>
          <w:color w:val="auto"/>
          <w:spacing w:val="14"/>
          <w:sz w:val="32"/>
          <w:szCs w:val="32"/>
          <w:lang w:eastAsia="zh-CN"/>
        </w:rPr>
        <w:t>月</w:t>
      </w:r>
      <w:r>
        <w:rPr>
          <w:rFonts w:hint="eastAsia" w:ascii="仿宋" w:hAnsi="仿宋" w:eastAsia="仿宋" w:cs="仿宋"/>
          <w:color w:val="auto"/>
          <w:spacing w:val="5"/>
          <w:sz w:val="32"/>
          <w:szCs w:val="32"/>
          <w:lang w:eastAsia="zh-CN"/>
        </w:rPr>
        <w:t xml:space="preserve">   </w:t>
      </w:r>
      <w:r>
        <w:rPr>
          <w:rFonts w:hint="eastAsia" w:ascii="仿宋" w:hAnsi="仿宋" w:eastAsia="仿宋" w:cs="仿宋"/>
          <w:color w:val="auto"/>
          <w:spacing w:val="14"/>
          <w:sz w:val="32"/>
          <w:szCs w:val="32"/>
          <w:lang w:eastAsia="zh-CN"/>
        </w:rPr>
        <w:t>日</w:t>
      </w:r>
    </w:p>
    <w:p w14:paraId="3E3E6CC9">
      <w:pPr>
        <w:spacing w:line="219" w:lineRule="auto"/>
        <w:rPr>
          <w:rFonts w:hint="eastAsia" w:ascii="仿宋" w:hAnsi="仿宋" w:eastAsia="仿宋" w:cs="仿宋"/>
          <w:color w:val="auto"/>
          <w:sz w:val="32"/>
          <w:szCs w:val="32"/>
          <w:lang w:eastAsia="zh-CN"/>
        </w:rPr>
        <w:sectPr>
          <w:footerReference r:id="rId5" w:type="default"/>
          <w:pgSz w:w="11910" w:h="16840"/>
          <w:pgMar w:top="1440" w:right="1080" w:bottom="1440" w:left="1080" w:header="0" w:footer="0" w:gutter="0"/>
          <w:pgNumType w:fmt="decimal" w:start="1"/>
          <w:cols w:space="720" w:num="1"/>
        </w:sectPr>
      </w:pPr>
    </w:p>
    <w:p w14:paraId="3084FBAA">
      <w:pPr>
        <w:spacing w:line="560" w:lineRule="exact"/>
        <w:ind w:firstLine="648" w:firstLineChars="200"/>
        <w:jc w:val="both"/>
        <w:rPr>
          <w:rFonts w:hint="eastAsia" w:ascii="仿宋" w:hAnsi="仿宋" w:eastAsia="仿宋" w:cs="仿宋"/>
          <w:color w:val="auto"/>
          <w:spacing w:val="-2"/>
          <w:sz w:val="32"/>
          <w:szCs w:val="32"/>
          <w:u w:val="single"/>
          <w:lang w:val="en-US" w:eastAsia="zh-CN"/>
        </w:rPr>
      </w:pPr>
      <w:bookmarkStart w:id="89" w:name="bookmark4"/>
      <w:bookmarkEnd w:id="89"/>
      <w:bookmarkStart w:id="90" w:name="bookmark5"/>
      <w:bookmarkEnd w:id="90"/>
      <w:r>
        <w:rPr>
          <w:rFonts w:hint="eastAsia" w:ascii="仿宋" w:hAnsi="仿宋" w:eastAsia="仿宋" w:cs="仿宋"/>
          <w:color w:val="auto"/>
          <w:spacing w:val="2"/>
          <w:sz w:val="32"/>
          <w:szCs w:val="32"/>
          <w:lang w:eastAsia="zh-CN"/>
        </w:rPr>
        <w:t>甲方：</w:t>
      </w:r>
      <w:r>
        <w:rPr>
          <w:rFonts w:hint="eastAsia" w:ascii="仿宋" w:hAnsi="仿宋" w:eastAsia="仿宋" w:cs="仿宋"/>
          <w:color w:val="auto"/>
          <w:spacing w:val="-2"/>
          <w:sz w:val="32"/>
          <w:szCs w:val="32"/>
          <w:u w:val="single"/>
          <w:lang w:val="en-US" w:eastAsia="zh-CN"/>
        </w:rPr>
        <w:t xml:space="preserve">                                                 </w:t>
      </w:r>
    </w:p>
    <w:p w14:paraId="62C8F40F">
      <w:pPr>
        <w:spacing w:line="560" w:lineRule="exact"/>
        <w:ind w:firstLine="648" w:firstLineChars="200"/>
        <w:jc w:val="both"/>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地址：</w:t>
      </w:r>
      <w:r>
        <w:rPr>
          <w:rFonts w:hint="eastAsia" w:ascii="仿宋" w:hAnsi="仿宋" w:eastAsia="仿宋" w:cs="仿宋"/>
          <w:color w:val="auto"/>
          <w:spacing w:val="-2"/>
          <w:sz w:val="32"/>
          <w:szCs w:val="32"/>
          <w:u w:val="single"/>
          <w:lang w:val="en-US" w:eastAsia="zh-CN"/>
        </w:rPr>
        <w:t xml:space="preserve">                                                 </w:t>
      </w:r>
    </w:p>
    <w:p w14:paraId="274679C3">
      <w:pPr>
        <w:spacing w:line="560" w:lineRule="exact"/>
        <w:ind w:firstLine="648" w:firstLineChars="200"/>
        <w:jc w:val="both"/>
        <w:rPr>
          <w:rFonts w:hint="eastAsia" w:ascii="仿宋" w:hAnsi="仿宋" w:eastAsia="仿宋" w:cs="仿宋"/>
          <w:color w:val="auto"/>
          <w:spacing w:val="2"/>
          <w:sz w:val="32"/>
          <w:szCs w:val="32"/>
          <w:lang w:eastAsia="zh-CN"/>
        </w:rPr>
      </w:pPr>
    </w:p>
    <w:p w14:paraId="55B9E9DB">
      <w:pPr>
        <w:spacing w:line="560" w:lineRule="exact"/>
        <w:ind w:firstLine="648" w:firstLineChars="200"/>
        <w:jc w:val="both"/>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乙方：</w:t>
      </w:r>
      <w:r>
        <w:rPr>
          <w:rFonts w:hint="eastAsia" w:ascii="仿宋" w:hAnsi="仿宋" w:eastAsia="仿宋" w:cs="仿宋"/>
          <w:color w:val="auto"/>
          <w:spacing w:val="-3"/>
          <w:sz w:val="32"/>
          <w:szCs w:val="32"/>
          <w:u w:val="single"/>
          <w:lang w:val="en-US" w:eastAsia="zh-CN"/>
        </w:rPr>
        <w:t xml:space="preserve">                                                  </w:t>
      </w:r>
    </w:p>
    <w:p w14:paraId="2BE96A02">
      <w:pPr>
        <w:spacing w:line="560" w:lineRule="exact"/>
        <w:ind w:firstLine="648" w:firstLineChars="200"/>
        <w:jc w:val="both"/>
        <w:rPr>
          <w:rFonts w:hint="eastAsia" w:ascii="仿宋" w:hAnsi="仿宋" w:eastAsia="仿宋" w:cs="仿宋"/>
          <w:color w:val="auto"/>
          <w:spacing w:val="2"/>
          <w:sz w:val="32"/>
          <w:szCs w:val="32"/>
          <w:u w:val="single"/>
          <w:lang w:val="en-US" w:eastAsia="zh-CN"/>
        </w:rPr>
      </w:pPr>
      <w:r>
        <w:rPr>
          <w:rFonts w:hint="eastAsia" w:ascii="仿宋" w:hAnsi="仿宋" w:eastAsia="仿宋" w:cs="仿宋"/>
          <w:color w:val="auto"/>
          <w:spacing w:val="2"/>
          <w:sz w:val="32"/>
          <w:szCs w:val="32"/>
          <w:lang w:eastAsia="zh-CN"/>
        </w:rPr>
        <w:t>统一社会信用代码：</w:t>
      </w:r>
      <w:r>
        <w:rPr>
          <w:rFonts w:hint="eastAsia" w:ascii="仿宋" w:hAnsi="仿宋" w:eastAsia="仿宋" w:cs="仿宋"/>
          <w:color w:val="auto"/>
          <w:spacing w:val="2"/>
          <w:sz w:val="32"/>
          <w:szCs w:val="32"/>
          <w:u w:val="single"/>
          <w:lang w:val="en-US" w:eastAsia="zh-CN"/>
        </w:rPr>
        <w:t xml:space="preserve">                                   </w:t>
      </w:r>
    </w:p>
    <w:p w14:paraId="3494A14C">
      <w:pPr>
        <w:spacing w:line="560" w:lineRule="exact"/>
        <w:ind w:firstLine="648" w:firstLineChars="200"/>
        <w:jc w:val="both"/>
        <w:rPr>
          <w:rFonts w:hint="eastAsia" w:ascii="仿宋" w:hAnsi="仿宋" w:eastAsia="仿宋" w:cs="仿宋"/>
          <w:color w:val="auto"/>
          <w:spacing w:val="2"/>
          <w:sz w:val="32"/>
          <w:szCs w:val="32"/>
          <w:u w:val="single"/>
          <w:lang w:eastAsia="zh-CN"/>
        </w:rPr>
      </w:pPr>
      <w:r>
        <w:rPr>
          <w:rFonts w:hint="eastAsia" w:ascii="仿宋" w:hAnsi="仿宋" w:eastAsia="仿宋" w:cs="仿宋"/>
          <w:color w:val="auto"/>
          <w:spacing w:val="2"/>
          <w:sz w:val="32"/>
          <w:szCs w:val="32"/>
          <w:lang w:eastAsia="zh-CN"/>
        </w:rPr>
        <w:t>地址：</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lang w:eastAsia="zh-CN"/>
        </w:rPr>
        <w:t xml:space="preserve"> </w:t>
      </w:r>
    </w:p>
    <w:p w14:paraId="44FCC0E4">
      <w:pPr>
        <w:spacing w:line="560" w:lineRule="exact"/>
        <w:ind w:firstLine="632" w:firstLineChars="200"/>
        <w:jc w:val="both"/>
        <w:rPr>
          <w:rFonts w:hint="eastAsia" w:ascii="仿宋" w:hAnsi="仿宋" w:eastAsia="仿宋" w:cs="仿宋"/>
          <w:color w:val="auto"/>
          <w:spacing w:val="-2"/>
          <w:sz w:val="32"/>
          <w:szCs w:val="32"/>
          <w:u w:val="single"/>
          <w:lang w:eastAsia="zh-CN"/>
        </w:rPr>
      </w:pPr>
    </w:p>
    <w:p w14:paraId="2F80D454">
      <w:pPr>
        <w:spacing w:line="560" w:lineRule="exact"/>
        <w:ind w:firstLine="632"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lang w:eastAsia="zh-CN"/>
        </w:rPr>
        <w:t>(</w:t>
      </w:r>
      <w:r>
        <w:rPr>
          <w:rFonts w:hint="eastAsia" w:ascii="仿宋" w:hAnsi="仿宋" w:eastAsia="仿宋" w:cs="仿宋"/>
          <w:color w:val="auto"/>
          <w:spacing w:val="-2"/>
          <w:sz w:val="32"/>
          <w:szCs w:val="32"/>
          <w:lang w:eastAsia="zh-CN"/>
        </w:rPr>
        <w:t>以下简称甲</w:t>
      </w:r>
      <w:r>
        <w:rPr>
          <w:rFonts w:hint="eastAsia" w:ascii="仿宋" w:hAnsi="仿宋" w:eastAsia="仿宋" w:cs="仿宋"/>
          <w:color w:val="auto"/>
          <w:spacing w:val="-3"/>
          <w:sz w:val="32"/>
          <w:szCs w:val="32"/>
          <w:lang w:eastAsia="zh-CN"/>
        </w:rPr>
        <w:t>方)与</w:t>
      </w:r>
      <w:r>
        <w:rPr>
          <w:rFonts w:hint="eastAsia" w:ascii="仿宋" w:hAnsi="仿宋" w:eastAsia="仿宋" w:cs="仿宋"/>
          <w:color w:val="auto"/>
          <w:spacing w:val="-3"/>
          <w:sz w:val="32"/>
          <w:szCs w:val="32"/>
          <w:u w:val="single"/>
          <w:lang w:val="en-US" w:eastAsia="zh-CN"/>
        </w:rPr>
        <w:t xml:space="preserve">                 </w:t>
      </w:r>
      <w:r>
        <w:rPr>
          <w:rFonts w:hint="eastAsia" w:ascii="仿宋" w:hAnsi="仿宋" w:eastAsia="仿宋" w:cs="仿宋"/>
          <w:color w:val="auto"/>
          <w:spacing w:val="2"/>
          <w:sz w:val="32"/>
          <w:szCs w:val="32"/>
          <w:lang w:eastAsia="zh-CN"/>
        </w:rPr>
        <w:t>(以下简称乙方)，本着平等互</w:t>
      </w:r>
      <w:r>
        <w:rPr>
          <w:rFonts w:hint="eastAsia" w:ascii="仿宋" w:hAnsi="仿宋" w:eastAsia="仿宋" w:cs="仿宋"/>
          <w:color w:val="auto"/>
          <w:spacing w:val="-11"/>
          <w:sz w:val="32"/>
          <w:szCs w:val="32"/>
          <w:lang w:eastAsia="zh-CN"/>
        </w:rPr>
        <w:t>惠的原则，依据《中华人民共和国民法典》的规定，就乙方同意</w:t>
      </w:r>
      <w:r>
        <w:rPr>
          <w:rFonts w:hint="eastAsia" w:ascii="仿宋" w:hAnsi="仿宋" w:eastAsia="仿宋" w:cs="仿宋"/>
          <w:color w:val="auto"/>
          <w:spacing w:val="-2"/>
          <w:sz w:val="32"/>
          <w:szCs w:val="32"/>
          <w:lang w:eastAsia="zh-CN"/>
        </w:rPr>
        <w:t>向甲方提供</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9"/>
          <w:sz w:val="32"/>
          <w:szCs w:val="32"/>
          <w:lang w:eastAsia="zh-CN"/>
        </w:rPr>
        <w:t>的技术服务，甲方同意向乙方购买列于技术</w:t>
      </w:r>
      <w:r>
        <w:rPr>
          <w:rFonts w:hint="eastAsia" w:ascii="仿宋" w:hAnsi="仿宋" w:eastAsia="仿宋" w:cs="仿宋"/>
          <w:color w:val="auto"/>
          <w:spacing w:val="-10"/>
          <w:sz w:val="32"/>
          <w:szCs w:val="32"/>
          <w:lang w:eastAsia="zh-CN"/>
        </w:rPr>
        <w:t>服务合同</w:t>
      </w:r>
      <w:r>
        <w:rPr>
          <w:rFonts w:hint="eastAsia" w:ascii="仿宋" w:hAnsi="仿宋" w:eastAsia="仿宋" w:cs="仿宋"/>
          <w:color w:val="auto"/>
          <w:spacing w:val="-18"/>
          <w:sz w:val="32"/>
          <w:szCs w:val="32"/>
          <w:lang w:eastAsia="zh-CN"/>
        </w:rPr>
        <w:t>书(以下称"本合同"或"合同")技术服务。</w:t>
      </w:r>
    </w:p>
    <w:p w14:paraId="7C5E6AC3">
      <w:pPr>
        <w:spacing w:line="560" w:lineRule="exact"/>
        <w:ind w:firstLine="596"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11"/>
          <w:sz w:val="32"/>
          <w:szCs w:val="32"/>
          <w:lang w:eastAsia="zh-CN"/>
        </w:rPr>
        <w:t>基于以上，并根据《中华人民共和国民法典》及其他有关法律法规</w:t>
      </w:r>
      <w:r>
        <w:rPr>
          <w:rFonts w:hint="eastAsia" w:ascii="仿宋" w:hAnsi="仿宋" w:eastAsia="仿宋" w:cs="仿宋"/>
          <w:color w:val="auto"/>
          <w:spacing w:val="-10"/>
          <w:sz w:val="32"/>
          <w:szCs w:val="32"/>
          <w:lang w:eastAsia="zh-CN"/>
        </w:rPr>
        <w:t>，遵循平等、自愿、公平和诚信的原则，双方就下述服</w:t>
      </w:r>
      <w:r>
        <w:rPr>
          <w:rFonts w:hint="eastAsia" w:ascii="仿宋" w:hAnsi="仿宋" w:eastAsia="仿宋" w:cs="仿宋"/>
          <w:color w:val="auto"/>
          <w:spacing w:val="-9"/>
          <w:sz w:val="32"/>
          <w:szCs w:val="32"/>
          <w:lang w:eastAsia="zh-CN"/>
        </w:rPr>
        <w:t>务事项协商一致，订立本合同。</w:t>
      </w:r>
    </w:p>
    <w:p w14:paraId="4D32A949">
      <w:pPr>
        <w:spacing w:line="560" w:lineRule="exact"/>
        <w:ind w:firstLine="60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本合同自双方代表签字盖章后生效。</w:t>
      </w:r>
    </w:p>
    <w:p w14:paraId="2B952578">
      <w:pPr>
        <w:spacing w:line="560" w:lineRule="exact"/>
        <w:ind w:firstLine="632"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2"/>
          <w:sz w:val="32"/>
          <w:szCs w:val="32"/>
          <w:lang w:eastAsia="zh-CN"/>
        </w:rPr>
        <w:t>本合同一经各方代表签署，即表示各方同意受本合</w:t>
      </w:r>
      <w:r>
        <w:rPr>
          <w:rFonts w:hint="eastAsia" w:ascii="仿宋" w:hAnsi="仿宋" w:eastAsia="仿宋" w:cs="仿宋"/>
          <w:color w:val="auto"/>
          <w:spacing w:val="-3"/>
          <w:sz w:val="32"/>
          <w:szCs w:val="32"/>
          <w:lang w:eastAsia="zh-CN"/>
        </w:rPr>
        <w:t>同的约</w:t>
      </w:r>
      <w:r>
        <w:rPr>
          <w:rFonts w:hint="eastAsia" w:ascii="仿宋" w:hAnsi="仿宋" w:eastAsia="仿宋" w:cs="仿宋"/>
          <w:color w:val="auto"/>
          <w:spacing w:val="-11"/>
          <w:sz w:val="32"/>
          <w:szCs w:val="32"/>
          <w:lang w:eastAsia="zh-CN"/>
        </w:rPr>
        <w:t>束。</w:t>
      </w:r>
    </w:p>
    <w:p w14:paraId="13CB3F2B">
      <w:pPr>
        <w:spacing w:line="560" w:lineRule="exact"/>
        <w:ind w:firstLine="599" w:firstLineChars="200"/>
        <w:jc w:val="both"/>
        <w:outlineLvl w:val="0"/>
        <w:rPr>
          <w:rFonts w:hint="eastAsia" w:ascii="仿宋" w:hAnsi="仿宋" w:eastAsia="仿宋" w:cs="仿宋"/>
          <w:color w:val="auto"/>
          <w:sz w:val="32"/>
          <w:szCs w:val="32"/>
          <w:lang w:eastAsia="zh-CN"/>
        </w:rPr>
      </w:pPr>
      <w:r>
        <w:rPr>
          <w:rFonts w:hint="eastAsia" w:ascii="仿宋" w:hAnsi="仿宋" w:eastAsia="仿宋" w:cs="仿宋"/>
          <w:b/>
          <w:bCs/>
          <w:color w:val="auto"/>
          <w:spacing w:val="-11"/>
          <w:sz w:val="32"/>
          <w:szCs w:val="32"/>
          <w:lang w:eastAsia="zh-CN"/>
        </w:rPr>
        <w:t>一、合同期限</w:t>
      </w:r>
    </w:p>
    <w:p w14:paraId="77430E8A">
      <w:pPr>
        <w:spacing w:line="560" w:lineRule="exact"/>
        <w:ind w:firstLine="608"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8"/>
          <w:sz w:val="32"/>
          <w:szCs w:val="32"/>
          <w:lang w:eastAsia="zh-CN"/>
        </w:rPr>
        <w:t>1.自合同签订之日</w:t>
      </w:r>
      <w:r>
        <w:rPr>
          <w:rFonts w:hint="eastAsia" w:ascii="仿宋" w:hAnsi="仿宋" w:eastAsia="仿宋" w:cs="仿宋"/>
          <w:color w:val="auto"/>
          <w:spacing w:val="-8"/>
          <w:sz w:val="32"/>
          <w:szCs w:val="32"/>
          <w:lang w:val="en-US" w:eastAsia="zh-CN"/>
        </w:rPr>
        <w:t>一年</w:t>
      </w:r>
      <w:r>
        <w:rPr>
          <w:rFonts w:hint="eastAsia" w:ascii="仿宋" w:hAnsi="仿宋" w:eastAsia="仿宋" w:cs="仿宋"/>
          <w:color w:val="auto"/>
          <w:spacing w:val="-8"/>
          <w:sz w:val="32"/>
          <w:szCs w:val="32"/>
          <w:lang w:eastAsia="zh-CN"/>
        </w:rPr>
        <w:t>内履行完毕；</w:t>
      </w:r>
    </w:p>
    <w:p w14:paraId="6291ADA1">
      <w:pPr>
        <w:spacing w:line="560" w:lineRule="exact"/>
        <w:ind w:firstLine="608"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pacing w:val="-8"/>
          <w:sz w:val="32"/>
          <w:szCs w:val="32"/>
          <w:lang w:eastAsia="zh-CN"/>
        </w:rPr>
        <w:t>2.在合同期间，任何一方都无权单方终止本合同。</w:t>
      </w:r>
    </w:p>
    <w:p w14:paraId="09BEF01A">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二、项目内容及要求</w:t>
      </w:r>
    </w:p>
    <w:p w14:paraId="7D0DDD86">
      <w:pPr>
        <w:spacing w:line="560" w:lineRule="exact"/>
        <w:ind w:firstLine="628"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3"/>
          <w:sz w:val="32"/>
          <w:szCs w:val="32"/>
          <w:u w:val="single"/>
          <w:lang w:val="en-US" w:eastAsia="zh-CN"/>
        </w:rPr>
        <w:t xml:space="preserve">         </w:t>
      </w:r>
      <w:r>
        <w:rPr>
          <w:rFonts w:hint="eastAsia" w:ascii="仿宋" w:hAnsi="仿宋" w:eastAsia="仿宋" w:cs="仿宋"/>
          <w:color w:val="auto"/>
          <w:spacing w:val="-3"/>
          <w:sz w:val="32"/>
          <w:szCs w:val="32"/>
          <w:lang w:eastAsia="zh-CN"/>
        </w:rPr>
        <w:t>为</w:t>
      </w:r>
      <w:r>
        <w:rPr>
          <w:rFonts w:hint="eastAsia" w:ascii="仿宋" w:hAnsi="仿宋" w:eastAsia="仿宋" w:cs="仿宋"/>
          <w:color w:val="auto"/>
          <w:spacing w:val="-11"/>
          <w:sz w:val="32"/>
          <w:szCs w:val="32"/>
          <w:lang w:eastAsia="zh-CN"/>
        </w:rPr>
        <w:t>准东经济技术开发区编制《准东经济技术开发区零碳工业园区</w:t>
      </w:r>
      <w:r>
        <w:rPr>
          <w:rFonts w:hint="eastAsia" w:ascii="仿宋" w:hAnsi="仿宋" w:eastAsia="仿宋" w:cs="仿宋"/>
          <w:color w:val="auto"/>
          <w:spacing w:val="-11"/>
          <w:sz w:val="32"/>
          <w:szCs w:val="32"/>
          <w:lang w:val="en-US" w:eastAsia="zh-CN"/>
        </w:rPr>
        <w:t>试点申报方案</w:t>
      </w:r>
      <w:r>
        <w:rPr>
          <w:rFonts w:hint="eastAsia" w:ascii="仿宋" w:hAnsi="仿宋" w:eastAsia="仿宋" w:cs="仿宋"/>
          <w:color w:val="auto"/>
          <w:spacing w:val="-11"/>
          <w:sz w:val="32"/>
          <w:szCs w:val="32"/>
          <w:lang w:eastAsia="zh-CN"/>
        </w:rPr>
        <w:t>》，明确园区零碳发展路径、技术措施和保障机制，</w:t>
      </w:r>
      <w:r>
        <w:rPr>
          <w:rFonts w:hint="eastAsia" w:ascii="仿宋" w:hAnsi="仿宋" w:eastAsia="仿宋" w:cs="仿宋"/>
          <w:color w:val="auto"/>
          <w:spacing w:val="-11"/>
          <w:sz w:val="32"/>
          <w:szCs w:val="32"/>
          <w:lang w:val="en-US" w:eastAsia="zh-CN"/>
        </w:rPr>
        <w:t>协助管委会国家零碳园区申报，</w:t>
      </w:r>
      <w:r>
        <w:rPr>
          <w:rFonts w:hint="eastAsia" w:ascii="仿宋" w:hAnsi="仿宋" w:eastAsia="仿宋" w:cs="仿宋"/>
          <w:color w:val="auto"/>
          <w:spacing w:val="-11"/>
          <w:sz w:val="32"/>
          <w:szCs w:val="32"/>
          <w:lang w:eastAsia="zh-CN"/>
        </w:rPr>
        <w:t>争创国家级</w:t>
      </w:r>
      <w:r>
        <w:rPr>
          <w:rFonts w:hint="eastAsia" w:ascii="仿宋" w:hAnsi="仿宋" w:eastAsia="仿宋" w:cs="仿宋"/>
          <w:color w:val="auto"/>
          <w:spacing w:val="-11"/>
          <w:sz w:val="32"/>
          <w:szCs w:val="32"/>
          <w:lang w:val="en-US" w:eastAsia="zh-CN"/>
        </w:rPr>
        <w:t>零碳工业园区试点</w:t>
      </w:r>
      <w:r>
        <w:rPr>
          <w:rFonts w:hint="eastAsia" w:ascii="仿宋" w:hAnsi="仿宋" w:eastAsia="仿宋" w:cs="仿宋"/>
          <w:color w:val="auto"/>
          <w:spacing w:val="-11"/>
          <w:sz w:val="32"/>
          <w:szCs w:val="32"/>
          <w:lang w:eastAsia="zh-CN"/>
        </w:rPr>
        <w:t>。编制方案需充分结合国家“双碳”政策要求、园区产业发展现状及可再生能源利用条件，确保方案具有科学性、可操作性和前瞻性。</w:t>
      </w:r>
    </w:p>
    <w:p w14:paraId="17F853D8">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具体服务内容包括但不限于以下方面：</w:t>
      </w:r>
    </w:p>
    <w:p w14:paraId="2CB54A2E">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1、现状调研与基础分析</w:t>
      </w:r>
    </w:p>
    <w:p w14:paraId="41EB8FD7">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（1）开展园区碳排放现状调查，建立园区碳排放基线，包括产业结构、能源消耗、碳排放来源、污染物排放等分析；</w:t>
      </w:r>
    </w:p>
    <w:p w14:paraId="04FA0FBD">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（2）评估园区可再生能源利用现状，分析光伏、风电、储能等清洁能源在园区的可开发潜力；</w:t>
      </w:r>
    </w:p>
    <w:p w14:paraId="083A76F7">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（3）梳理国家及地方零碳园区相关政策，研究先进零碳园区案例，结合</w:t>
      </w:r>
      <w:r>
        <w:rPr>
          <w:rFonts w:hint="eastAsia" w:ascii="仿宋" w:hAnsi="仿宋" w:eastAsia="仿宋" w:cs="仿宋"/>
          <w:color w:val="auto"/>
          <w:spacing w:val="-11"/>
          <w:sz w:val="32"/>
          <w:szCs w:val="32"/>
          <w:lang w:val="en-US" w:eastAsia="zh-CN"/>
        </w:rPr>
        <w:t>准东</w:t>
      </w:r>
      <w:r>
        <w:rPr>
          <w:rFonts w:hint="eastAsia" w:ascii="仿宋" w:hAnsi="仿宋" w:eastAsia="仿宋" w:cs="仿宋"/>
          <w:color w:val="auto"/>
          <w:spacing w:val="-11"/>
          <w:sz w:val="32"/>
          <w:szCs w:val="32"/>
          <w:lang w:eastAsia="zh-CN"/>
        </w:rPr>
        <w:t>经开区实际，提出适用的技术路径。</w:t>
      </w:r>
    </w:p>
    <w:p w14:paraId="45F2A923">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2、目标设定与发展路径规划</w:t>
      </w:r>
    </w:p>
    <w:p w14:paraId="094F8187">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（1）结合国家碳达峰、碳中和目标，制定园区零碳发展目标，分阶段设定目标节点（如2025年、2030年等）；</w:t>
      </w:r>
    </w:p>
    <w:p w14:paraId="4A28DB67">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（2）设计园区绿色零碳发展路径，明确重点行业、重点企业的减排方向，提出能源替代、节能降碳等具体举措；</w:t>
      </w:r>
    </w:p>
    <w:p w14:paraId="1C75E393">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（3）探索碳市场机制在园区的应用，研究碳交易、碳足迹管理等市场化手段在园区的落地模式。</w:t>
      </w:r>
    </w:p>
    <w:p w14:paraId="71A83A1E">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3、重点任务与技术路线设计</w:t>
      </w:r>
    </w:p>
    <w:p w14:paraId="5DCA882F">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（1）零碳能源系统：制定园区可再生能源发展方案，优化能源管网，推动非化石能源利用、多能互补、储能技术应用、智能微网建设及与周边绿电电网对接，实现园区电力零碳化；</w:t>
      </w:r>
    </w:p>
    <w:p w14:paraId="3DD75382">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2）产业低碳转型：提出绿色制造改造方案，促进企业节能技改、能源管理优化、废弃物循环利用网络建设、废旧资源综合利用，发展低能耗、低污染、低碳排放、高附加值的新兴产业，推动园区产业低碳化发展；</w:t>
      </w:r>
    </w:p>
    <w:p w14:paraId="08AB734D">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（3）绿色交通与建筑：推广新能源汽车、充电设施布局规划，绿色交通基础设施建设，推动园区建筑节能改造，光伏与建筑一体化，提高建筑能效。</w:t>
      </w:r>
    </w:p>
    <w:p w14:paraId="6B430738">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（4）碳汇与绿色管理：推进碳汇建设，包括CCUS技术应用和生态碳汇建设；搭建智能化管理平台，实现能源和碳排放监测统计，引入第三方专业技术服务，提升园区绿色低碳管理水平。</w:t>
      </w:r>
    </w:p>
    <w:p w14:paraId="347318FB">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4、方案实施计划与保障措施</w:t>
      </w:r>
    </w:p>
    <w:p w14:paraId="3E921E04">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（1）制定园区零碳建设的阶段性实施计划，明确关键节点、任务分工、时间表和预期成效；</w:t>
      </w:r>
    </w:p>
    <w:p w14:paraId="06964836">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（2）构建园区零碳绩效考核机制，提出科学可量化的评估指标，确保零碳园区建设进展可追踪、可考核；</w:t>
      </w:r>
    </w:p>
    <w:p w14:paraId="4E5D0167">
      <w:pPr>
        <w:spacing w:line="560" w:lineRule="exact"/>
        <w:ind w:firstLine="596" w:firstLineChars="200"/>
        <w:jc w:val="both"/>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（3）分析园区零碳转型的潜在风险及应对策略，确保方案具备长期可持续性。</w:t>
      </w:r>
    </w:p>
    <w:p w14:paraId="4A5FCA41">
      <w:pPr>
        <w:spacing w:line="560" w:lineRule="exact"/>
        <w:ind w:firstLine="596" w:firstLineChars="200"/>
        <w:jc w:val="both"/>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5、协助园区争创国家级零碳园区试点</w:t>
      </w:r>
    </w:p>
    <w:p w14:paraId="2324416D">
      <w:pPr>
        <w:spacing w:line="560" w:lineRule="exact"/>
        <w:ind w:firstLine="596" w:firstLineChars="200"/>
        <w:jc w:val="both"/>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（1）编制完成国家级零碳园区试点申报方案；</w:t>
      </w:r>
    </w:p>
    <w:p w14:paraId="412CE10F">
      <w:pPr>
        <w:spacing w:line="560" w:lineRule="exact"/>
        <w:ind w:firstLine="596" w:firstLineChars="200"/>
        <w:jc w:val="both"/>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（2）配合管委会申报国家级零碳园区，开展相关协调工作。</w:t>
      </w:r>
    </w:p>
    <w:p w14:paraId="610BB8B0">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bookmarkStart w:id="91" w:name="bookmark6"/>
      <w:bookmarkEnd w:id="91"/>
      <w:bookmarkStart w:id="92" w:name="bookmark7"/>
      <w:bookmarkEnd w:id="92"/>
      <w:r>
        <w:rPr>
          <w:rFonts w:hint="eastAsia" w:ascii="仿宋" w:hAnsi="仿宋" w:eastAsia="仿宋" w:cs="仿宋"/>
          <w:b/>
          <w:bCs/>
          <w:color w:val="auto"/>
          <w:spacing w:val="-11"/>
          <w:sz w:val="32"/>
          <w:szCs w:val="32"/>
          <w:lang w:eastAsia="zh-CN"/>
        </w:rPr>
        <w:t>三、费用及支付</w:t>
      </w:r>
    </w:p>
    <w:p w14:paraId="19B923D6">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1.服务总价款：人民币</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整(人民币¥</w:t>
      </w:r>
      <w:r>
        <w:rPr>
          <w:rFonts w:hint="eastAsia" w:ascii="仿宋" w:hAnsi="仿宋" w:eastAsia="仿宋" w:cs="仿宋"/>
          <w:color w:val="auto"/>
          <w:spacing w:val="-10"/>
          <w:sz w:val="32"/>
          <w:szCs w:val="32"/>
          <w:lang w:val="en-US" w:eastAsia="zh-CN"/>
        </w:rPr>
        <w:t xml:space="preserve"> </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元) (含税</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w:t>
      </w:r>
    </w:p>
    <w:p w14:paraId="6EA091CB">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2.服务款项支付：</w:t>
      </w:r>
    </w:p>
    <w:p w14:paraId="21061CC6">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合同完成签订，且甲方收到乙方开具的发票、收据等相关票据后15个工作日内，支付咨询费用的</w:t>
      </w:r>
      <w:r>
        <w:rPr>
          <w:rFonts w:hint="eastAsia" w:ascii="仿宋" w:hAnsi="仿宋" w:eastAsia="仿宋" w:cs="仿宋"/>
          <w:color w:val="auto"/>
          <w:spacing w:val="-10"/>
          <w:sz w:val="32"/>
          <w:szCs w:val="32"/>
          <w:lang w:val="en-US" w:eastAsia="zh-CN"/>
        </w:rPr>
        <w:t>40</w:t>
      </w:r>
      <w:r>
        <w:rPr>
          <w:rFonts w:hint="eastAsia" w:ascii="仿宋" w:hAnsi="仿宋" w:eastAsia="仿宋" w:cs="仿宋"/>
          <w:color w:val="auto"/>
          <w:spacing w:val="-10"/>
          <w:sz w:val="32"/>
          <w:szCs w:val="32"/>
          <w:lang w:eastAsia="zh-CN"/>
        </w:rPr>
        <w:t>%，即人民币¥</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元(大写：</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val="en-US" w:eastAsia="zh-CN"/>
        </w:rPr>
        <w:t>万</w:t>
      </w:r>
      <w:r>
        <w:rPr>
          <w:rFonts w:hint="eastAsia" w:ascii="仿宋" w:hAnsi="仿宋" w:eastAsia="仿宋" w:cs="仿宋"/>
          <w:color w:val="auto"/>
          <w:spacing w:val="-10"/>
          <w:sz w:val="32"/>
          <w:szCs w:val="32"/>
          <w:lang w:eastAsia="zh-CN"/>
        </w:rPr>
        <w:t>整)。</w:t>
      </w:r>
    </w:p>
    <w:p w14:paraId="028A8D82">
      <w:pPr>
        <w:spacing w:line="560" w:lineRule="exact"/>
        <w:jc w:val="both"/>
        <w:rPr>
          <w:rFonts w:hint="eastAsia" w:ascii="仿宋" w:hAnsi="仿宋" w:eastAsia="仿宋" w:cs="仿宋"/>
          <w:color w:val="auto"/>
          <w:spacing w:val="-10"/>
          <w:sz w:val="32"/>
          <w:szCs w:val="32"/>
          <w:lang w:eastAsia="zh-CN"/>
        </w:rPr>
      </w:pPr>
      <w:r>
        <w:rPr>
          <w:rFonts w:hint="eastAsia" w:ascii="仿宋" w:hAnsi="仿宋" w:eastAsia="仿宋" w:cs="仿宋"/>
          <w:color w:val="auto"/>
          <w:sz w:val="32"/>
          <w:szCs w:val="36"/>
          <w:lang w:val="en-US" w:eastAsia="zh-CN"/>
        </w:rPr>
        <w:t>提交完成</w:t>
      </w:r>
      <w:r>
        <w:rPr>
          <w:rFonts w:hint="eastAsia" w:ascii="仿宋" w:hAnsi="仿宋" w:eastAsia="仿宋" w:cs="仿宋"/>
          <w:color w:val="auto"/>
          <w:sz w:val="32"/>
          <w:szCs w:val="36"/>
          <w:lang w:eastAsia="zh-CN"/>
        </w:rPr>
        <w:t>准东经济技术开发区零碳工业</w:t>
      </w:r>
      <w:r>
        <w:rPr>
          <w:rFonts w:hint="eastAsia" w:ascii="仿宋" w:hAnsi="仿宋" w:eastAsia="仿宋" w:cs="仿宋"/>
          <w:color w:val="auto"/>
          <w:sz w:val="32"/>
          <w:szCs w:val="36"/>
          <w:lang w:val="en-US" w:eastAsia="zh-CN"/>
        </w:rPr>
        <w:t>试点申报方案，</w:t>
      </w:r>
      <w:r>
        <w:rPr>
          <w:rFonts w:hint="eastAsia" w:ascii="仿宋" w:hAnsi="仿宋" w:eastAsia="仿宋" w:cs="仿宋"/>
          <w:color w:val="auto"/>
          <w:spacing w:val="-10"/>
          <w:sz w:val="32"/>
          <w:szCs w:val="32"/>
          <w:lang w:eastAsia="zh-CN"/>
        </w:rPr>
        <w:t>且甲方收到乙方开具的发票、收据等相关票据后15个工作日内，支付咨询费用的</w:t>
      </w:r>
      <w:r>
        <w:rPr>
          <w:rFonts w:hint="eastAsia" w:ascii="仿宋" w:hAnsi="仿宋" w:eastAsia="仿宋" w:cs="仿宋"/>
          <w:color w:val="auto"/>
          <w:spacing w:val="-10"/>
          <w:sz w:val="32"/>
          <w:szCs w:val="32"/>
          <w:lang w:val="en-US" w:eastAsia="zh-CN"/>
        </w:rPr>
        <w:t>40</w:t>
      </w:r>
      <w:r>
        <w:rPr>
          <w:rFonts w:hint="eastAsia" w:ascii="仿宋" w:hAnsi="仿宋" w:eastAsia="仿宋" w:cs="仿宋"/>
          <w:color w:val="auto"/>
          <w:spacing w:val="-10"/>
          <w:sz w:val="32"/>
          <w:szCs w:val="32"/>
          <w:lang w:eastAsia="zh-CN"/>
        </w:rPr>
        <w:t>%，即人民币¥</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元(大写：</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整)。</w:t>
      </w:r>
      <w:r>
        <w:rPr>
          <w:rFonts w:hint="eastAsia" w:ascii="仿宋" w:hAnsi="仿宋" w:eastAsia="仿宋" w:cs="仿宋"/>
          <w:color w:val="auto"/>
          <w:spacing w:val="-10"/>
          <w:sz w:val="32"/>
          <w:szCs w:val="32"/>
          <w:lang w:val="en-US" w:eastAsia="zh-CN"/>
        </w:rPr>
        <w:t>2026年3月31日前，</w:t>
      </w:r>
      <w:r>
        <w:rPr>
          <w:rFonts w:hint="eastAsia" w:ascii="仿宋" w:hAnsi="仿宋" w:eastAsia="仿宋" w:cs="仿宋"/>
          <w:color w:val="auto"/>
          <w:spacing w:val="-10"/>
          <w:sz w:val="32"/>
          <w:szCs w:val="32"/>
          <w:lang w:eastAsia="zh-CN"/>
        </w:rPr>
        <w:t>甲方收到乙方开具的发票、收据等相关票据后15个工作日内，</w:t>
      </w:r>
      <w:r>
        <w:rPr>
          <w:rFonts w:hint="eastAsia" w:ascii="仿宋" w:hAnsi="仿宋" w:eastAsia="仿宋" w:cs="仿宋"/>
          <w:color w:val="auto"/>
          <w:spacing w:val="-10"/>
          <w:sz w:val="32"/>
          <w:szCs w:val="32"/>
          <w:lang w:val="en-US" w:eastAsia="zh-CN"/>
        </w:rPr>
        <w:t>支付尾款20%</w:t>
      </w:r>
      <w:r>
        <w:rPr>
          <w:rFonts w:hint="eastAsia" w:ascii="仿宋" w:hAnsi="仿宋" w:eastAsia="仿宋" w:cs="仿宋"/>
          <w:color w:val="auto"/>
          <w:spacing w:val="-10"/>
          <w:sz w:val="32"/>
          <w:szCs w:val="32"/>
          <w:lang w:eastAsia="zh-CN"/>
        </w:rPr>
        <w:t>即人民币¥</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元(大写：</w:t>
      </w:r>
      <w:r>
        <w:rPr>
          <w:rFonts w:hint="eastAsia" w:ascii="仿宋" w:hAnsi="仿宋" w:eastAsia="仿宋" w:cs="仿宋"/>
          <w:color w:val="auto"/>
          <w:spacing w:val="-10"/>
          <w:sz w:val="32"/>
          <w:szCs w:val="32"/>
          <w:u w:val="single"/>
          <w:lang w:val="en-US" w:eastAsia="zh-CN"/>
        </w:rPr>
        <w:t xml:space="preserve">     </w:t>
      </w:r>
      <w:r>
        <w:rPr>
          <w:rFonts w:hint="eastAsia" w:ascii="仿宋" w:hAnsi="仿宋" w:eastAsia="仿宋" w:cs="仿宋"/>
          <w:color w:val="auto"/>
          <w:spacing w:val="-10"/>
          <w:sz w:val="32"/>
          <w:szCs w:val="32"/>
          <w:lang w:eastAsia="zh-CN"/>
        </w:rPr>
        <w:t>整)。</w:t>
      </w:r>
    </w:p>
    <w:p w14:paraId="37D35E79">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3.付款方式：</w:t>
      </w:r>
    </w:p>
    <w:p w14:paraId="42DC1150">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乙方收款银行账户信息：</w:t>
      </w:r>
    </w:p>
    <w:p w14:paraId="0F90FD3C">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开户行：</w:t>
      </w:r>
      <w:r>
        <w:rPr>
          <w:rFonts w:hint="eastAsia" w:ascii="仿宋" w:hAnsi="仿宋" w:eastAsia="仿宋" w:cs="仿宋"/>
          <w:color w:val="auto"/>
          <w:spacing w:val="-10"/>
          <w:sz w:val="32"/>
          <w:szCs w:val="32"/>
          <w:lang w:val="en-US" w:eastAsia="zh-CN"/>
        </w:rPr>
        <w:t xml:space="preserve"> </w:t>
      </w:r>
    </w:p>
    <w:p w14:paraId="484FB21A">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账户名称：</w:t>
      </w:r>
      <w:r>
        <w:rPr>
          <w:rFonts w:hint="eastAsia" w:ascii="仿宋" w:hAnsi="仿宋" w:eastAsia="仿宋" w:cs="仿宋"/>
          <w:color w:val="auto"/>
          <w:spacing w:val="-10"/>
          <w:sz w:val="32"/>
          <w:szCs w:val="32"/>
          <w:lang w:val="en-US" w:eastAsia="zh-CN"/>
        </w:rPr>
        <w:t xml:space="preserve"> </w:t>
      </w:r>
    </w:p>
    <w:p w14:paraId="347057FA">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账号：</w:t>
      </w:r>
      <w:r>
        <w:rPr>
          <w:rFonts w:hint="eastAsia" w:ascii="仿宋" w:hAnsi="仿宋" w:eastAsia="仿宋" w:cs="仿宋"/>
          <w:color w:val="auto"/>
          <w:spacing w:val="-10"/>
          <w:sz w:val="32"/>
          <w:szCs w:val="32"/>
          <w:lang w:val="en-US" w:eastAsia="zh-CN"/>
        </w:rPr>
        <w:t xml:space="preserve"> </w:t>
      </w:r>
    </w:p>
    <w:p w14:paraId="3278D67C">
      <w:pPr>
        <w:kinsoku/>
        <w:autoSpaceDE/>
        <w:autoSpaceDN/>
        <w:adjustRightInd/>
        <w:snapToGrid/>
        <w:spacing w:line="560" w:lineRule="exact"/>
        <w:ind w:firstLine="599" w:firstLineChars="200"/>
        <w:jc w:val="both"/>
        <w:textAlignment w:val="auto"/>
        <w:outlineLvl w:val="0"/>
        <w:rPr>
          <w:rFonts w:hint="eastAsia" w:ascii="仿宋" w:hAnsi="仿宋" w:eastAsia="仿宋" w:cs="仿宋"/>
          <w:color w:val="auto"/>
          <w:spacing w:val="-10"/>
          <w:sz w:val="32"/>
          <w:szCs w:val="32"/>
          <w:lang w:eastAsia="zh-CN"/>
        </w:rPr>
      </w:pPr>
      <w:r>
        <w:rPr>
          <w:rFonts w:hint="eastAsia" w:ascii="仿宋" w:hAnsi="仿宋" w:eastAsia="仿宋" w:cs="仿宋"/>
          <w:b/>
          <w:bCs/>
          <w:color w:val="auto"/>
          <w:spacing w:val="-11"/>
          <w:sz w:val="32"/>
          <w:szCs w:val="32"/>
          <w:lang w:eastAsia="zh-CN"/>
        </w:rPr>
        <w:t>四、成果交付及节点</w:t>
      </w:r>
    </w:p>
    <w:p w14:paraId="1286FEBF">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1.合同签订15个工作日内，完成园区绿色低碳发展基础情况的调研；</w:t>
      </w:r>
    </w:p>
    <w:p w14:paraId="5FE78F1F">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2.合同签订两个月内，梳理收集资料，确定建设目标，谋划符合园区发展导向、可落地的建设方案初稿；</w:t>
      </w:r>
    </w:p>
    <w:p w14:paraId="516A78C5">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3.初稿完成一个月内，对照建设方案初稿，整合多方资源，寻找适配投资商，配合二次踏勘，完成项目初设，细化完善建设方案；</w:t>
      </w:r>
    </w:p>
    <w:p w14:paraId="60C91462">
      <w:pPr>
        <w:spacing w:line="560" w:lineRule="exact"/>
        <w:ind w:firstLine="600" w:firstLineChars="200"/>
        <w:jc w:val="both"/>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lang w:eastAsia="zh-CN"/>
        </w:rPr>
        <w:t>.最终成果：1份工作方案</w:t>
      </w:r>
      <w:r>
        <w:rPr>
          <w:rFonts w:hint="eastAsia" w:ascii="仿宋" w:hAnsi="仿宋" w:eastAsia="仿宋" w:cs="仿宋"/>
          <w:color w:val="auto"/>
          <w:spacing w:val="-10"/>
          <w:sz w:val="32"/>
          <w:szCs w:val="32"/>
          <w:lang w:val="en-US" w:eastAsia="zh-CN"/>
        </w:rPr>
        <w:t>,</w:t>
      </w:r>
      <w:r>
        <w:rPr>
          <w:rFonts w:hint="eastAsia" w:ascii="仿宋" w:hAnsi="仿宋" w:eastAsia="仿宋" w:cs="仿宋"/>
          <w:color w:val="auto"/>
          <w:sz w:val="32"/>
          <w:szCs w:val="36"/>
          <w:lang w:eastAsia="zh-CN"/>
        </w:rPr>
        <w:t>《准东经济技术开发区零碳工业园区</w:t>
      </w:r>
      <w:r>
        <w:rPr>
          <w:rFonts w:hint="eastAsia" w:ascii="仿宋" w:hAnsi="仿宋" w:eastAsia="仿宋" w:cs="仿宋"/>
          <w:color w:val="auto"/>
          <w:sz w:val="32"/>
          <w:szCs w:val="36"/>
          <w:lang w:val="en-US" w:eastAsia="zh-CN"/>
        </w:rPr>
        <w:t>试点申报方案</w:t>
      </w:r>
      <w:r>
        <w:rPr>
          <w:rFonts w:hint="eastAsia" w:ascii="仿宋" w:hAnsi="仿宋" w:eastAsia="仿宋" w:cs="仿宋"/>
          <w:color w:val="auto"/>
          <w:sz w:val="32"/>
          <w:szCs w:val="36"/>
          <w:lang w:eastAsia="zh-CN"/>
        </w:rPr>
        <w:t>》；</w:t>
      </w:r>
    </w:p>
    <w:p w14:paraId="1D1FDC6E">
      <w:pPr>
        <w:spacing w:line="560" w:lineRule="exact"/>
        <w:ind w:firstLine="600" w:firstLineChars="200"/>
        <w:jc w:val="both"/>
        <w:rPr>
          <w:rFonts w:hint="default"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5</w:t>
      </w:r>
      <w:r>
        <w:rPr>
          <w:rFonts w:hint="eastAsia" w:ascii="仿宋" w:hAnsi="仿宋" w:eastAsia="仿宋" w:cs="仿宋"/>
          <w:color w:val="auto"/>
          <w:spacing w:val="-10"/>
          <w:sz w:val="32"/>
          <w:szCs w:val="32"/>
          <w:lang w:eastAsia="zh-CN"/>
        </w:rPr>
        <w:t>.交付形式：胶装版报告，电子版(word版及PDF版)</w:t>
      </w:r>
      <w:r>
        <w:rPr>
          <w:rFonts w:hint="eastAsia" w:ascii="仿宋" w:hAnsi="仿宋" w:eastAsia="仿宋" w:cs="仿宋"/>
          <w:color w:val="auto"/>
          <w:spacing w:val="-10"/>
          <w:sz w:val="32"/>
          <w:szCs w:val="32"/>
          <w:lang w:val="en-US" w:eastAsia="zh-CN"/>
        </w:rPr>
        <w:t>。</w:t>
      </w:r>
    </w:p>
    <w:p w14:paraId="6A581FDB">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五、各方的权利和义务</w:t>
      </w:r>
    </w:p>
    <w:p w14:paraId="51CB01BA">
      <w:pPr>
        <w:spacing w:line="560" w:lineRule="exact"/>
        <w:ind w:firstLine="632" w:firstLineChars="200"/>
        <w:jc w:val="both"/>
        <w:rPr>
          <w:rFonts w:hint="eastAsia" w:ascii="仿宋" w:hAnsi="仿宋" w:eastAsia="仿宋" w:cs="仿宋"/>
          <w:color w:val="auto"/>
          <w:spacing w:val="-2"/>
          <w:sz w:val="32"/>
          <w:szCs w:val="32"/>
          <w:lang w:eastAsia="zh-CN"/>
        </w:rPr>
      </w:pPr>
      <w:bookmarkStart w:id="93" w:name="bookmark9"/>
      <w:bookmarkEnd w:id="93"/>
      <w:bookmarkStart w:id="94" w:name="bookmark8"/>
      <w:bookmarkEnd w:id="94"/>
      <w:r>
        <w:rPr>
          <w:rFonts w:hint="eastAsia" w:ascii="仿宋" w:hAnsi="仿宋" w:eastAsia="仿宋" w:cs="仿宋"/>
          <w:color w:val="auto"/>
          <w:spacing w:val="-2"/>
          <w:sz w:val="32"/>
          <w:szCs w:val="32"/>
          <w:lang w:eastAsia="zh-CN"/>
        </w:rPr>
        <w:t>1.项目开发过程中，由甲方提供的数据、资料，甲方享有知识产权，乙方不得自行将相关数据、资料（或因本数据、资料形成的研究成果）转让给第三人。</w:t>
      </w:r>
    </w:p>
    <w:p w14:paraId="740E2F5C">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2.乙方完成本合同项目的研究开发人员享有在有关技术成果文件上写明技术成果完成者的权利和取得有关荣誉证书、奖励的权利。未经甲方允许，不得引用与甲方有关的信息。</w:t>
      </w:r>
    </w:p>
    <w:p w14:paraId="5F3BC0C0">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3.甲方拥有项目成果知识产权。</w:t>
      </w:r>
    </w:p>
    <w:p w14:paraId="31FA1067">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4.为保证乙方进行方案编制工作，甲方应向乙方提供下列协作事项：</w:t>
      </w:r>
    </w:p>
    <w:p w14:paraId="6A5933F8">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（1）与项目相关的基础数据和资料（包括园区现状、能源消耗、产业布局等，以便乙方进行方案编制提供技术资料）；</w:t>
      </w:r>
    </w:p>
    <w:p w14:paraId="6E6E97B3">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（2）为乙方提供便利条件（包括场地、设施及相关资源，协调园区内外部关系，确保方案编制过程中各方配合顺畅）；</w:t>
      </w:r>
    </w:p>
    <w:p w14:paraId="7963ECB6">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（3）甲方应按合同约定时间向乙方支付编制费用，如支付时间延期，则乙方提交工作成果的时间相应顺延。</w:t>
      </w:r>
    </w:p>
    <w:p w14:paraId="6D09B4C8">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5.乙方应按照合同要求，对零碳园区建设方案进行全面、深入的编制和完善，具体包括但不限于：</w:t>
      </w:r>
    </w:p>
    <w:p w14:paraId="2631F91B">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（1）承担按时、高质量完成零碳园区建设方案的编制工作，确保方案科学、合理、可行；</w:t>
      </w:r>
    </w:p>
    <w:p w14:paraId="3D12A2DF">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（2）充分考虑甲方的意见和建议，并及时调整优化；</w:t>
      </w:r>
    </w:p>
    <w:p w14:paraId="5149DD2C">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（3）乙方应积极配合甲方的监督和检查，及时提供相关工作进展报告；</w:t>
      </w:r>
    </w:p>
    <w:p w14:paraId="1A8428B0">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（4）乙方应确保方案编制符合国家和地方相关标准，满足零碳园区建设的要求。</w:t>
      </w:r>
    </w:p>
    <w:p w14:paraId="125E67FC">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六、变更与终止</w:t>
      </w:r>
    </w:p>
    <w:p w14:paraId="4AC7E70B">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1.在合同期限内，双方如需变更本合同，包括但不限于：合同价款、服务范围、合同期限的变更，应经双方协商并签订补充协议。补充协议将作为本合同的附件，享有与本协议同等的法律效力。</w:t>
      </w:r>
    </w:p>
    <w:p w14:paraId="71F7692F">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2.如变更、解除或提前终止本合同，双方须另行签订书面协议，一切相关事宜均以书面协议为准。该书面协议签字盖章后生效。</w:t>
      </w:r>
    </w:p>
    <w:p w14:paraId="3B8B2843">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七、违约责任</w:t>
      </w:r>
    </w:p>
    <w:p w14:paraId="6494534D">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 xml:space="preserve">1.双方应当依法全面履行合同，守约方有权要求违约方承担继续履行、采取补救措施、解除合同、赔偿损失等违约责任。 </w:t>
      </w:r>
    </w:p>
    <w:p w14:paraId="62C5ECF9">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2.乙方逾期30日提交工作成果或者工作成果2次（含本数）未经甲方审核验收通过，甲方有权解除合同，要求乙方退还已付合同价款，拒付剩余合同价款，并要求乙方赔偿损失，并支付合同价款20%的违约金。</w:t>
      </w:r>
    </w:p>
    <w:p w14:paraId="7B3C1F4A">
      <w:pPr>
        <w:spacing w:line="560" w:lineRule="exact"/>
        <w:ind w:firstLine="599" w:firstLineChars="200"/>
        <w:jc w:val="both"/>
        <w:outlineLvl w:val="9"/>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八、合同解除</w:t>
      </w:r>
    </w:p>
    <w:p w14:paraId="4C89452E">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1.在下列情况下，甲方有权解除合同：</w:t>
      </w:r>
    </w:p>
    <w:p w14:paraId="492FD3BF">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1）乙方未履行约定或者规定的义务。</w:t>
      </w:r>
    </w:p>
    <w:p w14:paraId="4ADB1EA7">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2）如果甲方认为乙方在本合同的招投标、签订和履行过程中有腐败和欺诈行为，包括但不限于：</w:t>
      </w:r>
    </w:p>
    <w:p w14:paraId="5333C575">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A.“腐败行为”是指提供、给予、接受或索取任何有价值的物品、权利、行为来影响甲方在本合同的招投标、签订和履行过程中的行为。</w:t>
      </w:r>
    </w:p>
    <w:p w14:paraId="042AFCB7">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B.“欺诈行为”是指为了影响本合同的招投标、签订和履行而虚构事实或隐瞒事实，损害甲方利益的行为。</w:t>
      </w:r>
    </w:p>
    <w:p w14:paraId="002D987B">
      <w:pPr>
        <w:spacing w:line="560" w:lineRule="exact"/>
        <w:ind w:firstLine="632" w:firstLineChars="200"/>
        <w:jc w:val="both"/>
        <w:rPr>
          <w:rFonts w:hint="eastAsia" w:ascii="仿宋" w:hAnsi="仿宋" w:eastAsia="仿宋" w:cs="仿宋"/>
          <w:b/>
          <w:bCs/>
          <w:color w:val="auto"/>
          <w:spacing w:val="-11"/>
          <w:sz w:val="32"/>
          <w:szCs w:val="32"/>
          <w:lang w:eastAsia="zh-CN"/>
        </w:rPr>
      </w:pPr>
      <w:r>
        <w:rPr>
          <w:rFonts w:hint="eastAsia" w:ascii="仿宋" w:hAnsi="仿宋" w:eastAsia="仿宋" w:cs="仿宋"/>
          <w:color w:val="auto"/>
          <w:spacing w:val="-2"/>
          <w:sz w:val="32"/>
          <w:szCs w:val="32"/>
          <w:lang w:eastAsia="zh-CN"/>
        </w:rPr>
        <w:t>2.如果甲方根据上述约定解除合同，甲方可以依其认为适当的条件和方法采购与本合同约定类似服务，但是乙方没有向甲方提供的服务，乙方应当承担甲方因采购类似服务而产生的费用，并赔偿甲方全部经济损失。</w:t>
      </w:r>
    </w:p>
    <w:p w14:paraId="703F494C">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九、不可抗力</w:t>
      </w:r>
    </w:p>
    <w:p w14:paraId="46EBE5AB">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甲方、乙双方明确因地震、台风、水灾、火灾、战争以及其他不能预见并且对其发生和后果不能防止或避免的不可抗力，导致甲、乙双方或一方不能履行或不能完全履行本合同的有关义务时，遭遇不可抗力的一方不承担违约责任。</w:t>
      </w:r>
    </w:p>
    <w:p w14:paraId="62D69920">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但遇有不可抗力的一方或双方应于不可抗力发生后20日内将情况书面告知对方，并提供有关证明。在不可抗力影响消除后的时间内，一方或双方应当继续履行合同。除非此等履行已不可能或者不必要。</w:t>
      </w:r>
    </w:p>
    <w:p w14:paraId="5DBD4FD1">
      <w:pPr>
        <w:spacing w:line="56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十、保密</w:t>
      </w:r>
    </w:p>
    <w:p w14:paraId="42ABF40B">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合同一方订立及履行本合同所知悉、了解到的对方的任何信息为对方当事人的商业秘密。未经信息披露相对方事先书面同意，任何一方将对任何商业秘密保密，不得向任何人或实体披露这些商业秘密，并且该等保密义务应持续至本合同终止后的任何时刻。但正常履行本合同的义务需要或者国家法律、法规另有规定的除外。</w:t>
      </w:r>
    </w:p>
    <w:p w14:paraId="59BE3225">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各方对本合同的具体内容负有保密责任，未经对方事先书面同意，任何一方不得将各方的合作及本合同的具体内容披露给任何第三方。但各方在本合同有效期内或有效期后，在征得对方同意的情况下，因各方融资需要、重组需要及其相关法律法规规定，向有关中介机构、国家政府部门及公众披露本合同下的内容除外。</w:t>
      </w:r>
    </w:p>
    <w:p w14:paraId="7096A1B6">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3.本合同终止后，保密条款继续有效。</w:t>
      </w:r>
    </w:p>
    <w:p w14:paraId="5DC6AF03">
      <w:pPr>
        <w:spacing w:line="54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十一、争议解决</w:t>
      </w:r>
    </w:p>
    <w:p w14:paraId="2A34F583">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1.因履行本合同或与本合同有关的一切争议，各方当事人应通过友好协商方式解决。</w:t>
      </w:r>
    </w:p>
    <w:p w14:paraId="4CBB59E3">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2.如果协商不成，各方同意向甲方所在地有管辖权的人民法院通过诉讼解决。</w:t>
      </w:r>
    </w:p>
    <w:p w14:paraId="4A743540">
      <w:pPr>
        <w:spacing w:line="54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bidi="ar"/>
        </w:rPr>
        <w:t xml:space="preserve">十二、通知与送达 </w:t>
      </w:r>
    </w:p>
    <w:p w14:paraId="672BC5A5">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 xml:space="preserve">1.甲乙双方确认各自的合法有效送达地址及联系方式如下（合同履行及争议解决过程中均可按照下列方式进行送达）： </w:t>
      </w:r>
    </w:p>
    <w:p w14:paraId="19125C48">
      <w:pPr>
        <w:spacing w:line="540" w:lineRule="exact"/>
        <w:ind w:firstLine="632" w:firstLineChars="200"/>
        <w:jc w:val="both"/>
        <w:rPr>
          <w:rFonts w:hint="eastAsia" w:ascii="仿宋" w:hAnsi="仿宋" w:eastAsia="仿宋" w:cs="仿宋"/>
          <w:color w:val="auto"/>
          <w:spacing w:val="-2"/>
          <w:sz w:val="32"/>
          <w:szCs w:val="32"/>
          <w:u w:val="single"/>
          <w:lang w:val="en-US" w:eastAsia="zh-CN"/>
        </w:rPr>
      </w:pPr>
      <w:r>
        <w:rPr>
          <w:rFonts w:hint="eastAsia" w:ascii="仿宋" w:hAnsi="仿宋" w:eastAsia="仿宋" w:cs="仿宋"/>
          <w:color w:val="auto"/>
          <w:spacing w:val="-2"/>
          <w:sz w:val="32"/>
          <w:szCs w:val="32"/>
          <w:lang w:eastAsia="zh-CN" w:bidi="ar"/>
        </w:rPr>
        <w:t>甲方：</w:t>
      </w:r>
      <w:r>
        <w:rPr>
          <w:rFonts w:hint="eastAsia" w:ascii="仿宋" w:hAnsi="仿宋" w:eastAsia="仿宋" w:cs="仿宋"/>
          <w:color w:val="auto"/>
          <w:spacing w:val="-2"/>
          <w:sz w:val="32"/>
          <w:szCs w:val="32"/>
          <w:u w:val="single"/>
          <w:lang w:val="en-US" w:eastAsia="zh-CN"/>
        </w:rPr>
        <w:t xml:space="preserve">                                    </w:t>
      </w:r>
    </w:p>
    <w:p w14:paraId="59915165">
      <w:pPr>
        <w:spacing w:line="540" w:lineRule="exact"/>
        <w:ind w:firstLine="632" w:firstLineChars="200"/>
        <w:jc w:val="both"/>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bidi="ar"/>
        </w:rPr>
        <w:t>送达地址：</w:t>
      </w:r>
      <w:r>
        <w:rPr>
          <w:rFonts w:hint="eastAsia" w:ascii="仿宋" w:hAnsi="仿宋" w:eastAsia="仿宋" w:cs="仿宋"/>
          <w:color w:val="auto"/>
          <w:spacing w:val="-2"/>
          <w:sz w:val="32"/>
          <w:szCs w:val="32"/>
          <w:u w:val="single"/>
          <w:lang w:val="en-US" w:eastAsia="zh-CN"/>
        </w:rPr>
        <w:t xml:space="preserve">                                </w:t>
      </w:r>
    </w:p>
    <w:p w14:paraId="36EC72F9">
      <w:pPr>
        <w:spacing w:line="540" w:lineRule="exact"/>
        <w:ind w:firstLine="632" w:firstLineChars="200"/>
        <w:jc w:val="both"/>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bidi="ar"/>
        </w:rPr>
        <w:t xml:space="preserve">收件人： </w:t>
      </w:r>
      <w:r>
        <w:rPr>
          <w:rFonts w:hint="eastAsia" w:ascii="仿宋" w:hAnsi="仿宋" w:eastAsia="仿宋" w:cs="仿宋"/>
          <w:color w:val="auto"/>
          <w:spacing w:val="-2"/>
          <w:sz w:val="32"/>
          <w:szCs w:val="32"/>
          <w:u w:val="single"/>
          <w:lang w:val="en-US" w:eastAsia="zh-CN" w:bidi="ar"/>
        </w:rPr>
        <w:t xml:space="preserve">                             </w:t>
      </w:r>
    </w:p>
    <w:p w14:paraId="280387C9">
      <w:pPr>
        <w:spacing w:line="540" w:lineRule="exact"/>
        <w:ind w:firstLine="632" w:firstLineChars="200"/>
        <w:jc w:val="both"/>
        <w:rPr>
          <w:rFonts w:hint="eastAsia" w:ascii="仿宋" w:hAnsi="仿宋" w:eastAsia="仿宋" w:cs="仿宋"/>
          <w:color w:val="auto"/>
          <w:spacing w:val="-2"/>
          <w:sz w:val="32"/>
          <w:szCs w:val="32"/>
          <w:lang w:val="en-US" w:eastAsia="zh-CN" w:bidi="ar"/>
        </w:rPr>
      </w:pPr>
      <w:r>
        <w:rPr>
          <w:rFonts w:hint="eastAsia" w:ascii="仿宋" w:hAnsi="仿宋" w:eastAsia="仿宋" w:cs="仿宋"/>
          <w:color w:val="auto"/>
          <w:spacing w:val="-2"/>
          <w:sz w:val="32"/>
          <w:szCs w:val="32"/>
          <w:lang w:eastAsia="zh-CN" w:bidi="ar"/>
        </w:rPr>
        <w:t>联系电话：</w:t>
      </w:r>
      <w:r>
        <w:rPr>
          <w:rFonts w:hint="eastAsia" w:ascii="仿宋" w:hAnsi="仿宋" w:eastAsia="仿宋" w:cs="仿宋"/>
          <w:color w:val="auto"/>
          <w:spacing w:val="-2"/>
          <w:sz w:val="32"/>
          <w:szCs w:val="32"/>
          <w:u w:val="single"/>
          <w:lang w:val="en-US" w:eastAsia="zh-CN" w:bidi="ar"/>
        </w:rPr>
        <w:t xml:space="preserve">                            </w:t>
      </w:r>
    </w:p>
    <w:p w14:paraId="2A7CEEE1">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乙方：</w:t>
      </w:r>
      <w:r>
        <w:rPr>
          <w:rFonts w:hint="eastAsia" w:ascii="仿宋" w:hAnsi="仿宋" w:eastAsia="仿宋" w:cs="仿宋"/>
          <w:color w:val="auto"/>
          <w:spacing w:val="-2"/>
          <w:sz w:val="32"/>
          <w:szCs w:val="32"/>
          <w:u w:val="single"/>
          <w:lang w:val="en-US" w:eastAsia="zh-CN" w:bidi="ar"/>
        </w:rPr>
        <w:t xml:space="preserve">                                </w:t>
      </w:r>
    </w:p>
    <w:p w14:paraId="15E504CF">
      <w:pPr>
        <w:spacing w:line="540" w:lineRule="exact"/>
        <w:ind w:firstLine="632" w:firstLineChars="200"/>
        <w:jc w:val="both"/>
        <w:rPr>
          <w:rFonts w:hint="default" w:ascii="仿宋" w:hAnsi="仿宋" w:eastAsia="仿宋" w:cs="仿宋"/>
          <w:color w:val="auto"/>
          <w:spacing w:val="-2"/>
          <w:sz w:val="32"/>
          <w:szCs w:val="32"/>
          <w:u w:val="single"/>
          <w:lang w:val="en-US" w:eastAsia="zh-CN"/>
        </w:rPr>
      </w:pPr>
      <w:r>
        <w:rPr>
          <w:rFonts w:hint="eastAsia" w:ascii="仿宋" w:hAnsi="仿宋" w:eastAsia="仿宋" w:cs="仿宋"/>
          <w:color w:val="auto"/>
          <w:spacing w:val="-2"/>
          <w:sz w:val="32"/>
          <w:szCs w:val="32"/>
          <w:lang w:eastAsia="zh-CN" w:bidi="ar"/>
        </w:rPr>
        <w:t>送达地址：</w:t>
      </w:r>
      <w:r>
        <w:rPr>
          <w:rFonts w:hint="eastAsia" w:ascii="仿宋" w:hAnsi="仿宋" w:eastAsia="仿宋" w:cs="仿宋"/>
          <w:color w:val="auto"/>
          <w:spacing w:val="-2"/>
          <w:sz w:val="32"/>
          <w:szCs w:val="32"/>
          <w:u w:val="single"/>
          <w:lang w:val="en-US" w:eastAsia="zh-CN" w:bidi="ar"/>
        </w:rPr>
        <w:t xml:space="preserve">          </w:t>
      </w:r>
      <w:r>
        <w:rPr>
          <w:rFonts w:hint="eastAsia" w:ascii="仿宋" w:hAnsi="仿宋" w:eastAsia="仿宋" w:cs="仿宋"/>
          <w:color w:val="auto"/>
          <w:spacing w:val="-2"/>
          <w:sz w:val="32"/>
          <w:szCs w:val="32"/>
          <w:u w:val="single"/>
          <w:lang w:eastAsia="zh-CN" w:bidi="ar"/>
        </w:rPr>
        <w:t xml:space="preserve">      </w:t>
      </w:r>
      <w:r>
        <w:rPr>
          <w:rFonts w:hint="eastAsia" w:ascii="仿宋" w:hAnsi="仿宋" w:eastAsia="仿宋" w:cs="仿宋"/>
          <w:color w:val="auto"/>
          <w:spacing w:val="-2"/>
          <w:sz w:val="32"/>
          <w:szCs w:val="32"/>
          <w:u w:val="single"/>
          <w:lang w:val="en-US" w:eastAsia="zh-CN" w:bidi="ar"/>
        </w:rPr>
        <w:t xml:space="preserve">            </w:t>
      </w:r>
    </w:p>
    <w:p w14:paraId="0DF62F3A">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收件人：</w:t>
      </w:r>
      <w:r>
        <w:rPr>
          <w:rFonts w:hint="eastAsia" w:ascii="仿宋" w:hAnsi="仿宋" w:eastAsia="仿宋" w:cs="仿宋"/>
          <w:color w:val="auto"/>
          <w:spacing w:val="-2"/>
          <w:sz w:val="32"/>
          <w:szCs w:val="32"/>
          <w:u w:val="single"/>
          <w:lang w:val="en-US" w:eastAsia="zh-CN" w:bidi="ar"/>
        </w:rPr>
        <w:t xml:space="preserve">                              </w:t>
      </w:r>
    </w:p>
    <w:p w14:paraId="387E7620">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联系电话：</w:t>
      </w:r>
      <w:r>
        <w:rPr>
          <w:rFonts w:hint="eastAsia" w:ascii="仿宋" w:hAnsi="仿宋" w:eastAsia="仿宋" w:cs="仿宋"/>
          <w:color w:val="auto"/>
          <w:spacing w:val="-2"/>
          <w:sz w:val="32"/>
          <w:szCs w:val="32"/>
          <w:u w:val="single"/>
          <w:lang w:val="en-US" w:eastAsia="zh-CN" w:bidi="ar"/>
        </w:rPr>
        <w:t xml:space="preserve">                            </w:t>
      </w:r>
      <w:r>
        <w:rPr>
          <w:rFonts w:hint="eastAsia" w:ascii="仿宋" w:hAnsi="仿宋" w:eastAsia="仿宋" w:cs="仿宋"/>
          <w:color w:val="auto"/>
          <w:spacing w:val="-2"/>
          <w:sz w:val="32"/>
          <w:szCs w:val="32"/>
          <w:lang w:eastAsia="zh-CN" w:bidi="ar"/>
        </w:rPr>
        <w:t xml:space="preserve"> </w:t>
      </w:r>
    </w:p>
    <w:p w14:paraId="668669FD">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 xml:space="preserve">2.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 </w:t>
      </w:r>
    </w:p>
    <w:p w14:paraId="4D9CE9DF">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 xml:space="preserve">3.一方向另一方送达文件，以被送达方的签收日期作为送达日期。通过快递方式送达的，以快递签收日期为送达日期，被送达方拒收或无法送达的，自交邮后第2日视为已经送达。通过电子文件送达的，自前述电子文件内容在发送方正确填写地址且未被系统退回的情况下，自文件进入对方数据电文接收系统即视为送达。 </w:t>
      </w:r>
    </w:p>
    <w:p w14:paraId="17C4FD7C">
      <w:pPr>
        <w:spacing w:line="54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bidi="ar"/>
        </w:rPr>
        <w:t>4.本条款为独立条款，不受合同整体或其他条款的效力的影响，始终有效。</w:t>
      </w:r>
    </w:p>
    <w:p w14:paraId="7B3D3FFB">
      <w:pPr>
        <w:spacing w:line="540" w:lineRule="exact"/>
        <w:ind w:firstLine="599" w:firstLineChars="200"/>
        <w:jc w:val="both"/>
        <w:outlineLvl w:val="0"/>
        <w:rPr>
          <w:rFonts w:hint="eastAsia" w:ascii="仿宋" w:hAnsi="仿宋" w:eastAsia="仿宋" w:cs="仿宋"/>
          <w:b/>
          <w:bCs/>
          <w:color w:val="auto"/>
          <w:spacing w:val="-11"/>
          <w:sz w:val="32"/>
          <w:szCs w:val="32"/>
          <w:lang w:eastAsia="zh-CN"/>
        </w:rPr>
      </w:pPr>
      <w:r>
        <w:rPr>
          <w:rFonts w:hint="eastAsia" w:ascii="仿宋" w:hAnsi="仿宋" w:eastAsia="仿宋" w:cs="仿宋"/>
          <w:b/>
          <w:bCs/>
          <w:color w:val="auto"/>
          <w:spacing w:val="-11"/>
          <w:sz w:val="32"/>
          <w:szCs w:val="32"/>
          <w:lang w:eastAsia="zh-CN"/>
        </w:rPr>
        <w:t>十三、其他</w:t>
      </w:r>
    </w:p>
    <w:p w14:paraId="77CC7A63">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1.本合同的订立、效力、解释、履行和争议的解决均适用中华人民共和国法律法规。</w:t>
      </w:r>
    </w:p>
    <w:p w14:paraId="7A80320E">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2.乙方自愿配合甲方进行结果查究。</w:t>
      </w:r>
    </w:p>
    <w:p w14:paraId="230D3A4D">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3.协议如有未尽事宜，须经双方共同协商，作出书面补充规定，与本合同具有同等法律效力。</w:t>
      </w:r>
    </w:p>
    <w:p w14:paraId="4D824F26">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4.合同壹式肆份，各方各保存贰份为凭，具有同等法律效力。</w:t>
      </w:r>
    </w:p>
    <w:p w14:paraId="1B2340F8">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5.本合同附件是协议的组成部分与本合同具有同等法律效力。</w:t>
      </w:r>
    </w:p>
    <w:p w14:paraId="32802D9B">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6.本合同经各方法定代表人或授权代表签字盖章后生效。</w:t>
      </w:r>
    </w:p>
    <w:p w14:paraId="7A626008">
      <w:pPr>
        <w:spacing w:line="540" w:lineRule="exact"/>
        <w:ind w:firstLine="632" w:firstLineChars="200"/>
        <w:jc w:val="both"/>
        <w:rPr>
          <w:rFonts w:hint="eastAsia" w:ascii="仿宋" w:hAnsi="仿宋" w:eastAsia="仿宋" w:cs="仿宋"/>
          <w:color w:val="auto"/>
          <w:spacing w:val="-2"/>
          <w:sz w:val="32"/>
          <w:szCs w:val="32"/>
          <w:lang w:eastAsia="zh-CN" w:bidi="ar"/>
        </w:rPr>
      </w:pPr>
      <w:r>
        <w:rPr>
          <w:rFonts w:hint="eastAsia" w:ascii="仿宋" w:hAnsi="仿宋" w:eastAsia="仿宋" w:cs="仿宋"/>
          <w:color w:val="auto"/>
          <w:spacing w:val="-2"/>
          <w:sz w:val="32"/>
          <w:szCs w:val="32"/>
          <w:lang w:eastAsia="zh-CN" w:bidi="ar"/>
        </w:rPr>
        <w:t xml:space="preserve"> （本行以下无正文）</w:t>
      </w:r>
    </w:p>
    <w:p w14:paraId="2B0B131C">
      <w:pPr>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br w:type="page"/>
      </w:r>
    </w:p>
    <w:p w14:paraId="62E8EAEB">
      <w:pPr>
        <w:spacing w:line="560" w:lineRule="exact"/>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 xml:space="preserve">（本页无正文，为合同签署页） </w:t>
      </w:r>
    </w:p>
    <w:p w14:paraId="1C8919BB">
      <w:pPr>
        <w:spacing w:line="560" w:lineRule="exact"/>
        <w:jc w:val="both"/>
        <w:rPr>
          <w:rFonts w:hint="eastAsia" w:ascii="仿宋" w:hAnsi="仿宋" w:eastAsia="仿宋" w:cs="仿宋"/>
          <w:color w:val="auto"/>
          <w:spacing w:val="-2"/>
          <w:sz w:val="32"/>
          <w:szCs w:val="32"/>
          <w:lang w:eastAsia="zh-CN"/>
        </w:rPr>
      </w:pPr>
    </w:p>
    <w:p w14:paraId="52ACE509">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甲方：</w:t>
      </w:r>
      <w:r>
        <w:rPr>
          <w:rFonts w:hint="eastAsia" w:ascii="仿宋" w:hAnsi="仿宋" w:eastAsia="仿宋" w:cs="仿宋"/>
          <w:color w:val="auto"/>
          <w:spacing w:val="-2"/>
          <w:sz w:val="32"/>
          <w:szCs w:val="32"/>
          <w:lang w:val="en-US" w:eastAsia="zh-CN"/>
        </w:rPr>
        <w:t xml:space="preserve">           </w:t>
      </w:r>
      <w:r>
        <w:rPr>
          <w:rFonts w:hint="eastAsia" w:ascii="仿宋" w:hAnsi="仿宋" w:eastAsia="仿宋" w:cs="仿宋"/>
          <w:color w:val="auto"/>
          <w:spacing w:val="-2"/>
          <w:sz w:val="32"/>
          <w:szCs w:val="32"/>
          <w:lang w:eastAsia="zh-CN"/>
        </w:rPr>
        <w:t>(盖章)</w:t>
      </w:r>
    </w:p>
    <w:p w14:paraId="4DDB7CC2">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负责人或授权代表(签字)：</w:t>
      </w:r>
    </w:p>
    <w:p w14:paraId="784E0D4B">
      <w:pPr>
        <w:spacing w:line="560" w:lineRule="exact"/>
        <w:ind w:firstLine="1264" w:firstLineChars="4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年   月   日</w:t>
      </w:r>
    </w:p>
    <w:p w14:paraId="6560E8E2">
      <w:pPr>
        <w:spacing w:line="560" w:lineRule="exact"/>
        <w:jc w:val="both"/>
        <w:rPr>
          <w:rFonts w:hint="eastAsia" w:ascii="仿宋" w:hAnsi="仿宋" w:eastAsia="仿宋" w:cs="仿宋"/>
          <w:color w:val="auto"/>
          <w:spacing w:val="-2"/>
          <w:sz w:val="32"/>
          <w:szCs w:val="32"/>
          <w:lang w:eastAsia="zh-CN"/>
        </w:rPr>
      </w:pPr>
    </w:p>
    <w:p w14:paraId="51D32302">
      <w:pPr>
        <w:spacing w:line="560" w:lineRule="exact"/>
        <w:jc w:val="both"/>
        <w:rPr>
          <w:rFonts w:hint="eastAsia" w:ascii="仿宋" w:hAnsi="仿宋" w:eastAsia="仿宋" w:cs="仿宋"/>
          <w:color w:val="auto"/>
          <w:spacing w:val="-2"/>
          <w:sz w:val="32"/>
          <w:szCs w:val="32"/>
          <w:lang w:eastAsia="zh-CN"/>
        </w:rPr>
      </w:pPr>
    </w:p>
    <w:p w14:paraId="2BF2D5B3">
      <w:pPr>
        <w:spacing w:line="560" w:lineRule="exact"/>
        <w:ind w:firstLine="632" w:firstLineChars="200"/>
        <w:jc w:val="both"/>
        <w:rPr>
          <w:rFonts w:hint="eastAsia" w:ascii="仿宋" w:hAnsi="仿宋" w:eastAsia="仿宋" w:cs="仿宋"/>
          <w:color w:val="auto"/>
          <w:spacing w:val="-2"/>
          <w:sz w:val="32"/>
          <w:szCs w:val="32"/>
          <w:lang w:eastAsia="zh-CN"/>
        </w:rPr>
      </w:pPr>
    </w:p>
    <w:p w14:paraId="1DFD02EE">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乙方：</w:t>
      </w:r>
      <w:r>
        <w:rPr>
          <w:rFonts w:hint="eastAsia" w:ascii="仿宋" w:hAnsi="仿宋" w:eastAsia="仿宋" w:cs="仿宋"/>
          <w:color w:val="auto"/>
          <w:spacing w:val="-2"/>
          <w:sz w:val="32"/>
          <w:szCs w:val="32"/>
          <w:lang w:val="en-US" w:eastAsia="zh-CN"/>
        </w:rPr>
        <w:t xml:space="preserve">           </w:t>
      </w:r>
      <w:r>
        <w:rPr>
          <w:rFonts w:hint="eastAsia" w:ascii="仿宋" w:hAnsi="仿宋" w:eastAsia="仿宋" w:cs="仿宋"/>
          <w:color w:val="auto"/>
          <w:spacing w:val="-2"/>
          <w:sz w:val="32"/>
          <w:szCs w:val="32"/>
          <w:lang w:eastAsia="zh-CN"/>
        </w:rPr>
        <w:t>(盖章)</w:t>
      </w:r>
    </w:p>
    <w:p w14:paraId="0E662235">
      <w:pPr>
        <w:spacing w:line="560" w:lineRule="exact"/>
        <w:ind w:firstLine="632" w:firstLineChars="2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法定代表人或授权代表(签字)：</w:t>
      </w:r>
    </w:p>
    <w:p w14:paraId="7F3AF223">
      <w:pPr>
        <w:spacing w:line="560" w:lineRule="exact"/>
        <w:ind w:firstLine="1264" w:firstLineChars="400"/>
        <w:jc w:val="both"/>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年   月   日</w:t>
      </w:r>
    </w:p>
    <w:p w14:paraId="13683356">
      <w:pPr>
        <w:pStyle w:val="12"/>
        <w:spacing w:line="257" w:lineRule="auto"/>
        <w:rPr>
          <w:rFonts w:hint="eastAsia" w:ascii="仿宋" w:hAnsi="仿宋" w:eastAsia="仿宋" w:cs="仿宋"/>
          <w:color w:val="auto"/>
          <w:lang w:eastAsia="zh-CN"/>
        </w:rPr>
      </w:pPr>
    </w:p>
    <w:p w14:paraId="1F861F38">
      <w:pPr>
        <w:rPr>
          <w:rFonts w:hint="eastAsia" w:ascii="仿宋" w:hAnsi="仿宋" w:eastAsia="仿宋" w:cs="仿宋"/>
          <w:color w:val="auto"/>
          <w:lang w:eastAsia="zh-CN"/>
        </w:rPr>
      </w:pPr>
    </w:p>
    <w:p w14:paraId="77686AED">
      <w:pPr>
        <w:ind w:firstLine="639" w:firstLineChars="213"/>
        <w:jc w:val="both"/>
        <w:rPr>
          <w:rFonts w:hint="eastAsia" w:ascii="仿宋" w:hAnsi="仿宋" w:eastAsia="仿宋" w:cs="仿宋"/>
          <w:color w:val="auto"/>
          <w:sz w:val="30"/>
          <w:szCs w:val="30"/>
          <w:lang w:eastAsia="zh-CN"/>
        </w:rPr>
      </w:pPr>
    </w:p>
    <w:p w14:paraId="7BDB0027">
      <w:pPr>
        <w:ind w:firstLine="639" w:firstLineChars="213"/>
        <w:jc w:val="both"/>
        <w:rPr>
          <w:rFonts w:hint="eastAsia" w:ascii="仿宋" w:hAnsi="仿宋" w:eastAsia="仿宋" w:cs="仿宋"/>
          <w:color w:val="auto"/>
          <w:sz w:val="30"/>
          <w:szCs w:val="30"/>
          <w:lang w:eastAsia="zh-CN"/>
        </w:rPr>
      </w:pPr>
    </w:p>
    <w:p w14:paraId="1BA1D454">
      <w:pPr>
        <w:ind w:firstLine="639" w:firstLineChars="213"/>
        <w:jc w:val="both"/>
        <w:rPr>
          <w:rFonts w:hint="eastAsia" w:ascii="仿宋" w:hAnsi="仿宋" w:eastAsia="仿宋" w:cs="仿宋"/>
          <w:color w:val="auto"/>
          <w:sz w:val="30"/>
          <w:szCs w:val="30"/>
          <w:lang w:eastAsia="zh-CN"/>
        </w:rPr>
      </w:pPr>
    </w:p>
    <w:p w14:paraId="2A5B4D3E">
      <w:pPr>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附件：《保密协议》</w:t>
      </w:r>
    </w:p>
    <w:p w14:paraId="0BAF1C3E">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57DB2C65">
      <w:pPr>
        <w:spacing w:before="185" w:line="221" w:lineRule="auto"/>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附件</w:t>
      </w:r>
    </w:p>
    <w:p w14:paraId="0E430F89">
      <w:pPr>
        <w:spacing w:before="185" w:line="221" w:lineRule="auto"/>
        <w:jc w:val="center"/>
        <w:rPr>
          <w:rFonts w:hint="eastAsia" w:ascii="仿宋" w:hAnsi="仿宋" w:eastAsia="仿宋" w:cs="仿宋"/>
          <w:color w:val="auto"/>
          <w:sz w:val="44"/>
          <w:szCs w:val="44"/>
          <w:lang w:eastAsia="zh-CN"/>
        </w:rPr>
      </w:pPr>
      <w:r>
        <w:rPr>
          <w:rFonts w:hint="eastAsia" w:ascii="仿宋" w:hAnsi="仿宋" w:eastAsia="仿宋" w:cs="仿宋"/>
          <w:color w:val="auto"/>
          <w:spacing w:val="-30"/>
          <w:sz w:val="44"/>
          <w:szCs w:val="44"/>
          <w:lang w:eastAsia="zh-CN"/>
        </w:rPr>
        <w:t xml:space="preserve">保 </w:t>
      </w:r>
      <w:r>
        <w:rPr>
          <w:rFonts w:hint="eastAsia" w:ascii="仿宋" w:hAnsi="仿宋" w:eastAsia="仿宋" w:cs="仿宋"/>
          <w:color w:val="auto"/>
          <w:spacing w:val="-54"/>
          <w:sz w:val="44"/>
          <w:szCs w:val="44"/>
          <w:lang w:eastAsia="zh-CN"/>
        </w:rPr>
        <w:t xml:space="preserve"> </w:t>
      </w:r>
      <w:r>
        <w:rPr>
          <w:rFonts w:hint="eastAsia" w:ascii="仿宋" w:hAnsi="仿宋" w:eastAsia="仿宋" w:cs="仿宋"/>
          <w:color w:val="auto"/>
          <w:spacing w:val="-30"/>
          <w:sz w:val="44"/>
          <w:szCs w:val="44"/>
          <w:lang w:eastAsia="zh-CN"/>
        </w:rPr>
        <w:t>密</w:t>
      </w:r>
      <w:r>
        <w:rPr>
          <w:rFonts w:hint="eastAsia" w:ascii="仿宋" w:hAnsi="仿宋" w:eastAsia="仿宋" w:cs="仿宋"/>
          <w:color w:val="auto"/>
          <w:spacing w:val="-77"/>
          <w:sz w:val="44"/>
          <w:szCs w:val="44"/>
          <w:lang w:eastAsia="zh-CN"/>
        </w:rPr>
        <w:t xml:space="preserve">   </w:t>
      </w:r>
      <w:r>
        <w:rPr>
          <w:rFonts w:hint="eastAsia" w:ascii="仿宋" w:hAnsi="仿宋" w:eastAsia="仿宋" w:cs="仿宋"/>
          <w:color w:val="auto"/>
          <w:spacing w:val="-30"/>
          <w:sz w:val="44"/>
          <w:szCs w:val="44"/>
          <w:lang w:eastAsia="zh-CN"/>
        </w:rPr>
        <w:t>协</w:t>
      </w:r>
      <w:r>
        <w:rPr>
          <w:rFonts w:hint="eastAsia" w:ascii="仿宋" w:hAnsi="仿宋" w:eastAsia="仿宋" w:cs="仿宋"/>
          <w:color w:val="auto"/>
          <w:spacing w:val="-80"/>
          <w:sz w:val="44"/>
          <w:szCs w:val="44"/>
          <w:lang w:eastAsia="zh-CN"/>
        </w:rPr>
        <w:t xml:space="preserve">   </w:t>
      </w:r>
      <w:r>
        <w:rPr>
          <w:rFonts w:hint="eastAsia" w:ascii="仿宋" w:hAnsi="仿宋" w:eastAsia="仿宋" w:cs="仿宋"/>
          <w:color w:val="auto"/>
          <w:spacing w:val="-30"/>
          <w:sz w:val="44"/>
          <w:szCs w:val="44"/>
          <w:lang w:eastAsia="zh-CN"/>
        </w:rPr>
        <w:t>议</w:t>
      </w:r>
    </w:p>
    <w:p w14:paraId="3DB7C360">
      <w:pPr>
        <w:spacing w:line="319" w:lineRule="auto"/>
        <w:ind w:firstLine="639" w:firstLineChars="213"/>
        <w:jc w:val="both"/>
        <w:rPr>
          <w:rFonts w:hint="eastAsia" w:ascii="仿宋" w:hAnsi="仿宋" w:eastAsia="仿宋" w:cs="仿宋"/>
          <w:color w:val="auto"/>
          <w:sz w:val="30"/>
          <w:szCs w:val="30"/>
          <w:lang w:eastAsia="zh-CN"/>
        </w:rPr>
      </w:pPr>
    </w:p>
    <w:p w14:paraId="2BBF0515">
      <w:pPr>
        <w:adjustRightInd/>
        <w:snapToGrid/>
        <w:spacing w:line="360" w:lineRule="auto"/>
        <w:ind w:firstLine="639" w:firstLineChars="213"/>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甲方：</w:t>
      </w:r>
      <w:r>
        <w:rPr>
          <w:rFonts w:hint="eastAsia" w:ascii="仿宋" w:hAnsi="仿宋" w:eastAsia="仿宋" w:cs="仿宋"/>
          <w:color w:val="auto"/>
          <w:sz w:val="30"/>
          <w:szCs w:val="30"/>
          <w:lang w:val="en-US" w:eastAsia="zh-CN"/>
        </w:rPr>
        <w:t xml:space="preserve"> </w:t>
      </w:r>
    </w:p>
    <w:p w14:paraId="48E1487C">
      <w:pPr>
        <w:adjustRightInd/>
        <w:snapToGrid/>
        <w:spacing w:line="360" w:lineRule="auto"/>
        <w:ind w:firstLine="639" w:firstLineChars="213"/>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乙方：</w:t>
      </w:r>
    </w:p>
    <w:p w14:paraId="3EE23403">
      <w:pPr>
        <w:ind w:firstLine="639" w:firstLineChars="213"/>
        <w:jc w:val="both"/>
        <w:rPr>
          <w:rFonts w:hint="eastAsia" w:ascii="仿宋" w:hAnsi="仿宋" w:eastAsia="仿宋" w:cs="仿宋"/>
          <w:color w:val="auto"/>
          <w:sz w:val="30"/>
          <w:szCs w:val="30"/>
          <w:u w:val="single"/>
          <w:lang w:eastAsia="zh-CN"/>
        </w:rPr>
      </w:pPr>
    </w:p>
    <w:p w14:paraId="06F22731">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根据国家有关法律法规规定，甲、乙双方本着平等、自愿、公平和诚实守信的原则签订本保密协议。</w:t>
      </w:r>
    </w:p>
    <w:p w14:paraId="12D63CF3">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第一条</w:t>
      </w:r>
      <w:r>
        <w:rPr>
          <w:rFonts w:hint="eastAsia" w:ascii="仿宋" w:hAnsi="仿宋" w:eastAsia="仿宋" w:cs="仿宋"/>
          <w:color w:val="auto"/>
          <w:sz w:val="30"/>
          <w:szCs w:val="30"/>
          <w:lang w:eastAsia="zh-CN"/>
        </w:rPr>
        <w:t xml:space="preserve">  秘密信息的范围及界定</w:t>
      </w:r>
    </w:p>
    <w:p w14:paraId="3FECE7F5">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本协议所称秘密信息是指工作中涉及的各类数据资料等信息。保密级别和范围按国家有关法律法规执行。</w:t>
      </w:r>
    </w:p>
    <w:p w14:paraId="7E8B65E3">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第二条</w:t>
      </w:r>
      <w:r>
        <w:rPr>
          <w:rFonts w:hint="eastAsia" w:ascii="仿宋" w:hAnsi="仿宋" w:eastAsia="仿宋" w:cs="仿宋"/>
          <w:color w:val="auto"/>
          <w:sz w:val="30"/>
          <w:szCs w:val="30"/>
          <w:lang w:eastAsia="zh-CN"/>
        </w:rPr>
        <w:t xml:space="preserve">  双方责任</w:t>
      </w:r>
    </w:p>
    <w:p w14:paraId="44D0A508">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1.甲方有告知乙方项目合作所需数据保密情况的义务。</w:t>
      </w:r>
    </w:p>
    <w:p w14:paraId="13580F95">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2.乙方不得利用甲方的月报、季报、年报数据等保密信息为第三方进行项目演示和说明。</w:t>
      </w:r>
    </w:p>
    <w:p w14:paraId="345A7B48">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3.乙方不得泄露单个企业和单位的数据信息。</w:t>
      </w:r>
    </w:p>
    <w:p w14:paraId="0E383CD2">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4.乙方将保密信息对外泄露发布，或者由于其他原因导致乙方泄露数据等保密信息给甲方造成严重后果的，甲方将通过刑事手段追究其侵权责任，直至依法追究其法律责任。</w:t>
      </w:r>
    </w:p>
    <w:p w14:paraId="1E81F897">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第三条</w:t>
      </w:r>
      <w:r>
        <w:rPr>
          <w:rFonts w:hint="eastAsia" w:ascii="仿宋" w:hAnsi="仿宋" w:eastAsia="仿宋" w:cs="仿宋"/>
          <w:color w:val="auto"/>
          <w:sz w:val="30"/>
          <w:szCs w:val="30"/>
          <w:lang w:eastAsia="zh-CN"/>
        </w:rPr>
        <w:t xml:space="preserve">  涉密人员范围及保密期限</w:t>
      </w:r>
    </w:p>
    <w:p w14:paraId="7B2A8A73">
      <w:pPr>
        <w:adjustRightInd/>
        <w:snapToGrid/>
        <w:spacing w:line="600" w:lineRule="exact"/>
        <w:ind w:firstLine="639" w:firstLineChars="213"/>
        <w:jc w:val="both"/>
        <w:rPr>
          <w:rFonts w:hint="eastAsia" w:ascii="仿宋" w:hAnsi="仿宋" w:eastAsia="仿宋" w:cs="仿宋"/>
          <w:color w:val="auto"/>
          <w:sz w:val="30"/>
          <w:szCs w:val="30"/>
          <w:lang w:eastAsia="zh-CN"/>
        </w:rPr>
        <w:sectPr>
          <w:footerReference r:id="rId6" w:type="default"/>
          <w:pgSz w:w="11900" w:h="16830"/>
          <w:pgMar w:top="1440" w:right="1080" w:bottom="1440" w:left="1080" w:header="850" w:footer="850" w:gutter="0"/>
          <w:pgNumType w:fmt="decimal"/>
          <w:cols w:space="720" w:num="1"/>
          <w:docGrid w:linePitch="1" w:charSpace="0"/>
        </w:sectPr>
      </w:pPr>
    </w:p>
    <w:p w14:paraId="2A0E5690">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1.涉密人员：乙方负责人、项目组人员及能接触到该协议所规定保密信息的一切相关人员。</w:t>
      </w:r>
    </w:p>
    <w:p w14:paraId="031BA4AA">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2.保密期限：永久。</w:t>
      </w:r>
    </w:p>
    <w:p w14:paraId="5688B2C5">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第四条</w:t>
      </w:r>
      <w:r>
        <w:rPr>
          <w:rFonts w:hint="eastAsia" w:ascii="仿宋" w:hAnsi="仿宋" w:eastAsia="仿宋" w:cs="仿宋"/>
          <w:color w:val="auto"/>
          <w:sz w:val="30"/>
          <w:szCs w:val="30"/>
          <w:lang w:eastAsia="zh-CN"/>
        </w:rPr>
        <w:t xml:space="preserve">  非保密义务信息</w:t>
      </w:r>
    </w:p>
    <w:p w14:paraId="553F256E">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1.已经为公众所知的信息。</w:t>
      </w:r>
    </w:p>
    <w:p w14:paraId="728BD316">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2.由于乙方以外其他渠道被他人获知的信息。</w:t>
      </w:r>
    </w:p>
    <w:p w14:paraId="792DE2EF">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3.应法院或其他国家权力机关的要求而披露的信息。</w:t>
      </w:r>
    </w:p>
    <w:p w14:paraId="7067D30C">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第五条</w:t>
      </w:r>
      <w:r>
        <w:rPr>
          <w:rFonts w:hint="eastAsia" w:ascii="仿宋" w:hAnsi="仿宋" w:eastAsia="仿宋" w:cs="仿宋"/>
          <w:color w:val="auto"/>
          <w:sz w:val="30"/>
          <w:szCs w:val="30"/>
          <w:lang w:eastAsia="zh-CN"/>
        </w:rPr>
        <w:t xml:space="preserve">  争议解决方法</w:t>
      </w:r>
    </w:p>
    <w:p w14:paraId="5A1866AC">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因执行本协议而发生纠纷的，可以由双方协商解决，协商不成的双方均可提交</w:t>
      </w:r>
      <w:r>
        <w:rPr>
          <w:rFonts w:hint="eastAsia" w:ascii="仿宋" w:hAnsi="仿宋" w:eastAsia="仿宋" w:cs="仿宋"/>
          <w:color w:val="auto"/>
          <w:spacing w:val="-2"/>
          <w:sz w:val="32"/>
          <w:szCs w:val="32"/>
          <w:lang w:eastAsia="zh-CN"/>
        </w:rPr>
        <w:t>甲方所在地有管</w:t>
      </w:r>
      <w:r>
        <w:rPr>
          <w:rFonts w:hint="eastAsia" w:ascii="仿宋" w:hAnsi="仿宋" w:eastAsia="仿宋" w:cs="仿宋"/>
          <w:color w:val="auto"/>
          <w:sz w:val="30"/>
          <w:szCs w:val="30"/>
          <w:lang w:eastAsia="zh-CN"/>
        </w:rPr>
        <w:t>辖权的人民法院裁决。</w:t>
      </w:r>
    </w:p>
    <w:p w14:paraId="7527C34D">
      <w:pPr>
        <w:adjustRightInd/>
        <w:snapToGrid/>
        <w:spacing w:line="600" w:lineRule="exact"/>
        <w:ind w:firstLine="641" w:firstLineChars="213"/>
        <w:jc w:val="both"/>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第六条</w:t>
      </w:r>
      <w:r>
        <w:rPr>
          <w:rFonts w:hint="eastAsia" w:ascii="仿宋" w:hAnsi="仿宋" w:eastAsia="仿宋" w:cs="仿宋"/>
          <w:color w:val="auto"/>
          <w:sz w:val="30"/>
          <w:szCs w:val="30"/>
          <w:lang w:eastAsia="zh-CN"/>
        </w:rPr>
        <w:t xml:space="preserve">  协议效力和变更</w:t>
      </w:r>
    </w:p>
    <w:p w14:paraId="117C539E">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1.本协议自双方签字或盖章后生效。</w:t>
      </w:r>
    </w:p>
    <w:p w14:paraId="69A08493">
      <w:pPr>
        <w:adjustRightInd/>
        <w:snapToGrid/>
        <w:spacing w:line="600" w:lineRule="exact"/>
        <w:ind w:firstLine="639" w:firstLineChars="213"/>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2.本协议的任何修改必须经过双方书面同意。</w:t>
      </w:r>
    </w:p>
    <w:p w14:paraId="4E0AF3BD">
      <w:pPr>
        <w:jc w:val="both"/>
        <w:rPr>
          <w:rFonts w:hint="eastAsia" w:ascii="仿宋" w:hAnsi="仿宋" w:eastAsia="仿宋" w:cs="仿宋"/>
          <w:color w:val="auto"/>
          <w:sz w:val="30"/>
          <w:szCs w:val="30"/>
          <w:lang w:eastAsia="zh-CN"/>
        </w:rPr>
      </w:pPr>
    </w:p>
    <w:p w14:paraId="15356890">
      <w:pPr>
        <w:jc w:val="both"/>
        <w:rPr>
          <w:rFonts w:hint="eastAsia" w:ascii="仿宋" w:hAnsi="仿宋" w:eastAsia="仿宋" w:cs="仿宋"/>
          <w:color w:val="auto"/>
          <w:sz w:val="30"/>
          <w:szCs w:val="30"/>
          <w:lang w:eastAsia="zh-CN"/>
        </w:rPr>
      </w:pPr>
    </w:p>
    <w:p w14:paraId="3CF91A0E">
      <w:pPr>
        <w:adjustRightInd/>
        <w:snapToGrid/>
        <w:spacing w:line="600" w:lineRule="exact"/>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甲方：（盖章）                             </w:t>
      </w:r>
    </w:p>
    <w:p w14:paraId="3B695856">
      <w:pPr>
        <w:adjustRightInd/>
        <w:snapToGrid/>
        <w:spacing w:line="600" w:lineRule="exact"/>
        <w:ind w:firstLine="2700" w:firstLineChars="9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       年      月     日          </w:t>
      </w:r>
    </w:p>
    <w:p w14:paraId="536EBF7F">
      <w:pPr>
        <w:adjustRightInd/>
        <w:snapToGrid/>
        <w:spacing w:line="600" w:lineRule="exact"/>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     </w:t>
      </w:r>
    </w:p>
    <w:p w14:paraId="5AB54653">
      <w:pPr>
        <w:adjustRightInd/>
        <w:snapToGrid/>
        <w:spacing w:line="360" w:lineRule="auto"/>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乙方：（盖章） </w:t>
      </w:r>
    </w:p>
    <w:p w14:paraId="7757BA29">
      <w:pPr>
        <w:rPr>
          <w:rFonts w:hint="eastAsia" w:ascii="仿宋" w:hAnsi="仿宋" w:eastAsia="仿宋" w:cs="仿宋"/>
          <w:color w:val="auto"/>
          <w:lang w:eastAsia="zh-CN"/>
        </w:rPr>
      </w:pPr>
      <w:r>
        <w:rPr>
          <w:rFonts w:hint="eastAsia" w:ascii="仿宋" w:hAnsi="仿宋" w:eastAsia="仿宋" w:cs="仿宋"/>
          <w:color w:val="auto"/>
          <w:sz w:val="30"/>
          <w:szCs w:val="30"/>
          <w:lang w:eastAsia="zh-CN"/>
        </w:rPr>
        <w:t xml:space="preserve">                         年      月     日 </w:t>
      </w:r>
    </w:p>
    <w:p w14:paraId="21824569">
      <w:pPr>
        <w:pStyle w:val="7"/>
        <w:pageBreakBefore w:val="0"/>
        <w:numPr>
          <w:ilvl w:val="0"/>
          <w:numId w:val="0"/>
        </w:numPr>
        <w:kinsoku/>
        <w:bidi w:val="0"/>
        <w:spacing w:line="360" w:lineRule="auto"/>
        <w:ind w:leftChars="0"/>
        <w:jc w:val="center"/>
        <w:rPr>
          <w:rFonts w:hint="eastAsia" w:ascii="宋体" w:hAnsi="宋体" w:eastAsia="宋体" w:cs="宋体"/>
          <w:b/>
          <w:bCs/>
          <w:color w:val="auto"/>
          <w:sz w:val="28"/>
          <w:szCs w:val="28"/>
          <w:highlight w:val="none"/>
          <w:lang w:val="en-US" w:eastAsia="zh-CN"/>
        </w:rPr>
      </w:pPr>
    </w:p>
    <w:p w14:paraId="073F7C92">
      <w:pPr>
        <w:pStyle w:val="7"/>
        <w:pageBreakBefore w:val="0"/>
        <w:numPr>
          <w:ilvl w:val="0"/>
          <w:numId w:val="0"/>
        </w:numPr>
        <w:kinsoku/>
        <w:bidi w:val="0"/>
        <w:spacing w:line="360" w:lineRule="auto"/>
        <w:ind w:left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（本合同仅供参考，具体合同条</w:t>
      </w:r>
      <w:r>
        <w:rPr>
          <w:rFonts w:hint="eastAsia" w:ascii="宋体" w:hAnsi="宋体" w:cs="宋体"/>
          <w:b/>
          <w:bCs/>
          <w:color w:val="auto"/>
          <w:sz w:val="28"/>
          <w:szCs w:val="28"/>
          <w:highlight w:val="none"/>
          <w:lang w:val="en-US" w:eastAsia="zh-CN"/>
        </w:rPr>
        <w:t>款以</w:t>
      </w:r>
      <w:r>
        <w:rPr>
          <w:rFonts w:hint="eastAsia" w:ascii="宋体" w:hAnsi="宋体" w:eastAsia="宋体" w:cs="宋体"/>
          <w:b/>
          <w:bCs/>
          <w:color w:val="auto"/>
          <w:sz w:val="28"/>
          <w:szCs w:val="28"/>
          <w:highlight w:val="none"/>
          <w:lang w:val="en-US" w:eastAsia="zh-CN"/>
        </w:rPr>
        <w:t>甲乙双方签订为准）</w:t>
      </w:r>
    </w:p>
    <w:p w14:paraId="7D2064B9">
      <w:pPr>
        <w:pStyle w:val="2"/>
        <w:numPr>
          <w:ilvl w:val="0"/>
          <w:numId w:val="9"/>
        </w:numPr>
        <w:tabs>
          <w:tab w:val="left" w:pos="720"/>
        </w:tabs>
        <w:spacing w:line="600" w:lineRule="auto"/>
        <w:jc w:val="left"/>
        <w:rPr>
          <w:rFonts w:hint="eastAsia" w:ascii="宋体" w:hAnsi="宋体" w:eastAsia="宋体" w:cs="宋体"/>
          <w:b/>
          <w:bCs w:val="0"/>
          <w:color w:val="auto"/>
          <w:sz w:val="24"/>
          <w:szCs w:val="24"/>
          <w:highlight w:val="none"/>
        </w:rPr>
      </w:pPr>
      <w:bookmarkStart w:id="95" w:name="_Toc6739"/>
      <w:bookmarkStart w:id="96" w:name="_Toc6476"/>
      <w:bookmarkStart w:id="97" w:name="_Toc9600"/>
      <w:bookmarkStart w:id="98" w:name="_Toc12050"/>
      <w:bookmarkStart w:id="99" w:name="_Toc19784"/>
      <w:r>
        <w:rPr>
          <w:rFonts w:hint="eastAsia" w:ascii="宋体" w:hAnsi="宋体" w:eastAsia="宋体" w:cs="宋体"/>
          <w:b/>
          <w:bCs w:val="0"/>
          <w:color w:val="auto"/>
          <w:sz w:val="24"/>
          <w:szCs w:val="24"/>
          <w:highlight w:val="none"/>
        </w:rPr>
        <w:t>竞争性磋商响应文件格式</w:t>
      </w:r>
      <w:bookmarkEnd w:id="95"/>
      <w:bookmarkEnd w:id="96"/>
      <w:bookmarkEnd w:id="97"/>
      <w:bookmarkEnd w:id="98"/>
      <w:bookmarkEnd w:id="99"/>
    </w:p>
    <w:p w14:paraId="4255874A">
      <w:pPr>
        <w:pStyle w:val="172"/>
        <w:spacing w:line="480" w:lineRule="exact"/>
        <w:jc w:val="right"/>
        <w:rPr>
          <w:rFonts w:hint="eastAsia" w:ascii="宋体" w:hAnsi="宋体" w:eastAsia="宋体" w:cs="宋体"/>
          <w:b/>
          <w:color w:val="auto"/>
          <w:highlight w:val="none"/>
        </w:rPr>
      </w:pPr>
      <w:bookmarkStart w:id="100" w:name="_Toc7805"/>
    </w:p>
    <w:p w14:paraId="63086E39">
      <w:pPr>
        <w:pStyle w:val="172"/>
        <w:spacing w:line="480" w:lineRule="exact"/>
        <w:jc w:val="right"/>
        <w:outlineLvl w:val="0"/>
        <w:rPr>
          <w:rFonts w:hint="eastAsia" w:ascii="宋体" w:hAnsi="宋体" w:eastAsia="宋体" w:cs="宋体"/>
          <w:b/>
          <w:color w:val="auto"/>
          <w:highlight w:val="none"/>
        </w:rPr>
      </w:pPr>
      <w:bookmarkStart w:id="101" w:name="_Toc17706"/>
      <w:bookmarkStart w:id="102" w:name="_Toc19816"/>
      <w:bookmarkStart w:id="103" w:name="_Toc31080"/>
      <w:r>
        <w:rPr>
          <w:rFonts w:hint="eastAsia" w:ascii="宋体" w:hAnsi="宋体" w:eastAsia="宋体" w:cs="宋体"/>
          <w:b/>
          <w:color w:val="auto"/>
          <w:highlight w:val="none"/>
        </w:rPr>
        <w:t>正本/副本</w:t>
      </w:r>
      <w:bookmarkEnd w:id="100"/>
      <w:bookmarkEnd w:id="101"/>
      <w:bookmarkEnd w:id="102"/>
      <w:bookmarkEnd w:id="103"/>
    </w:p>
    <w:p w14:paraId="48DE4487">
      <w:pPr>
        <w:pStyle w:val="172"/>
        <w:spacing w:line="480" w:lineRule="exact"/>
        <w:rPr>
          <w:rFonts w:hint="eastAsia" w:ascii="宋体" w:hAnsi="宋体" w:eastAsia="宋体" w:cs="宋体"/>
          <w:b/>
          <w:color w:val="auto"/>
          <w:highlight w:val="none"/>
        </w:rPr>
      </w:pPr>
    </w:p>
    <w:p w14:paraId="7B14E6C1">
      <w:pPr>
        <w:pStyle w:val="172"/>
        <w:spacing w:line="480" w:lineRule="exact"/>
        <w:jc w:val="center"/>
        <w:rPr>
          <w:rFonts w:hint="eastAsia" w:ascii="宋体" w:hAnsi="宋体" w:eastAsia="宋体" w:cs="宋体"/>
          <w:b/>
          <w:color w:val="auto"/>
          <w:highlight w:val="none"/>
        </w:rPr>
      </w:pPr>
    </w:p>
    <w:p w14:paraId="27CDFF88">
      <w:pPr>
        <w:pStyle w:val="172"/>
        <w:spacing w:line="480" w:lineRule="exact"/>
        <w:jc w:val="center"/>
        <w:rPr>
          <w:rFonts w:hint="eastAsia" w:ascii="宋体" w:hAnsi="宋体" w:eastAsia="宋体" w:cs="宋体"/>
          <w:b/>
          <w:color w:val="auto"/>
          <w:highlight w:val="none"/>
        </w:rPr>
      </w:pPr>
    </w:p>
    <w:p w14:paraId="1FC2CD99">
      <w:pPr>
        <w:pStyle w:val="172"/>
        <w:spacing w:line="480" w:lineRule="exact"/>
        <w:jc w:val="center"/>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项目名称</w:t>
      </w:r>
      <w:r>
        <w:rPr>
          <w:rFonts w:hint="eastAsia" w:ascii="宋体" w:hAnsi="宋体" w:cs="宋体"/>
          <w:b/>
          <w:color w:val="auto"/>
          <w:highlight w:val="none"/>
          <w:lang w:eastAsia="zh-CN"/>
        </w:rPr>
        <w:t>）</w:t>
      </w:r>
    </w:p>
    <w:p w14:paraId="2B4EA7DA">
      <w:pPr>
        <w:pStyle w:val="172"/>
        <w:spacing w:line="600" w:lineRule="auto"/>
        <w:jc w:val="center"/>
        <w:rPr>
          <w:rFonts w:hint="eastAsia" w:ascii="宋体" w:hAnsi="宋体" w:eastAsia="宋体" w:cs="宋体"/>
          <w:color w:val="auto"/>
          <w:highlight w:val="none"/>
        </w:rPr>
      </w:pPr>
      <w:r>
        <w:rPr>
          <w:rFonts w:hint="eastAsia" w:ascii="宋体" w:hAnsi="宋体" w:cs="宋体"/>
          <w:b/>
          <w:color w:val="auto"/>
          <w:highlight w:val="none"/>
          <w:lang w:val="en-US" w:eastAsia="zh-CN"/>
        </w:rPr>
        <w:t>响应</w:t>
      </w:r>
      <w:r>
        <w:rPr>
          <w:rFonts w:hint="eastAsia" w:ascii="宋体" w:hAnsi="宋体" w:eastAsia="宋体" w:cs="宋体"/>
          <w:b/>
          <w:color w:val="auto"/>
          <w:highlight w:val="none"/>
        </w:rPr>
        <w:t>文件</w:t>
      </w:r>
    </w:p>
    <w:p w14:paraId="7DF95341">
      <w:pPr>
        <w:pStyle w:val="172"/>
        <w:spacing w:line="480" w:lineRule="exact"/>
        <w:jc w:val="both"/>
        <w:rPr>
          <w:rFonts w:hint="eastAsia" w:ascii="宋体" w:hAnsi="宋体" w:eastAsia="宋体" w:cs="宋体"/>
          <w:color w:val="auto"/>
          <w:highlight w:val="none"/>
        </w:rPr>
      </w:pPr>
    </w:p>
    <w:p w14:paraId="5C2D561A">
      <w:pPr>
        <w:pStyle w:val="172"/>
        <w:spacing w:line="480" w:lineRule="exact"/>
        <w:jc w:val="both"/>
        <w:rPr>
          <w:rFonts w:hint="eastAsia" w:ascii="宋体" w:hAnsi="宋体" w:eastAsia="宋体" w:cs="宋体"/>
          <w:color w:val="auto"/>
          <w:highlight w:val="none"/>
        </w:rPr>
      </w:pPr>
    </w:p>
    <w:p w14:paraId="612DAB46">
      <w:pPr>
        <w:pStyle w:val="172"/>
        <w:spacing w:line="480" w:lineRule="exact"/>
        <w:jc w:val="both"/>
        <w:rPr>
          <w:rFonts w:hint="eastAsia" w:ascii="宋体" w:hAnsi="宋体" w:eastAsia="宋体" w:cs="宋体"/>
          <w:color w:val="auto"/>
          <w:highlight w:val="none"/>
        </w:rPr>
      </w:pPr>
    </w:p>
    <w:p w14:paraId="52F615E9">
      <w:pPr>
        <w:pStyle w:val="172"/>
        <w:spacing w:line="480" w:lineRule="exact"/>
        <w:jc w:val="both"/>
        <w:rPr>
          <w:rFonts w:hint="eastAsia" w:ascii="宋体" w:hAnsi="宋体" w:eastAsia="宋体" w:cs="宋体"/>
          <w:color w:val="auto"/>
          <w:highlight w:val="none"/>
        </w:rPr>
      </w:pPr>
    </w:p>
    <w:p w14:paraId="213800CC">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供应商（盖章）：</w:t>
      </w:r>
    </w:p>
    <w:p w14:paraId="727C310D">
      <w:pPr>
        <w:pStyle w:val="172"/>
        <w:spacing w:line="48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法定代表人（签字或盖章）</w:t>
      </w:r>
      <w:r>
        <w:rPr>
          <w:rFonts w:hint="eastAsia" w:ascii="宋体" w:hAnsi="宋体" w:cs="宋体"/>
          <w:color w:val="auto"/>
          <w:highlight w:val="none"/>
          <w:lang w:eastAsia="zh-CN"/>
        </w:rPr>
        <w:t>：</w:t>
      </w:r>
    </w:p>
    <w:p w14:paraId="26EDD0BF">
      <w:pPr>
        <w:pStyle w:val="172"/>
        <w:spacing w:line="480" w:lineRule="auto"/>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供应商地址</w:t>
      </w:r>
      <w:r>
        <w:rPr>
          <w:rFonts w:hint="eastAsia" w:ascii="宋体" w:hAnsi="宋体" w:cs="宋体"/>
          <w:color w:val="auto"/>
          <w:highlight w:val="none"/>
          <w:lang w:eastAsia="zh-CN"/>
        </w:rPr>
        <w:t>：</w:t>
      </w:r>
    </w:p>
    <w:p w14:paraId="0C47A5EC">
      <w:pPr>
        <w:spacing w:line="48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w:t>
      </w:r>
    </w:p>
    <w:p w14:paraId="6D8CD608">
      <w:pPr>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联系电话：</w:t>
      </w:r>
      <w:r>
        <w:rPr>
          <w:rFonts w:hint="eastAsia" w:ascii="宋体" w:hAnsi="宋体" w:eastAsia="宋体" w:cs="宋体"/>
          <w:color w:val="auto"/>
          <w:kern w:val="0"/>
          <w:sz w:val="24"/>
          <w:szCs w:val="24"/>
          <w:highlight w:val="none"/>
        </w:rPr>
        <w:t xml:space="preserve">      </w:t>
      </w:r>
    </w:p>
    <w:p w14:paraId="4EEF91A3">
      <w:pPr>
        <w:pStyle w:val="172"/>
        <w:spacing w:line="480" w:lineRule="exact"/>
        <w:ind w:firstLine="567"/>
        <w:jc w:val="both"/>
        <w:rPr>
          <w:rFonts w:hint="eastAsia" w:ascii="宋体" w:hAnsi="宋体" w:eastAsia="宋体" w:cs="宋体"/>
          <w:color w:val="auto"/>
          <w:highlight w:val="none"/>
        </w:rPr>
      </w:pPr>
    </w:p>
    <w:p w14:paraId="4D455151">
      <w:pPr>
        <w:pStyle w:val="172"/>
        <w:spacing w:line="480" w:lineRule="exact"/>
        <w:jc w:val="both"/>
        <w:rPr>
          <w:rFonts w:hint="eastAsia" w:ascii="宋体" w:hAnsi="宋体" w:eastAsia="宋体" w:cs="宋体"/>
          <w:color w:val="auto"/>
          <w:highlight w:val="none"/>
        </w:rPr>
      </w:pPr>
    </w:p>
    <w:p w14:paraId="7AC39ECC">
      <w:pPr>
        <w:pStyle w:val="172"/>
        <w:spacing w:line="480" w:lineRule="exact"/>
        <w:ind w:firstLine="4080" w:firstLineChars="17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年  月  日</w:t>
      </w:r>
    </w:p>
    <w:p w14:paraId="60E85FB4">
      <w:pPr>
        <w:pStyle w:val="172"/>
        <w:spacing w:line="480" w:lineRule="auto"/>
        <w:ind w:firstLine="482" w:firstLineChars="200"/>
        <w:jc w:val="both"/>
        <w:rPr>
          <w:rFonts w:hint="eastAsia" w:ascii="宋体" w:hAnsi="宋体" w:eastAsia="宋体" w:cs="宋体"/>
          <w:b/>
          <w:color w:val="auto"/>
          <w:highlight w:val="none"/>
        </w:rPr>
      </w:pPr>
    </w:p>
    <w:p w14:paraId="2115CE1B">
      <w:pPr>
        <w:pStyle w:val="172"/>
        <w:spacing w:line="480" w:lineRule="auto"/>
        <w:ind w:firstLine="482" w:firstLineChars="200"/>
        <w:jc w:val="both"/>
        <w:rPr>
          <w:rFonts w:hint="eastAsia" w:ascii="宋体" w:hAnsi="宋体" w:eastAsia="宋体" w:cs="宋体"/>
          <w:b/>
          <w:color w:val="auto"/>
          <w:highlight w:val="none"/>
        </w:rPr>
      </w:pPr>
    </w:p>
    <w:p w14:paraId="197214BB">
      <w:pPr>
        <w:pStyle w:val="172"/>
        <w:spacing w:line="480" w:lineRule="auto"/>
        <w:ind w:firstLine="482" w:firstLineChars="200"/>
        <w:jc w:val="both"/>
        <w:rPr>
          <w:rFonts w:hint="eastAsia" w:ascii="宋体" w:hAnsi="宋体" w:eastAsia="宋体" w:cs="宋体"/>
          <w:b/>
          <w:color w:val="auto"/>
          <w:highlight w:val="none"/>
        </w:rPr>
      </w:pPr>
    </w:p>
    <w:p w14:paraId="29464AF8">
      <w:pPr>
        <w:pStyle w:val="172"/>
        <w:spacing w:line="480" w:lineRule="auto"/>
        <w:ind w:firstLine="482" w:firstLineChars="200"/>
        <w:jc w:val="both"/>
        <w:rPr>
          <w:rFonts w:hint="eastAsia" w:ascii="宋体" w:hAnsi="宋体" w:eastAsia="宋体" w:cs="宋体"/>
          <w:b/>
          <w:color w:val="auto"/>
          <w:highlight w:val="none"/>
        </w:rPr>
      </w:pPr>
    </w:p>
    <w:p w14:paraId="35A74B20">
      <w:pPr>
        <w:pStyle w:val="172"/>
        <w:spacing w:line="480" w:lineRule="auto"/>
        <w:ind w:firstLine="482" w:firstLineChars="200"/>
        <w:jc w:val="both"/>
        <w:rPr>
          <w:rFonts w:hint="eastAsia" w:ascii="宋体" w:hAnsi="宋体" w:eastAsia="宋体" w:cs="宋体"/>
          <w:b/>
          <w:color w:val="auto"/>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color w:val="auto"/>
          <w:highlight w:val="none"/>
        </w:rPr>
        <w:t>文件组成</w:t>
      </w:r>
    </w:p>
    <w:p w14:paraId="3DB76882">
      <w:pPr>
        <w:pStyle w:val="172"/>
        <w:spacing w:line="480" w:lineRule="auto"/>
        <w:ind w:firstLine="480" w:firstLineChars="200"/>
        <w:jc w:val="both"/>
        <w:rPr>
          <w:rFonts w:hint="eastAsia" w:ascii="宋体" w:hAnsi="宋体" w:eastAsia="宋体" w:cs="宋体"/>
          <w:bCs/>
          <w:color w:val="auto"/>
          <w:highlight w:val="none"/>
        </w:rPr>
      </w:pPr>
      <w:r>
        <w:rPr>
          <w:rFonts w:hint="eastAsia" w:ascii="宋体" w:hAnsi="宋体" w:eastAsia="宋体" w:cs="宋体"/>
          <w:bCs/>
          <w:color w:val="auto"/>
          <w:highlight w:val="none"/>
        </w:rPr>
        <w:t>商务部分：</w:t>
      </w:r>
    </w:p>
    <w:p w14:paraId="6FA81B04">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（1）</w:t>
      </w:r>
      <w:r>
        <w:rPr>
          <w:rFonts w:hint="eastAsia" w:ascii="宋体" w:hAnsi="宋体" w:eastAsia="宋体" w:cs="宋体"/>
          <w:color w:val="auto"/>
          <w:highlight w:val="none"/>
        </w:rPr>
        <w:t>磋商函</w:t>
      </w:r>
    </w:p>
    <w:p w14:paraId="003C7F38">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（2）</w:t>
      </w:r>
      <w:r>
        <w:rPr>
          <w:rFonts w:hint="eastAsia" w:ascii="宋体" w:hAnsi="宋体" w:eastAsia="宋体" w:cs="宋体"/>
          <w:color w:val="auto"/>
          <w:highlight w:val="none"/>
        </w:rPr>
        <w:t>法定代表人身份证明书</w:t>
      </w:r>
      <w:r>
        <w:rPr>
          <w:rFonts w:hint="eastAsia" w:ascii="宋体" w:hAnsi="宋体" w:cs="宋体"/>
          <w:color w:val="auto"/>
          <w:highlight w:val="none"/>
          <w:lang w:val="en-US" w:eastAsia="zh-CN"/>
        </w:rPr>
        <w:t>及</w:t>
      </w:r>
      <w:r>
        <w:rPr>
          <w:rFonts w:hint="eastAsia" w:ascii="宋体" w:hAnsi="宋体" w:eastAsia="宋体" w:cs="宋体"/>
          <w:color w:val="auto"/>
          <w:highlight w:val="none"/>
        </w:rPr>
        <w:t>法定代表人授权委托书</w:t>
      </w:r>
    </w:p>
    <w:p w14:paraId="2CC2166C">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（3）</w:t>
      </w:r>
      <w:r>
        <w:rPr>
          <w:rFonts w:hint="eastAsia" w:ascii="宋体" w:hAnsi="宋体" w:eastAsia="宋体" w:cs="宋体"/>
          <w:color w:val="auto"/>
          <w:highlight w:val="none"/>
        </w:rPr>
        <w:t>开标一览表</w:t>
      </w:r>
    </w:p>
    <w:p w14:paraId="2F783387">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（4）</w:t>
      </w:r>
      <w:r>
        <w:rPr>
          <w:rFonts w:hint="eastAsia" w:ascii="宋体" w:hAnsi="宋体" w:eastAsia="宋体" w:cs="宋体"/>
          <w:color w:val="auto"/>
          <w:highlight w:val="none"/>
        </w:rPr>
        <w:t>商务条款偏离表</w:t>
      </w:r>
    </w:p>
    <w:p w14:paraId="5D27F1B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p>
    <w:p w14:paraId="59D11BE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eastAsia="宋体" w:cs="宋体"/>
          <w:color w:val="auto"/>
          <w:sz w:val="24"/>
          <w:szCs w:val="24"/>
          <w:highlight w:val="none"/>
        </w:rPr>
        <w:t>供应商符合资格条件的证明文件</w:t>
      </w:r>
    </w:p>
    <w:p w14:paraId="1796A5C3">
      <w:pPr>
        <w:pStyle w:val="172"/>
        <w:spacing w:line="48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技术部分：</w:t>
      </w:r>
    </w:p>
    <w:p w14:paraId="01F7ABC7">
      <w:pPr>
        <w:pStyle w:val="172"/>
        <w:spacing w:line="480" w:lineRule="auto"/>
        <w:ind w:firstLine="480" w:firstLineChars="200"/>
        <w:jc w:val="both"/>
        <w:outlineLvl w:val="0"/>
        <w:rPr>
          <w:rFonts w:hint="eastAsia" w:ascii="宋体" w:hAnsi="宋体" w:eastAsia="宋体" w:cs="宋体"/>
          <w:color w:val="auto"/>
          <w:highlight w:val="none"/>
        </w:rPr>
      </w:pPr>
      <w:bookmarkStart w:id="104" w:name="_Toc3432"/>
      <w:bookmarkStart w:id="105" w:name="_Toc2681"/>
      <w:bookmarkStart w:id="106" w:name="_Toc22911"/>
      <w:bookmarkStart w:id="107" w:name="_Toc498343979"/>
      <w:r>
        <w:rPr>
          <w:rFonts w:hint="eastAsia" w:ascii="宋体" w:hAnsi="宋体" w:eastAsia="宋体" w:cs="宋体"/>
          <w:color w:val="auto"/>
          <w:highlight w:val="none"/>
        </w:rPr>
        <w:t>附件1：技术响应与偏离表</w:t>
      </w:r>
      <w:bookmarkEnd w:id="104"/>
      <w:bookmarkEnd w:id="105"/>
      <w:bookmarkEnd w:id="106"/>
    </w:p>
    <w:p w14:paraId="04FAC7B0">
      <w:pPr>
        <w:pStyle w:val="172"/>
        <w:spacing w:line="480" w:lineRule="auto"/>
        <w:ind w:firstLine="480" w:firstLineChars="200"/>
        <w:jc w:val="both"/>
        <w:outlineLvl w:val="0"/>
        <w:rPr>
          <w:rFonts w:hint="eastAsia" w:ascii="宋体" w:hAnsi="宋体" w:eastAsia="宋体" w:cs="宋体"/>
          <w:color w:val="auto"/>
          <w:highlight w:val="none"/>
        </w:rPr>
      </w:pPr>
      <w:bookmarkStart w:id="108" w:name="_Toc2072"/>
      <w:bookmarkStart w:id="109" w:name="_Toc29857"/>
      <w:bookmarkStart w:id="110" w:name="_Toc4136"/>
      <w:r>
        <w:rPr>
          <w:rFonts w:hint="eastAsia" w:ascii="宋体" w:hAnsi="宋体" w:eastAsia="宋体" w:cs="宋体"/>
          <w:color w:val="auto"/>
          <w:highlight w:val="none"/>
        </w:rPr>
        <w:t>附件2：</w:t>
      </w:r>
      <w:bookmarkEnd w:id="108"/>
      <w:bookmarkEnd w:id="109"/>
      <w:bookmarkEnd w:id="110"/>
      <w:r>
        <w:rPr>
          <w:rFonts w:hint="eastAsia" w:ascii="宋体" w:hAnsi="宋体" w:eastAsia="宋体" w:cs="宋体"/>
          <w:color w:val="auto"/>
          <w:highlight w:val="none"/>
        </w:rPr>
        <w:t>项目服务方案</w:t>
      </w:r>
    </w:p>
    <w:p w14:paraId="01DF89CD">
      <w:pPr>
        <w:pStyle w:val="172"/>
        <w:spacing w:line="480" w:lineRule="auto"/>
        <w:ind w:firstLine="480" w:firstLineChars="200"/>
        <w:jc w:val="both"/>
        <w:outlineLvl w:val="0"/>
        <w:rPr>
          <w:rFonts w:hint="eastAsia" w:ascii="宋体" w:hAnsi="宋体" w:eastAsia="宋体" w:cs="宋体"/>
          <w:color w:val="auto"/>
          <w:highlight w:val="none"/>
        </w:rPr>
      </w:pPr>
      <w:bookmarkStart w:id="111" w:name="_Toc21690"/>
      <w:bookmarkStart w:id="112" w:name="_Toc14151"/>
      <w:bookmarkStart w:id="113" w:name="_Toc14994"/>
      <w:r>
        <w:rPr>
          <w:rFonts w:hint="eastAsia" w:ascii="宋体" w:hAnsi="宋体" w:eastAsia="宋体" w:cs="宋体"/>
          <w:color w:val="auto"/>
          <w:highlight w:val="none"/>
        </w:rPr>
        <w:t>附件3：企业项目业绩表</w:t>
      </w:r>
      <w:bookmarkEnd w:id="111"/>
      <w:bookmarkEnd w:id="112"/>
      <w:bookmarkEnd w:id="113"/>
    </w:p>
    <w:p w14:paraId="77EB646A">
      <w:pPr>
        <w:pStyle w:val="172"/>
        <w:spacing w:line="480" w:lineRule="auto"/>
        <w:ind w:firstLine="480" w:firstLineChars="200"/>
        <w:jc w:val="both"/>
        <w:outlineLvl w:val="0"/>
        <w:rPr>
          <w:rFonts w:hint="eastAsia" w:ascii="宋体" w:hAnsi="宋体" w:eastAsia="宋体" w:cs="宋体"/>
          <w:color w:val="auto"/>
          <w:highlight w:val="none"/>
        </w:rPr>
      </w:pPr>
      <w:bookmarkStart w:id="114" w:name="_Toc29330"/>
      <w:bookmarkStart w:id="115" w:name="_Toc16266"/>
      <w:bookmarkStart w:id="116" w:name="_Toc13523"/>
      <w:r>
        <w:rPr>
          <w:rFonts w:hint="eastAsia" w:ascii="宋体" w:hAnsi="宋体" w:eastAsia="宋体" w:cs="宋体"/>
          <w:color w:val="auto"/>
          <w:highlight w:val="none"/>
        </w:rPr>
        <w:t>附件4、人员配置构成</w:t>
      </w:r>
      <w:bookmarkEnd w:id="114"/>
      <w:bookmarkEnd w:id="115"/>
      <w:bookmarkEnd w:id="116"/>
    </w:p>
    <w:p w14:paraId="3E12FDED">
      <w:pPr>
        <w:pStyle w:val="172"/>
        <w:spacing w:line="480" w:lineRule="auto"/>
        <w:ind w:firstLine="480" w:firstLineChars="200"/>
        <w:jc w:val="both"/>
        <w:outlineLvl w:val="0"/>
        <w:rPr>
          <w:rFonts w:hint="eastAsia" w:ascii="宋体" w:hAnsi="宋体" w:eastAsia="宋体" w:cs="宋体"/>
          <w:color w:val="auto"/>
          <w:highlight w:val="none"/>
        </w:rPr>
      </w:pPr>
      <w:bookmarkStart w:id="117" w:name="_Toc31616"/>
      <w:bookmarkStart w:id="118" w:name="_Toc32134"/>
      <w:bookmarkStart w:id="119" w:name="_Toc3666"/>
      <w:r>
        <w:rPr>
          <w:rFonts w:hint="eastAsia" w:ascii="宋体" w:hAnsi="宋体" w:eastAsia="宋体" w:cs="宋体"/>
          <w:color w:val="auto"/>
          <w:highlight w:val="none"/>
        </w:rPr>
        <w:t>附件5、其他服务承诺</w:t>
      </w:r>
      <w:bookmarkEnd w:id="117"/>
      <w:bookmarkEnd w:id="118"/>
      <w:bookmarkEnd w:id="119"/>
    </w:p>
    <w:p w14:paraId="0570FFA1">
      <w:pPr>
        <w:pStyle w:val="172"/>
        <w:spacing w:line="480" w:lineRule="auto"/>
        <w:ind w:firstLine="480" w:firstLineChars="200"/>
        <w:jc w:val="both"/>
        <w:outlineLvl w:val="0"/>
        <w:rPr>
          <w:rFonts w:hint="eastAsia" w:ascii="宋体" w:hAnsi="宋体" w:eastAsia="宋体" w:cs="宋体"/>
          <w:color w:val="auto"/>
          <w:highlight w:val="none"/>
        </w:rPr>
      </w:pPr>
      <w:bookmarkStart w:id="120" w:name="_Toc25510"/>
      <w:bookmarkStart w:id="121" w:name="_Toc18125"/>
      <w:bookmarkStart w:id="122" w:name="_Toc31165"/>
      <w:r>
        <w:rPr>
          <w:rFonts w:hint="eastAsia" w:ascii="宋体" w:hAnsi="宋体" w:eastAsia="宋体" w:cs="宋体"/>
          <w:color w:val="auto"/>
          <w:highlight w:val="none"/>
        </w:rPr>
        <w:t>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、供应商认为需要提供的其他材料</w:t>
      </w:r>
      <w:bookmarkEnd w:id="120"/>
      <w:bookmarkEnd w:id="121"/>
      <w:bookmarkEnd w:id="122"/>
    </w:p>
    <w:p w14:paraId="37AA377D">
      <w:pPr>
        <w:pStyle w:val="172"/>
        <w:spacing w:line="480" w:lineRule="auto"/>
        <w:ind w:firstLine="480" w:firstLineChars="200"/>
        <w:jc w:val="both"/>
        <w:rPr>
          <w:rFonts w:hint="eastAsia" w:ascii="宋体" w:hAnsi="宋体" w:eastAsia="宋体" w:cs="宋体"/>
          <w:color w:val="auto"/>
          <w:highlight w:val="none"/>
        </w:rPr>
        <w:sectPr>
          <w:headerReference r:id="rId7" w:type="default"/>
          <w:footerReference r:id="rId8" w:type="default"/>
          <w:pgSz w:w="11906" w:h="16838"/>
          <w:pgMar w:top="1417" w:right="1418" w:bottom="1417" w:left="1418" w:header="851" w:footer="850" w:gutter="0"/>
          <w:pgNumType w:fmt="decimal"/>
          <w:cols w:space="720" w:num="1"/>
          <w:docGrid w:type="lines" w:linePitch="312" w:charSpace="0"/>
        </w:sectPr>
      </w:pPr>
    </w:p>
    <w:p w14:paraId="192E2A9E">
      <w:pPr>
        <w:pStyle w:val="172"/>
        <w:spacing w:line="480" w:lineRule="exact"/>
        <w:jc w:val="center"/>
        <w:outlineLvl w:val="1"/>
        <w:rPr>
          <w:rFonts w:hint="eastAsia" w:ascii="宋体" w:hAnsi="宋体" w:eastAsia="宋体" w:cs="宋体"/>
          <w:color w:val="auto"/>
          <w:highlight w:val="none"/>
        </w:rPr>
      </w:pPr>
      <w:bookmarkStart w:id="123" w:name="_Toc16268"/>
      <w:r>
        <w:rPr>
          <w:rFonts w:hint="eastAsia" w:ascii="宋体" w:hAnsi="宋体" w:cs="宋体"/>
          <w:b/>
          <w:color w:val="auto"/>
          <w:highlight w:val="none"/>
          <w:lang w:eastAsia="zh-CN"/>
        </w:rPr>
        <w:t>1.</w:t>
      </w:r>
      <w:r>
        <w:rPr>
          <w:rFonts w:hint="eastAsia" w:ascii="宋体" w:hAnsi="宋体" w:eastAsia="宋体" w:cs="宋体"/>
          <w:b/>
          <w:color w:val="auto"/>
          <w:highlight w:val="none"/>
        </w:rPr>
        <w:t>磋商函</w:t>
      </w:r>
      <w:bookmarkEnd w:id="107"/>
      <w:bookmarkEnd w:id="123"/>
    </w:p>
    <w:p w14:paraId="138ED052">
      <w:pPr>
        <w:pStyle w:val="172"/>
        <w:spacing w:line="480" w:lineRule="exact"/>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采购单位</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6345316B">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我们收到你们</w:t>
      </w:r>
      <w:r>
        <w:rPr>
          <w:rFonts w:hint="eastAsia" w:ascii="宋体" w:hAnsi="宋体" w:eastAsia="宋体" w:cs="宋体"/>
          <w:color w:val="auto"/>
          <w:highlight w:val="none"/>
          <w:u w:val="single"/>
        </w:rPr>
        <w:t xml:space="preserve">  （项目名称</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竞争性磋商文件，经认真研究，我们决定参加投标。</w:t>
      </w:r>
    </w:p>
    <w:p w14:paraId="3BB59475">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⒈按照竞争性磋商文件中的一切要求，提供招标服务投标总价：</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1CCAE419">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⒉如果我们投标书被接受，我们将履行竞争性磋商文件中规定的每一项要求，按期、按质、按量完成</w:t>
      </w:r>
      <w:r>
        <w:rPr>
          <w:rFonts w:hint="eastAsia" w:ascii="宋体" w:hAnsi="宋体" w:cs="宋体"/>
          <w:color w:val="auto"/>
          <w:highlight w:val="none"/>
          <w:lang w:val="en-US" w:eastAsia="zh-CN"/>
        </w:rPr>
        <w:t>成果文件</w:t>
      </w:r>
      <w:r>
        <w:rPr>
          <w:rFonts w:hint="eastAsia" w:ascii="宋体" w:hAnsi="宋体" w:eastAsia="宋体" w:cs="宋体"/>
          <w:color w:val="auto"/>
          <w:highlight w:val="none"/>
        </w:rPr>
        <w:t>和</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任务。</w:t>
      </w:r>
    </w:p>
    <w:p w14:paraId="0619372C">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⒊我们同意按竞争性磋商文件的规定，本响应文件的有效期为开标后 </w:t>
      </w:r>
      <w:r>
        <w:rPr>
          <w:rFonts w:hint="eastAsia" w:ascii="宋体" w:hAnsi="宋体" w:eastAsia="宋体" w:cs="宋体"/>
          <w:b/>
          <w:color w:val="auto"/>
          <w:highlight w:val="none"/>
          <w:u w:val="single"/>
        </w:rPr>
        <w:t>90</w:t>
      </w:r>
      <w:r>
        <w:rPr>
          <w:rFonts w:hint="eastAsia" w:ascii="宋体" w:hAnsi="宋体" w:eastAsia="宋体" w:cs="宋体"/>
          <w:bCs/>
          <w:color w:val="auto"/>
          <w:highlight w:val="none"/>
          <w:u w:val="single"/>
        </w:rPr>
        <w:t>日（日历日）</w:t>
      </w:r>
      <w:r>
        <w:rPr>
          <w:rFonts w:hint="eastAsia" w:ascii="宋体" w:hAnsi="宋体" w:eastAsia="宋体" w:cs="宋体"/>
          <w:color w:val="auto"/>
          <w:highlight w:val="none"/>
        </w:rPr>
        <w:t>。</w:t>
      </w:r>
    </w:p>
    <w:p w14:paraId="048473C7">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⒋我们愿意提供采购单位在竞争性磋商文件中要求的所有资料。</w:t>
      </w:r>
    </w:p>
    <w:p w14:paraId="1CBA1746">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5.我们愿按</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履行自己的全部责任。</w:t>
      </w:r>
    </w:p>
    <w:p w14:paraId="6BC899E5">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6.我们同意按竞争性磋商文件规定，交纳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保证金。</w:t>
      </w:r>
    </w:p>
    <w:p w14:paraId="01273C11">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cs="宋体"/>
          <w:color w:val="auto"/>
          <w:highlight w:val="none"/>
          <w:lang w:val="en-US" w:eastAsia="zh-CN"/>
        </w:rPr>
        <w:t>我们</w:t>
      </w:r>
      <w:r>
        <w:rPr>
          <w:rFonts w:hint="eastAsia" w:ascii="宋体" w:hAnsi="宋体" w:eastAsia="宋体" w:cs="宋体"/>
          <w:color w:val="auto"/>
          <w:highlight w:val="none"/>
        </w:rPr>
        <w:t>保证在</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文件中规定的服务期限内完成此项目的</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工作，服务期限</w:t>
      </w:r>
    </w:p>
    <w:p w14:paraId="038CD137">
      <w:pPr>
        <w:pStyle w:val="172"/>
        <w:spacing w:line="480" w:lineRule="exact"/>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为：</w:t>
      </w:r>
      <w:r>
        <w:rPr>
          <w:rFonts w:hint="eastAsia" w:ascii="宋体" w:hAnsi="宋体" w:eastAsia="宋体" w:cs="宋体"/>
          <w:color w:val="auto"/>
          <w:highlight w:val="none"/>
          <w:u w:val="single"/>
        </w:rPr>
        <w:t xml:space="preserve">         </w:t>
      </w:r>
      <w:r>
        <w:rPr>
          <w:rFonts w:hint="eastAsia" w:ascii="宋体" w:hAnsi="宋体" w:cs="宋体"/>
          <w:color w:val="auto"/>
          <w:highlight w:val="none"/>
          <w:lang w:eastAsia="zh-CN"/>
        </w:rPr>
        <w:t>，</w:t>
      </w:r>
      <w:r>
        <w:rPr>
          <w:rFonts w:hint="eastAsia" w:ascii="宋体" w:hAnsi="宋体" w:cs="宋体"/>
          <w:color w:val="auto"/>
          <w:sz w:val="24"/>
          <w:szCs w:val="24"/>
          <w:lang w:eastAsia="zh-CN"/>
        </w:rPr>
        <w:t>质量要求</w:t>
      </w:r>
      <w:r>
        <w:rPr>
          <w:rFonts w:hint="eastAsia" w:ascii="宋体" w:hAnsi="宋体" w:eastAsia="宋体" w:cs="宋体"/>
          <w:color w:val="auto"/>
          <w:sz w:val="24"/>
          <w:szCs w:val="24"/>
        </w:rPr>
        <w:t>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3D98774">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8. 我方承诺，与采购人聘请的为此项目提供咨询服务的公司及任何附属机构均无关联，我方不是买方的附属机构。</w:t>
      </w:r>
    </w:p>
    <w:p w14:paraId="3ABC5858">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同意提供按照贵方可能要求的与其投标有关的一切数据或资料，完全理解贵方不一定接受最低价的投标或收到的任何投标。</w:t>
      </w:r>
    </w:p>
    <w:p w14:paraId="28AEB783">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10.所有有关本标书的函电，请按下列地址联系：</w:t>
      </w:r>
    </w:p>
    <w:p w14:paraId="0CB7D667">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单       位：</w:t>
      </w:r>
    </w:p>
    <w:p w14:paraId="0BFF033A">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地       址：</w:t>
      </w:r>
    </w:p>
    <w:p w14:paraId="054EEE55">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电       话：</w:t>
      </w:r>
    </w:p>
    <w:p w14:paraId="76A641A0">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邮 政 编 码：</w:t>
      </w:r>
    </w:p>
    <w:p w14:paraId="483B1CCA">
      <w:pPr>
        <w:pStyle w:val="172"/>
        <w:spacing w:line="480" w:lineRule="exact"/>
        <w:ind w:firstLine="567"/>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联   系  人：        </w:t>
      </w:r>
    </w:p>
    <w:p w14:paraId="46172B16">
      <w:pPr>
        <w:spacing w:line="480" w:lineRule="exact"/>
        <w:ind w:firstLine="5280" w:firstLineChars="2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34952A8A">
      <w:pPr>
        <w:spacing w:line="480" w:lineRule="exact"/>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01A2E1D6">
      <w:pPr>
        <w:spacing w:line="480" w:lineRule="exact"/>
        <w:ind w:firstLine="1080" w:firstLineChars="450"/>
        <w:jc w:val="left"/>
        <w:rPr>
          <w:rFonts w:hint="eastAsia" w:ascii="宋体" w:hAnsi="宋体" w:eastAsia="宋体" w:cs="宋体"/>
          <w:color w:val="auto"/>
          <w:sz w:val="24"/>
          <w:szCs w:val="24"/>
          <w:highlight w:val="none"/>
          <w:lang w:val="en-US" w:eastAsia="zh-CN"/>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日</w:t>
      </w:r>
    </w:p>
    <w:p w14:paraId="5FE8EA48">
      <w:pPr>
        <w:pStyle w:val="24"/>
        <w:spacing w:line="480" w:lineRule="exact"/>
        <w:outlineLvl w:val="0"/>
        <w:rPr>
          <w:rFonts w:hint="eastAsia" w:ascii="宋体" w:hAnsi="宋体" w:eastAsia="宋体" w:cs="宋体"/>
          <w:color w:val="auto"/>
          <w:sz w:val="24"/>
          <w:szCs w:val="24"/>
          <w:highlight w:val="none"/>
        </w:rPr>
      </w:pPr>
      <w:bookmarkStart w:id="124" w:name="_Toc12043"/>
      <w:bookmarkStart w:id="125" w:name="_Toc19475"/>
      <w:bookmarkStart w:id="126" w:name="_Toc4260"/>
      <w:bookmarkStart w:id="127" w:name="_Toc498343980"/>
      <w:bookmarkStart w:id="128" w:name="_Toc15849"/>
      <w:bookmarkStart w:id="129" w:name="_Toc498343981"/>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法定代表人身份证明书</w:t>
      </w:r>
      <w:bookmarkEnd w:id="124"/>
      <w:bookmarkEnd w:id="125"/>
      <w:bookmarkEnd w:id="126"/>
    </w:p>
    <w:p w14:paraId="5DCF5D56">
      <w:pPr>
        <w:pStyle w:val="16"/>
        <w:spacing w:line="480" w:lineRule="exact"/>
        <w:jc w:val="center"/>
        <w:rPr>
          <w:rFonts w:hint="eastAsia" w:ascii="宋体" w:hAnsi="宋体" w:eastAsia="宋体" w:cs="宋体"/>
          <w:bCs/>
          <w:color w:val="auto"/>
          <w:sz w:val="24"/>
          <w:szCs w:val="24"/>
          <w:highlight w:val="none"/>
        </w:rPr>
      </w:pPr>
    </w:p>
    <w:p w14:paraId="2145B2C5">
      <w:pPr>
        <w:pStyle w:val="17"/>
        <w:numPr>
          <w:ilvl w:val="0"/>
          <w:numId w:val="0"/>
        </w:numPr>
        <w:spacing w:line="480" w:lineRule="exact"/>
        <w:rPr>
          <w:rFonts w:hint="eastAsia" w:ascii="宋体" w:hAnsi="宋体" w:eastAsia="宋体" w:cs="宋体"/>
          <w:color w:val="auto"/>
          <w:sz w:val="24"/>
          <w:szCs w:val="24"/>
          <w:highlight w:val="none"/>
        </w:rPr>
      </w:pPr>
    </w:p>
    <w:p w14:paraId="29251AF6">
      <w:pPr>
        <w:pStyle w:val="16"/>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单位名称：</w:t>
      </w:r>
      <w:r>
        <w:rPr>
          <w:rFonts w:hint="eastAsia" w:ascii="宋体" w:hAnsi="宋体" w:eastAsia="宋体" w:cs="宋体"/>
          <w:bCs/>
          <w:color w:val="auto"/>
          <w:sz w:val="24"/>
          <w:szCs w:val="24"/>
          <w:highlight w:val="none"/>
          <w:u w:val="single"/>
        </w:rPr>
        <w:t xml:space="preserve">                                         </w:t>
      </w:r>
    </w:p>
    <w:p w14:paraId="6B6E2B5A">
      <w:pPr>
        <w:pStyle w:val="16"/>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联系地址：</w:t>
      </w:r>
      <w:r>
        <w:rPr>
          <w:rFonts w:hint="eastAsia" w:ascii="宋体" w:hAnsi="宋体" w:eastAsia="宋体" w:cs="宋体"/>
          <w:bCs/>
          <w:color w:val="auto"/>
          <w:sz w:val="24"/>
          <w:szCs w:val="24"/>
          <w:highlight w:val="none"/>
          <w:u w:val="single"/>
        </w:rPr>
        <w:t xml:space="preserve">                                           </w:t>
      </w:r>
    </w:p>
    <w:p w14:paraId="767BBABF">
      <w:pPr>
        <w:pStyle w:val="16"/>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性别：</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年龄：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职务：</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EB5889A">
      <w:pPr>
        <w:pStyle w:val="16"/>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w:t>
      </w:r>
      <w:r>
        <w:rPr>
          <w:rFonts w:hint="eastAsia" w:ascii="宋体" w:hAnsi="宋体" w:eastAsia="宋体" w:cs="宋体"/>
          <w:bCs/>
          <w:color w:val="auto"/>
          <w:sz w:val="24"/>
          <w:szCs w:val="24"/>
          <w:highlight w:val="none"/>
          <w:u w:val="single"/>
        </w:rPr>
        <w:t xml:space="preserve">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供应商名称</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的法定代表人。</w:t>
      </w:r>
    </w:p>
    <w:p w14:paraId="51D490ED">
      <w:pPr>
        <w:pStyle w:val="16"/>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14:paraId="3C0B40CC">
      <w:pPr>
        <w:pStyle w:val="16"/>
        <w:spacing w:line="480" w:lineRule="exact"/>
        <w:ind w:firstLine="480" w:firstLineChars="200"/>
        <w:rPr>
          <w:rFonts w:hint="eastAsia" w:ascii="宋体" w:hAnsi="宋体" w:eastAsia="宋体" w:cs="宋体"/>
          <w:bCs/>
          <w:color w:val="auto"/>
          <w:sz w:val="24"/>
          <w:szCs w:val="24"/>
          <w:highlight w:val="none"/>
        </w:rPr>
      </w:pPr>
    </w:p>
    <w:tbl>
      <w:tblPr>
        <w:tblStyle w:val="32"/>
        <w:tblpPr w:leftFromText="180" w:rightFromText="180" w:vertAnchor="text" w:tblpXSpec="center" w:tblpY="1"/>
        <w:tblOverlap w:val="never"/>
        <w:tblW w:w="7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3"/>
      </w:tblGrid>
      <w:tr w14:paraId="39B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973" w:type="dxa"/>
            <w:vAlign w:val="center"/>
          </w:tcPr>
          <w:p w14:paraId="61F8513A">
            <w:pPr>
              <w:pStyle w:val="16"/>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（此处附贴法定代表人身份证复印件正、反面）</w:t>
            </w:r>
          </w:p>
          <w:p w14:paraId="7BB1FC29">
            <w:pPr>
              <w:widowControl/>
              <w:spacing w:before="100" w:beforeAutospacing="1" w:after="100" w:afterAutospacing="1" w:line="480" w:lineRule="exact"/>
              <w:jc w:val="center"/>
              <w:rPr>
                <w:rFonts w:hint="eastAsia" w:ascii="宋体" w:hAnsi="宋体" w:eastAsia="宋体" w:cs="宋体"/>
                <w:bCs/>
                <w:color w:val="auto"/>
                <w:sz w:val="24"/>
                <w:szCs w:val="24"/>
                <w:highlight w:val="none"/>
              </w:rPr>
            </w:pPr>
          </w:p>
        </w:tc>
      </w:tr>
    </w:tbl>
    <w:p w14:paraId="356C4655">
      <w:pPr>
        <w:pStyle w:val="16"/>
        <w:spacing w:line="480" w:lineRule="exact"/>
        <w:ind w:firstLine="480" w:firstLineChars="200"/>
        <w:rPr>
          <w:rFonts w:hint="eastAsia" w:ascii="宋体" w:hAnsi="宋体" w:eastAsia="宋体" w:cs="宋体"/>
          <w:bCs/>
          <w:color w:val="auto"/>
          <w:sz w:val="24"/>
          <w:szCs w:val="24"/>
          <w:highlight w:val="none"/>
        </w:rPr>
      </w:pPr>
    </w:p>
    <w:p w14:paraId="098FB5D2">
      <w:pPr>
        <w:pStyle w:val="16"/>
        <w:spacing w:line="480" w:lineRule="exact"/>
        <w:ind w:firstLine="480" w:firstLineChars="200"/>
        <w:rPr>
          <w:rFonts w:hint="eastAsia" w:ascii="宋体" w:hAnsi="宋体" w:eastAsia="宋体" w:cs="宋体"/>
          <w:bCs/>
          <w:color w:val="auto"/>
          <w:sz w:val="24"/>
          <w:szCs w:val="24"/>
          <w:highlight w:val="none"/>
        </w:rPr>
      </w:pPr>
    </w:p>
    <w:p w14:paraId="23649473">
      <w:pPr>
        <w:pStyle w:val="16"/>
        <w:spacing w:line="480" w:lineRule="exact"/>
        <w:ind w:firstLine="480" w:firstLineChars="200"/>
        <w:rPr>
          <w:rFonts w:hint="eastAsia" w:ascii="宋体" w:hAnsi="宋体" w:eastAsia="宋体" w:cs="宋体"/>
          <w:bCs/>
          <w:color w:val="auto"/>
          <w:sz w:val="24"/>
          <w:szCs w:val="24"/>
          <w:highlight w:val="none"/>
        </w:rPr>
      </w:pPr>
    </w:p>
    <w:p w14:paraId="0CFEF09D">
      <w:pPr>
        <w:pStyle w:val="16"/>
        <w:spacing w:line="480" w:lineRule="exact"/>
        <w:ind w:firstLine="480" w:firstLineChars="200"/>
        <w:rPr>
          <w:rFonts w:hint="eastAsia" w:ascii="宋体" w:hAnsi="宋体" w:eastAsia="宋体" w:cs="宋体"/>
          <w:bCs/>
          <w:color w:val="auto"/>
          <w:sz w:val="24"/>
          <w:szCs w:val="24"/>
          <w:highlight w:val="none"/>
        </w:rPr>
      </w:pPr>
    </w:p>
    <w:p w14:paraId="2AAF7ED8">
      <w:pPr>
        <w:pStyle w:val="16"/>
        <w:spacing w:line="480" w:lineRule="exact"/>
        <w:ind w:firstLine="480" w:firstLineChars="200"/>
        <w:rPr>
          <w:rFonts w:hint="eastAsia" w:ascii="宋体" w:hAnsi="宋体" w:eastAsia="宋体" w:cs="宋体"/>
          <w:bCs/>
          <w:color w:val="auto"/>
          <w:sz w:val="24"/>
          <w:szCs w:val="24"/>
          <w:highlight w:val="none"/>
        </w:rPr>
      </w:pPr>
    </w:p>
    <w:p w14:paraId="5DC20A00">
      <w:pPr>
        <w:pStyle w:val="16"/>
        <w:spacing w:line="480" w:lineRule="exact"/>
        <w:ind w:firstLine="3000" w:firstLineChars="1250"/>
        <w:rPr>
          <w:rFonts w:hint="eastAsia" w:ascii="宋体" w:hAnsi="宋体" w:eastAsia="宋体" w:cs="宋体"/>
          <w:bCs/>
          <w:color w:val="auto"/>
          <w:sz w:val="24"/>
          <w:szCs w:val="24"/>
          <w:highlight w:val="none"/>
        </w:rPr>
      </w:pPr>
    </w:p>
    <w:p w14:paraId="50435DB0">
      <w:pPr>
        <w:pStyle w:val="16"/>
        <w:spacing w:line="480" w:lineRule="exact"/>
        <w:ind w:firstLine="3000" w:firstLineChars="1250"/>
        <w:rPr>
          <w:rFonts w:hint="eastAsia" w:ascii="宋体" w:hAnsi="宋体" w:eastAsia="宋体" w:cs="宋体"/>
          <w:bCs/>
          <w:color w:val="auto"/>
          <w:sz w:val="24"/>
          <w:szCs w:val="24"/>
          <w:highlight w:val="none"/>
        </w:rPr>
      </w:pPr>
    </w:p>
    <w:p w14:paraId="41BD3E89">
      <w:pPr>
        <w:spacing w:line="480" w:lineRule="exact"/>
        <w:ind w:firstLine="5280" w:firstLineChars="2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271563A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668187">
      <w:pPr>
        <w:pStyle w:val="13"/>
        <w:spacing w:line="480" w:lineRule="exact"/>
        <w:ind w:firstLine="5040" w:firstLineChars="2100"/>
        <w:rPr>
          <w:rFonts w:hint="eastAsia" w:ascii="宋体" w:hAnsi="宋体" w:eastAsia="宋体" w:cs="宋体"/>
          <w:color w:val="auto"/>
          <w:sz w:val="24"/>
          <w:szCs w:val="24"/>
          <w:highlight w:val="none"/>
          <w:lang w:val="en-US" w:eastAsia="zh-CN"/>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日</w:t>
      </w:r>
    </w:p>
    <w:p w14:paraId="3622A304">
      <w:pPr>
        <w:pStyle w:val="16"/>
        <w:spacing w:line="480" w:lineRule="exact"/>
        <w:ind w:firstLine="480" w:firstLineChars="200"/>
        <w:rPr>
          <w:rFonts w:hint="eastAsia" w:ascii="宋体" w:hAnsi="宋体" w:eastAsia="宋体" w:cs="宋体"/>
          <w:bCs/>
          <w:color w:val="auto"/>
          <w:sz w:val="24"/>
          <w:szCs w:val="24"/>
          <w:highlight w:val="none"/>
        </w:rPr>
      </w:pPr>
    </w:p>
    <w:p w14:paraId="24032503">
      <w:pPr>
        <w:pStyle w:val="16"/>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法定代表人授权委托书</w:t>
      </w:r>
    </w:p>
    <w:p w14:paraId="5641CC99">
      <w:pPr>
        <w:pStyle w:val="16"/>
        <w:spacing w:line="480" w:lineRule="exact"/>
        <w:jc w:val="center"/>
        <w:rPr>
          <w:rFonts w:hint="eastAsia" w:ascii="宋体" w:hAnsi="宋体" w:eastAsia="宋体" w:cs="宋体"/>
          <w:b/>
          <w:color w:val="auto"/>
          <w:sz w:val="24"/>
          <w:szCs w:val="24"/>
          <w:highlight w:val="none"/>
        </w:rPr>
      </w:pPr>
    </w:p>
    <w:p w14:paraId="689E6139">
      <w:pPr>
        <w:pStyle w:val="16"/>
        <w:widowControl/>
        <w:overflowPunct w:val="0"/>
        <w:autoSpaceDE w:val="0"/>
        <w:autoSpaceDN w:val="0"/>
        <w:adjustRightInd w:val="0"/>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本授权书声明：</w:t>
      </w:r>
      <w:r>
        <w:rPr>
          <w:rFonts w:hint="eastAsia" w:ascii="宋体" w:hAnsi="宋体" w:eastAsia="宋体" w:cs="宋体"/>
          <w:bCs/>
          <w:color w:val="auto"/>
          <w:sz w:val="24"/>
          <w:szCs w:val="24"/>
          <w:highlight w:val="none"/>
          <w:u w:val="single"/>
        </w:rPr>
        <w:t xml:space="preserve">注册于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国家或地区的名称</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 xml:space="preserve">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公司名称</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u w:val="single"/>
        </w:rPr>
        <w:t xml:space="preserve">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法人代表姓名、职务</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，代表本公司授权</w:t>
      </w:r>
      <w:r>
        <w:rPr>
          <w:rFonts w:hint="eastAsia" w:ascii="宋体" w:hAnsi="宋体" w:eastAsia="宋体" w:cs="宋体"/>
          <w:bCs/>
          <w:color w:val="auto"/>
          <w:sz w:val="24"/>
          <w:szCs w:val="24"/>
          <w:highlight w:val="none"/>
          <w:u w:val="single"/>
        </w:rPr>
        <w:t xml:space="preserve">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被授权单位名称</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的</w:t>
      </w:r>
      <w:r>
        <w:rPr>
          <w:rFonts w:hint="eastAsia" w:ascii="宋体" w:hAnsi="宋体" w:eastAsia="宋体" w:cs="宋体"/>
          <w:bCs/>
          <w:color w:val="auto"/>
          <w:sz w:val="24"/>
          <w:szCs w:val="24"/>
          <w:highlight w:val="none"/>
          <w:u w:val="single"/>
        </w:rPr>
        <w:t xml:space="preserve">        </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授权代理人的姓名、职务</w:t>
      </w:r>
      <w:r>
        <w:rPr>
          <w:rFonts w:hint="eastAsia" w:cs="宋体"/>
          <w:bCs/>
          <w:color w:val="auto"/>
          <w:sz w:val="24"/>
          <w:szCs w:val="24"/>
          <w:highlight w:val="none"/>
          <w:u w:val="single"/>
          <w:lang w:eastAsia="zh-CN"/>
        </w:rPr>
        <w:t>）</w:t>
      </w:r>
      <w:r>
        <w:rPr>
          <w:rFonts w:hint="eastAsia" w:ascii="宋体" w:hAnsi="宋体" w:eastAsia="宋体" w:cs="宋体"/>
          <w:bCs/>
          <w:color w:val="auto"/>
          <w:sz w:val="24"/>
          <w:szCs w:val="24"/>
          <w:highlight w:val="none"/>
        </w:rPr>
        <w:t>为本公司的合法代理人，参加</w:t>
      </w:r>
      <w:r>
        <w:rPr>
          <w:rFonts w:hint="eastAsia" w:ascii="宋体" w:hAnsi="宋体" w:eastAsia="宋体" w:cs="宋体"/>
          <w:bCs/>
          <w:color w:val="auto"/>
          <w:sz w:val="24"/>
          <w:szCs w:val="24"/>
          <w:highlight w:val="none"/>
          <w:u w:val="single"/>
        </w:rPr>
        <w:t xml:space="preserve">  （项目名称） </w:t>
      </w:r>
      <w:r>
        <w:rPr>
          <w:rFonts w:hint="eastAsia" w:ascii="宋体" w:hAnsi="宋体" w:eastAsia="宋体" w:cs="宋体"/>
          <w:bCs/>
          <w:color w:val="auto"/>
          <w:sz w:val="24"/>
          <w:szCs w:val="24"/>
          <w:highlight w:val="none"/>
        </w:rPr>
        <w:t xml:space="preserve"> 编号为</w:t>
      </w:r>
      <w:r>
        <w:rPr>
          <w:rFonts w:hint="eastAsia" w:ascii="宋体" w:hAnsi="宋体" w:eastAsia="宋体" w:cs="宋体"/>
          <w:bCs/>
          <w:color w:val="auto"/>
          <w:sz w:val="24"/>
          <w:szCs w:val="24"/>
          <w:highlight w:val="none"/>
          <w:u w:val="single"/>
        </w:rPr>
        <w:t xml:space="preserve">  （项目编号） </w:t>
      </w:r>
      <w:r>
        <w:rPr>
          <w:rFonts w:hint="eastAsia" w:ascii="宋体" w:hAnsi="宋体" w:eastAsia="宋体" w:cs="宋体"/>
          <w:bCs/>
          <w:color w:val="auto"/>
          <w:sz w:val="24"/>
          <w:szCs w:val="24"/>
          <w:highlight w:val="none"/>
        </w:rPr>
        <w:t xml:space="preserve"> 的竞争性磋商活动，以本公司名义处理一切与之有关的事宜。</w:t>
      </w:r>
    </w:p>
    <w:p w14:paraId="562EDEA0">
      <w:pPr>
        <w:pStyle w:val="16"/>
        <w:widowControl/>
        <w:overflowPunct w:val="0"/>
        <w:autoSpaceDE w:val="0"/>
        <w:autoSpaceDN w:val="0"/>
        <w:adjustRightInd w:val="0"/>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如果本公司在此次竞争性磋商活动中成交，授权代理人有权代表本公司签署咨询服务合同。</w:t>
      </w:r>
    </w:p>
    <w:p w14:paraId="15A4CA72">
      <w:pPr>
        <w:pStyle w:val="16"/>
        <w:widowControl/>
        <w:overflowPunct w:val="0"/>
        <w:autoSpaceDE w:val="0"/>
        <w:autoSpaceDN w:val="0"/>
        <w:adjustRightInd w:val="0"/>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本授权书于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日法定代表人签字或盖章并由授权代理人签字、单位盖章生效，特此声明。</w:t>
      </w:r>
    </w:p>
    <w:p w14:paraId="5D9441A4">
      <w:pPr>
        <w:pStyle w:val="16"/>
        <w:widowControl/>
        <w:overflowPunct w:val="0"/>
        <w:autoSpaceDE w:val="0"/>
        <w:autoSpaceDN w:val="0"/>
        <w:adjustRightInd w:val="0"/>
        <w:spacing w:line="48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授权代理人无转委托权。</w:t>
      </w:r>
    </w:p>
    <w:p w14:paraId="69191EFE">
      <w:pPr>
        <w:pStyle w:val="16"/>
        <w:widowControl/>
        <w:overflowPunct w:val="0"/>
        <w:autoSpaceDE w:val="0"/>
        <w:autoSpaceDN w:val="0"/>
        <w:adjustRightInd w:val="0"/>
        <w:spacing w:line="480" w:lineRule="exact"/>
        <w:ind w:firstLine="1111"/>
        <w:textAlignment w:val="baseline"/>
        <w:rPr>
          <w:rFonts w:hint="eastAsia" w:ascii="宋体" w:hAnsi="宋体" w:eastAsia="宋体" w:cs="宋体"/>
          <w:bCs/>
          <w:color w:val="auto"/>
          <w:sz w:val="24"/>
          <w:szCs w:val="24"/>
          <w:highlight w:val="none"/>
        </w:rPr>
      </w:pPr>
    </w:p>
    <w:tbl>
      <w:tblPr>
        <w:tblStyle w:val="32"/>
        <w:tblpPr w:leftFromText="180" w:rightFromText="180" w:vertAnchor="text" w:tblpXSpec="center" w:tblpY="1"/>
        <w:tblOverlap w:val="never"/>
        <w:tblW w:w="6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15C0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912" w:type="dxa"/>
            <w:vAlign w:val="center"/>
          </w:tcPr>
          <w:p w14:paraId="704364E1">
            <w:pPr>
              <w:pStyle w:val="29"/>
              <w:spacing w:line="480" w:lineRule="exact"/>
              <w:jc w:val="center"/>
              <w:rPr>
                <w:rFonts w:hint="eastAsia"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（授权代理人身份证复印件正、反面）</w:t>
            </w:r>
          </w:p>
        </w:tc>
      </w:tr>
    </w:tbl>
    <w:p w14:paraId="50FB5C83">
      <w:pPr>
        <w:spacing w:line="480" w:lineRule="exact"/>
        <w:ind w:firstLine="5280" w:firstLineChars="2200"/>
        <w:jc w:val="left"/>
        <w:rPr>
          <w:rFonts w:hint="eastAsia" w:ascii="宋体" w:hAnsi="宋体" w:eastAsia="宋体" w:cs="宋体"/>
          <w:color w:val="auto"/>
          <w:sz w:val="24"/>
          <w:szCs w:val="24"/>
          <w:highlight w:val="none"/>
        </w:rPr>
      </w:pPr>
    </w:p>
    <w:p w14:paraId="74A27439">
      <w:pPr>
        <w:spacing w:line="480" w:lineRule="exact"/>
        <w:ind w:firstLine="5280" w:firstLineChars="2200"/>
        <w:jc w:val="left"/>
        <w:rPr>
          <w:rFonts w:hint="eastAsia" w:ascii="宋体" w:hAnsi="宋体" w:eastAsia="宋体" w:cs="宋体"/>
          <w:color w:val="auto"/>
          <w:sz w:val="24"/>
          <w:szCs w:val="24"/>
          <w:highlight w:val="none"/>
        </w:rPr>
      </w:pPr>
    </w:p>
    <w:p w14:paraId="4719D992">
      <w:pPr>
        <w:spacing w:line="480" w:lineRule="exact"/>
        <w:ind w:firstLine="5280" w:firstLineChars="2200"/>
        <w:jc w:val="left"/>
        <w:rPr>
          <w:rFonts w:hint="eastAsia" w:ascii="宋体" w:hAnsi="宋体" w:eastAsia="宋体" w:cs="宋体"/>
          <w:color w:val="auto"/>
          <w:sz w:val="24"/>
          <w:szCs w:val="24"/>
          <w:highlight w:val="none"/>
        </w:rPr>
      </w:pPr>
    </w:p>
    <w:p w14:paraId="7E66F6BE">
      <w:pPr>
        <w:spacing w:line="480" w:lineRule="exact"/>
        <w:ind w:firstLine="5280" w:firstLineChars="2200"/>
        <w:jc w:val="left"/>
        <w:rPr>
          <w:rFonts w:hint="eastAsia" w:ascii="宋体" w:hAnsi="宋体" w:eastAsia="宋体" w:cs="宋体"/>
          <w:color w:val="auto"/>
          <w:sz w:val="24"/>
          <w:szCs w:val="24"/>
          <w:highlight w:val="none"/>
        </w:rPr>
      </w:pPr>
    </w:p>
    <w:p w14:paraId="03FE5777">
      <w:pPr>
        <w:spacing w:line="480" w:lineRule="exact"/>
        <w:ind w:firstLine="5280" w:firstLineChars="2200"/>
        <w:jc w:val="left"/>
        <w:rPr>
          <w:rFonts w:hint="eastAsia" w:ascii="宋体" w:hAnsi="宋体" w:eastAsia="宋体" w:cs="宋体"/>
          <w:color w:val="auto"/>
          <w:sz w:val="24"/>
          <w:szCs w:val="24"/>
          <w:highlight w:val="none"/>
        </w:rPr>
      </w:pPr>
    </w:p>
    <w:p w14:paraId="7ADA9DD9">
      <w:pPr>
        <w:spacing w:line="480" w:lineRule="exact"/>
        <w:ind w:firstLine="5280" w:firstLineChars="2200"/>
        <w:jc w:val="left"/>
        <w:rPr>
          <w:rFonts w:hint="eastAsia" w:ascii="宋体" w:hAnsi="宋体" w:eastAsia="宋体" w:cs="宋体"/>
          <w:color w:val="auto"/>
          <w:sz w:val="24"/>
          <w:szCs w:val="24"/>
          <w:highlight w:val="none"/>
        </w:rPr>
      </w:pPr>
    </w:p>
    <w:p w14:paraId="09784238">
      <w:pPr>
        <w:spacing w:line="480" w:lineRule="exact"/>
        <w:ind w:firstLine="5280" w:firstLineChars="2200"/>
        <w:jc w:val="left"/>
        <w:rPr>
          <w:rFonts w:hint="eastAsia" w:ascii="宋体" w:hAnsi="宋体" w:eastAsia="宋体" w:cs="宋体"/>
          <w:color w:val="auto"/>
          <w:sz w:val="24"/>
          <w:szCs w:val="24"/>
          <w:highlight w:val="none"/>
        </w:rPr>
      </w:pPr>
    </w:p>
    <w:p w14:paraId="14B12112">
      <w:pPr>
        <w:spacing w:line="480" w:lineRule="exact"/>
        <w:jc w:val="left"/>
        <w:rPr>
          <w:rFonts w:hint="eastAsia" w:ascii="宋体" w:hAnsi="宋体" w:eastAsia="宋体" w:cs="宋体"/>
          <w:color w:val="auto"/>
          <w:sz w:val="24"/>
          <w:szCs w:val="24"/>
          <w:highlight w:val="none"/>
        </w:rPr>
      </w:pPr>
    </w:p>
    <w:p w14:paraId="47CDECB2">
      <w:pPr>
        <w:spacing w:line="480" w:lineRule="exact"/>
        <w:ind w:firstLine="5280" w:firstLineChars="2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67728AB8">
      <w:pPr>
        <w:spacing w:line="480" w:lineRule="exact"/>
        <w:ind w:firstLine="1080" w:firstLineChars="450"/>
        <w:jc w:val="left"/>
        <w:rPr>
          <w:rFonts w:hint="eastAsia" w:ascii="宋体" w:hAnsi="宋体" w:eastAsia="宋体" w:cs="宋体"/>
          <w:color w:val="auto"/>
          <w:sz w:val="24"/>
          <w:szCs w:val="24"/>
          <w:highlight w:val="none"/>
        </w:rPr>
      </w:pPr>
    </w:p>
    <w:p w14:paraId="7765D15C">
      <w:pPr>
        <w:spacing w:line="480" w:lineRule="exact"/>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p>
    <w:p w14:paraId="10C820E7">
      <w:pPr>
        <w:pStyle w:val="13"/>
        <w:spacing w:line="480" w:lineRule="exact"/>
        <w:ind w:firstLine="5040" w:firstLineChars="2100"/>
        <w:rPr>
          <w:rFonts w:hint="eastAsia" w:ascii="宋体" w:hAnsi="宋体" w:eastAsia="宋体" w:cs="宋体"/>
          <w:color w:val="auto"/>
          <w:sz w:val="24"/>
          <w:szCs w:val="24"/>
          <w:highlight w:val="none"/>
        </w:rPr>
      </w:pPr>
    </w:p>
    <w:p w14:paraId="3819EBC4">
      <w:pPr>
        <w:pStyle w:val="13"/>
        <w:spacing w:line="480" w:lineRule="exact"/>
        <w:ind w:firstLine="5040" w:firstLineChars="2100"/>
        <w:rPr>
          <w:rFonts w:hint="eastAsia" w:ascii="宋体" w:hAnsi="宋体" w:eastAsia="宋体" w:cs="宋体"/>
          <w:color w:val="auto"/>
          <w:sz w:val="24"/>
          <w:szCs w:val="24"/>
          <w:highlight w:val="none"/>
          <w:u w:val="none"/>
          <w:lang w:val="en-US" w:eastAsia="zh-CN"/>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日</w:t>
      </w:r>
    </w:p>
    <w:bookmarkEnd w:id="127"/>
    <w:bookmarkEnd w:id="128"/>
    <w:p w14:paraId="356E878E">
      <w:pPr>
        <w:pStyle w:val="16"/>
        <w:spacing w:line="480" w:lineRule="exact"/>
        <w:rPr>
          <w:rFonts w:hint="eastAsia" w:ascii="宋体" w:hAnsi="宋体" w:eastAsia="宋体" w:cs="宋体"/>
          <w:color w:val="auto"/>
          <w:sz w:val="24"/>
          <w:szCs w:val="24"/>
          <w:highlight w:val="none"/>
        </w:rPr>
      </w:pPr>
    </w:p>
    <w:p w14:paraId="54D343C3">
      <w:pPr>
        <w:pStyle w:val="173"/>
        <w:numPr>
          <w:ilvl w:val="0"/>
          <w:numId w:val="10"/>
        </w:numPr>
        <w:spacing w:line="480" w:lineRule="exact"/>
        <w:jc w:val="center"/>
        <w:outlineLvl w:val="1"/>
        <w:rPr>
          <w:rFonts w:hint="eastAsia" w:ascii="宋体" w:hAnsi="宋体" w:eastAsia="宋体" w:cs="宋体"/>
          <w:b/>
          <w:bCs/>
          <w:color w:val="auto"/>
          <w:szCs w:val="24"/>
          <w:highlight w:val="none"/>
        </w:rPr>
      </w:pPr>
      <w:bookmarkStart w:id="130" w:name="_Toc28745"/>
      <w:r>
        <w:rPr>
          <w:rFonts w:hint="eastAsia" w:ascii="宋体" w:hAnsi="宋体" w:eastAsia="宋体" w:cs="宋体"/>
          <w:b/>
          <w:bCs/>
          <w:color w:val="auto"/>
          <w:szCs w:val="24"/>
          <w:highlight w:val="none"/>
        </w:rPr>
        <w:t>开标一览表</w:t>
      </w:r>
      <w:bookmarkEnd w:id="129"/>
      <w:bookmarkEnd w:id="130"/>
    </w:p>
    <w:p w14:paraId="76008FFA">
      <w:pPr>
        <w:pStyle w:val="173"/>
        <w:spacing w:line="480" w:lineRule="exact"/>
        <w:jc w:val="both"/>
        <w:rPr>
          <w:rFonts w:hint="eastAsia" w:ascii="宋体" w:hAnsi="宋体" w:eastAsia="宋体" w:cs="宋体"/>
          <w:b/>
          <w:bCs/>
          <w:color w:val="auto"/>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472"/>
        <w:gridCol w:w="5473"/>
      </w:tblGrid>
      <w:tr w14:paraId="2E70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73" w:type="dxa"/>
            <w:vAlign w:val="center"/>
          </w:tcPr>
          <w:p w14:paraId="430351C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72" w:type="dxa"/>
            <w:vAlign w:val="center"/>
          </w:tcPr>
          <w:p w14:paraId="21FD897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473" w:type="dxa"/>
            <w:vAlign w:val="center"/>
          </w:tcPr>
          <w:p w14:paraId="10C1F7FE">
            <w:pPr>
              <w:spacing w:line="480" w:lineRule="exact"/>
              <w:jc w:val="center"/>
              <w:rPr>
                <w:rFonts w:hint="eastAsia" w:ascii="宋体" w:hAnsi="宋体" w:eastAsia="宋体" w:cs="宋体"/>
                <w:color w:val="auto"/>
                <w:sz w:val="24"/>
                <w:szCs w:val="24"/>
                <w:highlight w:val="none"/>
              </w:rPr>
            </w:pPr>
          </w:p>
        </w:tc>
      </w:tr>
      <w:tr w14:paraId="671A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3" w:type="dxa"/>
            <w:vAlign w:val="center"/>
          </w:tcPr>
          <w:p w14:paraId="67BEE54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72" w:type="dxa"/>
            <w:vAlign w:val="center"/>
          </w:tcPr>
          <w:p w14:paraId="6815169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473" w:type="dxa"/>
            <w:vAlign w:val="center"/>
          </w:tcPr>
          <w:p w14:paraId="169586C8">
            <w:pPr>
              <w:spacing w:line="480" w:lineRule="exact"/>
              <w:jc w:val="center"/>
              <w:rPr>
                <w:rFonts w:hint="eastAsia" w:ascii="宋体" w:hAnsi="宋体" w:eastAsia="宋体" w:cs="宋体"/>
                <w:color w:val="auto"/>
                <w:sz w:val="24"/>
                <w:szCs w:val="24"/>
                <w:highlight w:val="none"/>
              </w:rPr>
            </w:pPr>
          </w:p>
        </w:tc>
      </w:tr>
      <w:tr w14:paraId="175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73" w:type="dxa"/>
            <w:vAlign w:val="center"/>
          </w:tcPr>
          <w:p w14:paraId="386B5EA0">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72" w:type="dxa"/>
            <w:vAlign w:val="center"/>
          </w:tcPr>
          <w:p w14:paraId="711E7AA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5473" w:type="dxa"/>
            <w:vAlign w:val="center"/>
          </w:tcPr>
          <w:p w14:paraId="32C9F3C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5F357AF0">
            <w:pPr>
              <w:spacing w:line="480" w:lineRule="exact"/>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14:paraId="36C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73" w:type="dxa"/>
            <w:vAlign w:val="center"/>
          </w:tcPr>
          <w:p w14:paraId="03088594">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472" w:type="dxa"/>
            <w:vAlign w:val="center"/>
          </w:tcPr>
          <w:p w14:paraId="53ACF556">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服务期限</w:t>
            </w:r>
            <w:r>
              <w:rPr>
                <w:rFonts w:hint="eastAsia" w:ascii="宋体" w:hAnsi="宋体" w:cs="宋体"/>
                <w:color w:val="auto"/>
                <w:sz w:val="24"/>
                <w:szCs w:val="24"/>
                <w:highlight w:val="none"/>
                <w:lang w:val="en-US" w:eastAsia="zh-CN"/>
              </w:rPr>
              <w:t xml:space="preserve"> </w:t>
            </w:r>
          </w:p>
        </w:tc>
        <w:tc>
          <w:tcPr>
            <w:tcW w:w="5473" w:type="dxa"/>
            <w:vAlign w:val="center"/>
          </w:tcPr>
          <w:p w14:paraId="3430D663">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tc>
      </w:tr>
      <w:tr w14:paraId="3CAB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3" w:type="dxa"/>
            <w:vAlign w:val="center"/>
          </w:tcPr>
          <w:p w14:paraId="62C424D6">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472" w:type="dxa"/>
            <w:vAlign w:val="center"/>
          </w:tcPr>
          <w:p w14:paraId="656AEF64">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质量要求</w:t>
            </w:r>
          </w:p>
        </w:tc>
        <w:tc>
          <w:tcPr>
            <w:tcW w:w="5473" w:type="dxa"/>
            <w:vAlign w:val="center"/>
          </w:tcPr>
          <w:p w14:paraId="2A5A4052">
            <w:pPr>
              <w:spacing w:line="480" w:lineRule="exact"/>
              <w:jc w:val="center"/>
              <w:rPr>
                <w:rFonts w:hint="eastAsia" w:ascii="宋体" w:hAnsi="宋体" w:eastAsia="宋体" w:cs="宋体"/>
                <w:color w:val="auto"/>
                <w:sz w:val="24"/>
                <w:szCs w:val="24"/>
                <w:highlight w:val="none"/>
              </w:rPr>
            </w:pPr>
          </w:p>
        </w:tc>
      </w:tr>
      <w:tr w14:paraId="0ED2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3" w:type="dxa"/>
            <w:vAlign w:val="center"/>
          </w:tcPr>
          <w:p w14:paraId="5EED8D94">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472" w:type="dxa"/>
            <w:vAlign w:val="center"/>
          </w:tcPr>
          <w:p w14:paraId="6237869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473" w:type="dxa"/>
            <w:vAlign w:val="center"/>
          </w:tcPr>
          <w:p w14:paraId="1A6AE6D1">
            <w:pPr>
              <w:spacing w:line="480" w:lineRule="exact"/>
              <w:jc w:val="center"/>
              <w:rPr>
                <w:rFonts w:hint="eastAsia" w:ascii="宋体" w:hAnsi="宋体" w:eastAsia="宋体" w:cs="宋体"/>
                <w:color w:val="auto"/>
                <w:sz w:val="24"/>
                <w:szCs w:val="24"/>
                <w:highlight w:val="none"/>
              </w:rPr>
            </w:pPr>
          </w:p>
        </w:tc>
      </w:tr>
    </w:tbl>
    <w:p w14:paraId="5D6BD4A3">
      <w:pPr>
        <w:snapToGrid w:val="0"/>
        <w:spacing w:line="480" w:lineRule="exact"/>
        <w:ind w:firstLine="120" w:firstLineChars="50"/>
        <w:jc w:val="left"/>
        <w:rPr>
          <w:rFonts w:hint="eastAsia" w:ascii="宋体" w:hAnsi="宋体" w:eastAsia="宋体" w:cs="宋体"/>
          <w:color w:val="auto"/>
          <w:sz w:val="24"/>
          <w:szCs w:val="24"/>
          <w:highlight w:val="none"/>
        </w:rPr>
      </w:pPr>
    </w:p>
    <w:p w14:paraId="74D6B131">
      <w:pPr>
        <w:snapToGrid w:val="0"/>
        <w:spacing w:line="480" w:lineRule="exact"/>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1、报价一经涂改，应在涂改处加盖单位公章</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由法定代表人或授权委托人签字或盖章，否则其投标作无效标处理。</w:t>
      </w:r>
    </w:p>
    <w:p w14:paraId="3D271CA7">
      <w:pPr>
        <w:snapToGrid w:val="0"/>
        <w:spacing w:line="48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2、投标报价应包含</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为本项目提供的所有服务而发生的人工费、成果文件制作费、办公通讯费、交通费、差旅费、管理费、风险、利润、税金和政策规定的应有的各项费用等。</w:t>
      </w:r>
    </w:p>
    <w:p w14:paraId="5D0363B9">
      <w:pPr>
        <w:snapToGrid w:val="0"/>
        <w:spacing w:line="48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上报价应大小写一致。</w:t>
      </w:r>
    </w:p>
    <w:p w14:paraId="11A72A49">
      <w:pPr>
        <w:spacing w:line="480" w:lineRule="exact"/>
        <w:ind w:firstLine="5280" w:firstLineChars="2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540E45">
      <w:pPr>
        <w:spacing w:line="480" w:lineRule="exact"/>
        <w:ind w:firstLine="5280" w:firstLineChars="2200"/>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供应商名称（盖章）：                                                                                                          日期：    年   月   日</w:t>
      </w:r>
    </w:p>
    <w:p w14:paraId="665D52C2">
      <w:pPr>
        <w:rPr>
          <w:rFonts w:hint="eastAsia" w:ascii="宋体" w:hAnsi="宋体" w:eastAsia="宋体" w:cs="宋体"/>
          <w:color w:val="auto"/>
          <w:sz w:val="24"/>
          <w:szCs w:val="24"/>
          <w:highlight w:val="none"/>
        </w:rPr>
      </w:pPr>
      <w:bookmarkStart w:id="131" w:name="_Toc24202"/>
      <w:bookmarkStart w:id="132" w:name="_Toc19190"/>
      <w:bookmarkStart w:id="133" w:name="_Toc498343984"/>
    </w:p>
    <w:p w14:paraId="073C3F9A">
      <w:pPr>
        <w:pStyle w:val="12"/>
        <w:spacing w:line="480" w:lineRule="exact"/>
        <w:jc w:val="center"/>
        <w:outlineLvl w:val="0"/>
        <w:rPr>
          <w:rFonts w:hint="eastAsia" w:ascii="宋体" w:hAnsi="宋体" w:eastAsia="宋体" w:cs="宋体"/>
          <w:b/>
          <w:bCs/>
          <w:color w:val="auto"/>
          <w:sz w:val="24"/>
          <w:szCs w:val="24"/>
          <w:highlight w:val="none"/>
        </w:rPr>
      </w:pPr>
      <w:bookmarkStart w:id="134" w:name="_Toc207"/>
      <w:bookmarkStart w:id="135" w:name="_Toc19307"/>
      <w:bookmarkStart w:id="136" w:name="_Toc26001"/>
    </w:p>
    <w:p w14:paraId="663E4483">
      <w:pPr>
        <w:pStyle w:val="12"/>
        <w:spacing w:line="480" w:lineRule="exact"/>
        <w:jc w:val="center"/>
        <w:outlineLvl w:val="0"/>
        <w:rPr>
          <w:rFonts w:hint="eastAsia" w:ascii="宋体" w:hAnsi="宋体" w:eastAsia="宋体" w:cs="宋体"/>
          <w:b/>
          <w:bCs/>
          <w:color w:val="auto"/>
          <w:sz w:val="24"/>
          <w:szCs w:val="24"/>
          <w:highlight w:val="none"/>
        </w:rPr>
      </w:pPr>
    </w:p>
    <w:p w14:paraId="764AF9FF">
      <w:pPr>
        <w:pStyle w:val="12"/>
        <w:spacing w:line="480" w:lineRule="exact"/>
        <w:jc w:val="center"/>
        <w:outlineLvl w:val="0"/>
        <w:rPr>
          <w:rFonts w:hint="eastAsia" w:ascii="宋体" w:hAnsi="宋体" w:eastAsia="宋体" w:cs="宋体"/>
          <w:b/>
          <w:bCs/>
          <w:color w:val="auto"/>
          <w:sz w:val="24"/>
          <w:szCs w:val="24"/>
          <w:highlight w:val="none"/>
        </w:rPr>
      </w:pPr>
    </w:p>
    <w:p w14:paraId="6CF3D28E">
      <w:pPr>
        <w:pStyle w:val="12"/>
        <w:spacing w:line="48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竞争性磋商第</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u w:val="none"/>
        </w:rPr>
        <w:t xml:space="preserve"> ）</w:t>
      </w:r>
      <w:r>
        <w:rPr>
          <w:rFonts w:hint="eastAsia" w:ascii="宋体" w:hAnsi="宋体" w:eastAsia="宋体" w:cs="宋体"/>
          <w:b/>
          <w:bCs/>
          <w:color w:val="auto"/>
          <w:sz w:val="24"/>
          <w:szCs w:val="24"/>
          <w:highlight w:val="none"/>
        </w:rPr>
        <w:t>次报价单（单独提供）</w:t>
      </w:r>
      <w:bookmarkEnd w:id="131"/>
      <w:bookmarkEnd w:id="132"/>
      <w:bookmarkEnd w:id="134"/>
      <w:bookmarkEnd w:id="135"/>
      <w:bookmarkEnd w:id="136"/>
    </w:p>
    <w:p w14:paraId="566F8C67">
      <w:pPr>
        <w:pStyle w:val="12"/>
        <w:spacing w:line="480" w:lineRule="exact"/>
        <w:rPr>
          <w:rFonts w:hint="eastAsia" w:ascii="宋体" w:hAnsi="宋体" w:eastAsia="宋体" w:cs="宋体"/>
          <w:color w:val="auto"/>
          <w:sz w:val="24"/>
          <w:szCs w:val="24"/>
          <w:highlight w:val="none"/>
        </w:rPr>
      </w:pPr>
    </w:p>
    <w:p w14:paraId="015B6A76">
      <w:pPr>
        <w:pStyle w:val="12"/>
        <w:spacing w:line="480" w:lineRule="exact"/>
        <w:rPr>
          <w:rFonts w:hint="eastAsia" w:ascii="宋体" w:hAnsi="宋体" w:eastAsia="宋体" w:cs="宋体"/>
          <w:color w:val="auto"/>
          <w:sz w:val="24"/>
          <w:szCs w:val="24"/>
          <w:highlight w:val="none"/>
          <w:u w:val="single"/>
        </w:rPr>
      </w:pPr>
      <w:r>
        <w:rPr>
          <w:rFonts w:hint="eastAsia" w:ascii="宋体" w:hAnsi="宋体" w:cs="宋体"/>
          <w:b/>
          <w:bCs/>
          <w:color w:val="auto"/>
          <w:sz w:val="24"/>
          <w:szCs w:val="24"/>
          <w:highlight w:val="none"/>
          <w:u w:val="single"/>
          <w:lang w:eastAsia="zh-CN"/>
        </w:rPr>
        <w:t>新疆准东经济技术开发区经济发展局</w:t>
      </w:r>
      <w:r>
        <w:rPr>
          <w:rFonts w:hint="eastAsia" w:ascii="宋体" w:hAnsi="宋体" w:eastAsia="宋体" w:cs="宋体"/>
          <w:b/>
          <w:bCs/>
          <w:color w:val="auto"/>
          <w:sz w:val="24"/>
          <w:szCs w:val="24"/>
          <w:highlight w:val="none"/>
          <w:u w:val="single"/>
        </w:rPr>
        <w:t>：</w:t>
      </w:r>
    </w:p>
    <w:p w14:paraId="7F44F8ED">
      <w:pPr>
        <w:pStyle w:val="12"/>
        <w:widowControl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根据竞争性磋商文件上明确的各项要求，本人经请示公司领导同意并代表本公司对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竞争性磋商做出最终报价（人民币）如下：</w:t>
      </w:r>
    </w:p>
    <w:p w14:paraId="6A814C88">
      <w:pPr>
        <w:pStyle w:val="12"/>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F8E658A">
      <w:pPr>
        <w:pStyle w:val="12"/>
        <w:spacing w:line="4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（小写）     </w:t>
      </w:r>
    </w:p>
    <w:p w14:paraId="0F2BF200">
      <w:pPr>
        <w:pStyle w:val="12"/>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p>
    <w:p w14:paraId="27C9F2C1">
      <w:pPr>
        <w:pStyle w:val="12"/>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3B2DCF5">
      <w:pPr>
        <w:pStyle w:val="12"/>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相关补充说明：</w:t>
      </w:r>
    </w:p>
    <w:p w14:paraId="2EBD0077">
      <w:pPr>
        <w:pStyle w:val="12"/>
        <w:spacing w:line="480" w:lineRule="exact"/>
        <w:rPr>
          <w:rFonts w:hint="eastAsia" w:ascii="宋体" w:hAnsi="宋体" w:eastAsia="宋体" w:cs="宋体"/>
          <w:color w:val="auto"/>
          <w:sz w:val="24"/>
          <w:szCs w:val="24"/>
          <w:highlight w:val="none"/>
        </w:rPr>
      </w:pPr>
    </w:p>
    <w:p w14:paraId="30C5E52C">
      <w:pPr>
        <w:spacing w:line="480" w:lineRule="exact"/>
        <w:rPr>
          <w:rFonts w:hint="eastAsia" w:ascii="宋体" w:hAnsi="宋体" w:eastAsia="宋体" w:cs="宋体"/>
          <w:color w:val="auto"/>
          <w:sz w:val="24"/>
          <w:szCs w:val="24"/>
          <w:highlight w:val="none"/>
        </w:rPr>
      </w:pPr>
    </w:p>
    <w:p w14:paraId="728979A7">
      <w:pPr>
        <w:spacing w:line="480" w:lineRule="exact"/>
        <w:ind w:firstLine="5280" w:firstLineChars="2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45AD3C69">
      <w:pPr>
        <w:spacing w:line="480" w:lineRule="exact"/>
        <w:jc w:val="left"/>
        <w:rPr>
          <w:rFonts w:hint="eastAsia" w:ascii="宋体" w:hAnsi="宋体" w:eastAsia="宋体" w:cs="宋体"/>
          <w:color w:val="auto"/>
          <w:sz w:val="24"/>
          <w:szCs w:val="24"/>
          <w:highlight w:val="none"/>
        </w:rPr>
      </w:pPr>
    </w:p>
    <w:p w14:paraId="2CCFF1D9">
      <w:pPr>
        <w:snapToGrid w:val="0"/>
        <w:spacing w:before="50" w:after="50" w:line="480" w:lineRule="exact"/>
        <w:ind w:left="5615" w:leftChars="331" w:right="-817" w:rightChars="-389" w:hanging="4920" w:hangingChars="20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4A1A67CC">
      <w:pPr>
        <w:pStyle w:val="12"/>
        <w:spacing w:line="480" w:lineRule="exact"/>
        <w:rPr>
          <w:rFonts w:hint="eastAsia" w:ascii="宋体" w:hAnsi="宋体" w:eastAsia="宋体" w:cs="宋体"/>
          <w:b/>
          <w:bCs/>
          <w:color w:val="auto"/>
          <w:sz w:val="24"/>
          <w:szCs w:val="24"/>
          <w:highlight w:val="none"/>
          <w:u w:val="single"/>
        </w:rPr>
      </w:pPr>
    </w:p>
    <w:p w14:paraId="755B9A3E">
      <w:pPr>
        <w:pStyle w:val="12"/>
        <w:spacing w:line="480" w:lineRule="exact"/>
        <w:rPr>
          <w:rFonts w:hint="eastAsia" w:ascii="宋体" w:hAnsi="宋体" w:eastAsia="宋体" w:cs="宋体"/>
          <w:b/>
          <w:bCs/>
          <w:color w:val="auto"/>
          <w:sz w:val="24"/>
          <w:szCs w:val="24"/>
          <w:highlight w:val="none"/>
          <w:u w:val="single"/>
        </w:rPr>
      </w:pPr>
    </w:p>
    <w:p w14:paraId="7037CDCD">
      <w:pPr>
        <w:pStyle w:val="12"/>
        <w:spacing w:line="480" w:lineRule="exact"/>
        <w:rPr>
          <w:rFonts w:hint="eastAsia" w:ascii="宋体" w:hAnsi="宋体" w:eastAsia="宋体" w:cs="宋体"/>
          <w:color w:val="auto"/>
          <w:sz w:val="24"/>
          <w:szCs w:val="24"/>
          <w:highlight w:val="none"/>
        </w:rPr>
        <w:sectPr>
          <w:headerReference r:id="rId10" w:type="first"/>
          <w:footerReference r:id="rId12" w:type="first"/>
          <w:headerReference r:id="rId9" w:type="default"/>
          <w:footerReference r:id="rId11" w:type="default"/>
          <w:pgSz w:w="11906" w:h="16838"/>
          <w:pgMar w:top="1417" w:right="1418" w:bottom="1417" w:left="1418" w:header="851" w:footer="850" w:gutter="0"/>
          <w:pgNumType w:fmt="decimal"/>
          <w:cols w:space="720" w:num="1"/>
          <w:docGrid w:type="lines" w:linePitch="312" w:charSpace="0"/>
        </w:sectPr>
      </w:pPr>
      <w:r>
        <w:rPr>
          <w:rFonts w:hint="eastAsia" w:ascii="宋体" w:hAnsi="宋体" w:eastAsia="宋体" w:cs="宋体"/>
          <w:b/>
          <w:bCs/>
          <w:color w:val="auto"/>
          <w:sz w:val="24"/>
          <w:szCs w:val="24"/>
          <w:highlight w:val="none"/>
          <w:u w:val="single"/>
        </w:rPr>
        <w:t>（说明：本页《报价单》由供应商在磋商现场依磋商情况填写，请加盖公章，用于磋商供应商进行最后报价</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不需装订在响应文件内</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p>
    <w:p w14:paraId="1065D293">
      <w:pPr>
        <w:pStyle w:val="172"/>
        <w:spacing w:line="480" w:lineRule="exact"/>
        <w:jc w:val="center"/>
        <w:outlineLvl w:val="1"/>
        <w:rPr>
          <w:rFonts w:hint="eastAsia" w:ascii="宋体" w:hAnsi="宋体" w:eastAsia="宋体" w:cs="宋体"/>
          <w:b/>
          <w:color w:val="auto"/>
          <w:highlight w:val="none"/>
        </w:rPr>
      </w:pPr>
      <w:bookmarkStart w:id="137" w:name="_Toc30607"/>
      <w:r>
        <w:rPr>
          <w:rFonts w:hint="eastAsia" w:ascii="宋体" w:hAnsi="宋体" w:eastAsia="宋体" w:cs="宋体"/>
          <w:b/>
          <w:color w:val="auto"/>
          <w:highlight w:val="none"/>
        </w:rPr>
        <w:t>4、商务条款偏离表</w:t>
      </w:r>
      <w:bookmarkEnd w:id="133"/>
      <w:bookmarkEnd w:id="137"/>
    </w:p>
    <w:p w14:paraId="338DE5CE">
      <w:pPr>
        <w:pStyle w:val="172"/>
        <w:spacing w:line="480" w:lineRule="exact"/>
        <w:jc w:val="both"/>
        <w:outlineLvl w:val="1"/>
        <w:rPr>
          <w:rFonts w:hint="eastAsia" w:ascii="宋体" w:hAnsi="宋体" w:eastAsia="宋体" w:cs="宋体"/>
          <w:color w:val="auto"/>
          <w:highlight w:val="none"/>
          <w:u w:val="single"/>
        </w:rPr>
      </w:pPr>
      <w:bookmarkStart w:id="138" w:name="_Toc5608"/>
      <w:r>
        <w:rPr>
          <w:rFonts w:hint="eastAsia" w:ascii="宋体" w:hAnsi="宋体" w:eastAsia="宋体" w:cs="宋体"/>
          <w:color w:val="auto"/>
          <w:highlight w:val="none"/>
        </w:rPr>
        <w:t xml:space="preserve">项目名称：               </w:t>
      </w:r>
      <w:bookmarkEnd w:id="138"/>
      <w:r>
        <w:rPr>
          <w:rFonts w:hint="eastAsia" w:ascii="宋体" w:hAnsi="宋体" w:eastAsia="宋体" w:cs="宋体"/>
          <w:color w:val="auto"/>
          <w:highlight w:val="none"/>
        </w:rPr>
        <w:t xml:space="preserve">                  </w:t>
      </w:r>
    </w:p>
    <w:tbl>
      <w:tblPr>
        <w:tblStyle w:val="32"/>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73"/>
        <w:gridCol w:w="2877"/>
        <w:gridCol w:w="1150"/>
        <w:gridCol w:w="2525"/>
        <w:gridCol w:w="1275"/>
      </w:tblGrid>
      <w:tr w14:paraId="6E83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74" w:type="dxa"/>
            <w:vMerge w:val="restart"/>
            <w:vAlign w:val="center"/>
          </w:tcPr>
          <w:p w14:paraId="1DCB4102">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950" w:type="dxa"/>
            <w:gridSpan w:val="2"/>
            <w:vAlign w:val="center"/>
          </w:tcPr>
          <w:p w14:paraId="17B6DF96">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文件条款</w:t>
            </w:r>
          </w:p>
        </w:tc>
        <w:tc>
          <w:tcPr>
            <w:tcW w:w="3675" w:type="dxa"/>
            <w:gridSpan w:val="2"/>
            <w:vAlign w:val="center"/>
          </w:tcPr>
          <w:p w14:paraId="33AA3CA7">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文件条款</w:t>
            </w:r>
          </w:p>
        </w:tc>
        <w:tc>
          <w:tcPr>
            <w:tcW w:w="1275" w:type="dxa"/>
            <w:vMerge w:val="restart"/>
            <w:vAlign w:val="center"/>
          </w:tcPr>
          <w:p w14:paraId="27E0DCF0">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r>
      <w:tr w14:paraId="270A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74" w:type="dxa"/>
            <w:vMerge w:val="continue"/>
            <w:vAlign w:val="center"/>
          </w:tcPr>
          <w:p w14:paraId="47A625DF">
            <w:pPr>
              <w:pStyle w:val="16"/>
              <w:spacing w:line="480" w:lineRule="exact"/>
              <w:jc w:val="center"/>
              <w:rPr>
                <w:rFonts w:hint="eastAsia" w:ascii="宋体" w:hAnsi="宋体" w:eastAsia="宋体" w:cs="宋体"/>
                <w:b/>
                <w:color w:val="auto"/>
                <w:sz w:val="24"/>
                <w:szCs w:val="24"/>
                <w:highlight w:val="none"/>
              </w:rPr>
            </w:pPr>
          </w:p>
        </w:tc>
        <w:tc>
          <w:tcPr>
            <w:tcW w:w="1073" w:type="dxa"/>
            <w:vAlign w:val="center"/>
          </w:tcPr>
          <w:p w14:paraId="757DC002">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77" w:type="dxa"/>
            <w:vAlign w:val="center"/>
          </w:tcPr>
          <w:p w14:paraId="58A652BD">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文件条款内容</w:t>
            </w:r>
          </w:p>
        </w:tc>
        <w:tc>
          <w:tcPr>
            <w:tcW w:w="1150" w:type="dxa"/>
            <w:vAlign w:val="center"/>
          </w:tcPr>
          <w:p w14:paraId="0BB553D3">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525" w:type="dxa"/>
            <w:vAlign w:val="center"/>
          </w:tcPr>
          <w:p w14:paraId="5FBFD2FA">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文件对应条款</w:t>
            </w:r>
          </w:p>
        </w:tc>
        <w:tc>
          <w:tcPr>
            <w:tcW w:w="1275" w:type="dxa"/>
            <w:vMerge w:val="continue"/>
            <w:vAlign w:val="center"/>
          </w:tcPr>
          <w:p w14:paraId="6E552D06">
            <w:pPr>
              <w:pStyle w:val="16"/>
              <w:spacing w:line="480" w:lineRule="exact"/>
              <w:jc w:val="center"/>
              <w:rPr>
                <w:rFonts w:hint="eastAsia" w:ascii="宋体" w:hAnsi="宋体" w:eastAsia="宋体" w:cs="宋体"/>
                <w:b/>
                <w:color w:val="auto"/>
                <w:sz w:val="24"/>
                <w:szCs w:val="24"/>
                <w:highlight w:val="none"/>
              </w:rPr>
            </w:pPr>
          </w:p>
        </w:tc>
      </w:tr>
      <w:tr w14:paraId="3C52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23AD646A">
            <w:pPr>
              <w:pStyle w:val="16"/>
              <w:spacing w:line="480" w:lineRule="exact"/>
              <w:jc w:val="center"/>
              <w:rPr>
                <w:rFonts w:hint="eastAsia" w:ascii="宋体" w:hAnsi="宋体" w:eastAsia="宋体" w:cs="宋体"/>
                <w:b/>
                <w:color w:val="auto"/>
                <w:sz w:val="24"/>
                <w:szCs w:val="24"/>
                <w:highlight w:val="none"/>
              </w:rPr>
            </w:pPr>
          </w:p>
        </w:tc>
        <w:tc>
          <w:tcPr>
            <w:tcW w:w="1073" w:type="dxa"/>
            <w:vAlign w:val="center"/>
          </w:tcPr>
          <w:p w14:paraId="7F687388">
            <w:pPr>
              <w:pStyle w:val="16"/>
              <w:spacing w:line="480" w:lineRule="exact"/>
              <w:jc w:val="center"/>
              <w:rPr>
                <w:rFonts w:hint="eastAsia" w:ascii="宋体" w:hAnsi="宋体" w:eastAsia="宋体" w:cs="宋体"/>
                <w:b/>
                <w:color w:val="auto"/>
                <w:sz w:val="24"/>
                <w:szCs w:val="24"/>
                <w:highlight w:val="none"/>
              </w:rPr>
            </w:pPr>
          </w:p>
        </w:tc>
        <w:tc>
          <w:tcPr>
            <w:tcW w:w="2877" w:type="dxa"/>
            <w:vAlign w:val="center"/>
          </w:tcPr>
          <w:p w14:paraId="74654806">
            <w:pPr>
              <w:pStyle w:val="16"/>
              <w:spacing w:line="480" w:lineRule="exact"/>
              <w:jc w:val="center"/>
              <w:rPr>
                <w:rFonts w:hint="eastAsia" w:ascii="宋体" w:hAnsi="宋体" w:eastAsia="宋体" w:cs="宋体"/>
                <w:b/>
                <w:color w:val="auto"/>
                <w:sz w:val="24"/>
                <w:szCs w:val="24"/>
                <w:highlight w:val="none"/>
              </w:rPr>
            </w:pPr>
          </w:p>
        </w:tc>
        <w:tc>
          <w:tcPr>
            <w:tcW w:w="1150" w:type="dxa"/>
            <w:vAlign w:val="center"/>
          </w:tcPr>
          <w:p w14:paraId="18BFBB91">
            <w:pPr>
              <w:pStyle w:val="16"/>
              <w:spacing w:line="480" w:lineRule="exact"/>
              <w:jc w:val="center"/>
              <w:rPr>
                <w:rFonts w:hint="eastAsia" w:ascii="宋体" w:hAnsi="宋体" w:eastAsia="宋体" w:cs="宋体"/>
                <w:b/>
                <w:color w:val="auto"/>
                <w:sz w:val="24"/>
                <w:szCs w:val="24"/>
                <w:highlight w:val="none"/>
              </w:rPr>
            </w:pPr>
          </w:p>
        </w:tc>
        <w:tc>
          <w:tcPr>
            <w:tcW w:w="2525" w:type="dxa"/>
            <w:vAlign w:val="center"/>
          </w:tcPr>
          <w:p w14:paraId="59F7C7F5">
            <w:pPr>
              <w:pStyle w:val="16"/>
              <w:spacing w:line="480" w:lineRule="exact"/>
              <w:jc w:val="center"/>
              <w:rPr>
                <w:rFonts w:hint="eastAsia" w:ascii="宋体" w:hAnsi="宋体" w:eastAsia="宋体" w:cs="宋体"/>
                <w:b/>
                <w:color w:val="auto"/>
                <w:sz w:val="24"/>
                <w:szCs w:val="24"/>
                <w:highlight w:val="none"/>
              </w:rPr>
            </w:pPr>
          </w:p>
        </w:tc>
        <w:tc>
          <w:tcPr>
            <w:tcW w:w="1275" w:type="dxa"/>
            <w:vAlign w:val="center"/>
          </w:tcPr>
          <w:p w14:paraId="34384E79">
            <w:pPr>
              <w:pStyle w:val="16"/>
              <w:spacing w:line="480" w:lineRule="exact"/>
              <w:jc w:val="center"/>
              <w:rPr>
                <w:rFonts w:hint="eastAsia" w:ascii="宋体" w:hAnsi="宋体" w:eastAsia="宋体" w:cs="宋体"/>
                <w:b/>
                <w:color w:val="auto"/>
                <w:sz w:val="24"/>
                <w:szCs w:val="24"/>
                <w:highlight w:val="none"/>
              </w:rPr>
            </w:pPr>
          </w:p>
        </w:tc>
      </w:tr>
      <w:tr w14:paraId="38EA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7CF1125E">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3CD4EDD5">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5DCFCD61">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1311ECF3">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2219A55E">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19513A81">
            <w:pPr>
              <w:pStyle w:val="16"/>
              <w:spacing w:line="480" w:lineRule="exact"/>
              <w:jc w:val="center"/>
              <w:rPr>
                <w:rFonts w:hint="eastAsia" w:ascii="宋体" w:hAnsi="宋体" w:eastAsia="宋体" w:cs="宋体"/>
                <w:color w:val="auto"/>
                <w:sz w:val="24"/>
                <w:szCs w:val="24"/>
                <w:highlight w:val="none"/>
              </w:rPr>
            </w:pPr>
          </w:p>
        </w:tc>
      </w:tr>
      <w:tr w14:paraId="7CC5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04701C06">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325BAEA1">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5FC2288">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33BDA78">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1FD84DBB">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56FACEE4">
            <w:pPr>
              <w:pStyle w:val="16"/>
              <w:spacing w:line="480" w:lineRule="exact"/>
              <w:jc w:val="center"/>
              <w:rPr>
                <w:rFonts w:hint="eastAsia" w:ascii="宋体" w:hAnsi="宋体" w:eastAsia="宋体" w:cs="宋体"/>
                <w:color w:val="auto"/>
                <w:sz w:val="24"/>
                <w:szCs w:val="24"/>
                <w:highlight w:val="none"/>
              </w:rPr>
            </w:pPr>
          </w:p>
        </w:tc>
      </w:tr>
      <w:tr w14:paraId="2ECC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2A5AF2E3">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378DA316">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FE735BF">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35308CB8">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30D8E0BB">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0FCE124A">
            <w:pPr>
              <w:pStyle w:val="16"/>
              <w:spacing w:line="480" w:lineRule="exact"/>
              <w:jc w:val="center"/>
              <w:rPr>
                <w:rFonts w:hint="eastAsia" w:ascii="宋体" w:hAnsi="宋体" w:eastAsia="宋体" w:cs="宋体"/>
                <w:color w:val="auto"/>
                <w:sz w:val="24"/>
                <w:szCs w:val="24"/>
                <w:highlight w:val="none"/>
              </w:rPr>
            </w:pPr>
          </w:p>
        </w:tc>
      </w:tr>
      <w:tr w14:paraId="57D3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66303978">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325DE3E6">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53DDBB57">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01BC99E">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4D8456DD">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36095153">
            <w:pPr>
              <w:pStyle w:val="16"/>
              <w:spacing w:line="480" w:lineRule="exact"/>
              <w:jc w:val="center"/>
              <w:rPr>
                <w:rFonts w:hint="eastAsia" w:ascii="宋体" w:hAnsi="宋体" w:eastAsia="宋体" w:cs="宋体"/>
                <w:color w:val="auto"/>
                <w:sz w:val="24"/>
                <w:szCs w:val="24"/>
                <w:highlight w:val="none"/>
              </w:rPr>
            </w:pPr>
          </w:p>
        </w:tc>
      </w:tr>
      <w:tr w14:paraId="4A38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74" w:type="dxa"/>
            <w:vAlign w:val="center"/>
          </w:tcPr>
          <w:p w14:paraId="42E285A4">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4A3F08C0">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218E6E56">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F97AEF3">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34B48B8D">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5B3303BF">
            <w:pPr>
              <w:pStyle w:val="16"/>
              <w:spacing w:line="480" w:lineRule="exact"/>
              <w:jc w:val="center"/>
              <w:rPr>
                <w:rFonts w:hint="eastAsia" w:ascii="宋体" w:hAnsi="宋体" w:eastAsia="宋体" w:cs="宋体"/>
                <w:color w:val="auto"/>
                <w:sz w:val="24"/>
                <w:szCs w:val="24"/>
                <w:highlight w:val="none"/>
              </w:rPr>
            </w:pPr>
          </w:p>
        </w:tc>
      </w:tr>
      <w:tr w14:paraId="58FF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74" w:type="dxa"/>
            <w:vAlign w:val="center"/>
          </w:tcPr>
          <w:p w14:paraId="67E1B3FE">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305705A8">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4836184">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7FD7AB6">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32E13D6A">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6DDD4F95">
            <w:pPr>
              <w:pStyle w:val="16"/>
              <w:spacing w:line="480" w:lineRule="exact"/>
              <w:jc w:val="center"/>
              <w:rPr>
                <w:rFonts w:hint="eastAsia" w:ascii="宋体" w:hAnsi="宋体" w:eastAsia="宋体" w:cs="宋体"/>
                <w:color w:val="auto"/>
                <w:sz w:val="24"/>
                <w:szCs w:val="24"/>
                <w:highlight w:val="none"/>
              </w:rPr>
            </w:pPr>
          </w:p>
        </w:tc>
      </w:tr>
      <w:tr w14:paraId="6E86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4" w:type="dxa"/>
            <w:vAlign w:val="center"/>
          </w:tcPr>
          <w:p w14:paraId="4AE60BD5">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593726B6">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5159D3B">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070997B">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24BBDED8">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71A30D03">
            <w:pPr>
              <w:pStyle w:val="16"/>
              <w:spacing w:line="480" w:lineRule="exact"/>
              <w:jc w:val="center"/>
              <w:rPr>
                <w:rFonts w:hint="eastAsia" w:ascii="宋体" w:hAnsi="宋体" w:eastAsia="宋体" w:cs="宋体"/>
                <w:color w:val="auto"/>
                <w:sz w:val="24"/>
                <w:szCs w:val="24"/>
                <w:highlight w:val="none"/>
              </w:rPr>
            </w:pPr>
          </w:p>
        </w:tc>
      </w:tr>
      <w:tr w14:paraId="4CE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4" w:type="dxa"/>
            <w:vAlign w:val="center"/>
          </w:tcPr>
          <w:p w14:paraId="6CD73801">
            <w:pPr>
              <w:pStyle w:val="16"/>
              <w:spacing w:line="480" w:lineRule="exact"/>
              <w:jc w:val="center"/>
              <w:rPr>
                <w:rFonts w:hint="eastAsia" w:ascii="宋体" w:hAnsi="宋体" w:eastAsia="宋体" w:cs="宋体"/>
                <w:color w:val="auto"/>
                <w:sz w:val="24"/>
                <w:szCs w:val="24"/>
                <w:highlight w:val="none"/>
              </w:rPr>
            </w:pPr>
          </w:p>
          <w:p w14:paraId="57E9A9B8">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7CBEE560">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1416A942">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5EBAC6D5">
            <w:pPr>
              <w:pStyle w:val="16"/>
              <w:spacing w:line="480" w:lineRule="exact"/>
              <w:jc w:val="center"/>
              <w:rPr>
                <w:rFonts w:hint="eastAsia" w:ascii="宋体" w:hAnsi="宋体" w:eastAsia="宋体" w:cs="宋体"/>
                <w:color w:val="auto"/>
                <w:sz w:val="24"/>
                <w:szCs w:val="24"/>
                <w:highlight w:val="none"/>
              </w:rPr>
            </w:pPr>
          </w:p>
        </w:tc>
        <w:tc>
          <w:tcPr>
            <w:tcW w:w="2525" w:type="dxa"/>
            <w:vAlign w:val="center"/>
          </w:tcPr>
          <w:p w14:paraId="7D71770D">
            <w:pPr>
              <w:pStyle w:val="16"/>
              <w:spacing w:line="480" w:lineRule="exact"/>
              <w:jc w:val="center"/>
              <w:rPr>
                <w:rFonts w:hint="eastAsia" w:ascii="宋体" w:hAnsi="宋体" w:eastAsia="宋体" w:cs="宋体"/>
                <w:color w:val="auto"/>
                <w:sz w:val="24"/>
                <w:szCs w:val="24"/>
                <w:highlight w:val="none"/>
              </w:rPr>
            </w:pPr>
          </w:p>
        </w:tc>
        <w:tc>
          <w:tcPr>
            <w:tcW w:w="1275" w:type="dxa"/>
            <w:vAlign w:val="center"/>
          </w:tcPr>
          <w:p w14:paraId="1FEC6870">
            <w:pPr>
              <w:pStyle w:val="16"/>
              <w:spacing w:line="480" w:lineRule="exact"/>
              <w:jc w:val="center"/>
              <w:rPr>
                <w:rFonts w:hint="eastAsia" w:ascii="宋体" w:hAnsi="宋体" w:eastAsia="宋体" w:cs="宋体"/>
                <w:color w:val="auto"/>
                <w:sz w:val="24"/>
                <w:szCs w:val="24"/>
                <w:highlight w:val="none"/>
              </w:rPr>
            </w:pPr>
          </w:p>
        </w:tc>
      </w:tr>
    </w:tbl>
    <w:p w14:paraId="7E09C984">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41D674B">
      <w:pPr>
        <w:pStyle w:val="172"/>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cs="宋体"/>
          <w:color w:val="auto"/>
          <w:highlight w:val="none"/>
          <w:lang w:eastAsia="zh-CN"/>
        </w:rPr>
        <w:t>：</w:t>
      </w:r>
      <w:r>
        <w:rPr>
          <w:rFonts w:hint="eastAsia" w:ascii="宋体" w:hAnsi="宋体" w:eastAsia="宋体" w:cs="宋体"/>
          <w:color w:val="auto"/>
          <w:highlight w:val="none"/>
        </w:rPr>
        <w:t>若有偏离</w:t>
      </w:r>
      <w:r>
        <w:rPr>
          <w:rFonts w:hint="eastAsia" w:ascii="宋体" w:hAnsi="宋体" w:cs="宋体"/>
          <w:color w:val="auto"/>
          <w:highlight w:val="none"/>
          <w:lang w:eastAsia="zh-CN"/>
        </w:rPr>
        <w:t>，</w:t>
      </w:r>
      <w:r>
        <w:rPr>
          <w:rFonts w:hint="eastAsia" w:ascii="宋体" w:hAnsi="宋体" w:eastAsia="宋体" w:cs="宋体"/>
          <w:color w:val="auto"/>
          <w:highlight w:val="none"/>
        </w:rPr>
        <w:t>请将具体偏离条款在“偏离情况”一栏中详细说明；若无偏离</w:t>
      </w:r>
      <w:r>
        <w:rPr>
          <w:rFonts w:hint="eastAsia" w:ascii="宋体" w:hAnsi="宋体" w:cs="宋体"/>
          <w:color w:val="auto"/>
          <w:highlight w:val="none"/>
          <w:lang w:eastAsia="zh-CN"/>
        </w:rPr>
        <w:t>，</w:t>
      </w:r>
      <w:r>
        <w:rPr>
          <w:rFonts w:hint="eastAsia" w:ascii="宋体" w:hAnsi="宋体" w:eastAsia="宋体" w:cs="宋体"/>
          <w:color w:val="auto"/>
          <w:highlight w:val="none"/>
        </w:rPr>
        <w:t>请在“偏离情况”一栏中标注“无”字样，实际存在负偏离而在本表内没有列明的，视为虚假投标。</w:t>
      </w:r>
    </w:p>
    <w:p w14:paraId="22ED7579">
      <w:pPr>
        <w:pStyle w:val="172"/>
        <w:spacing w:line="480" w:lineRule="exact"/>
        <w:rPr>
          <w:rFonts w:hint="eastAsia" w:ascii="宋体" w:hAnsi="宋体" w:eastAsia="宋体" w:cs="宋体"/>
          <w:color w:val="auto"/>
          <w:highlight w:val="none"/>
        </w:rPr>
      </w:pPr>
    </w:p>
    <w:p w14:paraId="0F798211">
      <w:pPr>
        <w:pStyle w:val="172"/>
        <w:spacing w:line="480" w:lineRule="exact"/>
        <w:rPr>
          <w:rFonts w:hint="eastAsia" w:ascii="宋体" w:hAnsi="宋体" w:eastAsia="宋体" w:cs="宋体"/>
          <w:color w:val="auto"/>
          <w:highlight w:val="none"/>
        </w:rPr>
      </w:pPr>
    </w:p>
    <w:p w14:paraId="1F1AE34F">
      <w:pPr>
        <w:spacing w:line="480" w:lineRule="exact"/>
        <w:ind w:firstLine="5280" w:firstLineChars="2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供应商名称（盖章）：                            </w:t>
      </w:r>
    </w:p>
    <w:p w14:paraId="66DAFBCF">
      <w:pPr>
        <w:spacing w:line="480" w:lineRule="exact"/>
        <w:jc w:val="left"/>
        <w:rPr>
          <w:rFonts w:hint="eastAsia" w:ascii="宋体" w:hAnsi="宋体" w:eastAsia="宋体" w:cs="宋体"/>
          <w:color w:val="auto"/>
          <w:sz w:val="24"/>
          <w:szCs w:val="24"/>
          <w:highlight w:val="none"/>
        </w:rPr>
      </w:pPr>
    </w:p>
    <w:p w14:paraId="0D1E4AD3">
      <w:pPr>
        <w:snapToGrid w:val="0"/>
        <w:spacing w:before="50" w:after="50" w:line="480" w:lineRule="exact"/>
        <w:ind w:left="5615" w:leftChars="331" w:right="-817" w:rightChars="-389" w:hanging="4920" w:hangingChars="20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0E72863F">
      <w:pPr>
        <w:pStyle w:val="172"/>
        <w:spacing w:line="480" w:lineRule="exact"/>
        <w:rPr>
          <w:rFonts w:hint="eastAsia" w:ascii="宋体" w:hAnsi="宋体" w:eastAsia="宋体" w:cs="宋体"/>
          <w:color w:val="auto"/>
          <w:highlight w:val="none"/>
        </w:rPr>
      </w:pPr>
    </w:p>
    <w:p w14:paraId="6D272128">
      <w:pPr>
        <w:pStyle w:val="172"/>
        <w:spacing w:line="480" w:lineRule="exact"/>
        <w:rPr>
          <w:rFonts w:hint="eastAsia" w:ascii="宋体" w:hAnsi="宋体" w:eastAsia="宋体" w:cs="宋体"/>
          <w:color w:val="auto"/>
          <w:highlight w:val="none"/>
        </w:rPr>
      </w:pPr>
    </w:p>
    <w:p w14:paraId="435E7F6F">
      <w:pPr>
        <w:pStyle w:val="172"/>
        <w:spacing w:line="480" w:lineRule="exact"/>
        <w:rPr>
          <w:rFonts w:hint="eastAsia" w:ascii="宋体" w:hAnsi="宋体" w:eastAsia="宋体" w:cs="宋体"/>
          <w:color w:val="auto"/>
          <w:highlight w:val="none"/>
        </w:rPr>
      </w:pPr>
    </w:p>
    <w:p w14:paraId="2AF74A6B">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保证金</w:t>
      </w:r>
    </w:p>
    <w:p w14:paraId="18A00E34">
      <w:pPr>
        <w:spacing w:line="480" w:lineRule="exact"/>
        <w:rPr>
          <w:rFonts w:hint="eastAsia" w:ascii="宋体" w:hAnsi="宋体" w:eastAsia="宋体" w:cs="宋体"/>
          <w:color w:val="auto"/>
          <w:sz w:val="24"/>
          <w:szCs w:val="24"/>
          <w:highlight w:val="none"/>
        </w:rPr>
      </w:pPr>
    </w:p>
    <w:p w14:paraId="08E3D1E6">
      <w:pPr>
        <w:spacing w:line="480" w:lineRule="exact"/>
        <w:rPr>
          <w:rFonts w:hint="eastAsia" w:ascii="宋体" w:hAnsi="宋体" w:eastAsia="宋体" w:cs="宋体"/>
          <w:color w:val="auto"/>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80"/>
      </w:tblGrid>
      <w:tr w14:paraId="71954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5" w:hRule="atLeast"/>
          <w:jc w:val="center"/>
        </w:trPr>
        <w:tc>
          <w:tcPr>
            <w:tcW w:w="6280" w:type="dxa"/>
            <w:tcBorders>
              <w:top w:val="single" w:color="auto" w:sz="4" w:space="0"/>
              <w:bottom w:val="single" w:color="auto" w:sz="4" w:space="0"/>
            </w:tcBorders>
            <w:vAlign w:val="center"/>
          </w:tcPr>
          <w:p w14:paraId="350B6496">
            <w:pPr>
              <w:spacing w:line="48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保证金汇款凭证</w:t>
            </w:r>
            <w:r>
              <w:rPr>
                <w:rFonts w:hint="eastAsia" w:ascii="宋体" w:hAnsi="宋体" w:cs="宋体"/>
                <w:color w:val="auto"/>
                <w:sz w:val="24"/>
                <w:szCs w:val="24"/>
                <w:highlight w:val="none"/>
                <w:lang w:val="en-US" w:eastAsia="zh-CN"/>
              </w:rPr>
              <w:t>或保函</w:t>
            </w:r>
            <w:r>
              <w:rPr>
                <w:rFonts w:hint="eastAsia" w:ascii="宋体" w:hAnsi="宋体" w:eastAsia="宋体" w:cs="宋体"/>
                <w:color w:val="auto"/>
                <w:sz w:val="24"/>
                <w:szCs w:val="24"/>
                <w:highlight w:val="none"/>
              </w:rPr>
              <w:t>复印件</w:t>
            </w:r>
          </w:p>
        </w:tc>
      </w:tr>
      <w:tr w14:paraId="172D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6" w:hRule="atLeast"/>
          <w:jc w:val="center"/>
        </w:trPr>
        <w:tc>
          <w:tcPr>
            <w:tcW w:w="6280" w:type="dxa"/>
            <w:tcBorders>
              <w:top w:val="single" w:color="auto" w:sz="4" w:space="0"/>
              <w:bottom w:val="single" w:color="auto" w:sz="4" w:space="0"/>
            </w:tcBorders>
            <w:vAlign w:val="center"/>
          </w:tcPr>
          <w:p w14:paraId="01FA20D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企业基本账户开户许可证复印件</w:t>
            </w:r>
          </w:p>
        </w:tc>
      </w:tr>
    </w:tbl>
    <w:p w14:paraId="62CE7D1F">
      <w:pPr>
        <w:pStyle w:val="172"/>
        <w:spacing w:line="480" w:lineRule="exact"/>
        <w:rPr>
          <w:rFonts w:hint="eastAsia" w:ascii="宋体" w:hAnsi="宋体" w:eastAsia="宋体" w:cs="宋体"/>
          <w:color w:val="auto"/>
          <w:highlight w:val="none"/>
        </w:rPr>
        <w:sectPr>
          <w:headerReference r:id="rId13" w:type="default"/>
          <w:footerReference r:id="rId14" w:type="default"/>
          <w:pgSz w:w="11906" w:h="16838"/>
          <w:pgMar w:top="1417" w:right="1418" w:bottom="1417" w:left="1418" w:header="851" w:footer="850" w:gutter="0"/>
          <w:pgNumType w:fmt="decimal"/>
          <w:cols w:space="720" w:num="1"/>
          <w:docGrid w:type="lines" w:linePitch="312" w:charSpace="0"/>
        </w:sectPr>
      </w:pPr>
    </w:p>
    <w:p w14:paraId="10C2B4C1">
      <w:pPr>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6、供应商符合资格条件的证明文件</w:t>
      </w:r>
    </w:p>
    <w:p w14:paraId="39ABF29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p w14:paraId="0F455DC9">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供应商基本情况表</w:t>
      </w:r>
    </w:p>
    <w:tbl>
      <w:tblPr>
        <w:tblStyle w:val="32"/>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3820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noWrap w:val="0"/>
            <w:vAlign w:val="center"/>
          </w:tcPr>
          <w:p w14:paraId="5DD72133">
            <w:pPr>
              <w:pageBreakBefore w:val="0"/>
              <w:kinsoku/>
              <w:overflowPunct/>
              <w:topLinePunct w:val="0"/>
              <w:autoSpaceDE/>
              <w:autoSpaceDN/>
              <w:bidi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668" w:type="dxa"/>
            <w:gridSpan w:val="5"/>
            <w:noWrap w:val="0"/>
            <w:vAlign w:val="center"/>
          </w:tcPr>
          <w:p w14:paraId="5A2C86B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15EA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046D36E9">
            <w:pPr>
              <w:pageBreakBefore w:val="0"/>
              <w:kinsoku/>
              <w:overflowPunct/>
              <w:topLinePunct w:val="0"/>
              <w:autoSpaceDE/>
              <w:autoSpaceDN/>
              <w:bidi w:val="0"/>
              <w:spacing w:line="360" w:lineRule="auto"/>
              <w:ind w:firstLine="240" w:firstLineChars="1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tc>
        <w:tc>
          <w:tcPr>
            <w:tcW w:w="7668" w:type="dxa"/>
            <w:gridSpan w:val="5"/>
            <w:noWrap w:val="0"/>
            <w:vAlign w:val="center"/>
          </w:tcPr>
          <w:p w14:paraId="11D2572C">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5EB8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4560E4DF">
            <w:pPr>
              <w:pageBreakBefore w:val="0"/>
              <w:kinsoku/>
              <w:overflowPunct/>
              <w:topLinePunct w:val="0"/>
              <w:autoSpaceDE/>
              <w:autoSpaceDN/>
              <w:bidi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主管部门</w:t>
            </w:r>
          </w:p>
        </w:tc>
        <w:tc>
          <w:tcPr>
            <w:tcW w:w="1380" w:type="dxa"/>
            <w:noWrap w:val="0"/>
            <w:vAlign w:val="center"/>
          </w:tcPr>
          <w:p w14:paraId="2BA99844">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p>
        </w:tc>
        <w:tc>
          <w:tcPr>
            <w:tcW w:w="1549" w:type="dxa"/>
            <w:noWrap w:val="0"/>
            <w:vAlign w:val="center"/>
          </w:tcPr>
          <w:p w14:paraId="2B288612">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549" w:type="dxa"/>
            <w:noWrap w:val="0"/>
            <w:vAlign w:val="center"/>
          </w:tcPr>
          <w:p w14:paraId="2D071D59">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p>
        </w:tc>
        <w:tc>
          <w:tcPr>
            <w:tcW w:w="1583" w:type="dxa"/>
            <w:noWrap w:val="0"/>
            <w:vAlign w:val="center"/>
          </w:tcPr>
          <w:p w14:paraId="4952AF8F">
            <w:pPr>
              <w:pageBreakBefore w:val="0"/>
              <w:kinsoku/>
              <w:overflowPunct/>
              <w:topLinePunct w:val="0"/>
              <w:autoSpaceDE/>
              <w:autoSpaceDN/>
              <w:bidi w:val="0"/>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p>
        </w:tc>
        <w:tc>
          <w:tcPr>
            <w:tcW w:w="1607" w:type="dxa"/>
            <w:noWrap w:val="0"/>
            <w:vAlign w:val="top"/>
          </w:tcPr>
          <w:p w14:paraId="0328ED86">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4604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549C263B">
            <w:pPr>
              <w:pageBreakBefore w:val="0"/>
              <w:kinsoku/>
              <w:overflowPunct/>
              <w:topLinePunct w:val="0"/>
              <w:autoSpaceDE/>
              <w:autoSpaceDN/>
              <w:bidi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注册时间</w:t>
            </w:r>
          </w:p>
        </w:tc>
        <w:tc>
          <w:tcPr>
            <w:tcW w:w="2929" w:type="dxa"/>
            <w:gridSpan w:val="2"/>
            <w:noWrap w:val="0"/>
            <w:vAlign w:val="top"/>
          </w:tcPr>
          <w:p w14:paraId="2ECF533A">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p>
        </w:tc>
        <w:tc>
          <w:tcPr>
            <w:tcW w:w="1549" w:type="dxa"/>
            <w:noWrap w:val="0"/>
            <w:vAlign w:val="top"/>
          </w:tcPr>
          <w:p w14:paraId="15D79A49">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经济类型</w:t>
            </w:r>
          </w:p>
        </w:tc>
        <w:tc>
          <w:tcPr>
            <w:tcW w:w="3190" w:type="dxa"/>
            <w:gridSpan w:val="2"/>
            <w:noWrap w:val="0"/>
            <w:vAlign w:val="top"/>
          </w:tcPr>
          <w:p w14:paraId="1CFA6A3F">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4BCB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69B7301F">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营业执照号</w:t>
            </w:r>
          </w:p>
        </w:tc>
        <w:tc>
          <w:tcPr>
            <w:tcW w:w="4739" w:type="dxa"/>
            <w:gridSpan w:val="3"/>
            <w:noWrap w:val="0"/>
            <w:vAlign w:val="center"/>
          </w:tcPr>
          <w:p w14:paraId="09B8250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37B1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722729D9">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w:t>
            </w:r>
          </w:p>
          <w:p w14:paraId="021814B4">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w:t>
            </w:r>
          </w:p>
        </w:tc>
        <w:tc>
          <w:tcPr>
            <w:tcW w:w="2929" w:type="dxa"/>
            <w:gridSpan w:val="2"/>
            <w:noWrap w:val="0"/>
            <w:vAlign w:val="top"/>
          </w:tcPr>
          <w:p w14:paraId="2D4E8B1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top"/>
          </w:tcPr>
          <w:p w14:paraId="465B0764">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是否依法缴纳社会保障资金</w:t>
            </w:r>
          </w:p>
        </w:tc>
        <w:tc>
          <w:tcPr>
            <w:tcW w:w="3190" w:type="dxa"/>
            <w:gridSpan w:val="2"/>
            <w:noWrap w:val="0"/>
            <w:vAlign w:val="top"/>
          </w:tcPr>
          <w:p w14:paraId="76BDC9F7">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5B02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64366DFF">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w:t>
            </w:r>
          </w:p>
          <w:p w14:paraId="25042209">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位</w:t>
            </w:r>
          </w:p>
          <w:p w14:paraId="758F6A4D">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概</w:t>
            </w:r>
          </w:p>
          <w:p w14:paraId="2D969173">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况</w:t>
            </w:r>
          </w:p>
        </w:tc>
        <w:tc>
          <w:tcPr>
            <w:tcW w:w="1380" w:type="dxa"/>
            <w:noWrap w:val="0"/>
            <w:vAlign w:val="center"/>
          </w:tcPr>
          <w:p w14:paraId="7B685D80">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注册资本</w:t>
            </w:r>
          </w:p>
        </w:tc>
        <w:tc>
          <w:tcPr>
            <w:tcW w:w="1549" w:type="dxa"/>
            <w:noWrap w:val="0"/>
            <w:vAlign w:val="top"/>
          </w:tcPr>
          <w:p w14:paraId="5028FE63">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万元</w:t>
            </w:r>
          </w:p>
        </w:tc>
        <w:tc>
          <w:tcPr>
            <w:tcW w:w="1549" w:type="dxa"/>
            <w:noWrap w:val="0"/>
            <w:vAlign w:val="top"/>
          </w:tcPr>
          <w:p w14:paraId="316CDEF7">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占地面积</w:t>
            </w:r>
          </w:p>
        </w:tc>
        <w:tc>
          <w:tcPr>
            <w:tcW w:w="3190" w:type="dxa"/>
            <w:gridSpan w:val="2"/>
            <w:noWrap w:val="0"/>
            <w:vAlign w:val="top"/>
          </w:tcPr>
          <w:p w14:paraId="5DA676DE">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平方米</w:t>
            </w:r>
          </w:p>
        </w:tc>
      </w:tr>
      <w:tr w14:paraId="73FA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07104A89">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noWrap w:val="0"/>
            <w:vAlign w:val="center"/>
          </w:tcPr>
          <w:p w14:paraId="64A6578B">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职工总数</w:t>
            </w:r>
          </w:p>
        </w:tc>
        <w:tc>
          <w:tcPr>
            <w:tcW w:w="1549" w:type="dxa"/>
            <w:noWrap w:val="0"/>
            <w:vAlign w:val="top"/>
          </w:tcPr>
          <w:p w14:paraId="3CFAA771">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人</w:t>
            </w:r>
          </w:p>
        </w:tc>
        <w:tc>
          <w:tcPr>
            <w:tcW w:w="1549" w:type="dxa"/>
            <w:noWrap w:val="0"/>
            <w:vAlign w:val="top"/>
          </w:tcPr>
          <w:p w14:paraId="4C628C5F">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建筑面积</w:t>
            </w:r>
          </w:p>
        </w:tc>
        <w:tc>
          <w:tcPr>
            <w:tcW w:w="3190" w:type="dxa"/>
            <w:gridSpan w:val="2"/>
            <w:noWrap w:val="0"/>
            <w:vAlign w:val="top"/>
          </w:tcPr>
          <w:p w14:paraId="37777735">
            <w:pPr>
              <w:pageBreakBefore w:val="0"/>
              <w:kinsoku/>
              <w:overflowPunct/>
              <w:topLinePunct w:val="0"/>
              <w:autoSpaceDE/>
              <w:autoSpaceDN/>
              <w:bidi w:val="0"/>
              <w:spacing w:line="360" w:lineRule="auto"/>
              <w:ind w:firstLine="1800" w:firstLineChars="7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平方米</w:t>
            </w:r>
          </w:p>
        </w:tc>
      </w:tr>
      <w:tr w14:paraId="4B4F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1B583630">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vMerge w:val="restart"/>
            <w:noWrap w:val="0"/>
            <w:vAlign w:val="center"/>
          </w:tcPr>
          <w:p w14:paraId="043CF5C5">
            <w:pPr>
              <w:pageBreakBefore w:val="0"/>
              <w:kinsoku/>
              <w:overflowPunct/>
              <w:topLinePunct w:val="0"/>
              <w:autoSpaceDE/>
              <w:autoSpaceDN/>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资产</w:t>
            </w:r>
          </w:p>
          <w:p w14:paraId="4FCD67EE">
            <w:pPr>
              <w:pageBreakBefore w:val="0"/>
              <w:kinsoku/>
              <w:overflowPunct/>
              <w:topLinePunct w:val="0"/>
              <w:autoSpaceDE/>
              <w:autoSpaceDN/>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情况</w:t>
            </w:r>
          </w:p>
        </w:tc>
        <w:tc>
          <w:tcPr>
            <w:tcW w:w="3098" w:type="dxa"/>
            <w:gridSpan w:val="2"/>
            <w:noWrap w:val="0"/>
            <w:vAlign w:val="center"/>
          </w:tcPr>
          <w:p w14:paraId="6A7102CF">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净资产：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万元</w:t>
            </w:r>
          </w:p>
        </w:tc>
        <w:tc>
          <w:tcPr>
            <w:tcW w:w="3190" w:type="dxa"/>
            <w:gridSpan w:val="2"/>
            <w:vMerge w:val="restart"/>
            <w:noWrap w:val="0"/>
            <w:vAlign w:val="top"/>
          </w:tcPr>
          <w:p w14:paraId="5FBFAB6A">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固定资产原值：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万元</w:t>
            </w:r>
          </w:p>
          <w:p w14:paraId="1177220D">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固定资产净值：       万元</w:t>
            </w:r>
          </w:p>
        </w:tc>
      </w:tr>
      <w:tr w14:paraId="443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7013E450">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vMerge w:val="continue"/>
            <w:noWrap w:val="0"/>
            <w:vAlign w:val="top"/>
          </w:tcPr>
          <w:p w14:paraId="4A01A6A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3098" w:type="dxa"/>
            <w:gridSpan w:val="2"/>
            <w:noWrap w:val="0"/>
            <w:vAlign w:val="center"/>
          </w:tcPr>
          <w:p w14:paraId="3EF3FF6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负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债：         万元</w:t>
            </w:r>
          </w:p>
        </w:tc>
        <w:tc>
          <w:tcPr>
            <w:tcW w:w="3190" w:type="dxa"/>
            <w:gridSpan w:val="2"/>
            <w:vMerge w:val="continue"/>
            <w:noWrap w:val="0"/>
            <w:vAlign w:val="top"/>
          </w:tcPr>
          <w:p w14:paraId="10E7CC01">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325B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11906F69">
            <w:pPr>
              <w:pageBreakBefore w:val="0"/>
              <w:kinsoku/>
              <w:overflowPunct/>
              <w:topLinePunct w:val="0"/>
              <w:autoSpaceDE/>
              <w:autoSpaceDN/>
              <w:bidi w:val="0"/>
              <w:spacing w:line="360" w:lineRule="auto"/>
              <w:ind w:firstLine="120" w:firstLineChar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财务状况</w:t>
            </w:r>
          </w:p>
          <w:p w14:paraId="25EDFA87">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（近三年）</w:t>
            </w:r>
          </w:p>
        </w:tc>
        <w:tc>
          <w:tcPr>
            <w:tcW w:w="1380" w:type="dxa"/>
            <w:noWrap w:val="0"/>
            <w:vAlign w:val="top"/>
          </w:tcPr>
          <w:p w14:paraId="430D1018">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年份</w:t>
            </w:r>
          </w:p>
        </w:tc>
        <w:tc>
          <w:tcPr>
            <w:tcW w:w="1549" w:type="dxa"/>
            <w:noWrap w:val="0"/>
            <w:vAlign w:val="center"/>
          </w:tcPr>
          <w:p w14:paraId="0A71A6C8">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主营收入</w:t>
            </w:r>
          </w:p>
          <w:p w14:paraId="21A1075F">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549" w:type="dxa"/>
            <w:noWrap w:val="0"/>
            <w:vAlign w:val="center"/>
          </w:tcPr>
          <w:p w14:paraId="76D1909E">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收入总额</w:t>
            </w:r>
          </w:p>
          <w:p w14:paraId="1BC81340">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583" w:type="dxa"/>
            <w:noWrap w:val="0"/>
            <w:vAlign w:val="center"/>
          </w:tcPr>
          <w:p w14:paraId="4F19233A">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利润总额</w:t>
            </w:r>
          </w:p>
          <w:p w14:paraId="0049A1CB">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607" w:type="dxa"/>
            <w:noWrap w:val="0"/>
            <w:vAlign w:val="center"/>
          </w:tcPr>
          <w:p w14:paraId="15FAF0D6">
            <w:pPr>
              <w:pageBreakBefore w:val="0"/>
              <w:kinsoku/>
              <w:overflowPunct/>
              <w:topLinePunct w:val="0"/>
              <w:autoSpaceDE/>
              <w:autoSpaceDN/>
              <w:bidi w:val="0"/>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净利润</w:t>
            </w:r>
          </w:p>
          <w:p w14:paraId="5C1459B7">
            <w:pPr>
              <w:pageBreakBefore w:val="0"/>
              <w:kinsoku/>
              <w:overflowPunct/>
              <w:topLinePunct w:val="0"/>
              <w:autoSpaceDE/>
              <w:autoSpaceDN/>
              <w:bidi w:val="0"/>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r>
      <w:tr w14:paraId="203C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noWrap w:val="0"/>
            <w:vAlign w:val="center"/>
          </w:tcPr>
          <w:p w14:paraId="1544BAD2">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noWrap w:val="0"/>
            <w:vAlign w:val="center"/>
          </w:tcPr>
          <w:p w14:paraId="3D84ABF5">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center"/>
          </w:tcPr>
          <w:p w14:paraId="5C9FDF9D">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center"/>
          </w:tcPr>
          <w:p w14:paraId="5B223421">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83" w:type="dxa"/>
            <w:noWrap w:val="0"/>
            <w:vAlign w:val="center"/>
          </w:tcPr>
          <w:p w14:paraId="2AFCE030">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607" w:type="dxa"/>
            <w:noWrap w:val="0"/>
            <w:vAlign w:val="center"/>
          </w:tcPr>
          <w:p w14:paraId="39E3CFB1">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27D7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noWrap w:val="0"/>
            <w:vAlign w:val="top"/>
          </w:tcPr>
          <w:p w14:paraId="776BD79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noWrap w:val="0"/>
            <w:vAlign w:val="center"/>
          </w:tcPr>
          <w:p w14:paraId="5023171C">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top"/>
          </w:tcPr>
          <w:p w14:paraId="1F1982E4">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top"/>
          </w:tcPr>
          <w:p w14:paraId="36AD5433">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83" w:type="dxa"/>
            <w:noWrap w:val="0"/>
            <w:vAlign w:val="top"/>
          </w:tcPr>
          <w:p w14:paraId="3FE6A903">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607" w:type="dxa"/>
            <w:noWrap w:val="0"/>
            <w:vAlign w:val="top"/>
          </w:tcPr>
          <w:p w14:paraId="2B79E416">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013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noWrap w:val="0"/>
            <w:vAlign w:val="top"/>
          </w:tcPr>
          <w:p w14:paraId="39EEB055">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380" w:type="dxa"/>
            <w:noWrap w:val="0"/>
            <w:vAlign w:val="center"/>
          </w:tcPr>
          <w:p w14:paraId="612AFF1E">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top"/>
          </w:tcPr>
          <w:p w14:paraId="0AD326D6">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49" w:type="dxa"/>
            <w:noWrap w:val="0"/>
            <w:vAlign w:val="top"/>
          </w:tcPr>
          <w:p w14:paraId="0BB286A4">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583" w:type="dxa"/>
            <w:noWrap w:val="0"/>
            <w:vAlign w:val="top"/>
          </w:tcPr>
          <w:p w14:paraId="67934495">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c>
          <w:tcPr>
            <w:tcW w:w="1607" w:type="dxa"/>
            <w:noWrap w:val="0"/>
            <w:vAlign w:val="top"/>
          </w:tcPr>
          <w:p w14:paraId="6ABD06B8">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7A6D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noWrap w:val="0"/>
            <w:vAlign w:val="top"/>
          </w:tcPr>
          <w:p w14:paraId="2FE688CD">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668" w:type="dxa"/>
            <w:gridSpan w:val="5"/>
            <w:noWrap w:val="0"/>
            <w:vAlign w:val="center"/>
          </w:tcPr>
          <w:p w14:paraId="6D7356B5">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r w14:paraId="395D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noWrap w:val="0"/>
            <w:vAlign w:val="top"/>
          </w:tcPr>
          <w:p w14:paraId="3FFF6705">
            <w:pPr>
              <w:pageBreakBefore w:val="0"/>
              <w:kinsoku/>
              <w:overflowPunct/>
              <w:topLinePunct w:val="0"/>
              <w:autoSpaceDE/>
              <w:autoSpaceDN/>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668" w:type="dxa"/>
            <w:gridSpan w:val="5"/>
            <w:noWrap w:val="0"/>
            <w:vAlign w:val="center"/>
          </w:tcPr>
          <w:p w14:paraId="3F7A626A">
            <w:pPr>
              <w:pageBreakBefore w:val="0"/>
              <w:kinsoku/>
              <w:overflowPunct/>
              <w:topLinePunct w:val="0"/>
              <w:autoSpaceDE/>
              <w:autoSpaceDN/>
              <w:bidi w:val="0"/>
              <w:spacing w:line="360" w:lineRule="auto"/>
              <w:rPr>
                <w:rFonts w:hint="eastAsia" w:ascii="宋体" w:hAnsi="宋体" w:eastAsia="宋体" w:cs="宋体"/>
                <w:bCs/>
                <w:color w:val="auto"/>
                <w:sz w:val="24"/>
                <w:szCs w:val="24"/>
                <w:highlight w:val="none"/>
              </w:rPr>
            </w:pPr>
          </w:p>
        </w:tc>
      </w:tr>
    </w:tbl>
    <w:p w14:paraId="21ED25D2">
      <w:pPr>
        <w:spacing w:line="500" w:lineRule="exact"/>
        <w:rPr>
          <w:rFonts w:hint="eastAsia" w:ascii="宋体" w:hAnsi="宋体" w:eastAsia="宋体" w:cs="宋体"/>
          <w:color w:val="auto"/>
          <w:sz w:val="24"/>
          <w:szCs w:val="24"/>
          <w:highlight w:val="none"/>
        </w:rPr>
      </w:pPr>
    </w:p>
    <w:p w14:paraId="4894E14B">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法人或者其他组织的营业执照副本复印件或自然人的身份证明复印件</w:t>
      </w:r>
      <w:r>
        <w:rPr>
          <w:rFonts w:hint="eastAsia" w:ascii="宋体" w:hAnsi="宋体" w:eastAsia="宋体" w:cs="宋体"/>
          <w:color w:val="auto"/>
          <w:sz w:val="24"/>
          <w:szCs w:val="24"/>
          <w:highlight w:val="none"/>
          <w:lang w:val="en-US" w:eastAsia="zh-CN"/>
        </w:rPr>
        <w:t>；</w:t>
      </w:r>
    </w:p>
    <w:p w14:paraId="4675160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具有履行合同所必需的设备和专业技术能力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声明函格式自拟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即具有承担本项目能力；</w:t>
      </w:r>
    </w:p>
    <w:p w14:paraId="5D575F0D">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  具有依法缴纳税收和社会保障资金的良好记录</w:t>
      </w:r>
      <w:r>
        <w:rPr>
          <w:rFonts w:hint="eastAsia" w:ascii="宋体" w:hAnsi="宋体" w:eastAsia="宋体" w:cs="宋体"/>
          <w:b/>
          <w:bCs/>
          <w:color w:val="auto"/>
          <w:sz w:val="24"/>
          <w:szCs w:val="24"/>
          <w:highlight w:val="none"/>
          <w:lang w:val="en-US" w:eastAsia="zh-CN"/>
        </w:rPr>
        <w:t>（提供本单位近三个月内任意一个月的依法缴纳税收和社会保障资金的相关材料）</w:t>
      </w:r>
      <w:r>
        <w:rPr>
          <w:rFonts w:hint="eastAsia" w:ascii="宋体" w:hAnsi="宋体" w:eastAsia="宋体" w:cs="宋体"/>
          <w:color w:val="auto"/>
          <w:sz w:val="24"/>
          <w:szCs w:val="24"/>
          <w:highlight w:val="none"/>
        </w:rPr>
        <w:t>；</w:t>
      </w:r>
    </w:p>
    <w:p w14:paraId="655CBFF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提供声明函格式自拟</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6C27882C">
      <w:pPr>
        <w:rPr>
          <w:rFonts w:hint="eastAsia" w:ascii="宋体" w:hAnsi="宋体" w:eastAsia="宋体" w:cs="宋体"/>
          <w:color w:val="auto"/>
          <w:highlight w:val="none"/>
        </w:rPr>
      </w:pPr>
    </w:p>
    <w:p w14:paraId="335811C0">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p>
    <w:p w14:paraId="7D18B953">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参加政府采购活动前三年内在经营活动中</w:t>
      </w:r>
    </w:p>
    <w:p w14:paraId="61E2CF30">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70D1BCF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1227305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》第二十二条第一款第</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项所称重大违法记录，包括：</w:t>
      </w:r>
    </w:p>
    <w:p w14:paraId="16BA84B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4AA88A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EED75C">
      <w:pPr>
        <w:spacing w:line="500" w:lineRule="exact"/>
        <w:rPr>
          <w:rFonts w:hint="eastAsia" w:ascii="宋体" w:hAnsi="宋体" w:eastAsia="宋体" w:cs="宋体"/>
          <w:color w:val="auto"/>
          <w:sz w:val="24"/>
          <w:szCs w:val="24"/>
          <w:highlight w:val="none"/>
        </w:rPr>
      </w:pPr>
    </w:p>
    <w:p w14:paraId="21C7194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：____________</w:t>
      </w:r>
    </w:p>
    <w:p w14:paraId="536EAB3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：____________</w:t>
      </w:r>
    </w:p>
    <w:p w14:paraId="51E2796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16F1797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14:paraId="45583B4C">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6 </w:t>
      </w:r>
    </w:p>
    <w:p w14:paraId="4C4DDBEC">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无不良信用记录承诺函</w:t>
      </w:r>
    </w:p>
    <w:p w14:paraId="6C8F6D4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采购人或采购代理机构)：</w:t>
      </w:r>
    </w:p>
    <w:p w14:paraId="782356F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本单位郑重承诺，我单位无以下不良信用记录情形：</w:t>
      </w:r>
    </w:p>
    <w:p w14:paraId="24C92EA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14:paraId="3BCEE57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w:t>
      </w:r>
    </w:p>
    <w:p w14:paraId="43BDC76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3.被政府采购监管部门列入政府采购严重违法失信行为记录名单；</w:t>
      </w:r>
    </w:p>
    <w:p w14:paraId="0CB0F28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》第二十二条规定的条件。</w:t>
      </w:r>
    </w:p>
    <w:p w14:paraId="2290C10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我单位已就上述不良信用行为按照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CC67790">
      <w:pPr>
        <w:spacing w:line="500" w:lineRule="exact"/>
        <w:rPr>
          <w:rFonts w:hint="eastAsia" w:ascii="宋体" w:hAnsi="宋体" w:eastAsia="宋体" w:cs="宋体"/>
          <w:color w:val="auto"/>
          <w:sz w:val="24"/>
          <w:szCs w:val="24"/>
          <w:highlight w:val="none"/>
        </w:rPr>
      </w:pPr>
    </w:p>
    <w:p w14:paraId="64ABF63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公章)：____________</w:t>
      </w:r>
    </w:p>
    <w:p w14:paraId="648B28B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签字或盖章)：____________</w:t>
      </w:r>
    </w:p>
    <w:p w14:paraId="52F79E4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14:paraId="64227899">
      <w:pPr>
        <w:pStyle w:val="7"/>
        <w:rPr>
          <w:rFonts w:hint="eastAsia" w:ascii="宋体" w:hAnsi="宋体" w:eastAsia="宋体" w:cs="宋体"/>
          <w:color w:val="auto"/>
          <w:sz w:val="24"/>
          <w:szCs w:val="24"/>
          <w:highlight w:val="none"/>
        </w:rPr>
      </w:pPr>
    </w:p>
    <w:p w14:paraId="7942860D">
      <w:pPr>
        <w:rPr>
          <w:rFonts w:hint="eastAsia" w:ascii="宋体" w:hAnsi="宋体" w:eastAsia="宋体" w:cs="宋体"/>
          <w:color w:val="auto"/>
          <w:sz w:val="24"/>
          <w:szCs w:val="24"/>
          <w:highlight w:val="none"/>
        </w:rPr>
      </w:pPr>
    </w:p>
    <w:p w14:paraId="691292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  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r>
        <w:rPr>
          <w:rFonts w:hint="eastAsia" w:ascii="宋体" w:hAnsi="宋体" w:eastAsia="宋体" w:cs="宋体"/>
          <w:b/>
          <w:bCs/>
          <w:color w:val="auto"/>
          <w:sz w:val="24"/>
          <w:szCs w:val="24"/>
          <w:highlight w:val="none"/>
          <w:lang w:val="en-US" w:eastAsia="zh-CN"/>
        </w:rPr>
        <w:t>（提供查询结果网页截图并加盖供应商公章）</w:t>
      </w:r>
      <w:r>
        <w:rPr>
          <w:rFonts w:hint="eastAsia" w:ascii="宋体" w:hAnsi="宋体" w:eastAsia="宋体" w:cs="宋体"/>
          <w:color w:val="auto"/>
          <w:sz w:val="24"/>
          <w:szCs w:val="28"/>
          <w:highlight w:val="none"/>
          <w:lang w:eastAsia="zh-CN"/>
        </w:rPr>
        <w:t>。</w:t>
      </w:r>
      <w:bookmarkStart w:id="139" w:name="_Toc23753"/>
      <w:bookmarkStart w:id="140" w:name="_Toc497489357"/>
      <w:bookmarkStart w:id="141" w:name="_Toc15708"/>
      <w:bookmarkStart w:id="142" w:name="_Toc496291398"/>
      <w:bookmarkStart w:id="143" w:name="_Toc497207629"/>
      <w:bookmarkStart w:id="144" w:name="_Toc14426"/>
      <w:bookmarkStart w:id="145" w:name="_Toc11002"/>
      <w:bookmarkStart w:id="146" w:name="_Toc498343985"/>
    </w:p>
    <w:p w14:paraId="7EBA1DD2">
      <w:pPr>
        <w:pStyle w:val="3"/>
        <w:spacing w:line="480" w:lineRule="exact"/>
        <w:outlineLvl w:val="9"/>
        <w:rPr>
          <w:rFonts w:hint="eastAsia" w:ascii="宋体" w:hAnsi="宋体" w:eastAsia="宋体" w:cs="宋体"/>
          <w:color w:val="auto"/>
          <w:sz w:val="24"/>
          <w:szCs w:val="24"/>
          <w:highlight w:val="none"/>
        </w:rPr>
      </w:pPr>
    </w:p>
    <w:p w14:paraId="6DC51560">
      <w:pPr>
        <w:pStyle w:val="3"/>
        <w:spacing w:line="480" w:lineRule="exact"/>
        <w:outlineLvl w:val="9"/>
        <w:rPr>
          <w:rFonts w:hint="eastAsia" w:ascii="宋体" w:hAnsi="宋体" w:eastAsia="宋体" w:cs="宋体"/>
          <w:color w:val="auto"/>
          <w:sz w:val="24"/>
          <w:szCs w:val="24"/>
          <w:highlight w:val="none"/>
        </w:rPr>
      </w:pPr>
    </w:p>
    <w:p w14:paraId="28C726C7">
      <w:pPr>
        <w:pStyle w:val="3"/>
        <w:spacing w:line="480" w:lineRule="exact"/>
        <w:outlineLvl w:val="9"/>
        <w:rPr>
          <w:rFonts w:hint="eastAsia" w:ascii="宋体" w:hAnsi="宋体" w:eastAsia="宋体" w:cs="宋体"/>
          <w:color w:val="auto"/>
          <w:sz w:val="24"/>
          <w:szCs w:val="24"/>
          <w:highlight w:val="none"/>
        </w:rPr>
      </w:pPr>
    </w:p>
    <w:p w14:paraId="47BE9075">
      <w:pPr>
        <w:rPr>
          <w:rFonts w:hint="eastAsia" w:ascii="宋体" w:hAnsi="宋体" w:eastAsia="宋体" w:cs="宋体"/>
          <w:color w:val="auto"/>
          <w:sz w:val="24"/>
          <w:szCs w:val="24"/>
          <w:highlight w:val="none"/>
        </w:rPr>
      </w:pPr>
    </w:p>
    <w:p w14:paraId="00F60C18">
      <w:pPr>
        <w:pStyle w:val="42"/>
        <w:rPr>
          <w:rFonts w:hint="eastAsia" w:ascii="宋体" w:hAnsi="宋体" w:eastAsia="宋体" w:cs="宋体"/>
          <w:color w:val="auto"/>
          <w:sz w:val="24"/>
          <w:szCs w:val="24"/>
          <w:highlight w:val="none"/>
        </w:rPr>
      </w:pPr>
    </w:p>
    <w:p w14:paraId="1DBECC47">
      <w:pPr>
        <w:pStyle w:val="42"/>
        <w:rPr>
          <w:rFonts w:hint="eastAsia" w:ascii="宋体" w:hAnsi="宋体" w:eastAsia="宋体" w:cs="宋体"/>
          <w:color w:val="auto"/>
          <w:sz w:val="24"/>
          <w:szCs w:val="24"/>
          <w:highlight w:val="none"/>
        </w:rPr>
      </w:pPr>
    </w:p>
    <w:p w14:paraId="6631A63D">
      <w:pPr>
        <w:pStyle w:val="42"/>
        <w:rPr>
          <w:rFonts w:hint="eastAsia" w:ascii="宋体" w:hAnsi="宋体" w:eastAsia="宋体" w:cs="宋体"/>
          <w:color w:val="auto"/>
          <w:sz w:val="24"/>
          <w:szCs w:val="24"/>
          <w:highlight w:val="none"/>
        </w:rPr>
      </w:pPr>
    </w:p>
    <w:p w14:paraId="6CEB2C14">
      <w:pPr>
        <w:pStyle w:val="42"/>
        <w:rPr>
          <w:rFonts w:hint="eastAsia" w:ascii="宋体" w:hAnsi="宋体" w:eastAsia="宋体" w:cs="宋体"/>
          <w:color w:val="auto"/>
          <w:sz w:val="24"/>
          <w:szCs w:val="24"/>
          <w:highlight w:val="none"/>
        </w:rPr>
      </w:pPr>
    </w:p>
    <w:p w14:paraId="0FC9D74D">
      <w:pPr>
        <w:rPr>
          <w:rFonts w:hint="eastAsia" w:ascii="宋体" w:hAnsi="宋体" w:eastAsia="宋体" w:cs="宋体"/>
          <w:color w:val="auto"/>
          <w:sz w:val="24"/>
          <w:szCs w:val="24"/>
          <w:highlight w:val="none"/>
        </w:rPr>
      </w:pPr>
    </w:p>
    <w:p w14:paraId="4BBF9A32">
      <w:pPr>
        <w:pStyle w:val="11"/>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声明函</w:t>
      </w:r>
    </w:p>
    <w:p w14:paraId="4C919C44">
      <w:pPr>
        <w:widowControl/>
        <w:spacing w:line="40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中小企业声明函（服务）</w:t>
      </w:r>
    </w:p>
    <w:p w14:paraId="63ED95C8">
      <w:pPr>
        <w:widowControl/>
        <w:spacing w:line="400" w:lineRule="exact"/>
        <w:jc w:val="center"/>
        <w:rPr>
          <w:rFonts w:hint="eastAsia" w:ascii="宋体" w:hAnsi="宋体" w:eastAsia="宋体" w:cs="宋体"/>
          <w:i w:val="0"/>
          <w:iCs w:val="0"/>
          <w:color w:val="auto"/>
          <w:sz w:val="24"/>
          <w:szCs w:val="24"/>
          <w:highlight w:val="none"/>
        </w:rPr>
      </w:pPr>
    </w:p>
    <w:p w14:paraId="66A7597B">
      <w:pPr>
        <w:spacing w:before="156" w:beforeLines="50" w:after="156" w:afterLines="50" w:line="30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Cs/>
          <w:i w:val="0"/>
          <w:iCs w:val="0"/>
          <w:color w:val="auto"/>
          <w:sz w:val="24"/>
          <w:szCs w:val="24"/>
          <w:highlight w:val="none"/>
          <w:u w:val="single"/>
        </w:rPr>
        <w:t>单位名称</w:t>
      </w:r>
      <w:r>
        <w:rPr>
          <w:rFonts w:hint="eastAsia" w:ascii="宋体" w:hAnsi="宋体" w:eastAsia="宋体" w:cs="宋体"/>
          <w:bCs/>
          <w:i w:val="0"/>
          <w:iCs w:val="0"/>
          <w:color w:val="auto"/>
          <w:sz w:val="24"/>
          <w:szCs w:val="24"/>
          <w:highlight w:val="none"/>
        </w:rPr>
        <w:t>）的（</w:t>
      </w:r>
      <w:r>
        <w:rPr>
          <w:rFonts w:hint="eastAsia" w:ascii="宋体" w:hAnsi="宋体" w:eastAsia="宋体" w:cs="宋体"/>
          <w:bCs/>
          <w:i w:val="0"/>
          <w:iCs w:val="0"/>
          <w:color w:val="auto"/>
          <w:sz w:val="24"/>
          <w:szCs w:val="24"/>
          <w:highlight w:val="none"/>
          <w:u w:val="single"/>
        </w:rPr>
        <w:t>项目名称</w:t>
      </w:r>
      <w:r>
        <w:rPr>
          <w:rFonts w:hint="eastAsia" w:ascii="宋体" w:hAnsi="宋体" w:eastAsia="宋体" w:cs="宋体"/>
          <w:bCs/>
          <w:i w:val="0"/>
          <w:i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23466A">
      <w:pPr>
        <w:spacing w:before="156" w:beforeLines="50" w:after="156" w:afterLines="50" w:line="30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1. （</w:t>
      </w:r>
      <w:r>
        <w:rPr>
          <w:rFonts w:hint="eastAsia" w:ascii="宋体" w:hAnsi="宋体" w:eastAsia="宋体" w:cs="宋体"/>
          <w:bCs/>
          <w:i w:val="0"/>
          <w:iCs w:val="0"/>
          <w:color w:val="auto"/>
          <w:sz w:val="24"/>
          <w:szCs w:val="24"/>
          <w:highlight w:val="none"/>
          <w:u w:val="single"/>
        </w:rPr>
        <w:t>标的名称</w:t>
      </w:r>
      <w:r>
        <w:rPr>
          <w:rFonts w:hint="eastAsia" w:ascii="宋体" w:hAnsi="宋体" w:eastAsia="宋体" w:cs="宋体"/>
          <w:bCs/>
          <w:i w:val="0"/>
          <w:iCs w:val="0"/>
          <w:color w:val="auto"/>
          <w:sz w:val="24"/>
          <w:szCs w:val="24"/>
          <w:highlight w:val="none"/>
        </w:rPr>
        <w:t>） ，属于</w:t>
      </w:r>
      <w:r>
        <w:rPr>
          <w:rStyle w:val="39"/>
          <w:rFonts w:hint="eastAsia" w:ascii="宋体" w:hAnsi="宋体" w:eastAsia="宋体" w:cs="宋体"/>
          <w:b/>
          <w:bCs/>
          <w:i w:val="0"/>
          <w:iCs w:val="0"/>
          <w:caps w:val="0"/>
          <w:color w:val="auto"/>
          <w:spacing w:val="0"/>
          <w:sz w:val="24"/>
          <w:szCs w:val="24"/>
          <w:u w:val="single"/>
          <w:lang w:val="en-US" w:eastAsia="zh-CN"/>
        </w:rPr>
        <w:t>其他未列明行业</w:t>
      </w:r>
      <w:r>
        <w:rPr>
          <w:rFonts w:hint="eastAsia" w:ascii="宋体" w:hAnsi="宋体" w:eastAsia="宋体" w:cs="宋体"/>
          <w:bCs/>
          <w:i w:val="0"/>
          <w:iCs w:val="0"/>
          <w:color w:val="auto"/>
          <w:sz w:val="24"/>
          <w:szCs w:val="24"/>
          <w:highlight w:val="none"/>
        </w:rPr>
        <w:t>；承建（承接）企业为（</w:t>
      </w:r>
      <w:r>
        <w:rPr>
          <w:rFonts w:hint="eastAsia" w:ascii="宋体" w:hAnsi="宋体" w:eastAsia="宋体" w:cs="宋体"/>
          <w:bCs/>
          <w:i w:val="0"/>
          <w:iCs w:val="0"/>
          <w:color w:val="auto"/>
          <w:sz w:val="24"/>
          <w:szCs w:val="24"/>
          <w:highlight w:val="none"/>
          <w:u w:val="single"/>
        </w:rPr>
        <w:t>企业名称</w:t>
      </w:r>
      <w:r>
        <w:rPr>
          <w:rFonts w:hint="eastAsia" w:ascii="宋体" w:hAnsi="宋体" w:eastAsia="宋体" w:cs="宋体"/>
          <w:bCs/>
          <w:i w:val="0"/>
          <w:iCs w:val="0"/>
          <w:color w:val="auto"/>
          <w:sz w:val="24"/>
          <w:szCs w:val="24"/>
          <w:highlight w:val="none"/>
        </w:rPr>
        <w:t>），从业人员</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人，营业收入为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万元，资产总额为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万元</w:t>
      </w:r>
      <w:r>
        <w:rPr>
          <w:rFonts w:hint="eastAsia" w:ascii="宋体" w:hAnsi="宋体" w:cs="宋体"/>
          <w:bCs/>
          <w:i w:val="0"/>
          <w:iCs w:val="0"/>
          <w:color w:val="auto"/>
          <w:sz w:val="24"/>
          <w:szCs w:val="24"/>
          <w:highlight w:val="none"/>
          <w:vertAlign w:val="superscript"/>
          <w:lang w:val="en-US" w:eastAsia="zh-CN"/>
        </w:rPr>
        <w:t>1</w:t>
      </w:r>
      <w:r>
        <w:rPr>
          <w:rFonts w:hint="eastAsia" w:ascii="宋体" w:hAnsi="宋体" w:eastAsia="宋体" w:cs="宋体"/>
          <w:bCs/>
          <w:i w:val="0"/>
          <w:iCs w:val="0"/>
          <w:color w:val="auto"/>
          <w:sz w:val="24"/>
          <w:szCs w:val="24"/>
          <w:highlight w:val="none"/>
        </w:rPr>
        <w:t>，属于（</w:t>
      </w:r>
      <w:r>
        <w:rPr>
          <w:rFonts w:hint="eastAsia" w:ascii="宋体" w:hAnsi="宋体" w:eastAsia="宋体" w:cs="宋体"/>
          <w:bCs/>
          <w:i w:val="0"/>
          <w:iCs w:val="0"/>
          <w:color w:val="auto"/>
          <w:sz w:val="24"/>
          <w:szCs w:val="24"/>
          <w:highlight w:val="none"/>
          <w:u w:val="single"/>
        </w:rPr>
        <w:t>中型企业、小型企业、微型企业</w:t>
      </w:r>
      <w:r>
        <w:rPr>
          <w:rFonts w:hint="eastAsia" w:ascii="宋体" w:hAnsi="宋体" w:eastAsia="宋体" w:cs="宋体"/>
          <w:bCs/>
          <w:i w:val="0"/>
          <w:iCs w:val="0"/>
          <w:color w:val="auto"/>
          <w:sz w:val="24"/>
          <w:szCs w:val="24"/>
          <w:highlight w:val="none"/>
        </w:rPr>
        <w:t>）；</w:t>
      </w:r>
    </w:p>
    <w:p w14:paraId="72BD65F6">
      <w:pPr>
        <w:spacing w:before="156" w:beforeLines="50" w:after="156" w:afterLines="50" w:line="30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 （</w:t>
      </w:r>
      <w:r>
        <w:rPr>
          <w:rFonts w:hint="eastAsia" w:ascii="宋体" w:hAnsi="宋体" w:eastAsia="宋体" w:cs="宋体"/>
          <w:bCs/>
          <w:i w:val="0"/>
          <w:iCs w:val="0"/>
          <w:color w:val="auto"/>
          <w:sz w:val="24"/>
          <w:szCs w:val="24"/>
          <w:highlight w:val="none"/>
          <w:u w:val="single"/>
        </w:rPr>
        <w:t>标的名称</w:t>
      </w:r>
      <w:r>
        <w:rPr>
          <w:rFonts w:hint="eastAsia" w:ascii="宋体" w:hAnsi="宋体" w:eastAsia="宋体" w:cs="宋体"/>
          <w:bCs/>
          <w:i w:val="0"/>
          <w:iCs w:val="0"/>
          <w:color w:val="auto"/>
          <w:sz w:val="24"/>
          <w:szCs w:val="24"/>
          <w:highlight w:val="none"/>
        </w:rPr>
        <w:t>） ，属于</w:t>
      </w:r>
      <w:r>
        <w:rPr>
          <w:rStyle w:val="39"/>
          <w:rFonts w:hint="eastAsia" w:ascii="宋体" w:hAnsi="宋体" w:eastAsia="宋体" w:cs="宋体"/>
          <w:b/>
          <w:bCs/>
          <w:i w:val="0"/>
          <w:iCs w:val="0"/>
          <w:caps w:val="0"/>
          <w:color w:val="auto"/>
          <w:spacing w:val="0"/>
          <w:sz w:val="24"/>
          <w:szCs w:val="24"/>
          <w:u w:val="single"/>
          <w:lang w:val="en-US" w:eastAsia="zh-CN"/>
        </w:rPr>
        <w:t>其他未列明行业</w:t>
      </w:r>
      <w:r>
        <w:rPr>
          <w:rFonts w:hint="eastAsia" w:ascii="宋体" w:hAnsi="宋体" w:eastAsia="宋体" w:cs="宋体"/>
          <w:bCs/>
          <w:i w:val="0"/>
          <w:iCs w:val="0"/>
          <w:color w:val="auto"/>
          <w:sz w:val="24"/>
          <w:szCs w:val="24"/>
          <w:highlight w:val="none"/>
        </w:rPr>
        <w:t>；承建（承接）企业为（</w:t>
      </w:r>
      <w:r>
        <w:rPr>
          <w:rFonts w:hint="eastAsia" w:ascii="宋体" w:hAnsi="宋体" w:eastAsia="宋体" w:cs="宋体"/>
          <w:bCs/>
          <w:i w:val="0"/>
          <w:iCs w:val="0"/>
          <w:color w:val="auto"/>
          <w:sz w:val="24"/>
          <w:szCs w:val="24"/>
          <w:highlight w:val="none"/>
          <w:u w:val="single"/>
        </w:rPr>
        <w:t>企业名称</w:t>
      </w:r>
      <w:r>
        <w:rPr>
          <w:rFonts w:hint="eastAsia" w:ascii="宋体" w:hAnsi="宋体" w:eastAsia="宋体" w:cs="宋体"/>
          <w:bCs/>
          <w:i w:val="0"/>
          <w:iCs w:val="0"/>
          <w:color w:val="auto"/>
          <w:sz w:val="24"/>
          <w:szCs w:val="24"/>
          <w:highlight w:val="none"/>
        </w:rPr>
        <w:t>），从业人员</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人，营业收入为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万元，资产总额为</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万元，属于（</w:t>
      </w:r>
      <w:r>
        <w:rPr>
          <w:rFonts w:hint="eastAsia" w:ascii="宋体" w:hAnsi="宋体" w:eastAsia="宋体" w:cs="宋体"/>
          <w:bCs/>
          <w:i w:val="0"/>
          <w:iCs w:val="0"/>
          <w:color w:val="auto"/>
          <w:sz w:val="24"/>
          <w:szCs w:val="24"/>
          <w:highlight w:val="none"/>
          <w:u w:val="single"/>
        </w:rPr>
        <w:t>中型企业、小型企业、微型企业</w:t>
      </w:r>
      <w:r>
        <w:rPr>
          <w:rFonts w:hint="eastAsia" w:ascii="宋体" w:hAnsi="宋体" w:eastAsia="宋体" w:cs="宋体"/>
          <w:bCs/>
          <w:i w:val="0"/>
          <w:iCs w:val="0"/>
          <w:color w:val="auto"/>
          <w:sz w:val="24"/>
          <w:szCs w:val="24"/>
          <w:highlight w:val="none"/>
        </w:rPr>
        <w:t>）；</w:t>
      </w:r>
    </w:p>
    <w:p w14:paraId="1D4505E1">
      <w:pPr>
        <w:spacing w:before="156" w:beforeLines="50" w:after="156" w:afterLines="50" w:line="300" w:lineRule="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w:t>
      </w:r>
    </w:p>
    <w:p w14:paraId="6B3B3C87">
      <w:pPr>
        <w:spacing w:before="156" w:beforeLines="50" w:after="156" w:afterLines="50" w:line="30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以上企业，不属于大企业的分支机构，不存在控股股东为大企业的情形，也不存在与大企业的负责人为同一人的情形。</w:t>
      </w:r>
    </w:p>
    <w:p w14:paraId="6676DE5A">
      <w:pPr>
        <w:spacing w:before="156" w:beforeLines="50" w:after="156" w:afterLines="50" w:line="30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本企业对上述声明内容的真实性负责。如有虚假，将依法承担相应责任。</w:t>
      </w:r>
    </w:p>
    <w:p w14:paraId="753CA4B0">
      <w:pPr>
        <w:spacing w:before="156" w:beforeLines="50" w:after="156" w:afterLines="50" w:line="300" w:lineRule="auto"/>
        <w:rPr>
          <w:rFonts w:hint="eastAsia" w:ascii="宋体" w:hAnsi="宋体" w:eastAsia="宋体" w:cs="宋体"/>
          <w:bCs/>
          <w:i w:val="0"/>
          <w:iCs w:val="0"/>
          <w:color w:val="auto"/>
          <w:sz w:val="24"/>
          <w:szCs w:val="24"/>
          <w:highlight w:val="none"/>
        </w:rPr>
      </w:pPr>
    </w:p>
    <w:p w14:paraId="6CC5A332">
      <w:pPr>
        <w:spacing w:line="500" w:lineRule="exact"/>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公章)：____________</w:t>
      </w:r>
    </w:p>
    <w:p w14:paraId="0222687C">
      <w:pPr>
        <w:spacing w:line="5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日期：______年____月____日</w:t>
      </w:r>
    </w:p>
    <w:p w14:paraId="560435CD">
      <w:pPr>
        <w:pStyle w:val="9"/>
        <w:ind w:left="0"/>
        <w:rPr>
          <w:rFonts w:hint="eastAsia" w:ascii="宋体" w:hAnsi="宋体" w:eastAsia="宋体" w:cs="宋体"/>
          <w:i w:val="0"/>
          <w:iCs w:val="0"/>
          <w:color w:val="auto"/>
          <w:sz w:val="24"/>
          <w:szCs w:val="24"/>
          <w:highlight w:val="none"/>
        </w:rPr>
      </w:pPr>
    </w:p>
    <w:p w14:paraId="326B046B">
      <w:pPr>
        <w:rPr>
          <w:rFonts w:hint="eastAsia" w:ascii="宋体" w:hAnsi="宋体" w:eastAsia="宋体" w:cs="宋体"/>
          <w:i w:val="0"/>
          <w:iCs w:val="0"/>
          <w:color w:val="auto"/>
          <w:sz w:val="24"/>
          <w:szCs w:val="24"/>
          <w:highlight w:val="none"/>
        </w:rPr>
      </w:pPr>
    </w:p>
    <w:p w14:paraId="305547EA">
      <w:pPr>
        <w:widowControl/>
        <w:spacing w:line="40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备注：从业人员、营业收入、资产总额填报上一年度数据，无上一年度数据的新成立企业可不填报。</w:t>
      </w:r>
    </w:p>
    <w:p w14:paraId="2BBCA108">
      <w:pPr>
        <w:pStyle w:val="42"/>
        <w:rPr>
          <w:rFonts w:hint="eastAsia"/>
          <w:color w:val="auto"/>
          <w:highlight w:val="none"/>
        </w:rPr>
      </w:pPr>
    </w:p>
    <w:p w14:paraId="5D7A4D02">
      <w:pPr>
        <w:pStyle w:val="42"/>
        <w:rPr>
          <w:rFonts w:hint="eastAsia"/>
          <w:color w:val="auto"/>
          <w:highlight w:val="none"/>
        </w:rPr>
      </w:pPr>
    </w:p>
    <w:p w14:paraId="64DE24DF">
      <w:pPr>
        <w:pStyle w:val="42"/>
        <w:rPr>
          <w:rFonts w:hint="eastAsia"/>
          <w:color w:val="auto"/>
          <w:highlight w:val="none"/>
        </w:rPr>
      </w:pPr>
    </w:p>
    <w:p w14:paraId="2D027B41">
      <w:pPr>
        <w:pStyle w:val="42"/>
        <w:rPr>
          <w:rFonts w:hint="eastAsia"/>
          <w:color w:val="auto"/>
          <w:highlight w:val="none"/>
        </w:rPr>
      </w:pPr>
    </w:p>
    <w:p w14:paraId="5292E496">
      <w:pPr>
        <w:pStyle w:val="42"/>
        <w:rPr>
          <w:rFonts w:hint="eastAsia"/>
          <w:color w:val="auto"/>
          <w:highlight w:val="none"/>
        </w:rPr>
      </w:pPr>
    </w:p>
    <w:p w14:paraId="778B3CB5">
      <w:pPr>
        <w:pStyle w:val="42"/>
        <w:rPr>
          <w:rFonts w:hint="eastAsia"/>
          <w:color w:val="auto"/>
          <w:highlight w:val="none"/>
        </w:rPr>
      </w:pPr>
    </w:p>
    <w:p w14:paraId="4A4B8D2C">
      <w:pPr>
        <w:pStyle w:val="42"/>
        <w:rPr>
          <w:rFonts w:hint="eastAsia"/>
          <w:color w:val="auto"/>
          <w:highlight w:val="none"/>
        </w:rPr>
      </w:pPr>
    </w:p>
    <w:p w14:paraId="66EA68EE">
      <w:pPr>
        <w:pStyle w:val="42"/>
        <w:rPr>
          <w:rFonts w:hint="eastAsia"/>
          <w:color w:val="auto"/>
          <w:highlight w:val="none"/>
        </w:rPr>
      </w:pPr>
    </w:p>
    <w:p w14:paraId="4D7A5C9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监狱企业声明函</w:t>
      </w:r>
    </w:p>
    <w:p w14:paraId="6348F2D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（监狱企业适用）</w:t>
      </w:r>
    </w:p>
    <w:p w14:paraId="69D03D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本公司郑重声明，根据《关于政府采购支持监狱企业发展有关问题的通知》（财库</w:t>
      </w:r>
      <w:r>
        <w:rPr>
          <w:rFonts w:hint="eastAsia" w:ascii="宋体" w:hAnsi="宋体" w:cs="宋体"/>
          <w:color w:val="auto"/>
          <w:sz w:val="24"/>
          <w:szCs w:val="24"/>
          <w:highlight w:val="none"/>
          <w:lang w:eastAsia="zh-CN"/>
        </w:rPr>
        <w:t>〔2014〕68号</w:t>
      </w:r>
      <w:r>
        <w:rPr>
          <w:rFonts w:hint="eastAsia" w:ascii="宋体" w:hAnsi="宋体" w:eastAsia="宋体" w:cs="宋体"/>
          <w:color w:val="auto"/>
          <w:sz w:val="24"/>
          <w:szCs w:val="24"/>
          <w:highlight w:val="none"/>
        </w:rPr>
        <w:t>）的规定，本公司为监狱企业。</w:t>
      </w:r>
    </w:p>
    <w:p w14:paraId="0E9D4CE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本公司参加______单位的______项目采购活动，采购活动提供本企业（填写制造的货物，由本企业承担工程、提供服务）。</w:t>
      </w:r>
    </w:p>
    <w:p w14:paraId="4EDFBA7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本条所称货物不包括使用大型企业注册商标的货物和服务。</w:t>
      </w:r>
    </w:p>
    <w:p w14:paraId="6FE1FC8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12B4770E">
      <w:pPr>
        <w:spacing w:line="50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（公章）：</w:t>
      </w:r>
    </w:p>
    <w:p w14:paraId="7BFEDE25">
      <w:pPr>
        <w:spacing w:line="500" w:lineRule="exact"/>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投标日期：   年   月   日 </w:t>
      </w:r>
    </w:p>
    <w:p w14:paraId="5E68B40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注：后附监狱企业资格证明文件</w:t>
      </w:r>
    </w:p>
    <w:p w14:paraId="31D47BC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1.省级以上监狱管理局、戒毒管理局出具的属于监狱企业的证明文件；</w:t>
      </w:r>
    </w:p>
    <w:p w14:paraId="09EC539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2.证明材料加盖供应商公章。</w:t>
      </w:r>
    </w:p>
    <w:p w14:paraId="735A637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（若响应性文件中无上述证明文件，则在评审时不考虑对该监狱企业的相关优惠。） </w:t>
      </w:r>
    </w:p>
    <w:p w14:paraId="01E64772">
      <w:pPr>
        <w:spacing w:line="500" w:lineRule="exact"/>
        <w:rPr>
          <w:rFonts w:hint="eastAsia" w:ascii="宋体" w:hAnsi="宋体" w:eastAsia="宋体" w:cs="宋体"/>
          <w:color w:val="auto"/>
          <w:sz w:val="24"/>
          <w:szCs w:val="24"/>
          <w:highlight w:val="none"/>
        </w:rPr>
      </w:pPr>
    </w:p>
    <w:p w14:paraId="07ECAB9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残疾人福利性单位声明函</w:t>
      </w:r>
    </w:p>
    <w:p w14:paraId="6C73A50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796F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本单位对上述声明的真实性负责。如有虚假，将依法承担相应责任。 </w:t>
      </w:r>
    </w:p>
    <w:p w14:paraId="10ADC97B">
      <w:pPr>
        <w:spacing w:line="500" w:lineRule="exact"/>
        <w:rPr>
          <w:rFonts w:hint="eastAsia" w:ascii="宋体" w:hAnsi="宋体" w:eastAsia="宋体" w:cs="宋体"/>
          <w:color w:val="auto"/>
          <w:sz w:val="24"/>
          <w:szCs w:val="24"/>
          <w:highlight w:val="none"/>
        </w:rPr>
      </w:pPr>
    </w:p>
    <w:p w14:paraId="781C7E59">
      <w:pPr>
        <w:spacing w:line="500" w:lineRule="exac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07D1C7D7">
      <w:pPr>
        <w:spacing w:line="5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投标日期：   年   月   日 </w:t>
      </w:r>
    </w:p>
    <w:p w14:paraId="7E931875">
      <w:pPr>
        <w:pStyle w:val="42"/>
        <w:rPr>
          <w:rFonts w:hint="eastAsia"/>
          <w:color w:val="auto"/>
          <w:highlight w:val="none"/>
        </w:rPr>
      </w:pPr>
      <w:r>
        <w:rPr>
          <w:rFonts w:hint="eastAsia" w:ascii="宋体" w:hAnsi="宋体" w:eastAsia="宋体" w:cs="宋体"/>
          <w:color w:val="auto"/>
          <w:sz w:val="24"/>
          <w:szCs w:val="24"/>
          <w:highlight w:val="none"/>
        </w:rPr>
        <w:br w:type="page"/>
      </w:r>
    </w:p>
    <w:p w14:paraId="211DECAF">
      <w:pPr>
        <w:pStyle w:val="7"/>
        <w:rPr>
          <w:rFonts w:hint="eastAsia" w:ascii="宋体" w:hAnsi="宋体" w:eastAsia="宋体" w:cs="宋体"/>
          <w:color w:val="auto"/>
          <w:sz w:val="24"/>
          <w:szCs w:val="24"/>
          <w:highlight w:val="none"/>
        </w:rPr>
      </w:pPr>
    </w:p>
    <w:bookmarkEnd w:id="139"/>
    <w:bookmarkEnd w:id="140"/>
    <w:bookmarkEnd w:id="141"/>
    <w:bookmarkEnd w:id="142"/>
    <w:bookmarkEnd w:id="143"/>
    <w:bookmarkEnd w:id="144"/>
    <w:bookmarkEnd w:id="145"/>
    <w:p w14:paraId="1110B6BD">
      <w:pPr>
        <w:tabs>
          <w:tab w:val="left" w:pos="5580"/>
        </w:tabs>
        <w:spacing w:line="48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技术部分</w:t>
      </w:r>
      <w:r>
        <w:rPr>
          <w:rFonts w:hint="eastAsia" w:ascii="宋体" w:hAnsi="宋体" w:cs="宋体"/>
          <w:b/>
          <w:color w:val="auto"/>
          <w:sz w:val="24"/>
          <w:szCs w:val="24"/>
          <w:highlight w:val="none"/>
          <w:lang w:eastAsia="zh-CN"/>
        </w:rPr>
        <w:t>：</w:t>
      </w:r>
    </w:p>
    <w:p w14:paraId="24BA3E6B">
      <w:pPr>
        <w:pStyle w:val="172"/>
        <w:spacing w:line="480" w:lineRule="exact"/>
        <w:outlineLvl w:val="1"/>
        <w:rPr>
          <w:rFonts w:hint="eastAsia" w:ascii="宋体" w:hAnsi="宋体" w:eastAsia="宋体" w:cs="宋体"/>
          <w:b/>
          <w:color w:val="auto"/>
          <w:highlight w:val="none"/>
        </w:rPr>
      </w:pPr>
      <w:bookmarkStart w:id="147" w:name="_Toc9566"/>
      <w:r>
        <w:rPr>
          <w:rFonts w:hint="eastAsia" w:ascii="宋体" w:hAnsi="宋体" w:eastAsia="宋体" w:cs="宋体"/>
          <w:b/>
          <w:color w:val="auto"/>
          <w:highlight w:val="none"/>
        </w:rPr>
        <w:t>附件1：技术响应与偏离表</w:t>
      </w:r>
      <w:bookmarkEnd w:id="146"/>
      <w:bookmarkEnd w:id="147"/>
    </w:p>
    <w:p w14:paraId="169D2F35">
      <w:pPr>
        <w:pStyle w:val="172"/>
        <w:spacing w:line="480" w:lineRule="exact"/>
        <w:ind w:hanging="23"/>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项目名称：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w:t>
      </w:r>
    </w:p>
    <w:tbl>
      <w:tblPr>
        <w:tblStyle w:val="3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73"/>
        <w:gridCol w:w="2877"/>
        <w:gridCol w:w="1150"/>
        <w:gridCol w:w="2417"/>
        <w:gridCol w:w="1466"/>
      </w:tblGrid>
      <w:tr w14:paraId="2C6E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74" w:type="dxa"/>
            <w:vMerge w:val="restart"/>
            <w:vAlign w:val="center"/>
          </w:tcPr>
          <w:p w14:paraId="431FBC04">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950" w:type="dxa"/>
            <w:gridSpan w:val="2"/>
            <w:vAlign w:val="center"/>
          </w:tcPr>
          <w:p w14:paraId="7D97B710">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文件条款</w:t>
            </w:r>
          </w:p>
        </w:tc>
        <w:tc>
          <w:tcPr>
            <w:tcW w:w="3567" w:type="dxa"/>
            <w:gridSpan w:val="2"/>
            <w:vAlign w:val="center"/>
          </w:tcPr>
          <w:p w14:paraId="00FF6308">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文件条款</w:t>
            </w:r>
          </w:p>
        </w:tc>
        <w:tc>
          <w:tcPr>
            <w:tcW w:w="1466" w:type="dxa"/>
            <w:vMerge w:val="restart"/>
            <w:vAlign w:val="center"/>
          </w:tcPr>
          <w:p w14:paraId="38595749">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r>
      <w:tr w14:paraId="05BD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74" w:type="dxa"/>
            <w:vMerge w:val="continue"/>
            <w:vAlign w:val="center"/>
          </w:tcPr>
          <w:p w14:paraId="0C795956">
            <w:pPr>
              <w:pStyle w:val="16"/>
              <w:spacing w:line="480" w:lineRule="exact"/>
              <w:jc w:val="center"/>
              <w:rPr>
                <w:rFonts w:hint="eastAsia" w:ascii="宋体" w:hAnsi="宋体" w:eastAsia="宋体" w:cs="宋体"/>
                <w:b/>
                <w:color w:val="auto"/>
                <w:sz w:val="24"/>
                <w:szCs w:val="24"/>
                <w:highlight w:val="none"/>
              </w:rPr>
            </w:pPr>
          </w:p>
        </w:tc>
        <w:tc>
          <w:tcPr>
            <w:tcW w:w="1073" w:type="dxa"/>
            <w:vAlign w:val="center"/>
          </w:tcPr>
          <w:p w14:paraId="04BDCE9D">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77" w:type="dxa"/>
            <w:vAlign w:val="center"/>
          </w:tcPr>
          <w:p w14:paraId="1CDF8324">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文件条款内容</w:t>
            </w:r>
          </w:p>
        </w:tc>
        <w:tc>
          <w:tcPr>
            <w:tcW w:w="1150" w:type="dxa"/>
            <w:vAlign w:val="center"/>
          </w:tcPr>
          <w:p w14:paraId="1D0839CB">
            <w:pPr>
              <w:pStyle w:val="16"/>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417" w:type="dxa"/>
            <w:vAlign w:val="center"/>
          </w:tcPr>
          <w:p w14:paraId="683901D3">
            <w:pPr>
              <w:pStyle w:val="16"/>
              <w:spacing w:line="480" w:lineRule="exact"/>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文件对应条款</w:t>
            </w:r>
          </w:p>
        </w:tc>
        <w:tc>
          <w:tcPr>
            <w:tcW w:w="1466" w:type="dxa"/>
            <w:vMerge w:val="continue"/>
            <w:vAlign w:val="center"/>
          </w:tcPr>
          <w:p w14:paraId="3309CE5D">
            <w:pPr>
              <w:pStyle w:val="16"/>
              <w:spacing w:line="480" w:lineRule="exact"/>
              <w:jc w:val="center"/>
              <w:rPr>
                <w:rFonts w:hint="eastAsia" w:ascii="宋体" w:hAnsi="宋体" w:eastAsia="宋体" w:cs="宋体"/>
                <w:b/>
                <w:color w:val="auto"/>
                <w:sz w:val="24"/>
                <w:szCs w:val="24"/>
                <w:highlight w:val="none"/>
              </w:rPr>
            </w:pPr>
          </w:p>
        </w:tc>
      </w:tr>
      <w:tr w14:paraId="50A8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4FD9333F">
            <w:pPr>
              <w:pStyle w:val="16"/>
              <w:spacing w:line="480" w:lineRule="exact"/>
              <w:jc w:val="center"/>
              <w:rPr>
                <w:rFonts w:hint="eastAsia" w:ascii="宋体" w:hAnsi="宋体" w:eastAsia="宋体" w:cs="宋体"/>
                <w:b/>
                <w:color w:val="auto"/>
                <w:sz w:val="24"/>
                <w:szCs w:val="24"/>
                <w:highlight w:val="none"/>
              </w:rPr>
            </w:pPr>
          </w:p>
        </w:tc>
        <w:tc>
          <w:tcPr>
            <w:tcW w:w="1073" w:type="dxa"/>
            <w:vAlign w:val="center"/>
          </w:tcPr>
          <w:p w14:paraId="4BCF1C9D">
            <w:pPr>
              <w:pStyle w:val="16"/>
              <w:spacing w:line="480" w:lineRule="exact"/>
              <w:jc w:val="center"/>
              <w:rPr>
                <w:rFonts w:hint="eastAsia" w:ascii="宋体" w:hAnsi="宋体" w:eastAsia="宋体" w:cs="宋体"/>
                <w:b/>
                <w:color w:val="auto"/>
                <w:sz w:val="24"/>
                <w:szCs w:val="24"/>
                <w:highlight w:val="none"/>
              </w:rPr>
            </w:pPr>
          </w:p>
        </w:tc>
        <w:tc>
          <w:tcPr>
            <w:tcW w:w="2877" w:type="dxa"/>
            <w:vAlign w:val="center"/>
          </w:tcPr>
          <w:p w14:paraId="67F7D626">
            <w:pPr>
              <w:pStyle w:val="16"/>
              <w:spacing w:line="480" w:lineRule="exact"/>
              <w:jc w:val="center"/>
              <w:rPr>
                <w:rFonts w:hint="eastAsia" w:ascii="宋体" w:hAnsi="宋体" w:eastAsia="宋体" w:cs="宋体"/>
                <w:b/>
                <w:color w:val="auto"/>
                <w:sz w:val="24"/>
                <w:szCs w:val="24"/>
                <w:highlight w:val="none"/>
              </w:rPr>
            </w:pPr>
          </w:p>
        </w:tc>
        <w:tc>
          <w:tcPr>
            <w:tcW w:w="1150" w:type="dxa"/>
            <w:vAlign w:val="center"/>
          </w:tcPr>
          <w:p w14:paraId="30538407">
            <w:pPr>
              <w:pStyle w:val="16"/>
              <w:spacing w:line="480" w:lineRule="exact"/>
              <w:jc w:val="center"/>
              <w:rPr>
                <w:rFonts w:hint="eastAsia" w:ascii="宋体" w:hAnsi="宋体" w:eastAsia="宋体" w:cs="宋体"/>
                <w:b/>
                <w:color w:val="auto"/>
                <w:sz w:val="24"/>
                <w:szCs w:val="24"/>
                <w:highlight w:val="none"/>
              </w:rPr>
            </w:pPr>
          </w:p>
        </w:tc>
        <w:tc>
          <w:tcPr>
            <w:tcW w:w="2417" w:type="dxa"/>
            <w:vAlign w:val="center"/>
          </w:tcPr>
          <w:p w14:paraId="19095B3A">
            <w:pPr>
              <w:pStyle w:val="16"/>
              <w:spacing w:line="480" w:lineRule="exact"/>
              <w:jc w:val="center"/>
              <w:rPr>
                <w:rFonts w:hint="eastAsia" w:ascii="宋体" w:hAnsi="宋体" w:eastAsia="宋体" w:cs="宋体"/>
                <w:b/>
                <w:color w:val="auto"/>
                <w:sz w:val="24"/>
                <w:szCs w:val="24"/>
                <w:highlight w:val="none"/>
              </w:rPr>
            </w:pPr>
          </w:p>
        </w:tc>
        <w:tc>
          <w:tcPr>
            <w:tcW w:w="1466" w:type="dxa"/>
            <w:vAlign w:val="center"/>
          </w:tcPr>
          <w:p w14:paraId="7BE3FD00">
            <w:pPr>
              <w:pStyle w:val="16"/>
              <w:spacing w:line="480" w:lineRule="exact"/>
              <w:jc w:val="center"/>
              <w:rPr>
                <w:rFonts w:hint="eastAsia" w:ascii="宋体" w:hAnsi="宋体" w:eastAsia="宋体" w:cs="宋体"/>
                <w:b/>
                <w:color w:val="auto"/>
                <w:sz w:val="24"/>
                <w:szCs w:val="24"/>
                <w:highlight w:val="none"/>
              </w:rPr>
            </w:pPr>
          </w:p>
        </w:tc>
      </w:tr>
      <w:tr w14:paraId="0AD6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53660F6D">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75D93AE1">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006CD769">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6D51DA71">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3BABAD75">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1CBACEA6">
            <w:pPr>
              <w:pStyle w:val="16"/>
              <w:spacing w:line="480" w:lineRule="exact"/>
              <w:jc w:val="center"/>
              <w:rPr>
                <w:rFonts w:hint="eastAsia" w:ascii="宋体" w:hAnsi="宋体" w:eastAsia="宋体" w:cs="宋体"/>
                <w:color w:val="auto"/>
                <w:sz w:val="24"/>
                <w:szCs w:val="24"/>
                <w:highlight w:val="none"/>
              </w:rPr>
            </w:pPr>
          </w:p>
        </w:tc>
      </w:tr>
      <w:tr w14:paraId="7E6B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7AC24FDF">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2A6A7402">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C01E3DB">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3320481E">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2B7A8109">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4FDEFE10">
            <w:pPr>
              <w:pStyle w:val="16"/>
              <w:spacing w:line="480" w:lineRule="exact"/>
              <w:jc w:val="center"/>
              <w:rPr>
                <w:rFonts w:hint="eastAsia" w:ascii="宋体" w:hAnsi="宋体" w:eastAsia="宋体" w:cs="宋体"/>
                <w:color w:val="auto"/>
                <w:sz w:val="24"/>
                <w:szCs w:val="24"/>
                <w:highlight w:val="none"/>
              </w:rPr>
            </w:pPr>
          </w:p>
        </w:tc>
      </w:tr>
      <w:tr w14:paraId="29AF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0C27BE31">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4FC38E3F">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745B32F9">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7BE3444A">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22D242EE">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704C488C">
            <w:pPr>
              <w:pStyle w:val="16"/>
              <w:spacing w:line="480" w:lineRule="exact"/>
              <w:jc w:val="center"/>
              <w:rPr>
                <w:rFonts w:hint="eastAsia" w:ascii="宋体" w:hAnsi="宋体" w:eastAsia="宋体" w:cs="宋体"/>
                <w:color w:val="auto"/>
                <w:sz w:val="24"/>
                <w:szCs w:val="24"/>
                <w:highlight w:val="none"/>
              </w:rPr>
            </w:pPr>
          </w:p>
        </w:tc>
      </w:tr>
      <w:tr w14:paraId="44EE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5CC29442">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0344A8E8">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5AADF41">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03F18EE8">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0A317D90">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494CB910">
            <w:pPr>
              <w:pStyle w:val="16"/>
              <w:spacing w:line="480" w:lineRule="exact"/>
              <w:jc w:val="center"/>
              <w:rPr>
                <w:rFonts w:hint="eastAsia" w:ascii="宋体" w:hAnsi="宋体" w:eastAsia="宋体" w:cs="宋体"/>
                <w:color w:val="auto"/>
                <w:sz w:val="24"/>
                <w:szCs w:val="24"/>
                <w:highlight w:val="none"/>
              </w:rPr>
            </w:pPr>
          </w:p>
        </w:tc>
      </w:tr>
      <w:tr w14:paraId="407F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74" w:type="dxa"/>
            <w:vAlign w:val="center"/>
          </w:tcPr>
          <w:p w14:paraId="63321468">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451D589F">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51BA1E16">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4A325513">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79391BDB">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551EF20D">
            <w:pPr>
              <w:pStyle w:val="16"/>
              <w:spacing w:line="480" w:lineRule="exact"/>
              <w:jc w:val="center"/>
              <w:rPr>
                <w:rFonts w:hint="eastAsia" w:ascii="宋体" w:hAnsi="宋体" w:eastAsia="宋体" w:cs="宋体"/>
                <w:color w:val="auto"/>
                <w:sz w:val="24"/>
                <w:szCs w:val="24"/>
                <w:highlight w:val="none"/>
              </w:rPr>
            </w:pPr>
          </w:p>
        </w:tc>
      </w:tr>
      <w:tr w14:paraId="74F2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74" w:type="dxa"/>
            <w:vAlign w:val="center"/>
          </w:tcPr>
          <w:p w14:paraId="1301336C">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1FA118AD">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66EE744E">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41613A05">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478181B4">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43D5ED17">
            <w:pPr>
              <w:pStyle w:val="16"/>
              <w:spacing w:line="480" w:lineRule="exact"/>
              <w:jc w:val="center"/>
              <w:rPr>
                <w:rFonts w:hint="eastAsia" w:ascii="宋体" w:hAnsi="宋体" w:eastAsia="宋体" w:cs="宋体"/>
                <w:color w:val="auto"/>
                <w:sz w:val="24"/>
                <w:szCs w:val="24"/>
                <w:highlight w:val="none"/>
              </w:rPr>
            </w:pPr>
          </w:p>
        </w:tc>
      </w:tr>
      <w:tr w14:paraId="7173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4" w:type="dxa"/>
            <w:vAlign w:val="center"/>
          </w:tcPr>
          <w:p w14:paraId="61408EA4">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14E02204">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44F0A588">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6B124C6E">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285B7B82">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7A39A748">
            <w:pPr>
              <w:pStyle w:val="16"/>
              <w:spacing w:line="480" w:lineRule="exact"/>
              <w:jc w:val="center"/>
              <w:rPr>
                <w:rFonts w:hint="eastAsia" w:ascii="宋体" w:hAnsi="宋体" w:eastAsia="宋体" w:cs="宋体"/>
                <w:color w:val="auto"/>
                <w:sz w:val="24"/>
                <w:szCs w:val="24"/>
                <w:highlight w:val="none"/>
              </w:rPr>
            </w:pPr>
          </w:p>
        </w:tc>
      </w:tr>
      <w:tr w14:paraId="3E4C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74" w:type="dxa"/>
            <w:vAlign w:val="center"/>
          </w:tcPr>
          <w:p w14:paraId="3599555F">
            <w:pPr>
              <w:pStyle w:val="16"/>
              <w:spacing w:line="480" w:lineRule="exact"/>
              <w:jc w:val="center"/>
              <w:rPr>
                <w:rFonts w:hint="eastAsia" w:ascii="宋体" w:hAnsi="宋体" w:eastAsia="宋体" w:cs="宋体"/>
                <w:color w:val="auto"/>
                <w:sz w:val="24"/>
                <w:szCs w:val="24"/>
                <w:highlight w:val="none"/>
              </w:rPr>
            </w:pPr>
          </w:p>
          <w:p w14:paraId="5FD8B9CF">
            <w:pPr>
              <w:pStyle w:val="16"/>
              <w:spacing w:line="480" w:lineRule="exact"/>
              <w:jc w:val="center"/>
              <w:rPr>
                <w:rFonts w:hint="eastAsia" w:ascii="宋体" w:hAnsi="宋体" w:eastAsia="宋体" w:cs="宋体"/>
                <w:color w:val="auto"/>
                <w:sz w:val="24"/>
                <w:szCs w:val="24"/>
                <w:highlight w:val="none"/>
              </w:rPr>
            </w:pPr>
          </w:p>
        </w:tc>
        <w:tc>
          <w:tcPr>
            <w:tcW w:w="1073" w:type="dxa"/>
            <w:vAlign w:val="center"/>
          </w:tcPr>
          <w:p w14:paraId="7529F369">
            <w:pPr>
              <w:pStyle w:val="16"/>
              <w:spacing w:line="480" w:lineRule="exact"/>
              <w:jc w:val="center"/>
              <w:rPr>
                <w:rFonts w:hint="eastAsia" w:ascii="宋体" w:hAnsi="宋体" w:eastAsia="宋体" w:cs="宋体"/>
                <w:color w:val="auto"/>
                <w:sz w:val="24"/>
                <w:szCs w:val="24"/>
                <w:highlight w:val="none"/>
              </w:rPr>
            </w:pPr>
          </w:p>
        </w:tc>
        <w:tc>
          <w:tcPr>
            <w:tcW w:w="2877" w:type="dxa"/>
            <w:vAlign w:val="center"/>
          </w:tcPr>
          <w:p w14:paraId="57C8B941">
            <w:pPr>
              <w:pStyle w:val="16"/>
              <w:spacing w:line="480" w:lineRule="exact"/>
              <w:jc w:val="center"/>
              <w:rPr>
                <w:rFonts w:hint="eastAsia" w:ascii="宋体" w:hAnsi="宋体" w:eastAsia="宋体" w:cs="宋体"/>
                <w:color w:val="auto"/>
                <w:sz w:val="24"/>
                <w:szCs w:val="24"/>
                <w:highlight w:val="none"/>
              </w:rPr>
            </w:pPr>
          </w:p>
        </w:tc>
        <w:tc>
          <w:tcPr>
            <w:tcW w:w="1150" w:type="dxa"/>
            <w:vAlign w:val="center"/>
          </w:tcPr>
          <w:p w14:paraId="141DB48C">
            <w:pPr>
              <w:pStyle w:val="16"/>
              <w:spacing w:line="480" w:lineRule="exact"/>
              <w:jc w:val="center"/>
              <w:rPr>
                <w:rFonts w:hint="eastAsia" w:ascii="宋体" w:hAnsi="宋体" w:eastAsia="宋体" w:cs="宋体"/>
                <w:color w:val="auto"/>
                <w:sz w:val="24"/>
                <w:szCs w:val="24"/>
                <w:highlight w:val="none"/>
              </w:rPr>
            </w:pPr>
          </w:p>
        </w:tc>
        <w:tc>
          <w:tcPr>
            <w:tcW w:w="2417" w:type="dxa"/>
            <w:vAlign w:val="center"/>
          </w:tcPr>
          <w:p w14:paraId="4F934790">
            <w:pPr>
              <w:pStyle w:val="16"/>
              <w:spacing w:line="480" w:lineRule="exact"/>
              <w:jc w:val="center"/>
              <w:rPr>
                <w:rFonts w:hint="eastAsia" w:ascii="宋体" w:hAnsi="宋体" w:eastAsia="宋体" w:cs="宋体"/>
                <w:color w:val="auto"/>
                <w:sz w:val="24"/>
                <w:szCs w:val="24"/>
                <w:highlight w:val="none"/>
              </w:rPr>
            </w:pPr>
          </w:p>
        </w:tc>
        <w:tc>
          <w:tcPr>
            <w:tcW w:w="1466" w:type="dxa"/>
            <w:vAlign w:val="center"/>
          </w:tcPr>
          <w:p w14:paraId="2F52E481">
            <w:pPr>
              <w:pStyle w:val="16"/>
              <w:spacing w:line="480" w:lineRule="exact"/>
              <w:jc w:val="center"/>
              <w:rPr>
                <w:rFonts w:hint="eastAsia" w:ascii="宋体" w:hAnsi="宋体" w:eastAsia="宋体" w:cs="宋体"/>
                <w:color w:val="auto"/>
                <w:sz w:val="24"/>
                <w:szCs w:val="24"/>
                <w:highlight w:val="none"/>
              </w:rPr>
            </w:pPr>
          </w:p>
        </w:tc>
      </w:tr>
    </w:tbl>
    <w:p w14:paraId="4FC6053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14:paraId="5D01A362">
      <w:pPr>
        <w:pStyle w:val="172"/>
        <w:spacing w:line="480" w:lineRule="exact"/>
        <w:rPr>
          <w:rFonts w:hint="eastAsia" w:ascii="宋体" w:hAnsi="宋体" w:eastAsia="宋体" w:cs="宋体"/>
          <w:color w:val="auto"/>
          <w:highlight w:val="none"/>
        </w:rPr>
      </w:pPr>
    </w:p>
    <w:p w14:paraId="17524510">
      <w:pPr>
        <w:pStyle w:val="172"/>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cs="宋体"/>
          <w:color w:val="auto"/>
          <w:highlight w:val="none"/>
          <w:lang w:eastAsia="zh-CN"/>
        </w:rPr>
        <w:t>：</w:t>
      </w:r>
      <w:r>
        <w:rPr>
          <w:rFonts w:hint="eastAsia" w:ascii="宋体" w:hAnsi="宋体" w:eastAsia="宋体" w:cs="宋体"/>
          <w:color w:val="auto"/>
          <w:highlight w:val="none"/>
        </w:rPr>
        <w:t>若有偏离</w:t>
      </w:r>
      <w:r>
        <w:rPr>
          <w:rFonts w:hint="eastAsia" w:ascii="宋体" w:hAnsi="宋体" w:cs="宋体"/>
          <w:color w:val="auto"/>
          <w:highlight w:val="none"/>
          <w:lang w:eastAsia="zh-CN"/>
        </w:rPr>
        <w:t>，</w:t>
      </w:r>
      <w:r>
        <w:rPr>
          <w:rFonts w:hint="eastAsia" w:ascii="宋体" w:hAnsi="宋体" w:eastAsia="宋体" w:cs="宋体"/>
          <w:color w:val="auto"/>
          <w:highlight w:val="none"/>
        </w:rPr>
        <w:t>请将具体偏离条款在“偏离情况”一栏中详细说明；若无偏离</w:t>
      </w:r>
      <w:r>
        <w:rPr>
          <w:rFonts w:hint="eastAsia" w:ascii="宋体" w:hAnsi="宋体" w:cs="宋体"/>
          <w:color w:val="auto"/>
          <w:highlight w:val="none"/>
          <w:lang w:eastAsia="zh-CN"/>
        </w:rPr>
        <w:t>，</w:t>
      </w:r>
      <w:r>
        <w:rPr>
          <w:rFonts w:hint="eastAsia" w:ascii="宋体" w:hAnsi="宋体" w:eastAsia="宋体" w:cs="宋体"/>
          <w:color w:val="auto"/>
          <w:highlight w:val="none"/>
        </w:rPr>
        <w:t>请在“偏离情况”一栏中标注“无”字样，实际存在负偏离而在本表内没有列明的，视为虚假投标。</w:t>
      </w:r>
    </w:p>
    <w:p w14:paraId="7D6FDB3D">
      <w:pPr>
        <w:pStyle w:val="172"/>
        <w:spacing w:line="480" w:lineRule="exact"/>
        <w:rPr>
          <w:rFonts w:hint="eastAsia" w:ascii="宋体" w:hAnsi="宋体" w:eastAsia="宋体" w:cs="宋体"/>
          <w:color w:val="auto"/>
          <w:highlight w:val="none"/>
        </w:rPr>
      </w:pPr>
    </w:p>
    <w:p w14:paraId="33DE9F0E">
      <w:pPr>
        <w:spacing w:line="480" w:lineRule="exact"/>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3482AAAF">
      <w:pPr>
        <w:spacing w:line="480" w:lineRule="exact"/>
        <w:rPr>
          <w:rFonts w:hint="eastAsia" w:ascii="宋体" w:hAnsi="宋体" w:eastAsia="宋体" w:cs="宋体"/>
          <w:color w:val="auto"/>
          <w:sz w:val="24"/>
          <w:szCs w:val="24"/>
          <w:highlight w:val="none"/>
        </w:rPr>
      </w:pPr>
    </w:p>
    <w:p w14:paraId="261B6E8F">
      <w:pPr>
        <w:pStyle w:val="172"/>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0CD5924E">
      <w:pPr>
        <w:pStyle w:val="172"/>
        <w:spacing w:line="480" w:lineRule="exact"/>
        <w:rPr>
          <w:rFonts w:hint="eastAsia" w:ascii="宋体" w:hAnsi="宋体" w:eastAsia="宋体" w:cs="宋体"/>
          <w:b/>
          <w:color w:val="auto"/>
          <w:highlight w:val="none"/>
        </w:rPr>
      </w:pPr>
    </w:p>
    <w:p w14:paraId="12494ACA">
      <w:pPr>
        <w:pStyle w:val="172"/>
        <w:spacing w:line="480" w:lineRule="exact"/>
        <w:rPr>
          <w:rFonts w:hint="eastAsia" w:ascii="宋体" w:hAnsi="宋体" w:eastAsia="宋体" w:cs="宋体"/>
          <w:b/>
          <w:color w:val="auto"/>
          <w:highlight w:val="none"/>
        </w:rPr>
        <w:sectPr>
          <w:pgSz w:w="11906" w:h="16838"/>
          <w:pgMar w:top="1417" w:right="1418" w:bottom="1417" w:left="1418" w:header="851" w:footer="850" w:gutter="0"/>
          <w:pgNumType w:fmt="decimal"/>
          <w:cols w:space="720" w:num="1"/>
          <w:docGrid w:type="lines" w:linePitch="312" w:charSpace="0"/>
        </w:sectPr>
      </w:pPr>
    </w:p>
    <w:p w14:paraId="79962E80">
      <w:pPr>
        <w:pStyle w:val="174"/>
        <w:spacing w:line="480" w:lineRule="exact"/>
        <w:ind w:left="420" w:leftChars="200"/>
        <w:rPr>
          <w:rFonts w:hint="eastAsia" w:ascii="宋体" w:hAnsi="宋体" w:eastAsia="宋体" w:cs="宋体"/>
          <w:b/>
          <w:color w:val="auto"/>
          <w:sz w:val="24"/>
          <w:szCs w:val="24"/>
          <w:highlight w:val="none"/>
        </w:rPr>
      </w:pPr>
      <w:bookmarkStart w:id="148" w:name="_Toc498343986"/>
      <w:r>
        <w:rPr>
          <w:rFonts w:hint="eastAsia" w:ascii="宋体" w:hAnsi="宋体" w:eastAsia="宋体" w:cs="宋体"/>
          <w:b/>
          <w:color w:val="auto"/>
          <w:sz w:val="24"/>
          <w:szCs w:val="24"/>
          <w:highlight w:val="none"/>
        </w:rPr>
        <w:t>附件2：项目服务方案</w:t>
      </w:r>
    </w:p>
    <w:p w14:paraId="0C065237">
      <w:pPr>
        <w:spacing w:before="156" w:beforeLines="5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rPr>
        <w:t>根据自身情况在</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文件中提供针对本项目编制的服务方案。服务方案应包括但不限于以下内容：</w:t>
      </w:r>
    </w:p>
    <w:p w14:paraId="74A4BCE4">
      <w:pPr>
        <w:numPr>
          <w:ilvl w:val="0"/>
          <w:numId w:val="11"/>
        </w:numPr>
        <w:spacing w:before="156" w:beforeLines="5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项目总体分析及服务方案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7F757322">
      <w:pPr>
        <w:numPr>
          <w:ilvl w:val="0"/>
          <w:numId w:val="11"/>
        </w:numPr>
        <w:spacing w:before="156" w:before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w:t>
      </w:r>
    </w:p>
    <w:p w14:paraId="35AECB11">
      <w:pPr>
        <w:numPr>
          <w:ilvl w:val="0"/>
          <w:numId w:val="11"/>
        </w:numPr>
        <w:spacing w:before="156" w:before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保密措施</w:t>
      </w:r>
    </w:p>
    <w:p w14:paraId="56A83DD8">
      <w:pPr>
        <w:numPr>
          <w:ilvl w:val="0"/>
          <w:numId w:val="11"/>
        </w:numPr>
        <w:spacing w:before="156" w:before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后续服务</w:t>
      </w:r>
    </w:p>
    <w:p w14:paraId="0BD48B90">
      <w:pPr>
        <w:numPr>
          <w:ilvl w:val="0"/>
          <w:numId w:val="11"/>
        </w:numPr>
        <w:spacing w:before="156" w:beforeLines="5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合理化建议</w:t>
      </w:r>
    </w:p>
    <w:p w14:paraId="1D8E61F1">
      <w:pPr>
        <w:pStyle w:val="3"/>
        <w:rPr>
          <w:rFonts w:hint="eastAsia"/>
          <w:b/>
          <w:bCs/>
          <w:color w:val="auto"/>
          <w:highlight w:val="none"/>
        </w:rPr>
      </w:pPr>
    </w:p>
    <w:p w14:paraId="459B5977">
      <w:pPr>
        <w:spacing w:before="156" w:beforeLines="50" w:line="480" w:lineRule="exact"/>
        <w:ind w:firstLine="480" w:firstLineChars="200"/>
        <w:rPr>
          <w:rFonts w:hint="eastAsia" w:ascii="宋体" w:hAnsi="宋体" w:eastAsia="宋体" w:cs="宋体"/>
          <w:color w:val="auto"/>
          <w:sz w:val="24"/>
          <w:szCs w:val="24"/>
          <w:highlight w:val="none"/>
        </w:rPr>
      </w:pPr>
    </w:p>
    <w:p w14:paraId="10C41725">
      <w:pPr>
        <w:pStyle w:val="172"/>
        <w:spacing w:line="480" w:lineRule="exact"/>
        <w:rPr>
          <w:rFonts w:hint="eastAsia" w:ascii="宋体" w:hAnsi="宋体" w:eastAsia="宋体" w:cs="宋体"/>
          <w:b/>
          <w:color w:val="auto"/>
          <w:highlight w:val="none"/>
        </w:rPr>
      </w:pPr>
    </w:p>
    <w:p w14:paraId="416E153D">
      <w:pPr>
        <w:pStyle w:val="172"/>
        <w:spacing w:line="480" w:lineRule="exact"/>
        <w:rPr>
          <w:rFonts w:hint="eastAsia" w:ascii="宋体" w:hAnsi="宋体" w:eastAsia="宋体" w:cs="宋体"/>
          <w:b/>
          <w:color w:val="auto"/>
          <w:highlight w:val="none"/>
        </w:rPr>
      </w:pPr>
    </w:p>
    <w:p w14:paraId="65058AA5">
      <w:pPr>
        <w:pStyle w:val="172"/>
        <w:spacing w:line="480" w:lineRule="exact"/>
        <w:rPr>
          <w:rFonts w:hint="eastAsia" w:ascii="宋体" w:hAnsi="宋体" w:eastAsia="宋体" w:cs="宋体"/>
          <w:b/>
          <w:color w:val="auto"/>
          <w:highlight w:val="none"/>
        </w:rPr>
      </w:pPr>
    </w:p>
    <w:p w14:paraId="7011247D">
      <w:pPr>
        <w:pStyle w:val="172"/>
        <w:spacing w:line="480" w:lineRule="exact"/>
        <w:rPr>
          <w:rFonts w:hint="eastAsia" w:ascii="宋体" w:hAnsi="宋体" w:eastAsia="宋体" w:cs="宋体"/>
          <w:b/>
          <w:color w:val="auto"/>
          <w:highlight w:val="none"/>
        </w:rPr>
      </w:pPr>
      <w:bookmarkStart w:id="149" w:name="_Toc8222"/>
    </w:p>
    <w:p w14:paraId="451C4ADC">
      <w:pPr>
        <w:pStyle w:val="172"/>
        <w:spacing w:line="480" w:lineRule="exact"/>
        <w:rPr>
          <w:rFonts w:hint="eastAsia" w:ascii="宋体" w:hAnsi="宋体" w:eastAsia="宋体" w:cs="宋体"/>
          <w:b/>
          <w:color w:val="auto"/>
          <w:highlight w:val="none"/>
        </w:rPr>
      </w:pPr>
    </w:p>
    <w:p w14:paraId="0D370C3F">
      <w:pPr>
        <w:pStyle w:val="172"/>
        <w:spacing w:line="480" w:lineRule="exact"/>
        <w:rPr>
          <w:rFonts w:hint="eastAsia" w:ascii="宋体" w:hAnsi="宋体" w:eastAsia="宋体" w:cs="宋体"/>
          <w:b/>
          <w:color w:val="auto"/>
          <w:highlight w:val="none"/>
        </w:rPr>
      </w:pPr>
    </w:p>
    <w:p w14:paraId="4EEF3A51">
      <w:pPr>
        <w:pStyle w:val="172"/>
        <w:spacing w:line="480" w:lineRule="exact"/>
        <w:rPr>
          <w:rFonts w:hint="eastAsia" w:ascii="宋体" w:hAnsi="宋体" w:eastAsia="宋体" w:cs="宋体"/>
          <w:b/>
          <w:color w:val="auto"/>
          <w:highlight w:val="none"/>
        </w:rPr>
      </w:pPr>
    </w:p>
    <w:p w14:paraId="3609E367">
      <w:pPr>
        <w:pStyle w:val="172"/>
        <w:spacing w:line="480" w:lineRule="exact"/>
        <w:rPr>
          <w:rFonts w:hint="eastAsia" w:ascii="宋体" w:hAnsi="宋体" w:eastAsia="宋体" w:cs="宋体"/>
          <w:b/>
          <w:color w:val="auto"/>
          <w:highlight w:val="none"/>
        </w:rPr>
      </w:pPr>
    </w:p>
    <w:p w14:paraId="4098DAD1">
      <w:pPr>
        <w:pStyle w:val="172"/>
        <w:spacing w:line="480" w:lineRule="exact"/>
        <w:rPr>
          <w:rFonts w:hint="eastAsia" w:ascii="宋体" w:hAnsi="宋体" w:eastAsia="宋体" w:cs="宋体"/>
          <w:b/>
          <w:color w:val="auto"/>
          <w:highlight w:val="none"/>
        </w:rPr>
      </w:pPr>
    </w:p>
    <w:p w14:paraId="19F17A4B">
      <w:pPr>
        <w:pStyle w:val="172"/>
        <w:spacing w:line="480" w:lineRule="exact"/>
        <w:rPr>
          <w:rFonts w:hint="eastAsia" w:ascii="宋体" w:hAnsi="宋体" w:eastAsia="宋体" w:cs="宋体"/>
          <w:b/>
          <w:color w:val="auto"/>
          <w:highlight w:val="none"/>
        </w:rPr>
      </w:pPr>
    </w:p>
    <w:p w14:paraId="1B785DFF">
      <w:pPr>
        <w:pStyle w:val="172"/>
        <w:spacing w:line="480" w:lineRule="exact"/>
        <w:rPr>
          <w:rFonts w:hint="eastAsia" w:ascii="宋体" w:hAnsi="宋体" w:eastAsia="宋体" w:cs="宋体"/>
          <w:b/>
          <w:color w:val="auto"/>
          <w:highlight w:val="none"/>
        </w:rPr>
      </w:pPr>
    </w:p>
    <w:p w14:paraId="3AF5AE95">
      <w:pPr>
        <w:pStyle w:val="172"/>
        <w:spacing w:line="480" w:lineRule="exact"/>
        <w:rPr>
          <w:rFonts w:hint="eastAsia" w:ascii="宋体" w:hAnsi="宋体" w:eastAsia="宋体" w:cs="宋体"/>
          <w:b/>
          <w:color w:val="auto"/>
          <w:highlight w:val="none"/>
        </w:rPr>
      </w:pPr>
    </w:p>
    <w:p w14:paraId="45319A41">
      <w:pPr>
        <w:pStyle w:val="172"/>
        <w:spacing w:line="480" w:lineRule="exact"/>
        <w:rPr>
          <w:rFonts w:hint="eastAsia" w:ascii="宋体" w:hAnsi="宋体" w:eastAsia="宋体" w:cs="宋体"/>
          <w:b/>
          <w:color w:val="auto"/>
          <w:highlight w:val="none"/>
        </w:rPr>
      </w:pPr>
    </w:p>
    <w:p w14:paraId="3A1DC200">
      <w:pPr>
        <w:pStyle w:val="172"/>
        <w:spacing w:line="480" w:lineRule="exact"/>
        <w:rPr>
          <w:rFonts w:hint="eastAsia" w:ascii="宋体" w:hAnsi="宋体" w:eastAsia="宋体" w:cs="宋体"/>
          <w:b/>
          <w:color w:val="auto"/>
          <w:highlight w:val="none"/>
        </w:rPr>
      </w:pPr>
    </w:p>
    <w:p w14:paraId="32615732">
      <w:pPr>
        <w:pStyle w:val="172"/>
        <w:spacing w:line="480" w:lineRule="exact"/>
        <w:rPr>
          <w:rFonts w:hint="eastAsia" w:ascii="宋体" w:hAnsi="宋体" w:eastAsia="宋体" w:cs="宋体"/>
          <w:b/>
          <w:color w:val="auto"/>
          <w:highlight w:val="none"/>
        </w:rPr>
      </w:pPr>
    </w:p>
    <w:p w14:paraId="00C37FF9">
      <w:pPr>
        <w:pStyle w:val="172"/>
        <w:spacing w:line="480" w:lineRule="exact"/>
        <w:outlineLvl w:val="1"/>
        <w:rPr>
          <w:rFonts w:hint="eastAsia" w:ascii="宋体" w:hAnsi="宋体" w:eastAsia="宋体" w:cs="宋体"/>
          <w:b/>
          <w:color w:val="auto"/>
          <w:highlight w:val="none"/>
        </w:rPr>
      </w:pPr>
      <w:r>
        <w:rPr>
          <w:rFonts w:hint="eastAsia" w:ascii="宋体" w:hAnsi="宋体" w:eastAsia="宋体" w:cs="宋体"/>
          <w:b/>
          <w:color w:val="auto"/>
          <w:highlight w:val="none"/>
        </w:rPr>
        <w:t>附件3：企业项目业绩表</w:t>
      </w:r>
      <w:bookmarkEnd w:id="148"/>
      <w:bookmarkEnd w:id="149"/>
    </w:p>
    <w:p w14:paraId="79EA5AF6">
      <w:pPr>
        <w:pStyle w:val="172"/>
        <w:spacing w:line="480" w:lineRule="exact"/>
        <w:jc w:val="center"/>
        <w:rPr>
          <w:rFonts w:hint="eastAsia" w:ascii="宋体" w:hAnsi="宋体" w:eastAsia="宋体" w:cs="宋体"/>
          <w:color w:val="auto"/>
          <w:highlight w:val="none"/>
        </w:rPr>
      </w:pPr>
    </w:p>
    <w:p w14:paraId="014E9077">
      <w:pPr>
        <w:pStyle w:val="172"/>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w:t>
      </w:r>
    </w:p>
    <w:tbl>
      <w:tblPr>
        <w:tblStyle w:val="32"/>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15"/>
        <w:gridCol w:w="1920"/>
        <w:gridCol w:w="2070"/>
        <w:gridCol w:w="1335"/>
        <w:gridCol w:w="1485"/>
      </w:tblGrid>
      <w:tr w14:paraId="39D0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78" w:type="dxa"/>
            <w:vAlign w:val="center"/>
          </w:tcPr>
          <w:p w14:paraId="7FA01FF2">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815" w:type="dxa"/>
            <w:vAlign w:val="center"/>
          </w:tcPr>
          <w:p w14:paraId="432980E7">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20" w:type="dxa"/>
            <w:vAlign w:val="center"/>
          </w:tcPr>
          <w:p w14:paraId="389E797F">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项目简介</w:t>
            </w:r>
          </w:p>
        </w:tc>
        <w:tc>
          <w:tcPr>
            <w:tcW w:w="2070" w:type="dxa"/>
            <w:vAlign w:val="center"/>
          </w:tcPr>
          <w:p w14:paraId="492F4407">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合同金额（元）</w:t>
            </w:r>
          </w:p>
        </w:tc>
        <w:tc>
          <w:tcPr>
            <w:tcW w:w="1335" w:type="dxa"/>
            <w:vAlign w:val="center"/>
          </w:tcPr>
          <w:p w14:paraId="7A8218E6">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目前状态</w:t>
            </w:r>
          </w:p>
        </w:tc>
        <w:tc>
          <w:tcPr>
            <w:tcW w:w="1485" w:type="dxa"/>
            <w:vAlign w:val="center"/>
          </w:tcPr>
          <w:p w14:paraId="21126A0D">
            <w:pPr>
              <w:pStyle w:val="172"/>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项目时间</w:t>
            </w:r>
          </w:p>
        </w:tc>
      </w:tr>
      <w:tr w14:paraId="1F8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980AAA1">
            <w:pPr>
              <w:pStyle w:val="172"/>
              <w:spacing w:line="480" w:lineRule="exact"/>
              <w:rPr>
                <w:rFonts w:hint="eastAsia" w:ascii="宋体" w:hAnsi="宋体" w:eastAsia="宋体" w:cs="宋体"/>
                <w:color w:val="auto"/>
                <w:highlight w:val="none"/>
              </w:rPr>
            </w:pPr>
          </w:p>
        </w:tc>
        <w:tc>
          <w:tcPr>
            <w:tcW w:w="1815" w:type="dxa"/>
          </w:tcPr>
          <w:p w14:paraId="5B69B8C4">
            <w:pPr>
              <w:pStyle w:val="172"/>
              <w:spacing w:line="480" w:lineRule="exact"/>
              <w:rPr>
                <w:rFonts w:hint="eastAsia" w:ascii="宋体" w:hAnsi="宋体" w:eastAsia="宋体" w:cs="宋体"/>
                <w:color w:val="auto"/>
                <w:highlight w:val="none"/>
              </w:rPr>
            </w:pPr>
          </w:p>
        </w:tc>
        <w:tc>
          <w:tcPr>
            <w:tcW w:w="1920" w:type="dxa"/>
          </w:tcPr>
          <w:p w14:paraId="64D3A2A9">
            <w:pPr>
              <w:pStyle w:val="172"/>
              <w:spacing w:line="480" w:lineRule="exact"/>
              <w:rPr>
                <w:rFonts w:hint="eastAsia" w:ascii="宋体" w:hAnsi="宋体" w:eastAsia="宋体" w:cs="宋体"/>
                <w:color w:val="auto"/>
                <w:highlight w:val="none"/>
              </w:rPr>
            </w:pPr>
          </w:p>
        </w:tc>
        <w:tc>
          <w:tcPr>
            <w:tcW w:w="2070" w:type="dxa"/>
          </w:tcPr>
          <w:p w14:paraId="74E15390">
            <w:pPr>
              <w:pStyle w:val="172"/>
              <w:spacing w:line="480" w:lineRule="exact"/>
              <w:rPr>
                <w:rFonts w:hint="eastAsia" w:ascii="宋体" w:hAnsi="宋体" w:eastAsia="宋体" w:cs="宋体"/>
                <w:color w:val="auto"/>
                <w:highlight w:val="none"/>
              </w:rPr>
            </w:pPr>
          </w:p>
        </w:tc>
        <w:tc>
          <w:tcPr>
            <w:tcW w:w="1335" w:type="dxa"/>
          </w:tcPr>
          <w:p w14:paraId="40490540">
            <w:pPr>
              <w:pStyle w:val="172"/>
              <w:spacing w:line="480" w:lineRule="exact"/>
              <w:rPr>
                <w:rFonts w:hint="eastAsia" w:ascii="宋体" w:hAnsi="宋体" w:eastAsia="宋体" w:cs="宋体"/>
                <w:color w:val="auto"/>
                <w:highlight w:val="none"/>
              </w:rPr>
            </w:pPr>
          </w:p>
        </w:tc>
        <w:tc>
          <w:tcPr>
            <w:tcW w:w="1485" w:type="dxa"/>
          </w:tcPr>
          <w:p w14:paraId="60A0348D">
            <w:pPr>
              <w:pStyle w:val="172"/>
              <w:spacing w:line="480" w:lineRule="exact"/>
              <w:rPr>
                <w:rFonts w:hint="eastAsia" w:ascii="宋体" w:hAnsi="宋体" w:eastAsia="宋体" w:cs="宋体"/>
                <w:color w:val="auto"/>
                <w:highlight w:val="none"/>
              </w:rPr>
            </w:pPr>
          </w:p>
        </w:tc>
      </w:tr>
      <w:tr w14:paraId="7DB0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75C6622">
            <w:pPr>
              <w:pStyle w:val="172"/>
              <w:spacing w:line="480" w:lineRule="exact"/>
              <w:rPr>
                <w:rFonts w:hint="eastAsia" w:ascii="宋体" w:hAnsi="宋体" w:eastAsia="宋体" w:cs="宋体"/>
                <w:color w:val="auto"/>
                <w:highlight w:val="none"/>
              </w:rPr>
            </w:pPr>
          </w:p>
        </w:tc>
        <w:tc>
          <w:tcPr>
            <w:tcW w:w="1815" w:type="dxa"/>
          </w:tcPr>
          <w:p w14:paraId="44F64101">
            <w:pPr>
              <w:pStyle w:val="172"/>
              <w:spacing w:line="480" w:lineRule="exact"/>
              <w:rPr>
                <w:rFonts w:hint="eastAsia" w:ascii="宋体" w:hAnsi="宋体" w:eastAsia="宋体" w:cs="宋体"/>
                <w:color w:val="auto"/>
                <w:highlight w:val="none"/>
              </w:rPr>
            </w:pPr>
          </w:p>
        </w:tc>
        <w:tc>
          <w:tcPr>
            <w:tcW w:w="1920" w:type="dxa"/>
          </w:tcPr>
          <w:p w14:paraId="3B7060E8">
            <w:pPr>
              <w:pStyle w:val="172"/>
              <w:spacing w:line="480" w:lineRule="exact"/>
              <w:rPr>
                <w:rFonts w:hint="eastAsia" w:ascii="宋体" w:hAnsi="宋体" w:eastAsia="宋体" w:cs="宋体"/>
                <w:color w:val="auto"/>
                <w:highlight w:val="none"/>
              </w:rPr>
            </w:pPr>
          </w:p>
        </w:tc>
        <w:tc>
          <w:tcPr>
            <w:tcW w:w="2070" w:type="dxa"/>
          </w:tcPr>
          <w:p w14:paraId="0A4F5254">
            <w:pPr>
              <w:pStyle w:val="172"/>
              <w:spacing w:line="480" w:lineRule="exact"/>
              <w:rPr>
                <w:rFonts w:hint="eastAsia" w:ascii="宋体" w:hAnsi="宋体" w:eastAsia="宋体" w:cs="宋体"/>
                <w:color w:val="auto"/>
                <w:highlight w:val="none"/>
              </w:rPr>
            </w:pPr>
          </w:p>
        </w:tc>
        <w:tc>
          <w:tcPr>
            <w:tcW w:w="1335" w:type="dxa"/>
          </w:tcPr>
          <w:p w14:paraId="057B79EE">
            <w:pPr>
              <w:pStyle w:val="172"/>
              <w:spacing w:line="480" w:lineRule="exact"/>
              <w:rPr>
                <w:rFonts w:hint="eastAsia" w:ascii="宋体" w:hAnsi="宋体" w:eastAsia="宋体" w:cs="宋体"/>
                <w:color w:val="auto"/>
                <w:highlight w:val="none"/>
              </w:rPr>
            </w:pPr>
          </w:p>
        </w:tc>
        <w:tc>
          <w:tcPr>
            <w:tcW w:w="1485" w:type="dxa"/>
          </w:tcPr>
          <w:p w14:paraId="7CAAE0D9">
            <w:pPr>
              <w:pStyle w:val="172"/>
              <w:spacing w:line="480" w:lineRule="exact"/>
              <w:rPr>
                <w:rFonts w:hint="eastAsia" w:ascii="宋体" w:hAnsi="宋体" w:eastAsia="宋体" w:cs="宋体"/>
                <w:color w:val="auto"/>
                <w:highlight w:val="none"/>
              </w:rPr>
            </w:pPr>
          </w:p>
        </w:tc>
      </w:tr>
      <w:tr w14:paraId="739B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6795792">
            <w:pPr>
              <w:pStyle w:val="172"/>
              <w:spacing w:line="480" w:lineRule="exact"/>
              <w:rPr>
                <w:rFonts w:hint="eastAsia" w:ascii="宋体" w:hAnsi="宋体" w:eastAsia="宋体" w:cs="宋体"/>
                <w:color w:val="auto"/>
                <w:highlight w:val="none"/>
              </w:rPr>
            </w:pPr>
          </w:p>
        </w:tc>
        <w:tc>
          <w:tcPr>
            <w:tcW w:w="1815" w:type="dxa"/>
          </w:tcPr>
          <w:p w14:paraId="0FAC32A1">
            <w:pPr>
              <w:pStyle w:val="172"/>
              <w:spacing w:line="480" w:lineRule="exact"/>
              <w:rPr>
                <w:rFonts w:hint="eastAsia" w:ascii="宋体" w:hAnsi="宋体" w:eastAsia="宋体" w:cs="宋体"/>
                <w:color w:val="auto"/>
                <w:highlight w:val="none"/>
              </w:rPr>
            </w:pPr>
          </w:p>
        </w:tc>
        <w:tc>
          <w:tcPr>
            <w:tcW w:w="1920" w:type="dxa"/>
          </w:tcPr>
          <w:p w14:paraId="1C565FAC">
            <w:pPr>
              <w:pStyle w:val="172"/>
              <w:spacing w:line="480" w:lineRule="exact"/>
              <w:rPr>
                <w:rFonts w:hint="eastAsia" w:ascii="宋体" w:hAnsi="宋体" w:eastAsia="宋体" w:cs="宋体"/>
                <w:color w:val="auto"/>
                <w:highlight w:val="none"/>
              </w:rPr>
            </w:pPr>
          </w:p>
        </w:tc>
        <w:tc>
          <w:tcPr>
            <w:tcW w:w="2070" w:type="dxa"/>
          </w:tcPr>
          <w:p w14:paraId="13BC13FC">
            <w:pPr>
              <w:pStyle w:val="172"/>
              <w:spacing w:line="480" w:lineRule="exact"/>
              <w:rPr>
                <w:rFonts w:hint="eastAsia" w:ascii="宋体" w:hAnsi="宋体" w:eastAsia="宋体" w:cs="宋体"/>
                <w:color w:val="auto"/>
                <w:highlight w:val="none"/>
              </w:rPr>
            </w:pPr>
          </w:p>
        </w:tc>
        <w:tc>
          <w:tcPr>
            <w:tcW w:w="1335" w:type="dxa"/>
          </w:tcPr>
          <w:p w14:paraId="7F35F797">
            <w:pPr>
              <w:pStyle w:val="172"/>
              <w:spacing w:line="480" w:lineRule="exact"/>
              <w:rPr>
                <w:rFonts w:hint="eastAsia" w:ascii="宋体" w:hAnsi="宋体" w:eastAsia="宋体" w:cs="宋体"/>
                <w:color w:val="auto"/>
                <w:highlight w:val="none"/>
              </w:rPr>
            </w:pPr>
          </w:p>
        </w:tc>
        <w:tc>
          <w:tcPr>
            <w:tcW w:w="1485" w:type="dxa"/>
          </w:tcPr>
          <w:p w14:paraId="7B9FA4DB">
            <w:pPr>
              <w:pStyle w:val="172"/>
              <w:spacing w:line="480" w:lineRule="exact"/>
              <w:rPr>
                <w:rFonts w:hint="eastAsia" w:ascii="宋体" w:hAnsi="宋体" w:eastAsia="宋体" w:cs="宋体"/>
                <w:color w:val="auto"/>
                <w:highlight w:val="none"/>
              </w:rPr>
            </w:pPr>
          </w:p>
        </w:tc>
      </w:tr>
      <w:tr w14:paraId="3899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6BE4CB9">
            <w:pPr>
              <w:pStyle w:val="172"/>
              <w:spacing w:line="480" w:lineRule="exact"/>
              <w:rPr>
                <w:rFonts w:hint="eastAsia" w:ascii="宋体" w:hAnsi="宋体" w:eastAsia="宋体" w:cs="宋体"/>
                <w:color w:val="auto"/>
                <w:highlight w:val="none"/>
              </w:rPr>
            </w:pPr>
          </w:p>
        </w:tc>
        <w:tc>
          <w:tcPr>
            <w:tcW w:w="1815" w:type="dxa"/>
          </w:tcPr>
          <w:p w14:paraId="425A7EF1">
            <w:pPr>
              <w:pStyle w:val="172"/>
              <w:spacing w:line="480" w:lineRule="exact"/>
              <w:rPr>
                <w:rFonts w:hint="eastAsia" w:ascii="宋体" w:hAnsi="宋体" w:eastAsia="宋体" w:cs="宋体"/>
                <w:color w:val="auto"/>
                <w:highlight w:val="none"/>
              </w:rPr>
            </w:pPr>
          </w:p>
        </w:tc>
        <w:tc>
          <w:tcPr>
            <w:tcW w:w="1920" w:type="dxa"/>
          </w:tcPr>
          <w:p w14:paraId="7C48DE2E">
            <w:pPr>
              <w:pStyle w:val="172"/>
              <w:spacing w:line="480" w:lineRule="exact"/>
              <w:rPr>
                <w:rFonts w:hint="eastAsia" w:ascii="宋体" w:hAnsi="宋体" w:eastAsia="宋体" w:cs="宋体"/>
                <w:color w:val="auto"/>
                <w:highlight w:val="none"/>
              </w:rPr>
            </w:pPr>
          </w:p>
        </w:tc>
        <w:tc>
          <w:tcPr>
            <w:tcW w:w="2070" w:type="dxa"/>
          </w:tcPr>
          <w:p w14:paraId="25A88C06">
            <w:pPr>
              <w:pStyle w:val="172"/>
              <w:spacing w:line="480" w:lineRule="exact"/>
              <w:rPr>
                <w:rFonts w:hint="eastAsia" w:ascii="宋体" w:hAnsi="宋体" w:eastAsia="宋体" w:cs="宋体"/>
                <w:color w:val="auto"/>
                <w:highlight w:val="none"/>
              </w:rPr>
            </w:pPr>
          </w:p>
        </w:tc>
        <w:tc>
          <w:tcPr>
            <w:tcW w:w="1335" w:type="dxa"/>
          </w:tcPr>
          <w:p w14:paraId="278152D7">
            <w:pPr>
              <w:pStyle w:val="172"/>
              <w:spacing w:line="480" w:lineRule="exact"/>
              <w:rPr>
                <w:rFonts w:hint="eastAsia" w:ascii="宋体" w:hAnsi="宋体" w:eastAsia="宋体" w:cs="宋体"/>
                <w:color w:val="auto"/>
                <w:highlight w:val="none"/>
              </w:rPr>
            </w:pPr>
          </w:p>
        </w:tc>
        <w:tc>
          <w:tcPr>
            <w:tcW w:w="1485" w:type="dxa"/>
          </w:tcPr>
          <w:p w14:paraId="180ECFB4">
            <w:pPr>
              <w:pStyle w:val="172"/>
              <w:spacing w:line="480" w:lineRule="exact"/>
              <w:rPr>
                <w:rFonts w:hint="eastAsia" w:ascii="宋体" w:hAnsi="宋体" w:eastAsia="宋体" w:cs="宋体"/>
                <w:color w:val="auto"/>
                <w:highlight w:val="none"/>
              </w:rPr>
            </w:pPr>
          </w:p>
        </w:tc>
      </w:tr>
      <w:tr w14:paraId="0918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ECB9D9C">
            <w:pPr>
              <w:pStyle w:val="172"/>
              <w:spacing w:line="480" w:lineRule="exact"/>
              <w:rPr>
                <w:rFonts w:hint="eastAsia" w:ascii="宋体" w:hAnsi="宋体" w:eastAsia="宋体" w:cs="宋体"/>
                <w:color w:val="auto"/>
                <w:highlight w:val="none"/>
              </w:rPr>
            </w:pPr>
          </w:p>
        </w:tc>
        <w:tc>
          <w:tcPr>
            <w:tcW w:w="1815" w:type="dxa"/>
          </w:tcPr>
          <w:p w14:paraId="13C4994A">
            <w:pPr>
              <w:pStyle w:val="172"/>
              <w:spacing w:line="480" w:lineRule="exact"/>
              <w:rPr>
                <w:rFonts w:hint="eastAsia" w:ascii="宋体" w:hAnsi="宋体" w:eastAsia="宋体" w:cs="宋体"/>
                <w:color w:val="auto"/>
                <w:highlight w:val="none"/>
              </w:rPr>
            </w:pPr>
          </w:p>
        </w:tc>
        <w:tc>
          <w:tcPr>
            <w:tcW w:w="1920" w:type="dxa"/>
          </w:tcPr>
          <w:p w14:paraId="6DDD6172">
            <w:pPr>
              <w:pStyle w:val="172"/>
              <w:spacing w:line="480" w:lineRule="exact"/>
              <w:rPr>
                <w:rFonts w:hint="eastAsia" w:ascii="宋体" w:hAnsi="宋体" w:eastAsia="宋体" w:cs="宋体"/>
                <w:color w:val="auto"/>
                <w:highlight w:val="none"/>
              </w:rPr>
            </w:pPr>
          </w:p>
        </w:tc>
        <w:tc>
          <w:tcPr>
            <w:tcW w:w="2070" w:type="dxa"/>
          </w:tcPr>
          <w:p w14:paraId="35C075B5">
            <w:pPr>
              <w:pStyle w:val="172"/>
              <w:spacing w:line="480" w:lineRule="exact"/>
              <w:rPr>
                <w:rFonts w:hint="eastAsia" w:ascii="宋体" w:hAnsi="宋体" w:eastAsia="宋体" w:cs="宋体"/>
                <w:color w:val="auto"/>
                <w:highlight w:val="none"/>
              </w:rPr>
            </w:pPr>
          </w:p>
        </w:tc>
        <w:tc>
          <w:tcPr>
            <w:tcW w:w="1335" w:type="dxa"/>
          </w:tcPr>
          <w:p w14:paraId="12C5668F">
            <w:pPr>
              <w:pStyle w:val="172"/>
              <w:spacing w:line="480" w:lineRule="exact"/>
              <w:rPr>
                <w:rFonts w:hint="eastAsia" w:ascii="宋体" w:hAnsi="宋体" w:eastAsia="宋体" w:cs="宋体"/>
                <w:color w:val="auto"/>
                <w:highlight w:val="none"/>
              </w:rPr>
            </w:pPr>
          </w:p>
        </w:tc>
        <w:tc>
          <w:tcPr>
            <w:tcW w:w="1485" w:type="dxa"/>
          </w:tcPr>
          <w:p w14:paraId="39BEB2EB">
            <w:pPr>
              <w:pStyle w:val="172"/>
              <w:spacing w:line="480" w:lineRule="exact"/>
              <w:rPr>
                <w:rFonts w:hint="eastAsia" w:ascii="宋体" w:hAnsi="宋体" w:eastAsia="宋体" w:cs="宋体"/>
                <w:color w:val="auto"/>
                <w:highlight w:val="none"/>
              </w:rPr>
            </w:pPr>
          </w:p>
        </w:tc>
      </w:tr>
      <w:tr w14:paraId="2AA3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943597C">
            <w:pPr>
              <w:pStyle w:val="172"/>
              <w:spacing w:line="480" w:lineRule="exact"/>
              <w:rPr>
                <w:rFonts w:hint="eastAsia" w:ascii="宋体" w:hAnsi="宋体" w:eastAsia="宋体" w:cs="宋体"/>
                <w:color w:val="auto"/>
                <w:highlight w:val="none"/>
              </w:rPr>
            </w:pPr>
          </w:p>
        </w:tc>
        <w:tc>
          <w:tcPr>
            <w:tcW w:w="1815" w:type="dxa"/>
          </w:tcPr>
          <w:p w14:paraId="5892C113">
            <w:pPr>
              <w:pStyle w:val="172"/>
              <w:spacing w:line="480" w:lineRule="exact"/>
              <w:rPr>
                <w:rFonts w:hint="eastAsia" w:ascii="宋体" w:hAnsi="宋体" w:eastAsia="宋体" w:cs="宋体"/>
                <w:color w:val="auto"/>
                <w:highlight w:val="none"/>
              </w:rPr>
            </w:pPr>
          </w:p>
        </w:tc>
        <w:tc>
          <w:tcPr>
            <w:tcW w:w="1920" w:type="dxa"/>
          </w:tcPr>
          <w:p w14:paraId="230A7CF9">
            <w:pPr>
              <w:pStyle w:val="172"/>
              <w:spacing w:line="480" w:lineRule="exact"/>
              <w:rPr>
                <w:rFonts w:hint="eastAsia" w:ascii="宋体" w:hAnsi="宋体" w:eastAsia="宋体" w:cs="宋体"/>
                <w:color w:val="auto"/>
                <w:highlight w:val="none"/>
              </w:rPr>
            </w:pPr>
          </w:p>
        </w:tc>
        <w:tc>
          <w:tcPr>
            <w:tcW w:w="2070" w:type="dxa"/>
          </w:tcPr>
          <w:p w14:paraId="39B2EE79">
            <w:pPr>
              <w:pStyle w:val="172"/>
              <w:spacing w:line="480" w:lineRule="exact"/>
              <w:rPr>
                <w:rFonts w:hint="eastAsia" w:ascii="宋体" w:hAnsi="宋体" w:eastAsia="宋体" w:cs="宋体"/>
                <w:color w:val="auto"/>
                <w:highlight w:val="none"/>
              </w:rPr>
            </w:pPr>
          </w:p>
        </w:tc>
        <w:tc>
          <w:tcPr>
            <w:tcW w:w="1335" w:type="dxa"/>
          </w:tcPr>
          <w:p w14:paraId="7778F76E">
            <w:pPr>
              <w:pStyle w:val="172"/>
              <w:spacing w:line="480" w:lineRule="exact"/>
              <w:rPr>
                <w:rFonts w:hint="eastAsia" w:ascii="宋体" w:hAnsi="宋体" w:eastAsia="宋体" w:cs="宋体"/>
                <w:color w:val="auto"/>
                <w:highlight w:val="none"/>
              </w:rPr>
            </w:pPr>
          </w:p>
        </w:tc>
        <w:tc>
          <w:tcPr>
            <w:tcW w:w="1485" w:type="dxa"/>
          </w:tcPr>
          <w:p w14:paraId="262EE400">
            <w:pPr>
              <w:pStyle w:val="172"/>
              <w:spacing w:line="480" w:lineRule="exact"/>
              <w:rPr>
                <w:rFonts w:hint="eastAsia" w:ascii="宋体" w:hAnsi="宋体" w:eastAsia="宋体" w:cs="宋体"/>
                <w:color w:val="auto"/>
                <w:highlight w:val="none"/>
              </w:rPr>
            </w:pPr>
          </w:p>
        </w:tc>
      </w:tr>
      <w:tr w14:paraId="2F6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703E0B7F">
            <w:pPr>
              <w:pStyle w:val="172"/>
              <w:spacing w:line="480" w:lineRule="exact"/>
              <w:rPr>
                <w:rFonts w:hint="eastAsia" w:ascii="宋体" w:hAnsi="宋体" w:eastAsia="宋体" w:cs="宋体"/>
                <w:color w:val="auto"/>
                <w:highlight w:val="none"/>
              </w:rPr>
            </w:pPr>
          </w:p>
        </w:tc>
        <w:tc>
          <w:tcPr>
            <w:tcW w:w="1815" w:type="dxa"/>
          </w:tcPr>
          <w:p w14:paraId="07136222">
            <w:pPr>
              <w:pStyle w:val="172"/>
              <w:spacing w:line="480" w:lineRule="exact"/>
              <w:rPr>
                <w:rFonts w:hint="eastAsia" w:ascii="宋体" w:hAnsi="宋体" w:eastAsia="宋体" w:cs="宋体"/>
                <w:color w:val="auto"/>
                <w:highlight w:val="none"/>
              </w:rPr>
            </w:pPr>
          </w:p>
        </w:tc>
        <w:tc>
          <w:tcPr>
            <w:tcW w:w="1920" w:type="dxa"/>
          </w:tcPr>
          <w:p w14:paraId="2B279254">
            <w:pPr>
              <w:pStyle w:val="172"/>
              <w:spacing w:line="480" w:lineRule="exact"/>
              <w:rPr>
                <w:rFonts w:hint="eastAsia" w:ascii="宋体" w:hAnsi="宋体" w:eastAsia="宋体" w:cs="宋体"/>
                <w:color w:val="auto"/>
                <w:highlight w:val="none"/>
              </w:rPr>
            </w:pPr>
          </w:p>
        </w:tc>
        <w:tc>
          <w:tcPr>
            <w:tcW w:w="2070" w:type="dxa"/>
          </w:tcPr>
          <w:p w14:paraId="213FB58D">
            <w:pPr>
              <w:pStyle w:val="172"/>
              <w:spacing w:line="480" w:lineRule="exact"/>
              <w:rPr>
                <w:rFonts w:hint="eastAsia" w:ascii="宋体" w:hAnsi="宋体" w:eastAsia="宋体" w:cs="宋体"/>
                <w:color w:val="auto"/>
                <w:highlight w:val="none"/>
              </w:rPr>
            </w:pPr>
          </w:p>
        </w:tc>
        <w:tc>
          <w:tcPr>
            <w:tcW w:w="1335" w:type="dxa"/>
          </w:tcPr>
          <w:p w14:paraId="1738542B">
            <w:pPr>
              <w:pStyle w:val="172"/>
              <w:spacing w:line="480" w:lineRule="exact"/>
              <w:rPr>
                <w:rFonts w:hint="eastAsia" w:ascii="宋体" w:hAnsi="宋体" w:eastAsia="宋体" w:cs="宋体"/>
                <w:color w:val="auto"/>
                <w:highlight w:val="none"/>
              </w:rPr>
            </w:pPr>
          </w:p>
        </w:tc>
        <w:tc>
          <w:tcPr>
            <w:tcW w:w="1485" w:type="dxa"/>
          </w:tcPr>
          <w:p w14:paraId="221CD38C">
            <w:pPr>
              <w:pStyle w:val="172"/>
              <w:spacing w:line="480" w:lineRule="exact"/>
              <w:rPr>
                <w:rFonts w:hint="eastAsia" w:ascii="宋体" w:hAnsi="宋体" w:eastAsia="宋体" w:cs="宋体"/>
                <w:color w:val="auto"/>
                <w:highlight w:val="none"/>
              </w:rPr>
            </w:pPr>
          </w:p>
        </w:tc>
      </w:tr>
      <w:tr w14:paraId="6B23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8" w:type="dxa"/>
          </w:tcPr>
          <w:p w14:paraId="129A7707">
            <w:pPr>
              <w:pStyle w:val="172"/>
              <w:spacing w:line="480" w:lineRule="exact"/>
              <w:rPr>
                <w:rFonts w:hint="eastAsia" w:ascii="宋体" w:hAnsi="宋体" w:eastAsia="宋体" w:cs="宋体"/>
                <w:color w:val="auto"/>
                <w:highlight w:val="none"/>
              </w:rPr>
            </w:pPr>
          </w:p>
        </w:tc>
        <w:tc>
          <w:tcPr>
            <w:tcW w:w="1815" w:type="dxa"/>
          </w:tcPr>
          <w:p w14:paraId="2D52F107">
            <w:pPr>
              <w:pStyle w:val="172"/>
              <w:spacing w:line="480" w:lineRule="exact"/>
              <w:rPr>
                <w:rFonts w:hint="eastAsia" w:ascii="宋体" w:hAnsi="宋体" w:eastAsia="宋体" w:cs="宋体"/>
                <w:color w:val="auto"/>
                <w:highlight w:val="none"/>
              </w:rPr>
            </w:pPr>
          </w:p>
        </w:tc>
        <w:tc>
          <w:tcPr>
            <w:tcW w:w="1920" w:type="dxa"/>
          </w:tcPr>
          <w:p w14:paraId="2B4F6F69">
            <w:pPr>
              <w:pStyle w:val="172"/>
              <w:spacing w:line="480" w:lineRule="exact"/>
              <w:rPr>
                <w:rFonts w:hint="eastAsia" w:ascii="宋体" w:hAnsi="宋体" w:eastAsia="宋体" w:cs="宋体"/>
                <w:color w:val="auto"/>
                <w:highlight w:val="none"/>
              </w:rPr>
            </w:pPr>
          </w:p>
        </w:tc>
        <w:tc>
          <w:tcPr>
            <w:tcW w:w="2070" w:type="dxa"/>
          </w:tcPr>
          <w:p w14:paraId="03A8C650">
            <w:pPr>
              <w:pStyle w:val="172"/>
              <w:spacing w:line="480" w:lineRule="exact"/>
              <w:rPr>
                <w:rFonts w:hint="eastAsia" w:ascii="宋体" w:hAnsi="宋体" w:eastAsia="宋体" w:cs="宋体"/>
                <w:color w:val="auto"/>
                <w:highlight w:val="none"/>
              </w:rPr>
            </w:pPr>
          </w:p>
        </w:tc>
        <w:tc>
          <w:tcPr>
            <w:tcW w:w="1335" w:type="dxa"/>
          </w:tcPr>
          <w:p w14:paraId="1D948F92">
            <w:pPr>
              <w:pStyle w:val="172"/>
              <w:spacing w:line="480" w:lineRule="exact"/>
              <w:rPr>
                <w:rFonts w:hint="eastAsia" w:ascii="宋体" w:hAnsi="宋体" w:eastAsia="宋体" w:cs="宋体"/>
                <w:color w:val="auto"/>
                <w:highlight w:val="none"/>
              </w:rPr>
            </w:pPr>
          </w:p>
        </w:tc>
        <w:tc>
          <w:tcPr>
            <w:tcW w:w="1485" w:type="dxa"/>
          </w:tcPr>
          <w:p w14:paraId="1484CAC0">
            <w:pPr>
              <w:pStyle w:val="172"/>
              <w:spacing w:line="480" w:lineRule="exact"/>
              <w:rPr>
                <w:rFonts w:hint="eastAsia" w:ascii="宋体" w:hAnsi="宋体" w:eastAsia="宋体" w:cs="宋体"/>
                <w:color w:val="auto"/>
                <w:highlight w:val="none"/>
              </w:rPr>
            </w:pPr>
          </w:p>
        </w:tc>
      </w:tr>
    </w:tbl>
    <w:p w14:paraId="386056A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需提供近三年（202</w:t>
      </w:r>
      <w:r>
        <w:rPr>
          <w:rFonts w:hint="eastAsia" w:ascii="宋体" w:hAnsi="宋体" w:cs="宋体"/>
          <w:b w:val="0"/>
          <w:bCs w:val="0"/>
          <w:color w:val="auto"/>
          <w:kern w:val="1"/>
          <w:sz w:val="24"/>
          <w:szCs w:val="24"/>
          <w:highlight w:val="none"/>
          <w:lang w:val="en-US" w:eastAsia="zh-CN"/>
        </w:rPr>
        <w:t>2</w:t>
      </w:r>
      <w:r>
        <w:rPr>
          <w:rFonts w:hint="eastAsia" w:ascii="宋体" w:hAnsi="宋体" w:eastAsia="宋体" w:cs="宋体"/>
          <w:b w:val="0"/>
          <w:bCs w:val="0"/>
          <w:color w:val="auto"/>
          <w:kern w:val="1"/>
          <w:sz w:val="24"/>
          <w:szCs w:val="24"/>
          <w:highlight w:val="none"/>
          <w:lang w:val="en-US" w:eastAsia="zh-CN"/>
        </w:rPr>
        <w:t>年</w:t>
      </w:r>
      <w:r>
        <w:rPr>
          <w:rFonts w:hint="eastAsia" w:ascii="宋体" w:hAnsi="宋体" w:cs="宋体"/>
          <w:b w:val="0"/>
          <w:bCs w:val="0"/>
          <w:color w:val="auto"/>
          <w:kern w:val="1"/>
          <w:sz w:val="24"/>
          <w:szCs w:val="24"/>
          <w:highlight w:val="none"/>
          <w:lang w:val="en-US" w:eastAsia="zh-CN"/>
        </w:rPr>
        <w:t>6</w:t>
      </w:r>
      <w:r>
        <w:rPr>
          <w:rFonts w:hint="eastAsia" w:ascii="宋体" w:hAnsi="宋体" w:eastAsia="宋体" w:cs="宋体"/>
          <w:b w:val="0"/>
          <w:bCs w:val="0"/>
          <w:color w:val="auto"/>
          <w:kern w:val="1"/>
          <w:sz w:val="24"/>
          <w:szCs w:val="24"/>
          <w:highlight w:val="none"/>
          <w:lang w:val="en-US" w:eastAsia="zh-CN"/>
        </w:rPr>
        <w:t>月1日至今）类似业绩。</w:t>
      </w:r>
    </w:p>
    <w:p w14:paraId="2A2601E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注：1、</w:t>
      </w:r>
      <w:r>
        <w:rPr>
          <w:rFonts w:hint="eastAsia" w:ascii="宋体" w:hAnsi="宋体" w:eastAsia="宋体" w:cs="宋体"/>
          <w:color w:val="auto"/>
          <w:kern w:val="0"/>
          <w:sz w:val="24"/>
          <w:szCs w:val="24"/>
          <w:highlight w:val="none"/>
          <w:lang w:val="en-US" w:eastAsia="zh-CN" w:bidi="ar"/>
        </w:rPr>
        <w:t>类似业绩是承接过高质量发展咨询相关课题项目或承担过节能环保、低碳领域咨询相关类似项目编制工作</w:t>
      </w:r>
      <w:r>
        <w:rPr>
          <w:rFonts w:hint="eastAsia" w:ascii="宋体" w:hAnsi="宋体" w:eastAsia="宋体" w:cs="宋体"/>
          <w:b w:val="0"/>
          <w:bCs w:val="0"/>
          <w:color w:val="auto"/>
          <w:kern w:val="1"/>
          <w:sz w:val="24"/>
          <w:szCs w:val="24"/>
          <w:highlight w:val="none"/>
          <w:lang w:val="en-US" w:eastAsia="zh-CN"/>
        </w:rPr>
        <w:t>。</w:t>
      </w:r>
    </w:p>
    <w:p w14:paraId="0ACC97D7">
      <w:pPr>
        <w:numPr>
          <w:ilvl w:val="0"/>
          <w:numId w:val="0"/>
        </w:numPr>
        <w:spacing w:line="480" w:lineRule="exact"/>
        <w:rPr>
          <w:rFonts w:hint="eastAsia" w:ascii="宋体" w:hAnsi="宋体" w:eastAsia="宋体" w:cs="宋体"/>
          <w:b w:val="0"/>
          <w:bCs w:val="0"/>
          <w:color w:val="auto"/>
          <w:kern w:val="1"/>
          <w:sz w:val="24"/>
          <w:szCs w:val="24"/>
          <w:highlight w:val="none"/>
          <w:lang w:val="en-US" w:eastAsia="zh-CN"/>
        </w:rPr>
      </w:pPr>
      <w:r>
        <w:rPr>
          <w:rFonts w:hint="eastAsia" w:ascii="宋体" w:hAnsi="宋体" w:cs="宋体"/>
          <w:b w:val="0"/>
          <w:bCs w:val="0"/>
          <w:color w:val="auto"/>
          <w:kern w:val="1"/>
          <w:sz w:val="24"/>
          <w:szCs w:val="24"/>
          <w:highlight w:val="none"/>
          <w:lang w:val="en-US" w:eastAsia="zh-CN"/>
        </w:rPr>
        <w:t>2、</w:t>
      </w:r>
      <w:r>
        <w:rPr>
          <w:rFonts w:hint="eastAsia" w:ascii="宋体" w:hAnsi="宋体" w:eastAsia="宋体" w:cs="宋体"/>
          <w:b w:val="0"/>
          <w:bCs w:val="0"/>
          <w:color w:val="auto"/>
          <w:kern w:val="1"/>
          <w:sz w:val="24"/>
          <w:szCs w:val="24"/>
          <w:highlight w:val="none"/>
          <w:lang w:val="en-US" w:eastAsia="zh-CN"/>
        </w:rPr>
        <w:t>业绩以提供</w:t>
      </w:r>
      <w:r>
        <w:rPr>
          <w:rFonts w:hint="eastAsia" w:ascii="宋体" w:hAnsi="宋体" w:cs="宋体"/>
          <w:b w:val="0"/>
          <w:bCs w:val="0"/>
          <w:color w:val="auto"/>
          <w:kern w:val="1"/>
          <w:sz w:val="24"/>
          <w:szCs w:val="24"/>
          <w:highlight w:val="none"/>
          <w:lang w:val="en-US" w:eastAsia="zh-CN"/>
        </w:rPr>
        <w:t>（委托协议或合同或中标通知书）原件的扫描件为准（包括服务内容、双方签字盖章页）</w:t>
      </w:r>
      <w:r>
        <w:rPr>
          <w:rFonts w:hint="eastAsia" w:ascii="宋体" w:hAnsi="宋体" w:eastAsia="宋体" w:cs="宋体"/>
          <w:b w:val="0"/>
          <w:bCs w:val="0"/>
          <w:color w:val="auto"/>
          <w:kern w:val="1"/>
          <w:sz w:val="24"/>
          <w:szCs w:val="24"/>
          <w:highlight w:val="none"/>
          <w:lang w:val="en-US" w:eastAsia="zh-CN"/>
        </w:rPr>
        <w:t>。</w:t>
      </w:r>
    </w:p>
    <w:p w14:paraId="7EB5FD90">
      <w:pPr>
        <w:pStyle w:val="12"/>
        <w:spacing w:line="480" w:lineRule="exact"/>
        <w:rPr>
          <w:rFonts w:hint="eastAsia" w:ascii="宋体" w:hAnsi="宋体" w:eastAsia="宋体" w:cs="宋体"/>
          <w:color w:val="auto"/>
          <w:sz w:val="24"/>
          <w:szCs w:val="24"/>
          <w:highlight w:val="none"/>
        </w:rPr>
      </w:pPr>
    </w:p>
    <w:p w14:paraId="0D98C0AA">
      <w:pPr>
        <w:spacing w:line="480" w:lineRule="exact"/>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082DB980">
      <w:pPr>
        <w:spacing w:line="480" w:lineRule="exact"/>
        <w:rPr>
          <w:rFonts w:hint="eastAsia" w:ascii="宋体" w:hAnsi="宋体" w:eastAsia="宋体" w:cs="宋体"/>
          <w:color w:val="auto"/>
          <w:sz w:val="24"/>
          <w:szCs w:val="24"/>
          <w:highlight w:val="none"/>
        </w:rPr>
      </w:pPr>
    </w:p>
    <w:p w14:paraId="679CDF10">
      <w:pPr>
        <w:snapToGrid w:val="0"/>
        <w:spacing w:before="50" w:after="50" w:line="480" w:lineRule="exact"/>
        <w:ind w:left="6335" w:leftChars="331" w:right="-817" w:rightChars="-389" w:hanging="5640" w:hangingChars="235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日期：    年   月   日</w:t>
      </w:r>
    </w:p>
    <w:p w14:paraId="2FEF6418">
      <w:pPr>
        <w:spacing w:line="480" w:lineRule="exact"/>
        <w:ind w:firstLine="482" w:firstLineChars="200"/>
        <w:rPr>
          <w:rFonts w:hint="eastAsia" w:ascii="宋体" w:hAnsi="宋体" w:eastAsia="宋体" w:cs="宋体"/>
          <w:b/>
          <w:color w:val="auto"/>
          <w:kern w:val="0"/>
          <w:sz w:val="24"/>
          <w:szCs w:val="24"/>
          <w:highlight w:val="none"/>
        </w:rPr>
      </w:pPr>
    </w:p>
    <w:p w14:paraId="13F0892B">
      <w:pPr>
        <w:spacing w:line="480" w:lineRule="exact"/>
        <w:ind w:firstLine="482" w:firstLineChars="200"/>
        <w:rPr>
          <w:rFonts w:hint="eastAsia" w:ascii="宋体" w:hAnsi="宋体" w:eastAsia="宋体" w:cs="宋体"/>
          <w:b/>
          <w:color w:val="auto"/>
          <w:kern w:val="0"/>
          <w:sz w:val="24"/>
          <w:szCs w:val="24"/>
          <w:highlight w:val="none"/>
        </w:rPr>
      </w:pPr>
    </w:p>
    <w:p w14:paraId="0FB9B1F8">
      <w:pPr>
        <w:spacing w:line="480" w:lineRule="exact"/>
        <w:ind w:firstLine="482" w:firstLineChars="200"/>
        <w:rPr>
          <w:rFonts w:hint="eastAsia" w:ascii="宋体" w:hAnsi="宋体" w:eastAsia="宋体" w:cs="宋体"/>
          <w:b/>
          <w:color w:val="auto"/>
          <w:kern w:val="0"/>
          <w:sz w:val="24"/>
          <w:szCs w:val="24"/>
          <w:highlight w:val="none"/>
        </w:rPr>
      </w:pPr>
    </w:p>
    <w:p w14:paraId="5C497C4B">
      <w:pPr>
        <w:spacing w:line="480" w:lineRule="exact"/>
        <w:ind w:firstLine="482" w:firstLineChars="200"/>
        <w:rPr>
          <w:rFonts w:hint="eastAsia" w:ascii="宋体" w:hAnsi="宋体" w:eastAsia="宋体" w:cs="宋体"/>
          <w:b/>
          <w:color w:val="auto"/>
          <w:kern w:val="0"/>
          <w:sz w:val="24"/>
          <w:szCs w:val="24"/>
          <w:highlight w:val="none"/>
        </w:rPr>
      </w:pPr>
    </w:p>
    <w:p w14:paraId="29292195">
      <w:pPr>
        <w:spacing w:line="480" w:lineRule="exact"/>
        <w:ind w:firstLine="482" w:firstLineChars="200"/>
        <w:rPr>
          <w:rFonts w:hint="eastAsia" w:ascii="宋体" w:hAnsi="宋体" w:eastAsia="宋体" w:cs="宋体"/>
          <w:b/>
          <w:color w:val="auto"/>
          <w:kern w:val="0"/>
          <w:sz w:val="24"/>
          <w:szCs w:val="24"/>
          <w:highlight w:val="none"/>
        </w:rPr>
      </w:pPr>
    </w:p>
    <w:p w14:paraId="666F3AA6">
      <w:pPr>
        <w:pStyle w:val="172"/>
        <w:spacing w:line="480" w:lineRule="exact"/>
        <w:rPr>
          <w:rFonts w:hint="eastAsia" w:ascii="宋体" w:hAnsi="宋体" w:eastAsia="宋体" w:cs="宋体"/>
          <w:bCs/>
          <w:color w:val="auto"/>
          <w:highlight w:val="none"/>
        </w:rPr>
      </w:pPr>
    </w:p>
    <w:p w14:paraId="2FEC6B39">
      <w:pPr>
        <w:pStyle w:val="172"/>
        <w:spacing w:line="480" w:lineRule="exact"/>
        <w:rPr>
          <w:rFonts w:hint="eastAsia" w:ascii="宋体" w:hAnsi="宋体" w:eastAsia="宋体" w:cs="宋体"/>
          <w:bCs/>
          <w:color w:val="auto"/>
          <w:highlight w:val="none"/>
        </w:rPr>
      </w:pPr>
    </w:p>
    <w:p w14:paraId="20D071DE">
      <w:pPr>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附件4、人员配置构成</w:t>
      </w:r>
    </w:p>
    <w:p w14:paraId="713E3EF8">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本项目服务人员包括项目负责人及项目组成员；</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rPr>
        <w:t>根据自身人员配备方案情况合理设置、分配。</w:t>
      </w:r>
    </w:p>
    <w:p w14:paraId="7DA3DF55">
      <w:pPr>
        <w:tabs>
          <w:tab w:val="left" w:pos="5580"/>
        </w:tabs>
        <w:spacing w:before="156" w:beforeLines="50" w:after="156" w:afterLines="50" w:line="4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项目负责人简历表</w:t>
      </w:r>
    </w:p>
    <w:tbl>
      <w:tblPr>
        <w:tblStyle w:val="32"/>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856"/>
        <w:gridCol w:w="2588"/>
        <w:gridCol w:w="2292"/>
      </w:tblGrid>
      <w:tr w14:paraId="4DD4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9" w:type="dxa"/>
            <w:tcBorders>
              <w:top w:val="single" w:color="auto" w:sz="4" w:space="0"/>
              <w:left w:val="single" w:color="auto" w:sz="4" w:space="0"/>
              <w:bottom w:val="single" w:color="auto" w:sz="4" w:space="0"/>
              <w:right w:val="single" w:color="auto" w:sz="4" w:space="0"/>
            </w:tcBorders>
            <w:vAlign w:val="center"/>
          </w:tcPr>
          <w:p w14:paraId="67A2F24A">
            <w:pPr>
              <w:pStyle w:val="175"/>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856" w:type="dxa"/>
            <w:tcBorders>
              <w:top w:val="single" w:color="auto" w:sz="4" w:space="0"/>
              <w:left w:val="single" w:color="auto" w:sz="4" w:space="0"/>
              <w:bottom w:val="single" w:color="auto" w:sz="4" w:space="0"/>
              <w:right w:val="single" w:color="auto" w:sz="4" w:space="0"/>
            </w:tcBorders>
            <w:vAlign w:val="center"/>
          </w:tcPr>
          <w:p w14:paraId="4D19503C">
            <w:pPr>
              <w:pStyle w:val="175"/>
              <w:spacing w:line="480" w:lineRule="exact"/>
              <w:ind w:firstLine="210"/>
              <w:jc w:val="center"/>
              <w:rPr>
                <w:rFonts w:hint="eastAsia" w:ascii="宋体" w:hAnsi="宋体" w:eastAsia="宋体" w:cs="宋体"/>
                <w:color w:val="auto"/>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4FB13046">
            <w:pPr>
              <w:pStyle w:val="175"/>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2292" w:type="dxa"/>
            <w:tcBorders>
              <w:top w:val="single" w:color="auto" w:sz="4" w:space="0"/>
              <w:left w:val="single" w:color="auto" w:sz="4" w:space="0"/>
              <w:bottom w:val="single" w:color="auto" w:sz="4" w:space="0"/>
              <w:right w:val="single" w:color="auto" w:sz="4" w:space="0"/>
            </w:tcBorders>
            <w:vAlign w:val="center"/>
          </w:tcPr>
          <w:p w14:paraId="238E7EAF">
            <w:pPr>
              <w:pStyle w:val="175"/>
              <w:spacing w:line="480" w:lineRule="exact"/>
              <w:ind w:firstLine="210"/>
              <w:jc w:val="center"/>
              <w:rPr>
                <w:rFonts w:hint="eastAsia" w:ascii="宋体" w:hAnsi="宋体" w:eastAsia="宋体" w:cs="宋体"/>
                <w:color w:val="auto"/>
                <w:szCs w:val="24"/>
                <w:highlight w:val="none"/>
              </w:rPr>
            </w:pPr>
          </w:p>
        </w:tc>
      </w:tr>
      <w:tr w14:paraId="6AA0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09" w:type="dxa"/>
            <w:tcBorders>
              <w:top w:val="single" w:color="auto" w:sz="4" w:space="0"/>
              <w:left w:val="single" w:color="auto" w:sz="4" w:space="0"/>
              <w:bottom w:val="single" w:color="auto" w:sz="4" w:space="0"/>
              <w:right w:val="single" w:color="auto" w:sz="4" w:space="0"/>
            </w:tcBorders>
            <w:vAlign w:val="center"/>
          </w:tcPr>
          <w:p w14:paraId="341C3395">
            <w:pPr>
              <w:pStyle w:val="175"/>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856" w:type="dxa"/>
            <w:tcBorders>
              <w:top w:val="single" w:color="auto" w:sz="4" w:space="0"/>
              <w:left w:val="single" w:color="auto" w:sz="4" w:space="0"/>
              <w:bottom w:val="single" w:color="auto" w:sz="4" w:space="0"/>
              <w:right w:val="single" w:color="auto" w:sz="4" w:space="0"/>
            </w:tcBorders>
            <w:vAlign w:val="center"/>
          </w:tcPr>
          <w:p w14:paraId="665F3590">
            <w:pPr>
              <w:pStyle w:val="175"/>
              <w:spacing w:line="480" w:lineRule="exact"/>
              <w:ind w:firstLine="210"/>
              <w:jc w:val="center"/>
              <w:rPr>
                <w:rFonts w:hint="eastAsia" w:ascii="宋体" w:hAnsi="宋体" w:eastAsia="宋体" w:cs="宋体"/>
                <w:color w:val="auto"/>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4120E01B">
            <w:pPr>
              <w:pStyle w:val="175"/>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2292" w:type="dxa"/>
            <w:tcBorders>
              <w:top w:val="single" w:color="auto" w:sz="4" w:space="0"/>
              <w:left w:val="single" w:color="auto" w:sz="4" w:space="0"/>
              <w:bottom w:val="single" w:color="auto" w:sz="4" w:space="0"/>
              <w:right w:val="single" w:color="auto" w:sz="4" w:space="0"/>
            </w:tcBorders>
            <w:vAlign w:val="center"/>
          </w:tcPr>
          <w:p w14:paraId="0BCC7AC3">
            <w:pPr>
              <w:pStyle w:val="175"/>
              <w:spacing w:line="480" w:lineRule="exact"/>
              <w:ind w:firstLine="210"/>
              <w:jc w:val="center"/>
              <w:rPr>
                <w:rFonts w:hint="eastAsia" w:ascii="宋体" w:hAnsi="宋体" w:eastAsia="宋体" w:cs="宋体"/>
                <w:color w:val="auto"/>
                <w:szCs w:val="24"/>
                <w:highlight w:val="none"/>
              </w:rPr>
            </w:pPr>
          </w:p>
        </w:tc>
      </w:tr>
      <w:tr w14:paraId="5A3D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9" w:type="dxa"/>
            <w:tcBorders>
              <w:top w:val="single" w:color="auto" w:sz="4" w:space="0"/>
              <w:left w:val="single" w:color="auto" w:sz="4" w:space="0"/>
              <w:bottom w:val="single" w:color="auto" w:sz="4" w:space="0"/>
              <w:right w:val="single" w:color="auto" w:sz="4" w:space="0"/>
            </w:tcBorders>
            <w:vAlign w:val="center"/>
          </w:tcPr>
          <w:p w14:paraId="0A8B66FD">
            <w:pPr>
              <w:pStyle w:val="175"/>
              <w:spacing w:line="48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参加工作时间</w:t>
            </w:r>
          </w:p>
        </w:tc>
        <w:tc>
          <w:tcPr>
            <w:tcW w:w="1856" w:type="dxa"/>
            <w:tcBorders>
              <w:top w:val="single" w:color="auto" w:sz="4" w:space="0"/>
              <w:left w:val="single" w:color="auto" w:sz="4" w:space="0"/>
              <w:bottom w:val="single" w:color="auto" w:sz="4" w:space="0"/>
              <w:right w:val="single" w:color="auto" w:sz="4" w:space="0"/>
            </w:tcBorders>
            <w:vAlign w:val="center"/>
          </w:tcPr>
          <w:p w14:paraId="67A46243">
            <w:pPr>
              <w:pStyle w:val="175"/>
              <w:spacing w:line="480" w:lineRule="exact"/>
              <w:rPr>
                <w:rFonts w:hint="eastAsia" w:ascii="宋体" w:hAnsi="宋体" w:eastAsia="宋体" w:cs="宋体"/>
                <w:color w:val="auto"/>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23B18278">
            <w:pPr>
              <w:pStyle w:val="175"/>
              <w:spacing w:line="48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担任项目负责人年限</w:t>
            </w:r>
          </w:p>
        </w:tc>
        <w:tc>
          <w:tcPr>
            <w:tcW w:w="2292" w:type="dxa"/>
            <w:tcBorders>
              <w:top w:val="single" w:color="auto" w:sz="4" w:space="0"/>
              <w:left w:val="single" w:color="auto" w:sz="4" w:space="0"/>
              <w:bottom w:val="single" w:color="auto" w:sz="4" w:space="0"/>
              <w:right w:val="single" w:color="auto" w:sz="4" w:space="0"/>
            </w:tcBorders>
            <w:vAlign w:val="center"/>
          </w:tcPr>
          <w:p w14:paraId="7409F019">
            <w:pPr>
              <w:pStyle w:val="175"/>
              <w:spacing w:line="480" w:lineRule="exact"/>
              <w:ind w:firstLine="210"/>
              <w:jc w:val="left"/>
              <w:rPr>
                <w:rFonts w:hint="eastAsia" w:ascii="宋体" w:hAnsi="宋体" w:eastAsia="宋体" w:cs="宋体"/>
                <w:color w:val="auto"/>
                <w:szCs w:val="24"/>
                <w:highlight w:val="none"/>
              </w:rPr>
            </w:pPr>
          </w:p>
        </w:tc>
      </w:tr>
    </w:tbl>
    <w:p w14:paraId="7BAB2FAB">
      <w:pPr>
        <w:tabs>
          <w:tab w:val="left" w:pos="5580"/>
        </w:tabs>
        <w:spacing w:before="156" w:beforeLines="50" w:after="156" w:afterLines="50"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w:t>
      </w:r>
      <w:r>
        <w:rPr>
          <w:rFonts w:hint="eastAsia" w:ascii="宋体" w:hAnsi="宋体" w:eastAsia="宋体" w:cs="宋体"/>
          <w:color w:val="auto"/>
          <w:kern w:val="0"/>
          <w:sz w:val="24"/>
          <w:szCs w:val="24"/>
          <w:highlight w:val="none"/>
        </w:rPr>
        <w:t>拟派项目负责人</w:t>
      </w:r>
      <w:r>
        <w:rPr>
          <w:rFonts w:hint="eastAsia" w:ascii="宋体" w:hAnsi="宋体" w:eastAsia="宋体" w:cs="宋体"/>
          <w:color w:val="auto"/>
          <w:sz w:val="24"/>
          <w:szCs w:val="24"/>
          <w:highlight w:val="none"/>
        </w:rPr>
        <w:t>须</w:t>
      </w:r>
      <w:r>
        <w:rPr>
          <w:rFonts w:hint="eastAsia" w:ascii="宋体" w:hAnsi="宋体" w:cs="宋体"/>
          <w:color w:val="auto"/>
          <w:kern w:val="0"/>
          <w:sz w:val="24"/>
          <w:szCs w:val="24"/>
          <w:highlight w:val="none"/>
          <w:lang w:eastAsia="zh-CN"/>
        </w:rPr>
        <w:t>附</w:t>
      </w:r>
      <w:r>
        <w:rPr>
          <w:rFonts w:hint="eastAsia" w:ascii="宋体" w:hAnsi="宋体" w:eastAsia="宋体" w:cs="宋体"/>
          <w:color w:val="auto"/>
          <w:sz w:val="24"/>
          <w:szCs w:val="24"/>
          <w:highlight w:val="none"/>
        </w:rPr>
        <w:t>身份证、</w:t>
      </w:r>
      <w:r>
        <w:rPr>
          <w:rFonts w:hint="eastAsia" w:ascii="宋体" w:hAnsi="宋体" w:cs="宋体"/>
          <w:color w:val="auto"/>
          <w:kern w:val="0"/>
          <w:sz w:val="24"/>
          <w:szCs w:val="24"/>
          <w:highlight w:val="none"/>
          <w:u w:val="none"/>
          <w:lang w:val="en-US" w:eastAsia="zh-CN" w:bidi="ar-SA"/>
        </w:rPr>
        <w:t>职称证书</w:t>
      </w:r>
      <w:r>
        <w:rPr>
          <w:rFonts w:hint="eastAsia" w:ascii="宋体" w:hAnsi="宋体" w:eastAsia="宋体" w:cs="宋体"/>
          <w:color w:val="auto"/>
          <w:sz w:val="24"/>
          <w:szCs w:val="24"/>
          <w:highlight w:val="none"/>
          <w:lang w:val="en-US" w:eastAsia="zh-CN"/>
        </w:rPr>
        <w:t>及近半年的社保缴纳证明</w:t>
      </w:r>
      <w:r>
        <w:rPr>
          <w:rFonts w:hint="eastAsia" w:ascii="宋体" w:hAnsi="宋体" w:eastAsia="宋体" w:cs="宋体"/>
          <w:color w:val="auto"/>
          <w:sz w:val="24"/>
          <w:szCs w:val="24"/>
          <w:highlight w:val="none"/>
        </w:rPr>
        <w:t>材料复印件</w:t>
      </w:r>
      <w:r>
        <w:rPr>
          <w:rFonts w:hint="eastAsia" w:ascii="宋体" w:hAnsi="宋体" w:cs="宋体"/>
          <w:color w:val="auto"/>
          <w:sz w:val="24"/>
          <w:szCs w:val="24"/>
          <w:highlight w:val="none"/>
          <w:lang w:eastAsia="zh-CN"/>
        </w:rPr>
        <w:t>。</w:t>
      </w:r>
    </w:p>
    <w:p w14:paraId="39F42832">
      <w:pPr>
        <w:spacing w:line="480" w:lineRule="exact"/>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p>
    <w:p w14:paraId="7DB3C39B">
      <w:pPr>
        <w:spacing w:line="480" w:lineRule="exact"/>
        <w:ind w:firstLine="5040" w:firstLineChars="2100"/>
        <w:rPr>
          <w:rFonts w:hint="eastAsia" w:ascii="宋体" w:hAnsi="宋体" w:eastAsia="宋体" w:cs="宋体"/>
          <w:color w:val="auto"/>
          <w:sz w:val="24"/>
          <w:szCs w:val="24"/>
          <w:highlight w:val="none"/>
        </w:rPr>
      </w:pPr>
    </w:p>
    <w:p w14:paraId="5A35C9EF">
      <w:pPr>
        <w:snapToGrid w:val="0"/>
        <w:spacing w:before="50" w:after="50" w:line="480" w:lineRule="exact"/>
        <w:ind w:left="6335" w:leftChars="331" w:right="-817" w:rightChars="-389" w:hanging="5640" w:hangingChars="235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日期：    年   月   日</w:t>
      </w:r>
    </w:p>
    <w:p w14:paraId="56C288D2">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6D1F5262">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70A8FFD4">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 xml:space="preserve"> </w:t>
      </w:r>
    </w:p>
    <w:p w14:paraId="039337AE">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0BB6CE8E">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688A7C3E">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190CB41D">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3151E995">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40E19DDA">
      <w:pPr>
        <w:pStyle w:val="42"/>
        <w:rPr>
          <w:rFonts w:hint="eastAsia"/>
          <w:color w:val="auto"/>
        </w:rPr>
      </w:pPr>
    </w:p>
    <w:p w14:paraId="70B284E3">
      <w:pPr>
        <w:tabs>
          <w:tab w:val="left" w:pos="5580"/>
        </w:tabs>
        <w:spacing w:before="156" w:beforeLines="50" w:after="156" w:afterLines="50" w:line="480" w:lineRule="exact"/>
        <w:ind w:firstLine="480" w:firstLineChars="200"/>
        <w:rPr>
          <w:rFonts w:hint="eastAsia" w:ascii="宋体" w:hAnsi="宋体" w:eastAsia="宋体" w:cs="宋体"/>
          <w:color w:val="auto"/>
          <w:kern w:val="0"/>
          <w:sz w:val="24"/>
          <w:szCs w:val="24"/>
          <w:highlight w:val="none"/>
        </w:rPr>
      </w:pPr>
    </w:p>
    <w:p w14:paraId="1124452B">
      <w:pPr>
        <w:pStyle w:val="42"/>
        <w:rPr>
          <w:rFonts w:hint="eastAsia"/>
          <w:color w:val="auto"/>
        </w:rPr>
      </w:pPr>
    </w:p>
    <w:p w14:paraId="39C18E7A">
      <w:pPr>
        <w:tabs>
          <w:tab w:val="left" w:pos="5580"/>
        </w:tabs>
        <w:spacing w:before="156" w:beforeLines="50" w:after="156" w:afterLines="50" w:line="4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项目管理机构配备情况表</w:t>
      </w:r>
    </w:p>
    <w:tbl>
      <w:tblPr>
        <w:tblStyle w:val="3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00"/>
        <w:gridCol w:w="1013"/>
        <w:gridCol w:w="1050"/>
        <w:gridCol w:w="1275"/>
        <w:gridCol w:w="843"/>
        <w:gridCol w:w="2194"/>
        <w:gridCol w:w="739"/>
      </w:tblGrid>
      <w:tr w14:paraId="4EF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F8003FF">
            <w:pPr>
              <w:pStyle w:val="175"/>
              <w:spacing w:line="480" w:lineRule="exact"/>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2C90086">
            <w:pPr>
              <w:pStyle w:val="175"/>
              <w:spacing w:line="480" w:lineRule="exact"/>
              <w:jc w:val="center"/>
              <w:rPr>
                <w:rFonts w:hint="eastAsia" w:ascii="宋体" w:hAnsi="宋体" w:eastAsia="宋体" w:cs="宋体"/>
                <w:color w:val="auto"/>
                <w:szCs w:val="24"/>
                <w:highlight w:val="none"/>
              </w:rPr>
            </w:pPr>
            <w:r>
              <w:rPr>
                <w:rFonts w:hint="eastAsia" w:hAnsi="宋体" w:cs="宋体"/>
                <w:color w:val="auto"/>
                <w:szCs w:val="24"/>
                <w:highlight w:val="none"/>
                <w:lang w:eastAsia="zh-CN"/>
              </w:rPr>
              <w:t>职务</w:t>
            </w:r>
          </w:p>
        </w:tc>
        <w:tc>
          <w:tcPr>
            <w:tcW w:w="1013" w:type="dxa"/>
            <w:tcBorders>
              <w:top w:val="single" w:color="auto" w:sz="4" w:space="0"/>
              <w:left w:val="single" w:color="auto" w:sz="4" w:space="0"/>
              <w:bottom w:val="single" w:color="auto" w:sz="4" w:space="0"/>
              <w:right w:val="single" w:color="auto" w:sz="4" w:space="0"/>
            </w:tcBorders>
            <w:vAlign w:val="center"/>
          </w:tcPr>
          <w:p w14:paraId="46A34866">
            <w:pPr>
              <w:pStyle w:val="175"/>
              <w:spacing w:line="48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年龄</w:t>
            </w:r>
          </w:p>
        </w:tc>
        <w:tc>
          <w:tcPr>
            <w:tcW w:w="1050" w:type="dxa"/>
            <w:tcBorders>
              <w:top w:val="single" w:color="auto" w:sz="4" w:space="0"/>
              <w:left w:val="single" w:color="auto" w:sz="4" w:space="0"/>
              <w:right w:val="single" w:color="auto" w:sz="4" w:space="0"/>
            </w:tcBorders>
            <w:vAlign w:val="center"/>
          </w:tcPr>
          <w:p w14:paraId="21DF5631">
            <w:pPr>
              <w:pStyle w:val="175"/>
              <w:spacing w:line="48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专业</w:t>
            </w:r>
          </w:p>
        </w:tc>
        <w:tc>
          <w:tcPr>
            <w:tcW w:w="1275" w:type="dxa"/>
            <w:tcBorders>
              <w:top w:val="single" w:color="auto" w:sz="4" w:space="0"/>
              <w:left w:val="single" w:color="auto" w:sz="4" w:space="0"/>
              <w:right w:val="single" w:color="auto" w:sz="4" w:space="0"/>
            </w:tcBorders>
            <w:vAlign w:val="center"/>
          </w:tcPr>
          <w:p w14:paraId="60494085">
            <w:pPr>
              <w:pStyle w:val="175"/>
              <w:spacing w:line="480" w:lineRule="exact"/>
              <w:jc w:val="center"/>
              <w:rPr>
                <w:rFonts w:hint="eastAsia" w:ascii="宋体" w:hAnsi="宋体" w:eastAsia="宋体" w:cs="宋体"/>
                <w:color w:val="auto"/>
                <w:szCs w:val="24"/>
                <w:highlight w:val="none"/>
                <w:lang w:eastAsia="zh-CN"/>
              </w:rPr>
            </w:pPr>
            <w:r>
              <w:rPr>
                <w:rFonts w:hint="eastAsia" w:hAnsi="宋体" w:cs="宋体"/>
                <w:color w:val="auto"/>
                <w:szCs w:val="24"/>
                <w:highlight w:val="none"/>
                <w:lang w:eastAsia="zh-CN"/>
              </w:rPr>
              <w:t>身份证号</w:t>
            </w:r>
          </w:p>
        </w:tc>
        <w:tc>
          <w:tcPr>
            <w:tcW w:w="843" w:type="dxa"/>
            <w:tcBorders>
              <w:top w:val="single" w:color="auto" w:sz="4" w:space="0"/>
              <w:left w:val="single" w:color="auto" w:sz="4" w:space="0"/>
              <w:bottom w:val="single" w:color="auto" w:sz="4" w:space="0"/>
              <w:right w:val="single" w:color="auto" w:sz="4" w:space="0"/>
            </w:tcBorders>
            <w:vAlign w:val="center"/>
          </w:tcPr>
          <w:p w14:paraId="68636B72">
            <w:pPr>
              <w:pStyle w:val="175"/>
              <w:spacing w:line="480" w:lineRule="exact"/>
              <w:jc w:val="center"/>
              <w:rPr>
                <w:rFonts w:hint="eastAsia" w:hAnsi="宋体" w:cs="宋体"/>
                <w:color w:val="auto"/>
                <w:szCs w:val="24"/>
                <w:highlight w:val="none"/>
                <w:lang w:eastAsia="zh-CN"/>
              </w:rPr>
            </w:pPr>
            <w:r>
              <w:rPr>
                <w:rFonts w:hint="eastAsia" w:ascii="宋体" w:hAnsi="宋体" w:cs="宋体"/>
                <w:color w:val="auto"/>
                <w:kern w:val="0"/>
                <w:sz w:val="24"/>
                <w:szCs w:val="24"/>
                <w:highlight w:val="none"/>
                <w:lang w:eastAsia="zh-CN"/>
              </w:rPr>
              <w:t>职称</w:t>
            </w:r>
          </w:p>
        </w:tc>
        <w:tc>
          <w:tcPr>
            <w:tcW w:w="2194" w:type="dxa"/>
            <w:tcBorders>
              <w:top w:val="single" w:color="auto" w:sz="4" w:space="0"/>
              <w:left w:val="single" w:color="auto" w:sz="4" w:space="0"/>
              <w:bottom w:val="single" w:color="auto" w:sz="4" w:space="0"/>
              <w:right w:val="single" w:color="auto" w:sz="4" w:space="0"/>
            </w:tcBorders>
            <w:vAlign w:val="center"/>
          </w:tcPr>
          <w:p w14:paraId="607AE3C5">
            <w:pPr>
              <w:widowControl/>
              <w:spacing w:line="480" w:lineRule="exact"/>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相关工作履历经验</w:t>
            </w:r>
          </w:p>
        </w:tc>
        <w:tc>
          <w:tcPr>
            <w:tcW w:w="739" w:type="dxa"/>
            <w:tcBorders>
              <w:top w:val="single" w:color="auto" w:sz="4" w:space="0"/>
              <w:left w:val="single" w:color="auto" w:sz="4" w:space="0"/>
              <w:bottom w:val="single" w:color="auto" w:sz="4" w:space="0"/>
              <w:right w:val="single" w:color="auto" w:sz="4" w:space="0"/>
            </w:tcBorders>
            <w:vAlign w:val="center"/>
          </w:tcPr>
          <w:p w14:paraId="6DA12B3C">
            <w:pPr>
              <w:widowControl/>
              <w:spacing w:line="480" w:lineRule="exact"/>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备注</w:t>
            </w:r>
          </w:p>
        </w:tc>
      </w:tr>
      <w:tr w14:paraId="2A21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21" w:type="dxa"/>
            <w:tcBorders>
              <w:top w:val="single" w:color="auto" w:sz="4" w:space="0"/>
              <w:left w:val="single" w:color="auto" w:sz="4" w:space="0"/>
              <w:bottom w:val="single" w:color="auto" w:sz="4" w:space="0"/>
              <w:right w:val="single" w:color="auto" w:sz="4" w:space="0"/>
            </w:tcBorders>
          </w:tcPr>
          <w:p w14:paraId="3F5F26EB">
            <w:pPr>
              <w:pStyle w:val="175"/>
              <w:spacing w:line="480" w:lineRule="exact"/>
              <w:ind w:firstLine="210"/>
              <w:jc w:val="left"/>
              <w:rPr>
                <w:rFonts w:hint="eastAsia" w:ascii="宋体" w:hAnsi="宋体" w:eastAsia="宋体" w:cs="宋体"/>
                <w:color w:val="auto"/>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5AB391A5">
            <w:pPr>
              <w:pStyle w:val="175"/>
              <w:spacing w:line="480" w:lineRule="exact"/>
              <w:ind w:firstLine="210"/>
              <w:jc w:val="left"/>
              <w:rPr>
                <w:rFonts w:hint="eastAsia" w:ascii="宋体" w:hAnsi="宋体" w:eastAsia="宋体" w:cs="宋体"/>
                <w:color w:val="auto"/>
                <w:szCs w:val="24"/>
                <w:highlight w:val="none"/>
              </w:rPr>
            </w:pPr>
          </w:p>
        </w:tc>
        <w:tc>
          <w:tcPr>
            <w:tcW w:w="1013" w:type="dxa"/>
            <w:tcBorders>
              <w:top w:val="single" w:color="auto" w:sz="4" w:space="0"/>
              <w:left w:val="single" w:color="auto" w:sz="4" w:space="0"/>
              <w:bottom w:val="single" w:color="auto" w:sz="4" w:space="0"/>
              <w:right w:val="single" w:color="auto" w:sz="4" w:space="0"/>
            </w:tcBorders>
          </w:tcPr>
          <w:p w14:paraId="562DA652">
            <w:pPr>
              <w:pStyle w:val="175"/>
              <w:spacing w:line="480" w:lineRule="exact"/>
              <w:ind w:firstLine="210"/>
              <w:jc w:val="left"/>
              <w:rPr>
                <w:rFonts w:hint="eastAsia" w:ascii="宋体" w:hAnsi="宋体" w:eastAsia="宋体" w:cs="宋体"/>
                <w:color w:val="auto"/>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12D9C81D">
            <w:pPr>
              <w:pStyle w:val="175"/>
              <w:spacing w:line="480" w:lineRule="exact"/>
              <w:ind w:firstLine="210"/>
              <w:jc w:val="left"/>
              <w:rPr>
                <w:rFonts w:hint="eastAsia" w:ascii="宋体" w:hAnsi="宋体" w:eastAsia="宋体" w:cs="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5987A3">
            <w:pPr>
              <w:pStyle w:val="175"/>
              <w:spacing w:line="480" w:lineRule="exact"/>
              <w:ind w:firstLine="210"/>
              <w:jc w:val="left"/>
              <w:rPr>
                <w:rFonts w:hint="eastAsia" w:ascii="宋体" w:hAnsi="宋体" w:eastAsia="宋体" w:cs="宋体"/>
                <w:color w:val="auto"/>
                <w:szCs w:val="24"/>
                <w:highlight w:val="none"/>
              </w:rPr>
            </w:pPr>
          </w:p>
        </w:tc>
        <w:tc>
          <w:tcPr>
            <w:tcW w:w="843" w:type="dxa"/>
            <w:tcBorders>
              <w:top w:val="single" w:color="auto" w:sz="4" w:space="0"/>
              <w:left w:val="single" w:color="auto" w:sz="4" w:space="0"/>
              <w:bottom w:val="single" w:color="auto" w:sz="4" w:space="0"/>
              <w:right w:val="single" w:color="auto" w:sz="4" w:space="0"/>
            </w:tcBorders>
          </w:tcPr>
          <w:p w14:paraId="51ACF56F">
            <w:pPr>
              <w:pStyle w:val="175"/>
              <w:spacing w:line="480" w:lineRule="exact"/>
              <w:ind w:firstLine="210"/>
              <w:jc w:val="left"/>
              <w:rPr>
                <w:rFonts w:hint="eastAsia" w:ascii="宋体" w:hAnsi="宋体" w:eastAsia="宋体" w:cs="宋体"/>
                <w:color w:val="auto"/>
                <w:szCs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2A1ABD69">
            <w:pPr>
              <w:pStyle w:val="175"/>
              <w:spacing w:line="480" w:lineRule="exact"/>
              <w:ind w:firstLine="210"/>
              <w:jc w:val="left"/>
              <w:rPr>
                <w:rFonts w:hint="eastAsia" w:ascii="宋体" w:hAnsi="宋体" w:eastAsia="宋体" w:cs="宋体"/>
                <w:color w:val="auto"/>
                <w:szCs w:val="24"/>
                <w:highlight w:val="none"/>
              </w:rPr>
            </w:pPr>
          </w:p>
        </w:tc>
        <w:tc>
          <w:tcPr>
            <w:tcW w:w="739" w:type="dxa"/>
            <w:tcBorders>
              <w:top w:val="single" w:color="auto" w:sz="4" w:space="0"/>
              <w:left w:val="single" w:color="auto" w:sz="4" w:space="0"/>
              <w:bottom w:val="single" w:color="auto" w:sz="4" w:space="0"/>
              <w:right w:val="single" w:color="auto" w:sz="4" w:space="0"/>
            </w:tcBorders>
          </w:tcPr>
          <w:p w14:paraId="1FD510AE">
            <w:pPr>
              <w:pStyle w:val="175"/>
              <w:spacing w:line="480" w:lineRule="exact"/>
              <w:ind w:firstLine="210"/>
              <w:jc w:val="left"/>
              <w:rPr>
                <w:rFonts w:hint="eastAsia" w:ascii="宋体" w:hAnsi="宋体" w:eastAsia="宋体" w:cs="宋体"/>
                <w:color w:val="auto"/>
                <w:szCs w:val="24"/>
                <w:highlight w:val="none"/>
              </w:rPr>
            </w:pPr>
          </w:p>
        </w:tc>
      </w:tr>
      <w:tr w14:paraId="68B0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tcPr>
          <w:p w14:paraId="270173CB">
            <w:pPr>
              <w:pStyle w:val="175"/>
              <w:spacing w:line="480" w:lineRule="exact"/>
              <w:ind w:firstLine="210"/>
              <w:jc w:val="left"/>
              <w:rPr>
                <w:rFonts w:hint="eastAsia" w:ascii="宋体" w:hAnsi="宋体" w:eastAsia="宋体" w:cs="宋体"/>
                <w:color w:val="auto"/>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2131FE2C">
            <w:pPr>
              <w:pStyle w:val="175"/>
              <w:spacing w:line="480" w:lineRule="exact"/>
              <w:ind w:firstLine="210"/>
              <w:jc w:val="left"/>
              <w:rPr>
                <w:rFonts w:hint="eastAsia" w:ascii="宋体" w:hAnsi="宋体" w:eastAsia="宋体" w:cs="宋体"/>
                <w:color w:val="auto"/>
                <w:szCs w:val="24"/>
                <w:highlight w:val="none"/>
              </w:rPr>
            </w:pPr>
          </w:p>
        </w:tc>
        <w:tc>
          <w:tcPr>
            <w:tcW w:w="1013" w:type="dxa"/>
            <w:tcBorders>
              <w:top w:val="single" w:color="auto" w:sz="4" w:space="0"/>
              <w:left w:val="single" w:color="auto" w:sz="4" w:space="0"/>
              <w:bottom w:val="single" w:color="auto" w:sz="4" w:space="0"/>
              <w:right w:val="single" w:color="auto" w:sz="4" w:space="0"/>
            </w:tcBorders>
          </w:tcPr>
          <w:p w14:paraId="30477F88">
            <w:pPr>
              <w:pStyle w:val="175"/>
              <w:spacing w:line="480" w:lineRule="exact"/>
              <w:ind w:firstLine="210"/>
              <w:jc w:val="left"/>
              <w:rPr>
                <w:rFonts w:hint="eastAsia" w:ascii="宋体" w:hAnsi="宋体" w:eastAsia="宋体" w:cs="宋体"/>
                <w:color w:val="auto"/>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14F7C760">
            <w:pPr>
              <w:pStyle w:val="175"/>
              <w:spacing w:line="480" w:lineRule="exact"/>
              <w:ind w:firstLine="210"/>
              <w:jc w:val="left"/>
              <w:rPr>
                <w:rFonts w:hint="eastAsia" w:ascii="宋体" w:hAnsi="宋体" w:eastAsia="宋体" w:cs="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2BC09B4">
            <w:pPr>
              <w:pStyle w:val="175"/>
              <w:spacing w:line="480" w:lineRule="exact"/>
              <w:ind w:firstLine="210"/>
              <w:jc w:val="left"/>
              <w:rPr>
                <w:rFonts w:hint="eastAsia" w:ascii="宋体" w:hAnsi="宋体" w:eastAsia="宋体" w:cs="宋体"/>
                <w:color w:val="auto"/>
                <w:szCs w:val="24"/>
                <w:highlight w:val="none"/>
              </w:rPr>
            </w:pPr>
          </w:p>
        </w:tc>
        <w:tc>
          <w:tcPr>
            <w:tcW w:w="843" w:type="dxa"/>
            <w:tcBorders>
              <w:top w:val="single" w:color="auto" w:sz="4" w:space="0"/>
              <w:left w:val="single" w:color="auto" w:sz="4" w:space="0"/>
              <w:bottom w:val="single" w:color="auto" w:sz="4" w:space="0"/>
              <w:right w:val="single" w:color="auto" w:sz="4" w:space="0"/>
            </w:tcBorders>
          </w:tcPr>
          <w:p w14:paraId="2ECB2F46">
            <w:pPr>
              <w:pStyle w:val="175"/>
              <w:spacing w:line="480" w:lineRule="exact"/>
              <w:ind w:firstLine="210"/>
              <w:jc w:val="left"/>
              <w:rPr>
                <w:rFonts w:hint="eastAsia" w:ascii="宋体" w:hAnsi="宋体" w:eastAsia="宋体" w:cs="宋体"/>
                <w:color w:val="auto"/>
                <w:szCs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55585F97">
            <w:pPr>
              <w:pStyle w:val="175"/>
              <w:spacing w:line="480" w:lineRule="exact"/>
              <w:ind w:firstLine="210"/>
              <w:jc w:val="left"/>
              <w:rPr>
                <w:rFonts w:hint="eastAsia" w:ascii="宋体" w:hAnsi="宋体" w:eastAsia="宋体" w:cs="宋体"/>
                <w:color w:val="auto"/>
                <w:szCs w:val="24"/>
                <w:highlight w:val="none"/>
              </w:rPr>
            </w:pPr>
          </w:p>
        </w:tc>
        <w:tc>
          <w:tcPr>
            <w:tcW w:w="739" w:type="dxa"/>
            <w:tcBorders>
              <w:top w:val="single" w:color="auto" w:sz="4" w:space="0"/>
              <w:left w:val="single" w:color="auto" w:sz="4" w:space="0"/>
              <w:bottom w:val="single" w:color="auto" w:sz="4" w:space="0"/>
              <w:right w:val="single" w:color="auto" w:sz="4" w:space="0"/>
            </w:tcBorders>
          </w:tcPr>
          <w:p w14:paraId="084D39FD">
            <w:pPr>
              <w:pStyle w:val="175"/>
              <w:spacing w:line="480" w:lineRule="exact"/>
              <w:ind w:firstLine="210"/>
              <w:jc w:val="left"/>
              <w:rPr>
                <w:rFonts w:hint="eastAsia" w:ascii="宋体" w:hAnsi="宋体" w:eastAsia="宋体" w:cs="宋体"/>
                <w:color w:val="auto"/>
                <w:szCs w:val="24"/>
                <w:highlight w:val="none"/>
              </w:rPr>
            </w:pPr>
          </w:p>
        </w:tc>
      </w:tr>
      <w:tr w14:paraId="1B54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tcPr>
          <w:p w14:paraId="13DB3DA1">
            <w:pPr>
              <w:pStyle w:val="175"/>
              <w:spacing w:line="480" w:lineRule="exact"/>
              <w:ind w:firstLine="210"/>
              <w:jc w:val="left"/>
              <w:rPr>
                <w:rFonts w:hint="eastAsia" w:ascii="宋体" w:hAnsi="宋体" w:eastAsia="宋体" w:cs="宋体"/>
                <w:color w:val="auto"/>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1CAEA83E">
            <w:pPr>
              <w:pStyle w:val="175"/>
              <w:spacing w:line="480" w:lineRule="exact"/>
              <w:ind w:firstLine="210"/>
              <w:jc w:val="left"/>
              <w:rPr>
                <w:rFonts w:hint="eastAsia" w:ascii="宋体" w:hAnsi="宋体" w:eastAsia="宋体" w:cs="宋体"/>
                <w:color w:val="auto"/>
                <w:szCs w:val="24"/>
                <w:highlight w:val="none"/>
              </w:rPr>
            </w:pPr>
          </w:p>
        </w:tc>
        <w:tc>
          <w:tcPr>
            <w:tcW w:w="1013" w:type="dxa"/>
            <w:tcBorders>
              <w:top w:val="single" w:color="auto" w:sz="4" w:space="0"/>
              <w:left w:val="single" w:color="auto" w:sz="4" w:space="0"/>
              <w:bottom w:val="single" w:color="auto" w:sz="4" w:space="0"/>
              <w:right w:val="single" w:color="auto" w:sz="4" w:space="0"/>
            </w:tcBorders>
          </w:tcPr>
          <w:p w14:paraId="519E7EA0">
            <w:pPr>
              <w:pStyle w:val="175"/>
              <w:spacing w:line="480" w:lineRule="exact"/>
              <w:ind w:firstLine="210"/>
              <w:jc w:val="left"/>
              <w:rPr>
                <w:rFonts w:hint="eastAsia" w:ascii="宋体" w:hAnsi="宋体" w:eastAsia="宋体" w:cs="宋体"/>
                <w:color w:val="auto"/>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7AA74380">
            <w:pPr>
              <w:pStyle w:val="175"/>
              <w:spacing w:line="480" w:lineRule="exact"/>
              <w:ind w:firstLine="210"/>
              <w:jc w:val="left"/>
              <w:rPr>
                <w:rFonts w:hint="eastAsia" w:ascii="宋体" w:hAnsi="宋体" w:eastAsia="宋体" w:cs="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4533CC6">
            <w:pPr>
              <w:pStyle w:val="175"/>
              <w:spacing w:line="480" w:lineRule="exact"/>
              <w:ind w:firstLine="210"/>
              <w:jc w:val="left"/>
              <w:rPr>
                <w:rFonts w:hint="eastAsia" w:ascii="宋体" w:hAnsi="宋体" w:eastAsia="宋体" w:cs="宋体"/>
                <w:color w:val="auto"/>
                <w:szCs w:val="24"/>
                <w:highlight w:val="none"/>
              </w:rPr>
            </w:pPr>
          </w:p>
        </w:tc>
        <w:tc>
          <w:tcPr>
            <w:tcW w:w="843" w:type="dxa"/>
            <w:tcBorders>
              <w:top w:val="single" w:color="auto" w:sz="4" w:space="0"/>
              <w:left w:val="single" w:color="auto" w:sz="4" w:space="0"/>
              <w:bottom w:val="single" w:color="auto" w:sz="4" w:space="0"/>
              <w:right w:val="single" w:color="auto" w:sz="4" w:space="0"/>
            </w:tcBorders>
          </w:tcPr>
          <w:p w14:paraId="1D0E5D8D">
            <w:pPr>
              <w:pStyle w:val="175"/>
              <w:spacing w:line="480" w:lineRule="exact"/>
              <w:ind w:firstLine="210"/>
              <w:jc w:val="left"/>
              <w:rPr>
                <w:rFonts w:hint="eastAsia" w:ascii="宋体" w:hAnsi="宋体" w:eastAsia="宋体" w:cs="宋体"/>
                <w:color w:val="auto"/>
                <w:szCs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1CBB0A8">
            <w:pPr>
              <w:pStyle w:val="175"/>
              <w:spacing w:line="480" w:lineRule="exact"/>
              <w:ind w:firstLine="210"/>
              <w:jc w:val="left"/>
              <w:rPr>
                <w:rFonts w:hint="eastAsia" w:ascii="宋体" w:hAnsi="宋体" w:eastAsia="宋体" w:cs="宋体"/>
                <w:color w:val="auto"/>
                <w:szCs w:val="24"/>
                <w:highlight w:val="none"/>
              </w:rPr>
            </w:pPr>
          </w:p>
        </w:tc>
        <w:tc>
          <w:tcPr>
            <w:tcW w:w="739" w:type="dxa"/>
            <w:tcBorders>
              <w:top w:val="single" w:color="auto" w:sz="4" w:space="0"/>
              <w:left w:val="single" w:color="auto" w:sz="4" w:space="0"/>
              <w:bottom w:val="single" w:color="auto" w:sz="4" w:space="0"/>
              <w:right w:val="single" w:color="auto" w:sz="4" w:space="0"/>
            </w:tcBorders>
          </w:tcPr>
          <w:p w14:paraId="7D2EE172">
            <w:pPr>
              <w:pStyle w:val="175"/>
              <w:spacing w:line="480" w:lineRule="exact"/>
              <w:ind w:firstLine="210"/>
              <w:jc w:val="left"/>
              <w:rPr>
                <w:rFonts w:hint="eastAsia" w:ascii="宋体" w:hAnsi="宋体" w:eastAsia="宋体" w:cs="宋体"/>
                <w:color w:val="auto"/>
                <w:szCs w:val="24"/>
                <w:highlight w:val="none"/>
              </w:rPr>
            </w:pPr>
          </w:p>
        </w:tc>
      </w:tr>
      <w:tr w14:paraId="73D5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tcPr>
          <w:p w14:paraId="2613BF69">
            <w:pPr>
              <w:pStyle w:val="175"/>
              <w:spacing w:line="480" w:lineRule="exact"/>
              <w:ind w:firstLine="210"/>
              <w:jc w:val="left"/>
              <w:rPr>
                <w:rFonts w:hint="eastAsia" w:ascii="宋体" w:hAnsi="宋体" w:eastAsia="宋体" w:cs="宋体"/>
                <w:color w:val="auto"/>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1BAF099F">
            <w:pPr>
              <w:pStyle w:val="175"/>
              <w:spacing w:line="480" w:lineRule="exact"/>
              <w:ind w:firstLine="210"/>
              <w:jc w:val="left"/>
              <w:rPr>
                <w:rFonts w:hint="eastAsia" w:ascii="宋体" w:hAnsi="宋体" w:eastAsia="宋体" w:cs="宋体"/>
                <w:color w:val="auto"/>
                <w:szCs w:val="24"/>
                <w:highlight w:val="none"/>
              </w:rPr>
            </w:pPr>
          </w:p>
        </w:tc>
        <w:tc>
          <w:tcPr>
            <w:tcW w:w="1013" w:type="dxa"/>
            <w:tcBorders>
              <w:top w:val="single" w:color="auto" w:sz="4" w:space="0"/>
              <w:left w:val="single" w:color="auto" w:sz="4" w:space="0"/>
              <w:bottom w:val="single" w:color="auto" w:sz="4" w:space="0"/>
              <w:right w:val="single" w:color="auto" w:sz="4" w:space="0"/>
            </w:tcBorders>
          </w:tcPr>
          <w:p w14:paraId="0040EC6B">
            <w:pPr>
              <w:pStyle w:val="175"/>
              <w:spacing w:line="480" w:lineRule="exact"/>
              <w:ind w:firstLine="210"/>
              <w:jc w:val="left"/>
              <w:rPr>
                <w:rFonts w:hint="eastAsia" w:ascii="宋体" w:hAnsi="宋体" w:eastAsia="宋体" w:cs="宋体"/>
                <w:color w:val="auto"/>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4E177212">
            <w:pPr>
              <w:pStyle w:val="175"/>
              <w:spacing w:line="480" w:lineRule="exact"/>
              <w:ind w:firstLine="210"/>
              <w:jc w:val="left"/>
              <w:rPr>
                <w:rFonts w:hint="eastAsia" w:ascii="宋体" w:hAnsi="宋体" w:eastAsia="宋体" w:cs="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851ABEA">
            <w:pPr>
              <w:pStyle w:val="175"/>
              <w:spacing w:line="480" w:lineRule="exact"/>
              <w:ind w:firstLine="210"/>
              <w:jc w:val="left"/>
              <w:rPr>
                <w:rFonts w:hint="eastAsia" w:ascii="宋体" w:hAnsi="宋体" w:eastAsia="宋体" w:cs="宋体"/>
                <w:color w:val="auto"/>
                <w:szCs w:val="24"/>
                <w:highlight w:val="none"/>
              </w:rPr>
            </w:pPr>
          </w:p>
        </w:tc>
        <w:tc>
          <w:tcPr>
            <w:tcW w:w="843" w:type="dxa"/>
            <w:tcBorders>
              <w:top w:val="single" w:color="auto" w:sz="4" w:space="0"/>
              <w:left w:val="single" w:color="auto" w:sz="4" w:space="0"/>
              <w:bottom w:val="single" w:color="auto" w:sz="4" w:space="0"/>
              <w:right w:val="single" w:color="auto" w:sz="4" w:space="0"/>
            </w:tcBorders>
          </w:tcPr>
          <w:p w14:paraId="5CFAE4E2">
            <w:pPr>
              <w:pStyle w:val="175"/>
              <w:spacing w:line="480" w:lineRule="exact"/>
              <w:ind w:firstLine="210"/>
              <w:jc w:val="left"/>
              <w:rPr>
                <w:rFonts w:hint="eastAsia" w:ascii="宋体" w:hAnsi="宋体" w:eastAsia="宋体" w:cs="宋体"/>
                <w:color w:val="auto"/>
                <w:szCs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54126521">
            <w:pPr>
              <w:pStyle w:val="175"/>
              <w:spacing w:line="480" w:lineRule="exact"/>
              <w:ind w:firstLine="210"/>
              <w:jc w:val="left"/>
              <w:rPr>
                <w:rFonts w:hint="eastAsia" w:ascii="宋体" w:hAnsi="宋体" w:eastAsia="宋体" w:cs="宋体"/>
                <w:color w:val="auto"/>
                <w:szCs w:val="24"/>
                <w:highlight w:val="none"/>
              </w:rPr>
            </w:pPr>
          </w:p>
        </w:tc>
        <w:tc>
          <w:tcPr>
            <w:tcW w:w="739" w:type="dxa"/>
            <w:tcBorders>
              <w:top w:val="single" w:color="auto" w:sz="4" w:space="0"/>
              <w:left w:val="single" w:color="auto" w:sz="4" w:space="0"/>
              <w:bottom w:val="single" w:color="auto" w:sz="4" w:space="0"/>
              <w:right w:val="single" w:color="auto" w:sz="4" w:space="0"/>
            </w:tcBorders>
          </w:tcPr>
          <w:p w14:paraId="7E132D09">
            <w:pPr>
              <w:pStyle w:val="175"/>
              <w:spacing w:line="480" w:lineRule="exact"/>
              <w:ind w:firstLine="210"/>
              <w:jc w:val="left"/>
              <w:rPr>
                <w:rFonts w:hint="eastAsia" w:ascii="宋体" w:hAnsi="宋体" w:eastAsia="宋体" w:cs="宋体"/>
                <w:color w:val="auto"/>
                <w:szCs w:val="24"/>
                <w:highlight w:val="none"/>
              </w:rPr>
            </w:pPr>
          </w:p>
        </w:tc>
      </w:tr>
      <w:tr w14:paraId="3A90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21" w:type="dxa"/>
            <w:tcBorders>
              <w:top w:val="single" w:color="auto" w:sz="4" w:space="0"/>
              <w:left w:val="single" w:color="auto" w:sz="4" w:space="0"/>
              <w:bottom w:val="single" w:color="auto" w:sz="4" w:space="0"/>
              <w:right w:val="single" w:color="auto" w:sz="4" w:space="0"/>
            </w:tcBorders>
          </w:tcPr>
          <w:p w14:paraId="1D4BB7ED">
            <w:pPr>
              <w:pStyle w:val="175"/>
              <w:spacing w:line="480" w:lineRule="exact"/>
              <w:ind w:firstLine="210"/>
              <w:jc w:val="left"/>
              <w:rPr>
                <w:rFonts w:hint="eastAsia" w:ascii="宋体" w:hAnsi="宋体" w:eastAsia="宋体" w:cs="宋体"/>
                <w:color w:val="auto"/>
                <w:szCs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58A1D04B">
            <w:pPr>
              <w:pStyle w:val="175"/>
              <w:spacing w:line="480" w:lineRule="exact"/>
              <w:ind w:firstLine="210"/>
              <w:jc w:val="left"/>
              <w:rPr>
                <w:rFonts w:hint="eastAsia" w:ascii="宋体" w:hAnsi="宋体" w:eastAsia="宋体" w:cs="宋体"/>
                <w:color w:val="auto"/>
                <w:szCs w:val="24"/>
                <w:highlight w:val="none"/>
              </w:rPr>
            </w:pPr>
          </w:p>
        </w:tc>
        <w:tc>
          <w:tcPr>
            <w:tcW w:w="1013" w:type="dxa"/>
            <w:tcBorders>
              <w:top w:val="single" w:color="auto" w:sz="4" w:space="0"/>
              <w:left w:val="single" w:color="auto" w:sz="4" w:space="0"/>
              <w:bottom w:val="single" w:color="auto" w:sz="4" w:space="0"/>
              <w:right w:val="single" w:color="auto" w:sz="4" w:space="0"/>
            </w:tcBorders>
          </w:tcPr>
          <w:p w14:paraId="1157CADD">
            <w:pPr>
              <w:pStyle w:val="175"/>
              <w:spacing w:line="480" w:lineRule="exact"/>
              <w:ind w:firstLine="210"/>
              <w:jc w:val="left"/>
              <w:rPr>
                <w:rFonts w:hint="eastAsia" w:ascii="宋体" w:hAnsi="宋体" w:eastAsia="宋体" w:cs="宋体"/>
                <w:color w:val="auto"/>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14:paraId="0D86881E">
            <w:pPr>
              <w:pStyle w:val="175"/>
              <w:spacing w:line="480" w:lineRule="exact"/>
              <w:ind w:firstLine="210"/>
              <w:jc w:val="left"/>
              <w:rPr>
                <w:rFonts w:hint="eastAsia" w:ascii="宋体" w:hAnsi="宋体" w:eastAsia="宋体" w:cs="宋体"/>
                <w:color w:val="auto"/>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3270D30">
            <w:pPr>
              <w:pStyle w:val="175"/>
              <w:spacing w:line="480" w:lineRule="exact"/>
              <w:ind w:firstLine="210"/>
              <w:jc w:val="left"/>
              <w:rPr>
                <w:rFonts w:hint="eastAsia" w:ascii="宋体" w:hAnsi="宋体" w:eastAsia="宋体" w:cs="宋体"/>
                <w:color w:val="auto"/>
                <w:szCs w:val="24"/>
                <w:highlight w:val="none"/>
              </w:rPr>
            </w:pPr>
          </w:p>
        </w:tc>
        <w:tc>
          <w:tcPr>
            <w:tcW w:w="843" w:type="dxa"/>
            <w:tcBorders>
              <w:top w:val="single" w:color="auto" w:sz="4" w:space="0"/>
              <w:left w:val="single" w:color="auto" w:sz="4" w:space="0"/>
              <w:bottom w:val="single" w:color="auto" w:sz="4" w:space="0"/>
              <w:right w:val="single" w:color="auto" w:sz="4" w:space="0"/>
            </w:tcBorders>
          </w:tcPr>
          <w:p w14:paraId="46B3A13C">
            <w:pPr>
              <w:pStyle w:val="175"/>
              <w:spacing w:line="480" w:lineRule="exact"/>
              <w:ind w:firstLine="210"/>
              <w:jc w:val="left"/>
              <w:rPr>
                <w:rFonts w:hint="eastAsia" w:ascii="宋体" w:hAnsi="宋体" w:eastAsia="宋体" w:cs="宋体"/>
                <w:color w:val="auto"/>
                <w:szCs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1C3BE932">
            <w:pPr>
              <w:pStyle w:val="175"/>
              <w:spacing w:line="480" w:lineRule="exact"/>
              <w:ind w:firstLine="210"/>
              <w:jc w:val="left"/>
              <w:rPr>
                <w:rFonts w:hint="eastAsia" w:ascii="宋体" w:hAnsi="宋体" w:eastAsia="宋体" w:cs="宋体"/>
                <w:color w:val="auto"/>
                <w:szCs w:val="24"/>
                <w:highlight w:val="none"/>
              </w:rPr>
            </w:pPr>
          </w:p>
        </w:tc>
        <w:tc>
          <w:tcPr>
            <w:tcW w:w="739" w:type="dxa"/>
            <w:tcBorders>
              <w:top w:val="single" w:color="auto" w:sz="4" w:space="0"/>
              <w:left w:val="single" w:color="auto" w:sz="4" w:space="0"/>
              <w:bottom w:val="single" w:color="auto" w:sz="4" w:space="0"/>
              <w:right w:val="single" w:color="auto" w:sz="4" w:space="0"/>
            </w:tcBorders>
          </w:tcPr>
          <w:p w14:paraId="13A764DA">
            <w:pPr>
              <w:pStyle w:val="175"/>
              <w:spacing w:line="480" w:lineRule="exact"/>
              <w:ind w:firstLine="210"/>
              <w:jc w:val="left"/>
              <w:rPr>
                <w:rFonts w:hint="eastAsia" w:ascii="宋体" w:hAnsi="宋体" w:eastAsia="宋体" w:cs="宋体"/>
                <w:color w:val="auto"/>
                <w:szCs w:val="24"/>
                <w:highlight w:val="none"/>
              </w:rPr>
            </w:pPr>
          </w:p>
        </w:tc>
      </w:tr>
    </w:tbl>
    <w:p w14:paraId="42053A2D">
      <w:pPr>
        <w:tabs>
          <w:tab w:val="left" w:pos="5580"/>
        </w:tabs>
        <w:spacing w:before="156" w:beforeLines="50" w:after="156" w:afterLines="50" w:line="480" w:lineRule="exact"/>
        <w:jc w:val="center"/>
        <w:rPr>
          <w:rFonts w:hint="eastAsia" w:ascii="宋体" w:hAnsi="宋体" w:eastAsia="宋体" w:cs="宋体"/>
          <w:color w:val="auto"/>
          <w:kern w:val="0"/>
          <w:sz w:val="24"/>
          <w:szCs w:val="24"/>
          <w:highlight w:val="none"/>
        </w:rPr>
      </w:pPr>
    </w:p>
    <w:p w14:paraId="7E7528CC">
      <w:pPr>
        <w:tabs>
          <w:tab w:val="left" w:pos="5580"/>
        </w:tabs>
        <w:spacing w:before="156" w:beforeLines="50" w:after="156" w:afterLines="50"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1889A22">
      <w:pPr>
        <w:tabs>
          <w:tab w:val="left" w:pos="5580"/>
        </w:tabs>
        <w:spacing w:before="156" w:beforeLines="50" w:after="156" w:afterLines="50" w:line="4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
        </w:rPr>
        <w:t>项目团队人员提供相关证书复印件及近半年的社保缴纳证明</w:t>
      </w:r>
      <w:r>
        <w:rPr>
          <w:rFonts w:hint="eastAsia" w:ascii="宋体" w:hAnsi="宋体" w:cs="宋体"/>
          <w:color w:val="auto"/>
          <w:sz w:val="24"/>
          <w:szCs w:val="24"/>
          <w:highlight w:val="none"/>
          <w:lang w:eastAsia="zh-CN"/>
        </w:rPr>
        <w:t>。</w:t>
      </w:r>
    </w:p>
    <w:p w14:paraId="69D20CF8">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34F1D22C">
      <w:pPr>
        <w:pStyle w:val="42"/>
        <w:rPr>
          <w:rFonts w:hint="eastAsia"/>
          <w:color w:val="auto"/>
        </w:rPr>
      </w:pPr>
    </w:p>
    <w:p w14:paraId="6E27C984">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2C69BEF5">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51884F3F">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4F2DB78A">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72F8CAE7">
      <w:pPr>
        <w:tabs>
          <w:tab w:val="left" w:pos="5580"/>
        </w:tabs>
        <w:spacing w:before="156" w:beforeLines="50" w:after="156" w:afterLines="50" w:line="480" w:lineRule="exact"/>
        <w:rPr>
          <w:rFonts w:hint="eastAsia" w:ascii="宋体" w:hAnsi="宋体" w:eastAsia="宋体" w:cs="宋体"/>
          <w:color w:val="auto"/>
          <w:kern w:val="0"/>
          <w:sz w:val="24"/>
          <w:szCs w:val="24"/>
          <w:highlight w:val="none"/>
        </w:rPr>
      </w:pPr>
    </w:p>
    <w:p w14:paraId="33DA79BC">
      <w:pPr>
        <w:spacing w:line="480" w:lineRule="exact"/>
        <w:rPr>
          <w:rFonts w:hint="eastAsia" w:ascii="宋体" w:hAnsi="宋体" w:eastAsia="宋体" w:cs="宋体"/>
          <w:b/>
          <w:color w:val="auto"/>
          <w:sz w:val="24"/>
          <w:szCs w:val="24"/>
          <w:highlight w:val="none"/>
        </w:rPr>
      </w:pPr>
    </w:p>
    <w:p w14:paraId="77470B38">
      <w:pPr>
        <w:pStyle w:val="7"/>
        <w:spacing w:line="480" w:lineRule="exact"/>
        <w:rPr>
          <w:rFonts w:hint="eastAsia" w:ascii="宋体" w:hAnsi="宋体" w:eastAsia="宋体" w:cs="宋体"/>
          <w:color w:val="auto"/>
          <w:highlight w:val="none"/>
        </w:rPr>
      </w:pPr>
    </w:p>
    <w:p w14:paraId="4E661BCD">
      <w:pPr>
        <w:spacing w:line="480" w:lineRule="exact"/>
        <w:rPr>
          <w:rFonts w:hint="eastAsia" w:ascii="宋体" w:hAnsi="宋体" w:eastAsia="宋体" w:cs="宋体"/>
          <w:b/>
          <w:color w:val="auto"/>
          <w:sz w:val="24"/>
          <w:szCs w:val="24"/>
          <w:highlight w:val="none"/>
        </w:rPr>
      </w:pPr>
    </w:p>
    <w:p w14:paraId="66EB1DC5">
      <w:pPr>
        <w:spacing w:line="480" w:lineRule="exact"/>
        <w:rPr>
          <w:rFonts w:hint="eastAsia" w:ascii="宋体" w:hAnsi="宋体" w:eastAsia="宋体" w:cs="宋体"/>
          <w:b/>
          <w:color w:val="auto"/>
          <w:sz w:val="24"/>
          <w:szCs w:val="24"/>
          <w:highlight w:val="none"/>
        </w:rPr>
      </w:pPr>
    </w:p>
    <w:p w14:paraId="7137969B">
      <w:pPr>
        <w:spacing w:line="480" w:lineRule="exact"/>
        <w:jc w:val="both"/>
        <w:outlineLvl w:val="0"/>
        <w:rPr>
          <w:rFonts w:hint="eastAsia" w:ascii="宋体" w:hAnsi="宋体" w:eastAsia="宋体" w:cs="宋体"/>
          <w:b/>
          <w:color w:val="auto"/>
          <w:sz w:val="24"/>
          <w:szCs w:val="24"/>
          <w:highlight w:val="none"/>
        </w:rPr>
      </w:pPr>
      <w:bookmarkStart w:id="150" w:name="_Toc15298"/>
      <w:bookmarkStart w:id="151" w:name="_Toc2307"/>
      <w:bookmarkStart w:id="152" w:name="_Toc28982"/>
    </w:p>
    <w:p w14:paraId="68147972">
      <w:pPr>
        <w:spacing w:line="480" w:lineRule="exact"/>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附件5、其他服务承诺</w:t>
      </w:r>
      <w:bookmarkEnd w:id="150"/>
      <w:bookmarkEnd w:id="151"/>
      <w:bookmarkEnd w:id="152"/>
    </w:p>
    <w:p w14:paraId="60B2739A">
      <w:pPr>
        <w:spacing w:line="48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（格式自拟）</w:t>
      </w:r>
    </w:p>
    <w:p w14:paraId="4776B20D">
      <w:pPr>
        <w:spacing w:line="480" w:lineRule="exact"/>
        <w:rPr>
          <w:rFonts w:hint="eastAsia" w:ascii="宋体" w:hAnsi="宋体" w:eastAsia="宋体" w:cs="宋体"/>
          <w:b/>
          <w:color w:val="auto"/>
          <w:sz w:val="24"/>
          <w:szCs w:val="24"/>
          <w:highlight w:val="none"/>
        </w:rPr>
      </w:pPr>
    </w:p>
    <w:p w14:paraId="2AA5BE63">
      <w:pPr>
        <w:spacing w:line="480" w:lineRule="exact"/>
        <w:rPr>
          <w:rFonts w:hint="eastAsia" w:ascii="宋体" w:hAnsi="宋体" w:eastAsia="宋体" w:cs="宋体"/>
          <w:b/>
          <w:color w:val="auto"/>
          <w:sz w:val="24"/>
          <w:szCs w:val="24"/>
          <w:highlight w:val="none"/>
        </w:rPr>
      </w:pPr>
    </w:p>
    <w:p w14:paraId="29EA2A41">
      <w:pPr>
        <w:pStyle w:val="42"/>
        <w:rPr>
          <w:rFonts w:hint="eastAsia"/>
          <w:color w:val="auto"/>
          <w:highlight w:val="none"/>
        </w:rPr>
      </w:pPr>
    </w:p>
    <w:p w14:paraId="57BEE325">
      <w:pPr>
        <w:spacing w:line="480" w:lineRule="exact"/>
        <w:rPr>
          <w:rFonts w:hint="eastAsia" w:ascii="宋体" w:hAnsi="宋体" w:eastAsia="宋体" w:cs="宋体"/>
          <w:b/>
          <w:color w:val="auto"/>
          <w:sz w:val="24"/>
          <w:szCs w:val="24"/>
          <w:highlight w:val="none"/>
        </w:rPr>
      </w:pPr>
    </w:p>
    <w:p w14:paraId="04BFCA07">
      <w:pPr>
        <w:spacing w:line="480" w:lineRule="exact"/>
        <w:rPr>
          <w:rFonts w:hint="eastAsia" w:ascii="宋体" w:hAnsi="宋体" w:eastAsia="宋体" w:cs="宋体"/>
          <w:b/>
          <w:color w:val="auto"/>
          <w:sz w:val="24"/>
          <w:szCs w:val="24"/>
          <w:highlight w:val="none"/>
        </w:rPr>
      </w:pPr>
    </w:p>
    <w:p w14:paraId="16010B7F">
      <w:pPr>
        <w:spacing w:line="480" w:lineRule="exact"/>
        <w:rPr>
          <w:rFonts w:hint="eastAsia" w:ascii="宋体" w:hAnsi="宋体" w:eastAsia="宋体" w:cs="宋体"/>
          <w:b/>
          <w:color w:val="auto"/>
          <w:sz w:val="24"/>
          <w:szCs w:val="24"/>
          <w:highlight w:val="none"/>
        </w:rPr>
      </w:pPr>
    </w:p>
    <w:p w14:paraId="1D066445">
      <w:pPr>
        <w:spacing w:line="480" w:lineRule="exact"/>
        <w:rPr>
          <w:rFonts w:hint="eastAsia" w:ascii="宋体" w:hAnsi="宋体" w:eastAsia="宋体" w:cs="宋体"/>
          <w:b/>
          <w:color w:val="auto"/>
          <w:sz w:val="24"/>
          <w:szCs w:val="24"/>
          <w:highlight w:val="none"/>
        </w:rPr>
      </w:pPr>
    </w:p>
    <w:p w14:paraId="0EE454B0">
      <w:pPr>
        <w:spacing w:line="480" w:lineRule="exact"/>
        <w:rPr>
          <w:rFonts w:hint="eastAsia" w:ascii="宋体" w:hAnsi="宋体" w:eastAsia="宋体" w:cs="宋体"/>
          <w:b/>
          <w:color w:val="auto"/>
          <w:sz w:val="24"/>
          <w:szCs w:val="24"/>
          <w:highlight w:val="none"/>
        </w:rPr>
      </w:pPr>
    </w:p>
    <w:p w14:paraId="146BABED">
      <w:pPr>
        <w:spacing w:line="480" w:lineRule="exact"/>
        <w:rPr>
          <w:rFonts w:hint="eastAsia" w:ascii="宋体" w:hAnsi="宋体" w:eastAsia="宋体" w:cs="宋体"/>
          <w:b/>
          <w:color w:val="auto"/>
          <w:sz w:val="24"/>
          <w:szCs w:val="24"/>
          <w:highlight w:val="none"/>
        </w:rPr>
      </w:pPr>
    </w:p>
    <w:p w14:paraId="36DA9DA0">
      <w:pPr>
        <w:spacing w:line="480" w:lineRule="exact"/>
        <w:jc w:val="both"/>
        <w:outlineLvl w:val="0"/>
        <w:rPr>
          <w:rFonts w:hint="eastAsia" w:ascii="宋体" w:hAnsi="宋体" w:eastAsia="宋体" w:cs="宋体"/>
          <w:b/>
          <w:color w:val="auto"/>
          <w:sz w:val="24"/>
          <w:szCs w:val="24"/>
          <w:highlight w:val="none"/>
        </w:rPr>
      </w:pPr>
      <w:bookmarkStart w:id="153" w:name="_Toc21096"/>
      <w:bookmarkStart w:id="154" w:name="_Toc8030"/>
      <w:bookmarkStart w:id="155" w:name="_Toc5862"/>
      <w:r>
        <w:rPr>
          <w:rFonts w:hint="eastAsia" w:ascii="宋体" w:hAnsi="宋体" w:eastAsia="宋体" w:cs="宋体"/>
          <w:b/>
          <w:color w:val="auto"/>
          <w:sz w:val="24"/>
          <w:szCs w:val="24"/>
          <w:highlight w:val="none"/>
        </w:rPr>
        <w:t>附件</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、供应商认为需要提供的其他材料</w:t>
      </w:r>
      <w:bookmarkEnd w:id="153"/>
      <w:bookmarkEnd w:id="154"/>
      <w:bookmarkEnd w:id="155"/>
    </w:p>
    <w:p w14:paraId="6766D398">
      <w:pPr>
        <w:pStyle w:val="5"/>
        <w:spacing w:line="48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（格式自拟）</w:t>
      </w:r>
    </w:p>
    <w:p w14:paraId="4AE4B417">
      <w:pPr>
        <w:pStyle w:val="7"/>
        <w:spacing w:line="480" w:lineRule="exact"/>
        <w:rPr>
          <w:rFonts w:hint="eastAsia" w:ascii="宋体" w:hAnsi="宋体" w:eastAsia="宋体" w:cs="宋体"/>
          <w:color w:val="auto"/>
          <w:highlight w:val="none"/>
        </w:rPr>
      </w:pPr>
    </w:p>
    <w:p w14:paraId="43FC301D">
      <w:pPr>
        <w:spacing w:line="480" w:lineRule="exact"/>
        <w:rPr>
          <w:rFonts w:hint="eastAsia" w:ascii="宋体" w:hAnsi="宋体" w:eastAsia="宋体" w:cs="宋体"/>
          <w:color w:val="auto"/>
          <w:sz w:val="24"/>
          <w:szCs w:val="24"/>
          <w:highlight w:val="none"/>
        </w:rPr>
      </w:pPr>
    </w:p>
    <w:p w14:paraId="3C8CF5E3">
      <w:pPr>
        <w:pStyle w:val="7"/>
        <w:spacing w:line="480" w:lineRule="exact"/>
        <w:rPr>
          <w:rFonts w:hint="eastAsia" w:ascii="宋体" w:hAnsi="宋体" w:eastAsia="宋体" w:cs="宋体"/>
          <w:color w:val="auto"/>
          <w:highlight w:val="none"/>
        </w:rPr>
      </w:pPr>
    </w:p>
    <w:p w14:paraId="3ED2AB78">
      <w:pPr>
        <w:spacing w:line="480" w:lineRule="exact"/>
        <w:rPr>
          <w:rFonts w:hint="eastAsia" w:ascii="宋体" w:hAnsi="宋体" w:eastAsia="宋体" w:cs="宋体"/>
          <w:color w:val="auto"/>
          <w:sz w:val="24"/>
          <w:szCs w:val="24"/>
          <w:highlight w:val="none"/>
        </w:rPr>
      </w:pPr>
    </w:p>
    <w:p w14:paraId="035CE64D">
      <w:pPr>
        <w:pStyle w:val="7"/>
        <w:spacing w:line="480" w:lineRule="exact"/>
        <w:rPr>
          <w:rFonts w:hint="eastAsia" w:ascii="宋体" w:hAnsi="宋体" w:eastAsia="宋体" w:cs="宋体"/>
          <w:color w:val="auto"/>
          <w:highlight w:val="none"/>
        </w:rPr>
      </w:pPr>
    </w:p>
    <w:p w14:paraId="2EB1B68A">
      <w:pPr>
        <w:pStyle w:val="21"/>
        <w:spacing w:line="480" w:lineRule="exact"/>
        <w:rPr>
          <w:rFonts w:hint="eastAsia" w:ascii="宋体" w:hAnsi="宋体" w:eastAsia="宋体" w:cs="宋体"/>
          <w:b/>
          <w:bCs/>
          <w:color w:val="auto"/>
          <w:sz w:val="24"/>
          <w:szCs w:val="24"/>
          <w:highlight w:val="none"/>
        </w:rPr>
      </w:pPr>
    </w:p>
    <w:sectPr>
      <w:headerReference r:id="rId15" w:type="default"/>
      <w:footerReference r:id="rId1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F03D">
    <w:pPr>
      <w:pStyle w:val="21"/>
      <w:tabs>
        <w:tab w:val="center" w:pos="4320"/>
        <w:tab w:val="right" w:pos="8640"/>
        <w:tab w:val="clear" w:pos="4153"/>
        <w:tab w:val="clear" w:pos="8306"/>
      </w:tabs>
      <w:rPr>
        <w:rStyle w:val="37"/>
      </w:rPr>
    </w:pPr>
  </w:p>
  <w:p w14:paraId="55A30EF5">
    <w:pPr>
      <w:pStyle w:val="21"/>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3A04">
    <w:pPr>
      <w:pStyle w:val="21"/>
      <w:tabs>
        <w:tab w:val="center" w:pos="4320"/>
        <w:tab w:val="right" w:pos="8640"/>
        <w:tab w:val="clear" w:pos="4153"/>
        <w:tab w:val="clear" w:pos="8306"/>
      </w:tabs>
      <w:rPr>
        <w:rStyle w:val="37"/>
      </w:rPr>
    </w:pPr>
    <w:r>
      <w:rPr>
        <w:sz w:val="18"/>
      </w:rPr>
      <mc:AlternateContent>
        <mc:Choice Requires="wps">
          <w:drawing>
            <wp:anchor distT="0" distB="0" distL="114300" distR="114300" simplePos="0" relativeHeight="251660288" behindDoc="0" locked="0" layoutInCell="1" allowOverlap="1">
              <wp:simplePos x="0" y="0"/>
              <wp:positionH relativeFrom="margin">
                <wp:posOffset>3075305</wp:posOffset>
              </wp:positionH>
              <wp:positionV relativeFrom="paragraph">
                <wp:posOffset>-428625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9ABD5">
                          <w:pPr>
                            <w:pStyle w:val="2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2.15pt;margin-top:-33.75pt;height:144pt;width:144pt;mso-position-horizontal-relative:margin;mso-wrap-style:none;z-index:251660288;mso-width-relative:page;mso-height-relative:page;" filled="f" stroked="f" coordsize="21600,21600" o:gfxdata="UEsDBAoAAAAAAIdO4kAAAAAAAAAAAAAAAAAEAAAAZHJzL1BLAwQUAAAACACHTuJARVSKTNkAAAAL&#10;AQAADwAAAGRycy9kb3ducmV2LnhtbE2PwU7DMAyG70i8Q2QkbluyrlunrukkJsoRiZUDx6wxbUfj&#10;VEnWlbcnnOBo+9Pv7y8OsxnYhM73liSslgIYUmN1T62E97pa7ID5oEirwRJK+EYPh/L+rlC5tjd6&#10;w+kUWhZDyOdKQhfCmHPumw6N8ks7IsXbp3VGhTi6lmunbjHcDDwRYsuN6il+6NSIxw6br9PVSDhW&#10;de0m9G74wJdqfXl9SvF5lvLxYSX2wALO4Q+GX/2oDmV0Otsrac8GCekuXUdUwmKbbYBFIsuSuDlL&#10;SBKxAV4W/H+H8gdQSwMEFAAAAAgAh07iQMeXtc4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ouyG&#10;aRT88v3b5cevy8+vZJbkqV2YI2rnEBebt7ZB0wznAYeJdVN6nb7gQ+CHuOeruKKJhKdLs+lsNoaL&#10;wzdsgJ89Xnc+xHfCapKMnHpUrxWVnbYhdqFDSMpm7EYq1VZQGVLn9Ob1m3F74eoBuDLIkUh0j01W&#10;bPZNz2xvizOIedt1RnB8I5F8y0J8YB6tgAdjWOI9llJZJLG9RUll/Zd/nad4VAheSmq0Vk4NJokS&#10;9d6gcgCMg+EHYz8Y5qjvLHp1giF0vDVxwUc1mKW3+jMmaJVywMUMR6acxsG8i117YwK5WK3aoKPz&#10;8lB1F9B3jsWt2Tme0iQhg1sdI8RsNU4Cdar0uqHz2ir1U5Ja+899G/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VUikzZAAAACwEAAA8AAAAAAAAAAQAgAAAAIgAAAGRycy9kb3ducmV2Lnht&#10;bFBLAQIUABQAAAAIAIdO4kDHl7XOMQIAAGEEAAAOAAAAAAAAAAEAIAAAACgBAABkcnMvZTJvRG9j&#10;LnhtbFBLBQYAAAAABgAGAFkBAADLBQAAAAA=&#10;">
              <v:fill on="f" focussize="0,0"/>
              <v:stroke on="f" weight="0.5pt"/>
              <v:imagedata o:title=""/>
              <o:lock v:ext="edit" aspectratio="f"/>
              <v:textbox inset="0mm,0mm,0mm,0mm" style="mso-fit-shape-to-text:t;">
                <w:txbxContent>
                  <w:p w14:paraId="5219ABD5">
                    <w:pPr>
                      <w:pStyle w:val="21"/>
                    </w:pPr>
                    <w:r>
                      <w:fldChar w:fldCharType="begin"/>
                    </w:r>
                    <w:r>
                      <w:instrText xml:space="preserve"> PAGE  \* MERGEFORMAT </w:instrText>
                    </w:r>
                    <w:r>
                      <w:fldChar w:fldCharType="separate"/>
                    </w:r>
                    <w:r>
                      <w:t>4</w:t>
                    </w:r>
                    <w:r>
                      <w:fldChar w:fldCharType="end"/>
                    </w:r>
                  </w:p>
                </w:txbxContent>
              </v:textbox>
            </v:shape>
          </w:pict>
        </mc:Fallback>
      </mc:AlternateContent>
    </w:r>
  </w:p>
  <w:p w14:paraId="632E079E">
    <w:pPr>
      <w:pStyle w:val="21"/>
      <w:tabs>
        <w:tab w:val="center" w:pos="4320"/>
        <w:tab w:val="right" w:pos="864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3964">
    <w:pPr>
      <w:pStyle w:val="12"/>
      <w:spacing w:line="14" w:lineRule="auto"/>
      <w:rPr>
        <w:rFonts w:eastAsia="宋体"/>
        <w:sz w:val="2"/>
        <w:lang w:eastAsia="zh-CN"/>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DB931">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B8DB931">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eastAsia="宋体"/>
        <w:sz w:val="2"/>
        <w:lang w:eastAsia="zh-CN"/>
      </w:rPr>
      <w:t>仿</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0704">
    <w:pPr>
      <w:pStyle w:val="21"/>
      <w:tabs>
        <w:tab w:val="center" w:pos="4320"/>
        <w:tab w:val="right" w:pos="8640"/>
        <w:tab w:val="clear" w:pos="4153"/>
        <w:tab w:val="clear" w:pos="8306"/>
      </w:tabs>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5CB6C">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35CB6C">
                    <w:pPr>
                      <w:pStyle w:val="21"/>
                    </w:pPr>
                    <w:r>
                      <w:fldChar w:fldCharType="begin"/>
                    </w:r>
                    <w:r>
                      <w:instrText xml:space="preserve"> PAGE  \* MERGEFORMAT </w:instrText>
                    </w:r>
                    <w:r>
                      <w:fldChar w:fldCharType="separate"/>
                    </w:r>
                    <w:r>
                      <w:t>3</w:t>
                    </w:r>
                    <w:r>
                      <w:fldChar w:fldCharType="end"/>
                    </w:r>
                  </w:p>
                </w:txbxContent>
              </v:textbox>
            </v:shape>
          </w:pict>
        </mc:Fallback>
      </mc:AlternateContent>
    </w:r>
  </w:p>
  <w:p w14:paraId="168330A1">
    <w:pPr>
      <w:pStyle w:val="21"/>
      <w:tabs>
        <w:tab w:val="center" w:pos="4320"/>
        <w:tab w:val="right" w:pos="864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5F66">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643A9">
                          <w:pPr>
                            <w:pStyle w:val="2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E643A9">
                    <w:pPr>
                      <w:pStyle w:val="2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39B6">
    <w:pPr>
      <w:pStyle w:val="21"/>
      <w:pBdr>
        <w:top w:val="dashDotStroked" w:color="auto" w:sz="24" w:space="0"/>
      </w:pBdr>
    </w:pPr>
    <w:r>
      <w:rPr>
        <w:rFonts w:hint="eastAsia"/>
        <w:b/>
        <w:i/>
      </w:rPr>
      <w:t>电话：0991-8897121传真：0991-8897121</w:t>
    </w:r>
    <w:r>
      <w:rPr>
        <w:rFonts w:hint="eastAsia"/>
        <w:b/>
      </w:rPr>
      <w:t xml:space="preserve">   </w:t>
    </w:r>
    <w:r>
      <w:rPr>
        <w:b/>
      </w:rPr>
      <w:t xml:space="preserve">    </w:t>
    </w:r>
    <w:r>
      <w:rPr>
        <w:rFonts w:hint="eastAsia"/>
        <w:b/>
      </w:rPr>
      <w:t xml:space="preserve">                                                  </w:t>
    </w:r>
    <w:r>
      <w:rPr>
        <w:rFonts w:hint="eastAsia"/>
        <w:b/>
        <w:i/>
      </w:rPr>
      <w:t>新疆昌盛方略项目管理有限公司编制</w:t>
    </w:r>
  </w:p>
  <w:p w14:paraId="3FAA5E6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B661">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4EF0E">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24EF0E">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0A94">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2D0D">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662D0D">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2CF8">
    <w:pPr>
      <w:pStyle w:val="22"/>
      <w:pBdr>
        <w:bottom w:val="none" w:color="auto" w:sz="0" w:space="1"/>
      </w:pBdr>
      <w:jc w:val="right"/>
    </w:pP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drawing>
        <wp:inline distT="0" distB="0" distL="114300" distR="114300">
          <wp:extent cx="2664460" cy="245110"/>
          <wp:effectExtent l="0" t="0" r="0" b="2540"/>
          <wp:docPr id="4"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53afe324ad3cad658bf12ab6d32f44"/>
                  <pic:cNvPicPr>
                    <a:picLocks noChangeAspect="1"/>
                  </pic:cNvPicPr>
                </pic:nvPicPr>
                <pic:blipFill>
                  <a:blip r:embed="rId1"/>
                  <a:stretch>
                    <a:fillRect/>
                  </a:stretch>
                </pic:blipFill>
                <pic:spPr>
                  <a:xfrm>
                    <a:off x="0" y="0"/>
                    <a:ext cx="2664460" cy="2451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0202">
    <w:pPr>
      <w:pStyle w:val="22"/>
      <w:pBdr>
        <w:bottom w:val="none" w:color="auto" w:sz="0" w:space="0"/>
      </w:pBd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drawing>
        <wp:inline distT="0" distB="0" distL="114300" distR="114300">
          <wp:extent cx="2664460" cy="245110"/>
          <wp:effectExtent l="0" t="0" r="0" b="2540"/>
          <wp:docPr id="7"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353afe324ad3cad658bf12ab6d32f44"/>
                  <pic:cNvPicPr>
                    <a:picLocks noChangeAspect="1"/>
                  </pic:cNvPicPr>
                </pic:nvPicPr>
                <pic:blipFill>
                  <a:blip r:embed="rId1"/>
                  <a:stretch>
                    <a:fillRect/>
                  </a:stretch>
                </pic:blipFill>
                <pic:spPr>
                  <a:xfrm>
                    <a:off x="0" y="0"/>
                    <a:ext cx="2664460" cy="2451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3159">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DED2">
    <w:pPr>
      <w:pStyle w:val="22"/>
      <w:pBdr>
        <w:bottom w:val="dashDotStroked" w:color="auto" w:sz="24" w:space="1"/>
      </w:pBdr>
      <w:jc w:val="both"/>
    </w:pPr>
    <w:r>
      <w:rPr>
        <w:rFonts w:hint="eastAsia"/>
        <w:b/>
        <w:bCs/>
        <w:i/>
        <w:iCs/>
      </w:rPr>
      <w:t>新疆冠农天府果蔬食品有限责任公司饮料前处理设备竞争性磋商文件                                                                                    编号0689-xtgj0412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3A32">
    <w:pPr>
      <w:pStyle w:val="2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8A9F">
    <w:pPr>
      <w:pStyle w:val="22"/>
      <w:pBdr>
        <w:bottom w:val="none" w:color="auto" w:sz="0" w:space="1"/>
      </w:pBdr>
      <w:jc w:val="both"/>
      <w:rPr>
        <w:rStyle w:val="168"/>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7AAAD"/>
    <w:multiLevelType w:val="singleLevel"/>
    <w:tmpl w:val="8C37AAAD"/>
    <w:lvl w:ilvl="0" w:tentative="0">
      <w:start w:val="1"/>
      <w:numFmt w:val="decimal"/>
      <w:lvlText w:val="%1."/>
      <w:lvlJc w:val="left"/>
      <w:pPr>
        <w:tabs>
          <w:tab w:val="left" w:pos="312"/>
        </w:tabs>
      </w:pPr>
    </w:lvl>
  </w:abstractNum>
  <w:abstractNum w:abstractNumId="1">
    <w:nsid w:val="96E3356E"/>
    <w:multiLevelType w:val="singleLevel"/>
    <w:tmpl w:val="96E3356E"/>
    <w:lvl w:ilvl="0" w:tentative="0">
      <w:start w:val="1"/>
      <w:numFmt w:val="chineseCounting"/>
      <w:suff w:val="space"/>
      <w:lvlText w:val="第%1章"/>
      <w:lvlJc w:val="left"/>
      <w:rPr>
        <w:rFonts w:hint="eastAsia"/>
      </w:rPr>
    </w:lvl>
  </w:abstractNum>
  <w:abstractNum w:abstractNumId="2">
    <w:nsid w:val="B18BD565"/>
    <w:multiLevelType w:val="singleLevel"/>
    <w:tmpl w:val="B18BD565"/>
    <w:lvl w:ilvl="0" w:tentative="0">
      <w:start w:val="6"/>
      <w:numFmt w:val="chineseCounting"/>
      <w:suff w:val="space"/>
      <w:lvlText w:val="第%1章"/>
      <w:lvlJc w:val="left"/>
      <w:pPr>
        <w:ind w:left="2940"/>
      </w:pPr>
      <w:rPr>
        <w:rFonts w:hint="eastAsia"/>
      </w:rPr>
    </w:lvl>
  </w:abstractNum>
  <w:abstractNum w:abstractNumId="3">
    <w:nsid w:val="CB1E2E03"/>
    <w:multiLevelType w:val="singleLevel"/>
    <w:tmpl w:val="CB1E2E03"/>
    <w:lvl w:ilvl="0" w:tentative="0">
      <w:start w:val="1"/>
      <w:numFmt w:val="bullet"/>
      <w:pStyle w:val="11"/>
      <w:lvlText w:val=""/>
      <w:lvlJc w:val="left"/>
      <w:pPr>
        <w:tabs>
          <w:tab w:val="left" w:pos="1200"/>
        </w:tabs>
        <w:ind w:left="1200" w:hanging="360"/>
      </w:pPr>
      <w:rPr>
        <w:rFonts w:hint="default" w:ascii="Wingdings" w:hAnsi="Wingdings"/>
      </w:rPr>
    </w:lvl>
  </w:abstractNum>
  <w:abstractNum w:abstractNumId="4">
    <w:nsid w:val="D092732E"/>
    <w:multiLevelType w:val="singleLevel"/>
    <w:tmpl w:val="D092732E"/>
    <w:lvl w:ilvl="0" w:tentative="0">
      <w:start w:val="1"/>
      <w:numFmt w:val="decimal"/>
      <w:pStyle w:val="17"/>
      <w:lvlText w:val="%1."/>
      <w:lvlJc w:val="left"/>
      <w:pPr>
        <w:tabs>
          <w:tab w:val="left" w:pos="2040"/>
        </w:tabs>
        <w:ind w:left="2040" w:hanging="360"/>
      </w:pPr>
    </w:lvl>
  </w:abstractNum>
  <w:abstractNum w:abstractNumId="5">
    <w:nsid w:val="1908C47D"/>
    <w:multiLevelType w:val="singleLevel"/>
    <w:tmpl w:val="1908C47D"/>
    <w:lvl w:ilvl="0" w:tentative="0">
      <w:start w:val="1"/>
      <w:numFmt w:val="decimal"/>
      <w:suff w:val="nothing"/>
      <w:lvlText w:val="%1、"/>
      <w:lvlJc w:val="left"/>
    </w:lvl>
  </w:abstractNum>
  <w:abstractNum w:abstractNumId="6">
    <w:nsid w:val="1F3C70D3"/>
    <w:multiLevelType w:val="singleLevel"/>
    <w:tmpl w:val="1F3C70D3"/>
    <w:lvl w:ilvl="0" w:tentative="0">
      <w:start w:val="2"/>
      <w:numFmt w:val="chineseCounting"/>
      <w:lvlText w:val="%1."/>
      <w:lvlJc w:val="left"/>
      <w:pPr>
        <w:tabs>
          <w:tab w:val="left" w:pos="312"/>
        </w:tabs>
      </w:pPr>
      <w:rPr>
        <w:rFonts w:hint="eastAsia"/>
      </w:rPr>
    </w:lvl>
  </w:abstractNum>
  <w:abstractNum w:abstractNumId="7">
    <w:nsid w:val="403F59B1"/>
    <w:multiLevelType w:val="singleLevel"/>
    <w:tmpl w:val="403F59B1"/>
    <w:lvl w:ilvl="0" w:tentative="0">
      <w:start w:val="4"/>
      <w:numFmt w:val="chineseCounting"/>
      <w:suff w:val="space"/>
      <w:lvlText w:val="第%1章"/>
      <w:lvlJc w:val="left"/>
      <w:rPr>
        <w:rFonts w:hint="eastAsia"/>
      </w:rPr>
    </w:lvl>
  </w:abstractNum>
  <w:abstractNum w:abstractNumId="8">
    <w:nsid w:val="5130A947"/>
    <w:multiLevelType w:val="singleLevel"/>
    <w:tmpl w:val="5130A947"/>
    <w:lvl w:ilvl="0" w:tentative="0">
      <w:start w:val="3"/>
      <w:numFmt w:val="decimal"/>
      <w:suff w:val="nothing"/>
      <w:lvlText w:val="%1、"/>
      <w:lvlJc w:val="left"/>
    </w:lvl>
  </w:abstractNum>
  <w:abstractNum w:abstractNumId="9">
    <w:nsid w:val="58CF1A1F"/>
    <w:multiLevelType w:val="singleLevel"/>
    <w:tmpl w:val="58CF1A1F"/>
    <w:lvl w:ilvl="0" w:tentative="0">
      <w:start w:val="1"/>
      <w:numFmt w:val="decimal"/>
      <w:suff w:val="nothing"/>
      <w:lvlText w:val="（%1）"/>
      <w:lvlJc w:val="left"/>
    </w:lvl>
  </w:abstractNum>
  <w:abstractNum w:abstractNumId="10">
    <w:nsid w:val="6177B2A4"/>
    <w:multiLevelType w:val="singleLevel"/>
    <w:tmpl w:val="6177B2A4"/>
    <w:lvl w:ilvl="0" w:tentative="0">
      <w:start w:val="7"/>
      <w:numFmt w:val="chineseCounting"/>
      <w:suff w:val="nothing"/>
      <w:lvlText w:val="%1、"/>
      <w:lvlJc w:val="left"/>
      <w:rPr>
        <w:rFonts w:hint="eastAsia"/>
      </w:rPr>
    </w:lvl>
  </w:abstractNum>
  <w:num w:numId="1">
    <w:abstractNumId w:val="3"/>
  </w:num>
  <w:num w:numId="2">
    <w:abstractNumId w:val="4"/>
  </w:num>
  <w:num w:numId="3">
    <w:abstractNumId w:val="1"/>
  </w:num>
  <w:num w:numId="4">
    <w:abstractNumId w:val="10"/>
  </w:num>
  <w:num w:numId="5">
    <w:abstractNumId w:val="0"/>
  </w:num>
  <w:num w:numId="6">
    <w:abstractNumId w:val="9"/>
  </w:num>
  <w:num w:numId="7">
    <w:abstractNumId w:val="7"/>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OTUzMTM1MjY3Mjk2MzFhYTIzZjgyMWJkM2JkZTMifQ=="/>
  </w:docVars>
  <w:rsids>
    <w:rsidRoot w:val="0FAA24C9"/>
    <w:rsid w:val="000533CC"/>
    <w:rsid w:val="0005636A"/>
    <w:rsid w:val="00113C67"/>
    <w:rsid w:val="00137C3C"/>
    <w:rsid w:val="00164EBE"/>
    <w:rsid w:val="001A23D0"/>
    <w:rsid w:val="001D75E9"/>
    <w:rsid w:val="001F096B"/>
    <w:rsid w:val="00201E59"/>
    <w:rsid w:val="00272E2F"/>
    <w:rsid w:val="00276675"/>
    <w:rsid w:val="002C104D"/>
    <w:rsid w:val="002C61F7"/>
    <w:rsid w:val="002F25F3"/>
    <w:rsid w:val="00307D19"/>
    <w:rsid w:val="003236E1"/>
    <w:rsid w:val="00355B31"/>
    <w:rsid w:val="00384E4C"/>
    <w:rsid w:val="003A2606"/>
    <w:rsid w:val="003B7896"/>
    <w:rsid w:val="003E58D2"/>
    <w:rsid w:val="003E66C3"/>
    <w:rsid w:val="003F4515"/>
    <w:rsid w:val="004318FB"/>
    <w:rsid w:val="004623E0"/>
    <w:rsid w:val="00477C57"/>
    <w:rsid w:val="004B0AA2"/>
    <w:rsid w:val="004F0D6C"/>
    <w:rsid w:val="004F5093"/>
    <w:rsid w:val="005252A7"/>
    <w:rsid w:val="00550B79"/>
    <w:rsid w:val="00562356"/>
    <w:rsid w:val="00586B78"/>
    <w:rsid w:val="005B4664"/>
    <w:rsid w:val="00633250"/>
    <w:rsid w:val="00637011"/>
    <w:rsid w:val="00653795"/>
    <w:rsid w:val="00674B66"/>
    <w:rsid w:val="007113E6"/>
    <w:rsid w:val="0075194A"/>
    <w:rsid w:val="007B0F2E"/>
    <w:rsid w:val="007E7539"/>
    <w:rsid w:val="007F7B59"/>
    <w:rsid w:val="0088405D"/>
    <w:rsid w:val="00906363"/>
    <w:rsid w:val="00991756"/>
    <w:rsid w:val="009A0272"/>
    <w:rsid w:val="009F1128"/>
    <w:rsid w:val="00A12AB8"/>
    <w:rsid w:val="00AC24C9"/>
    <w:rsid w:val="00AF22B4"/>
    <w:rsid w:val="00B04CFB"/>
    <w:rsid w:val="00B31156"/>
    <w:rsid w:val="00B744A5"/>
    <w:rsid w:val="00BB075F"/>
    <w:rsid w:val="00C277B6"/>
    <w:rsid w:val="00C921E7"/>
    <w:rsid w:val="00CA6428"/>
    <w:rsid w:val="00CA6B39"/>
    <w:rsid w:val="00CC2E22"/>
    <w:rsid w:val="00CC666C"/>
    <w:rsid w:val="00D06400"/>
    <w:rsid w:val="00D16AD3"/>
    <w:rsid w:val="00D43CAF"/>
    <w:rsid w:val="00D66DFB"/>
    <w:rsid w:val="00D70D74"/>
    <w:rsid w:val="00D82787"/>
    <w:rsid w:val="00DA30C1"/>
    <w:rsid w:val="00DB44BB"/>
    <w:rsid w:val="00DB74C5"/>
    <w:rsid w:val="00DD153B"/>
    <w:rsid w:val="00DE71BF"/>
    <w:rsid w:val="00E85A96"/>
    <w:rsid w:val="00EC248C"/>
    <w:rsid w:val="00ED3A26"/>
    <w:rsid w:val="00F06523"/>
    <w:rsid w:val="00FC0541"/>
    <w:rsid w:val="010D1216"/>
    <w:rsid w:val="01154D6C"/>
    <w:rsid w:val="011C7D8D"/>
    <w:rsid w:val="013802E1"/>
    <w:rsid w:val="01500BCF"/>
    <w:rsid w:val="016842F5"/>
    <w:rsid w:val="016B10BF"/>
    <w:rsid w:val="01814E06"/>
    <w:rsid w:val="01837B27"/>
    <w:rsid w:val="018E5569"/>
    <w:rsid w:val="01AC5842"/>
    <w:rsid w:val="01B948CE"/>
    <w:rsid w:val="01C34DEB"/>
    <w:rsid w:val="01E07F0A"/>
    <w:rsid w:val="01E4018B"/>
    <w:rsid w:val="01F24EC8"/>
    <w:rsid w:val="01FA5CC7"/>
    <w:rsid w:val="0205454C"/>
    <w:rsid w:val="021063F6"/>
    <w:rsid w:val="02160447"/>
    <w:rsid w:val="022F5232"/>
    <w:rsid w:val="02502E75"/>
    <w:rsid w:val="025301E4"/>
    <w:rsid w:val="025B098A"/>
    <w:rsid w:val="025E4419"/>
    <w:rsid w:val="026928EC"/>
    <w:rsid w:val="027935E3"/>
    <w:rsid w:val="0283087A"/>
    <w:rsid w:val="0287325E"/>
    <w:rsid w:val="029C5D8B"/>
    <w:rsid w:val="02A22FFC"/>
    <w:rsid w:val="02A65D70"/>
    <w:rsid w:val="02B250DA"/>
    <w:rsid w:val="02D94562"/>
    <w:rsid w:val="02E467D7"/>
    <w:rsid w:val="02EE3C8E"/>
    <w:rsid w:val="03042E50"/>
    <w:rsid w:val="03140D1C"/>
    <w:rsid w:val="03194D86"/>
    <w:rsid w:val="031A4756"/>
    <w:rsid w:val="031E75DF"/>
    <w:rsid w:val="03416644"/>
    <w:rsid w:val="035A14B4"/>
    <w:rsid w:val="036613DF"/>
    <w:rsid w:val="039748C3"/>
    <w:rsid w:val="0397697C"/>
    <w:rsid w:val="039A3530"/>
    <w:rsid w:val="039E02DA"/>
    <w:rsid w:val="03AF7AA5"/>
    <w:rsid w:val="03C07D1D"/>
    <w:rsid w:val="03CB7521"/>
    <w:rsid w:val="03CD3699"/>
    <w:rsid w:val="03D367FD"/>
    <w:rsid w:val="03E0619A"/>
    <w:rsid w:val="03E8394F"/>
    <w:rsid w:val="03ED14DD"/>
    <w:rsid w:val="03FB2B4D"/>
    <w:rsid w:val="041541BD"/>
    <w:rsid w:val="041604C9"/>
    <w:rsid w:val="041B4F7F"/>
    <w:rsid w:val="043673BB"/>
    <w:rsid w:val="043B1A52"/>
    <w:rsid w:val="043B45AF"/>
    <w:rsid w:val="04456553"/>
    <w:rsid w:val="04507E25"/>
    <w:rsid w:val="046F4A95"/>
    <w:rsid w:val="04700ADD"/>
    <w:rsid w:val="047A1F15"/>
    <w:rsid w:val="04802215"/>
    <w:rsid w:val="049C1399"/>
    <w:rsid w:val="049F179C"/>
    <w:rsid w:val="04A93617"/>
    <w:rsid w:val="04B41770"/>
    <w:rsid w:val="04C41524"/>
    <w:rsid w:val="04EF44A2"/>
    <w:rsid w:val="04FC4849"/>
    <w:rsid w:val="050009F6"/>
    <w:rsid w:val="05110136"/>
    <w:rsid w:val="05250C8C"/>
    <w:rsid w:val="052519AC"/>
    <w:rsid w:val="053B54C8"/>
    <w:rsid w:val="054F4FCA"/>
    <w:rsid w:val="0569278C"/>
    <w:rsid w:val="05721901"/>
    <w:rsid w:val="05813D8C"/>
    <w:rsid w:val="059416D3"/>
    <w:rsid w:val="059C53EE"/>
    <w:rsid w:val="05A01303"/>
    <w:rsid w:val="05A54E44"/>
    <w:rsid w:val="05A74319"/>
    <w:rsid w:val="05AA6B7A"/>
    <w:rsid w:val="05AD2F2F"/>
    <w:rsid w:val="05B06B0A"/>
    <w:rsid w:val="05B677BD"/>
    <w:rsid w:val="05BB0A35"/>
    <w:rsid w:val="05BB79A2"/>
    <w:rsid w:val="05BC4EBF"/>
    <w:rsid w:val="05C02321"/>
    <w:rsid w:val="05C36F41"/>
    <w:rsid w:val="05E555A9"/>
    <w:rsid w:val="05ED6391"/>
    <w:rsid w:val="05F17B3F"/>
    <w:rsid w:val="05F94FAD"/>
    <w:rsid w:val="06014A09"/>
    <w:rsid w:val="0606276D"/>
    <w:rsid w:val="06072997"/>
    <w:rsid w:val="061E643E"/>
    <w:rsid w:val="062A31D9"/>
    <w:rsid w:val="06326298"/>
    <w:rsid w:val="06386789"/>
    <w:rsid w:val="064415AD"/>
    <w:rsid w:val="064D216F"/>
    <w:rsid w:val="065A4CE1"/>
    <w:rsid w:val="065C7911"/>
    <w:rsid w:val="066F0487"/>
    <w:rsid w:val="067A0640"/>
    <w:rsid w:val="0680491F"/>
    <w:rsid w:val="06AE3ED0"/>
    <w:rsid w:val="06C05C91"/>
    <w:rsid w:val="06D43AC3"/>
    <w:rsid w:val="06D734B8"/>
    <w:rsid w:val="06DD176D"/>
    <w:rsid w:val="06DD2E85"/>
    <w:rsid w:val="06E70520"/>
    <w:rsid w:val="06E90938"/>
    <w:rsid w:val="06F86ED3"/>
    <w:rsid w:val="06FC5504"/>
    <w:rsid w:val="07056164"/>
    <w:rsid w:val="07071332"/>
    <w:rsid w:val="07083103"/>
    <w:rsid w:val="070C0DE9"/>
    <w:rsid w:val="071518E0"/>
    <w:rsid w:val="072338A0"/>
    <w:rsid w:val="07247C28"/>
    <w:rsid w:val="073A2C89"/>
    <w:rsid w:val="074E04D3"/>
    <w:rsid w:val="075122CB"/>
    <w:rsid w:val="07512FAE"/>
    <w:rsid w:val="075B3E6D"/>
    <w:rsid w:val="075F72C5"/>
    <w:rsid w:val="07612C2A"/>
    <w:rsid w:val="07671619"/>
    <w:rsid w:val="077F21F2"/>
    <w:rsid w:val="077F773F"/>
    <w:rsid w:val="07880D92"/>
    <w:rsid w:val="07AA14BB"/>
    <w:rsid w:val="07B863A4"/>
    <w:rsid w:val="07BD5605"/>
    <w:rsid w:val="07DB3FE9"/>
    <w:rsid w:val="07E66BAF"/>
    <w:rsid w:val="07F41FC9"/>
    <w:rsid w:val="07F71C96"/>
    <w:rsid w:val="080D0FCE"/>
    <w:rsid w:val="08103B31"/>
    <w:rsid w:val="08164B29"/>
    <w:rsid w:val="08172B86"/>
    <w:rsid w:val="08352CF5"/>
    <w:rsid w:val="08480BA0"/>
    <w:rsid w:val="084942C4"/>
    <w:rsid w:val="085044B5"/>
    <w:rsid w:val="085B7D92"/>
    <w:rsid w:val="085D729A"/>
    <w:rsid w:val="085E311D"/>
    <w:rsid w:val="085F41E7"/>
    <w:rsid w:val="08645CA2"/>
    <w:rsid w:val="08772639"/>
    <w:rsid w:val="08782428"/>
    <w:rsid w:val="088465AE"/>
    <w:rsid w:val="08A536A2"/>
    <w:rsid w:val="08A62B0C"/>
    <w:rsid w:val="08AC4182"/>
    <w:rsid w:val="08B13C8B"/>
    <w:rsid w:val="08B52534"/>
    <w:rsid w:val="08BE6542"/>
    <w:rsid w:val="08BF5E85"/>
    <w:rsid w:val="08C0550B"/>
    <w:rsid w:val="08CD5FAC"/>
    <w:rsid w:val="08D5349F"/>
    <w:rsid w:val="08E663E0"/>
    <w:rsid w:val="08F25909"/>
    <w:rsid w:val="090677E4"/>
    <w:rsid w:val="090D0886"/>
    <w:rsid w:val="090F56CC"/>
    <w:rsid w:val="09115EBF"/>
    <w:rsid w:val="09273848"/>
    <w:rsid w:val="09294965"/>
    <w:rsid w:val="09304FAA"/>
    <w:rsid w:val="0973577B"/>
    <w:rsid w:val="09755361"/>
    <w:rsid w:val="097F708F"/>
    <w:rsid w:val="099A631D"/>
    <w:rsid w:val="099A6B36"/>
    <w:rsid w:val="099D723C"/>
    <w:rsid w:val="09A2265A"/>
    <w:rsid w:val="09C52B06"/>
    <w:rsid w:val="09CD5335"/>
    <w:rsid w:val="09CD55A0"/>
    <w:rsid w:val="09CE0CDC"/>
    <w:rsid w:val="09D176A0"/>
    <w:rsid w:val="09D203AF"/>
    <w:rsid w:val="09E6022E"/>
    <w:rsid w:val="09E729EC"/>
    <w:rsid w:val="09F2219C"/>
    <w:rsid w:val="09F948E9"/>
    <w:rsid w:val="09FA1D41"/>
    <w:rsid w:val="09FE1F9C"/>
    <w:rsid w:val="0A4A6EAF"/>
    <w:rsid w:val="0A4C0F8F"/>
    <w:rsid w:val="0A4E3476"/>
    <w:rsid w:val="0A544126"/>
    <w:rsid w:val="0A6B50BE"/>
    <w:rsid w:val="0A772C00"/>
    <w:rsid w:val="0A7D34B5"/>
    <w:rsid w:val="0A926DCA"/>
    <w:rsid w:val="0AA55754"/>
    <w:rsid w:val="0AA56711"/>
    <w:rsid w:val="0AAF451C"/>
    <w:rsid w:val="0AAF76A1"/>
    <w:rsid w:val="0AC36050"/>
    <w:rsid w:val="0ACF5621"/>
    <w:rsid w:val="0AE35771"/>
    <w:rsid w:val="0AE738B8"/>
    <w:rsid w:val="0AEC6BB1"/>
    <w:rsid w:val="0AF52362"/>
    <w:rsid w:val="0AF67A36"/>
    <w:rsid w:val="0B0554E4"/>
    <w:rsid w:val="0B09449C"/>
    <w:rsid w:val="0B0E24E2"/>
    <w:rsid w:val="0B1F3325"/>
    <w:rsid w:val="0B22656E"/>
    <w:rsid w:val="0B326B04"/>
    <w:rsid w:val="0B37442F"/>
    <w:rsid w:val="0B3A3F88"/>
    <w:rsid w:val="0B3C4373"/>
    <w:rsid w:val="0B3F3064"/>
    <w:rsid w:val="0B49098D"/>
    <w:rsid w:val="0B4C0AFC"/>
    <w:rsid w:val="0B58424A"/>
    <w:rsid w:val="0B703F6E"/>
    <w:rsid w:val="0B754425"/>
    <w:rsid w:val="0B85530C"/>
    <w:rsid w:val="0B89515B"/>
    <w:rsid w:val="0B8F578B"/>
    <w:rsid w:val="0B916414"/>
    <w:rsid w:val="0B981928"/>
    <w:rsid w:val="0B9A74E0"/>
    <w:rsid w:val="0BAA2C10"/>
    <w:rsid w:val="0BCD449B"/>
    <w:rsid w:val="0BE15321"/>
    <w:rsid w:val="0BFD57CA"/>
    <w:rsid w:val="0C036ABF"/>
    <w:rsid w:val="0C0F1085"/>
    <w:rsid w:val="0C19403F"/>
    <w:rsid w:val="0C226FB7"/>
    <w:rsid w:val="0C243D5F"/>
    <w:rsid w:val="0C262763"/>
    <w:rsid w:val="0C3D0E61"/>
    <w:rsid w:val="0C556FE0"/>
    <w:rsid w:val="0C605926"/>
    <w:rsid w:val="0C667EE1"/>
    <w:rsid w:val="0C936F33"/>
    <w:rsid w:val="0C9A5332"/>
    <w:rsid w:val="0C9B1348"/>
    <w:rsid w:val="0C9F3AAA"/>
    <w:rsid w:val="0CB8432F"/>
    <w:rsid w:val="0CB86BF9"/>
    <w:rsid w:val="0CBD30C0"/>
    <w:rsid w:val="0CBE4718"/>
    <w:rsid w:val="0CBF5962"/>
    <w:rsid w:val="0CC154D4"/>
    <w:rsid w:val="0CDA5183"/>
    <w:rsid w:val="0CED734F"/>
    <w:rsid w:val="0CF514A4"/>
    <w:rsid w:val="0CF664C2"/>
    <w:rsid w:val="0CFE3F9D"/>
    <w:rsid w:val="0CFF4A30"/>
    <w:rsid w:val="0D04166C"/>
    <w:rsid w:val="0D0A5405"/>
    <w:rsid w:val="0D0B3406"/>
    <w:rsid w:val="0D1800F1"/>
    <w:rsid w:val="0D1850CB"/>
    <w:rsid w:val="0D351199"/>
    <w:rsid w:val="0D3D0B2F"/>
    <w:rsid w:val="0D4753EC"/>
    <w:rsid w:val="0D51737D"/>
    <w:rsid w:val="0D7762F7"/>
    <w:rsid w:val="0D856CF9"/>
    <w:rsid w:val="0D8917BD"/>
    <w:rsid w:val="0D892EDB"/>
    <w:rsid w:val="0D956F5E"/>
    <w:rsid w:val="0DB173F8"/>
    <w:rsid w:val="0DD009AF"/>
    <w:rsid w:val="0DD048C9"/>
    <w:rsid w:val="0DD10A36"/>
    <w:rsid w:val="0DD71BE9"/>
    <w:rsid w:val="0DDA54A9"/>
    <w:rsid w:val="0DE01BEB"/>
    <w:rsid w:val="0DE86463"/>
    <w:rsid w:val="0DF419D2"/>
    <w:rsid w:val="0DF60B0C"/>
    <w:rsid w:val="0DFA7A51"/>
    <w:rsid w:val="0E0A3C29"/>
    <w:rsid w:val="0E0F52F5"/>
    <w:rsid w:val="0E1B0896"/>
    <w:rsid w:val="0E230D23"/>
    <w:rsid w:val="0E254250"/>
    <w:rsid w:val="0E404EE0"/>
    <w:rsid w:val="0E4723E1"/>
    <w:rsid w:val="0E586123"/>
    <w:rsid w:val="0E605C15"/>
    <w:rsid w:val="0E682BD2"/>
    <w:rsid w:val="0E7578AD"/>
    <w:rsid w:val="0E7604F3"/>
    <w:rsid w:val="0E854374"/>
    <w:rsid w:val="0E870159"/>
    <w:rsid w:val="0E970BC9"/>
    <w:rsid w:val="0E9A43A1"/>
    <w:rsid w:val="0E9E38A2"/>
    <w:rsid w:val="0EB51DB2"/>
    <w:rsid w:val="0EB96325"/>
    <w:rsid w:val="0EBB70C4"/>
    <w:rsid w:val="0EC17328"/>
    <w:rsid w:val="0EE0544F"/>
    <w:rsid w:val="0EF91AAA"/>
    <w:rsid w:val="0F0041DF"/>
    <w:rsid w:val="0F13565E"/>
    <w:rsid w:val="0F155ADF"/>
    <w:rsid w:val="0F203E31"/>
    <w:rsid w:val="0F372EFF"/>
    <w:rsid w:val="0F4548E8"/>
    <w:rsid w:val="0F56313A"/>
    <w:rsid w:val="0F695347"/>
    <w:rsid w:val="0F7935CA"/>
    <w:rsid w:val="0F81463C"/>
    <w:rsid w:val="0F901EF7"/>
    <w:rsid w:val="0F966961"/>
    <w:rsid w:val="0FAA24C9"/>
    <w:rsid w:val="0FAE608A"/>
    <w:rsid w:val="0FBD29FA"/>
    <w:rsid w:val="0FBF6731"/>
    <w:rsid w:val="0FD33C2A"/>
    <w:rsid w:val="0FD60B62"/>
    <w:rsid w:val="0FE80EEC"/>
    <w:rsid w:val="0FFE5F72"/>
    <w:rsid w:val="10012AFD"/>
    <w:rsid w:val="100331F8"/>
    <w:rsid w:val="1006587F"/>
    <w:rsid w:val="100E0CA0"/>
    <w:rsid w:val="100E1873"/>
    <w:rsid w:val="101A53FD"/>
    <w:rsid w:val="102B2D45"/>
    <w:rsid w:val="10332263"/>
    <w:rsid w:val="1039780C"/>
    <w:rsid w:val="103D132E"/>
    <w:rsid w:val="10660F5F"/>
    <w:rsid w:val="106B0219"/>
    <w:rsid w:val="10897DA7"/>
    <w:rsid w:val="10964D46"/>
    <w:rsid w:val="10967FF6"/>
    <w:rsid w:val="10B46258"/>
    <w:rsid w:val="10B830CC"/>
    <w:rsid w:val="10CF5736"/>
    <w:rsid w:val="10DB4DBC"/>
    <w:rsid w:val="10E37AA4"/>
    <w:rsid w:val="10E478F8"/>
    <w:rsid w:val="10EE2681"/>
    <w:rsid w:val="10F12154"/>
    <w:rsid w:val="10FF2FB7"/>
    <w:rsid w:val="1104727F"/>
    <w:rsid w:val="11086DA6"/>
    <w:rsid w:val="110E2C20"/>
    <w:rsid w:val="11137A76"/>
    <w:rsid w:val="112540BD"/>
    <w:rsid w:val="11307B37"/>
    <w:rsid w:val="1135095D"/>
    <w:rsid w:val="114E0140"/>
    <w:rsid w:val="115B4997"/>
    <w:rsid w:val="115D4CF9"/>
    <w:rsid w:val="11656EA8"/>
    <w:rsid w:val="11680FC0"/>
    <w:rsid w:val="11762689"/>
    <w:rsid w:val="11830317"/>
    <w:rsid w:val="118F74BF"/>
    <w:rsid w:val="11B2346C"/>
    <w:rsid w:val="11BD2C81"/>
    <w:rsid w:val="11D31F78"/>
    <w:rsid w:val="11D778C3"/>
    <w:rsid w:val="11EA4A23"/>
    <w:rsid w:val="11F94B6B"/>
    <w:rsid w:val="11FA259F"/>
    <w:rsid w:val="12005974"/>
    <w:rsid w:val="120D414E"/>
    <w:rsid w:val="12156031"/>
    <w:rsid w:val="122348C9"/>
    <w:rsid w:val="1224672E"/>
    <w:rsid w:val="1229001F"/>
    <w:rsid w:val="12397425"/>
    <w:rsid w:val="123B21A3"/>
    <w:rsid w:val="124473D0"/>
    <w:rsid w:val="124B736C"/>
    <w:rsid w:val="12584576"/>
    <w:rsid w:val="125A6BF4"/>
    <w:rsid w:val="126208E0"/>
    <w:rsid w:val="12742D20"/>
    <w:rsid w:val="127500A3"/>
    <w:rsid w:val="12876E19"/>
    <w:rsid w:val="12882A1E"/>
    <w:rsid w:val="128A506D"/>
    <w:rsid w:val="12945774"/>
    <w:rsid w:val="12BD65FB"/>
    <w:rsid w:val="12C00264"/>
    <w:rsid w:val="12CC707F"/>
    <w:rsid w:val="12D06DD8"/>
    <w:rsid w:val="12DB61D9"/>
    <w:rsid w:val="12DD6B0F"/>
    <w:rsid w:val="12DF3880"/>
    <w:rsid w:val="12E44C53"/>
    <w:rsid w:val="12E806A4"/>
    <w:rsid w:val="12EA2980"/>
    <w:rsid w:val="12F57CF2"/>
    <w:rsid w:val="12FA4259"/>
    <w:rsid w:val="13023C27"/>
    <w:rsid w:val="1309727C"/>
    <w:rsid w:val="130A37E6"/>
    <w:rsid w:val="130B7D87"/>
    <w:rsid w:val="131119A8"/>
    <w:rsid w:val="13184E3F"/>
    <w:rsid w:val="131E2378"/>
    <w:rsid w:val="136D3BB7"/>
    <w:rsid w:val="1382293A"/>
    <w:rsid w:val="139E775A"/>
    <w:rsid w:val="13A56471"/>
    <w:rsid w:val="13B55AC4"/>
    <w:rsid w:val="13B82C9D"/>
    <w:rsid w:val="13BA7B63"/>
    <w:rsid w:val="13BF2DE8"/>
    <w:rsid w:val="13C934A4"/>
    <w:rsid w:val="13CB68D8"/>
    <w:rsid w:val="13CF46F0"/>
    <w:rsid w:val="13DC5BB8"/>
    <w:rsid w:val="13E8297C"/>
    <w:rsid w:val="13F91304"/>
    <w:rsid w:val="140E2F18"/>
    <w:rsid w:val="1411735E"/>
    <w:rsid w:val="142578FE"/>
    <w:rsid w:val="1438213E"/>
    <w:rsid w:val="14383441"/>
    <w:rsid w:val="143C09AA"/>
    <w:rsid w:val="1440059B"/>
    <w:rsid w:val="14411497"/>
    <w:rsid w:val="146A7C13"/>
    <w:rsid w:val="14721670"/>
    <w:rsid w:val="14755BA6"/>
    <w:rsid w:val="14804855"/>
    <w:rsid w:val="14817B9F"/>
    <w:rsid w:val="14844AD6"/>
    <w:rsid w:val="148864DE"/>
    <w:rsid w:val="148C01CF"/>
    <w:rsid w:val="14963E1D"/>
    <w:rsid w:val="14A24CEF"/>
    <w:rsid w:val="14B31A79"/>
    <w:rsid w:val="14B34649"/>
    <w:rsid w:val="14B77F9F"/>
    <w:rsid w:val="14CD025E"/>
    <w:rsid w:val="14CD4B36"/>
    <w:rsid w:val="14E46F81"/>
    <w:rsid w:val="14E83C52"/>
    <w:rsid w:val="15056CAE"/>
    <w:rsid w:val="150A7670"/>
    <w:rsid w:val="151447EE"/>
    <w:rsid w:val="152F5BD5"/>
    <w:rsid w:val="15413A61"/>
    <w:rsid w:val="154D199A"/>
    <w:rsid w:val="15527F85"/>
    <w:rsid w:val="155736A9"/>
    <w:rsid w:val="1562190F"/>
    <w:rsid w:val="156E6667"/>
    <w:rsid w:val="15740523"/>
    <w:rsid w:val="15741B6F"/>
    <w:rsid w:val="15776FD1"/>
    <w:rsid w:val="15846FF6"/>
    <w:rsid w:val="158C2C80"/>
    <w:rsid w:val="158D4E40"/>
    <w:rsid w:val="15940302"/>
    <w:rsid w:val="159554CC"/>
    <w:rsid w:val="15971E31"/>
    <w:rsid w:val="15AE2C04"/>
    <w:rsid w:val="15B23837"/>
    <w:rsid w:val="15B93E11"/>
    <w:rsid w:val="15C41FA7"/>
    <w:rsid w:val="15CB289F"/>
    <w:rsid w:val="15CB4235"/>
    <w:rsid w:val="15D60D5E"/>
    <w:rsid w:val="15E601FD"/>
    <w:rsid w:val="15EC0FE0"/>
    <w:rsid w:val="15F206C8"/>
    <w:rsid w:val="15FE383E"/>
    <w:rsid w:val="160D085B"/>
    <w:rsid w:val="161B34D0"/>
    <w:rsid w:val="161D5470"/>
    <w:rsid w:val="161E4941"/>
    <w:rsid w:val="162072E5"/>
    <w:rsid w:val="16292FEF"/>
    <w:rsid w:val="162D2E1F"/>
    <w:rsid w:val="162F1895"/>
    <w:rsid w:val="16302456"/>
    <w:rsid w:val="16330C14"/>
    <w:rsid w:val="163A71DA"/>
    <w:rsid w:val="16543FCA"/>
    <w:rsid w:val="166073AD"/>
    <w:rsid w:val="16727B7C"/>
    <w:rsid w:val="167D7186"/>
    <w:rsid w:val="16847C05"/>
    <w:rsid w:val="169647EC"/>
    <w:rsid w:val="169948C6"/>
    <w:rsid w:val="169D6A63"/>
    <w:rsid w:val="16A4342A"/>
    <w:rsid w:val="16A80456"/>
    <w:rsid w:val="16AB307E"/>
    <w:rsid w:val="16AC2336"/>
    <w:rsid w:val="16AC7AE0"/>
    <w:rsid w:val="16C33617"/>
    <w:rsid w:val="16CB5DE9"/>
    <w:rsid w:val="16DB6E8A"/>
    <w:rsid w:val="16E1660B"/>
    <w:rsid w:val="16F02065"/>
    <w:rsid w:val="16F07B27"/>
    <w:rsid w:val="17032C67"/>
    <w:rsid w:val="1718217F"/>
    <w:rsid w:val="17275F9D"/>
    <w:rsid w:val="172813C3"/>
    <w:rsid w:val="172926AA"/>
    <w:rsid w:val="17356180"/>
    <w:rsid w:val="17415D92"/>
    <w:rsid w:val="174D6B71"/>
    <w:rsid w:val="1766475C"/>
    <w:rsid w:val="176776E9"/>
    <w:rsid w:val="178070FD"/>
    <w:rsid w:val="178346CA"/>
    <w:rsid w:val="178E5893"/>
    <w:rsid w:val="17A0001E"/>
    <w:rsid w:val="17A45C76"/>
    <w:rsid w:val="17A47A20"/>
    <w:rsid w:val="17C004D1"/>
    <w:rsid w:val="17C46F7C"/>
    <w:rsid w:val="17C92388"/>
    <w:rsid w:val="17D1774F"/>
    <w:rsid w:val="17E142FC"/>
    <w:rsid w:val="17E3563D"/>
    <w:rsid w:val="17EE3A7B"/>
    <w:rsid w:val="17EF3C8C"/>
    <w:rsid w:val="181339E4"/>
    <w:rsid w:val="18150771"/>
    <w:rsid w:val="18155F70"/>
    <w:rsid w:val="18157E9B"/>
    <w:rsid w:val="181C650E"/>
    <w:rsid w:val="181D4710"/>
    <w:rsid w:val="181E5476"/>
    <w:rsid w:val="182236D1"/>
    <w:rsid w:val="183150B6"/>
    <w:rsid w:val="184E4F83"/>
    <w:rsid w:val="18531273"/>
    <w:rsid w:val="1860255E"/>
    <w:rsid w:val="18742DB0"/>
    <w:rsid w:val="18A163C4"/>
    <w:rsid w:val="18C87DE7"/>
    <w:rsid w:val="18C9062F"/>
    <w:rsid w:val="18D33FE5"/>
    <w:rsid w:val="18DB217D"/>
    <w:rsid w:val="18E5080F"/>
    <w:rsid w:val="18F96E43"/>
    <w:rsid w:val="191C22CB"/>
    <w:rsid w:val="191E1465"/>
    <w:rsid w:val="1921495B"/>
    <w:rsid w:val="192D2209"/>
    <w:rsid w:val="19352974"/>
    <w:rsid w:val="19421CE8"/>
    <w:rsid w:val="194C2D53"/>
    <w:rsid w:val="195405C1"/>
    <w:rsid w:val="196318CF"/>
    <w:rsid w:val="19706939"/>
    <w:rsid w:val="19865830"/>
    <w:rsid w:val="19A04C3F"/>
    <w:rsid w:val="19A61189"/>
    <w:rsid w:val="19BB1A52"/>
    <w:rsid w:val="19BD23EB"/>
    <w:rsid w:val="19C57FA2"/>
    <w:rsid w:val="19D23524"/>
    <w:rsid w:val="19D716BC"/>
    <w:rsid w:val="19E80F3C"/>
    <w:rsid w:val="19EB593C"/>
    <w:rsid w:val="19F20168"/>
    <w:rsid w:val="19FC2862"/>
    <w:rsid w:val="19FE3B50"/>
    <w:rsid w:val="1A0E12D6"/>
    <w:rsid w:val="1A103CE4"/>
    <w:rsid w:val="1A1456DB"/>
    <w:rsid w:val="1A176EF9"/>
    <w:rsid w:val="1A1F09C5"/>
    <w:rsid w:val="1A297FFC"/>
    <w:rsid w:val="1A402272"/>
    <w:rsid w:val="1A7F0990"/>
    <w:rsid w:val="1A8B3CEC"/>
    <w:rsid w:val="1A930709"/>
    <w:rsid w:val="1A9A0D30"/>
    <w:rsid w:val="1AAA1228"/>
    <w:rsid w:val="1AAE5CFD"/>
    <w:rsid w:val="1AC36123"/>
    <w:rsid w:val="1AD50FFA"/>
    <w:rsid w:val="1AD6523F"/>
    <w:rsid w:val="1AD96CFD"/>
    <w:rsid w:val="1ADB2791"/>
    <w:rsid w:val="1AEB00E6"/>
    <w:rsid w:val="1AEB7512"/>
    <w:rsid w:val="1AEC2756"/>
    <w:rsid w:val="1AFC7398"/>
    <w:rsid w:val="1B056E0B"/>
    <w:rsid w:val="1B083691"/>
    <w:rsid w:val="1B0C3124"/>
    <w:rsid w:val="1B117719"/>
    <w:rsid w:val="1B137EF1"/>
    <w:rsid w:val="1B1A25F2"/>
    <w:rsid w:val="1B4E2235"/>
    <w:rsid w:val="1B5C6854"/>
    <w:rsid w:val="1B6442B5"/>
    <w:rsid w:val="1B6666DD"/>
    <w:rsid w:val="1B734FE9"/>
    <w:rsid w:val="1B7B2154"/>
    <w:rsid w:val="1B815E0A"/>
    <w:rsid w:val="1B89786F"/>
    <w:rsid w:val="1BA04C89"/>
    <w:rsid w:val="1BA073FA"/>
    <w:rsid w:val="1BA44B08"/>
    <w:rsid w:val="1BAD69CB"/>
    <w:rsid w:val="1BAF27D5"/>
    <w:rsid w:val="1BB03D43"/>
    <w:rsid w:val="1BBC04A4"/>
    <w:rsid w:val="1BD66D6A"/>
    <w:rsid w:val="1BD81A4F"/>
    <w:rsid w:val="1BE33D40"/>
    <w:rsid w:val="1BEB5B1D"/>
    <w:rsid w:val="1BF55DD0"/>
    <w:rsid w:val="1BFB1EDC"/>
    <w:rsid w:val="1BFC5AEE"/>
    <w:rsid w:val="1BFD3EBA"/>
    <w:rsid w:val="1C1757AE"/>
    <w:rsid w:val="1C287FEC"/>
    <w:rsid w:val="1C336618"/>
    <w:rsid w:val="1C453D0F"/>
    <w:rsid w:val="1C47336F"/>
    <w:rsid w:val="1C4A4239"/>
    <w:rsid w:val="1C4A7CD9"/>
    <w:rsid w:val="1C4D39FA"/>
    <w:rsid w:val="1C546EB6"/>
    <w:rsid w:val="1C5B47F3"/>
    <w:rsid w:val="1C630B0C"/>
    <w:rsid w:val="1C7A15D2"/>
    <w:rsid w:val="1C880674"/>
    <w:rsid w:val="1C8A6681"/>
    <w:rsid w:val="1C8E01EA"/>
    <w:rsid w:val="1CA131EB"/>
    <w:rsid w:val="1CAE3F11"/>
    <w:rsid w:val="1CB01F9F"/>
    <w:rsid w:val="1CBC236F"/>
    <w:rsid w:val="1CBE45B6"/>
    <w:rsid w:val="1CC0645C"/>
    <w:rsid w:val="1CC533F6"/>
    <w:rsid w:val="1CD232F0"/>
    <w:rsid w:val="1CFA0F48"/>
    <w:rsid w:val="1CFA4308"/>
    <w:rsid w:val="1D047349"/>
    <w:rsid w:val="1D0A3F28"/>
    <w:rsid w:val="1D135975"/>
    <w:rsid w:val="1D196EE0"/>
    <w:rsid w:val="1D5C2120"/>
    <w:rsid w:val="1D7155D9"/>
    <w:rsid w:val="1D7215D7"/>
    <w:rsid w:val="1D7A6239"/>
    <w:rsid w:val="1D7C077C"/>
    <w:rsid w:val="1D7C09D7"/>
    <w:rsid w:val="1DB779F3"/>
    <w:rsid w:val="1DD91F79"/>
    <w:rsid w:val="1DDE0422"/>
    <w:rsid w:val="1DE123A9"/>
    <w:rsid w:val="1DE13B0A"/>
    <w:rsid w:val="1DE644FA"/>
    <w:rsid w:val="1DED29DB"/>
    <w:rsid w:val="1DF97481"/>
    <w:rsid w:val="1DFA5540"/>
    <w:rsid w:val="1E066F8F"/>
    <w:rsid w:val="1E0859AB"/>
    <w:rsid w:val="1E0C4E89"/>
    <w:rsid w:val="1E1C256D"/>
    <w:rsid w:val="1E1E4331"/>
    <w:rsid w:val="1E242B02"/>
    <w:rsid w:val="1E275E84"/>
    <w:rsid w:val="1E2E7842"/>
    <w:rsid w:val="1E33647B"/>
    <w:rsid w:val="1E8F312B"/>
    <w:rsid w:val="1E92038B"/>
    <w:rsid w:val="1E94684C"/>
    <w:rsid w:val="1EA563AC"/>
    <w:rsid w:val="1EB85A5C"/>
    <w:rsid w:val="1EC3214D"/>
    <w:rsid w:val="1EC83061"/>
    <w:rsid w:val="1ECE22A0"/>
    <w:rsid w:val="1EF17E6F"/>
    <w:rsid w:val="1EF25CE2"/>
    <w:rsid w:val="1EFF5E55"/>
    <w:rsid w:val="1F1365CD"/>
    <w:rsid w:val="1F241A44"/>
    <w:rsid w:val="1F280B2F"/>
    <w:rsid w:val="1F285E5B"/>
    <w:rsid w:val="1F4728CC"/>
    <w:rsid w:val="1F533349"/>
    <w:rsid w:val="1F580291"/>
    <w:rsid w:val="1F5A0553"/>
    <w:rsid w:val="1F646EAB"/>
    <w:rsid w:val="1F7613F2"/>
    <w:rsid w:val="1F78217C"/>
    <w:rsid w:val="1F7B43D6"/>
    <w:rsid w:val="1F831A75"/>
    <w:rsid w:val="1F9729B9"/>
    <w:rsid w:val="1F9C4949"/>
    <w:rsid w:val="1F9D713F"/>
    <w:rsid w:val="1FB15504"/>
    <w:rsid w:val="1FB725B9"/>
    <w:rsid w:val="1FBC3618"/>
    <w:rsid w:val="1FDD2C04"/>
    <w:rsid w:val="1FEC17D3"/>
    <w:rsid w:val="1FF169C6"/>
    <w:rsid w:val="1FF43D8D"/>
    <w:rsid w:val="1FF47C3E"/>
    <w:rsid w:val="1FFE3A86"/>
    <w:rsid w:val="200A3C6B"/>
    <w:rsid w:val="2014791B"/>
    <w:rsid w:val="2017722E"/>
    <w:rsid w:val="2020147D"/>
    <w:rsid w:val="203B11FD"/>
    <w:rsid w:val="2046789D"/>
    <w:rsid w:val="20550C07"/>
    <w:rsid w:val="205768F6"/>
    <w:rsid w:val="206144C1"/>
    <w:rsid w:val="20615B4D"/>
    <w:rsid w:val="20767A2B"/>
    <w:rsid w:val="20927C7D"/>
    <w:rsid w:val="20A102AB"/>
    <w:rsid w:val="20A70704"/>
    <w:rsid w:val="20AC1F59"/>
    <w:rsid w:val="20B20273"/>
    <w:rsid w:val="20C341F3"/>
    <w:rsid w:val="20C41BA4"/>
    <w:rsid w:val="20CA47D5"/>
    <w:rsid w:val="20CB551C"/>
    <w:rsid w:val="20D906B3"/>
    <w:rsid w:val="20EB4BEE"/>
    <w:rsid w:val="20F87D04"/>
    <w:rsid w:val="20FD757A"/>
    <w:rsid w:val="212029D3"/>
    <w:rsid w:val="212D42FB"/>
    <w:rsid w:val="212F71F4"/>
    <w:rsid w:val="21305A7E"/>
    <w:rsid w:val="21336BDC"/>
    <w:rsid w:val="213B7E89"/>
    <w:rsid w:val="214F3516"/>
    <w:rsid w:val="215400A8"/>
    <w:rsid w:val="217E1BC2"/>
    <w:rsid w:val="21855441"/>
    <w:rsid w:val="21923FE3"/>
    <w:rsid w:val="219D0840"/>
    <w:rsid w:val="21A51657"/>
    <w:rsid w:val="21A5330D"/>
    <w:rsid w:val="21A66EA4"/>
    <w:rsid w:val="21AA15E0"/>
    <w:rsid w:val="21BA00EA"/>
    <w:rsid w:val="21C46EE0"/>
    <w:rsid w:val="21E4265A"/>
    <w:rsid w:val="21E6262F"/>
    <w:rsid w:val="21E670B2"/>
    <w:rsid w:val="21FA75BE"/>
    <w:rsid w:val="22082D8E"/>
    <w:rsid w:val="220E78F4"/>
    <w:rsid w:val="22141606"/>
    <w:rsid w:val="2215743D"/>
    <w:rsid w:val="2218125B"/>
    <w:rsid w:val="22191992"/>
    <w:rsid w:val="221F1A14"/>
    <w:rsid w:val="22201B9D"/>
    <w:rsid w:val="22215CCB"/>
    <w:rsid w:val="22246041"/>
    <w:rsid w:val="222819B0"/>
    <w:rsid w:val="22306992"/>
    <w:rsid w:val="22444D3F"/>
    <w:rsid w:val="225A6178"/>
    <w:rsid w:val="226C110E"/>
    <w:rsid w:val="226C7EAD"/>
    <w:rsid w:val="227B1788"/>
    <w:rsid w:val="228465E1"/>
    <w:rsid w:val="2287276E"/>
    <w:rsid w:val="22972B19"/>
    <w:rsid w:val="22A76B8B"/>
    <w:rsid w:val="22AF4C4B"/>
    <w:rsid w:val="22B1580D"/>
    <w:rsid w:val="22B42CE8"/>
    <w:rsid w:val="22B91715"/>
    <w:rsid w:val="22BB46D0"/>
    <w:rsid w:val="22BF7A5A"/>
    <w:rsid w:val="22CD7B1E"/>
    <w:rsid w:val="22CF280F"/>
    <w:rsid w:val="22D71CCE"/>
    <w:rsid w:val="22DC6E5F"/>
    <w:rsid w:val="230E0541"/>
    <w:rsid w:val="230E09B9"/>
    <w:rsid w:val="230F695C"/>
    <w:rsid w:val="2318273C"/>
    <w:rsid w:val="231B7A50"/>
    <w:rsid w:val="231E5487"/>
    <w:rsid w:val="23304EC9"/>
    <w:rsid w:val="23354C4F"/>
    <w:rsid w:val="23390B7D"/>
    <w:rsid w:val="233F3B2E"/>
    <w:rsid w:val="235A2EF8"/>
    <w:rsid w:val="2371557B"/>
    <w:rsid w:val="2373169E"/>
    <w:rsid w:val="2393656B"/>
    <w:rsid w:val="23A66D9E"/>
    <w:rsid w:val="23B42A97"/>
    <w:rsid w:val="23BA7BEB"/>
    <w:rsid w:val="23BF22FE"/>
    <w:rsid w:val="23C82BE0"/>
    <w:rsid w:val="23D6701B"/>
    <w:rsid w:val="23E563DB"/>
    <w:rsid w:val="23F44EDC"/>
    <w:rsid w:val="240C2FCC"/>
    <w:rsid w:val="240D23C8"/>
    <w:rsid w:val="240F61AE"/>
    <w:rsid w:val="241C5E2C"/>
    <w:rsid w:val="2430214F"/>
    <w:rsid w:val="2432053D"/>
    <w:rsid w:val="24423971"/>
    <w:rsid w:val="24446010"/>
    <w:rsid w:val="245D2C3A"/>
    <w:rsid w:val="24623233"/>
    <w:rsid w:val="246A5362"/>
    <w:rsid w:val="247709EA"/>
    <w:rsid w:val="24805EC6"/>
    <w:rsid w:val="248A5E27"/>
    <w:rsid w:val="249B24AC"/>
    <w:rsid w:val="24A4176A"/>
    <w:rsid w:val="24BD0B3D"/>
    <w:rsid w:val="24C13EA2"/>
    <w:rsid w:val="24C3428E"/>
    <w:rsid w:val="24C83871"/>
    <w:rsid w:val="24CF5802"/>
    <w:rsid w:val="24D226AD"/>
    <w:rsid w:val="24DE13DE"/>
    <w:rsid w:val="24E3027B"/>
    <w:rsid w:val="24E83293"/>
    <w:rsid w:val="24EA3CF3"/>
    <w:rsid w:val="24F043E3"/>
    <w:rsid w:val="25070B7E"/>
    <w:rsid w:val="25091FEC"/>
    <w:rsid w:val="251B5204"/>
    <w:rsid w:val="251E51DC"/>
    <w:rsid w:val="25293DCF"/>
    <w:rsid w:val="252A5803"/>
    <w:rsid w:val="25316209"/>
    <w:rsid w:val="25353F06"/>
    <w:rsid w:val="2535636D"/>
    <w:rsid w:val="2536079B"/>
    <w:rsid w:val="253E6AD7"/>
    <w:rsid w:val="2542387F"/>
    <w:rsid w:val="254F76BC"/>
    <w:rsid w:val="25527C11"/>
    <w:rsid w:val="25667FAB"/>
    <w:rsid w:val="25840572"/>
    <w:rsid w:val="25897363"/>
    <w:rsid w:val="25954FC4"/>
    <w:rsid w:val="25A01A17"/>
    <w:rsid w:val="25A140C4"/>
    <w:rsid w:val="25A7468E"/>
    <w:rsid w:val="25B61F3B"/>
    <w:rsid w:val="25B72C56"/>
    <w:rsid w:val="25CD09AA"/>
    <w:rsid w:val="25DE60CD"/>
    <w:rsid w:val="25E248B8"/>
    <w:rsid w:val="25EE545D"/>
    <w:rsid w:val="25FE2914"/>
    <w:rsid w:val="26056F6F"/>
    <w:rsid w:val="2607528A"/>
    <w:rsid w:val="26085B13"/>
    <w:rsid w:val="260E0770"/>
    <w:rsid w:val="26236893"/>
    <w:rsid w:val="26596753"/>
    <w:rsid w:val="26674600"/>
    <w:rsid w:val="26760048"/>
    <w:rsid w:val="2676586C"/>
    <w:rsid w:val="2680308F"/>
    <w:rsid w:val="26861182"/>
    <w:rsid w:val="268F59E4"/>
    <w:rsid w:val="26991969"/>
    <w:rsid w:val="26A10819"/>
    <w:rsid w:val="26AF5F40"/>
    <w:rsid w:val="26B42824"/>
    <w:rsid w:val="26BD74F7"/>
    <w:rsid w:val="26C97DB5"/>
    <w:rsid w:val="26D815D8"/>
    <w:rsid w:val="26DB7A94"/>
    <w:rsid w:val="26DC4206"/>
    <w:rsid w:val="26DE4AF7"/>
    <w:rsid w:val="26E255E4"/>
    <w:rsid w:val="26F106F2"/>
    <w:rsid w:val="26F97165"/>
    <w:rsid w:val="27122310"/>
    <w:rsid w:val="2737031C"/>
    <w:rsid w:val="27444A9E"/>
    <w:rsid w:val="2748030C"/>
    <w:rsid w:val="275071E1"/>
    <w:rsid w:val="27575A4F"/>
    <w:rsid w:val="27580A6C"/>
    <w:rsid w:val="27746B6E"/>
    <w:rsid w:val="277D71B0"/>
    <w:rsid w:val="278757B3"/>
    <w:rsid w:val="278B71FF"/>
    <w:rsid w:val="279D6968"/>
    <w:rsid w:val="27A70263"/>
    <w:rsid w:val="27AD3943"/>
    <w:rsid w:val="27B52034"/>
    <w:rsid w:val="27BE66CB"/>
    <w:rsid w:val="27CF6170"/>
    <w:rsid w:val="27D54613"/>
    <w:rsid w:val="27DA799D"/>
    <w:rsid w:val="27DD7CFA"/>
    <w:rsid w:val="27E82A68"/>
    <w:rsid w:val="27EB75E2"/>
    <w:rsid w:val="28025474"/>
    <w:rsid w:val="280568E7"/>
    <w:rsid w:val="281474F1"/>
    <w:rsid w:val="28161711"/>
    <w:rsid w:val="282179AD"/>
    <w:rsid w:val="283F049A"/>
    <w:rsid w:val="284D6049"/>
    <w:rsid w:val="2873016B"/>
    <w:rsid w:val="287B2A62"/>
    <w:rsid w:val="288804D7"/>
    <w:rsid w:val="2889627A"/>
    <w:rsid w:val="288A4419"/>
    <w:rsid w:val="288A601B"/>
    <w:rsid w:val="288C138C"/>
    <w:rsid w:val="288F0D6A"/>
    <w:rsid w:val="28A001FD"/>
    <w:rsid w:val="28A17F47"/>
    <w:rsid w:val="28A347F1"/>
    <w:rsid w:val="28A971C1"/>
    <w:rsid w:val="28B63FEC"/>
    <w:rsid w:val="28D102A7"/>
    <w:rsid w:val="28D23865"/>
    <w:rsid w:val="28D80025"/>
    <w:rsid w:val="28DD3D2A"/>
    <w:rsid w:val="28E75BDC"/>
    <w:rsid w:val="28F61250"/>
    <w:rsid w:val="29267101"/>
    <w:rsid w:val="2927451B"/>
    <w:rsid w:val="295061C3"/>
    <w:rsid w:val="295F5D66"/>
    <w:rsid w:val="29610BF5"/>
    <w:rsid w:val="29676EB2"/>
    <w:rsid w:val="297C77EF"/>
    <w:rsid w:val="298A1451"/>
    <w:rsid w:val="29A167F6"/>
    <w:rsid w:val="29AC39BF"/>
    <w:rsid w:val="29C36A3D"/>
    <w:rsid w:val="29CB590E"/>
    <w:rsid w:val="29D0769E"/>
    <w:rsid w:val="29D81FF4"/>
    <w:rsid w:val="29E067D9"/>
    <w:rsid w:val="2A053032"/>
    <w:rsid w:val="2A0B1548"/>
    <w:rsid w:val="2A183942"/>
    <w:rsid w:val="2A226AFC"/>
    <w:rsid w:val="2A331ED6"/>
    <w:rsid w:val="2A3C44C8"/>
    <w:rsid w:val="2A4F27C9"/>
    <w:rsid w:val="2A5B7590"/>
    <w:rsid w:val="2A5F3635"/>
    <w:rsid w:val="2A645C0E"/>
    <w:rsid w:val="2A8F1883"/>
    <w:rsid w:val="2A9636A8"/>
    <w:rsid w:val="2A9E3B95"/>
    <w:rsid w:val="2AA17001"/>
    <w:rsid w:val="2AAF4687"/>
    <w:rsid w:val="2AB828DE"/>
    <w:rsid w:val="2AB85556"/>
    <w:rsid w:val="2AC11542"/>
    <w:rsid w:val="2AC31965"/>
    <w:rsid w:val="2AC36B80"/>
    <w:rsid w:val="2AD50709"/>
    <w:rsid w:val="2AD80B84"/>
    <w:rsid w:val="2ADA2C1A"/>
    <w:rsid w:val="2ADA40CB"/>
    <w:rsid w:val="2ADE2791"/>
    <w:rsid w:val="2AE077E1"/>
    <w:rsid w:val="2AE81523"/>
    <w:rsid w:val="2AFD5D59"/>
    <w:rsid w:val="2B0821B3"/>
    <w:rsid w:val="2B1C5C3D"/>
    <w:rsid w:val="2B404265"/>
    <w:rsid w:val="2B4D35A6"/>
    <w:rsid w:val="2B5C5E90"/>
    <w:rsid w:val="2B5F121E"/>
    <w:rsid w:val="2B710DDE"/>
    <w:rsid w:val="2B731971"/>
    <w:rsid w:val="2B7948F0"/>
    <w:rsid w:val="2B846A17"/>
    <w:rsid w:val="2B88123E"/>
    <w:rsid w:val="2B9013E6"/>
    <w:rsid w:val="2B933432"/>
    <w:rsid w:val="2BAD149E"/>
    <w:rsid w:val="2BB3702B"/>
    <w:rsid w:val="2BC705B9"/>
    <w:rsid w:val="2BCC3F31"/>
    <w:rsid w:val="2BE41F78"/>
    <w:rsid w:val="2BE62B05"/>
    <w:rsid w:val="2BE67F8C"/>
    <w:rsid w:val="2BE918AC"/>
    <w:rsid w:val="2BF55F44"/>
    <w:rsid w:val="2BFC5AF1"/>
    <w:rsid w:val="2C001A29"/>
    <w:rsid w:val="2C055CF6"/>
    <w:rsid w:val="2C0A3348"/>
    <w:rsid w:val="2C0B0A24"/>
    <w:rsid w:val="2C2254E4"/>
    <w:rsid w:val="2C2873B0"/>
    <w:rsid w:val="2C322004"/>
    <w:rsid w:val="2C391923"/>
    <w:rsid w:val="2C3B37D7"/>
    <w:rsid w:val="2C3E15F7"/>
    <w:rsid w:val="2C461BA9"/>
    <w:rsid w:val="2C50397B"/>
    <w:rsid w:val="2C586C53"/>
    <w:rsid w:val="2C5937E0"/>
    <w:rsid w:val="2C654441"/>
    <w:rsid w:val="2C6A001A"/>
    <w:rsid w:val="2C6C721E"/>
    <w:rsid w:val="2C913D12"/>
    <w:rsid w:val="2C9A08C9"/>
    <w:rsid w:val="2CA115FD"/>
    <w:rsid w:val="2CB01322"/>
    <w:rsid w:val="2CB537A1"/>
    <w:rsid w:val="2CC804D2"/>
    <w:rsid w:val="2CD87450"/>
    <w:rsid w:val="2CEA18CF"/>
    <w:rsid w:val="2D0F537E"/>
    <w:rsid w:val="2D134ACF"/>
    <w:rsid w:val="2D221A87"/>
    <w:rsid w:val="2D2B1DAD"/>
    <w:rsid w:val="2D2C6FF8"/>
    <w:rsid w:val="2D385A0F"/>
    <w:rsid w:val="2D3F03B1"/>
    <w:rsid w:val="2D46445A"/>
    <w:rsid w:val="2D510F64"/>
    <w:rsid w:val="2D576043"/>
    <w:rsid w:val="2D63237A"/>
    <w:rsid w:val="2D6712BE"/>
    <w:rsid w:val="2D771A65"/>
    <w:rsid w:val="2D783662"/>
    <w:rsid w:val="2D795FF0"/>
    <w:rsid w:val="2D7C1645"/>
    <w:rsid w:val="2D7F365D"/>
    <w:rsid w:val="2D801824"/>
    <w:rsid w:val="2D9E59D0"/>
    <w:rsid w:val="2DA041BD"/>
    <w:rsid w:val="2DB32D77"/>
    <w:rsid w:val="2DBD00CD"/>
    <w:rsid w:val="2DC22A6D"/>
    <w:rsid w:val="2DCB1B17"/>
    <w:rsid w:val="2DD60F9C"/>
    <w:rsid w:val="2DE4560B"/>
    <w:rsid w:val="2DEC184E"/>
    <w:rsid w:val="2DF01FF7"/>
    <w:rsid w:val="2E073A06"/>
    <w:rsid w:val="2E102690"/>
    <w:rsid w:val="2E1C00EF"/>
    <w:rsid w:val="2E2F69B3"/>
    <w:rsid w:val="2E31104E"/>
    <w:rsid w:val="2E336724"/>
    <w:rsid w:val="2E3B15FC"/>
    <w:rsid w:val="2E5B4D1F"/>
    <w:rsid w:val="2E782ACB"/>
    <w:rsid w:val="2E83611E"/>
    <w:rsid w:val="2E8770B4"/>
    <w:rsid w:val="2E9702ED"/>
    <w:rsid w:val="2E9B45EA"/>
    <w:rsid w:val="2EC513CE"/>
    <w:rsid w:val="2ECC08D6"/>
    <w:rsid w:val="2ED51B47"/>
    <w:rsid w:val="2ED61251"/>
    <w:rsid w:val="2EDD25C3"/>
    <w:rsid w:val="2EE10ABC"/>
    <w:rsid w:val="2EED05EA"/>
    <w:rsid w:val="2EF774D2"/>
    <w:rsid w:val="2EF96223"/>
    <w:rsid w:val="2F036EBD"/>
    <w:rsid w:val="2F1E5509"/>
    <w:rsid w:val="2F275285"/>
    <w:rsid w:val="2F285130"/>
    <w:rsid w:val="2F3B1F58"/>
    <w:rsid w:val="2F4765A8"/>
    <w:rsid w:val="2F4A6B57"/>
    <w:rsid w:val="2F4D52EC"/>
    <w:rsid w:val="2F4E078F"/>
    <w:rsid w:val="2F4F0640"/>
    <w:rsid w:val="2F5249E3"/>
    <w:rsid w:val="2F5D3FD9"/>
    <w:rsid w:val="2F63628B"/>
    <w:rsid w:val="2F6909B6"/>
    <w:rsid w:val="2F704D32"/>
    <w:rsid w:val="2F7B420B"/>
    <w:rsid w:val="2F824C10"/>
    <w:rsid w:val="2F8B3527"/>
    <w:rsid w:val="2F8F0D1D"/>
    <w:rsid w:val="2FA51AA6"/>
    <w:rsid w:val="2FBC09C9"/>
    <w:rsid w:val="2FBC6BAB"/>
    <w:rsid w:val="2FC20F53"/>
    <w:rsid w:val="2FC54803"/>
    <w:rsid w:val="2FC671B5"/>
    <w:rsid w:val="2FC817C7"/>
    <w:rsid w:val="2FD74181"/>
    <w:rsid w:val="2FEA0717"/>
    <w:rsid w:val="2FF00F91"/>
    <w:rsid w:val="2FF408FA"/>
    <w:rsid w:val="2FFF7BB1"/>
    <w:rsid w:val="302C632A"/>
    <w:rsid w:val="30631DA8"/>
    <w:rsid w:val="306572FF"/>
    <w:rsid w:val="306746F8"/>
    <w:rsid w:val="306C2BA1"/>
    <w:rsid w:val="307D35F2"/>
    <w:rsid w:val="308D373F"/>
    <w:rsid w:val="30AC04B7"/>
    <w:rsid w:val="30C31729"/>
    <w:rsid w:val="30F42AE4"/>
    <w:rsid w:val="30FC7C9A"/>
    <w:rsid w:val="31122A48"/>
    <w:rsid w:val="311C1988"/>
    <w:rsid w:val="311C20DD"/>
    <w:rsid w:val="311F5AEC"/>
    <w:rsid w:val="31205981"/>
    <w:rsid w:val="31281779"/>
    <w:rsid w:val="314B3AEB"/>
    <w:rsid w:val="315429BA"/>
    <w:rsid w:val="315954C3"/>
    <w:rsid w:val="3167679F"/>
    <w:rsid w:val="31841F64"/>
    <w:rsid w:val="31921FF1"/>
    <w:rsid w:val="319C29BE"/>
    <w:rsid w:val="31A33CBC"/>
    <w:rsid w:val="31AB31AB"/>
    <w:rsid w:val="31B02875"/>
    <w:rsid w:val="31BE3045"/>
    <w:rsid w:val="31C1650E"/>
    <w:rsid w:val="31C474F4"/>
    <w:rsid w:val="31C47E8E"/>
    <w:rsid w:val="31D014F0"/>
    <w:rsid w:val="31E03506"/>
    <w:rsid w:val="31E728A7"/>
    <w:rsid w:val="31E84717"/>
    <w:rsid w:val="31EC2E81"/>
    <w:rsid w:val="31F02577"/>
    <w:rsid w:val="3200614D"/>
    <w:rsid w:val="32016976"/>
    <w:rsid w:val="320A71C8"/>
    <w:rsid w:val="32180050"/>
    <w:rsid w:val="3225706A"/>
    <w:rsid w:val="32280BC9"/>
    <w:rsid w:val="322B4626"/>
    <w:rsid w:val="323A125F"/>
    <w:rsid w:val="32450F49"/>
    <w:rsid w:val="324E12A6"/>
    <w:rsid w:val="3252150A"/>
    <w:rsid w:val="325D3534"/>
    <w:rsid w:val="32747B64"/>
    <w:rsid w:val="327550D2"/>
    <w:rsid w:val="3284677A"/>
    <w:rsid w:val="32851FB8"/>
    <w:rsid w:val="32954475"/>
    <w:rsid w:val="329D3BB7"/>
    <w:rsid w:val="329E4569"/>
    <w:rsid w:val="32A328AD"/>
    <w:rsid w:val="32C338EB"/>
    <w:rsid w:val="32C42603"/>
    <w:rsid w:val="32E55937"/>
    <w:rsid w:val="32EE6794"/>
    <w:rsid w:val="32F41542"/>
    <w:rsid w:val="32F42A00"/>
    <w:rsid w:val="33033C73"/>
    <w:rsid w:val="33160FA9"/>
    <w:rsid w:val="3324290A"/>
    <w:rsid w:val="332606EB"/>
    <w:rsid w:val="33310314"/>
    <w:rsid w:val="333849F1"/>
    <w:rsid w:val="333C473C"/>
    <w:rsid w:val="333E1CE2"/>
    <w:rsid w:val="334B7C5D"/>
    <w:rsid w:val="334F4CDD"/>
    <w:rsid w:val="33596310"/>
    <w:rsid w:val="335B51FF"/>
    <w:rsid w:val="335C6096"/>
    <w:rsid w:val="335D56D5"/>
    <w:rsid w:val="335E3023"/>
    <w:rsid w:val="33604D31"/>
    <w:rsid w:val="336F3BCB"/>
    <w:rsid w:val="33786021"/>
    <w:rsid w:val="33801E85"/>
    <w:rsid w:val="33826122"/>
    <w:rsid w:val="338772AD"/>
    <w:rsid w:val="339F0D3F"/>
    <w:rsid w:val="33A2531C"/>
    <w:rsid w:val="33A36EF0"/>
    <w:rsid w:val="33A80F60"/>
    <w:rsid w:val="33A848E9"/>
    <w:rsid w:val="33AB060C"/>
    <w:rsid w:val="33BC5798"/>
    <w:rsid w:val="33C82202"/>
    <w:rsid w:val="33C906A6"/>
    <w:rsid w:val="33D6312E"/>
    <w:rsid w:val="33D81385"/>
    <w:rsid w:val="34016A07"/>
    <w:rsid w:val="34237C42"/>
    <w:rsid w:val="342B5D5B"/>
    <w:rsid w:val="342E266F"/>
    <w:rsid w:val="34304C83"/>
    <w:rsid w:val="3438550B"/>
    <w:rsid w:val="343C5B06"/>
    <w:rsid w:val="34463B81"/>
    <w:rsid w:val="34474D8A"/>
    <w:rsid w:val="3449110C"/>
    <w:rsid w:val="3455118C"/>
    <w:rsid w:val="345A1F3D"/>
    <w:rsid w:val="34604579"/>
    <w:rsid w:val="34623155"/>
    <w:rsid w:val="34646BE1"/>
    <w:rsid w:val="346F4502"/>
    <w:rsid w:val="34703220"/>
    <w:rsid w:val="34761A97"/>
    <w:rsid w:val="3478394B"/>
    <w:rsid w:val="348B354C"/>
    <w:rsid w:val="348C36F5"/>
    <w:rsid w:val="349365D3"/>
    <w:rsid w:val="34A3421F"/>
    <w:rsid w:val="34A9736C"/>
    <w:rsid w:val="34BF46E2"/>
    <w:rsid w:val="34D00AAA"/>
    <w:rsid w:val="34D5546B"/>
    <w:rsid w:val="34DF08A7"/>
    <w:rsid w:val="34E945B2"/>
    <w:rsid w:val="34EB65E3"/>
    <w:rsid w:val="34EB68D6"/>
    <w:rsid w:val="34ED5102"/>
    <w:rsid w:val="34F36613"/>
    <w:rsid w:val="34FE1235"/>
    <w:rsid w:val="3508600E"/>
    <w:rsid w:val="35514403"/>
    <w:rsid w:val="356A3897"/>
    <w:rsid w:val="35815742"/>
    <w:rsid w:val="35903F00"/>
    <w:rsid w:val="35AB622E"/>
    <w:rsid w:val="35B23123"/>
    <w:rsid w:val="35BA66BE"/>
    <w:rsid w:val="35BD0324"/>
    <w:rsid w:val="35C2322C"/>
    <w:rsid w:val="35D002CE"/>
    <w:rsid w:val="35D22728"/>
    <w:rsid w:val="35D921AC"/>
    <w:rsid w:val="35DB5F06"/>
    <w:rsid w:val="35DE0F45"/>
    <w:rsid w:val="35E2167B"/>
    <w:rsid w:val="35E479BF"/>
    <w:rsid w:val="36113E4F"/>
    <w:rsid w:val="36283746"/>
    <w:rsid w:val="363057C6"/>
    <w:rsid w:val="3638030B"/>
    <w:rsid w:val="363B17A8"/>
    <w:rsid w:val="364123FC"/>
    <w:rsid w:val="3650755C"/>
    <w:rsid w:val="367236C3"/>
    <w:rsid w:val="36780419"/>
    <w:rsid w:val="367A52A6"/>
    <w:rsid w:val="367F4D2F"/>
    <w:rsid w:val="36950F47"/>
    <w:rsid w:val="36A23A1E"/>
    <w:rsid w:val="36A67D7C"/>
    <w:rsid w:val="36BF0BEA"/>
    <w:rsid w:val="36C0364D"/>
    <w:rsid w:val="36F67736"/>
    <w:rsid w:val="36FC6F90"/>
    <w:rsid w:val="36FF5D28"/>
    <w:rsid w:val="370C18DA"/>
    <w:rsid w:val="371577E9"/>
    <w:rsid w:val="37216B4E"/>
    <w:rsid w:val="374A35B0"/>
    <w:rsid w:val="374C09B5"/>
    <w:rsid w:val="3752579F"/>
    <w:rsid w:val="376F7F52"/>
    <w:rsid w:val="37746473"/>
    <w:rsid w:val="377E373D"/>
    <w:rsid w:val="37982568"/>
    <w:rsid w:val="379D1853"/>
    <w:rsid w:val="37AB6190"/>
    <w:rsid w:val="37AC346D"/>
    <w:rsid w:val="37B66882"/>
    <w:rsid w:val="37BA7DEB"/>
    <w:rsid w:val="37C77A50"/>
    <w:rsid w:val="37D039A3"/>
    <w:rsid w:val="37F82D2D"/>
    <w:rsid w:val="38067194"/>
    <w:rsid w:val="38094C3F"/>
    <w:rsid w:val="381B5863"/>
    <w:rsid w:val="381D481F"/>
    <w:rsid w:val="382627B5"/>
    <w:rsid w:val="38264069"/>
    <w:rsid w:val="38350054"/>
    <w:rsid w:val="38371F7A"/>
    <w:rsid w:val="38453C8A"/>
    <w:rsid w:val="384E25EE"/>
    <w:rsid w:val="386C0E36"/>
    <w:rsid w:val="387401CF"/>
    <w:rsid w:val="387A756F"/>
    <w:rsid w:val="38846DDC"/>
    <w:rsid w:val="38861502"/>
    <w:rsid w:val="388E40A9"/>
    <w:rsid w:val="3894334C"/>
    <w:rsid w:val="38A316EA"/>
    <w:rsid w:val="38AB5253"/>
    <w:rsid w:val="38AF7C96"/>
    <w:rsid w:val="38B60C81"/>
    <w:rsid w:val="38B67026"/>
    <w:rsid w:val="38C13AE8"/>
    <w:rsid w:val="38C64D24"/>
    <w:rsid w:val="38C72FE6"/>
    <w:rsid w:val="38D10996"/>
    <w:rsid w:val="38D472E7"/>
    <w:rsid w:val="38D919EE"/>
    <w:rsid w:val="38DF47F7"/>
    <w:rsid w:val="38E4444C"/>
    <w:rsid w:val="38E45869"/>
    <w:rsid w:val="38F65B42"/>
    <w:rsid w:val="38FB43DD"/>
    <w:rsid w:val="391E52FC"/>
    <w:rsid w:val="394659DC"/>
    <w:rsid w:val="39484071"/>
    <w:rsid w:val="39504079"/>
    <w:rsid w:val="39555209"/>
    <w:rsid w:val="39715DE9"/>
    <w:rsid w:val="39734C4D"/>
    <w:rsid w:val="398471C8"/>
    <w:rsid w:val="399B0CCB"/>
    <w:rsid w:val="399F26C1"/>
    <w:rsid w:val="39A737C1"/>
    <w:rsid w:val="39A760E9"/>
    <w:rsid w:val="39C00D97"/>
    <w:rsid w:val="39CD7331"/>
    <w:rsid w:val="39CF7A1E"/>
    <w:rsid w:val="3A032892"/>
    <w:rsid w:val="3A034143"/>
    <w:rsid w:val="3A050D91"/>
    <w:rsid w:val="3A100CD0"/>
    <w:rsid w:val="3A137B01"/>
    <w:rsid w:val="3A2029A5"/>
    <w:rsid w:val="3A364943"/>
    <w:rsid w:val="3A410516"/>
    <w:rsid w:val="3A671825"/>
    <w:rsid w:val="3A6E41F3"/>
    <w:rsid w:val="3A6E5A1F"/>
    <w:rsid w:val="3A7862C9"/>
    <w:rsid w:val="3A7B4FB1"/>
    <w:rsid w:val="3A80540E"/>
    <w:rsid w:val="3A8712BC"/>
    <w:rsid w:val="3A9410E5"/>
    <w:rsid w:val="3A943DAD"/>
    <w:rsid w:val="3AAA6FCF"/>
    <w:rsid w:val="3AB3366A"/>
    <w:rsid w:val="3ABC0D59"/>
    <w:rsid w:val="3AC67BE0"/>
    <w:rsid w:val="3AD426E6"/>
    <w:rsid w:val="3AE50EA1"/>
    <w:rsid w:val="3AE62BE7"/>
    <w:rsid w:val="3AE824A9"/>
    <w:rsid w:val="3AEC005F"/>
    <w:rsid w:val="3B035FAC"/>
    <w:rsid w:val="3B116B65"/>
    <w:rsid w:val="3B134AB3"/>
    <w:rsid w:val="3B2A656A"/>
    <w:rsid w:val="3B2B6A11"/>
    <w:rsid w:val="3B58385E"/>
    <w:rsid w:val="3B627994"/>
    <w:rsid w:val="3B7B1D0E"/>
    <w:rsid w:val="3B846004"/>
    <w:rsid w:val="3B8A3054"/>
    <w:rsid w:val="3B9C43E8"/>
    <w:rsid w:val="3B9C573F"/>
    <w:rsid w:val="3BA8684B"/>
    <w:rsid w:val="3BAF0C0C"/>
    <w:rsid w:val="3BD81C7B"/>
    <w:rsid w:val="3BE35981"/>
    <w:rsid w:val="3BE95E3D"/>
    <w:rsid w:val="3BFA631D"/>
    <w:rsid w:val="3BFC3422"/>
    <w:rsid w:val="3C014530"/>
    <w:rsid w:val="3C0435A9"/>
    <w:rsid w:val="3C1958B7"/>
    <w:rsid w:val="3C215F09"/>
    <w:rsid w:val="3C2B2D73"/>
    <w:rsid w:val="3C2E5C69"/>
    <w:rsid w:val="3C393B02"/>
    <w:rsid w:val="3C5404F0"/>
    <w:rsid w:val="3C555EF4"/>
    <w:rsid w:val="3C572A22"/>
    <w:rsid w:val="3C575A7E"/>
    <w:rsid w:val="3C6075C7"/>
    <w:rsid w:val="3C740B4E"/>
    <w:rsid w:val="3C767139"/>
    <w:rsid w:val="3C7F0DC6"/>
    <w:rsid w:val="3C8228CB"/>
    <w:rsid w:val="3CB50927"/>
    <w:rsid w:val="3CBF05FF"/>
    <w:rsid w:val="3CC412CB"/>
    <w:rsid w:val="3CCD615B"/>
    <w:rsid w:val="3CDF517B"/>
    <w:rsid w:val="3CFC5224"/>
    <w:rsid w:val="3D0208CC"/>
    <w:rsid w:val="3D0908F9"/>
    <w:rsid w:val="3D093D3F"/>
    <w:rsid w:val="3D0A71C7"/>
    <w:rsid w:val="3D181DB7"/>
    <w:rsid w:val="3D1F499D"/>
    <w:rsid w:val="3D28218B"/>
    <w:rsid w:val="3D4138EB"/>
    <w:rsid w:val="3D4C63F1"/>
    <w:rsid w:val="3D5E178F"/>
    <w:rsid w:val="3D63344A"/>
    <w:rsid w:val="3D6922CC"/>
    <w:rsid w:val="3D713866"/>
    <w:rsid w:val="3D7459BC"/>
    <w:rsid w:val="3D7541AD"/>
    <w:rsid w:val="3D83104B"/>
    <w:rsid w:val="3D974D73"/>
    <w:rsid w:val="3DA26A67"/>
    <w:rsid w:val="3DA714EF"/>
    <w:rsid w:val="3DA97573"/>
    <w:rsid w:val="3DB941AD"/>
    <w:rsid w:val="3DBA0A76"/>
    <w:rsid w:val="3DD1650F"/>
    <w:rsid w:val="3DD22AAE"/>
    <w:rsid w:val="3DD939A3"/>
    <w:rsid w:val="3DDD7691"/>
    <w:rsid w:val="3DE10350"/>
    <w:rsid w:val="3DF86FF9"/>
    <w:rsid w:val="3DFC09A0"/>
    <w:rsid w:val="3E035F97"/>
    <w:rsid w:val="3E1A33B0"/>
    <w:rsid w:val="3E240CF1"/>
    <w:rsid w:val="3E325230"/>
    <w:rsid w:val="3E38421D"/>
    <w:rsid w:val="3E3F6990"/>
    <w:rsid w:val="3E4963BE"/>
    <w:rsid w:val="3E501758"/>
    <w:rsid w:val="3E565779"/>
    <w:rsid w:val="3E5B3681"/>
    <w:rsid w:val="3E724967"/>
    <w:rsid w:val="3E847867"/>
    <w:rsid w:val="3E930016"/>
    <w:rsid w:val="3E9D64EA"/>
    <w:rsid w:val="3EA63BB2"/>
    <w:rsid w:val="3EB35C96"/>
    <w:rsid w:val="3EB43064"/>
    <w:rsid w:val="3ECC149F"/>
    <w:rsid w:val="3EE45DF5"/>
    <w:rsid w:val="3EED799A"/>
    <w:rsid w:val="3EEF0F2C"/>
    <w:rsid w:val="3EFC27D2"/>
    <w:rsid w:val="3EFD12CB"/>
    <w:rsid w:val="3F023042"/>
    <w:rsid w:val="3F1943DC"/>
    <w:rsid w:val="3F260FBD"/>
    <w:rsid w:val="3F30737D"/>
    <w:rsid w:val="3F4D3C87"/>
    <w:rsid w:val="3F4D5F49"/>
    <w:rsid w:val="3F4E01C3"/>
    <w:rsid w:val="3F533601"/>
    <w:rsid w:val="3F6A15D5"/>
    <w:rsid w:val="3F704255"/>
    <w:rsid w:val="3F8F3110"/>
    <w:rsid w:val="3FA4089E"/>
    <w:rsid w:val="3FA754A5"/>
    <w:rsid w:val="3FB77D9D"/>
    <w:rsid w:val="3FC873FB"/>
    <w:rsid w:val="3FD53C06"/>
    <w:rsid w:val="3FEF44A8"/>
    <w:rsid w:val="3FFF77EE"/>
    <w:rsid w:val="400F11A0"/>
    <w:rsid w:val="401B6E52"/>
    <w:rsid w:val="402A2E32"/>
    <w:rsid w:val="40337F01"/>
    <w:rsid w:val="40393EFF"/>
    <w:rsid w:val="403B0E28"/>
    <w:rsid w:val="40590106"/>
    <w:rsid w:val="405978FE"/>
    <w:rsid w:val="40604C81"/>
    <w:rsid w:val="40664E5C"/>
    <w:rsid w:val="406B6D64"/>
    <w:rsid w:val="40730B0B"/>
    <w:rsid w:val="407A652F"/>
    <w:rsid w:val="40857378"/>
    <w:rsid w:val="408D7AED"/>
    <w:rsid w:val="40B23226"/>
    <w:rsid w:val="40BB5886"/>
    <w:rsid w:val="40BE0DD8"/>
    <w:rsid w:val="40CC2CD2"/>
    <w:rsid w:val="40CD71B8"/>
    <w:rsid w:val="40D62D5D"/>
    <w:rsid w:val="40DE6086"/>
    <w:rsid w:val="40EC7661"/>
    <w:rsid w:val="40F40979"/>
    <w:rsid w:val="4106727E"/>
    <w:rsid w:val="41075A22"/>
    <w:rsid w:val="411860C5"/>
    <w:rsid w:val="411D0364"/>
    <w:rsid w:val="4120245E"/>
    <w:rsid w:val="41206955"/>
    <w:rsid w:val="41225E3E"/>
    <w:rsid w:val="412445C9"/>
    <w:rsid w:val="41305D69"/>
    <w:rsid w:val="41390DE7"/>
    <w:rsid w:val="413E1473"/>
    <w:rsid w:val="414E0AE8"/>
    <w:rsid w:val="41604D1E"/>
    <w:rsid w:val="41637311"/>
    <w:rsid w:val="4170789E"/>
    <w:rsid w:val="41751DC5"/>
    <w:rsid w:val="417C05F2"/>
    <w:rsid w:val="41835A7E"/>
    <w:rsid w:val="41920CF9"/>
    <w:rsid w:val="4193612D"/>
    <w:rsid w:val="41AC203E"/>
    <w:rsid w:val="41B15F81"/>
    <w:rsid w:val="41B24F9E"/>
    <w:rsid w:val="41B4201F"/>
    <w:rsid w:val="41BB6C5E"/>
    <w:rsid w:val="41C97E84"/>
    <w:rsid w:val="41CD0471"/>
    <w:rsid w:val="41E136D6"/>
    <w:rsid w:val="41E44059"/>
    <w:rsid w:val="41E5542D"/>
    <w:rsid w:val="41E67BDB"/>
    <w:rsid w:val="4203237B"/>
    <w:rsid w:val="42081C6C"/>
    <w:rsid w:val="421F6C20"/>
    <w:rsid w:val="42413E62"/>
    <w:rsid w:val="42426BD9"/>
    <w:rsid w:val="424469F7"/>
    <w:rsid w:val="425375C2"/>
    <w:rsid w:val="425D3812"/>
    <w:rsid w:val="427B09F3"/>
    <w:rsid w:val="428D02C8"/>
    <w:rsid w:val="428D7500"/>
    <w:rsid w:val="42927337"/>
    <w:rsid w:val="4293269E"/>
    <w:rsid w:val="429455D3"/>
    <w:rsid w:val="42A4170F"/>
    <w:rsid w:val="42AB7D17"/>
    <w:rsid w:val="42AE694C"/>
    <w:rsid w:val="42C21911"/>
    <w:rsid w:val="42C740CD"/>
    <w:rsid w:val="42E64AEA"/>
    <w:rsid w:val="42F64A8D"/>
    <w:rsid w:val="42F94CA5"/>
    <w:rsid w:val="430C3E05"/>
    <w:rsid w:val="43142BAC"/>
    <w:rsid w:val="43164E2B"/>
    <w:rsid w:val="43172899"/>
    <w:rsid w:val="431C323E"/>
    <w:rsid w:val="432D3987"/>
    <w:rsid w:val="433042F8"/>
    <w:rsid w:val="433475F1"/>
    <w:rsid w:val="433A4C14"/>
    <w:rsid w:val="434C5B7E"/>
    <w:rsid w:val="43553D34"/>
    <w:rsid w:val="435F7004"/>
    <w:rsid w:val="4366186C"/>
    <w:rsid w:val="43701CB4"/>
    <w:rsid w:val="43711A12"/>
    <w:rsid w:val="439946BF"/>
    <w:rsid w:val="43AA1C29"/>
    <w:rsid w:val="43B322B9"/>
    <w:rsid w:val="43B81849"/>
    <w:rsid w:val="43BB0B60"/>
    <w:rsid w:val="43BB4E34"/>
    <w:rsid w:val="43BE1CB9"/>
    <w:rsid w:val="43BE3B42"/>
    <w:rsid w:val="43C14C23"/>
    <w:rsid w:val="43C50B7B"/>
    <w:rsid w:val="43CD6851"/>
    <w:rsid w:val="43D168F0"/>
    <w:rsid w:val="43EC07A0"/>
    <w:rsid w:val="43F24CF8"/>
    <w:rsid w:val="43FD7035"/>
    <w:rsid w:val="44267B27"/>
    <w:rsid w:val="442D492C"/>
    <w:rsid w:val="442F7275"/>
    <w:rsid w:val="442F75C0"/>
    <w:rsid w:val="44376043"/>
    <w:rsid w:val="444447F0"/>
    <w:rsid w:val="444745AF"/>
    <w:rsid w:val="44576FD6"/>
    <w:rsid w:val="448C2943"/>
    <w:rsid w:val="448E7EC4"/>
    <w:rsid w:val="449026BA"/>
    <w:rsid w:val="44931446"/>
    <w:rsid w:val="44A86E54"/>
    <w:rsid w:val="44B207D1"/>
    <w:rsid w:val="44C36443"/>
    <w:rsid w:val="44CD43B0"/>
    <w:rsid w:val="44D457C4"/>
    <w:rsid w:val="44DE1C34"/>
    <w:rsid w:val="44E93466"/>
    <w:rsid w:val="44EB3AE3"/>
    <w:rsid w:val="44F3027E"/>
    <w:rsid w:val="44F311AD"/>
    <w:rsid w:val="4500375D"/>
    <w:rsid w:val="450651CC"/>
    <w:rsid w:val="45073B77"/>
    <w:rsid w:val="45091F87"/>
    <w:rsid w:val="450C740F"/>
    <w:rsid w:val="4511644F"/>
    <w:rsid w:val="451B044F"/>
    <w:rsid w:val="45214818"/>
    <w:rsid w:val="45235D98"/>
    <w:rsid w:val="45446C95"/>
    <w:rsid w:val="45731203"/>
    <w:rsid w:val="457A72D2"/>
    <w:rsid w:val="458C3155"/>
    <w:rsid w:val="458F3B58"/>
    <w:rsid w:val="459C4979"/>
    <w:rsid w:val="459D54CA"/>
    <w:rsid w:val="45A068BB"/>
    <w:rsid w:val="45A604D0"/>
    <w:rsid w:val="45AB0412"/>
    <w:rsid w:val="45AC518A"/>
    <w:rsid w:val="45B474E0"/>
    <w:rsid w:val="45B63F06"/>
    <w:rsid w:val="45C31CCD"/>
    <w:rsid w:val="45D36916"/>
    <w:rsid w:val="45DA3CEF"/>
    <w:rsid w:val="4603042C"/>
    <w:rsid w:val="460C4FFC"/>
    <w:rsid w:val="460D35A0"/>
    <w:rsid w:val="46170431"/>
    <w:rsid w:val="46212264"/>
    <w:rsid w:val="463B2239"/>
    <w:rsid w:val="463E41FE"/>
    <w:rsid w:val="46464ADB"/>
    <w:rsid w:val="464D018B"/>
    <w:rsid w:val="465373AE"/>
    <w:rsid w:val="46767024"/>
    <w:rsid w:val="46775E94"/>
    <w:rsid w:val="46820892"/>
    <w:rsid w:val="46A41C10"/>
    <w:rsid w:val="46A70773"/>
    <w:rsid w:val="46BB7ADE"/>
    <w:rsid w:val="46CD3499"/>
    <w:rsid w:val="46CE0318"/>
    <w:rsid w:val="46D4525D"/>
    <w:rsid w:val="46DD6356"/>
    <w:rsid w:val="46E53E72"/>
    <w:rsid w:val="46ED08BC"/>
    <w:rsid w:val="46EE3E18"/>
    <w:rsid w:val="46EF632C"/>
    <w:rsid w:val="46F24DE9"/>
    <w:rsid w:val="46F326EF"/>
    <w:rsid w:val="47091E48"/>
    <w:rsid w:val="470C1B95"/>
    <w:rsid w:val="470E6E0A"/>
    <w:rsid w:val="47132A8C"/>
    <w:rsid w:val="472E49D4"/>
    <w:rsid w:val="47302AAB"/>
    <w:rsid w:val="47314D24"/>
    <w:rsid w:val="47365E5A"/>
    <w:rsid w:val="473D5D0C"/>
    <w:rsid w:val="4750335E"/>
    <w:rsid w:val="475410B9"/>
    <w:rsid w:val="476017A8"/>
    <w:rsid w:val="4763001B"/>
    <w:rsid w:val="47664443"/>
    <w:rsid w:val="47771C3D"/>
    <w:rsid w:val="477F7238"/>
    <w:rsid w:val="47832A70"/>
    <w:rsid w:val="47B92877"/>
    <w:rsid w:val="47BE67BD"/>
    <w:rsid w:val="47C03CB8"/>
    <w:rsid w:val="47C16CED"/>
    <w:rsid w:val="47D1078A"/>
    <w:rsid w:val="47E9497E"/>
    <w:rsid w:val="47E9647C"/>
    <w:rsid w:val="47EC513E"/>
    <w:rsid w:val="47EF5388"/>
    <w:rsid w:val="47FA6FF8"/>
    <w:rsid w:val="48002C3E"/>
    <w:rsid w:val="481B0E24"/>
    <w:rsid w:val="4823025C"/>
    <w:rsid w:val="48257C53"/>
    <w:rsid w:val="482835D7"/>
    <w:rsid w:val="4838275A"/>
    <w:rsid w:val="4838414E"/>
    <w:rsid w:val="483A6B8F"/>
    <w:rsid w:val="483E1376"/>
    <w:rsid w:val="483E25EE"/>
    <w:rsid w:val="484E0612"/>
    <w:rsid w:val="486120DD"/>
    <w:rsid w:val="486E3021"/>
    <w:rsid w:val="4872063A"/>
    <w:rsid w:val="48793528"/>
    <w:rsid w:val="4882304B"/>
    <w:rsid w:val="488831E9"/>
    <w:rsid w:val="48921B34"/>
    <w:rsid w:val="489E7C5C"/>
    <w:rsid w:val="48A457E7"/>
    <w:rsid w:val="48A47783"/>
    <w:rsid w:val="48A47B43"/>
    <w:rsid w:val="48C15BDB"/>
    <w:rsid w:val="48C9061B"/>
    <w:rsid w:val="48E555DF"/>
    <w:rsid w:val="48F3269C"/>
    <w:rsid w:val="48FA3DD7"/>
    <w:rsid w:val="490112B5"/>
    <w:rsid w:val="49021A9C"/>
    <w:rsid w:val="4911463E"/>
    <w:rsid w:val="49131A69"/>
    <w:rsid w:val="49134C6E"/>
    <w:rsid w:val="49257435"/>
    <w:rsid w:val="492B03C7"/>
    <w:rsid w:val="4930741E"/>
    <w:rsid w:val="493F116D"/>
    <w:rsid w:val="494A4975"/>
    <w:rsid w:val="49550D2C"/>
    <w:rsid w:val="49597C9E"/>
    <w:rsid w:val="495D1248"/>
    <w:rsid w:val="495F3E26"/>
    <w:rsid w:val="498D555C"/>
    <w:rsid w:val="498E59E8"/>
    <w:rsid w:val="4991736F"/>
    <w:rsid w:val="4993054F"/>
    <w:rsid w:val="49A437E6"/>
    <w:rsid w:val="49B00208"/>
    <w:rsid w:val="49B57E64"/>
    <w:rsid w:val="49C41576"/>
    <w:rsid w:val="49CE1B85"/>
    <w:rsid w:val="49D96D2D"/>
    <w:rsid w:val="49E072CF"/>
    <w:rsid w:val="49F00341"/>
    <w:rsid w:val="49F4171D"/>
    <w:rsid w:val="49F455D2"/>
    <w:rsid w:val="4A0901C4"/>
    <w:rsid w:val="4A0E4855"/>
    <w:rsid w:val="4A16118F"/>
    <w:rsid w:val="4A1817A4"/>
    <w:rsid w:val="4A18515C"/>
    <w:rsid w:val="4A23792D"/>
    <w:rsid w:val="4A44297F"/>
    <w:rsid w:val="4A454020"/>
    <w:rsid w:val="4A46095F"/>
    <w:rsid w:val="4A4D5956"/>
    <w:rsid w:val="4A533378"/>
    <w:rsid w:val="4A5641D3"/>
    <w:rsid w:val="4A6161A7"/>
    <w:rsid w:val="4A7163AD"/>
    <w:rsid w:val="4A72006C"/>
    <w:rsid w:val="4A790AF7"/>
    <w:rsid w:val="4A7D7F4A"/>
    <w:rsid w:val="4A7E6F7D"/>
    <w:rsid w:val="4A820E4A"/>
    <w:rsid w:val="4A856CFA"/>
    <w:rsid w:val="4A9015B5"/>
    <w:rsid w:val="4A99363B"/>
    <w:rsid w:val="4AAA2ED4"/>
    <w:rsid w:val="4AAC2A7D"/>
    <w:rsid w:val="4AAF28BE"/>
    <w:rsid w:val="4AC72014"/>
    <w:rsid w:val="4ADE149F"/>
    <w:rsid w:val="4AE53FC3"/>
    <w:rsid w:val="4B072416"/>
    <w:rsid w:val="4B090822"/>
    <w:rsid w:val="4B30495C"/>
    <w:rsid w:val="4B33422D"/>
    <w:rsid w:val="4B466A0E"/>
    <w:rsid w:val="4B4B0DD2"/>
    <w:rsid w:val="4B4F366C"/>
    <w:rsid w:val="4B4F6718"/>
    <w:rsid w:val="4B535C56"/>
    <w:rsid w:val="4B5A6C7D"/>
    <w:rsid w:val="4B6D7968"/>
    <w:rsid w:val="4B8572AA"/>
    <w:rsid w:val="4B8E4BF1"/>
    <w:rsid w:val="4BAB366E"/>
    <w:rsid w:val="4BB143EB"/>
    <w:rsid w:val="4BB158A2"/>
    <w:rsid w:val="4BB478F4"/>
    <w:rsid w:val="4BB844B7"/>
    <w:rsid w:val="4BBD3B56"/>
    <w:rsid w:val="4BC71DD3"/>
    <w:rsid w:val="4BCC27B9"/>
    <w:rsid w:val="4BCC7AF8"/>
    <w:rsid w:val="4BD15998"/>
    <w:rsid w:val="4BDB10C5"/>
    <w:rsid w:val="4BDB2578"/>
    <w:rsid w:val="4BDF3807"/>
    <w:rsid w:val="4C0A37C3"/>
    <w:rsid w:val="4C370289"/>
    <w:rsid w:val="4C403A3F"/>
    <w:rsid w:val="4C4F083F"/>
    <w:rsid w:val="4C503442"/>
    <w:rsid w:val="4C52416A"/>
    <w:rsid w:val="4C53424A"/>
    <w:rsid w:val="4C562B54"/>
    <w:rsid w:val="4C6535AC"/>
    <w:rsid w:val="4C671ED2"/>
    <w:rsid w:val="4C7B2E0F"/>
    <w:rsid w:val="4C817542"/>
    <w:rsid w:val="4CAD462F"/>
    <w:rsid w:val="4CAE276E"/>
    <w:rsid w:val="4CD10D1A"/>
    <w:rsid w:val="4CD5557F"/>
    <w:rsid w:val="4CD7476D"/>
    <w:rsid w:val="4CDF1BA2"/>
    <w:rsid w:val="4CEA33B5"/>
    <w:rsid w:val="4D054EB8"/>
    <w:rsid w:val="4D084077"/>
    <w:rsid w:val="4D0B0C3B"/>
    <w:rsid w:val="4D1C4511"/>
    <w:rsid w:val="4D1D3A63"/>
    <w:rsid w:val="4D1F096B"/>
    <w:rsid w:val="4D257107"/>
    <w:rsid w:val="4D335A14"/>
    <w:rsid w:val="4D3759E7"/>
    <w:rsid w:val="4D4C1813"/>
    <w:rsid w:val="4D51770D"/>
    <w:rsid w:val="4D5822F3"/>
    <w:rsid w:val="4D5D039E"/>
    <w:rsid w:val="4D613104"/>
    <w:rsid w:val="4D81042B"/>
    <w:rsid w:val="4D952F08"/>
    <w:rsid w:val="4DAA7472"/>
    <w:rsid w:val="4DAD63CC"/>
    <w:rsid w:val="4DB910A5"/>
    <w:rsid w:val="4DC11FA2"/>
    <w:rsid w:val="4DC53833"/>
    <w:rsid w:val="4DC923D9"/>
    <w:rsid w:val="4DCC40A8"/>
    <w:rsid w:val="4DCD5259"/>
    <w:rsid w:val="4DF179BB"/>
    <w:rsid w:val="4E0061B2"/>
    <w:rsid w:val="4E023F6C"/>
    <w:rsid w:val="4E043AD1"/>
    <w:rsid w:val="4E1463D1"/>
    <w:rsid w:val="4E176F28"/>
    <w:rsid w:val="4E242CC1"/>
    <w:rsid w:val="4E350A8F"/>
    <w:rsid w:val="4E431C16"/>
    <w:rsid w:val="4E5130A0"/>
    <w:rsid w:val="4E597C9A"/>
    <w:rsid w:val="4E627E8B"/>
    <w:rsid w:val="4E665E0A"/>
    <w:rsid w:val="4E7C5555"/>
    <w:rsid w:val="4E8B0BC6"/>
    <w:rsid w:val="4E8F65B1"/>
    <w:rsid w:val="4E9855F7"/>
    <w:rsid w:val="4E9C39D8"/>
    <w:rsid w:val="4E9F3B2D"/>
    <w:rsid w:val="4EAE10A5"/>
    <w:rsid w:val="4EB776BA"/>
    <w:rsid w:val="4EBC1736"/>
    <w:rsid w:val="4EC363B7"/>
    <w:rsid w:val="4EC868EA"/>
    <w:rsid w:val="4ECA1987"/>
    <w:rsid w:val="4ECA6C97"/>
    <w:rsid w:val="4EE447E9"/>
    <w:rsid w:val="4EE60890"/>
    <w:rsid w:val="4EF05369"/>
    <w:rsid w:val="4EF12EE8"/>
    <w:rsid w:val="4EF94AC3"/>
    <w:rsid w:val="4EFD054B"/>
    <w:rsid w:val="4F160EB4"/>
    <w:rsid w:val="4F2121E4"/>
    <w:rsid w:val="4F3F7ADC"/>
    <w:rsid w:val="4F4C0EE6"/>
    <w:rsid w:val="4F4C715A"/>
    <w:rsid w:val="4F4F236F"/>
    <w:rsid w:val="4F522FD0"/>
    <w:rsid w:val="4F585CE5"/>
    <w:rsid w:val="4F930DF8"/>
    <w:rsid w:val="4F936636"/>
    <w:rsid w:val="4FA70729"/>
    <w:rsid w:val="4FAB3CD1"/>
    <w:rsid w:val="4FB42314"/>
    <w:rsid w:val="4FC455E0"/>
    <w:rsid w:val="4FC7719D"/>
    <w:rsid w:val="4FD31624"/>
    <w:rsid w:val="4FD56593"/>
    <w:rsid w:val="4FD85F41"/>
    <w:rsid w:val="4FF57AA9"/>
    <w:rsid w:val="50034E9D"/>
    <w:rsid w:val="500F2D7F"/>
    <w:rsid w:val="501B30BE"/>
    <w:rsid w:val="50260564"/>
    <w:rsid w:val="50283C5D"/>
    <w:rsid w:val="502A756E"/>
    <w:rsid w:val="50300C1A"/>
    <w:rsid w:val="50327B73"/>
    <w:rsid w:val="50343328"/>
    <w:rsid w:val="50465235"/>
    <w:rsid w:val="505849A0"/>
    <w:rsid w:val="505D2CE3"/>
    <w:rsid w:val="50627942"/>
    <w:rsid w:val="506337F2"/>
    <w:rsid w:val="50792EE1"/>
    <w:rsid w:val="508752E1"/>
    <w:rsid w:val="509327D3"/>
    <w:rsid w:val="50AC2EBD"/>
    <w:rsid w:val="50B035F8"/>
    <w:rsid w:val="50C730A0"/>
    <w:rsid w:val="50D07195"/>
    <w:rsid w:val="50D11633"/>
    <w:rsid w:val="50D21A86"/>
    <w:rsid w:val="50D303E1"/>
    <w:rsid w:val="50E61579"/>
    <w:rsid w:val="50E94461"/>
    <w:rsid w:val="50E96015"/>
    <w:rsid w:val="50FD0350"/>
    <w:rsid w:val="50FD2526"/>
    <w:rsid w:val="50FF1BA5"/>
    <w:rsid w:val="51020CD9"/>
    <w:rsid w:val="51066AFE"/>
    <w:rsid w:val="510D5695"/>
    <w:rsid w:val="51182583"/>
    <w:rsid w:val="511D3E82"/>
    <w:rsid w:val="511E43A8"/>
    <w:rsid w:val="512B6D4F"/>
    <w:rsid w:val="512B6ED1"/>
    <w:rsid w:val="513019A7"/>
    <w:rsid w:val="513858DD"/>
    <w:rsid w:val="513D439B"/>
    <w:rsid w:val="513F3655"/>
    <w:rsid w:val="5144121C"/>
    <w:rsid w:val="515A5514"/>
    <w:rsid w:val="51643C3A"/>
    <w:rsid w:val="51681689"/>
    <w:rsid w:val="517274AF"/>
    <w:rsid w:val="51736DAF"/>
    <w:rsid w:val="517B1337"/>
    <w:rsid w:val="517E775D"/>
    <w:rsid w:val="519060CC"/>
    <w:rsid w:val="51936F75"/>
    <w:rsid w:val="51AC5468"/>
    <w:rsid w:val="51B56C44"/>
    <w:rsid w:val="51BD07DD"/>
    <w:rsid w:val="51C159D4"/>
    <w:rsid w:val="51CF666F"/>
    <w:rsid w:val="51D00C90"/>
    <w:rsid w:val="51DC1F2B"/>
    <w:rsid w:val="51DC76FB"/>
    <w:rsid w:val="51E71B9C"/>
    <w:rsid w:val="51FA22B6"/>
    <w:rsid w:val="51FF5500"/>
    <w:rsid w:val="52031EB9"/>
    <w:rsid w:val="520E3345"/>
    <w:rsid w:val="52341F45"/>
    <w:rsid w:val="52350388"/>
    <w:rsid w:val="52381C82"/>
    <w:rsid w:val="52456D22"/>
    <w:rsid w:val="524A1B8F"/>
    <w:rsid w:val="524C1154"/>
    <w:rsid w:val="525B745B"/>
    <w:rsid w:val="52884ADC"/>
    <w:rsid w:val="528A290B"/>
    <w:rsid w:val="528F3DD2"/>
    <w:rsid w:val="528F411E"/>
    <w:rsid w:val="52947D5D"/>
    <w:rsid w:val="529906FD"/>
    <w:rsid w:val="52A202D6"/>
    <w:rsid w:val="52AE451F"/>
    <w:rsid w:val="52BB0A0D"/>
    <w:rsid w:val="52C8641F"/>
    <w:rsid w:val="52D715BF"/>
    <w:rsid w:val="52D96595"/>
    <w:rsid w:val="52DE5593"/>
    <w:rsid w:val="52E35E36"/>
    <w:rsid w:val="52E7341D"/>
    <w:rsid w:val="52E80405"/>
    <w:rsid w:val="52E968E9"/>
    <w:rsid w:val="52EC6452"/>
    <w:rsid w:val="52ED4447"/>
    <w:rsid w:val="52F65C9A"/>
    <w:rsid w:val="52FB3865"/>
    <w:rsid w:val="53131861"/>
    <w:rsid w:val="53156D61"/>
    <w:rsid w:val="531D60E0"/>
    <w:rsid w:val="531F42C6"/>
    <w:rsid w:val="53226E3B"/>
    <w:rsid w:val="532F4F75"/>
    <w:rsid w:val="533D0A07"/>
    <w:rsid w:val="53426C88"/>
    <w:rsid w:val="534A40B2"/>
    <w:rsid w:val="534E4935"/>
    <w:rsid w:val="535C7A75"/>
    <w:rsid w:val="535E6E83"/>
    <w:rsid w:val="53663AB3"/>
    <w:rsid w:val="536F483D"/>
    <w:rsid w:val="537C3FD0"/>
    <w:rsid w:val="537F3990"/>
    <w:rsid w:val="5382152B"/>
    <w:rsid w:val="53954C96"/>
    <w:rsid w:val="53A117C9"/>
    <w:rsid w:val="53B45FF3"/>
    <w:rsid w:val="53B472A1"/>
    <w:rsid w:val="53B8754D"/>
    <w:rsid w:val="53D30FC5"/>
    <w:rsid w:val="53D33A20"/>
    <w:rsid w:val="53DA4BF5"/>
    <w:rsid w:val="53DF697E"/>
    <w:rsid w:val="53F93585"/>
    <w:rsid w:val="53FC0B71"/>
    <w:rsid w:val="54062FD3"/>
    <w:rsid w:val="540B7C63"/>
    <w:rsid w:val="54163463"/>
    <w:rsid w:val="54226C02"/>
    <w:rsid w:val="542D7083"/>
    <w:rsid w:val="542E6EC5"/>
    <w:rsid w:val="542F6235"/>
    <w:rsid w:val="54334675"/>
    <w:rsid w:val="543D04D9"/>
    <w:rsid w:val="546914E7"/>
    <w:rsid w:val="546B0211"/>
    <w:rsid w:val="54751CD9"/>
    <w:rsid w:val="54754FCD"/>
    <w:rsid w:val="54844287"/>
    <w:rsid w:val="548C4E94"/>
    <w:rsid w:val="54910B42"/>
    <w:rsid w:val="549E50CD"/>
    <w:rsid w:val="54A000BB"/>
    <w:rsid w:val="54A91DB3"/>
    <w:rsid w:val="54B760C8"/>
    <w:rsid w:val="54C6308C"/>
    <w:rsid w:val="54DE6C60"/>
    <w:rsid w:val="54E00027"/>
    <w:rsid w:val="54F00442"/>
    <w:rsid w:val="54F44ED4"/>
    <w:rsid w:val="54FF481C"/>
    <w:rsid w:val="55043EC4"/>
    <w:rsid w:val="550D12C8"/>
    <w:rsid w:val="55124573"/>
    <w:rsid w:val="55193DA0"/>
    <w:rsid w:val="55205D5C"/>
    <w:rsid w:val="55221609"/>
    <w:rsid w:val="55222709"/>
    <w:rsid w:val="55461127"/>
    <w:rsid w:val="555C3D9A"/>
    <w:rsid w:val="555C5395"/>
    <w:rsid w:val="55614BC6"/>
    <w:rsid w:val="559324A6"/>
    <w:rsid w:val="559A6954"/>
    <w:rsid w:val="55A7748D"/>
    <w:rsid w:val="55B746E1"/>
    <w:rsid w:val="55C354CC"/>
    <w:rsid w:val="55C64A63"/>
    <w:rsid w:val="55CE1BF3"/>
    <w:rsid w:val="55DC244A"/>
    <w:rsid w:val="55EC0ED4"/>
    <w:rsid w:val="55ED059A"/>
    <w:rsid w:val="55ED0D3D"/>
    <w:rsid w:val="55F923D4"/>
    <w:rsid w:val="560709CC"/>
    <w:rsid w:val="5613089F"/>
    <w:rsid w:val="561F2CF4"/>
    <w:rsid w:val="562728D7"/>
    <w:rsid w:val="563C3431"/>
    <w:rsid w:val="565F0DE5"/>
    <w:rsid w:val="56632C88"/>
    <w:rsid w:val="56637A51"/>
    <w:rsid w:val="56802FE9"/>
    <w:rsid w:val="56853950"/>
    <w:rsid w:val="5691358D"/>
    <w:rsid w:val="569475D0"/>
    <w:rsid w:val="56957765"/>
    <w:rsid w:val="56961C9A"/>
    <w:rsid w:val="56A66424"/>
    <w:rsid w:val="56AF137D"/>
    <w:rsid w:val="56C00177"/>
    <w:rsid w:val="56C74BD3"/>
    <w:rsid w:val="56CB5221"/>
    <w:rsid w:val="56CF7052"/>
    <w:rsid w:val="56D27BBB"/>
    <w:rsid w:val="56D47C6C"/>
    <w:rsid w:val="56EB0421"/>
    <w:rsid w:val="56EB59BB"/>
    <w:rsid w:val="570229A2"/>
    <w:rsid w:val="570C7437"/>
    <w:rsid w:val="570E0CCD"/>
    <w:rsid w:val="57126198"/>
    <w:rsid w:val="57144344"/>
    <w:rsid w:val="572711D8"/>
    <w:rsid w:val="574513FE"/>
    <w:rsid w:val="57503906"/>
    <w:rsid w:val="57616863"/>
    <w:rsid w:val="57641A87"/>
    <w:rsid w:val="576B290A"/>
    <w:rsid w:val="579E4352"/>
    <w:rsid w:val="579F7777"/>
    <w:rsid w:val="57AB50AF"/>
    <w:rsid w:val="57AB514A"/>
    <w:rsid w:val="57BE2D82"/>
    <w:rsid w:val="57C258B7"/>
    <w:rsid w:val="57C326D0"/>
    <w:rsid w:val="57C3352B"/>
    <w:rsid w:val="57C56DDC"/>
    <w:rsid w:val="57EC01D6"/>
    <w:rsid w:val="57EC6FB1"/>
    <w:rsid w:val="57F52861"/>
    <w:rsid w:val="57F832AC"/>
    <w:rsid w:val="5807646D"/>
    <w:rsid w:val="58084A6B"/>
    <w:rsid w:val="58144C56"/>
    <w:rsid w:val="58156DDC"/>
    <w:rsid w:val="582025FB"/>
    <w:rsid w:val="58217F1C"/>
    <w:rsid w:val="58303A4F"/>
    <w:rsid w:val="583C1762"/>
    <w:rsid w:val="583C1F70"/>
    <w:rsid w:val="58433525"/>
    <w:rsid w:val="584D37A8"/>
    <w:rsid w:val="586066F7"/>
    <w:rsid w:val="586C01D1"/>
    <w:rsid w:val="58736E4A"/>
    <w:rsid w:val="587D1FAB"/>
    <w:rsid w:val="587F582C"/>
    <w:rsid w:val="58873140"/>
    <w:rsid w:val="589D0998"/>
    <w:rsid w:val="58A824B5"/>
    <w:rsid w:val="58B570B2"/>
    <w:rsid w:val="58C9223C"/>
    <w:rsid w:val="58D94EDB"/>
    <w:rsid w:val="58DA31AB"/>
    <w:rsid w:val="58DB2FF3"/>
    <w:rsid w:val="58DD2CA0"/>
    <w:rsid w:val="58F27199"/>
    <w:rsid w:val="58F5223D"/>
    <w:rsid w:val="59090EB5"/>
    <w:rsid w:val="59156413"/>
    <w:rsid w:val="59162166"/>
    <w:rsid w:val="5918021C"/>
    <w:rsid w:val="591F17FE"/>
    <w:rsid w:val="5929568E"/>
    <w:rsid w:val="59400076"/>
    <w:rsid w:val="5945637A"/>
    <w:rsid w:val="595D4081"/>
    <w:rsid w:val="59631459"/>
    <w:rsid w:val="596D4A2C"/>
    <w:rsid w:val="59750488"/>
    <w:rsid w:val="598D07A3"/>
    <w:rsid w:val="59C305C5"/>
    <w:rsid w:val="59CB1CC2"/>
    <w:rsid w:val="59D53627"/>
    <w:rsid w:val="59D87CB9"/>
    <w:rsid w:val="59DB2BF2"/>
    <w:rsid w:val="59DB6397"/>
    <w:rsid w:val="59E62820"/>
    <w:rsid w:val="59EE14E4"/>
    <w:rsid w:val="59F84792"/>
    <w:rsid w:val="59FB72BF"/>
    <w:rsid w:val="59FF5FD0"/>
    <w:rsid w:val="5A2171B2"/>
    <w:rsid w:val="5A237C25"/>
    <w:rsid w:val="5A3B21E9"/>
    <w:rsid w:val="5A3D465C"/>
    <w:rsid w:val="5A4B32B7"/>
    <w:rsid w:val="5A59340E"/>
    <w:rsid w:val="5A5A0798"/>
    <w:rsid w:val="5A636C14"/>
    <w:rsid w:val="5A764B1E"/>
    <w:rsid w:val="5A7F7AFB"/>
    <w:rsid w:val="5A8241B5"/>
    <w:rsid w:val="5A8A4832"/>
    <w:rsid w:val="5A8E687F"/>
    <w:rsid w:val="5A8F1320"/>
    <w:rsid w:val="5AA449C3"/>
    <w:rsid w:val="5AA64A76"/>
    <w:rsid w:val="5AAD50B0"/>
    <w:rsid w:val="5ACF4F7E"/>
    <w:rsid w:val="5ADE7689"/>
    <w:rsid w:val="5AF03C9A"/>
    <w:rsid w:val="5AF8432C"/>
    <w:rsid w:val="5B0239BF"/>
    <w:rsid w:val="5B1335B9"/>
    <w:rsid w:val="5B1E4B86"/>
    <w:rsid w:val="5B21056E"/>
    <w:rsid w:val="5B210929"/>
    <w:rsid w:val="5B21480A"/>
    <w:rsid w:val="5B327ADB"/>
    <w:rsid w:val="5B3E26FB"/>
    <w:rsid w:val="5B413B37"/>
    <w:rsid w:val="5B505221"/>
    <w:rsid w:val="5B53325B"/>
    <w:rsid w:val="5B5D3DE7"/>
    <w:rsid w:val="5B694AC4"/>
    <w:rsid w:val="5B774F5A"/>
    <w:rsid w:val="5B787BBA"/>
    <w:rsid w:val="5B797D4A"/>
    <w:rsid w:val="5B7B71E1"/>
    <w:rsid w:val="5B7D4553"/>
    <w:rsid w:val="5B93138D"/>
    <w:rsid w:val="5B9F52E7"/>
    <w:rsid w:val="5BA16712"/>
    <w:rsid w:val="5BB21A38"/>
    <w:rsid w:val="5BB66E8D"/>
    <w:rsid w:val="5BBF2A77"/>
    <w:rsid w:val="5BCA2A99"/>
    <w:rsid w:val="5BCF6C2D"/>
    <w:rsid w:val="5BD54BB5"/>
    <w:rsid w:val="5BD62C1B"/>
    <w:rsid w:val="5BE774D1"/>
    <w:rsid w:val="5BE85F6E"/>
    <w:rsid w:val="5BEC1C38"/>
    <w:rsid w:val="5BF05D68"/>
    <w:rsid w:val="5C063CBA"/>
    <w:rsid w:val="5C0727C3"/>
    <w:rsid w:val="5C1B42CB"/>
    <w:rsid w:val="5C1E2605"/>
    <w:rsid w:val="5C284E49"/>
    <w:rsid w:val="5C29128B"/>
    <w:rsid w:val="5C31122C"/>
    <w:rsid w:val="5C316307"/>
    <w:rsid w:val="5C38391F"/>
    <w:rsid w:val="5C3C5C0E"/>
    <w:rsid w:val="5C3E7934"/>
    <w:rsid w:val="5C4412B0"/>
    <w:rsid w:val="5C451873"/>
    <w:rsid w:val="5C4D7198"/>
    <w:rsid w:val="5C4F3BE8"/>
    <w:rsid w:val="5C694931"/>
    <w:rsid w:val="5C7C5800"/>
    <w:rsid w:val="5C8E1738"/>
    <w:rsid w:val="5C970628"/>
    <w:rsid w:val="5CA5297B"/>
    <w:rsid w:val="5CB25944"/>
    <w:rsid w:val="5CB466CB"/>
    <w:rsid w:val="5CBE4706"/>
    <w:rsid w:val="5CD94DB3"/>
    <w:rsid w:val="5CDE6259"/>
    <w:rsid w:val="5D047889"/>
    <w:rsid w:val="5D0E6D04"/>
    <w:rsid w:val="5D125B74"/>
    <w:rsid w:val="5D2A5076"/>
    <w:rsid w:val="5D3B0A6D"/>
    <w:rsid w:val="5D452C00"/>
    <w:rsid w:val="5D4A22F0"/>
    <w:rsid w:val="5D5F1DE9"/>
    <w:rsid w:val="5D746194"/>
    <w:rsid w:val="5D764CEE"/>
    <w:rsid w:val="5D7B4285"/>
    <w:rsid w:val="5D7D5C7F"/>
    <w:rsid w:val="5D7E1BB5"/>
    <w:rsid w:val="5D8E0C72"/>
    <w:rsid w:val="5D922C35"/>
    <w:rsid w:val="5DA063B7"/>
    <w:rsid w:val="5DA1409A"/>
    <w:rsid w:val="5DB03DFD"/>
    <w:rsid w:val="5DBB7BD5"/>
    <w:rsid w:val="5DBD7141"/>
    <w:rsid w:val="5DC46EC3"/>
    <w:rsid w:val="5DC607A6"/>
    <w:rsid w:val="5DD846EA"/>
    <w:rsid w:val="5DDB69A3"/>
    <w:rsid w:val="5DE57538"/>
    <w:rsid w:val="5DE75AF3"/>
    <w:rsid w:val="5DF009A4"/>
    <w:rsid w:val="5DF015A8"/>
    <w:rsid w:val="5DFD59E5"/>
    <w:rsid w:val="5E051726"/>
    <w:rsid w:val="5E2D4CB6"/>
    <w:rsid w:val="5E3333B5"/>
    <w:rsid w:val="5E4B16FA"/>
    <w:rsid w:val="5E4D15A5"/>
    <w:rsid w:val="5E4E3750"/>
    <w:rsid w:val="5E5C4573"/>
    <w:rsid w:val="5E766E90"/>
    <w:rsid w:val="5E870B1C"/>
    <w:rsid w:val="5E87474A"/>
    <w:rsid w:val="5E8B740E"/>
    <w:rsid w:val="5E953BF9"/>
    <w:rsid w:val="5E9A0F1F"/>
    <w:rsid w:val="5EA028E0"/>
    <w:rsid w:val="5EA21FDC"/>
    <w:rsid w:val="5EA320C2"/>
    <w:rsid w:val="5EA4163B"/>
    <w:rsid w:val="5EBC0CA5"/>
    <w:rsid w:val="5EBC62B1"/>
    <w:rsid w:val="5EC32A6C"/>
    <w:rsid w:val="5EE10C8D"/>
    <w:rsid w:val="5EEF124B"/>
    <w:rsid w:val="5EF16331"/>
    <w:rsid w:val="5EF17A51"/>
    <w:rsid w:val="5EF56D72"/>
    <w:rsid w:val="5EFD2C99"/>
    <w:rsid w:val="5EFF02EA"/>
    <w:rsid w:val="5F2C6BDC"/>
    <w:rsid w:val="5F3461D4"/>
    <w:rsid w:val="5F391F09"/>
    <w:rsid w:val="5F3E4043"/>
    <w:rsid w:val="5F477CA1"/>
    <w:rsid w:val="5F483EA7"/>
    <w:rsid w:val="5F5C1D3D"/>
    <w:rsid w:val="5F5F1949"/>
    <w:rsid w:val="5F9035E9"/>
    <w:rsid w:val="5F994328"/>
    <w:rsid w:val="5FB52C88"/>
    <w:rsid w:val="5FBC711C"/>
    <w:rsid w:val="5FC53B36"/>
    <w:rsid w:val="5FCC4D7D"/>
    <w:rsid w:val="5FCE022F"/>
    <w:rsid w:val="5FD24D70"/>
    <w:rsid w:val="5FD84E25"/>
    <w:rsid w:val="5FE414BD"/>
    <w:rsid w:val="5FE75713"/>
    <w:rsid w:val="5FE763FE"/>
    <w:rsid w:val="5FEE6493"/>
    <w:rsid w:val="5FF7219F"/>
    <w:rsid w:val="600337E3"/>
    <w:rsid w:val="600E3FAB"/>
    <w:rsid w:val="601252E0"/>
    <w:rsid w:val="601A60B6"/>
    <w:rsid w:val="60204505"/>
    <w:rsid w:val="60240E0D"/>
    <w:rsid w:val="60275934"/>
    <w:rsid w:val="602D1D3E"/>
    <w:rsid w:val="603D2331"/>
    <w:rsid w:val="604563E1"/>
    <w:rsid w:val="604D380B"/>
    <w:rsid w:val="606829E4"/>
    <w:rsid w:val="606836D6"/>
    <w:rsid w:val="606A184D"/>
    <w:rsid w:val="6082326B"/>
    <w:rsid w:val="608E4DD3"/>
    <w:rsid w:val="609B77D0"/>
    <w:rsid w:val="609E44BC"/>
    <w:rsid w:val="60B15256"/>
    <w:rsid w:val="60C54871"/>
    <w:rsid w:val="60C70223"/>
    <w:rsid w:val="60D054BE"/>
    <w:rsid w:val="60D0634D"/>
    <w:rsid w:val="60D31618"/>
    <w:rsid w:val="60DF7561"/>
    <w:rsid w:val="60E23588"/>
    <w:rsid w:val="60EB6A8E"/>
    <w:rsid w:val="60EC07AD"/>
    <w:rsid w:val="60EF1460"/>
    <w:rsid w:val="60EF4AC1"/>
    <w:rsid w:val="60F53A65"/>
    <w:rsid w:val="60FC14FE"/>
    <w:rsid w:val="61091335"/>
    <w:rsid w:val="610E43FE"/>
    <w:rsid w:val="61100044"/>
    <w:rsid w:val="6124507F"/>
    <w:rsid w:val="613A4F43"/>
    <w:rsid w:val="61446506"/>
    <w:rsid w:val="61647EEF"/>
    <w:rsid w:val="617B6B33"/>
    <w:rsid w:val="6186794E"/>
    <w:rsid w:val="61920DB6"/>
    <w:rsid w:val="61980248"/>
    <w:rsid w:val="619C4100"/>
    <w:rsid w:val="619D7D9C"/>
    <w:rsid w:val="61A35533"/>
    <w:rsid w:val="61A86601"/>
    <w:rsid w:val="61BC3EFA"/>
    <w:rsid w:val="61C960D4"/>
    <w:rsid w:val="61CB2393"/>
    <w:rsid w:val="61D14B09"/>
    <w:rsid w:val="61DE18F2"/>
    <w:rsid w:val="61E300C4"/>
    <w:rsid w:val="61F64E11"/>
    <w:rsid w:val="62276A4D"/>
    <w:rsid w:val="62295352"/>
    <w:rsid w:val="622B0FE0"/>
    <w:rsid w:val="62313B0B"/>
    <w:rsid w:val="623F12A7"/>
    <w:rsid w:val="624228CE"/>
    <w:rsid w:val="624A14E1"/>
    <w:rsid w:val="6277573C"/>
    <w:rsid w:val="62825EEF"/>
    <w:rsid w:val="62895A80"/>
    <w:rsid w:val="628A7BEB"/>
    <w:rsid w:val="628B1891"/>
    <w:rsid w:val="628C2519"/>
    <w:rsid w:val="62911CBB"/>
    <w:rsid w:val="62A97D00"/>
    <w:rsid w:val="62C51497"/>
    <w:rsid w:val="62C531E2"/>
    <w:rsid w:val="62D3401D"/>
    <w:rsid w:val="63032B20"/>
    <w:rsid w:val="63102F1B"/>
    <w:rsid w:val="63123E35"/>
    <w:rsid w:val="6327709C"/>
    <w:rsid w:val="632A5C84"/>
    <w:rsid w:val="632F0B1F"/>
    <w:rsid w:val="63415397"/>
    <w:rsid w:val="63472E65"/>
    <w:rsid w:val="63513BE2"/>
    <w:rsid w:val="63524EC0"/>
    <w:rsid w:val="63675193"/>
    <w:rsid w:val="63721199"/>
    <w:rsid w:val="63735B9F"/>
    <w:rsid w:val="63757D9B"/>
    <w:rsid w:val="637768DA"/>
    <w:rsid w:val="63832138"/>
    <w:rsid w:val="639F0283"/>
    <w:rsid w:val="63AD4666"/>
    <w:rsid w:val="63AF1D76"/>
    <w:rsid w:val="63AF257E"/>
    <w:rsid w:val="63B554BC"/>
    <w:rsid w:val="63B6506A"/>
    <w:rsid w:val="63C138ED"/>
    <w:rsid w:val="63E3779B"/>
    <w:rsid w:val="63E97B06"/>
    <w:rsid w:val="63EC6223"/>
    <w:rsid w:val="63F64269"/>
    <w:rsid w:val="63F64F16"/>
    <w:rsid w:val="63FB3240"/>
    <w:rsid w:val="640C2F61"/>
    <w:rsid w:val="6411509B"/>
    <w:rsid w:val="641316E5"/>
    <w:rsid w:val="642B3519"/>
    <w:rsid w:val="643A0B49"/>
    <w:rsid w:val="643A75D6"/>
    <w:rsid w:val="643C3FAB"/>
    <w:rsid w:val="644D0422"/>
    <w:rsid w:val="645244CF"/>
    <w:rsid w:val="64580ACC"/>
    <w:rsid w:val="645B265F"/>
    <w:rsid w:val="645B3CB7"/>
    <w:rsid w:val="646016F5"/>
    <w:rsid w:val="64640BC0"/>
    <w:rsid w:val="64777174"/>
    <w:rsid w:val="647F1A73"/>
    <w:rsid w:val="64833705"/>
    <w:rsid w:val="64856B4A"/>
    <w:rsid w:val="648A7EB8"/>
    <w:rsid w:val="649511F7"/>
    <w:rsid w:val="64970D92"/>
    <w:rsid w:val="64AA73BB"/>
    <w:rsid w:val="64AF6212"/>
    <w:rsid w:val="64B66154"/>
    <w:rsid w:val="64BE7506"/>
    <w:rsid w:val="64C75099"/>
    <w:rsid w:val="64CA4553"/>
    <w:rsid w:val="64CC6D55"/>
    <w:rsid w:val="64D441F2"/>
    <w:rsid w:val="64D5640B"/>
    <w:rsid w:val="64DC7C61"/>
    <w:rsid w:val="64EB1F8A"/>
    <w:rsid w:val="64EE04D3"/>
    <w:rsid w:val="64F14497"/>
    <w:rsid w:val="6518783F"/>
    <w:rsid w:val="65206A54"/>
    <w:rsid w:val="65481A51"/>
    <w:rsid w:val="65490FD0"/>
    <w:rsid w:val="65557A72"/>
    <w:rsid w:val="656D0763"/>
    <w:rsid w:val="657510AC"/>
    <w:rsid w:val="65781F83"/>
    <w:rsid w:val="65861765"/>
    <w:rsid w:val="659C3D07"/>
    <w:rsid w:val="659F393F"/>
    <w:rsid w:val="65A8591D"/>
    <w:rsid w:val="65B968BD"/>
    <w:rsid w:val="65BF338E"/>
    <w:rsid w:val="65CC75F7"/>
    <w:rsid w:val="65CE2013"/>
    <w:rsid w:val="65CF7A7E"/>
    <w:rsid w:val="65D61D48"/>
    <w:rsid w:val="65E16894"/>
    <w:rsid w:val="660F72D8"/>
    <w:rsid w:val="66106088"/>
    <w:rsid w:val="661D7800"/>
    <w:rsid w:val="66277DA6"/>
    <w:rsid w:val="66310B2C"/>
    <w:rsid w:val="66343738"/>
    <w:rsid w:val="66356DB4"/>
    <w:rsid w:val="66374762"/>
    <w:rsid w:val="663C61B6"/>
    <w:rsid w:val="66461E5B"/>
    <w:rsid w:val="66516F4F"/>
    <w:rsid w:val="66575D99"/>
    <w:rsid w:val="66665A8C"/>
    <w:rsid w:val="66690CC5"/>
    <w:rsid w:val="669B680C"/>
    <w:rsid w:val="66B20767"/>
    <w:rsid w:val="66B2692E"/>
    <w:rsid w:val="66CC0FE3"/>
    <w:rsid w:val="66E4416C"/>
    <w:rsid w:val="67085D01"/>
    <w:rsid w:val="672F4DCC"/>
    <w:rsid w:val="67330BCE"/>
    <w:rsid w:val="67330ECC"/>
    <w:rsid w:val="673347A6"/>
    <w:rsid w:val="673427FB"/>
    <w:rsid w:val="673C4D73"/>
    <w:rsid w:val="67451938"/>
    <w:rsid w:val="674C07D7"/>
    <w:rsid w:val="6759228F"/>
    <w:rsid w:val="67595A9A"/>
    <w:rsid w:val="67597F9E"/>
    <w:rsid w:val="675B3813"/>
    <w:rsid w:val="675E0346"/>
    <w:rsid w:val="675E047D"/>
    <w:rsid w:val="678A2935"/>
    <w:rsid w:val="67BE6FC1"/>
    <w:rsid w:val="67C40CED"/>
    <w:rsid w:val="67C83F2A"/>
    <w:rsid w:val="67C854E5"/>
    <w:rsid w:val="67CF7F96"/>
    <w:rsid w:val="67DE7F8B"/>
    <w:rsid w:val="67E01D12"/>
    <w:rsid w:val="67EB4E15"/>
    <w:rsid w:val="68083716"/>
    <w:rsid w:val="680B257F"/>
    <w:rsid w:val="680D2629"/>
    <w:rsid w:val="680E5CA1"/>
    <w:rsid w:val="681D7ED5"/>
    <w:rsid w:val="68264A44"/>
    <w:rsid w:val="683345AF"/>
    <w:rsid w:val="683C5D05"/>
    <w:rsid w:val="68490472"/>
    <w:rsid w:val="6849385F"/>
    <w:rsid w:val="68542772"/>
    <w:rsid w:val="68625B07"/>
    <w:rsid w:val="686C5281"/>
    <w:rsid w:val="68700C5C"/>
    <w:rsid w:val="6877084A"/>
    <w:rsid w:val="687B1E79"/>
    <w:rsid w:val="687C19B5"/>
    <w:rsid w:val="68936020"/>
    <w:rsid w:val="689D1B89"/>
    <w:rsid w:val="68A01E0C"/>
    <w:rsid w:val="68CB7E3E"/>
    <w:rsid w:val="68D5592F"/>
    <w:rsid w:val="68D66E01"/>
    <w:rsid w:val="68DD29DF"/>
    <w:rsid w:val="68E475C7"/>
    <w:rsid w:val="68E849E7"/>
    <w:rsid w:val="68EA7B78"/>
    <w:rsid w:val="68FC383A"/>
    <w:rsid w:val="69110934"/>
    <w:rsid w:val="69207C6F"/>
    <w:rsid w:val="69283E2B"/>
    <w:rsid w:val="69332DC6"/>
    <w:rsid w:val="695D4FFB"/>
    <w:rsid w:val="69606089"/>
    <w:rsid w:val="696F55C6"/>
    <w:rsid w:val="697B0A9F"/>
    <w:rsid w:val="698133CC"/>
    <w:rsid w:val="699F6EBE"/>
    <w:rsid w:val="69A709A5"/>
    <w:rsid w:val="69A904A6"/>
    <w:rsid w:val="69B06AE6"/>
    <w:rsid w:val="69B17658"/>
    <w:rsid w:val="69B85659"/>
    <w:rsid w:val="69C60A1F"/>
    <w:rsid w:val="69C91885"/>
    <w:rsid w:val="69CA4A95"/>
    <w:rsid w:val="69D21B99"/>
    <w:rsid w:val="69EC5915"/>
    <w:rsid w:val="69F02954"/>
    <w:rsid w:val="69F10D61"/>
    <w:rsid w:val="69F605C4"/>
    <w:rsid w:val="69F9276C"/>
    <w:rsid w:val="6A022BAE"/>
    <w:rsid w:val="6A0802D5"/>
    <w:rsid w:val="6A0D26F1"/>
    <w:rsid w:val="6A0E1913"/>
    <w:rsid w:val="6A0E760E"/>
    <w:rsid w:val="6A1D5AF0"/>
    <w:rsid w:val="6A265F6E"/>
    <w:rsid w:val="6A4E6463"/>
    <w:rsid w:val="6A5B2744"/>
    <w:rsid w:val="6A5B4233"/>
    <w:rsid w:val="6A6219BB"/>
    <w:rsid w:val="6A6316E6"/>
    <w:rsid w:val="6A680374"/>
    <w:rsid w:val="6A7203FE"/>
    <w:rsid w:val="6A724B20"/>
    <w:rsid w:val="6A766B93"/>
    <w:rsid w:val="6A775D1A"/>
    <w:rsid w:val="6A875191"/>
    <w:rsid w:val="6A8D1A85"/>
    <w:rsid w:val="6A93149A"/>
    <w:rsid w:val="6AAB41CE"/>
    <w:rsid w:val="6ACF0B24"/>
    <w:rsid w:val="6AD05183"/>
    <w:rsid w:val="6AD3030D"/>
    <w:rsid w:val="6AD837CE"/>
    <w:rsid w:val="6AED3AF8"/>
    <w:rsid w:val="6AEF231B"/>
    <w:rsid w:val="6B042FAF"/>
    <w:rsid w:val="6B1572BB"/>
    <w:rsid w:val="6B290093"/>
    <w:rsid w:val="6B317074"/>
    <w:rsid w:val="6B345C5B"/>
    <w:rsid w:val="6B347C3F"/>
    <w:rsid w:val="6B4B2321"/>
    <w:rsid w:val="6B52287D"/>
    <w:rsid w:val="6B547B35"/>
    <w:rsid w:val="6B5E6BB9"/>
    <w:rsid w:val="6B754B17"/>
    <w:rsid w:val="6B7567CD"/>
    <w:rsid w:val="6B8B4420"/>
    <w:rsid w:val="6B996DC5"/>
    <w:rsid w:val="6BA517AF"/>
    <w:rsid w:val="6BAB6E72"/>
    <w:rsid w:val="6BB60AD5"/>
    <w:rsid w:val="6BB74B75"/>
    <w:rsid w:val="6BC37624"/>
    <w:rsid w:val="6BCB608E"/>
    <w:rsid w:val="6BCE350F"/>
    <w:rsid w:val="6BCF21C8"/>
    <w:rsid w:val="6BEA3EFA"/>
    <w:rsid w:val="6BED7642"/>
    <w:rsid w:val="6BF6237D"/>
    <w:rsid w:val="6BF739EF"/>
    <w:rsid w:val="6BFE715B"/>
    <w:rsid w:val="6BFF53CE"/>
    <w:rsid w:val="6C006D16"/>
    <w:rsid w:val="6C07342E"/>
    <w:rsid w:val="6C1A73E6"/>
    <w:rsid w:val="6C2A3284"/>
    <w:rsid w:val="6C365F2C"/>
    <w:rsid w:val="6C3B4109"/>
    <w:rsid w:val="6C422B64"/>
    <w:rsid w:val="6C426E58"/>
    <w:rsid w:val="6C464196"/>
    <w:rsid w:val="6C4B1DB8"/>
    <w:rsid w:val="6C5B625A"/>
    <w:rsid w:val="6C5F3557"/>
    <w:rsid w:val="6C614E28"/>
    <w:rsid w:val="6C703F1B"/>
    <w:rsid w:val="6C774FB8"/>
    <w:rsid w:val="6C8F2627"/>
    <w:rsid w:val="6C93655D"/>
    <w:rsid w:val="6C955932"/>
    <w:rsid w:val="6C9F64B5"/>
    <w:rsid w:val="6C9F7F08"/>
    <w:rsid w:val="6CB35787"/>
    <w:rsid w:val="6CC52DD8"/>
    <w:rsid w:val="6CC67608"/>
    <w:rsid w:val="6CDE50E8"/>
    <w:rsid w:val="6CEC5623"/>
    <w:rsid w:val="6CEF1CD0"/>
    <w:rsid w:val="6CF34500"/>
    <w:rsid w:val="6CF65E2E"/>
    <w:rsid w:val="6D023FA9"/>
    <w:rsid w:val="6D080BB5"/>
    <w:rsid w:val="6D0A72D3"/>
    <w:rsid w:val="6D0E0362"/>
    <w:rsid w:val="6D137856"/>
    <w:rsid w:val="6D151B20"/>
    <w:rsid w:val="6D1A4ED9"/>
    <w:rsid w:val="6D1F5FFF"/>
    <w:rsid w:val="6D2856A4"/>
    <w:rsid w:val="6D35457E"/>
    <w:rsid w:val="6D357DB1"/>
    <w:rsid w:val="6D3E11B3"/>
    <w:rsid w:val="6D550EDC"/>
    <w:rsid w:val="6D5D5BF3"/>
    <w:rsid w:val="6D5E228E"/>
    <w:rsid w:val="6D65423A"/>
    <w:rsid w:val="6D832BCE"/>
    <w:rsid w:val="6D861127"/>
    <w:rsid w:val="6D8623AE"/>
    <w:rsid w:val="6DA55867"/>
    <w:rsid w:val="6DA918DE"/>
    <w:rsid w:val="6DBE4DEF"/>
    <w:rsid w:val="6DC530AE"/>
    <w:rsid w:val="6DD05B6C"/>
    <w:rsid w:val="6DDF03BC"/>
    <w:rsid w:val="6DE634F9"/>
    <w:rsid w:val="6DF54322"/>
    <w:rsid w:val="6DFC2FDD"/>
    <w:rsid w:val="6DFC6B12"/>
    <w:rsid w:val="6E007C98"/>
    <w:rsid w:val="6E02353D"/>
    <w:rsid w:val="6E204B9A"/>
    <w:rsid w:val="6E2965A6"/>
    <w:rsid w:val="6E302C11"/>
    <w:rsid w:val="6E3E4282"/>
    <w:rsid w:val="6E3E4973"/>
    <w:rsid w:val="6E434EBF"/>
    <w:rsid w:val="6E5C409F"/>
    <w:rsid w:val="6E5D0DB2"/>
    <w:rsid w:val="6E643B7D"/>
    <w:rsid w:val="6E646EF9"/>
    <w:rsid w:val="6E741AC6"/>
    <w:rsid w:val="6E777ABB"/>
    <w:rsid w:val="6E7838B5"/>
    <w:rsid w:val="6E881FC8"/>
    <w:rsid w:val="6E8B1484"/>
    <w:rsid w:val="6E907D8D"/>
    <w:rsid w:val="6E9E54B3"/>
    <w:rsid w:val="6EA14181"/>
    <w:rsid w:val="6EA53068"/>
    <w:rsid w:val="6EAE0F61"/>
    <w:rsid w:val="6EB870F1"/>
    <w:rsid w:val="6EC817F4"/>
    <w:rsid w:val="6EE82732"/>
    <w:rsid w:val="6EEB3447"/>
    <w:rsid w:val="6EEE2083"/>
    <w:rsid w:val="6EFB778F"/>
    <w:rsid w:val="6EFD7B81"/>
    <w:rsid w:val="6F227892"/>
    <w:rsid w:val="6F2A4225"/>
    <w:rsid w:val="6F302474"/>
    <w:rsid w:val="6F362BFD"/>
    <w:rsid w:val="6F5705BE"/>
    <w:rsid w:val="6F5C645E"/>
    <w:rsid w:val="6F70242D"/>
    <w:rsid w:val="6F7B6855"/>
    <w:rsid w:val="6F7E37CB"/>
    <w:rsid w:val="6F9522E4"/>
    <w:rsid w:val="6F9633D8"/>
    <w:rsid w:val="6FA23B2D"/>
    <w:rsid w:val="6FA40D5B"/>
    <w:rsid w:val="6FAA270C"/>
    <w:rsid w:val="6FAE5398"/>
    <w:rsid w:val="6FB163D2"/>
    <w:rsid w:val="6FEC6D26"/>
    <w:rsid w:val="6FED71FD"/>
    <w:rsid w:val="6FF01A18"/>
    <w:rsid w:val="6FF51CC9"/>
    <w:rsid w:val="70126F50"/>
    <w:rsid w:val="70205308"/>
    <w:rsid w:val="70263C30"/>
    <w:rsid w:val="703A18A8"/>
    <w:rsid w:val="70404FA0"/>
    <w:rsid w:val="70453303"/>
    <w:rsid w:val="7045525E"/>
    <w:rsid w:val="70492189"/>
    <w:rsid w:val="704B2D83"/>
    <w:rsid w:val="704C2E4C"/>
    <w:rsid w:val="704C6B5B"/>
    <w:rsid w:val="705A5E7D"/>
    <w:rsid w:val="705E2B46"/>
    <w:rsid w:val="70651716"/>
    <w:rsid w:val="706A05AE"/>
    <w:rsid w:val="707153BC"/>
    <w:rsid w:val="70723275"/>
    <w:rsid w:val="707976B5"/>
    <w:rsid w:val="707E680A"/>
    <w:rsid w:val="708057EF"/>
    <w:rsid w:val="708606F2"/>
    <w:rsid w:val="708610B7"/>
    <w:rsid w:val="7089589F"/>
    <w:rsid w:val="708A240A"/>
    <w:rsid w:val="708D79F2"/>
    <w:rsid w:val="708E6222"/>
    <w:rsid w:val="709557F8"/>
    <w:rsid w:val="709C2D8A"/>
    <w:rsid w:val="70C65B6C"/>
    <w:rsid w:val="70DD2684"/>
    <w:rsid w:val="70DF0E27"/>
    <w:rsid w:val="70EE14F8"/>
    <w:rsid w:val="70EF0949"/>
    <w:rsid w:val="70F62888"/>
    <w:rsid w:val="70F71EA6"/>
    <w:rsid w:val="70F8054C"/>
    <w:rsid w:val="70FA046A"/>
    <w:rsid w:val="70FD30A5"/>
    <w:rsid w:val="70FE4F97"/>
    <w:rsid w:val="71056663"/>
    <w:rsid w:val="7121719C"/>
    <w:rsid w:val="71266954"/>
    <w:rsid w:val="712D08D1"/>
    <w:rsid w:val="712D2EC9"/>
    <w:rsid w:val="713B4B14"/>
    <w:rsid w:val="713B6A41"/>
    <w:rsid w:val="71421D81"/>
    <w:rsid w:val="714D4207"/>
    <w:rsid w:val="71507783"/>
    <w:rsid w:val="7153545E"/>
    <w:rsid w:val="7160334F"/>
    <w:rsid w:val="71681909"/>
    <w:rsid w:val="716A3370"/>
    <w:rsid w:val="716A7E9B"/>
    <w:rsid w:val="71764586"/>
    <w:rsid w:val="71812FCF"/>
    <w:rsid w:val="71813F83"/>
    <w:rsid w:val="71864485"/>
    <w:rsid w:val="718751AE"/>
    <w:rsid w:val="718A441C"/>
    <w:rsid w:val="719E47B3"/>
    <w:rsid w:val="71AA49AE"/>
    <w:rsid w:val="71C04156"/>
    <w:rsid w:val="71C07801"/>
    <w:rsid w:val="71C337BC"/>
    <w:rsid w:val="71CB1F9B"/>
    <w:rsid w:val="71DF43B5"/>
    <w:rsid w:val="71F524FC"/>
    <w:rsid w:val="71F67DB7"/>
    <w:rsid w:val="71FC1DC3"/>
    <w:rsid w:val="721206AE"/>
    <w:rsid w:val="72206EB5"/>
    <w:rsid w:val="72243ED1"/>
    <w:rsid w:val="722A4E9B"/>
    <w:rsid w:val="722B234A"/>
    <w:rsid w:val="723C2AE8"/>
    <w:rsid w:val="723D6584"/>
    <w:rsid w:val="723D7EC3"/>
    <w:rsid w:val="724B546C"/>
    <w:rsid w:val="72630FA0"/>
    <w:rsid w:val="728050A1"/>
    <w:rsid w:val="72893258"/>
    <w:rsid w:val="729047C5"/>
    <w:rsid w:val="72990297"/>
    <w:rsid w:val="72A87228"/>
    <w:rsid w:val="72AD0644"/>
    <w:rsid w:val="72CB26E9"/>
    <w:rsid w:val="72CB6B94"/>
    <w:rsid w:val="72D2387E"/>
    <w:rsid w:val="72EC5911"/>
    <w:rsid w:val="72F52BCC"/>
    <w:rsid w:val="73066052"/>
    <w:rsid w:val="731B1FC6"/>
    <w:rsid w:val="732B1961"/>
    <w:rsid w:val="73362069"/>
    <w:rsid w:val="736D5BC1"/>
    <w:rsid w:val="73721C0F"/>
    <w:rsid w:val="73765019"/>
    <w:rsid w:val="7389702B"/>
    <w:rsid w:val="7394646A"/>
    <w:rsid w:val="7398173F"/>
    <w:rsid w:val="73AC2120"/>
    <w:rsid w:val="73B210F3"/>
    <w:rsid w:val="73BF4CD3"/>
    <w:rsid w:val="73C675F7"/>
    <w:rsid w:val="73CD60DD"/>
    <w:rsid w:val="73E247C0"/>
    <w:rsid w:val="74087D6B"/>
    <w:rsid w:val="740D287E"/>
    <w:rsid w:val="740E3466"/>
    <w:rsid w:val="741D4CEE"/>
    <w:rsid w:val="741F2DE6"/>
    <w:rsid w:val="74255C5B"/>
    <w:rsid w:val="74267AF8"/>
    <w:rsid w:val="742967CC"/>
    <w:rsid w:val="744359E5"/>
    <w:rsid w:val="744E440C"/>
    <w:rsid w:val="746A2D1F"/>
    <w:rsid w:val="74732CDE"/>
    <w:rsid w:val="747E5161"/>
    <w:rsid w:val="748A6114"/>
    <w:rsid w:val="748E37DD"/>
    <w:rsid w:val="749E04E4"/>
    <w:rsid w:val="749E6D98"/>
    <w:rsid w:val="74A45853"/>
    <w:rsid w:val="74AD024E"/>
    <w:rsid w:val="74AD3489"/>
    <w:rsid w:val="74B23035"/>
    <w:rsid w:val="74DC3843"/>
    <w:rsid w:val="74DE345F"/>
    <w:rsid w:val="74DE6ABD"/>
    <w:rsid w:val="74E80CC2"/>
    <w:rsid w:val="74F736ED"/>
    <w:rsid w:val="75021427"/>
    <w:rsid w:val="750C09A2"/>
    <w:rsid w:val="752464B7"/>
    <w:rsid w:val="752A38BD"/>
    <w:rsid w:val="752D26E3"/>
    <w:rsid w:val="752F46D7"/>
    <w:rsid w:val="753532CE"/>
    <w:rsid w:val="753C4AB3"/>
    <w:rsid w:val="753D46F5"/>
    <w:rsid w:val="75524A1E"/>
    <w:rsid w:val="75550DED"/>
    <w:rsid w:val="755745F1"/>
    <w:rsid w:val="755A4261"/>
    <w:rsid w:val="75605322"/>
    <w:rsid w:val="75631192"/>
    <w:rsid w:val="757401AE"/>
    <w:rsid w:val="75760BA8"/>
    <w:rsid w:val="757C645F"/>
    <w:rsid w:val="75822AFF"/>
    <w:rsid w:val="75874FD0"/>
    <w:rsid w:val="758771B4"/>
    <w:rsid w:val="75947FEE"/>
    <w:rsid w:val="759F0F57"/>
    <w:rsid w:val="75AA2DCF"/>
    <w:rsid w:val="75B37BEE"/>
    <w:rsid w:val="75C23FDB"/>
    <w:rsid w:val="75C9553E"/>
    <w:rsid w:val="75D80CEA"/>
    <w:rsid w:val="75E24BD4"/>
    <w:rsid w:val="75E83EC1"/>
    <w:rsid w:val="75EC3030"/>
    <w:rsid w:val="75EF6C62"/>
    <w:rsid w:val="76040264"/>
    <w:rsid w:val="76086870"/>
    <w:rsid w:val="760E15E9"/>
    <w:rsid w:val="76113221"/>
    <w:rsid w:val="7619723A"/>
    <w:rsid w:val="76382BB8"/>
    <w:rsid w:val="763D4B99"/>
    <w:rsid w:val="763F46EA"/>
    <w:rsid w:val="764A7981"/>
    <w:rsid w:val="764D3192"/>
    <w:rsid w:val="767D7ABD"/>
    <w:rsid w:val="76867C43"/>
    <w:rsid w:val="76916E59"/>
    <w:rsid w:val="769856A5"/>
    <w:rsid w:val="76A62DF9"/>
    <w:rsid w:val="76AD0EED"/>
    <w:rsid w:val="76AF0DF6"/>
    <w:rsid w:val="76B953A4"/>
    <w:rsid w:val="76D40628"/>
    <w:rsid w:val="76E32D2B"/>
    <w:rsid w:val="76ED5551"/>
    <w:rsid w:val="76FA4901"/>
    <w:rsid w:val="77185800"/>
    <w:rsid w:val="772A0666"/>
    <w:rsid w:val="7730316B"/>
    <w:rsid w:val="7734363C"/>
    <w:rsid w:val="7754553F"/>
    <w:rsid w:val="775636D6"/>
    <w:rsid w:val="77601DD7"/>
    <w:rsid w:val="7768467B"/>
    <w:rsid w:val="776E39F1"/>
    <w:rsid w:val="777C57C2"/>
    <w:rsid w:val="77847B12"/>
    <w:rsid w:val="77866F8C"/>
    <w:rsid w:val="7791087F"/>
    <w:rsid w:val="779F7A8D"/>
    <w:rsid w:val="77AA324D"/>
    <w:rsid w:val="77AA36A2"/>
    <w:rsid w:val="77B1120E"/>
    <w:rsid w:val="77B229E2"/>
    <w:rsid w:val="77BE6726"/>
    <w:rsid w:val="780008E1"/>
    <w:rsid w:val="78030F61"/>
    <w:rsid w:val="7804276A"/>
    <w:rsid w:val="78070135"/>
    <w:rsid w:val="781064D2"/>
    <w:rsid w:val="78207845"/>
    <w:rsid w:val="782B0F7B"/>
    <w:rsid w:val="782C74F8"/>
    <w:rsid w:val="783D4C08"/>
    <w:rsid w:val="784B5B84"/>
    <w:rsid w:val="784E2652"/>
    <w:rsid w:val="785119AF"/>
    <w:rsid w:val="78686040"/>
    <w:rsid w:val="786A2F57"/>
    <w:rsid w:val="786B3787"/>
    <w:rsid w:val="787241D9"/>
    <w:rsid w:val="78791148"/>
    <w:rsid w:val="788D6475"/>
    <w:rsid w:val="78934C84"/>
    <w:rsid w:val="78A47E89"/>
    <w:rsid w:val="78A974C5"/>
    <w:rsid w:val="78B425FE"/>
    <w:rsid w:val="78C850D4"/>
    <w:rsid w:val="78D61716"/>
    <w:rsid w:val="78E77A3B"/>
    <w:rsid w:val="78ED461C"/>
    <w:rsid w:val="78F14FF4"/>
    <w:rsid w:val="78FE48DC"/>
    <w:rsid w:val="79070592"/>
    <w:rsid w:val="790F31FE"/>
    <w:rsid w:val="79294073"/>
    <w:rsid w:val="7946777A"/>
    <w:rsid w:val="794801CF"/>
    <w:rsid w:val="79586B8B"/>
    <w:rsid w:val="795907CC"/>
    <w:rsid w:val="79626D8A"/>
    <w:rsid w:val="79777C57"/>
    <w:rsid w:val="79830157"/>
    <w:rsid w:val="798A4BD6"/>
    <w:rsid w:val="798C7C00"/>
    <w:rsid w:val="798D2979"/>
    <w:rsid w:val="79B003C4"/>
    <w:rsid w:val="79B416AE"/>
    <w:rsid w:val="79BC076D"/>
    <w:rsid w:val="79C072EB"/>
    <w:rsid w:val="79C14601"/>
    <w:rsid w:val="79C26034"/>
    <w:rsid w:val="79CA6752"/>
    <w:rsid w:val="79D519B4"/>
    <w:rsid w:val="79DB3FB6"/>
    <w:rsid w:val="79E35790"/>
    <w:rsid w:val="79E37328"/>
    <w:rsid w:val="79EC364C"/>
    <w:rsid w:val="79FF3026"/>
    <w:rsid w:val="7A08100E"/>
    <w:rsid w:val="7A0C72AB"/>
    <w:rsid w:val="7A113F66"/>
    <w:rsid w:val="7A2168B6"/>
    <w:rsid w:val="7A267DBF"/>
    <w:rsid w:val="7A2D1B4D"/>
    <w:rsid w:val="7A2F7512"/>
    <w:rsid w:val="7A3E5CFE"/>
    <w:rsid w:val="7A3F07D1"/>
    <w:rsid w:val="7A4546B0"/>
    <w:rsid w:val="7A4F66E9"/>
    <w:rsid w:val="7A6D2E14"/>
    <w:rsid w:val="7A6F3981"/>
    <w:rsid w:val="7A731583"/>
    <w:rsid w:val="7A7B5FE3"/>
    <w:rsid w:val="7A7E0ED4"/>
    <w:rsid w:val="7A8379D7"/>
    <w:rsid w:val="7A857D35"/>
    <w:rsid w:val="7A8F1874"/>
    <w:rsid w:val="7AA452A9"/>
    <w:rsid w:val="7AA97303"/>
    <w:rsid w:val="7AB63C3E"/>
    <w:rsid w:val="7AB648A3"/>
    <w:rsid w:val="7ABF4BFD"/>
    <w:rsid w:val="7AC0769A"/>
    <w:rsid w:val="7AC82819"/>
    <w:rsid w:val="7ACF12A2"/>
    <w:rsid w:val="7AD466AB"/>
    <w:rsid w:val="7AD67875"/>
    <w:rsid w:val="7AD90925"/>
    <w:rsid w:val="7AD95519"/>
    <w:rsid w:val="7ADC2C51"/>
    <w:rsid w:val="7AE7470A"/>
    <w:rsid w:val="7AF10E75"/>
    <w:rsid w:val="7AF2471D"/>
    <w:rsid w:val="7B036367"/>
    <w:rsid w:val="7B0C796E"/>
    <w:rsid w:val="7B2A766C"/>
    <w:rsid w:val="7B3E6227"/>
    <w:rsid w:val="7B5613F0"/>
    <w:rsid w:val="7B5B5708"/>
    <w:rsid w:val="7B6230E2"/>
    <w:rsid w:val="7B6B6949"/>
    <w:rsid w:val="7B766E99"/>
    <w:rsid w:val="7B7D71AC"/>
    <w:rsid w:val="7B8D77D6"/>
    <w:rsid w:val="7B9558E8"/>
    <w:rsid w:val="7B986026"/>
    <w:rsid w:val="7B9B7D1F"/>
    <w:rsid w:val="7BAB328E"/>
    <w:rsid w:val="7BAF09E4"/>
    <w:rsid w:val="7BB56A2E"/>
    <w:rsid w:val="7BBC657E"/>
    <w:rsid w:val="7BBE16E0"/>
    <w:rsid w:val="7BC41E5B"/>
    <w:rsid w:val="7BC42FA2"/>
    <w:rsid w:val="7BD53FAA"/>
    <w:rsid w:val="7BEA2DCB"/>
    <w:rsid w:val="7BFF2C50"/>
    <w:rsid w:val="7C0248BF"/>
    <w:rsid w:val="7C0531AF"/>
    <w:rsid w:val="7C0D16EC"/>
    <w:rsid w:val="7C2015AF"/>
    <w:rsid w:val="7C260578"/>
    <w:rsid w:val="7C301F71"/>
    <w:rsid w:val="7C327358"/>
    <w:rsid w:val="7C484810"/>
    <w:rsid w:val="7C514665"/>
    <w:rsid w:val="7C5B3CF3"/>
    <w:rsid w:val="7C6163D3"/>
    <w:rsid w:val="7C753763"/>
    <w:rsid w:val="7C7830A0"/>
    <w:rsid w:val="7C7F1203"/>
    <w:rsid w:val="7C861233"/>
    <w:rsid w:val="7C86358B"/>
    <w:rsid w:val="7CA424CB"/>
    <w:rsid w:val="7CBB0B9C"/>
    <w:rsid w:val="7CD107B0"/>
    <w:rsid w:val="7CD31D2E"/>
    <w:rsid w:val="7CDB22DD"/>
    <w:rsid w:val="7CFA19F6"/>
    <w:rsid w:val="7CFC4CE4"/>
    <w:rsid w:val="7D1402B5"/>
    <w:rsid w:val="7D232704"/>
    <w:rsid w:val="7D2E6B63"/>
    <w:rsid w:val="7D330ED8"/>
    <w:rsid w:val="7D397B53"/>
    <w:rsid w:val="7D47754B"/>
    <w:rsid w:val="7D4C1310"/>
    <w:rsid w:val="7D566C4C"/>
    <w:rsid w:val="7D575434"/>
    <w:rsid w:val="7D5C158D"/>
    <w:rsid w:val="7D873047"/>
    <w:rsid w:val="7D8C4A94"/>
    <w:rsid w:val="7D8C7B60"/>
    <w:rsid w:val="7D9417A7"/>
    <w:rsid w:val="7D9D0247"/>
    <w:rsid w:val="7DA27195"/>
    <w:rsid w:val="7DA31D3A"/>
    <w:rsid w:val="7DA60B09"/>
    <w:rsid w:val="7DA84B9B"/>
    <w:rsid w:val="7DB041C0"/>
    <w:rsid w:val="7DB34F6D"/>
    <w:rsid w:val="7DB701D1"/>
    <w:rsid w:val="7DC5124A"/>
    <w:rsid w:val="7DF1439D"/>
    <w:rsid w:val="7DF2227D"/>
    <w:rsid w:val="7DF47C83"/>
    <w:rsid w:val="7E08440D"/>
    <w:rsid w:val="7E0A4EFF"/>
    <w:rsid w:val="7E19605A"/>
    <w:rsid w:val="7E28328D"/>
    <w:rsid w:val="7E4D25B2"/>
    <w:rsid w:val="7E4F60E7"/>
    <w:rsid w:val="7E503552"/>
    <w:rsid w:val="7E5B0325"/>
    <w:rsid w:val="7E615D10"/>
    <w:rsid w:val="7E662EF1"/>
    <w:rsid w:val="7E6C60EF"/>
    <w:rsid w:val="7E6E35D3"/>
    <w:rsid w:val="7E722B42"/>
    <w:rsid w:val="7E74766B"/>
    <w:rsid w:val="7E823789"/>
    <w:rsid w:val="7E9A1C29"/>
    <w:rsid w:val="7E9B156F"/>
    <w:rsid w:val="7EC365FC"/>
    <w:rsid w:val="7EC503C4"/>
    <w:rsid w:val="7ECD1B01"/>
    <w:rsid w:val="7ED33C84"/>
    <w:rsid w:val="7EDA006E"/>
    <w:rsid w:val="7EDF2A10"/>
    <w:rsid w:val="7EF77B5D"/>
    <w:rsid w:val="7EF85566"/>
    <w:rsid w:val="7F035CA5"/>
    <w:rsid w:val="7F06150E"/>
    <w:rsid w:val="7F0A4E60"/>
    <w:rsid w:val="7F11728C"/>
    <w:rsid w:val="7F180908"/>
    <w:rsid w:val="7F191F8E"/>
    <w:rsid w:val="7F1B0882"/>
    <w:rsid w:val="7F2208E4"/>
    <w:rsid w:val="7F3E10B2"/>
    <w:rsid w:val="7F427191"/>
    <w:rsid w:val="7F477013"/>
    <w:rsid w:val="7F4C205B"/>
    <w:rsid w:val="7F522C51"/>
    <w:rsid w:val="7F5237DF"/>
    <w:rsid w:val="7F6B22CE"/>
    <w:rsid w:val="7F6F617E"/>
    <w:rsid w:val="7F8A51B5"/>
    <w:rsid w:val="7F9441A2"/>
    <w:rsid w:val="7F9D4539"/>
    <w:rsid w:val="7F9D6925"/>
    <w:rsid w:val="7F9E1E32"/>
    <w:rsid w:val="7FAE51BB"/>
    <w:rsid w:val="7FBB65B0"/>
    <w:rsid w:val="7FBE555F"/>
    <w:rsid w:val="7FDB29B2"/>
    <w:rsid w:val="7FE472EA"/>
    <w:rsid w:val="7FE47DF8"/>
    <w:rsid w:val="7FEB4059"/>
    <w:rsid w:val="7FEE3395"/>
    <w:rsid w:val="7FF35F8F"/>
    <w:rsid w:val="7FF60B82"/>
    <w:rsid w:val="7FF87AFA"/>
    <w:rsid w:val="7FFC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340" w:after="330" w:line="578" w:lineRule="auto"/>
      <w:outlineLvl w:val="0"/>
    </w:pPr>
    <w:rPr>
      <w:bCs/>
      <w:kern w:val="44"/>
      <w:sz w:val="44"/>
      <w:szCs w:val="44"/>
    </w:rPr>
  </w:style>
  <w:style w:type="paragraph" w:styleId="3">
    <w:name w:val="heading 2"/>
    <w:basedOn w:val="1"/>
    <w:next w:val="1"/>
    <w:autoRedefine/>
    <w:qFormat/>
    <w:uiPriority w:val="0"/>
    <w:pPr>
      <w:keepNext/>
      <w:keepLines/>
      <w:spacing w:before="260" w:after="260"/>
      <w:contextualSpacing/>
      <w:outlineLvl w:val="1"/>
    </w:pPr>
    <w:rPr>
      <w:rFonts w:ascii="宋体"/>
      <w:szCs w:val="28"/>
    </w:rPr>
  </w:style>
  <w:style w:type="paragraph" w:styleId="4">
    <w:name w:val="heading 3"/>
    <w:basedOn w:val="1"/>
    <w:next w:val="1"/>
    <w:autoRedefine/>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index 5"/>
    <w:basedOn w:val="1"/>
    <w:next w:val="1"/>
    <w:autoRedefine/>
    <w:unhideWhenUsed/>
    <w:qFormat/>
    <w:uiPriority w:val="99"/>
    <w:pPr>
      <w:ind w:left="1680"/>
    </w:pPr>
  </w:style>
  <w:style w:type="paragraph" w:styleId="7">
    <w:name w:val="toa heading"/>
    <w:basedOn w:val="1"/>
    <w:next w:val="1"/>
    <w:autoRedefine/>
    <w:semiHidden/>
    <w:qFormat/>
    <w:uiPriority w:val="99"/>
    <w:pPr>
      <w:spacing w:before="120"/>
    </w:pPr>
    <w:rPr>
      <w:rFonts w:ascii="Arial" w:hAnsi="Arial" w:cs="Arial"/>
      <w:sz w:val="24"/>
      <w:szCs w:val="24"/>
    </w:rPr>
  </w:style>
  <w:style w:type="paragraph" w:styleId="8">
    <w:name w:val="annotation text"/>
    <w:basedOn w:val="1"/>
    <w:autoRedefine/>
    <w:unhideWhenUsed/>
    <w:qFormat/>
    <w:uiPriority w:val="99"/>
    <w:rPr>
      <w:rFonts w:cs="Times New Roman"/>
    </w:rPr>
  </w:style>
  <w:style w:type="paragraph" w:styleId="9">
    <w:name w:val="index 6"/>
    <w:basedOn w:val="1"/>
    <w:next w:val="1"/>
    <w:autoRedefine/>
    <w:qFormat/>
    <w:uiPriority w:val="99"/>
    <w:pPr>
      <w:ind w:left="2100"/>
    </w:pPr>
  </w:style>
  <w:style w:type="paragraph" w:styleId="10">
    <w:name w:val="Body Text 3"/>
    <w:basedOn w:val="1"/>
    <w:next w:val="1"/>
    <w:autoRedefine/>
    <w:qFormat/>
    <w:uiPriority w:val="0"/>
    <w:pPr>
      <w:spacing w:after="120" w:line="540" w:lineRule="exact"/>
      <w:ind w:firstLine="200" w:firstLineChars="200"/>
    </w:pPr>
    <w:rPr>
      <w:rFonts w:eastAsia="仿宋_GB2312"/>
      <w:sz w:val="16"/>
      <w:szCs w:val="16"/>
    </w:rPr>
  </w:style>
  <w:style w:type="paragraph" w:styleId="11">
    <w:name w:val="List Bullet 3"/>
    <w:basedOn w:val="1"/>
    <w:autoRedefine/>
    <w:qFormat/>
    <w:uiPriority w:val="0"/>
    <w:pPr>
      <w:numPr>
        <w:ilvl w:val="0"/>
        <w:numId w:val="1"/>
      </w:numPr>
    </w:pPr>
  </w:style>
  <w:style w:type="paragraph" w:styleId="12">
    <w:name w:val="Body Text"/>
    <w:basedOn w:val="1"/>
    <w:autoRedefine/>
    <w:qFormat/>
    <w:uiPriority w:val="0"/>
    <w:pPr>
      <w:widowControl/>
      <w:jc w:val="left"/>
    </w:pPr>
    <w:rPr>
      <w:rFonts w:ascii="Times New Roman" w:hAnsi="Times New Roman"/>
      <w:kern w:val="0"/>
    </w:rPr>
  </w:style>
  <w:style w:type="paragraph" w:styleId="13">
    <w:name w:val="Body Text Indent"/>
    <w:basedOn w:val="1"/>
    <w:next w:val="14"/>
    <w:autoRedefine/>
    <w:semiHidden/>
    <w:qFormat/>
    <w:uiPriority w:val="99"/>
    <w:pPr>
      <w:spacing w:after="120"/>
      <w:ind w:left="420" w:leftChars="200"/>
    </w:pPr>
  </w:style>
  <w:style w:type="paragraph" w:styleId="14">
    <w:name w:val="Body Text First Indent"/>
    <w:basedOn w:val="12"/>
    <w:next w:val="9"/>
    <w:autoRedefine/>
    <w:qFormat/>
    <w:uiPriority w:val="0"/>
    <w:pPr>
      <w:spacing w:line="540" w:lineRule="exact"/>
      <w:ind w:firstLine="420" w:firstLineChars="100"/>
    </w:pPr>
    <w:rPr>
      <w:rFonts w:eastAsia="仿宋_GB2312"/>
      <w:sz w:val="28"/>
      <w:szCs w:val="24"/>
    </w:rPr>
  </w:style>
  <w:style w:type="paragraph" w:styleId="15">
    <w:name w:val="toc 3"/>
    <w:basedOn w:val="1"/>
    <w:next w:val="1"/>
    <w:autoRedefine/>
    <w:unhideWhenUsed/>
    <w:qFormat/>
    <w:uiPriority w:val="39"/>
    <w:pPr>
      <w:ind w:left="840" w:leftChars="400"/>
    </w:pPr>
  </w:style>
  <w:style w:type="paragraph" w:styleId="16">
    <w:name w:val="Plain Text"/>
    <w:basedOn w:val="1"/>
    <w:next w:val="17"/>
    <w:autoRedefine/>
    <w:qFormat/>
    <w:uiPriority w:val="0"/>
    <w:rPr>
      <w:rFonts w:ascii="宋体" w:hAnsi="宋体"/>
    </w:rPr>
  </w:style>
  <w:style w:type="paragraph" w:styleId="17">
    <w:name w:val="List Number 5"/>
    <w:basedOn w:val="1"/>
    <w:autoRedefine/>
    <w:qFormat/>
    <w:uiPriority w:val="0"/>
    <w:pPr>
      <w:numPr>
        <w:ilvl w:val="0"/>
        <w:numId w:val="2"/>
      </w:numPr>
    </w:pPr>
  </w:style>
  <w:style w:type="paragraph" w:styleId="18">
    <w:name w:val="endnote text"/>
    <w:basedOn w:val="19"/>
    <w:autoRedefine/>
    <w:qFormat/>
    <w:uiPriority w:val="0"/>
    <w:pPr>
      <w:snapToGrid w:val="0"/>
      <w:jc w:val="left"/>
    </w:pPr>
    <w:rPr>
      <w:kern w:val="0"/>
      <w:sz w:val="24"/>
      <w:szCs w:val="24"/>
    </w:rPr>
  </w:style>
  <w:style w:type="paragraph" w:customStyle="1" w:styleId="19">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Balloon Text"/>
    <w:basedOn w:val="1"/>
    <w:link w:val="150"/>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link w:val="15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22"/>
      </w:tabs>
      <w:spacing w:line="440" w:lineRule="exact"/>
      <w:ind w:right="231" w:rightChars="110"/>
    </w:pPr>
    <w:rPr>
      <w:sz w:val="28"/>
    </w:rPr>
  </w:style>
  <w:style w:type="paragraph" w:styleId="24">
    <w:name w:val="Subtitle"/>
    <w:basedOn w:val="1"/>
    <w:next w:val="1"/>
    <w:link w:val="184"/>
    <w:autoRedefine/>
    <w:qFormat/>
    <w:uiPriority w:val="0"/>
    <w:pPr>
      <w:spacing w:before="240" w:after="60" w:line="312" w:lineRule="auto"/>
      <w:jc w:val="center"/>
      <w:outlineLvl w:val="1"/>
    </w:pPr>
    <w:rPr>
      <w:rFonts w:ascii="Arial" w:hAnsi="Arial"/>
      <w:b/>
      <w:kern w:val="28"/>
      <w:sz w:val="32"/>
    </w:rPr>
  </w:style>
  <w:style w:type="paragraph" w:styleId="25">
    <w:name w:val="footnote text"/>
    <w:basedOn w:val="1"/>
    <w:next w:val="6"/>
    <w:autoRedefine/>
    <w:qFormat/>
    <w:uiPriority w:val="0"/>
    <w:pPr>
      <w:snapToGrid w:val="0"/>
    </w:pPr>
    <w:rPr>
      <w:sz w:val="18"/>
    </w:rPr>
  </w:style>
  <w:style w:type="paragraph" w:styleId="26">
    <w:name w:val="toc 2"/>
    <w:basedOn w:val="1"/>
    <w:next w:val="1"/>
    <w:autoRedefine/>
    <w:qFormat/>
    <w:uiPriority w:val="0"/>
    <w:pPr>
      <w:ind w:left="420" w:leftChars="200"/>
    </w:pPr>
  </w:style>
  <w:style w:type="paragraph" w:styleId="27">
    <w:name w:val="Body Text 2"/>
    <w:basedOn w:val="1"/>
    <w:autoRedefine/>
    <w:qFormat/>
    <w:uiPriority w:val="0"/>
    <w:rPr>
      <w:rFonts w:ascii="楷体_GB2312" w:hAnsi="Copperplate Gothic Bold" w:eastAsia="楷体_GB2312"/>
      <w:sz w:val="28"/>
    </w:r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183"/>
    <w:autoRedefine/>
    <w:qFormat/>
    <w:uiPriority w:val="10"/>
    <w:pPr>
      <w:spacing w:before="60" w:after="60"/>
      <w:jc w:val="center"/>
      <w:outlineLvl w:val="0"/>
    </w:pPr>
    <w:rPr>
      <w:rFonts w:ascii="Cambria" w:hAnsi="Cambria" w:cs="Times New Roman"/>
      <w:b/>
      <w:bCs/>
      <w:szCs w:val="32"/>
    </w:rPr>
  </w:style>
  <w:style w:type="paragraph" w:styleId="31">
    <w:name w:val="Body Text First Indent 2"/>
    <w:basedOn w:val="13"/>
    <w:next w:val="16"/>
    <w:autoRedefine/>
    <w:qFormat/>
    <w:uiPriority w:val="99"/>
    <w:pPr>
      <w:ind w:firstLine="420" w:firstLineChars="200"/>
    </w:p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endnote reference"/>
    <w:autoRedefine/>
    <w:qFormat/>
    <w:uiPriority w:val="0"/>
    <w:rPr>
      <w:rFonts w:ascii="Calibri" w:hAnsi="Calibri" w:eastAsia="宋体" w:cs="Times New Roman"/>
      <w:vertAlign w:val="superscript"/>
    </w:rPr>
  </w:style>
  <w:style w:type="character" w:styleId="37">
    <w:name w:val="page number"/>
    <w:basedOn w:val="34"/>
    <w:autoRedefine/>
    <w:qFormat/>
    <w:uiPriority w:val="99"/>
    <w:rPr>
      <w:rFonts w:cs="Times New Roman"/>
    </w:rPr>
  </w:style>
  <w:style w:type="character" w:styleId="38">
    <w:name w:val="FollowedHyperlink"/>
    <w:basedOn w:val="34"/>
    <w:autoRedefine/>
    <w:qFormat/>
    <w:uiPriority w:val="0"/>
    <w:rPr>
      <w:color w:val="666666"/>
      <w:u w:val="none"/>
    </w:rPr>
  </w:style>
  <w:style w:type="character" w:styleId="39">
    <w:name w:val="Emphasis"/>
    <w:basedOn w:val="34"/>
    <w:qFormat/>
    <w:uiPriority w:val="0"/>
    <w:rPr>
      <w:i/>
    </w:rPr>
  </w:style>
  <w:style w:type="character" w:styleId="40">
    <w:name w:val="Hyperlink"/>
    <w:basedOn w:val="34"/>
    <w:autoRedefine/>
    <w:qFormat/>
    <w:uiPriority w:val="99"/>
    <w:rPr>
      <w:color w:val="0000FF"/>
      <w:u w:val="single"/>
    </w:rPr>
  </w:style>
  <w:style w:type="character" w:styleId="41">
    <w:name w:val="HTML Sample"/>
    <w:basedOn w:val="34"/>
    <w:autoRedefine/>
    <w:qFormat/>
    <w:uiPriority w:val="0"/>
    <w:rPr>
      <w:rFonts w:ascii="Courier New" w:hAnsi="Courier New"/>
    </w:rPr>
  </w:style>
  <w:style w:type="paragraph" w:customStyle="1" w:styleId="42">
    <w:name w:val="Char"/>
    <w:basedOn w:val="1"/>
    <w:autoRedefine/>
    <w:qFormat/>
    <w:uiPriority w:val="0"/>
    <w:rPr>
      <w:szCs w:val="21"/>
    </w:rPr>
  </w:style>
  <w:style w:type="paragraph" w:customStyle="1" w:styleId="43">
    <w:name w:val="章标题"/>
    <w:basedOn w:val="1"/>
    <w:next w:val="44"/>
    <w:autoRedefine/>
    <w:qFormat/>
    <w:uiPriority w:val="0"/>
    <w:pPr>
      <w:widowControl/>
      <w:spacing w:before="158" w:after="153" w:line="323" w:lineRule="atLeast"/>
      <w:jc w:val="center"/>
      <w:textAlignment w:val="baseline"/>
    </w:pPr>
    <w:rPr>
      <w:rFonts w:ascii="Arial" w:eastAsia="黑体"/>
      <w:color w:val="000000"/>
      <w:kern w:val="0"/>
      <w:sz w:val="31"/>
    </w:rPr>
  </w:style>
  <w:style w:type="paragraph" w:customStyle="1" w:styleId="44">
    <w:name w:val="段"/>
    <w:next w:val="1"/>
    <w:autoRedefine/>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_0_0"/>
    <w:basedOn w:val="47"/>
    <w:autoRedefine/>
    <w:qFormat/>
    <w:uiPriority w:val="0"/>
    <w:rPr>
      <w:rFonts w:ascii="Calibri" w:hAnsi="Calibri"/>
    </w:rPr>
  </w:style>
  <w:style w:type="paragraph" w:customStyle="1" w:styleId="47">
    <w:name w:val="正文_3_0"/>
    <w:basedOn w:val="48"/>
    <w:next w:val="51"/>
    <w:autoRedefine/>
    <w:qFormat/>
    <w:uiPriority w:val="0"/>
  </w:style>
  <w:style w:type="paragraph" w:customStyle="1" w:styleId="48">
    <w:name w:val="正文_4_0"/>
    <w:next w:val="4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TOAHeading"/>
    <w:basedOn w:val="50"/>
    <w:next w:val="48"/>
    <w:autoRedefine/>
    <w:qFormat/>
    <w:uiPriority w:val="0"/>
    <w:pPr>
      <w:spacing w:before="120"/>
      <w:textAlignment w:val="baseline"/>
    </w:pPr>
    <w:rPr>
      <w:rFonts w:ascii="Cambria" w:hAnsi="Cambria"/>
      <w:szCs w:val="22"/>
    </w:rPr>
  </w:style>
  <w:style w:type="paragraph" w:customStyle="1" w:styleId="50">
    <w:name w:val="正文_4_0_0"/>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引文目录标题_0_0_1"/>
    <w:basedOn w:val="47"/>
    <w:next w:val="52"/>
    <w:autoRedefine/>
    <w:unhideWhenUsed/>
    <w:qFormat/>
    <w:uiPriority w:val="99"/>
    <w:pPr>
      <w:spacing w:before="120" w:after="100" w:afterAutospacing="1"/>
    </w:pPr>
    <w:rPr>
      <w:rFonts w:ascii="Arial" w:hAnsi="Arial" w:cs="Arial"/>
      <w:sz w:val="24"/>
      <w:szCs w:val="24"/>
    </w:rPr>
  </w:style>
  <w:style w:type="paragraph" w:customStyle="1" w:styleId="52">
    <w:name w:val="正文_1_0_2"/>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1_0"/>
    <w:basedOn w:val="54"/>
    <w:autoRedefine/>
    <w:qFormat/>
    <w:uiPriority w:val="0"/>
    <w:rPr>
      <w:rFonts w:ascii="Times New Roman" w:hAnsi="Times New Roman" w:eastAsia="宋体"/>
    </w:rPr>
  </w:style>
  <w:style w:type="paragraph" w:customStyle="1" w:styleId="54">
    <w:name w:val="正文_2"/>
    <w:basedOn w:val="55"/>
    <w:autoRedefine/>
    <w:qFormat/>
    <w:uiPriority w:val="0"/>
    <w:rPr>
      <w:rFonts w:ascii="Calibri" w:hAnsi="Calibri"/>
      <w:sz w:val="21"/>
      <w:szCs w:val="22"/>
    </w:rPr>
  </w:style>
  <w:style w:type="paragraph" w:customStyle="1" w:styleId="55">
    <w:name w:val="正文_4"/>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customStyle="1" w:styleId="56">
    <w:name w:val="超链接_0"/>
    <w:autoRedefine/>
    <w:qFormat/>
    <w:uiPriority w:val="99"/>
    <w:rPr>
      <w:rFonts w:ascii="Calibri" w:hAnsi="Calibri"/>
      <w:color w:val="0000FF"/>
      <w:u w:val="single"/>
    </w:rPr>
  </w:style>
  <w:style w:type="paragraph" w:customStyle="1" w:styleId="57">
    <w:name w:val="正文_2_0_0_0"/>
    <w:basedOn w:val="58"/>
    <w:next w:val="59"/>
    <w:autoRedefine/>
    <w:qFormat/>
    <w:uiPriority w:val="0"/>
  </w:style>
  <w:style w:type="paragraph" w:customStyle="1" w:styleId="58">
    <w:name w:val="正文_3_0_0"/>
    <w:basedOn w:val="46"/>
    <w:autoRedefine/>
    <w:qFormat/>
    <w:uiPriority w:val="0"/>
  </w:style>
  <w:style w:type="paragraph" w:customStyle="1" w:styleId="59">
    <w:name w:val="引文目录标题_1_0"/>
    <w:basedOn w:val="57"/>
    <w:next w:val="57"/>
    <w:autoRedefine/>
    <w:qFormat/>
    <w:uiPriority w:val="0"/>
    <w:pPr>
      <w:spacing w:before="120"/>
    </w:pPr>
    <w:rPr>
      <w:rFonts w:ascii="Arial" w:hAnsi="Arial" w:cs="Arial"/>
      <w:sz w:val="24"/>
      <w:szCs w:val="24"/>
    </w:rPr>
  </w:style>
  <w:style w:type="paragraph" w:customStyle="1" w:styleId="60">
    <w:name w:val="正文文本_0"/>
    <w:basedOn w:val="61"/>
    <w:autoRedefine/>
    <w:unhideWhenUsed/>
    <w:qFormat/>
    <w:uiPriority w:val="0"/>
    <w:pPr>
      <w:spacing w:after="120"/>
    </w:pPr>
  </w:style>
  <w:style w:type="paragraph" w:customStyle="1" w:styleId="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_0_0"/>
    <w:basedOn w:val="63"/>
    <w:autoRedefine/>
    <w:qFormat/>
    <w:uiPriority w:val="0"/>
    <w:rPr>
      <w:rFonts w:ascii="Calibri" w:hAnsi="Calibri"/>
      <w:szCs w:val="21"/>
    </w:rPr>
  </w:style>
  <w:style w:type="paragraph" w:customStyle="1" w:styleId="63">
    <w:name w:val="正文_4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_0_0_0_0"/>
    <w:basedOn w:val="65"/>
    <w:next w:val="67"/>
    <w:autoRedefine/>
    <w:qFormat/>
    <w:uiPriority w:val="0"/>
    <w:rPr>
      <w:rFonts w:ascii="Calibri" w:hAnsi="Calibri"/>
      <w:szCs w:val="21"/>
    </w:rPr>
  </w:style>
  <w:style w:type="paragraph" w:customStyle="1" w:styleId="65">
    <w:name w:val="正文_2_1_1"/>
    <w:basedOn w:val="66"/>
    <w:autoRedefine/>
    <w:qFormat/>
    <w:uiPriority w:val="0"/>
    <w:rPr>
      <w:szCs w:val="22"/>
    </w:rPr>
  </w:style>
  <w:style w:type="paragraph" w:customStyle="1" w:styleId="66">
    <w:name w:val="正文_3_0_0_0_0"/>
    <w:basedOn w:val="50"/>
    <w:autoRedefine/>
    <w:qFormat/>
    <w:uiPriority w:val="0"/>
  </w:style>
  <w:style w:type="paragraph" w:customStyle="1" w:styleId="67">
    <w:name w:val="引文目录标题_0_0_0_0_0"/>
    <w:basedOn w:val="68"/>
    <w:next w:val="64"/>
    <w:autoRedefine/>
    <w:unhideWhenUsed/>
    <w:qFormat/>
    <w:uiPriority w:val="99"/>
    <w:pPr>
      <w:spacing w:before="120" w:after="100" w:afterAutospacing="1"/>
    </w:pPr>
    <w:rPr>
      <w:rFonts w:ascii="Arial" w:hAnsi="Arial" w:cs="Arial"/>
      <w:sz w:val="24"/>
    </w:rPr>
  </w:style>
  <w:style w:type="paragraph" w:customStyle="1" w:styleId="68">
    <w:name w:val="正文_3_0_0_1"/>
    <w:basedOn w:val="50"/>
    <w:next w:val="67"/>
    <w:autoRedefine/>
    <w:qFormat/>
    <w:uiPriority w:val="0"/>
  </w:style>
  <w:style w:type="paragraph" w:customStyle="1" w:styleId="69">
    <w:name w:val="正文缩进_0_0_0"/>
    <w:basedOn w:val="70"/>
    <w:autoRedefine/>
    <w:unhideWhenUsed/>
    <w:qFormat/>
    <w:uiPriority w:val="0"/>
    <w:pPr>
      <w:ind w:firstLine="420" w:firstLineChars="200"/>
    </w:pPr>
  </w:style>
  <w:style w:type="paragraph" w:customStyle="1" w:styleId="70">
    <w:name w:val="正文_0_1_1"/>
    <w:basedOn w:val="71"/>
    <w:autoRedefine/>
    <w:qFormat/>
    <w:uiPriority w:val="0"/>
    <w:rPr>
      <w:rFonts w:ascii="Calibri" w:hAnsi="Calibri"/>
      <w:szCs w:val="22"/>
    </w:rPr>
  </w:style>
  <w:style w:type="paragraph" w:customStyle="1" w:styleId="71">
    <w:name w:val="正文_1_1_0"/>
    <w:next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引文目录标题_0_0"/>
    <w:basedOn w:val="73"/>
    <w:next w:val="73"/>
    <w:autoRedefine/>
    <w:qFormat/>
    <w:uiPriority w:val="0"/>
    <w:pPr>
      <w:spacing w:before="120"/>
    </w:pPr>
    <w:rPr>
      <w:rFonts w:ascii="Arial" w:hAnsi="Arial" w:cs="Arial"/>
      <w:sz w:val="24"/>
      <w:szCs w:val="24"/>
    </w:rPr>
  </w:style>
  <w:style w:type="paragraph" w:customStyle="1" w:styleId="73">
    <w:name w:val="正文_5_0"/>
    <w:next w:val="7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缩进_0"/>
    <w:basedOn w:val="75"/>
    <w:autoRedefine/>
    <w:unhideWhenUsed/>
    <w:qFormat/>
    <w:uiPriority w:val="0"/>
    <w:pPr>
      <w:ind w:firstLine="420" w:firstLineChars="200"/>
    </w:pPr>
  </w:style>
  <w:style w:type="paragraph" w:customStyle="1" w:styleId="75">
    <w:name w:val="正文_2_2"/>
    <w:basedOn w:val="19"/>
    <w:next w:val="76"/>
    <w:autoRedefine/>
    <w:qFormat/>
    <w:uiPriority w:val="0"/>
  </w:style>
  <w:style w:type="paragraph" w:customStyle="1" w:styleId="76">
    <w:name w:val="引文目录标题_1_1"/>
    <w:basedOn w:val="75"/>
    <w:next w:val="75"/>
    <w:autoRedefine/>
    <w:qFormat/>
    <w:uiPriority w:val="0"/>
    <w:pPr>
      <w:spacing w:before="120"/>
    </w:pPr>
    <w:rPr>
      <w:rFonts w:ascii="Arial" w:hAnsi="Arial" w:cs="Arial"/>
      <w:sz w:val="24"/>
      <w:szCs w:val="24"/>
    </w:rPr>
  </w:style>
  <w:style w:type="paragraph" w:customStyle="1" w:styleId="77">
    <w:name w:val="正文_4_1"/>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78">
    <w:name w:val="标题 2_0"/>
    <w:basedOn w:val="79"/>
    <w:next w:val="46"/>
    <w:autoRedefine/>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79">
    <w:name w:val="标题 3_0"/>
    <w:basedOn w:val="75"/>
    <w:next w:val="46"/>
    <w:autoRedefine/>
    <w:unhideWhenUsed/>
    <w:qFormat/>
    <w:uiPriority w:val="9"/>
    <w:pPr>
      <w:keepNext/>
      <w:keepLines/>
      <w:spacing w:before="260" w:after="260" w:line="416" w:lineRule="auto"/>
      <w:outlineLvl w:val="2"/>
    </w:pPr>
    <w:rPr>
      <w:b/>
      <w:bCs/>
      <w:sz w:val="32"/>
      <w:szCs w:val="32"/>
    </w:rPr>
  </w:style>
  <w:style w:type="paragraph" w:customStyle="1" w:styleId="80">
    <w:name w:val="纯文本_0"/>
    <w:basedOn w:val="75"/>
    <w:autoRedefine/>
    <w:qFormat/>
    <w:uiPriority w:val="0"/>
    <w:rPr>
      <w:rFonts w:ascii="宋体" w:hAnsi="Courier New"/>
      <w:szCs w:val="21"/>
    </w:rPr>
  </w:style>
  <w:style w:type="paragraph" w:customStyle="1" w:styleId="81">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82">
    <w:name w:val="普通(网站)_0_0"/>
    <w:basedOn w:val="83"/>
    <w:autoRedefine/>
    <w:qFormat/>
    <w:uiPriority w:val="99"/>
    <w:rPr>
      <w:rFonts w:ascii="Times New Roman" w:hAnsi="Times New Roman"/>
      <w:sz w:val="24"/>
    </w:rPr>
  </w:style>
  <w:style w:type="paragraph" w:customStyle="1" w:styleId="83">
    <w:name w:val="正文_0_2"/>
    <w:next w:val="8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引文目录标题1_0"/>
    <w:basedOn w:val="83"/>
    <w:next w:val="83"/>
    <w:autoRedefine/>
    <w:qFormat/>
    <w:uiPriority w:val="0"/>
    <w:pPr>
      <w:spacing w:before="120"/>
    </w:pPr>
    <w:rPr>
      <w:rFonts w:ascii="Cambria" w:hAnsi="Cambria"/>
      <w:sz w:val="24"/>
    </w:rPr>
  </w:style>
  <w:style w:type="character" w:customStyle="1" w:styleId="85">
    <w:name w:val="NormalCharacter_2"/>
    <w:autoRedefine/>
    <w:qFormat/>
    <w:uiPriority w:val="0"/>
    <w:rPr>
      <w:kern w:val="2"/>
      <w:sz w:val="21"/>
      <w:szCs w:val="22"/>
      <w:lang w:val="en-US" w:eastAsia="zh-CN" w:bidi="ar-SA"/>
    </w:rPr>
  </w:style>
  <w:style w:type="paragraph" w:customStyle="1" w:styleId="86">
    <w:name w:val="Normal_25"/>
    <w:autoRedefine/>
    <w:qFormat/>
    <w:uiPriority w:val="0"/>
    <w:rPr>
      <w:rFonts w:ascii="Times New Roman" w:hAnsi="Times New Roman" w:eastAsia="Times New Roman" w:cs="Times New Roman"/>
      <w:sz w:val="24"/>
      <w:szCs w:val="24"/>
      <w:lang w:val="en-US" w:eastAsia="zh-CN" w:bidi="ar-SA"/>
    </w:rPr>
  </w:style>
  <w:style w:type="paragraph" w:customStyle="1" w:styleId="87">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1"/>
    <w:autoRedefine/>
    <w:qFormat/>
    <w:uiPriority w:val="0"/>
    <w:rPr>
      <w:rFonts w:ascii="黑体" w:hAnsi="黑体" w:eastAsia="黑体" w:cs="Times New Roman"/>
      <w:b/>
      <w:sz w:val="32"/>
      <w:szCs w:val="24"/>
      <w:lang w:val="en-US" w:eastAsia="zh-CN" w:bidi="ar-SA"/>
    </w:rPr>
  </w:style>
  <w:style w:type="paragraph" w:customStyle="1" w:styleId="89">
    <w:name w:val="Normal_2"/>
    <w:autoRedefine/>
    <w:qFormat/>
    <w:uiPriority w:val="0"/>
    <w:rPr>
      <w:rFonts w:ascii="黑体" w:hAnsi="黑体" w:eastAsia="黑体" w:cs="Times New Roman"/>
      <w:b/>
      <w:sz w:val="32"/>
      <w:szCs w:val="24"/>
      <w:lang w:val="en-US" w:eastAsia="zh-CN" w:bidi="ar-SA"/>
    </w:rPr>
  </w:style>
  <w:style w:type="paragraph" w:customStyle="1" w:styleId="90">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Normal_3"/>
    <w:autoRedefine/>
    <w:qFormat/>
    <w:uiPriority w:val="0"/>
    <w:rPr>
      <w:rFonts w:ascii="黑体" w:hAnsi="黑体" w:eastAsia="黑体" w:cs="Times New Roman"/>
      <w:b/>
      <w:sz w:val="32"/>
      <w:szCs w:val="24"/>
      <w:lang w:val="en-US" w:eastAsia="zh-CN" w:bidi="ar-SA"/>
    </w:rPr>
  </w:style>
  <w:style w:type="paragraph" w:customStyle="1" w:styleId="92">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3">
    <w:name w:val="正文文本_1"/>
    <w:basedOn w:val="94"/>
    <w:autoRedefine/>
    <w:unhideWhenUsed/>
    <w:qFormat/>
    <w:uiPriority w:val="0"/>
    <w:pPr>
      <w:spacing w:after="120"/>
    </w:pPr>
  </w:style>
  <w:style w:type="paragraph" w:customStyle="1" w:styleId="94">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Normal_4"/>
    <w:autoRedefine/>
    <w:qFormat/>
    <w:uiPriority w:val="0"/>
    <w:rPr>
      <w:rFonts w:ascii="黑体" w:hAnsi="黑体" w:eastAsia="黑体" w:cs="Times New Roman"/>
      <w:b/>
      <w:sz w:val="32"/>
      <w:szCs w:val="24"/>
      <w:lang w:val="en-US" w:eastAsia="zh-CN" w:bidi="ar-SA"/>
    </w:rPr>
  </w:style>
  <w:style w:type="paragraph" w:customStyle="1" w:styleId="96">
    <w:name w:val="正文_2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8">
    <w:name w:val="Normal_5"/>
    <w:autoRedefine/>
    <w:qFormat/>
    <w:uiPriority w:val="0"/>
    <w:rPr>
      <w:rFonts w:ascii="黑体" w:hAnsi="黑体" w:eastAsia="黑体" w:cs="Times New Roman"/>
      <w:b/>
      <w:sz w:val="32"/>
      <w:szCs w:val="24"/>
      <w:lang w:val="en-US" w:eastAsia="zh-CN" w:bidi="ar-SA"/>
    </w:rPr>
  </w:style>
  <w:style w:type="paragraph" w:customStyle="1" w:styleId="99">
    <w:name w:val="Normal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Normal_7"/>
    <w:autoRedefine/>
    <w:qFormat/>
    <w:uiPriority w:val="0"/>
    <w:rPr>
      <w:rFonts w:ascii="黑体" w:hAnsi="黑体" w:eastAsia="黑体" w:cs="Times New Roman"/>
      <w:b/>
      <w:sz w:val="32"/>
      <w:szCs w:val="24"/>
      <w:lang w:val="en-US" w:eastAsia="zh-CN" w:bidi="ar-SA"/>
    </w:rPr>
  </w:style>
  <w:style w:type="paragraph" w:customStyle="1" w:styleId="101">
    <w:name w:val="正文文本_0_0"/>
    <w:basedOn w:val="19"/>
    <w:autoRedefine/>
    <w:qFormat/>
    <w:uiPriority w:val="99"/>
    <w:rPr>
      <w:rFonts w:eastAsia="黑体"/>
      <w:kern w:val="0"/>
      <w:sz w:val="36"/>
      <w:szCs w:val="24"/>
    </w:rPr>
  </w:style>
  <w:style w:type="paragraph" w:customStyle="1" w:styleId="102">
    <w:name w:val="Normal_9"/>
    <w:autoRedefine/>
    <w:qFormat/>
    <w:uiPriority w:val="0"/>
    <w:rPr>
      <w:rFonts w:ascii="黑体" w:hAnsi="黑体" w:eastAsia="黑体" w:cs="Times New Roman"/>
      <w:b/>
      <w:sz w:val="32"/>
      <w:szCs w:val="24"/>
      <w:lang w:val="en-US" w:eastAsia="zh-CN" w:bidi="ar-SA"/>
    </w:rPr>
  </w:style>
  <w:style w:type="paragraph" w:customStyle="1" w:styleId="103">
    <w:name w:val="正文_4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0"/>
    <w:autoRedefine/>
    <w:qFormat/>
    <w:uiPriority w:val="0"/>
    <w:rPr>
      <w:rFonts w:ascii="黑体" w:hAnsi="黑体" w:eastAsia="黑体" w:cs="Times New Roman"/>
      <w:b/>
      <w:sz w:val="32"/>
      <w:szCs w:val="24"/>
      <w:lang w:val="en-US" w:eastAsia="zh-CN" w:bidi="ar-SA"/>
    </w:rPr>
  </w:style>
  <w:style w:type="paragraph" w:customStyle="1" w:styleId="105">
    <w:name w:val="正文_5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1"/>
    <w:autoRedefine/>
    <w:qFormat/>
    <w:uiPriority w:val="0"/>
    <w:rPr>
      <w:rFonts w:ascii="黑体" w:hAnsi="黑体" w:eastAsia="黑体" w:cs="Times New Roman"/>
      <w:b/>
      <w:sz w:val="32"/>
      <w:szCs w:val="24"/>
      <w:lang w:val="en-US" w:eastAsia="zh-CN" w:bidi="ar-SA"/>
    </w:rPr>
  </w:style>
  <w:style w:type="paragraph" w:customStyle="1" w:styleId="108">
    <w:name w:val="正文_7"/>
    <w:next w:val="10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缩进_3"/>
    <w:basedOn w:val="108"/>
    <w:autoRedefine/>
    <w:unhideWhenUsed/>
    <w:qFormat/>
    <w:uiPriority w:val="0"/>
    <w:pPr>
      <w:ind w:firstLine="420" w:firstLineChars="200"/>
    </w:pPr>
  </w:style>
  <w:style w:type="paragraph" w:customStyle="1" w:styleId="110">
    <w:name w:val="Normal_12"/>
    <w:autoRedefine/>
    <w:qFormat/>
    <w:uiPriority w:val="0"/>
    <w:rPr>
      <w:rFonts w:ascii="黑体" w:hAnsi="黑体" w:eastAsia="黑体" w:cs="Times New Roman"/>
      <w:b/>
      <w:sz w:val="32"/>
      <w:szCs w:val="24"/>
      <w:lang w:val="en-US" w:eastAsia="zh-CN" w:bidi="ar-SA"/>
    </w:rPr>
  </w:style>
  <w:style w:type="paragraph" w:customStyle="1" w:styleId="111">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Normal_13"/>
    <w:autoRedefine/>
    <w:qFormat/>
    <w:uiPriority w:val="0"/>
    <w:rPr>
      <w:rFonts w:ascii="黑体" w:hAnsi="黑体" w:eastAsia="黑体" w:cs="Times New Roman"/>
      <w:b/>
      <w:sz w:val="32"/>
      <w:szCs w:val="24"/>
      <w:lang w:val="en-US" w:eastAsia="zh-CN" w:bidi="ar-SA"/>
    </w:rPr>
  </w:style>
  <w:style w:type="paragraph" w:customStyle="1" w:styleId="113">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4"/>
    <w:autoRedefine/>
    <w:qFormat/>
    <w:uiPriority w:val="0"/>
    <w:rPr>
      <w:rFonts w:ascii="黑体" w:hAnsi="黑体" w:eastAsia="黑体" w:cs="Times New Roman"/>
      <w:b/>
      <w:sz w:val="32"/>
      <w:szCs w:val="24"/>
      <w:lang w:val="en-US" w:eastAsia="zh-CN" w:bidi="ar-SA"/>
    </w:rPr>
  </w:style>
  <w:style w:type="paragraph" w:customStyle="1" w:styleId="11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5"/>
    <w:autoRedefine/>
    <w:qFormat/>
    <w:uiPriority w:val="0"/>
    <w:rPr>
      <w:rFonts w:ascii="黑体" w:hAnsi="黑体" w:eastAsia="黑体" w:cs="Times New Roman"/>
      <w:b/>
      <w:sz w:val="32"/>
      <w:szCs w:val="24"/>
      <w:lang w:val="en-US" w:eastAsia="zh-CN" w:bidi="ar-SA"/>
    </w:rPr>
  </w:style>
  <w:style w:type="paragraph" w:customStyle="1" w:styleId="11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16"/>
    <w:autoRedefine/>
    <w:qFormat/>
    <w:uiPriority w:val="0"/>
    <w:rPr>
      <w:rFonts w:ascii="黑体" w:hAnsi="黑体" w:eastAsia="黑体" w:cs="Times New Roman"/>
      <w:b/>
      <w:sz w:val="32"/>
      <w:szCs w:val="24"/>
      <w:lang w:val="en-US" w:eastAsia="zh-CN" w:bidi="ar-SA"/>
    </w:rPr>
  </w:style>
  <w:style w:type="paragraph" w:customStyle="1" w:styleId="11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7"/>
    <w:autoRedefine/>
    <w:qFormat/>
    <w:uiPriority w:val="0"/>
    <w:rPr>
      <w:rFonts w:ascii="黑体" w:hAnsi="黑体" w:eastAsia="黑体" w:cs="Times New Roman"/>
      <w:b/>
      <w:sz w:val="32"/>
      <w:szCs w:val="24"/>
      <w:lang w:val="en-US" w:eastAsia="zh-CN" w:bidi="ar-SA"/>
    </w:rPr>
  </w:style>
  <w:style w:type="paragraph" w:customStyle="1" w:styleId="121">
    <w:name w:val="正文_1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0_0_1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3">
    <w:name w:val="Normal_18"/>
    <w:autoRedefine/>
    <w:qFormat/>
    <w:uiPriority w:val="0"/>
    <w:rPr>
      <w:rFonts w:ascii="黑体" w:hAnsi="黑体" w:eastAsia="黑体" w:cs="Times New Roman"/>
      <w:b/>
      <w:sz w:val="32"/>
      <w:szCs w:val="24"/>
      <w:lang w:val="en-US" w:eastAsia="zh-CN" w:bidi="ar-SA"/>
    </w:rPr>
  </w:style>
  <w:style w:type="paragraph" w:customStyle="1" w:styleId="124">
    <w:name w:val="正文_0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4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Normal_19"/>
    <w:autoRedefine/>
    <w:qFormat/>
    <w:uiPriority w:val="0"/>
    <w:rPr>
      <w:rFonts w:ascii="黑体" w:hAnsi="黑体" w:eastAsia="黑体" w:cs="Times New Roman"/>
      <w:b/>
      <w:sz w:val="32"/>
      <w:szCs w:val="24"/>
      <w:lang w:val="en-US" w:eastAsia="zh-CN" w:bidi="ar-SA"/>
    </w:rPr>
  </w:style>
  <w:style w:type="paragraph" w:customStyle="1" w:styleId="128">
    <w:name w:val="正文_12_0"/>
    <w:next w:val="12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引文目录标题_1"/>
    <w:basedOn w:val="128"/>
    <w:next w:val="128"/>
    <w:autoRedefine/>
    <w:semiHidden/>
    <w:qFormat/>
    <w:uiPriority w:val="0"/>
    <w:pPr>
      <w:spacing w:before="120"/>
    </w:pPr>
    <w:rPr>
      <w:rFonts w:ascii="Arial" w:hAnsi="Arial" w:cs="Arial"/>
      <w:sz w:val="24"/>
    </w:rPr>
  </w:style>
  <w:style w:type="paragraph" w:customStyle="1" w:styleId="130">
    <w:name w:val="目录 1_0"/>
    <w:basedOn w:val="128"/>
    <w:next w:val="128"/>
    <w:autoRedefine/>
    <w:qFormat/>
    <w:uiPriority w:val="39"/>
    <w:pPr>
      <w:tabs>
        <w:tab w:val="right" w:leader="dot" w:pos="8222"/>
      </w:tabs>
      <w:spacing w:line="440" w:lineRule="exact"/>
      <w:ind w:right="231" w:rightChars="110"/>
    </w:pPr>
    <w:rPr>
      <w:sz w:val="28"/>
    </w:rPr>
  </w:style>
  <w:style w:type="paragraph" w:customStyle="1" w:styleId="131">
    <w:name w:val="正文_0_0_1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Normal_20"/>
    <w:autoRedefine/>
    <w:qFormat/>
    <w:uiPriority w:val="0"/>
    <w:rPr>
      <w:rFonts w:ascii="黑体" w:hAnsi="黑体" w:eastAsia="黑体" w:cs="Times New Roman"/>
      <w:b/>
      <w:sz w:val="32"/>
      <w:szCs w:val="24"/>
      <w:lang w:val="en-US" w:eastAsia="zh-CN" w:bidi="ar-SA"/>
    </w:rPr>
  </w:style>
  <w:style w:type="paragraph" w:customStyle="1" w:styleId="133">
    <w:name w:val="正文_13_0"/>
    <w:next w:val="13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引文目录标题_0_1"/>
    <w:basedOn w:val="133"/>
    <w:next w:val="133"/>
    <w:autoRedefine/>
    <w:semiHidden/>
    <w:qFormat/>
    <w:uiPriority w:val="0"/>
    <w:pPr>
      <w:spacing w:before="120"/>
    </w:pPr>
    <w:rPr>
      <w:rFonts w:ascii="Arial" w:hAnsi="Arial" w:cs="Arial"/>
      <w:sz w:val="24"/>
    </w:rPr>
  </w:style>
  <w:style w:type="paragraph" w:customStyle="1" w:styleId="135">
    <w:name w:val="正文_0_0_1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Normal_21"/>
    <w:autoRedefine/>
    <w:qFormat/>
    <w:uiPriority w:val="0"/>
    <w:rPr>
      <w:rFonts w:ascii="黑体" w:hAnsi="黑体" w:eastAsia="黑体" w:cs="Times New Roman"/>
      <w:b/>
      <w:sz w:val="32"/>
      <w:szCs w:val="24"/>
      <w:lang w:val="en-US" w:eastAsia="zh-CN" w:bidi="ar-SA"/>
    </w:rPr>
  </w:style>
  <w:style w:type="paragraph" w:customStyle="1" w:styleId="137">
    <w:name w:val="Normal_22"/>
    <w:autoRedefine/>
    <w:qFormat/>
    <w:uiPriority w:val="0"/>
    <w:rPr>
      <w:rFonts w:ascii="黑体" w:hAnsi="黑体" w:eastAsia="黑体" w:cs="Times New Roman"/>
      <w:b/>
      <w:sz w:val="32"/>
      <w:szCs w:val="24"/>
      <w:lang w:val="en-US" w:eastAsia="zh-CN" w:bidi="ar-SA"/>
    </w:rPr>
  </w:style>
  <w:style w:type="paragraph" w:customStyle="1" w:styleId="138">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Normal_23"/>
    <w:autoRedefine/>
    <w:qFormat/>
    <w:uiPriority w:val="0"/>
    <w:rPr>
      <w:rFonts w:ascii="黑体" w:hAnsi="黑体" w:eastAsia="黑体" w:cs="Times New Roman"/>
      <w:b/>
      <w:sz w:val="32"/>
      <w:szCs w:val="24"/>
      <w:lang w:val="en-US" w:eastAsia="zh-CN" w:bidi="ar-SA"/>
    </w:rPr>
  </w:style>
  <w:style w:type="paragraph" w:customStyle="1" w:styleId="140">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缩进_1"/>
    <w:basedOn w:val="140"/>
    <w:autoRedefine/>
    <w:unhideWhenUsed/>
    <w:qFormat/>
    <w:uiPriority w:val="0"/>
    <w:pPr>
      <w:ind w:firstLine="420" w:firstLineChars="200"/>
    </w:pPr>
  </w:style>
  <w:style w:type="paragraph" w:customStyle="1" w:styleId="142">
    <w:name w:val="Normal_24"/>
    <w:autoRedefine/>
    <w:qFormat/>
    <w:uiPriority w:val="0"/>
    <w:rPr>
      <w:rFonts w:ascii="黑体" w:hAnsi="黑体" w:eastAsia="黑体" w:cs="Times New Roman"/>
      <w:b/>
      <w:sz w:val="32"/>
      <w:szCs w:val="24"/>
      <w:lang w:val="en-US" w:eastAsia="zh-CN" w:bidi="ar-SA"/>
    </w:rPr>
  </w:style>
  <w:style w:type="paragraph" w:customStyle="1" w:styleId="14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普通(网站)_0"/>
    <w:basedOn w:val="145"/>
    <w:autoRedefine/>
    <w:qFormat/>
    <w:uiPriority w:val="0"/>
    <w:pPr>
      <w:widowControl/>
      <w:spacing w:before="100" w:beforeAutospacing="1" w:after="100" w:afterAutospacing="1"/>
      <w:jc w:val="left"/>
    </w:pPr>
    <w:rPr>
      <w:rFonts w:ascii="宋体" w:hAnsi="宋体"/>
      <w:kern w:val="0"/>
      <w:sz w:val="24"/>
    </w:rPr>
  </w:style>
  <w:style w:type="paragraph" w:customStyle="1" w:styleId="145">
    <w:name w:val="正文_0_1"/>
    <w:next w:val="14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引文目录标题1"/>
    <w:basedOn w:val="145"/>
    <w:next w:val="145"/>
    <w:autoRedefine/>
    <w:qFormat/>
    <w:uiPriority w:val="0"/>
    <w:pPr>
      <w:spacing w:before="120"/>
    </w:pPr>
    <w:rPr>
      <w:rFonts w:ascii="Cambria" w:hAnsi="Cambria"/>
      <w:sz w:val="24"/>
    </w:rPr>
  </w:style>
  <w:style w:type="character" w:customStyle="1" w:styleId="147">
    <w:name w:val="blue"/>
    <w:basedOn w:val="34"/>
    <w:autoRedefine/>
    <w:qFormat/>
    <w:uiPriority w:val="0"/>
    <w:rPr>
      <w:color w:val="5096D4"/>
      <w:sz w:val="24"/>
      <w:szCs w:val="24"/>
    </w:rPr>
  </w:style>
  <w:style w:type="character" w:customStyle="1" w:styleId="148">
    <w:name w:val="red"/>
    <w:basedOn w:val="34"/>
    <w:autoRedefine/>
    <w:qFormat/>
    <w:uiPriority w:val="0"/>
    <w:rPr>
      <w:color w:val="E13636"/>
      <w:sz w:val="27"/>
      <w:szCs w:val="27"/>
    </w:rPr>
  </w:style>
  <w:style w:type="character" w:customStyle="1" w:styleId="149">
    <w:name w:val="blue2"/>
    <w:basedOn w:val="34"/>
    <w:autoRedefine/>
    <w:qFormat/>
    <w:uiPriority w:val="0"/>
    <w:rPr>
      <w:color w:val="5096D4"/>
      <w:sz w:val="24"/>
      <w:szCs w:val="24"/>
    </w:rPr>
  </w:style>
  <w:style w:type="character" w:customStyle="1" w:styleId="150">
    <w:name w:val="批注框文本 字符"/>
    <w:basedOn w:val="34"/>
    <w:link w:val="20"/>
    <w:autoRedefine/>
    <w:qFormat/>
    <w:uiPriority w:val="0"/>
    <w:rPr>
      <w:rFonts w:ascii="Calibri" w:hAnsi="Calibri"/>
      <w:kern w:val="2"/>
      <w:sz w:val="18"/>
      <w:szCs w:val="18"/>
    </w:rPr>
  </w:style>
  <w:style w:type="character" w:customStyle="1" w:styleId="151">
    <w:name w:val="页眉 字符"/>
    <w:basedOn w:val="34"/>
    <w:link w:val="22"/>
    <w:autoRedefine/>
    <w:qFormat/>
    <w:uiPriority w:val="0"/>
    <w:rPr>
      <w:rFonts w:ascii="Calibri" w:hAnsi="Calibri"/>
      <w:kern w:val="2"/>
      <w:sz w:val="18"/>
      <w:szCs w:val="18"/>
    </w:rPr>
  </w:style>
  <w:style w:type="paragraph" w:customStyle="1" w:styleId="15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53">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155">
    <w:name w:val="Normal_9_0"/>
    <w:autoRedefine/>
    <w:qFormat/>
    <w:uiPriority w:val="0"/>
    <w:rPr>
      <w:rFonts w:ascii="黑体" w:hAnsi="黑体" w:eastAsia="黑体" w:cs="Times New Roman"/>
      <w:b/>
      <w:sz w:val="32"/>
      <w:szCs w:val="24"/>
      <w:lang w:val="en-US" w:eastAsia="zh-CN" w:bidi="ar-SA"/>
    </w:rPr>
  </w:style>
  <w:style w:type="paragraph" w:customStyle="1" w:styleId="156">
    <w:name w:val="正文_6_0_0"/>
    <w:next w:val="15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页脚_3_0"/>
    <w:basedOn w:val="156"/>
    <w:autoRedefine/>
    <w:unhideWhenUsed/>
    <w:qFormat/>
    <w:uiPriority w:val="99"/>
    <w:pPr>
      <w:tabs>
        <w:tab w:val="center" w:pos="4153"/>
        <w:tab w:val="right" w:pos="8306"/>
      </w:tabs>
      <w:snapToGrid w:val="0"/>
      <w:jc w:val="left"/>
    </w:pPr>
    <w:rPr>
      <w:sz w:val="18"/>
      <w:szCs w:val="18"/>
    </w:rPr>
  </w:style>
  <w:style w:type="paragraph" w:customStyle="1" w:styleId="158">
    <w:name w:val="正文_6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Other|1"/>
    <w:basedOn w:val="1"/>
    <w:autoRedefine/>
    <w:qFormat/>
    <w:uiPriority w:val="0"/>
    <w:rPr>
      <w:rFonts w:ascii="宋体" w:hAnsi="宋体" w:cs="宋体"/>
      <w:lang w:val="zh-TW" w:eastAsia="zh-TW" w:bidi="zh-TW"/>
    </w:rPr>
  </w:style>
  <w:style w:type="paragraph" w:customStyle="1" w:styleId="160">
    <w:name w:val="Char Char2"/>
    <w:basedOn w:val="1"/>
    <w:autoRedefine/>
    <w:qFormat/>
    <w:uiPriority w:val="0"/>
    <w:rPr>
      <w:rFonts w:ascii="Tahoma" w:hAnsi="Tahoma"/>
      <w:sz w:val="24"/>
      <w:szCs w:val="20"/>
    </w:rPr>
  </w:style>
  <w:style w:type="character" w:customStyle="1" w:styleId="161">
    <w:name w:val="msochangeprop"/>
    <w:basedOn w:val="34"/>
    <w:autoRedefine/>
    <w:qFormat/>
    <w:uiPriority w:val="0"/>
  </w:style>
  <w:style w:type="paragraph" w:customStyle="1" w:styleId="162">
    <w:name w:val="Body text|1"/>
    <w:basedOn w:val="1"/>
    <w:autoRedefine/>
    <w:qFormat/>
    <w:uiPriority w:val="0"/>
    <w:pPr>
      <w:spacing w:line="391" w:lineRule="auto"/>
      <w:ind w:firstLine="400"/>
    </w:pPr>
    <w:rPr>
      <w:rFonts w:ascii="宋体" w:hAnsi="宋体" w:cs="宋体"/>
      <w:sz w:val="30"/>
      <w:szCs w:val="30"/>
      <w:lang w:val="zh-TW" w:eastAsia="zh-TW" w:bidi="zh-TW"/>
    </w:rPr>
  </w:style>
  <w:style w:type="character" w:customStyle="1" w:styleId="163">
    <w:name w:val="标题1"/>
    <w:basedOn w:val="34"/>
    <w:autoRedefine/>
    <w:qFormat/>
    <w:uiPriority w:val="0"/>
  </w:style>
  <w:style w:type="paragraph" w:customStyle="1" w:styleId="164">
    <w:name w:val="正文空2格  1."/>
    <w:basedOn w:val="1"/>
    <w:autoRedefine/>
    <w:qFormat/>
    <w:uiPriority w:val="0"/>
    <w:pPr>
      <w:ind w:firstLine="480" w:firstLineChars="200"/>
    </w:pPr>
    <w:rPr>
      <w:rFonts w:cs="宋体"/>
      <w:szCs w:val="20"/>
    </w:rPr>
  </w:style>
  <w:style w:type="character" w:customStyle="1" w:styleId="165">
    <w:name w:val="rec-status-desc"/>
    <w:basedOn w:val="34"/>
    <w:autoRedefine/>
    <w:qFormat/>
    <w:uiPriority w:val="0"/>
  </w:style>
  <w:style w:type="character" w:customStyle="1" w:styleId="166">
    <w:name w:val="rec-volume"/>
    <w:basedOn w:val="34"/>
    <w:autoRedefine/>
    <w:qFormat/>
    <w:uiPriority w:val="0"/>
  </w:style>
  <w:style w:type="character" w:customStyle="1" w:styleId="167">
    <w:name w:val="rec-time"/>
    <w:basedOn w:val="34"/>
    <w:autoRedefine/>
    <w:qFormat/>
    <w:uiPriority w:val="0"/>
  </w:style>
  <w:style w:type="character" w:customStyle="1" w:styleId="168">
    <w:name w:val="NormalCharacter"/>
    <w:autoRedefine/>
    <w:qFormat/>
    <w:uiPriority w:val="99"/>
  </w:style>
  <w:style w:type="paragraph" w:customStyle="1" w:styleId="169">
    <w:name w:val="BodyText1I"/>
    <w:basedOn w:val="170"/>
    <w:autoRedefine/>
    <w:qFormat/>
    <w:uiPriority w:val="99"/>
    <w:pPr>
      <w:ind w:firstLine="420" w:firstLineChars="100"/>
    </w:pPr>
    <w:rPr>
      <w:rFonts w:ascii="宋体" w:hAnsi="宋体"/>
      <w:sz w:val="24"/>
      <w:szCs w:val="24"/>
    </w:rPr>
  </w:style>
  <w:style w:type="paragraph" w:customStyle="1" w:styleId="170">
    <w:name w:val="BodyText"/>
    <w:basedOn w:val="1"/>
    <w:next w:val="171"/>
    <w:autoRedefine/>
    <w:qFormat/>
    <w:uiPriority w:val="99"/>
    <w:pPr>
      <w:spacing w:after="120"/>
    </w:pPr>
    <w:rPr>
      <w:kern w:val="1"/>
    </w:rPr>
  </w:style>
  <w:style w:type="paragraph" w:customStyle="1" w:styleId="171">
    <w:name w:val="TOC2"/>
    <w:basedOn w:val="1"/>
    <w:next w:val="1"/>
    <w:autoRedefine/>
    <w:qFormat/>
    <w:uiPriority w:val="99"/>
    <w:pPr>
      <w:ind w:left="210"/>
      <w:jc w:val="left"/>
    </w:pPr>
    <w:rPr>
      <w:smallCaps/>
      <w:kern w:val="1"/>
      <w:sz w:val="20"/>
    </w:rPr>
  </w:style>
  <w:style w:type="paragraph" w:customStyle="1" w:styleId="172">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173">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174">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rPr>
  </w:style>
  <w:style w:type="paragraph" w:customStyle="1" w:styleId="175">
    <w:name w:val="正文3"/>
    <w:autoRedefine/>
    <w:qFormat/>
    <w:uiPriority w:val="0"/>
    <w:pPr>
      <w:widowControl w:val="0"/>
      <w:adjustRightInd w:val="0"/>
      <w:spacing w:line="312" w:lineRule="atLeast"/>
      <w:jc w:val="both"/>
    </w:pPr>
    <w:rPr>
      <w:rFonts w:ascii="宋体" w:hAnsi="Calibri" w:eastAsia="宋体" w:cs="Times New Roman"/>
      <w:sz w:val="24"/>
      <w:lang w:val="en-US" w:eastAsia="zh-CN" w:bidi="ar-SA"/>
    </w:rPr>
  </w:style>
  <w:style w:type="paragraph" w:customStyle="1" w:styleId="176">
    <w:name w:val="目录 41"/>
    <w:basedOn w:val="1"/>
    <w:next w:val="1"/>
    <w:autoRedefine/>
    <w:qFormat/>
    <w:uiPriority w:val="0"/>
    <w:pPr>
      <w:ind w:left="630"/>
      <w:jc w:val="left"/>
    </w:pPr>
    <w:rPr>
      <w:sz w:val="18"/>
    </w:rPr>
  </w:style>
  <w:style w:type="paragraph" w:customStyle="1" w:styleId="177">
    <w:name w:val="WPSOffice手动目录 1"/>
    <w:autoRedefine/>
    <w:qFormat/>
    <w:uiPriority w:val="0"/>
    <w:rPr>
      <w:rFonts w:ascii="Times New Roman" w:hAnsi="Times New Roman" w:eastAsia="宋体" w:cs="Times New Roman"/>
      <w:lang w:val="en-US" w:eastAsia="zh-CN" w:bidi="ar-SA"/>
    </w:rPr>
  </w:style>
  <w:style w:type="paragraph" w:customStyle="1" w:styleId="178">
    <w:name w:val="正文2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79">
    <w:name w:val="zhang"/>
    <w:basedOn w:val="1"/>
    <w:autoRedefine/>
    <w:qFormat/>
    <w:uiPriority w:val="0"/>
    <w:pPr>
      <w:spacing w:before="100" w:beforeLines="0" w:beforeAutospacing="1" w:after="100" w:afterLines="0" w:afterAutospacing="1"/>
    </w:pPr>
    <w:rPr>
      <w:b/>
      <w:bCs/>
      <w:smallCaps/>
      <w:color w:val="000000"/>
      <w:sz w:val="20"/>
      <w:szCs w:val="20"/>
    </w:rPr>
  </w:style>
  <w:style w:type="paragraph" w:customStyle="1" w:styleId="180">
    <w:name w:val="_Style 10"/>
    <w:basedOn w:val="2"/>
    <w:next w:val="1"/>
    <w:autoRedefine/>
    <w:qFormat/>
    <w:uiPriority w:val="0"/>
    <w:pPr>
      <w:widowControl w:val="0"/>
      <w:spacing w:line="576" w:lineRule="auto"/>
      <w:jc w:val="both"/>
      <w:outlineLvl w:val="9"/>
    </w:pPr>
    <w:rPr>
      <w:rFonts w:ascii="Calibri" w:hAnsi="Calibri" w:cs="Times New Roman"/>
    </w:rPr>
  </w:style>
  <w:style w:type="paragraph" w:customStyle="1" w:styleId="181">
    <w:name w:val="p0"/>
    <w:basedOn w:val="1"/>
    <w:autoRedefine/>
    <w:qFormat/>
    <w:uiPriority w:val="0"/>
    <w:pPr>
      <w:jc w:val="both"/>
    </w:pPr>
    <w:rPr>
      <w:rFonts w:ascii="Times New Roman" w:hAnsi="Times New Roman" w:cs="Times New Roman"/>
      <w:sz w:val="21"/>
      <w:szCs w:val="21"/>
    </w:rPr>
  </w:style>
  <w:style w:type="character" w:customStyle="1" w:styleId="182">
    <w:name w:val="15"/>
    <w:autoRedefine/>
    <w:qFormat/>
    <w:uiPriority w:val="0"/>
    <w:rPr>
      <w:rFonts w:hint="default" w:ascii="Times New Roman" w:hAnsi="Times New Roman" w:cs="Times New Roman"/>
      <w:color w:val="464445"/>
      <w:u w:val="none"/>
    </w:rPr>
  </w:style>
  <w:style w:type="character" w:customStyle="1" w:styleId="183">
    <w:name w:val="标题 Char"/>
    <w:link w:val="30"/>
    <w:autoRedefine/>
    <w:qFormat/>
    <w:uiPriority w:val="10"/>
    <w:rPr>
      <w:rFonts w:ascii="Cambria" w:hAnsi="Cambria" w:cs="Times New Roman"/>
      <w:b/>
      <w:bCs/>
      <w:szCs w:val="32"/>
    </w:rPr>
  </w:style>
  <w:style w:type="character" w:customStyle="1" w:styleId="184">
    <w:name w:val="副标题 Char"/>
    <w:link w:val="24"/>
    <w:autoRedefine/>
    <w:qFormat/>
    <w:uiPriority w:val="11"/>
    <w:rPr>
      <w:rFonts w:ascii="Arial" w:hAnsi="Arial"/>
      <w:b/>
      <w:kern w:val="28"/>
      <w:sz w:val="32"/>
    </w:rPr>
  </w:style>
  <w:style w:type="paragraph" w:customStyle="1" w:styleId="185">
    <w:name w:val="Table Text"/>
    <w:basedOn w:val="1"/>
    <w:autoRedefine/>
    <w:semiHidden/>
    <w:qFormat/>
    <w:uiPriority w:val="0"/>
    <w:rPr>
      <w:rFonts w:ascii="仿宋" w:hAnsi="仿宋" w:eastAsia="仿宋" w:cs="仿宋"/>
      <w:sz w:val="24"/>
      <w:szCs w:val="24"/>
      <w:lang w:val="en-US" w:eastAsia="en-US" w:bidi="ar-SA"/>
    </w:rPr>
  </w:style>
  <w:style w:type="table" w:customStyle="1" w:styleId="186">
    <w:name w:val="Table Normal"/>
    <w:autoRedefine/>
    <w:semiHidden/>
    <w:unhideWhenUsed/>
    <w:qFormat/>
    <w:uiPriority w:val="0"/>
    <w:tblPr>
      <w:tblCellMar>
        <w:top w:w="0" w:type="dxa"/>
        <w:left w:w="0" w:type="dxa"/>
        <w:bottom w:w="0" w:type="dxa"/>
        <w:right w:w="0" w:type="dxa"/>
      </w:tblCellMar>
    </w:tblPr>
  </w:style>
  <w:style w:type="paragraph" w:customStyle="1" w:styleId="187">
    <w:name w:val="Table Paragraph"/>
    <w:basedOn w:val="1"/>
    <w:autoRedefine/>
    <w:qFormat/>
    <w:uiPriority w:val="1"/>
    <w:rPr>
      <w:rFonts w:ascii="宋体" w:hAnsi="宋体" w:eastAsia="宋体" w:cs="宋体"/>
      <w:lang w:val="zh-CN" w:eastAsia="zh-CN" w:bidi="zh-CN"/>
    </w:rPr>
  </w:style>
  <w:style w:type="paragraph" w:customStyle="1" w:styleId="188">
    <w:name w:val="CM45"/>
    <w:basedOn w:val="189"/>
    <w:next w:val="189"/>
    <w:autoRedefine/>
    <w:unhideWhenUsed/>
    <w:qFormat/>
    <w:uiPriority w:val="99"/>
    <w:pPr>
      <w:spacing w:beforeLines="0" w:afterLines="0"/>
    </w:pPr>
    <w:rPr>
      <w:rFonts w:hint="eastAsia" w:cs="Times New Roman"/>
      <w:sz w:val="24"/>
      <w:szCs w:val="24"/>
    </w:rPr>
  </w:style>
  <w:style w:type="paragraph" w:customStyle="1" w:styleId="189">
    <w:name w:val="Default"/>
    <w:autoRedefine/>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6AF2F-4066-4E62-82C5-735793186017}">
  <ds:schemaRefs/>
</ds:datastoreItem>
</file>

<file path=docProps/app.xml><?xml version="1.0" encoding="utf-8"?>
<Properties xmlns="http://schemas.openxmlformats.org/officeDocument/2006/extended-properties" xmlns:vt="http://schemas.openxmlformats.org/officeDocument/2006/docPropsVTypes">
  <Template>Normal</Template>
  <Pages>75</Pages>
  <Words>465</Words>
  <Characters>553</Characters>
  <Lines>266</Lines>
  <Paragraphs>75</Paragraphs>
  <TotalTime>116</TotalTime>
  <ScaleCrop>false</ScaleCrop>
  <LinksUpToDate>false</LinksUpToDate>
  <CharactersWithSpaces>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2021-04-20T04:35:00Z</dcterms:created>
  <dc:creator>小小草</dc:creator>
  <cp:lastModifiedBy>朱启明</cp:lastModifiedBy>
  <cp:lastPrinted>2024-05-14T13:10:00Z</cp:lastPrinted>
  <dcterms:modified xsi:type="dcterms:W3CDTF">2025-06-20T02:27:17Z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BC970CAB63874BFEBAD9A8AEE2861268_13</vt:lpwstr>
  </property>
  <property fmtid="{D5CDD505-2E9C-101B-9397-08002B2CF9AE}" pid="4" name="KSOTemplateDocerSaveRecord">
    <vt:lpwstr>eyJoZGlkIjoiZjM4OTUzMTM1MjY3Mjk2MzFhYTIzZjgyMWJkM2JkZTMiLCJ1c2VySWQiOiIyOTg4MDcxOCJ9</vt:lpwstr>
  </property>
</Properties>
</file>