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BF507">
      <w:pPr>
        <w:keepNext w:val="0"/>
        <w:keepLines w:val="0"/>
        <w:pageBreakBefore w:val="0"/>
        <w:widowControl w:val="0"/>
        <w:wordWrap/>
        <w:overflowPunct/>
        <w:topLinePunct w:val="0"/>
        <w:bidi w:val="0"/>
        <w:spacing w:line="240" w:lineRule="auto"/>
        <w:jc w:val="center"/>
        <w:rPr>
          <w:rFonts w:hint="eastAsia" w:ascii="仿宋" w:hAnsi="仿宋" w:eastAsia="仿宋" w:cs="仿宋"/>
          <w:b/>
          <w:bCs/>
          <w:color w:val="auto"/>
          <w:spacing w:val="0"/>
          <w:sz w:val="48"/>
          <w:szCs w:val="48"/>
          <w:highlight w:val="none"/>
          <w:lang w:eastAsia="zh-CN"/>
        </w:rPr>
      </w:pPr>
      <w:r>
        <w:rPr>
          <w:rFonts w:hint="eastAsia" w:ascii="仿宋" w:hAnsi="仿宋" w:eastAsia="仿宋" w:cs="仿宋"/>
          <w:b/>
          <w:bCs/>
          <w:color w:val="auto"/>
          <w:spacing w:val="0"/>
          <w:sz w:val="48"/>
          <w:szCs w:val="48"/>
          <w:highlight w:val="none"/>
          <w:lang w:eastAsia="zh-CN"/>
        </w:rPr>
        <w:t>新疆玛纳斯县阿尔巴萨依沟中小河流治理项目水土保持方案编制、监测服务</w:t>
      </w:r>
    </w:p>
    <w:p w14:paraId="39DEB4E3">
      <w:pPr>
        <w:pStyle w:val="35"/>
        <w:keepNext w:val="0"/>
        <w:keepLines w:val="0"/>
        <w:pageBreakBefore w:val="0"/>
        <w:widowControl w:val="0"/>
        <w:numPr>
          <w:ilvl w:val="0"/>
          <w:numId w:val="0"/>
        </w:numPr>
        <w:wordWrap/>
        <w:overflowPunct/>
        <w:topLinePunct w:val="0"/>
        <w:bidi w:val="0"/>
        <w:spacing w:line="240" w:lineRule="auto"/>
        <w:ind w:left="900" w:leftChars="0"/>
        <w:jc w:val="both"/>
        <w:rPr>
          <w:rFonts w:hint="eastAsia" w:ascii="仿宋" w:hAnsi="仿宋" w:eastAsia="仿宋" w:cs="仿宋"/>
          <w:b/>
          <w:bCs/>
          <w:color w:val="auto"/>
          <w:spacing w:val="0"/>
          <w:sz w:val="48"/>
          <w:szCs w:val="48"/>
          <w:highlight w:val="none"/>
        </w:rPr>
      </w:pPr>
    </w:p>
    <w:p w14:paraId="45FA619A">
      <w:pPr>
        <w:pStyle w:val="35"/>
        <w:keepNext w:val="0"/>
        <w:keepLines w:val="0"/>
        <w:pageBreakBefore w:val="0"/>
        <w:widowControl w:val="0"/>
        <w:numPr>
          <w:ilvl w:val="0"/>
          <w:numId w:val="0"/>
        </w:numPr>
        <w:wordWrap/>
        <w:overflowPunct/>
        <w:topLinePunct w:val="0"/>
        <w:bidi w:val="0"/>
        <w:spacing w:line="240" w:lineRule="auto"/>
        <w:ind w:left="900" w:leftChars="0"/>
        <w:jc w:val="both"/>
        <w:rPr>
          <w:rFonts w:hint="eastAsia" w:ascii="仿宋" w:hAnsi="仿宋" w:eastAsia="仿宋" w:cs="仿宋"/>
          <w:b/>
          <w:bCs/>
          <w:color w:val="auto"/>
          <w:spacing w:val="0"/>
          <w:sz w:val="48"/>
          <w:szCs w:val="48"/>
          <w:highlight w:val="none"/>
        </w:rPr>
      </w:pPr>
    </w:p>
    <w:p w14:paraId="01CE6958">
      <w:pPr>
        <w:pStyle w:val="35"/>
        <w:keepNext w:val="0"/>
        <w:keepLines w:val="0"/>
        <w:pageBreakBefore w:val="0"/>
        <w:widowControl w:val="0"/>
        <w:numPr>
          <w:ilvl w:val="0"/>
          <w:numId w:val="0"/>
        </w:numPr>
        <w:wordWrap/>
        <w:overflowPunct/>
        <w:topLinePunct w:val="0"/>
        <w:bidi w:val="0"/>
        <w:spacing w:line="240" w:lineRule="auto"/>
        <w:ind w:left="900" w:leftChars="0"/>
        <w:jc w:val="both"/>
        <w:rPr>
          <w:rFonts w:hint="eastAsia" w:ascii="仿宋" w:hAnsi="仿宋" w:eastAsia="仿宋" w:cs="仿宋"/>
          <w:b/>
          <w:bCs/>
          <w:color w:val="auto"/>
          <w:spacing w:val="0"/>
          <w:sz w:val="48"/>
          <w:szCs w:val="48"/>
          <w:highlight w:val="none"/>
        </w:rPr>
      </w:pPr>
    </w:p>
    <w:p w14:paraId="32F00AEC">
      <w:pPr>
        <w:pStyle w:val="35"/>
        <w:keepNext w:val="0"/>
        <w:keepLines w:val="0"/>
        <w:pageBreakBefore w:val="0"/>
        <w:widowControl w:val="0"/>
        <w:numPr>
          <w:ilvl w:val="0"/>
          <w:numId w:val="0"/>
        </w:numPr>
        <w:wordWrap/>
        <w:overflowPunct/>
        <w:topLinePunct w:val="0"/>
        <w:bidi w:val="0"/>
        <w:spacing w:line="240" w:lineRule="auto"/>
        <w:ind w:left="900" w:leftChars="0"/>
        <w:jc w:val="both"/>
        <w:rPr>
          <w:rFonts w:hint="eastAsia" w:ascii="仿宋" w:hAnsi="仿宋" w:eastAsia="仿宋" w:cs="仿宋"/>
          <w:b/>
          <w:bCs/>
          <w:color w:val="auto"/>
          <w:spacing w:val="0"/>
          <w:sz w:val="48"/>
          <w:szCs w:val="48"/>
          <w:highlight w:val="none"/>
        </w:rPr>
      </w:pPr>
    </w:p>
    <w:p w14:paraId="342317EA">
      <w:pPr>
        <w:keepNext w:val="0"/>
        <w:keepLines w:val="0"/>
        <w:pageBreakBefore w:val="0"/>
        <w:widowControl w:val="0"/>
        <w:wordWrap/>
        <w:overflowPunct/>
        <w:topLinePunct w:val="0"/>
        <w:bidi w:val="0"/>
        <w:spacing w:line="240" w:lineRule="auto"/>
        <w:jc w:val="center"/>
        <w:rPr>
          <w:rFonts w:hint="default" w:ascii="仿宋" w:hAnsi="仿宋" w:eastAsia="仿宋" w:cs="仿宋"/>
          <w:b/>
          <w:color w:val="auto"/>
          <w:spacing w:val="0"/>
          <w:sz w:val="32"/>
          <w:highlight w:val="none"/>
          <w:lang w:val="en-US" w:eastAsia="zh-CN"/>
        </w:rPr>
      </w:pPr>
      <w:r>
        <w:rPr>
          <w:rFonts w:hint="eastAsia" w:ascii="仿宋" w:hAnsi="仿宋" w:eastAsia="仿宋" w:cs="仿宋"/>
          <w:b/>
          <w:bCs/>
          <w:color w:val="auto"/>
          <w:spacing w:val="0"/>
          <w:sz w:val="32"/>
          <w:szCs w:val="32"/>
          <w:highlight w:val="none"/>
        </w:rPr>
        <w:t>项目编码：</w:t>
      </w:r>
      <w:r>
        <w:rPr>
          <w:rFonts w:hint="eastAsia" w:ascii="宋体" w:hAnsi="宋体" w:eastAsia="宋体" w:cs="宋体"/>
          <w:b/>
          <w:bCs/>
          <w:color w:val="auto"/>
          <w:spacing w:val="0"/>
          <w:sz w:val="32"/>
          <w:szCs w:val="32"/>
          <w:highlight w:val="none"/>
          <w:lang w:val="en-US" w:eastAsia="zh-CN"/>
        </w:rPr>
        <w:t>HYBC-MGC-STBC-68</w:t>
      </w:r>
    </w:p>
    <w:p w14:paraId="7DD84FBB">
      <w:pPr>
        <w:pStyle w:val="35"/>
        <w:keepNext w:val="0"/>
        <w:keepLines w:val="0"/>
        <w:pageBreakBefore w:val="0"/>
        <w:widowControl w:val="0"/>
        <w:numPr>
          <w:ilvl w:val="0"/>
          <w:numId w:val="0"/>
        </w:numPr>
        <w:wordWrap/>
        <w:overflowPunct/>
        <w:topLinePunct w:val="0"/>
        <w:bidi w:val="0"/>
        <w:spacing w:after="160" w:line="240" w:lineRule="auto"/>
        <w:jc w:val="both"/>
        <w:rPr>
          <w:rFonts w:hint="eastAsia" w:ascii="仿宋" w:hAnsi="仿宋" w:eastAsia="仿宋" w:cs="仿宋"/>
          <w:b/>
          <w:color w:val="auto"/>
          <w:spacing w:val="0"/>
          <w:sz w:val="32"/>
          <w:highlight w:val="none"/>
          <w:lang w:val="en-US" w:eastAsia="zh-CN"/>
        </w:rPr>
      </w:pPr>
    </w:p>
    <w:p w14:paraId="20FF5AAE">
      <w:pPr>
        <w:pStyle w:val="35"/>
        <w:keepNext w:val="0"/>
        <w:keepLines w:val="0"/>
        <w:pageBreakBefore w:val="0"/>
        <w:widowControl w:val="0"/>
        <w:numPr>
          <w:ilvl w:val="0"/>
          <w:numId w:val="0"/>
        </w:numPr>
        <w:wordWrap/>
        <w:overflowPunct/>
        <w:topLinePunct w:val="0"/>
        <w:bidi w:val="0"/>
        <w:spacing w:after="160" w:line="240" w:lineRule="auto"/>
        <w:jc w:val="both"/>
        <w:rPr>
          <w:rFonts w:hint="eastAsia" w:ascii="仿宋" w:hAnsi="仿宋" w:eastAsia="仿宋" w:cs="仿宋"/>
          <w:b/>
          <w:color w:val="auto"/>
          <w:spacing w:val="0"/>
          <w:sz w:val="32"/>
          <w:highlight w:val="none"/>
          <w:lang w:val="en-US" w:eastAsia="zh-CN"/>
        </w:rPr>
      </w:pPr>
    </w:p>
    <w:p w14:paraId="0E32DF26">
      <w:pPr>
        <w:keepNext w:val="0"/>
        <w:keepLines w:val="0"/>
        <w:pageBreakBefore w:val="0"/>
        <w:widowControl w:val="0"/>
        <w:wordWrap/>
        <w:overflowPunct/>
        <w:topLinePunct w:val="0"/>
        <w:bidi w:val="0"/>
        <w:spacing w:line="240" w:lineRule="auto"/>
        <w:jc w:val="center"/>
        <w:rPr>
          <w:rFonts w:hint="eastAsia" w:ascii="仿宋" w:hAnsi="仿宋" w:eastAsia="仿宋" w:cs="仿宋"/>
          <w:b/>
          <w:color w:val="auto"/>
          <w:spacing w:val="0"/>
          <w:sz w:val="56"/>
          <w:szCs w:val="56"/>
          <w:highlight w:val="none"/>
        </w:rPr>
      </w:pPr>
      <w:r>
        <w:rPr>
          <w:rFonts w:hint="eastAsia" w:ascii="仿宋" w:hAnsi="仿宋" w:eastAsia="仿宋" w:cs="仿宋"/>
          <w:b/>
          <w:color w:val="auto"/>
          <w:spacing w:val="0"/>
          <w:sz w:val="56"/>
          <w:szCs w:val="56"/>
          <w:highlight w:val="none"/>
          <w:lang w:val="en-US" w:eastAsia="zh-CN"/>
        </w:rPr>
        <w:t>竞争性磋商</w:t>
      </w:r>
      <w:r>
        <w:rPr>
          <w:rFonts w:hint="eastAsia" w:ascii="仿宋" w:hAnsi="仿宋" w:eastAsia="仿宋" w:cs="仿宋"/>
          <w:b/>
          <w:color w:val="auto"/>
          <w:spacing w:val="0"/>
          <w:sz w:val="56"/>
          <w:szCs w:val="56"/>
          <w:highlight w:val="none"/>
        </w:rPr>
        <w:t>文件</w:t>
      </w:r>
    </w:p>
    <w:p w14:paraId="716621B0">
      <w:pPr>
        <w:keepNext w:val="0"/>
        <w:keepLines w:val="0"/>
        <w:pageBreakBefore w:val="0"/>
        <w:widowControl w:val="0"/>
        <w:wordWrap/>
        <w:overflowPunct/>
        <w:topLinePunct w:val="0"/>
        <w:bidi w:val="0"/>
        <w:spacing w:line="240" w:lineRule="auto"/>
        <w:jc w:val="center"/>
        <w:rPr>
          <w:rFonts w:hint="eastAsia" w:ascii="仿宋" w:hAnsi="仿宋" w:eastAsia="仿宋" w:cs="仿宋"/>
          <w:b/>
          <w:bCs/>
          <w:color w:val="auto"/>
          <w:spacing w:val="0"/>
          <w:sz w:val="24"/>
          <w:highlight w:val="none"/>
        </w:rPr>
      </w:pPr>
    </w:p>
    <w:p w14:paraId="618B2292">
      <w:pPr>
        <w:keepNext w:val="0"/>
        <w:keepLines w:val="0"/>
        <w:pageBreakBefore w:val="0"/>
        <w:widowControl w:val="0"/>
        <w:wordWrap/>
        <w:overflowPunct/>
        <w:topLinePunct w:val="0"/>
        <w:bidi w:val="0"/>
        <w:spacing w:line="240" w:lineRule="auto"/>
        <w:jc w:val="center"/>
        <w:rPr>
          <w:rFonts w:hint="eastAsia" w:ascii="仿宋" w:hAnsi="仿宋" w:eastAsia="仿宋" w:cs="仿宋"/>
          <w:b/>
          <w:bCs/>
          <w:color w:val="auto"/>
          <w:spacing w:val="0"/>
          <w:sz w:val="24"/>
          <w:highlight w:val="none"/>
        </w:rPr>
      </w:pPr>
    </w:p>
    <w:p w14:paraId="6EF3749E">
      <w:pPr>
        <w:keepNext w:val="0"/>
        <w:keepLines w:val="0"/>
        <w:pageBreakBefore w:val="0"/>
        <w:widowControl w:val="0"/>
        <w:wordWrap/>
        <w:overflowPunct/>
        <w:topLinePunct w:val="0"/>
        <w:bidi w:val="0"/>
        <w:spacing w:line="240" w:lineRule="auto"/>
        <w:jc w:val="center"/>
        <w:rPr>
          <w:rFonts w:hint="eastAsia" w:ascii="仿宋" w:hAnsi="仿宋" w:eastAsia="仿宋" w:cs="仿宋"/>
          <w:b/>
          <w:bCs/>
          <w:color w:val="auto"/>
          <w:spacing w:val="0"/>
          <w:sz w:val="24"/>
          <w:highlight w:val="none"/>
        </w:rPr>
      </w:pPr>
    </w:p>
    <w:p w14:paraId="147392AE">
      <w:pPr>
        <w:keepNext w:val="0"/>
        <w:keepLines w:val="0"/>
        <w:pageBreakBefore w:val="0"/>
        <w:widowControl w:val="0"/>
        <w:wordWrap/>
        <w:overflowPunct/>
        <w:topLinePunct w:val="0"/>
        <w:bidi w:val="0"/>
        <w:spacing w:line="240" w:lineRule="auto"/>
        <w:jc w:val="center"/>
        <w:rPr>
          <w:rFonts w:hint="eastAsia" w:ascii="仿宋" w:hAnsi="仿宋" w:eastAsia="仿宋" w:cs="仿宋"/>
          <w:b/>
          <w:bCs/>
          <w:color w:val="auto"/>
          <w:spacing w:val="0"/>
          <w:sz w:val="24"/>
          <w:highlight w:val="none"/>
        </w:rPr>
      </w:pPr>
    </w:p>
    <w:p w14:paraId="7F83F8AA">
      <w:pPr>
        <w:keepNext w:val="0"/>
        <w:keepLines w:val="0"/>
        <w:pageBreakBefore w:val="0"/>
        <w:widowControl w:val="0"/>
        <w:wordWrap/>
        <w:overflowPunct/>
        <w:topLinePunct w:val="0"/>
        <w:bidi w:val="0"/>
        <w:spacing w:line="240" w:lineRule="auto"/>
        <w:jc w:val="center"/>
        <w:rPr>
          <w:rFonts w:hint="eastAsia" w:ascii="仿宋" w:hAnsi="仿宋" w:eastAsia="仿宋" w:cs="仿宋"/>
          <w:b/>
          <w:bCs/>
          <w:color w:val="auto"/>
          <w:spacing w:val="0"/>
          <w:sz w:val="24"/>
          <w:highlight w:val="none"/>
        </w:rPr>
      </w:pPr>
    </w:p>
    <w:p w14:paraId="33526DFB">
      <w:pPr>
        <w:pStyle w:val="36"/>
        <w:keepNext w:val="0"/>
        <w:keepLines w:val="0"/>
        <w:pageBreakBefore w:val="0"/>
        <w:widowControl w:val="0"/>
        <w:tabs>
          <w:tab w:val="left" w:pos="1234"/>
        </w:tabs>
        <w:wordWrap/>
        <w:overflowPunct/>
        <w:topLinePunct w:val="0"/>
        <w:autoSpaceDE w:val="0"/>
        <w:autoSpaceDN w:val="0"/>
        <w:bidi w:val="0"/>
        <w:spacing w:before="74" w:line="240" w:lineRule="auto"/>
        <w:ind w:right="371" w:firstLine="0" w:firstLineChars="0"/>
        <w:jc w:val="left"/>
        <w:rPr>
          <w:rFonts w:hint="eastAsia" w:ascii="仿宋" w:hAnsi="仿宋" w:eastAsia="仿宋" w:cs="仿宋"/>
          <w:b/>
          <w:bCs/>
          <w:color w:val="auto"/>
          <w:spacing w:val="0"/>
          <w:sz w:val="28"/>
          <w:szCs w:val="28"/>
          <w:highlight w:val="none"/>
          <w:lang w:val="zh-CN"/>
        </w:rPr>
      </w:pPr>
    </w:p>
    <w:p w14:paraId="7BEE6958">
      <w:pPr>
        <w:pStyle w:val="36"/>
        <w:keepNext w:val="0"/>
        <w:keepLines w:val="0"/>
        <w:pageBreakBefore w:val="0"/>
        <w:widowControl w:val="0"/>
        <w:tabs>
          <w:tab w:val="left" w:pos="1234"/>
        </w:tabs>
        <w:wordWrap/>
        <w:overflowPunct/>
        <w:topLinePunct w:val="0"/>
        <w:autoSpaceDE w:val="0"/>
        <w:autoSpaceDN w:val="0"/>
        <w:bidi w:val="0"/>
        <w:spacing w:before="74" w:line="240" w:lineRule="auto"/>
        <w:ind w:right="371" w:firstLine="0" w:firstLineChars="0"/>
        <w:jc w:val="left"/>
        <w:rPr>
          <w:rFonts w:hint="eastAsia" w:ascii="仿宋" w:hAnsi="仿宋" w:eastAsia="仿宋" w:cs="仿宋"/>
          <w:b/>
          <w:bCs/>
          <w:color w:val="auto"/>
          <w:spacing w:val="0"/>
          <w:sz w:val="28"/>
          <w:szCs w:val="28"/>
          <w:highlight w:val="none"/>
          <w:u w:val="single"/>
        </w:rPr>
      </w:pPr>
      <w:r>
        <w:rPr>
          <w:rFonts w:hint="eastAsia" w:ascii="仿宋" w:hAnsi="仿宋" w:eastAsia="仿宋" w:cs="仿宋"/>
          <w:b/>
          <w:bCs/>
          <w:color w:val="auto"/>
          <w:spacing w:val="0"/>
          <w:sz w:val="28"/>
          <w:szCs w:val="28"/>
          <w:highlight w:val="none"/>
          <w:lang w:val="zh-CN"/>
        </w:rPr>
        <w:t>招</w:t>
      </w:r>
      <w:r>
        <w:rPr>
          <w:rFonts w:hint="eastAsia" w:ascii="仿宋" w:hAnsi="仿宋" w:eastAsia="仿宋" w:cs="仿宋"/>
          <w:b/>
          <w:bCs/>
          <w:color w:val="auto"/>
          <w:spacing w:val="0"/>
          <w:sz w:val="28"/>
          <w:szCs w:val="28"/>
          <w:highlight w:val="none"/>
        </w:rPr>
        <w:t xml:space="preserve"> </w:t>
      </w:r>
      <w:r>
        <w:rPr>
          <w:rFonts w:hint="eastAsia" w:ascii="仿宋" w:hAnsi="仿宋" w:eastAsia="仿宋" w:cs="仿宋"/>
          <w:b/>
          <w:bCs/>
          <w:color w:val="auto"/>
          <w:spacing w:val="0"/>
          <w:sz w:val="28"/>
          <w:szCs w:val="28"/>
          <w:highlight w:val="none"/>
          <w:lang w:val="zh-CN"/>
        </w:rPr>
        <w:t>标</w:t>
      </w:r>
      <w:r>
        <w:rPr>
          <w:rFonts w:hint="eastAsia" w:ascii="仿宋" w:hAnsi="仿宋" w:eastAsia="仿宋" w:cs="仿宋"/>
          <w:b/>
          <w:bCs/>
          <w:color w:val="auto"/>
          <w:spacing w:val="0"/>
          <w:sz w:val="28"/>
          <w:szCs w:val="28"/>
          <w:highlight w:val="none"/>
        </w:rPr>
        <w:t xml:space="preserve"> </w:t>
      </w:r>
      <w:r>
        <w:rPr>
          <w:rFonts w:hint="eastAsia" w:ascii="仿宋" w:hAnsi="仿宋" w:eastAsia="仿宋" w:cs="仿宋"/>
          <w:b/>
          <w:bCs/>
          <w:color w:val="auto"/>
          <w:spacing w:val="0"/>
          <w:sz w:val="28"/>
          <w:szCs w:val="28"/>
          <w:highlight w:val="none"/>
          <w:lang w:val="zh-CN"/>
        </w:rPr>
        <w:t>人（盖章）：</w:t>
      </w:r>
      <w:r>
        <w:rPr>
          <w:rFonts w:hint="eastAsia" w:ascii="仿宋" w:hAnsi="仿宋" w:eastAsia="仿宋" w:cs="仿宋"/>
          <w:b/>
          <w:bCs/>
          <w:color w:val="auto"/>
          <w:spacing w:val="0"/>
          <w:sz w:val="28"/>
          <w:szCs w:val="28"/>
          <w:highlight w:val="none"/>
          <w:u w:val="single"/>
        </w:rPr>
        <w:t xml:space="preserve"> </w:t>
      </w:r>
      <w:r>
        <w:rPr>
          <w:rFonts w:hint="eastAsia" w:ascii="仿宋" w:hAnsi="仿宋" w:eastAsia="仿宋" w:cs="仿宋"/>
          <w:b/>
          <w:bCs/>
          <w:color w:val="auto"/>
          <w:spacing w:val="0"/>
          <w:sz w:val="28"/>
          <w:szCs w:val="28"/>
          <w:highlight w:val="none"/>
          <w:u w:val="single"/>
          <w:lang w:eastAsia="zh-CN"/>
        </w:rPr>
        <w:t>玛纳斯县玛纳斯河水利管理处</w:t>
      </w:r>
      <w:r>
        <w:rPr>
          <w:rFonts w:hint="eastAsia" w:ascii="仿宋" w:hAnsi="仿宋" w:eastAsia="仿宋" w:cs="仿宋"/>
          <w:b/>
          <w:bCs/>
          <w:color w:val="auto"/>
          <w:spacing w:val="0"/>
          <w:sz w:val="28"/>
          <w:szCs w:val="28"/>
          <w:highlight w:val="none"/>
          <w:u w:val="single"/>
        </w:rPr>
        <w:t xml:space="preserve">  </w:t>
      </w:r>
    </w:p>
    <w:p w14:paraId="5778BBE1">
      <w:pPr>
        <w:pStyle w:val="36"/>
        <w:keepNext w:val="0"/>
        <w:keepLines w:val="0"/>
        <w:pageBreakBefore w:val="0"/>
        <w:widowControl w:val="0"/>
        <w:tabs>
          <w:tab w:val="left" w:pos="1234"/>
        </w:tabs>
        <w:wordWrap/>
        <w:overflowPunct/>
        <w:topLinePunct w:val="0"/>
        <w:autoSpaceDE w:val="0"/>
        <w:autoSpaceDN w:val="0"/>
        <w:bidi w:val="0"/>
        <w:spacing w:before="74" w:line="240" w:lineRule="auto"/>
        <w:ind w:left="0" w:leftChars="0" w:right="371" w:firstLine="0" w:firstLineChars="0"/>
        <w:jc w:val="left"/>
        <w:rPr>
          <w:rFonts w:hint="eastAsia" w:ascii="仿宋" w:hAnsi="仿宋" w:eastAsia="仿宋" w:cs="仿宋"/>
          <w:b/>
          <w:bCs/>
          <w:color w:val="auto"/>
          <w:spacing w:val="0"/>
          <w:sz w:val="28"/>
          <w:szCs w:val="28"/>
          <w:highlight w:val="none"/>
          <w:lang w:val="zh-CN"/>
        </w:rPr>
      </w:pPr>
    </w:p>
    <w:p w14:paraId="264CC015">
      <w:pPr>
        <w:pStyle w:val="36"/>
        <w:keepNext w:val="0"/>
        <w:keepLines w:val="0"/>
        <w:pageBreakBefore w:val="0"/>
        <w:widowControl w:val="0"/>
        <w:tabs>
          <w:tab w:val="left" w:pos="1234"/>
        </w:tabs>
        <w:wordWrap/>
        <w:overflowPunct/>
        <w:topLinePunct w:val="0"/>
        <w:autoSpaceDE w:val="0"/>
        <w:autoSpaceDN w:val="0"/>
        <w:bidi w:val="0"/>
        <w:spacing w:before="74" w:line="240" w:lineRule="auto"/>
        <w:ind w:right="369" w:firstLine="0" w:firstLineChars="0"/>
        <w:jc w:val="left"/>
        <w:outlineLvl w:val="9"/>
        <w:rPr>
          <w:rFonts w:hint="eastAsia" w:ascii="仿宋" w:hAnsi="仿宋" w:eastAsia="仿宋" w:cs="仿宋"/>
          <w:b/>
          <w:bCs/>
          <w:color w:val="auto"/>
          <w:spacing w:val="0"/>
          <w:sz w:val="28"/>
          <w:szCs w:val="28"/>
          <w:highlight w:val="none"/>
          <w:u w:val="single"/>
          <w:lang w:val="zh-CN"/>
        </w:rPr>
      </w:pPr>
      <w:r>
        <w:rPr>
          <w:rFonts w:hint="eastAsia" w:ascii="仿宋" w:hAnsi="仿宋" w:eastAsia="仿宋" w:cs="仿宋"/>
          <w:b/>
          <w:bCs/>
          <w:color w:val="auto"/>
          <w:spacing w:val="0"/>
          <w:sz w:val="28"/>
          <w:szCs w:val="28"/>
          <w:highlight w:val="none"/>
          <w:lang w:val="zh-CN"/>
        </w:rPr>
        <w:t>招标代理机构（盖章）：</w:t>
      </w:r>
      <w:r>
        <w:rPr>
          <w:rFonts w:hint="eastAsia" w:ascii="仿宋" w:hAnsi="仿宋" w:eastAsia="仿宋" w:cs="仿宋"/>
          <w:b/>
          <w:bCs/>
          <w:color w:val="auto"/>
          <w:spacing w:val="0"/>
          <w:sz w:val="28"/>
          <w:szCs w:val="28"/>
          <w:highlight w:val="none"/>
          <w:u w:val="single"/>
          <w:lang w:val="zh-CN"/>
        </w:rPr>
        <w:t>新疆华远博辰工程项目管理有限公司</w:t>
      </w:r>
    </w:p>
    <w:p w14:paraId="57C2428F">
      <w:pPr>
        <w:pStyle w:val="36"/>
        <w:keepNext w:val="0"/>
        <w:keepLines w:val="0"/>
        <w:pageBreakBefore w:val="0"/>
        <w:widowControl w:val="0"/>
        <w:tabs>
          <w:tab w:val="left" w:pos="1234"/>
        </w:tabs>
        <w:wordWrap/>
        <w:overflowPunct/>
        <w:topLinePunct w:val="0"/>
        <w:autoSpaceDE w:val="0"/>
        <w:autoSpaceDN w:val="0"/>
        <w:bidi w:val="0"/>
        <w:spacing w:before="74" w:line="240" w:lineRule="auto"/>
        <w:ind w:right="369" w:firstLine="562"/>
        <w:jc w:val="left"/>
        <w:rPr>
          <w:rFonts w:hint="eastAsia" w:ascii="仿宋" w:hAnsi="仿宋" w:eastAsia="仿宋" w:cs="仿宋"/>
          <w:b/>
          <w:bCs/>
          <w:color w:val="auto"/>
          <w:spacing w:val="0"/>
          <w:sz w:val="28"/>
          <w:szCs w:val="28"/>
          <w:highlight w:val="none"/>
          <w:lang w:val="zh-CN"/>
        </w:rPr>
      </w:pPr>
    </w:p>
    <w:p w14:paraId="2A720CDE">
      <w:pPr>
        <w:keepNext w:val="0"/>
        <w:keepLines w:val="0"/>
        <w:pageBreakBefore w:val="0"/>
        <w:widowControl w:val="0"/>
        <w:wordWrap/>
        <w:overflowPunct/>
        <w:topLinePunct w:val="0"/>
        <w:bidi w:val="0"/>
        <w:spacing w:before="86" w:line="240" w:lineRule="auto"/>
        <w:ind w:left="3674"/>
        <w:rPr>
          <w:rFonts w:hint="eastAsia" w:ascii="仿宋" w:hAnsi="仿宋" w:eastAsia="仿宋" w:cs="仿宋"/>
          <w:color w:val="auto"/>
          <w:spacing w:val="0"/>
          <w:highlight w:val="none"/>
        </w:rPr>
      </w:pPr>
    </w:p>
    <w:p w14:paraId="71A5BD84">
      <w:pPr>
        <w:pStyle w:val="35"/>
        <w:keepNext w:val="0"/>
        <w:keepLines w:val="0"/>
        <w:pageBreakBefore w:val="0"/>
        <w:widowControl w:val="0"/>
        <w:numPr>
          <w:ilvl w:val="0"/>
          <w:numId w:val="0"/>
        </w:numPr>
        <w:wordWrap/>
        <w:overflowPunct/>
        <w:topLinePunct w:val="0"/>
        <w:bidi w:val="0"/>
        <w:spacing w:line="240" w:lineRule="auto"/>
        <w:jc w:val="both"/>
        <w:rPr>
          <w:rFonts w:hint="eastAsia" w:ascii="仿宋" w:hAnsi="仿宋" w:eastAsia="仿宋" w:cs="仿宋"/>
          <w:b/>
          <w:bCs/>
          <w:snapToGrid w:val="0"/>
          <w:color w:val="auto"/>
          <w:spacing w:val="0"/>
          <w:kern w:val="0"/>
          <w:sz w:val="28"/>
          <w:szCs w:val="28"/>
          <w:highlight w:val="none"/>
          <w:lang w:val="en-US" w:eastAsia="zh-CN"/>
        </w:rPr>
      </w:pPr>
    </w:p>
    <w:p w14:paraId="765F47DA">
      <w:pPr>
        <w:pStyle w:val="35"/>
        <w:keepNext w:val="0"/>
        <w:keepLines w:val="0"/>
        <w:pageBreakBefore w:val="0"/>
        <w:widowControl w:val="0"/>
        <w:numPr>
          <w:ilvl w:val="0"/>
          <w:numId w:val="0"/>
        </w:numPr>
        <w:wordWrap/>
        <w:overflowPunct/>
        <w:topLinePunct w:val="0"/>
        <w:bidi w:val="0"/>
        <w:spacing w:line="240" w:lineRule="auto"/>
        <w:ind w:left="900" w:leftChars="0"/>
        <w:jc w:val="center"/>
        <w:rPr>
          <w:rFonts w:hint="eastAsia" w:ascii="仿宋" w:hAnsi="仿宋" w:eastAsia="仿宋" w:cs="仿宋"/>
          <w:b/>
          <w:bCs/>
          <w:snapToGrid w:val="0"/>
          <w:color w:val="auto"/>
          <w:spacing w:val="0"/>
          <w:kern w:val="0"/>
          <w:sz w:val="28"/>
          <w:szCs w:val="28"/>
          <w:highlight w:val="none"/>
          <w:lang w:val="en-US" w:eastAsia="zh-CN"/>
        </w:rPr>
      </w:pPr>
      <w:r>
        <w:rPr>
          <w:rFonts w:hint="eastAsia" w:ascii="仿宋" w:hAnsi="仿宋" w:eastAsia="仿宋" w:cs="仿宋"/>
          <w:b/>
          <w:bCs/>
          <w:snapToGrid w:val="0"/>
          <w:color w:val="auto"/>
          <w:spacing w:val="0"/>
          <w:kern w:val="0"/>
          <w:sz w:val="28"/>
          <w:szCs w:val="28"/>
          <w:highlight w:val="none"/>
          <w:lang w:val="en-US" w:eastAsia="zh-CN"/>
        </w:rPr>
        <w:t>2025年7月</w:t>
      </w:r>
    </w:p>
    <w:p w14:paraId="119E37CC">
      <w:pPr>
        <w:keepNext w:val="0"/>
        <w:keepLines w:val="0"/>
        <w:pageBreakBefore w:val="0"/>
        <w:widowControl w:val="0"/>
        <w:wordWrap/>
        <w:overflowPunct/>
        <w:topLinePunct w:val="0"/>
        <w:bidi w:val="0"/>
        <w:spacing w:before="98" w:line="240" w:lineRule="auto"/>
        <w:ind w:left="3656"/>
        <w:rPr>
          <w:rFonts w:hint="eastAsia" w:ascii="仿宋" w:hAnsi="仿宋" w:eastAsia="仿宋" w:cs="仿宋"/>
          <w:color w:val="auto"/>
          <w:spacing w:val="0"/>
          <w:sz w:val="30"/>
          <w:szCs w:val="30"/>
          <w:highlight w:val="none"/>
        </w:rPr>
      </w:pPr>
    </w:p>
    <w:p w14:paraId="6B583B3E">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30"/>
          <w:szCs w:val="30"/>
          <w:highlight w:val="none"/>
        </w:rPr>
        <w:sectPr>
          <w:headerReference r:id="rId5" w:type="default"/>
          <w:pgSz w:w="11907" w:h="16840"/>
          <w:pgMar w:top="1440" w:right="1800" w:bottom="1440" w:left="1800" w:header="0" w:footer="0" w:gutter="0"/>
          <w:cols w:space="720" w:num="1"/>
        </w:sectPr>
      </w:pPr>
    </w:p>
    <w:sdt>
      <w:sdtPr>
        <w:rPr>
          <w:rFonts w:hint="eastAsia" w:ascii="仿宋" w:hAnsi="仿宋" w:eastAsia="仿宋" w:cs="仿宋"/>
          <w:color w:val="auto"/>
          <w:spacing w:val="0"/>
          <w:sz w:val="35"/>
          <w:szCs w:val="35"/>
          <w:highlight w:val="none"/>
        </w:rPr>
        <w:id w:val="147464395"/>
        <w:docPartObj>
          <w:docPartGallery w:val="Table of Contents"/>
          <w:docPartUnique/>
        </w:docPartObj>
      </w:sdtPr>
      <w:sdtEndPr>
        <w:rPr>
          <w:rFonts w:hint="eastAsia" w:ascii="仿宋" w:hAnsi="仿宋" w:eastAsia="仿宋" w:cs="仿宋"/>
          <w:color w:val="auto"/>
          <w:spacing w:val="0"/>
          <w:sz w:val="22"/>
          <w:szCs w:val="22"/>
          <w:highlight w:val="none"/>
        </w:rPr>
      </w:sdtEndPr>
      <w:sdtContent>
        <w:p w14:paraId="4B095AC6">
          <w:pPr>
            <w:keepNext w:val="0"/>
            <w:keepLines w:val="0"/>
            <w:pageBreakBefore w:val="0"/>
            <w:widowControl w:val="0"/>
            <w:wordWrap/>
            <w:overflowPunct/>
            <w:topLinePunct w:val="0"/>
            <w:bidi w:val="0"/>
            <w:spacing w:before="113" w:line="240" w:lineRule="auto"/>
            <w:ind w:left="4391"/>
            <w:rPr>
              <w:rFonts w:hint="eastAsia" w:ascii="仿宋" w:hAnsi="仿宋" w:eastAsia="仿宋" w:cs="仿宋"/>
              <w:color w:val="auto"/>
              <w:spacing w:val="0"/>
              <w:sz w:val="35"/>
              <w:szCs w:val="35"/>
              <w:highlight w:val="none"/>
            </w:rPr>
          </w:pPr>
          <w:r>
            <w:rPr>
              <w:rFonts w:hint="eastAsia" w:ascii="仿宋" w:hAnsi="仿宋" w:eastAsia="仿宋" w:cs="仿宋"/>
              <w:b/>
              <w:bCs/>
              <w:color w:val="auto"/>
              <w:spacing w:val="0"/>
              <w:sz w:val="35"/>
              <w:szCs w:val="35"/>
              <w:highlight w:val="none"/>
            </w:rPr>
            <w:t>目</w:t>
          </w:r>
          <w:r>
            <w:rPr>
              <w:rFonts w:hint="eastAsia" w:ascii="仿宋" w:hAnsi="仿宋" w:eastAsia="仿宋" w:cs="仿宋"/>
              <w:color w:val="auto"/>
              <w:spacing w:val="0"/>
              <w:sz w:val="35"/>
              <w:szCs w:val="35"/>
              <w:highlight w:val="none"/>
            </w:rPr>
            <w:t xml:space="preserve">  </w:t>
          </w:r>
          <w:r>
            <w:rPr>
              <w:rFonts w:hint="eastAsia" w:ascii="仿宋" w:hAnsi="仿宋" w:eastAsia="仿宋" w:cs="仿宋"/>
              <w:b/>
              <w:bCs/>
              <w:color w:val="auto"/>
              <w:spacing w:val="0"/>
              <w:sz w:val="35"/>
              <w:szCs w:val="35"/>
              <w:highlight w:val="none"/>
            </w:rPr>
            <w:t>录</w:t>
          </w:r>
        </w:p>
        <w:p w14:paraId="1AB0B3EC">
          <w:pPr>
            <w:keepNext w:val="0"/>
            <w:keepLines w:val="0"/>
            <w:pageBreakBefore w:val="0"/>
            <w:widowControl w:val="0"/>
            <w:tabs>
              <w:tab w:val="right" w:leader="dot" w:pos="9710"/>
            </w:tabs>
            <w:wordWrap/>
            <w:overflowPunct/>
            <w:topLinePunct w:val="0"/>
            <w:bidi w:val="0"/>
            <w:spacing w:before="260" w:line="240" w:lineRule="auto"/>
            <w:rPr>
              <w:rFonts w:hint="eastAsia" w:ascii="仿宋" w:hAnsi="仿宋" w:eastAsia="仿宋" w:cs="仿宋"/>
              <w:color w:val="auto"/>
              <w:spacing w:val="0"/>
              <w:sz w:val="22"/>
              <w:szCs w:val="22"/>
              <w:highlight w:val="none"/>
            </w:rPr>
          </w:pPr>
          <w:r>
            <w:rPr>
              <w:rFonts w:hint="eastAsia" w:ascii="仿宋" w:hAnsi="仿宋" w:eastAsia="仿宋" w:cs="仿宋"/>
              <w:color w:val="auto"/>
              <w:spacing w:val="0"/>
              <w:highlight w:val="none"/>
            </w:rPr>
            <w:fldChar w:fldCharType="begin"/>
          </w:r>
          <w:r>
            <w:rPr>
              <w:rFonts w:hint="eastAsia" w:ascii="仿宋" w:hAnsi="仿宋" w:eastAsia="仿宋" w:cs="仿宋"/>
              <w:color w:val="auto"/>
              <w:spacing w:val="0"/>
              <w:highlight w:val="none"/>
            </w:rPr>
            <w:instrText xml:space="preserve"> HYPERLINK \l "bookmark1" </w:instrText>
          </w:r>
          <w:r>
            <w:rPr>
              <w:rFonts w:hint="eastAsia" w:ascii="仿宋" w:hAnsi="仿宋" w:eastAsia="仿宋" w:cs="仿宋"/>
              <w:color w:val="auto"/>
              <w:spacing w:val="0"/>
              <w:highlight w:val="none"/>
            </w:rPr>
            <w:fldChar w:fldCharType="separate"/>
          </w:r>
          <w:r>
            <w:rPr>
              <w:rFonts w:hint="eastAsia" w:ascii="仿宋" w:hAnsi="仿宋" w:eastAsia="仿宋" w:cs="仿宋"/>
              <w:b/>
              <w:bCs/>
              <w:color w:val="auto"/>
              <w:spacing w:val="0"/>
              <w:sz w:val="22"/>
              <w:szCs w:val="22"/>
              <w:highlight w:val="none"/>
            </w:rPr>
            <w:t>第一章</w:t>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竞争性磋商公告</w:t>
          </w:r>
          <w:r>
            <w:rPr>
              <w:rFonts w:hint="eastAsia" w:ascii="仿宋" w:hAnsi="仿宋" w:eastAsia="仿宋" w:cs="仿宋"/>
              <w:color w:val="auto"/>
              <w:spacing w:val="0"/>
              <w:sz w:val="22"/>
              <w:szCs w:val="22"/>
              <w:highlight w:val="none"/>
            </w:rPr>
            <w:t xml:space="preserve"> </w:t>
          </w:r>
          <w:r>
            <w:rPr>
              <w:rFonts w:hint="eastAsia" w:ascii="仿宋" w:hAnsi="仿宋" w:eastAsia="仿宋" w:cs="仿宋"/>
              <w:color w:val="auto"/>
              <w:spacing w:val="0"/>
              <w:sz w:val="22"/>
              <w:szCs w:val="22"/>
              <w:highlight w:val="none"/>
              <w14:textOutline w14:w="4013" w14:cap="flat" w14:cmpd="sng">
                <w14:solidFill>
                  <w14:srgbClr w14:val="000000"/>
                </w14:solidFill>
                <w14:prstDash w14:val="solid"/>
                <w14:miter w14:val="0"/>
              </w14:textOutline>
            </w:rPr>
            <w:tab/>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1</w:t>
          </w:r>
          <w:r>
            <w:rPr>
              <w:rFonts w:hint="eastAsia" w:ascii="仿宋" w:hAnsi="仿宋" w:eastAsia="仿宋" w:cs="仿宋"/>
              <w:b/>
              <w:bCs/>
              <w:color w:val="auto"/>
              <w:spacing w:val="0"/>
              <w:sz w:val="22"/>
              <w:szCs w:val="22"/>
              <w:highlight w:val="none"/>
            </w:rPr>
            <w:fldChar w:fldCharType="end"/>
          </w:r>
        </w:p>
        <w:p w14:paraId="3E97C21B">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1BB5684">
          <w:pPr>
            <w:keepNext w:val="0"/>
            <w:keepLines w:val="0"/>
            <w:pageBreakBefore w:val="0"/>
            <w:widowControl w:val="0"/>
            <w:tabs>
              <w:tab w:val="right" w:leader="dot" w:pos="9710"/>
            </w:tabs>
            <w:wordWrap/>
            <w:overflowPunct/>
            <w:topLinePunct w:val="0"/>
            <w:bidi w:val="0"/>
            <w:spacing w:before="72" w:line="240" w:lineRule="auto"/>
            <w:rPr>
              <w:rFonts w:hint="eastAsia" w:ascii="仿宋" w:hAnsi="仿宋" w:eastAsia="仿宋" w:cs="仿宋"/>
              <w:color w:val="auto"/>
              <w:spacing w:val="0"/>
              <w:sz w:val="22"/>
              <w:szCs w:val="22"/>
              <w:highlight w:val="none"/>
            </w:rPr>
          </w:pPr>
          <w:r>
            <w:rPr>
              <w:rFonts w:hint="eastAsia" w:ascii="仿宋" w:hAnsi="仿宋" w:eastAsia="仿宋" w:cs="仿宋"/>
              <w:color w:val="auto"/>
              <w:spacing w:val="0"/>
              <w:highlight w:val="none"/>
            </w:rPr>
            <w:fldChar w:fldCharType="begin"/>
          </w:r>
          <w:r>
            <w:rPr>
              <w:rFonts w:hint="eastAsia" w:ascii="仿宋" w:hAnsi="仿宋" w:eastAsia="仿宋" w:cs="仿宋"/>
              <w:color w:val="auto"/>
              <w:spacing w:val="0"/>
              <w:highlight w:val="none"/>
            </w:rPr>
            <w:instrText xml:space="preserve"> HYPERLINK \l "bookmark2" </w:instrText>
          </w:r>
          <w:r>
            <w:rPr>
              <w:rFonts w:hint="eastAsia" w:ascii="仿宋" w:hAnsi="仿宋" w:eastAsia="仿宋" w:cs="仿宋"/>
              <w:color w:val="auto"/>
              <w:spacing w:val="0"/>
              <w:highlight w:val="none"/>
            </w:rPr>
            <w:fldChar w:fldCharType="separate"/>
          </w:r>
          <w:r>
            <w:rPr>
              <w:rFonts w:hint="eastAsia" w:ascii="仿宋" w:hAnsi="仿宋" w:eastAsia="仿宋" w:cs="仿宋"/>
              <w:b/>
              <w:bCs/>
              <w:color w:val="auto"/>
              <w:spacing w:val="0"/>
              <w:sz w:val="22"/>
              <w:szCs w:val="22"/>
              <w:highlight w:val="none"/>
            </w:rPr>
            <w:t>第二章</w:t>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磋商须知</w:t>
          </w:r>
          <w:r>
            <w:rPr>
              <w:rFonts w:hint="eastAsia" w:ascii="仿宋" w:hAnsi="仿宋" w:eastAsia="仿宋" w:cs="仿宋"/>
              <w:color w:val="auto"/>
              <w:spacing w:val="0"/>
              <w:sz w:val="22"/>
              <w:szCs w:val="22"/>
              <w:highlight w:val="none"/>
            </w:rPr>
            <w:t xml:space="preserve"> </w:t>
          </w:r>
          <w:r>
            <w:rPr>
              <w:rFonts w:hint="eastAsia" w:ascii="仿宋" w:hAnsi="仿宋" w:eastAsia="仿宋" w:cs="仿宋"/>
              <w:color w:val="auto"/>
              <w:spacing w:val="0"/>
              <w:sz w:val="22"/>
              <w:szCs w:val="22"/>
              <w:highlight w:val="none"/>
              <w14:textOutline w14:w="4013" w14:cap="flat" w14:cmpd="sng">
                <w14:solidFill>
                  <w14:srgbClr w14:val="000000"/>
                </w14:solidFill>
                <w14:prstDash w14:val="solid"/>
                <w14:miter w14:val="0"/>
              </w14:textOutline>
            </w:rPr>
            <w:tab/>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4</w:t>
          </w:r>
          <w:r>
            <w:rPr>
              <w:rFonts w:hint="eastAsia" w:ascii="仿宋" w:hAnsi="仿宋" w:eastAsia="仿宋" w:cs="仿宋"/>
              <w:b/>
              <w:bCs/>
              <w:color w:val="auto"/>
              <w:spacing w:val="0"/>
              <w:sz w:val="22"/>
              <w:szCs w:val="22"/>
              <w:highlight w:val="none"/>
            </w:rPr>
            <w:fldChar w:fldCharType="end"/>
          </w:r>
        </w:p>
        <w:p w14:paraId="394C01CA">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BC25821">
          <w:pPr>
            <w:keepNext w:val="0"/>
            <w:keepLines w:val="0"/>
            <w:pageBreakBefore w:val="0"/>
            <w:widowControl w:val="0"/>
            <w:tabs>
              <w:tab w:val="right" w:leader="dot" w:pos="9710"/>
            </w:tabs>
            <w:wordWrap/>
            <w:overflowPunct/>
            <w:topLinePunct w:val="0"/>
            <w:bidi w:val="0"/>
            <w:spacing w:before="72" w:line="240" w:lineRule="auto"/>
            <w:rPr>
              <w:rFonts w:hint="eastAsia" w:ascii="仿宋" w:hAnsi="仿宋" w:eastAsia="仿宋" w:cs="仿宋"/>
              <w:color w:val="auto"/>
              <w:spacing w:val="0"/>
              <w:sz w:val="22"/>
              <w:szCs w:val="22"/>
              <w:highlight w:val="none"/>
            </w:rPr>
          </w:pPr>
          <w:r>
            <w:rPr>
              <w:rFonts w:hint="eastAsia" w:ascii="仿宋" w:hAnsi="仿宋" w:eastAsia="仿宋" w:cs="仿宋"/>
              <w:color w:val="auto"/>
              <w:spacing w:val="0"/>
              <w:highlight w:val="none"/>
            </w:rPr>
            <w:fldChar w:fldCharType="begin"/>
          </w:r>
          <w:r>
            <w:rPr>
              <w:rFonts w:hint="eastAsia" w:ascii="仿宋" w:hAnsi="仿宋" w:eastAsia="仿宋" w:cs="仿宋"/>
              <w:color w:val="auto"/>
              <w:spacing w:val="0"/>
              <w:highlight w:val="none"/>
            </w:rPr>
            <w:instrText xml:space="preserve"> HYPERLINK \l "bookmark3" </w:instrText>
          </w:r>
          <w:r>
            <w:rPr>
              <w:rFonts w:hint="eastAsia" w:ascii="仿宋" w:hAnsi="仿宋" w:eastAsia="仿宋" w:cs="仿宋"/>
              <w:color w:val="auto"/>
              <w:spacing w:val="0"/>
              <w:highlight w:val="none"/>
            </w:rPr>
            <w:fldChar w:fldCharType="separate"/>
          </w:r>
          <w:r>
            <w:rPr>
              <w:rFonts w:hint="eastAsia" w:ascii="仿宋" w:hAnsi="仿宋" w:eastAsia="仿宋" w:cs="仿宋"/>
              <w:b/>
              <w:bCs/>
              <w:color w:val="auto"/>
              <w:spacing w:val="0"/>
              <w:sz w:val="22"/>
              <w:szCs w:val="22"/>
              <w:highlight w:val="none"/>
            </w:rPr>
            <w:t>第三章</w:t>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评审方法（综合评分法）</w:t>
          </w:r>
          <w:r>
            <w:rPr>
              <w:rFonts w:hint="eastAsia" w:ascii="仿宋" w:hAnsi="仿宋" w:eastAsia="仿宋" w:cs="仿宋"/>
              <w:color w:val="auto"/>
              <w:spacing w:val="0"/>
              <w:sz w:val="22"/>
              <w:szCs w:val="22"/>
              <w:highlight w:val="none"/>
            </w:rPr>
            <w:t xml:space="preserve"> </w:t>
          </w:r>
          <w:r>
            <w:rPr>
              <w:rFonts w:hint="eastAsia" w:ascii="仿宋" w:hAnsi="仿宋" w:eastAsia="仿宋" w:cs="仿宋"/>
              <w:color w:val="auto"/>
              <w:spacing w:val="0"/>
              <w:sz w:val="22"/>
              <w:szCs w:val="22"/>
              <w:highlight w:val="none"/>
              <w14:textOutline w14:w="4013" w14:cap="flat" w14:cmpd="sng">
                <w14:solidFill>
                  <w14:srgbClr w14:val="000000"/>
                </w14:solidFill>
                <w14:prstDash w14:val="solid"/>
                <w14:miter w14:val="0"/>
              </w14:textOutline>
            </w:rPr>
            <w:tab/>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24</w:t>
          </w:r>
          <w:r>
            <w:rPr>
              <w:rFonts w:hint="eastAsia" w:ascii="仿宋" w:hAnsi="仿宋" w:eastAsia="仿宋" w:cs="仿宋"/>
              <w:b/>
              <w:bCs/>
              <w:color w:val="auto"/>
              <w:spacing w:val="0"/>
              <w:sz w:val="22"/>
              <w:szCs w:val="22"/>
              <w:highlight w:val="none"/>
            </w:rPr>
            <w:fldChar w:fldCharType="end"/>
          </w:r>
        </w:p>
        <w:p w14:paraId="6A762378">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38D9F360">
          <w:pPr>
            <w:keepNext w:val="0"/>
            <w:keepLines w:val="0"/>
            <w:pageBreakBefore w:val="0"/>
            <w:widowControl w:val="0"/>
            <w:tabs>
              <w:tab w:val="right" w:leader="dot" w:pos="9710"/>
            </w:tabs>
            <w:wordWrap/>
            <w:overflowPunct/>
            <w:topLinePunct w:val="0"/>
            <w:bidi w:val="0"/>
            <w:spacing w:before="71" w:line="240" w:lineRule="auto"/>
            <w:rPr>
              <w:rFonts w:hint="eastAsia" w:ascii="仿宋" w:hAnsi="仿宋" w:eastAsia="仿宋" w:cs="仿宋"/>
              <w:color w:val="auto"/>
              <w:spacing w:val="0"/>
              <w:sz w:val="22"/>
              <w:szCs w:val="22"/>
              <w:highlight w:val="none"/>
            </w:rPr>
          </w:pPr>
          <w:r>
            <w:rPr>
              <w:rFonts w:hint="eastAsia" w:ascii="仿宋" w:hAnsi="仿宋" w:eastAsia="仿宋" w:cs="仿宋"/>
              <w:color w:val="auto"/>
              <w:spacing w:val="0"/>
              <w:highlight w:val="none"/>
            </w:rPr>
            <w:fldChar w:fldCharType="begin"/>
          </w:r>
          <w:r>
            <w:rPr>
              <w:rFonts w:hint="eastAsia" w:ascii="仿宋" w:hAnsi="仿宋" w:eastAsia="仿宋" w:cs="仿宋"/>
              <w:color w:val="auto"/>
              <w:spacing w:val="0"/>
              <w:highlight w:val="none"/>
            </w:rPr>
            <w:instrText xml:space="preserve"> HYPERLINK \l "bookmark4" </w:instrText>
          </w:r>
          <w:r>
            <w:rPr>
              <w:rFonts w:hint="eastAsia" w:ascii="仿宋" w:hAnsi="仿宋" w:eastAsia="仿宋" w:cs="仿宋"/>
              <w:color w:val="auto"/>
              <w:spacing w:val="0"/>
              <w:highlight w:val="none"/>
            </w:rPr>
            <w:fldChar w:fldCharType="separate"/>
          </w:r>
          <w:r>
            <w:rPr>
              <w:rFonts w:hint="eastAsia" w:ascii="仿宋" w:hAnsi="仿宋" w:eastAsia="仿宋" w:cs="仿宋"/>
              <w:b/>
              <w:bCs/>
              <w:color w:val="auto"/>
              <w:spacing w:val="0"/>
              <w:sz w:val="22"/>
              <w:szCs w:val="22"/>
              <w:highlight w:val="none"/>
            </w:rPr>
            <w:t>第四章</w:t>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合同格式及合同条款（仅供参考）</w:t>
          </w:r>
          <w:r>
            <w:rPr>
              <w:rFonts w:hint="eastAsia" w:ascii="仿宋" w:hAnsi="仿宋" w:eastAsia="仿宋" w:cs="仿宋"/>
              <w:color w:val="auto"/>
              <w:spacing w:val="0"/>
              <w:sz w:val="22"/>
              <w:szCs w:val="22"/>
              <w:highlight w:val="none"/>
            </w:rPr>
            <w:t xml:space="preserve"> </w:t>
          </w:r>
          <w:r>
            <w:rPr>
              <w:rFonts w:hint="eastAsia" w:ascii="仿宋" w:hAnsi="仿宋" w:eastAsia="仿宋" w:cs="仿宋"/>
              <w:color w:val="auto"/>
              <w:spacing w:val="0"/>
              <w:sz w:val="22"/>
              <w:szCs w:val="22"/>
              <w:highlight w:val="none"/>
              <w14:textOutline w14:w="4013" w14:cap="flat" w14:cmpd="sng">
                <w14:solidFill>
                  <w14:srgbClr w14:val="000000"/>
                </w14:solidFill>
                <w14:prstDash w14:val="solid"/>
                <w14:miter w14:val="0"/>
              </w14:textOutline>
            </w:rPr>
            <w:tab/>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30</w:t>
          </w:r>
          <w:r>
            <w:rPr>
              <w:rFonts w:hint="eastAsia" w:ascii="仿宋" w:hAnsi="仿宋" w:eastAsia="仿宋" w:cs="仿宋"/>
              <w:b/>
              <w:bCs/>
              <w:color w:val="auto"/>
              <w:spacing w:val="0"/>
              <w:sz w:val="22"/>
              <w:szCs w:val="22"/>
              <w:highlight w:val="none"/>
            </w:rPr>
            <w:fldChar w:fldCharType="end"/>
          </w:r>
        </w:p>
        <w:p w14:paraId="48E5F5D8">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F5DAD76">
          <w:pPr>
            <w:keepNext w:val="0"/>
            <w:keepLines w:val="0"/>
            <w:pageBreakBefore w:val="0"/>
            <w:widowControl w:val="0"/>
            <w:tabs>
              <w:tab w:val="right" w:leader="dot" w:pos="9710"/>
            </w:tabs>
            <w:wordWrap/>
            <w:overflowPunct/>
            <w:topLinePunct w:val="0"/>
            <w:bidi w:val="0"/>
            <w:spacing w:before="72" w:line="240" w:lineRule="auto"/>
            <w:rPr>
              <w:rFonts w:hint="eastAsia" w:ascii="仿宋" w:hAnsi="仿宋" w:eastAsia="仿宋" w:cs="仿宋"/>
              <w:color w:val="auto"/>
              <w:spacing w:val="0"/>
              <w:sz w:val="22"/>
              <w:szCs w:val="22"/>
              <w:highlight w:val="none"/>
            </w:rPr>
          </w:pPr>
          <w:r>
            <w:rPr>
              <w:rFonts w:hint="eastAsia" w:ascii="仿宋" w:hAnsi="仿宋" w:eastAsia="仿宋" w:cs="仿宋"/>
              <w:color w:val="auto"/>
              <w:spacing w:val="0"/>
              <w:highlight w:val="none"/>
            </w:rPr>
            <w:fldChar w:fldCharType="begin"/>
          </w:r>
          <w:r>
            <w:rPr>
              <w:rFonts w:hint="eastAsia" w:ascii="仿宋" w:hAnsi="仿宋" w:eastAsia="仿宋" w:cs="仿宋"/>
              <w:color w:val="auto"/>
              <w:spacing w:val="0"/>
              <w:highlight w:val="none"/>
            </w:rPr>
            <w:instrText xml:space="preserve"> HYPERLINK \l "bookmark5" </w:instrText>
          </w:r>
          <w:r>
            <w:rPr>
              <w:rFonts w:hint="eastAsia" w:ascii="仿宋" w:hAnsi="仿宋" w:eastAsia="仿宋" w:cs="仿宋"/>
              <w:color w:val="auto"/>
              <w:spacing w:val="0"/>
              <w:highlight w:val="none"/>
            </w:rPr>
            <w:fldChar w:fldCharType="separate"/>
          </w:r>
          <w:r>
            <w:rPr>
              <w:rFonts w:hint="eastAsia" w:ascii="仿宋" w:hAnsi="仿宋" w:eastAsia="仿宋" w:cs="仿宋"/>
              <w:b/>
              <w:bCs/>
              <w:color w:val="auto"/>
              <w:spacing w:val="0"/>
              <w:sz w:val="22"/>
              <w:szCs w:val="22"/>
              <w:highlight w:val="none"/>
            </w:rPr>
            <w:t>第五章</w:t>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服务需求</w:t>
          </w:r>
          <w:r>
            <w:rPr>
              <w:rFonts w:hint="eastAsia" w:ascii="仿宋" w:hAnsi="仿宋" w:eastAsia="仿宋" w:cs="仿宋"/>
              <w:color w:val="auto"/>
              <w:spacing w:val="0"/>
              <w:sz w:val="22"/>
              <w:szCs w:val="22"/>
              <w:highlight w:val="none"/>
            </w:rPr>
            <w:t xml:space="preserve"> </w:t>
          </w:r>
          <w:r>
            <w:rPr>
              <w:rFonts w:hint="eastAsia" w:ascii="仿宋" w:hAnsi="仿宋" w:eastAsia="仿宋" w:cs="仿宋"/>
              <w:color w:val="auto"/>
              <w:spacing w:val="0"/>
              <w:sz w:val="22"/>
              <w:szCs w:val="22"/>
              <w:highlight w:val="none"/>
              <w14:textOutline w14:w="4013" w14:cap="flat" w14:cmpd="sng">
                <w14:solidFill>
                  <w14:srgbClr w14:val="000000"/>
                </w14:solidFill>
                <w14:prstDash w14:val="solid"/>
                <w14:miter w14:val="0"/>
              </w14:textOutline>
            </w:rPr>
            <w:tab/>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40</w:t>
          </w:r>
          <w:r>
            <w:rPr>
              <w:rFonts w:hint="eastAsia" w:ascii="仿宋" w:hAnsi="仿宋" w:eastAsia="仿宋" w:cs="仿宋"/>
              <w:b/>
              <w:bCs/>
              <w:color w:val="auto"/>
              <w:spacing w:val="0"/>
              <w:sz w:val="22"/>
              <w:szCs w:val="22"/>
              <w:highlight w:val="none"/>
            </w:rPr>
            <w:fldChar w:fldCharType="end"/>
          </w:r>
        </w:p>
        <w:p w14:paraId="60A182F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9D83C77">
          <w:pPr>
            <w:keepNext w:val="0"/>
            <w:keepLines w:val="0"/>
            <w:pageBreakBefore w:val="0"/>
            <w:widowControl w:val="0"/>
            <w:tabs>
              <w:tab w:val="right" w:leader="dot" w:pos="9710"/>
            </w:tabs>
            <w:wordWrap/>
            <w:overflowPunct/>
            <w:topLinePunct w:val="0"/>
            <w:bidi w:val="0"/>
            <w:spacing w:before="72" w:line="240" w:lineRule="auto"/>
            <w:rPr>
              <w:rFonts w:hint="eastAsia" w:ascii="仿宋" w:hAnsi="仿宋" w:eastAsia="仿宋" w:cs="仿宋"/>
              <w:color w:val="auto"/>
              <w:spacing w:val="0"/>
              <w:sz w:val="22"/>
              <w:szCs w:val="22"/>
              <w:highlight w:val="none"/>
            </w:rPr>
          </w:pPr>
          <w:r>
            <w:rPr>
              <w:rFonts w:hint="eastAsia" w:ascii="仿宋" w:hAnsi="仿宋" w:eastAsia="仿宋" w:cs="仿宋"/>
              <w:color w:val="auto"/>
              <w:spacing w:val="0"/>
              <w:highlight w:val="none"/>
            </w:rPr>
            <w:fldChar w:fldCharType="begin"/>
          </w:r>
          <w:r>
            <w:rPr>
              <w:rFonts w:hint="eastAsia" w:ascii="仿宋" w:hAnsi="仿宋" w:eastAsia="仿宋" w:cs="仿宋"/>
              <w:color w:val="auto"/>
              <w:spacing w:val="0"/>
              <w:highlight w:val="none"/>
            </w:rPr>
            <w:instrText xml:space="preserve"> HYPERLINK \l "bookmark6" </w:instrText>
          </w:r>
          <w:r>
            <w:rPr>
              <w:rFonts w:hint="eastAsia" w:ascii="仿宋" w:hAnsi="仿宋" w:eastAsia="仿宋" w:cs="仿宋"/>
              <w:color w:val="auto"/>
              <w:spacing w:val="0"/>
              <w:highlight w:val="none"/>
            </w:rPr>
            <w:fldChar w:fldCharType="separate"/>
          </w:r>
          <w:r>
            <w:rPr>
              <w:rFonts w:hint="eastAsia" w:ascii="仿宋" w:hAnsi="仿宋" w:eastAsia="仿宋" w:cs="仿宋"/>
              <w:b/>
              <w:bCs/>
              <w:color w:val="auto"/>
              <w:spacing w:val="0"/>
              <w:sz w:val="22"/>
              <w:szCs w:val="22"/>
              <w:highlight w:val="none"/>
            </w:rPr>
            <w:t>第六章</w:t>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竞争性磋商响应文件格式</w:t>
          </w:r>
          <w:r>
            <w:rPr>
              <w:rFonts w:hint="eastAsia" w:ascii="仿宋" w:hAnsi="仿宋" w:eastAsia="仿宋" w:cs="仿宋"/>
              <w:color w:val="auto"/>
              <w:spacing w:val="0"/>
              <w:sz w:val="22"/>
              <w:szCs w:val="22"/>
              <w:highlight w:val="none"/>
            </w:rPr>
            <w:t xml:space="preserve"> </w:t>
          </w:r>
          <w:r>
            <w:rPr>
              <w:rFonts w:hint="eastAsia" w:ascii="仿宋" w:hAnsi="仿宋" w:eastAsia="仿宋" w:cs="仿宋"/>
              <w:color w:val="auto"/>
              <w:spacing w:val="0"/>
              <w:sz w:val="22"/>
              <w:szCs w:val="22"/>
              <w:highlight w:val="none"/>
              <w14:textOutline w14:w="4013" w14:cap="flat" w14:cmpd="sng">
                <w14:solidFill>
                  <w14:srgbClr w14:val="000000"/>
                </w14:solidFill>
                <w14:prstDash w14:val="solid"/>
                <w14:miter w14:val="0"/>
              </w14:textOutline>
            </w:rPr>
            <w:tab/>
          </w:r>
          <w:r>
            <w:rPr>
              <w:rFonts w:hint="eastAsia" w:ascii="仿宋" w:hAnsi="仿宋" w:eastAsia="仿宋" w:cs="仿宋"/>
              <w:color w:val="auto"/>
              <w:spacing w:val="0"/>
              <w:sz w:val="22"/>
              <w:szCs w:val="22"/>
              <w:highlight w:val="none"/>
            </w:rPr>
            <w:t xml:space="preserve"> </w:t>
          </w:r>
          <w:r>
            <w:rPr>
              <w:rFonts w:hint="eastAsia" w:ascii="仿宋" w:hAnsi="仿宋" w:eastAsia="仿宋" w:cs="仿宋"/>
              <w:b/>
              <w:bCs/>
              <w:color w:val="auto"/>
              <w:spacing w:val="0"/>
              <w:sz w:val="22"/>
              <w:szCs w:val="22"/>
              <w:highlight w:val="none"/>
            </w:rPr>
            <w:t>41</w:t>
          </w:r>
          <w:r>
            <w:rPr>
              <w:rFonts w:hint="eastAsia" w:ascii="仿宋" w:hAnsi="仿宋" w:eastAsia="仿宋" w:cs="仿宋"/>
              <w:b/>
              <w:bCs/>
              <w:color w:val="auto"/>
              <w:spacing w:val="0"/>
              <w:sz w:val="22"/>
              <w:szCs w:val="22"/>
              <w:highlight w:val="none"/>
            </w:rPr>
            <w:fldChar w:fldCharType="end"/>
          </w:r>
        </w:p>
      </w:sdtContent>
    </w:sdt>
    <w:p w14:paraId="7AF04A5A">
      <w:pPr>
        <w:keepNext w:val="0"/>
        <w:keepLines w:val="0"/>
        <w:pageBreakBefore w:val="0"/>
        <w:widowControl w:val="0"/>
        <w:wordWrap/>
        <w:overflowPunct/>
        <w:topLinePunct w:val="0"/>
        <w:bidi w:val="0"/>
        <w:spacing w:line="240" w:lineRule="auto"/>
        <w:rPr>
          <w:rFonts w:ascii="宋体" w:hAnsi="宋体" w:eastAsia="宋体" w:cs="宋体"/>
          <w:color w:val="auto"/>
          <w:spacing w:val="0"/>
          <w:sz w:val="22"/>
          <w:szCs w:val="22"/>
          <w:highlight w:val="none"/>
        </w:rPr>
        <w:sectPr>
          <w:headerReference r:id="rId6" w:type="default"/>
          <w:pgSz w:w="11907" w:h="16840"/>
          <w:pgMar w:top="1440" w:right="1800" w:bottom="1440" w:left="1800" w:header="0" w:footer="0" w:gutter="0"/>
          <w:cols w:space="720" w:num="1"/>
        </w:sectPr>
      </w:pPr>
    </w:p>
    <w:p w14:paraId="3A368E7B">
      <w:pPr>
        <w:keepNext w:val="0"/>
        <w:keepLines w:val="0"/>
        <w:pageBreakBefore w:val="0"/>
        <w:widowControl w:val="0"/>
        <w:wordWrap/>
        <w:overflowPunct/>
        <w:topLinePunct w:val="0"/>
        <w:bidi w:val="0"/>
        <w:spacing w:before="101" w:line="240" w:lineRule="auto"/>
        <w:ind w:left="2636"/>
        <w:outlineLvl w:val="0"/>
        <w:rPr>
          <w:rFonts w:ascii="宋体" w:hAnsi="宋体" w:eastAsia="宋体" w:cs="宋体"/>
          <w:color w:val="auto"/>
          <w:spacing w:val="0"/>
          <w:sz w:val="31"/>
          <w:szCs w:val="31"/>
          <w:highlight w:val="none"/>
        </w:rPr>
      </w:pPr>
      <w:bookmarkStart w:id="0" w:name="bookmark1"/>
      <w:bookmarkEnd w:id="0"/>
      <w:r>
        <w:rPr>
          <w:rFonts w:ascii="宋体" w:hAnsi="宋体" w:eastAsia="宋体" w:cs="宋体"/>
          <w:b/>
          <w:bCs/>
          <w:color w:val="auto"/>
          <w:spacing w:val="0"/>
          <w:sz w:val="28"/>
          <w:szCs w:val="28"/>
          <w:highlight w:val="none"/>
        </w:rPr>
        <w:t>第一章</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31"/>
          <w:szCs w:val="31"/>
          <w:highlight w:val="none"/>
        </w:rPr>
        <w:t>竞争性磋商公告</w:t>
      </w:r>
    </w:p>
    <w:p w14:paraId="636EE17E">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rPr>
          <w:color w:val="auto"/>
          <w:spacing w:val="0"/>
          <w:highlight w:val="none"/>
        </w:rPr>
      </w:pPr>
      <w:r>
        <w:rPr>
          <w:rFonts w:ascii="仿宋" w:hAnsi="仿宋" w:eastAsia="仿宋" w:cs="仿宋"/>
          <w:i w:val="0"/>
          <w:iCs w:val="0"/>
          <w:caps w:val="0"/>
          <w:color w:val="auto"/>
          <w:spacing w:val="0"/>
          <w:sz w:val="27"/>
          <w:szCs w:val="27"/>
          <w:highlight w:val="none"/>
        </w:rPr>
        <w:t>项目概况</w:t>
      </w:r>
    </w:p>
    <w:p w14:paraId="79E25999">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rPr>
          <w:color w:val="auto"/>
          <w:spacing w:val="0"/>
          <w:highlight w:val="none"/>
        </w:rPr>
      </w:pPr>
      <w:r>
        <w:rPr>
          <w:rFonts w:hint="eastAsia" w:ascii="仿宋" w:hAnsi="仿宋" w:eastAsia="仿宋" w:cs="仿宋"/>
          <w:i w:val="0"/>
          <w:iCs w:val="0"/>
          <w:caps w:val="0"/>
          <w:color w:val="auto"/>
          <w:spacing w:val="0"/>
          <w:sz w:val="27"/>
          <w:szCs w:val="27"/>
          <w:highlight w:val="none"/>
          <w:lang w:eastAsia="zh-CN"/>
        </w:rPr>
        <w:t>新疆玛纳斯县阿尔巴萨依沟中小河流治理项目水土保持方案编制、监测服务</w:t>
      </w:r>
      <w:r>
        <w:rPr>
          <w:rFonts w:hint="eastAsia" w:ascii="仿宋" w:hAnsi="仿宋" w:eastAsia="仿宋" w:cs="仿宋"/>
          <w:i w:val="0"/>
          <w:iCs w:val="0"/>
          <w:caps w:val="0"/>
          <w:color w:val="auto"/>
          <w:spacing w:val="0"/>
          <w:sz w:val="27"/>
          <w:szCs w:val="27"/>
          <w:highlight w:val="none"/>
        </w:rPr>
        <w:t>招标项目的潜在投标人应在政采云平台线上获取获取</w:t>
      </w:r>
      <w:r>
        <w:rPr>
          <w:rFonts w:hint="eastAsia" w:ascii="仿宋" w:hAnsi="仿宋" w:eastAsia="仿宋" w:cs="仿宋"/>
          <w:i w:val="0"/>
          <w:iCs w:val="0"/>
          <w:caps w:val="0"/>
          <w:color w:val="auto"/>
          <w:spacing w:val="0"/>
          <w:sz w:val="27"/>
          <w:szCs w:val="27"/>
          <w:highlight w:val="none"/>
          <w:lang w:eastAsia="zh-CN"/>
        </w:rPr>
        <w:t>磋商</w:t>
      </w:r>
      <w:r>
        <w:rPr>
          <w:rFonts w:hint="eastAsia" w:ascii="仿宋" w:hAnsi="仿宋" w:eastAsia="仿宋" w:cs="仿宋"/>
          <w:i w:val="0"/>
          <w:iCs w:val="0"/>
          <w:caps w:val="0"/>
          <w:color w:val="auto"/>
          <w:spacing w:val="0"/>
          <w:sz w:val="27"/>
          <w:szCs w:val="27"/>
          <w:highlight w:val="none"/>
        </w:rPr>
        <w:t>文件，并于</w:t>
      </w:r>
      <w:r>
        <w:rPr>
          <w:rFonts w:hint="eastAsia" w:ascii="仿宋" w:hAnsi="仿宋" w:eastAsia="仿宋" w:cs="仿宋"/>
          <w:i w:val="0"/>
          <w:iCs w:val="0"/>
          <w:caps w:val="0"/>
          <w:color w:val="auto"/>
          <w:spacing w:val="0"/>
          <w:sz w:val="27"/>
          <w:szCs w:val="27"/>
          <w:highlight w:val="none"/>
          <w:lang w:eastAsia="zh-CN"/>
        </w:rPr>
        <w:t>2025年07月28日16:30</w:t>
      </w:r>
      <w:r>
        <w:rPr>
          <w:rFonts w:hint="eastAsia" w:ascii="仿宋" w:hAnsi="仿宋" w:eastAsia="仿宋" w:cs="仿宋"/>
          <w:i w:val="0"/>
          <w:iCs w:val="0"/>
          <w:caps w:val="0"/>
          <w:color w:val="auto"/>
          <w:spacing w:val="0"/>
          <w:sz w:val="27"/>
          <w:szCs w:val="27"/>
          <w:highlight w:val="none"/>
        </w:rPr>
        <w:t>（北京时间）前递交投标文件。</w:t>
      </w:r>
    </w:p>
    <w:p w14:paraId="29E119B8">
      <w:pPr>
        <w:pStyle w:val="16"/>
        <w:keepNext w:val="0"/>
        <w:keepLines w:val="0"/>
        <w:pageBreakBefore w:val="0"/>
        <w:widowControl w:val="0"/>
        <w:suppressLineNumbers w:val="0"/>
        <w:wordWrap/>
        <w:overflowPunct/>
        <w:topLinePunct w:val="0"/>
        <w:bidi w:val="0"/>
        <w:spacing w:before="255" w:beforeAutospacing="0" w:after="255" w:afterAutospacing="0" w:line="240" w:lineRule="auto"/>
        <w:ind w:left="0" w:right="0"/>
        <w:jc w:val="both"/>
        <w:rPr>
          <w:rFonts w:ascii="黑体" w:hAnsi="宋体" w:eastAsia="黑体" w:cs="黑体"/>
          <w:color w:val="auto"/>
          <w:spacing w:val="0"/>
          <w:sz w:val="27"/>
          <w:szCs w:val="27"/>
          <w:highlight w:val="none"/>
        </w:rPr>
      </w:pPr>
      <w:r>
        <w:rPr>
          <w:rStyle w:val="21"/>
          <w:rFonts w:ascii="黑体" w:hAnsi="宋体" w:eastAsia="黑体" w:cs="黑体"/>
          <w:i w:val="0"/>
          <w:iCs w:val="0"/>
          <w:caps w:val="0"/>
          <w:color w:val="auto"/>
          <w:spacing w:val="0"/>
          <w:sz w:val="27"/>
          <w:szCs w:val="27"/>
          <w:highlight w:val="none"/>
        </w:rPr>
        <w:t>一、项目基本情况</w:t>
      </w:r>
    </w:p>
    <w:p w14:paraId="745D37D6">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default" w:eastAsia="仿宋"/>
          <w:color w:val="auto"/>
          <w:spacing w:val="0"/>
          <w:highlight w:val="none"/>
          <w:lang w:val="en-US" w:eastAsia="zh-CN"/>
        </w:rPr>
      </w:pPr>
      <w:r>
        <w:rPr>
          <w:rFonts w:hint="eastAsia" w:ascii="仿宋" w:hAnsi="仿宋" w:eastAsia="仿宋" w:cs="仿宋"/>
          <w:i w:val="0"/>
          <w:iCs w:val="0"/>
          <w:caps w:val="0"/>
          <w:color w:val="auto"/>
          <w:spacing w:val="0"/>
          <w:sz w:val="27"/>
          <w:szCs w:val="27"/>
          <w:highlight w:val="none"/>
        </w:rPr>
        <w:t>项目编号：</w:t>
      </w:r>
      <w:r>
        <w:rPr>
          <w:rFonts w:hint="eastAsia" w:ascii="仿宋" w:hAnsi="仿宋" w:eastAsia="仿宋" w:cs="仿宋"/>
          <w:i w:val="0"/>
          <w:iCs w:val="0"/>
          <w:caps w:val="0"/>
          <w:color w:val="auto"/>
          <w:spacing w:val="0"/>
          <w:sz w:val="27"/>
          <w:szCs w:val="27"/>
          <w:highlight w:val="none"/>
          <w:lang w:eastAsia="zh-CN"/>
        </w:rPr>
        <w:t>HYBC-MGC-</w:t>
      </w:r>
      <w:r>
        <w:rPr>
          <w:rFonts w:hint="eastAsia" w:ascii="仿宋" w:hAnsi="仿宋" w:eastAsia="仿宋" w:cs="仿宋"/>
          <w:i w:val="0"/>
          <w:iCs w:val="0"/>
          <w:caps w:val="0"/>
          <w:color w:val="auto"/>
          <w:spacing w:val="0"/>
          <w:sz w:val="27"/>
          <w:szCs w:val="27"/>
          <w:highlight w:val="none"/>
          <w:lang w:val="en-US" w:eastAsia="zh-CN"/>
        </w:rPr>
        <w:t>STBC</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68</w:t>
      </w:r>
    </w:p>
    <w:p w14:paraId="15108FCA">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eastAsia="仿宋"/>
          <w:color w:val="auto"/>
          <w:spacing w:val="0"/>
          <w:highlight w:val="none"/>
          <w:lang w:eastAsia="zh-CN"/>
        </w:rPr>
      </w:pPr>
      <w:r>
        <w:rPr>
          <w:rFonts w:hint="eastAsia" w:ascii="仿宋" w:hAnsi="仿宋" w:eastAsia="仿宋" w:cs="仿宋"/>
          <w:i w:val="0"/>
          <w:iCs w:val="0"/>
          <w:caps w:val="0"/>
          <w:color w:val="auto"/>
          <w:spacing w:val="0"/>
          <w:sz w:val="27"/>
          <w:szCs w:val="27"/>
          <w:highlight w:val="none"/>
        </w:rPr>
        <w:t>项目名称：</w:t>
      </w:r>
      <w:r>
        <w:rPr>
          <w:rFonts w:hint="eastAsia" w:ascii="仿宋" w:hAnsi="仿宋" w:eastAsia="仿宋" w:cs="仿宋"/>
          <w:i w:val="0"/>
          <w:iCs w:val="0"/>
          <w:caps w:val="0"/>
          <w:color w:val="auto"/>
          <w:spacing w:val="0"/>
          <w:sz w:val="27"/>
          <w:szCs w:val="27"/>
          <w:highlight w:val="none"/>
          <w:lang w:eastAsia="zh-CN"/>
        </w:rPr>
        <w:t>新疆玛纳斯县阿尔巴萨依沟中小河流治理项目水土保持方案编制、监测服务</w:t>
      </w:r>
    </w:p>
    <w:p w14:paraId="1A681B69">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采购方式：竞争性磋商</w:t>
      </w:r>
    </w:p>
    <w:p w14:paraId="1C2CFE85">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default" w:eastAsia="仿宋"/>
          <w:color w:val="auto"/>
          <w:spacing w:val="0"/>
          <w:highlight w:val="none"/>
          <w:lang w:val="en-US" w:eastAsia="zh-CN"/>
        </w:rPr>
      </w:pPr>
      <w:r>
        <w:rPr>
          <w:rFonts w:hint="eastAsia" w:ascii="仿宋" w:hAnsi="仿宋" w:eastAsia="仿宋" w:cs="仿宋"/>
          <w:i w:val="0"/>
          <w:iCs w:val="0"/>
          <w:caps w:val="0"/>
          <w:color w:val="auto"/>
          <w:spacing w:val="0"/>
          <w:sz w:val="27"/>
          <w:szCs w:val="27"/>
          <w:highlight w:val="none"/>
        </w:rPr>
        <w:t>预算金额（元）：</w:t>
      </w:r>
      <w:r>
        <w:rPr>
          <w:rFonts w:hint="eastAsia" w:ascii="仿宋" w:hAnsi="仿宋" w:eastAsia="仿宋" w:cs="仿宋"/>
          <w:i w:val="0"/>
          <w:iCs w:val="0"/>
          <w:caps w:val="0"/>
          <w:color w:val="auto"/>
          <w:spacing w:val="0"/>
          <w:sz w:val="27"/>
          <w:szCs w:val="27"/>
          <w:highlight w:val="none"/>
          <w:lang w:val="en-US" w:eastAsia="zh-CN"/>
        </w:rPr>
        <w:t>200000.00</w:t>
      </w:r>
    </w:p>
    <w:p w14:paraId="1AAD0148">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rPr>
        <w:t>最高限价（元）：</w:t>
      </w:r>
      <w:r>
        <w:rPr>
          <w:rFonts w:hint="eastAsia" w:ascii="仿宋" w:hAnsi="仿宋" w:eastAsia="仿宋" w:cs="仿宋"/>
          <w:i w:val="0"/>
          <w:iCs w:val="0"/>
          <w:caps w:val="0"/>
          <w:color w:val="auto"/>
          <w:spacing w:val="0"/>
          <w:sz w:val="27"/>
          <w:szCs w:val="27"/>
          <w:highlight w:val="none"/>
          <w:lang w:val="en-US" w:eastAsia="zh-CN"/>
        </w:rPr>
        <w:t>200000.00</w:t>
      </w:r>
    </w:p>
    <w:p w14:paraId="65387D8A">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rPr>
        <w:t>采购需求：完成水土保持方案编制、监测并取得有关部门批复</w:t>
      </w:r>
      <w:r>
        <w:rPr>
          <w:rFonts w:hint="eastAsia" w:ascii="仿宋" w:hAnsi="仿宋" w:eastAsia="仿宋" w:cs="仿宋"/>
          <w:i w:val="0"/>
          <w:iCs w:val="0"/>
          <w:caps w:val="0"/>
          <w:color w:val="auto"/>
          <w:spacing w:val="0"/>
          <w:sz w:val="27"/>
          <w:szCs w:val="27"/>
          <w:highlight w:val="none"/>
          <w:lang w:eastAsia="zh-CN"/>
        </w:rPr>
        <w:t>。</w:t>
      </w:r>
    </w:p>
    <w:p w14:paraId="40E21FA4">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540" w:firstLineChars="200"/>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rPr>
        <w:t>标项名称:</w:t>
      </w:r>
      <w:r>
        <w:rPr>
          <w:rFonts w:hint="eastAsia" w:ascii="仿宋" w:hAnsi="仿宋" w:eastAsia="仿宋" w:cs="仿宋"/>
          <w:i w:val="0"/>
          <w:iCs w:val="0"/>
          <w:caps w:val="0"/>
          <w:color w:val="auto"/>
          <w:spacing w:val="0"/>
          <w:sz w:val="27"/>
          <w:szCs w:val="27"/>
          <w:highlight w:val="none"/>
          <w:lang w:eastAsia="zh-CN"/>
        </w:rPr>
        <w:t>新疆玛纳斯县阿尔巴萨依沟中小河流治理项目水土保持方案编制、监测服务</w:t>
      </w:r>
    </w:p>
    <w:p w14:paraId="22E59DA0">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540" w:firstLineChars="20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数量:不限</w:t>
      </w:r>
    </w:p>
    <w:p w14:paraId="2565B83C">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540" w:firstLineChars="20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rPr>
        <w:t>预算金额（元）:</w:t>
      </w:r>
      <w:r>
        <w:rPr>
          <w:rFonts w:hint="eastAsia" w:ascii="仿宋" w:hAnsi="仿宋" w:eastAsia="仿宋" w:cs="仿宋"/>
          <w:i w:val="0"/>
          <w:iCs w:val="0"/>
          <w:caps w:val="0"/>
          <w:color w:val="auto"/>
          <w:spacing w:val="0"/>
          <w:sz w:val="27"/>
          <w:szCs w:val="27"/>
          <w:highlight w:val="none"/>
          <w:lang w:val="en-US" w:eastAsia="zh-CN"/>
        </w:rPr>
        <w:t>200000.00</w:t>
      </w:r>
    </w:p>
    <w:p w14:paraId="313A649E">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540" w:firstLineChars="20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简要规格描述或项目基本概况介绍、用途：</w:t>
      </w:r>
      <w:bookmarkStart w:id="1" w:name="OLE_LINK3"/>
      <w:r>
        <w:rPr>
          <w:rFonts w:hint="eastAsia" w:ascii="仿宋" w:hAnsi="仿宋" w:eastAsia="仿宋" w:cs="仿宋"/>
          <w:i w:val="0"/>
          <w:iCs w:val="0"/>
          <w:caps w:val="0"/>
          <w:color w:val="auto"/>
          <w:spacing w:val="0"/>
          <w:sz w:val="27"/>
          <w:szCs w:val="27"/>
          <w:highlight w:val="none"/>
        </w:rPr>
        <w:t>按水土保持技术规范和相关审核部门的要求</w:t>
      </w:r>
      <w:r>
        <w:rPr>
          <w:rFonts w:hint="eastAsia" w:ascii="仿宋" w:hAnsi="仿宋" w:eastAsia="仿宋" w:cs="仿宋"/>
          <w:i w:val="0"/>
          <w:iCs w:val="0"/>
          <w:caps w:val="0"/>
          <w:color w:val="auto"/>
          <w:spacing w:val="0"/>
          <w:sz w:val="27"/>
          <w:szCs w:val="27"/>
          <w:highlight w:val="none"/>
          <w:lang w:eastAsia="zh-CN"/>
        </w:rPr>
        <w:t>对玛纳斯县阿尔巴萨依沟中小河流治理项目</w:t>
      </w:r>
      <w:r>
        <w:rPr>
          <w:rFonts w:hint="eastAsia" w:ascii="仿宋" w:hAnsi="仿宋" w:eastAsia="仿宋" w:cs="仿宋"/>
          <w:i w:val="0"/>
          <w:iCs w:val="0"/>
          <w:caps w:val="0"/>
          <w:color w:val="auto"/>
          <w:spacing w:val="0"/>
          <w:sz w:val="27"/>
          <w:szCs w:val="27"/>
          <w:highlight w:val="none"/>
        </w:rPr>
        <w:t>进行水土保持</w:t>
      </w:r>
      <w:r>
        <w:rPr>
          <w:rFonts w:hint="eastAsia" w:ascii="仿宋" w:hAnsi="仿宋" w:eastAsia="仿宋" w:cs="仿宋"/>
          <w:i w:val="0"/>
          <w:iCs w:val="0"/>
          <w:caps w:val="0"/>
          <w:color w:val="auto"/>
          <w:spacing w:val="0"/>
          <w:sz w:val="27"/>
          <w:szCs w:val="27"/>
          <w:highlight w:val="none"/>
          <w:lang w:eastAsia="zh-CN"/>
        </w:rPr>
        <w:t>方案</w:t>
      </w:r>
      <w:r>
        <w:rPr>
          <w:rFonts w:hint="eastAsia" w:ascii="仿宋" w:hAnsi="仿宋" w:eastAsia="仿宋" w:cs="仿宋"/>
          <w:i w:val="0"/>
          <w:iCs w:val="0"/>
          <w:caps w:val="0"/>
          <w:color w:val="auto"/>
          <w:spacing w:val="0"/>
          <w:sz w:val="27"/>
          <w:szCs w:val="27"/>
          <w:highlight w:val="none"/>
        </w:rPr>
        <w:t>编制工作，编制水土保持报告书、水土保持监测文本</w:t>
      </w:r>
      <w:r>
        <w:rPr>
          <w:rFonts w:hint="eastAsia" w:ascii="仿宋" w:hAnsi="仿宋" w:eastAsia="仿宋" w:cs="仿宋"/>
          <w:i w:val="0"/>
          <w:iCs w:val="0"/>
          <w:caps w:val="0"/>
          <w:color w:val="000000"/>
          <w:spacing w:val="0"/>
          <w:sz w:val="27"/>
          <w:szCs w:val="27"/>
          <w:highlight w:val="none"/>
          <w:shd w:val="clear"/>
          <w:lang w:eastAsia="zh-CN"/>
        </w:rPr>
        <w:t>，开展水土保持监测工作并提交监测季报等相关监测成果文件</w:t>
      </w:r>
      <w:r>
        <w:rPr>
          <w:rFonts w:hint="eastAsia" w:ascii="仿宋" w:hAnsi="仿宋" w:eastAsia="仿宋" w:cs="仿宋"/>
          <w:i w:val="0"/>
          <w:iCs w:val="0"/>
          <w:caps w:val="0"/>
          <w:color w:val="auto"/>
          <w:spacing w:val="0"/>
          <w:sz w:val="27"/>
          <w:szCs w:val="27"/>
          <w:highlight w:val="none"/>
          <w:shd w:val="clear"/>
          <w:lang w:eastAsia="zh-CN"/>
        </w:rPr>
        <w:t>。</w:t>
      </w:r>
      <w:bookmarkEnd w:id="1"/>
    </w:p>
    <w:p w14:paraId="4D0C3021">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540" w:firstLineChars="200"/>
        <w:rPr>
          <w:color w:val="auto"/>
          <w:spacing w:val="0"/>
          <w:highlight w:val="none"/>
        </w:rPr>
      </w:pPr>
      <w:r>
        <w:rPr>
          <w:rFonts w:hint="eastAsia" w:ascii="仿宋" w:hAnsi="仿宋" w:eastAsia="仿宋" w:cs="仿宋"/>
          <w:i w:val="0"/>
          <w:iCs w:val="0"/>
          <w:caps w:val="0"/>
          <w:color w:val="auto"/>
          <w:spacing w:val="0"/>
          <w:sz w:val="27"/>
          <w:szCs w:val="27"/>
          <w:highlight w:val="none"/>
        </w:rPr>
        <w:t>备注：</w:t>
      </w:r>
    </w:p>
    <w:p w14:paraId="3C9E17B9">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rPr>
        <w:t>合同履约期限：合同签订后30日历</w:t>
      </w:r>
      <w:r>
        <w:rPr>
          <w:rFonts w:hint="eastAsia" w:ascii="仿宋" w:hAnsi="仿宋" w:eastAsia="仿宋" w:cs="仿宋"/>
          <w:i w:val="0"/>
          <w:iCs w:val="0"/>
          <w:caps w:val="0"/>
          <w:color w:val="auto"/>
          <w:spacing w:val="0"/>
          <w:sz w:val="27"/>
          <w:szCs w:val="27"/>
          <w:highlight w:val="none"/>
          <w:lang w:eastAsia="zh-CN"/>
        </w:rPr>
        <w:t>日</w:t>
      </w:r>
      <w:r>
        <w:rPr>
          <w:rFonts w:hint="eastAsia" w:ascii="仿宋" w:hAnsi="仿宋" w:eastAsia="仿宋" w:cs="仿宋"/>
          <w:i w:val="0"/>
          <w:iCs w:val="0"/>
          <w:caps w:val="0"/>
          <w:color w:val="auto"/>
          <w:spacing w:val="0"/>
          <w:sz w:val="27"/>
          <w:szCs w:val="27"/>
          <w:highlight w:val="none"/>
        </w:rPr>
        <w:t>（具体以工期为准）。</w:t>
      </w:r>
    </w:p>
    <w:p w14:paraId="50A8A283">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本项目（否）接受联合体投标。</w:t>
      </w:r>
    </w:p>
    <w:p w14:paraId="22C0C883">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rPr>
          <w:color w:val="auto"/>
          <w:spacing w:val="0"/>
          <w:highlight w:val="none"/>
        </w:rPr>
      </w:pPr>
    </w:p>
    <w:p w14:paraId="56562AFD">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rPr>
          <w:color w:val="auto"/>
          <w:spacing w:val="0"/>
          <w:highlight w:val="none"/>
        </w:rPr>
      </w:pPr>
      <w:r>
        <w:rPr>
          <w:rStyle w:val="21"/>
          <w:rFonts w:ascii="黑体" w:hAnsi="宋体" w:eastAsia="黑体" w:cs="黑体"/>
          <w:i w:val="0"/>
          <w:iCs w:val="0"/>
          <w:caps w:val="0"/>
          <w:color w:val="auto"/>
          <w:spacing w:val="0"/>
          <w:sz w:val="27"/>
          <w:szCs w:val="27"/>
          <w:highlight w:val="none"/>
        </w:rPr>
        <w:t>二、申请人的资格要求：</w:t>
      </w:r>
    </w:p>
    <w:p w14:paraId="0F7B3274">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1.满足《中华人民共和国政府采购法》第二十二条规定；</w:t>
      </w:r>
    </w:p>
    <w:p w14:paraId="2FCE3068">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2.落实政府采购政策需满足的资格要求：标项1：本项目专门面向中小微企业</w:t>
      </w:r>
    </w:p>
    <w:p w14:paraId="5C9E3FE0">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ascii="仿宋" w:hAnsi="仿宋" w:eastAsia="仿宋" w:cs="仿宋"/>
          <w:i w:val="0"/>
          <w:iCs w:val="0"/>
          <w:caps w:val="0"/>
          <w:color w:val="0000FF"/>
          <w:spacing w:val="0"/>
          <w:sz w:val="27"/>
          <w:szCs w:val="27"/>
          <w:highlight w:val="none"/>
          <w:lang w:eastAsia="zh-CN"/>
        </w:rPr>
      </w:pPr>
      <w:r>
        <w:rPr>
          <w:rFonts w:hint="eastAsia" w:ascii="仿宋" w:hAnsi="仿宋" w:eastAsia="仿宋" w:cs="仿宋"/>
          <w:i w:val="0"/>
          <w:iCs w:val="0"/>
          <w:caps w:val="0"/>
          <w:color w:val="0000FF"/>
          <w:spacing w:val="0"/>
          <w:sz w:val="27"/>
          <w:szCs w:val="27"/>
          <w:highlight w:val="none"/>
        </w:rPr>
        <w:t>3.本项目的特定资格要求：</w:t>
      </w:r>
    </w:p>
    <w:p w14:paraId="1DEE9E09">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jc w:val="left"/>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rPr>
        <w:t>【标项1】</w:t>
      </w:r>
    </w:p>
    <w:p w14:paraId="16A9283F">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jc w:val="left"/>
        <w:rPr>
          <w:rFonts w:hint="eastAsia" w:ascii="仿宋" w:hAnsi="仿宋" w:eastAsia="仿宋" w:cs="仿宋"/>
          <w:i w:val="0"/>
          <w:iCs w:val="0"/>
          <w:caps w:val="0"/>
          <w:color w:val="auto"/>
          <w:spacing w:val="0"/>
          <w:sz w:val="27"/>
          <w:szCs w:val="27"/>
          <w:highlight w:val="none"/>
          <w:lang w:eastAsia="zh-CN"/>
        </w:rPr>
      </w:pPr>
      <w:bookmarkStart w:id="2" w:name="OLE_LINK1"/>
      <w:r>
        <w:rPr>
          <w:rFonts w:hint="eastAsia" w:ascii="仿宋" w:hAnsi="仿宋" w:eastAsia="仿宋" w:cs="仿宋"/>
          <w:i w:val="0"/>
          <w:iCs w:val="0"/>
          <w:caps w:val="0"/>
          <w:color w:val="auto"/>
          <w:spacing w:val="0"/>
          <w:sz w:val="27"/>
          <w:szCs w:val="27"/>
          <w:highlight w:val="none"/>
        </w:rPr>
        <w:t>（1）在中华人民共和国境内注册，具有独立法人资格</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rPr>
        <w:t>需具备有效的营业执照；</w:t>
      </w:r>
    </w:p>
    <w:p w14:paraId="70DDF6AA">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jc w:val="left"/>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rPr>
        <w:t>（2）</w:t>
      </w:r>
      <w:r>
        <w:rPr>
          <w:rFonts w:hint="eastAsia" w:ascii="仿宋" w:hAnsi="仿宋" w:eastAsia="仿宋" w:cs="仿宋"/>
          <w:b w:val="0"/>
          <w:bCs w:val="0"/>
          <w:i w:val="0"/>
          <w:iCs w:val="0"/>
          <w:caps w:val="0"/>
          <w:snapToGrid w:val="0"/>
          <w:color w:val="000000"/>
          <w:spacing w:val="0"/>
          <w:kern w:val="0"/>
          <w:sz w:val="27"/>
          <w:szCs w:val="27"/>
          <w:highlight w:val="none"/>
          <w:lang w:val="en-US" w:eastAsia="zh-CN" w:bidi="ar"/>
        </w:rPr>
        <w:t>项目负责人具有水利专业高级职称证书；</w:t>
      </w:r>
    </w:p>
    <w:p w14:paraId="0B27D6D9">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jc w:val="left"/>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i w:val="0"/>
          <w:iCs w:val="0"/>
          <w:caps w:val="0"/>
          <w:color w:val="auto"/>
          <w:spacing w:val="0"/>
          <w:sz w:val="27"/>
          <w:szCs w:val="27"/>
          <w:highlight w:val="none"/>
          <w:lang w:val="en-US" w:eastAsia="zh-CN"/>
        </w:rPr>
        <w:t>3</w:t>
      </w:r>
      <w:r>
        <w:rPr>
          <w:rFonts w:hint="eastAsia" w:ascii="仿宋" w:hAnsi="仿宋" w:eastAsia="仿宋" w:cs="仿宋"/>
          <w:i w:val="0"/>
          <w:iCs w:val="0"/>
          <w:caps w:val="0"/>
          <w:color w:val="auto"/>
          <w:spacing w:val="0"/>
          <w:sz w:val="27"/>
          <w:szCs w:val="27"/>
          <w:highlight w:val="none"/>
        </w:rPr>
        <w:t>）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w:t>
      </w:r>
    </w:p>
    <w:bookmarkEnd w:id="2"/>
    <w:p w14:paraId="6D77C9C6">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jc w:val="left"/>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rPr>
        <w:t>供应商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w:t>
      </w:r>
    </w:p>
    <w:p w14:paraId="255D9008">
      <w:pPr>
        <w:keepNext w:val="0"/>
        <w:keepLines w:val="0"/>
        <w:pageBreakBefore w:val="0"/>
        <w:widowControl w:val="0"/>
        <w:wordWrap/>
        <w:overflowPunct/>
        <w:topLinePunct w:val="0"/>
        <w:bidi w:val="0"/>
        <w:spacing w:line="240" w:lineRule="auto"/>
        <w:rPr>
          <w:color w:val="auto"/>
          <w:spacing w:val="0"/>
          <w:highlight w:val="none"/>
        </w:rPr>
      </w:pPr>
    </w:p>
    <w:p w14:paraId="2809690E">
      <w:pPr>
        <w:pStyle w:val="16"/>
        <w:keepNext w:val="0"/>
        <w:keepLines w:val="0"/>
        <w:pageBreakBefore w:val="0"/>
        <w:widowControl w:val="0"/>
        <w:suppressLineNumbers w:val="0"/>
        <w:wordWrap/>
        <w:overflowPunct/>
        <w:topLinePunct w:val="0"/>
        <w:bidi w:val="0"/>
        <w:spacing w:before="255" w:beforeAutospacing="0" w:after="255" w:afterAutospacing="0" w:line="240" w:lineRule="auto"/>
        <w:ind w:left="0" w:right="0"/>
        <w:jc w:val="both"/>
        <w:rPr>
          <w:rFonts w:ascii="黑体" w:hAnsi="宋体" w:eastAsia="黑体" w:cs="黑体"/>
          <w:color w:val="auto"/>
          <w:spacing w:val="0"/>
          <w:sz w:val="27"/>
          <w:szCs w:val="27"/>
          <w:highlight w:val="none"/>
        </w:rPr>
      </w:pPr>
      <w:r>
        <w:rPr>
          <w:rStyle w:val="21"/>
          <w:rFonts w:ascii="黑体" w:hAnsi="宋体" w:eastAsia="黑体" w:cs="黑体"/>
          <w:i w:val="0"/>
          <w:iCs w:val="0"/>
          <w:caps w:val="0"/>
          <w:color w:val="auto"/>
          <w:spacing w:val="0"/>
          <w:sz w:val="27"/>
          <w:szCs w:val="27"/>
          <w:highlight w:val="none"/>
        </w:rPr>
        <w:t>三、获取招标文件</w:t>
      </w:r>
    </w:p>
    <w:p w14:paraId="3CEE0F74">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时间：202</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eastAsia="zh-CN"/>
        </w:rPr>
        <w:t>0</w:t>
      </w:r>
      <w:r>
        <w:rPr>
          <w:rFonts w:hint="eastAsia" w:ascii="仿宋" w:hAnsi="仿宋" w:eastAsia="仿宋" w:cs="仿宋"/>
          <w:i w:val="0"/>
          <w:iCs w:val="0"/>
          <w:caps w:val="0"/>
          <w:color w:val="auto"/>
          <w:spacing w:val="0"/>
          <w:sz w:val="27"/>
          <w:szCs w:val="27"/>
          <w:highlight w:val="none"/>
          <w:lang w:val="en-US" w:eastAsia="zh-CN"/>
        </w:rPr>
        <w:t>7</w:t>
      </w:r>
      <w:r>
        <w:rPr>
          <w:rFonts w:hint="eastAsia" w:ascii="仿宋" w:hAnsi="仿宋" w:eastAsia="仿宋" w:cs="仿宋"/>
          <w:i w:val="0"/>
          <w:iCs w:val="0"/>
          <w:caps w:val="0"/>
          <w:color w:val="auto"/>
          <w:spacing w:val="0"/>
          <w:sz w:val="27"/>
          <w:szCs w:val="27"/>
          <w:highlight w:val="none"/>
          <w:lang w:eastAsia="zh-CN"/>
        </w:rPr>
        <w:t>月</w:t>
      </w:r>
      <w:r>
        <w:rPr>
          <w:rFonts w:hint="eastAsia" w:ascii="仿宋" w:hAnsi="仿宋" w:eastAsia="仿宋" w:cs="仿宋"/>
          <w:i w:val="0"/>
          <w:iCs w:val="0"/>
          <w:caps w:val="0"/>
          <w:color w:val="auto"/>
          <w:spacing w:val="0"/>
          <w:sz w:val="27"/>
          <w:szCs w:val="27"/>
          <w:highlight w:val="none"/>
          <w:lang w:val="en-US" w:eastAsia="zh-CN"/>
        </w:rPr>
        <w:t>18</w:t>
      </w:r>
      <w:r>
        <w:rPr>
          <w:rFonts w:hint="eastAsia" w:ascii="仿宋" w:hAnsi="仿宋" w:eastAsia="仿宋" w:cs="仿宋"/>
          <w:i w:val="0"/>
          <w:iCs w:val="0"/>
          <w:caps w:val="0"/>
          <w:color w:val="auto"/>
          <w:spacing w:val="0"/>
          <w:sz w:val="27"/>
          <w:szCs w:val="27"/>
          <w:highlight w:val="none"/>
        </w:rPr>
        <w:t>日至202</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07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27</w:t>
      </w:r>
      <w:r>
        <w:rPr>
          <w:rFonts w:hint="eastAsia" w:ascii="仿宋" w:hAnsi="仿宋" w:eastAsia="仿宋" w:cs="仿宋"/>
          <w:i w:val="0"/>
          <w:iCs w:val="0"/>
          <w:caps w:val="0"/>
          <w:color w:val="auto"/>
          <w:spacing w:val="0"/>
          <w:sz w:val="27"/>
          <w:szCs w:val="27"/>
          <w:highlight w:val="none"/>
        </w:rPr>
        <w:t>日，每天上午00:00至12:00，下午12:00至23:59（北京时间，法定节假日除外）</w:t>
      </w:r>
    </w:p>
    <w:p w14:paraId="04A8793C">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地点：政采云平台线上获取</w:t>
      </w:r>
    </w:p>
    <w:p w14:paraId="2EB75200">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方式：供应商登录政采云平台https://www.zcygov.cn/在线申请获取采购文件（进入“项目采购”应用，在获取采购文件菜单中选择项目，申请获取采购文件）</w:t>
      </w:r>
    </w:p>
    <w:p w14:paraId="45A3B4C7">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售价（元）：0</w:t>
      </w:r>
    </w:p>
    <w:p w14:paraId="60DA6ECF">
      <w:pPr>
        <w:pStyle w:val="16"/>
        <w:keepNext w:val="0"/>
        <w:keepLines w:val="0"/>
        <w:pageBreakBefore w:val="0"/>
        <w:widowControl w:val="0"/>
        <w:suppressLineNumbers w:val="0"/>
        <w:wordWrap/>
        <w:overflowPunct/>
        <w:topLinePunct w:val="0"/>
        <w:bidi w:val="0"/>
        <w:spacing w:before="255" w:beforeAutospacing="0" w:after="255" w:afterAutospacing="0" w:line="240" w:lineRule="auto"/>
        <w:ind w:left="0" w:right="0"/>
        <w:jc w:val="both"/>
        <w:rPr>
          <w:rFonts w:ascii="黑体" w:hAnsi="宋体" w:eastAsia="黑体" w:cs="黑体"/>
          <w:color w:val="auto"/>
          <w:spacing w:val="0"/>
          <w:sz w:val="27"/>
          <w:szCs w:val="27"/>
          <w:highlight w:val="none"/>
        </w:rPr>
      </w:pPr>
      <w:r>
        <w:rPr>
          <w:rStyle w:val="21"/>
          <w:rFonts w:ascii="黑体" w:hAnsi="宋体" w:eastAsia="黑体" w:cs="黑体"/>
          <w:i w:val="0"/>
          <w:iCs w:val="0"/>
          <w:caps w:val="0"/>
          <w:color w:val="auto"/>
          <w:spacing w:val="0"/>
          <w:sz w:val="27"/>
          <w:szCs w:val="27"/>
          <w:highlight w:val="none"/>
        </w:rPr>
        <w:t>四、提交投标文件截止时间、开标时间和地点</w:t>
      </w:r>
    </w:p>
    <w:p w14:paraId="02C0A0E9">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提交投标文件截止时间：</w:t>
      </w:r>
      <w:r>
        <w:rPr>
          <w:rFonts w:hint="eastAsia" w:ascii="仿宋" w:hAnsi="仿宋" w:eastAsia="仿宋" w:cs="仿宋"/>
          <w:i w:val="0"/>
          <w:iCs w:val="0"/>
          <w:caps w:val="0"/>
          <w:color w:val="auto"/>
          <w:spacing w:val="0"/>
          <w:sz w:val="27"/>
          <w:szCs w:val="27"/>
          <w:highlight w:val="none"/>
          <w:lang w:eastAsia="zh-CN"/>
        </w:rPr>
        <w:t>2025年07月28日16:30</w:t>
      </w:r>
      <w:r>
        <w:rPr>
          <w:rFonts w:hint="eastAsia" w:ascii="仿宋" w:hAnsi="仿宋" w:eastAsia="仿宋" w:cs="仿宋"/>
          <w:i w:val="0"/>
          <w:iCs w:val="0"/>
          <w:caps w:val="0"/>
          <w:color w:val="auto"/>
          <w:spacing w:val="0"/>
          <w:sz w:val="27"/>
          <w:szCs w:val="27"/>
          <w:highlight w:val="none"/>
        </w:rPr>
        <w:t>（北京时间）</w:t>
      </w:r>
    </w:p>
    <w:p w14:paraId="12CA5208">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投标地点：请登录政采云投标客户端投标</w:t>
      </w:r>
    </w:p>
    <w:p w14:paraId="205F3404">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开标时间：</w:t>
      </w:r>
      <w:r>
        <w:rPr>
          <w:rFonts w:hint="eastAsia" w:ascii="仿宋" w:hAnsi="仿宋" w:eastAsia="仿宋" w:cs="仿宋"/>
          <w:i w:val="0"/>
          <w:iCs w:val="0"/>
          <w:caps w:val="0"/>
          <w:color w:val="auto"/>
          <w:spacing w:val="0"/>
          <w:sz w:val="27"/>
          <w:szCs w:val="27"/>
          <w:highlight w:val="none"/>
          <w:lang w:eastAsia="zh-CN"/>
        </w:rPr>
        <w:t>2025年07月28日16:30</w:t>
      </w:r>
      <w:r>
        <w:rPr>
          <w:rFonts w:hint="eastAsia" w:ascii="仿宋" w:hAnsi="仿宋" w:eastAsia="仿宋" w:cs="仿宋"/>
          <w:i w:val="0"/>
          <w:iCs w:val="0"/>
          <w:caps w:val="0"/>
          <w:color w:val="auto"/>
          <w:spacing w:val="0"/>
          <w:sz w:val="27"/>
          <w:szCs w:val="27"/>
          <w:highlight w:val="none"/>
        </w:rPr>
        <w:t>（北京时间）</w:t>
      </w:r>
    </w:p>
    <w:p w14:paraId="4A3E12D9">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开标地点：将投标文件上传至政采云平台https://www.zcygov.cn/对应位置</w:t>
      </w:r>
    </w:p>
    <w:p w14:paraId="32AAA890">
      <w:pPr>
        <w:pStyle w:val="16"/>
        <w:keepNext w:val="0"/>
        <w:keepLines w:val="0"/>
        <w:pageBreakBefore w:val="0"/>
        <w:widowControl w:val="0"/>
        <w:suppressLineNumbers w:val="0"/>
        <w:wordWrap/>
        <w:overflowPunct/>
        <w:topLinePunct w:val="0"/>
        <w:bidi w:val="0"/>
        <w:spacing w:before="255" w:beforeAutospacing="0" w:after="255" w:afterAutospacing="0" w:line="240" w:lineRule="auto"/>
        <w:ind w:left="0" w:right="0"/>
        <w:jc w:val="both"/>
        <w:rPr>
          <w:rFonts w:ascii="黑体" w:hAnsi="宋体" w:eastAsia="黑体" w:cs="黑体"/>
          <w:color w:val="auto"/>
          <w:spacing w:val="0"/>
          <w:sz w:val="31"/>
          <w:szCs w:val="31"/>
          <w:highlight w:val="none"/>
        </w:rPr>
      </w:pPr>
      <w:r>
        <w:rPr>
          <w:rStyle w:val="21"/>
          <w:rFonts w:ascii="黑体" w:hAnsi="宋体" w:eastAsia="黑体" w:cs="黑体"/>
          <w:i w:val="0"/>
          <w:iCs w:val="0"/>
          <w:caps w:val="0"/>
          <w:color w:val="auto"/>
          <w:spacing w:val="0"/>
          <w:sz w:val="27"/>
          <w:szCs w:val="27"/>
          <w:highlight w:val="none"/>
        </w:rPr>
        <w:t>五、公告期限</w:t>
      </w:r>
    </w:p>
    <w:p w14:paraId="69B655DF">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color w:val="auto"/>
          <w:spacing w:val="0"/>
          <w:highlight w:val="none"/>
        </w:rPr>
      </w:pPr>
      <w:r>
        <w:rPr>
          <w:rFonts w:hint="eastAsia" w:ascii="仿宋" w:hAnsi="仿宋" w:eastAsia="仿宋" w:cs="仿宋"/>
          <w:i w:val="0"/>
          <w:iCs w:val="0"/>
          <w:caps w:val="0"/>
          <w:color w:val="auto"/>
          <w:spacing w:val="0"/>
          <w:sz w:val="27"/>
          <w:szCs w:val="27"/>
          <w:highlight w:val="none"/>
        </w:rPr>
        <w:t>自本公告发布之日起</w:t>
      </w:r>
      <w:r>
        <w:rPr>
          <w:rFonts w:hint="eastAsia" w:ascii="仿宋" w:hAnsi="仿宋" w:eastAsia="仿宋" w:cs="仿宋"/>
          <w:i w:val="0"/>
          <w:iCs w:val="0"/>
          <w:caps w:val="0"/>
          <w:color w:val="auto"/>
          <w:spacing w:val="0"/>
          <w:sz w:val="27"/>
          <w:szCs w:val="27"/>
          <w:highlight w:val="none"/>
          <w:lang w:val="en-US" w:eastAsia="zh-CN"/>
        </w:rPr>
        <w:t>3</w:t>
      </w:r>
      <w:r>
        <w:rPr>
          <w:rFonts w:hint="eastAsia" w:ascii="仿宋" w:hAnsi="仿宋" w:eastAsia="仿宋" w:cs="仿宋"/>
          <w:i w:val="0"/>
          <w:iCs w:val="0"/>
          <w:caps w:val="0"/>
          <w:color w:val="auto"/>
          <w:spacing w:val="0"/>
          <w:sz w:val="27"/>
          <w:szCs w:val="27"/>
          <w:highlight w:val="none"/>
        </w:rPr>
        <w:t>个工作日。</w:t>
      </w:r>
    </w:p>
    <w:p w14:paraId="1D7B8CE6">
      <w:pPr>
        <w:pStyle w:val="16"/>
        <w:keepNext w:val="0"/>
        <w:keepLines w:val="0"/>
        <w:pageBreakBefore w:val="0"/>
        <w:widowControl w:val="0"/>
        <w:suppressLineNumbers w:val="0"/>
        <w:wordWrap/>
        <w:overflowPunct/>
        <w:topLinePunct w:val="0"/>
        <w:bidi w:val="0"/>
        <w:spacing w:before="255" w:beforeAutospacing="0" w:after="255" w:afterAutospacing="0" w:line="240" w:lineRule="auto"/>
        <w:ind w:left="0" w:right="0"/>
        <w:jc w:val="both"/>
        <w:rPr>
          <w:rFonts w:ascii="黑体" w:hAnsi="宋体" w:eastAsia="黑体" w:cs="黑体"/>
          <w:color w:val="auto"/>
          <w:spacing w:val="0"/>
          <w:sz w:val="27"/>
          <w:szCs w:val="27"/>
          <w:highlight w:val="none"/>
        </w:rPr>
      </w:pPr>
      <w:r>
        <w:rPr>
          <w:rStyle w:val="21"/>
          <w:rFonts w:ascii="黑体" w:hAnsi="宋体" w:eastAsia="黑体" w:cs="黑体"/>
          <w:i w:val="0"/>
          <w:iCs w:val="0"/>
          <w:caps w:val="0"/>
          <w:color w:val="auto"/>
          <w:spacing w:val="0"/>
          <w:sz w:val="27"/>
          <w:szCs w:val="27"/>
          <w:highlight w:val="none"/>
        </w:rPr>
        <w:t>六、其他补充事宜</w:t>
      </w:r>
    </w:p>
    <w:p w14:paraId="1E302D5A">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jc w:val="lef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1、发布公告的媒介：新疆政府采购网</w:t>
      </w:r>
    </w:p>
    <w:p w14:paraId="7217E49F">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jc w:val="left"/>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val="en-US" w:eastAsia="zh-CN"/>
        </w:rPr>
        <w:t>2</w:t>
      </w:r>
      <w:r>
        <w:rPr>
          <w:rFonts w:hint="eastAsia" w:ascii="仿宋" w:hAnsi="仿宋" w:eastAsia="仿宋" w:cs="仿宋"/>
          <w:i w:val="0"/>
          <w:iCs w:val="0"/>
          <w:caps w:val="0"/>
          <w:color w:val="auto"/>
          <w:spacing w:val="0"/>
          <w:sz w:val="27"/>
          <w:szCs w:val="27"/>
          <w:highlight w:val="none"/>
        </w:rPr>
        <w:t>、本项目实行电子招投标，供应商须登录政采云平台申请获取招标文件，并需要使用CA锁，登录政采云电子投标客户端制作响应文件，若供应商参与投标,自行承担与投标有关的一切费用。</w:t>
      </w:r>
    </w:p>
    <w:p w14:paraId="27CCDB00">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jc w:val="left"/>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val="en-US" w:eastAsia="zh-CN"/>
        </w:rPr>
        <w:t>3</w:t>
      </w:r>
      <w:r>
        <w:rPr>
          <w:rFonts w:hint="eastAsia" w:ascii="仿宋" w:hAnsi="仿宋" w:eastAsia="仿宋" w:cs="仿宋"/>
          <w:i w:val="0"/>
          <w:iCs w:val="0"/>
          <w:caps w:val="0"/>
          <w:color w:val="auto"/>
          <w:spacing w:val="0"/>
          <w:sz w:val="27"/>
          <w:szCs w:val="27"/>
          <w:highlight w:val="none"/>
        </w:rPr>
        <w:t>、各供应商应在开标前确保是新疆维吾尔自治区政府采购网正式注册入库的供应商，并完成CA数字证书申领。因未注册入库、未办理CA数字证书等原因造成无法投标或投标失败等后果的由供应商自行承担。</w:t>
      </w:r>
    </w:p>
    <w:p w14:paraId="316E4EA6">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jc w:val="left"/>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7579B064">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jc w:val="left"/>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、供应商在开标时须携带制作加密电子响应文件所使用的CA锁，电脑须提前配置好浏览器（建议使用360浏览器或谷歌浏览器），以便开标时在线解密。</w:t>
      </w:r>
    </w:p>
    <w:p w14:paraId="34CC2DF1">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jc w:val="left"/>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val="en-US" w:eastAsia="zh-CN"/>
        </w:rPr>
        <w:t>6</w:t>
      </w:r>
      <w:r>
        <w:rPr>
          <w:rFonts w:hint="eastAsia" w:ascii="仿宋" w:hAnsi="仿宋" w:eastAsia="仿宋" w:cs="仿宋"/>
          <w:i w:val="0"/>
          <w:iCs w:val="0"/>
          <w:caps w:val="0"/>
          <w:color w:val="auto"/>
          <w:spacing w:val="0"/>
          <w:sz w:val="27"/>
          <w:szCs w:val="27"/>
          <w:highlight w:val="none"/>
        </w:rPr>
        <w:t>、供应商应当在投标截止时间前，将生成的“电子加密响应文件”上传递交至“政府采购云平台”，投标截止时间以后上传递交的响应文件将被“政府采购云平台”拒收。</w:t>
      </w:r>
    </w:p>
    <w:p w14:paraId="4667DA7D">
      <w:pPr>
        <w:pStyle w:val="16"/>
        <w:keepNext w:val="0"/>
        <w:keepLines w:val="0"/>
        <w:pageBreakBefore w:val="0"/>
        <w:widowControl w:val="0"/>
        <w:suppressLineNumbers w:val="0"/>
        <w:wordWrap/>
        <w:overflowPunct/>
        <w:topLinePunct w:val="0"/>
        <w:bidi w:val="0"/>
        <w:spacing w:before="255" w:beforeAutospacing="0" w:after="255" w:afterAutospacing="0" w:line="240" w:lineRule="auto"/>
        <w:ind w:left="0" w:right="0"/>
        <w:jc w:val="both"/>
        <w:rPr>
          <w:rFonts w:ascii="黑体" w:hAnsi="宋体" w:eastAsia="黑体" w:cs="黑体"/>
          <w:color w:val="auto"/>
          <w:spacing w:val="0"/>
          <w:sz w:val="31"/>
          <w:szCs w:val="31"/>
          <w:highlight w:val="none"/>
        </w:rPr>
      </w:pPr>
      <w:r>
        <w:rPr>
          <w:rStyle w:val="21"/>
          <w:rFonts w:ascii="黑体" w:hAnsi="宋体" w:eastAsia="黑体" w:cs="黑体"/>
          <w:i w:val="0"/>
          <w:iCs w:val="0"/>
          <w:caps w:val="0"/>
          <w:color w:val="auto"/>
          <w:spacing w:val="0"/>
          <w:sz w:val="27"/>
          <w:szCs w:val="27"/>
          <w:highlight w:val="none"/>
        </w:rPr>
        <w:t>七、对本次采购提出询问，请按以下方式联系</w:t>
      </w:r>
    </w:p>
    <w:p w14:paraId="2E8C1CF1">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ascii="仿宋" w:hAnsi="仿宋" w:eastAsia="仿宋" w:cs="仿宋"/>
          <w:color w:val="auto"/>
          <w:spacing w:val="0"/>
          <w:highlight w:val="none"/>
        </w:rPr>
      </w:pPr>
      <w:r>
        <w:rPr>
          <w:rFonts w:hint="eastAsia" w:ascii="仿宋" w:hAnsi="仿宋" w:eastAsia="仿宋" w:cs="仿宋"/>
          <w:i w:val="0"/>
          <w:iCs w:val="0"/>
          <w:caps w:val="0"/>
          <w:color w:val="auto"/>
          <w:spacing w:val="0"/>
          <w:sz w:val="27"/>
          <w:szCs w:val="27"/>
          <w:highlight w:val="none"/>
        </w:rPr>
        <w:t>1.采购人信息</w:t>
      </w:r>
    </w:p>
    <w:p w14:paraId="26A50354">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ascii="仿宋" w:hAnsi="仿宋" w:eastAsia="仿宋" w:cs="仿宋"/>
          <w:color w:val="auto"/>
          <w:spacing w:val="0"/>
          <w:highlight w:val="none"/>
          <w:lang w:eastAsia="zh-CN"/>
        </w:rPr>
      </w:pPr>
      <w:r>
        <w:rPr>
          <w:rFonts w:hint="eastAsia" w:ascii="仿宋" w:hAnsi="仿宋" w:eastAsia="仿宋" w:cs="仿宋"/>
          <w:i w:val="0"/>
          <w:iCs w:val="0"/>
          <w:caps w:val="0"/>
          <w:color w:val="auto"/>
          <w:spacing w:val="0"/>
          <w:sz w:val="27"/>
          <w:szCs w:val="27"/>
          <w:highlight w:val="none"/>
        </w:rPr>
        <w:t>名 称：</w:t>
      </w:r>
      <w:r>
        <w:rPr>
          <w:rStyle w:val="31"/>
          <w:rFonts w:hint="eastAsia" w:ascii="仿宋" w:hAnsi="仿宋" w:eastAsia="仿宋" w:cs="仿宋"/>
          <w:i w:val="0"/>
          <w:iCs w:val="0"/>
          <w:caps w:val="0"/>
          <w:color w:val="auto"/>
          <w:spacing w:val="0"/>
          <w:sz w:val="27"/>
          <w:szCs w:val="27"/>
          <w:highlight w:val="none"/>
          <w:lang w:eastAsia="zh-CN"/>
        </w:rPr>
        <w:t>玛纳斯县玛纳斯河水利管理处</w:t>
      </w:r>
    </w:p>
    <w:p w14:paraId="114FBF30">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ascii="仿宋" w:hAnsi="仿宋" w:eastAsia="仿宋" w:cs="仿宋"/>
          <w:color w:val="auto"/>
          <w:spacing w:val="0"/>
          <w:highlight w:val="none"/>
        </w:rPr>
      </w:pPr>
      <w:r>
        <w:rPr>
          <w:rFonts w:hint="eastAsia" w:ascii="仿宋" w:hAnsi="仿宋" w:eastAsia="仿宋" w:cs="仿宋"/>
          <w:i w:val="0"/>
          <w:iCs w:val="0"/>
          <w:caps w:val="0"/>
          <w:color w:val="auto"/>
          <w:spacing w:val="0"/>
          <w:sz w:val="27"/>
          <w:szCs w:val="27"/>
          <w:highlight w:val="none"/>
        </w:rPr>
        <w:t>地 址：</w:t>
      </w:r>
      <w:r>
        <w:rPr>
          <w:rStyle w:val="31"/>
          <w:rFonts w:hint="eastAsia" w:ascii="仿宋" w:hAnsi="仿宋" w:eastAsia="仿宋" w:cs="仿宋"/>
          <w:i w:val="0"/>
          <w:iCs w:val="0"/>
          <w:caps w:val="0"/>
          <w:color w:val="auto"/>
          <w:spacing w:val="0"/>
          <w:sz w:val="27"/>
          <w:szCs w:val="27"/>
          <w:highlight w:val="none"/>
          <w:lang w:eastAsia="zh-CN"/>
        </w:rPr>
        <w:t>玛纳斯县碧玉大道284号水利办公楼三楼</w:t>
      </w:r>
    </w:p>
    <w:p w14:paraId="78153F4D">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default" w:ascii="仿宋" w:hAnsi="仿宋" w:eastAsia="仿宋" w:cs="仿宋"/>
          <w:color w:val="auto"/>
          <w:spacing w:val="0"/>
          <w:highlight w:val="none"/>
          <w:lang w:val="en-US" w:eastAsia="zh-CN"/>
        </w:rPr>
      </w:pPr>
      <w:r>
        <w:rPr>
          <w:rFonts w:hint="eastAsia" w:ascii="仿宋" w:hAnsi="仿宋" w:eastAsia="仿宋" w:cs="仿宋"/>
          <w:i w:val="0"/>
          <w:iCs w:val="0"/>
          <w:caps w:val="0"/>
          <w:color w:val="auto"/>
          <w:spacing w:val="0"/>
          <w:sz w:val="27"/>
          <w:szCs w:val="27"/>
          <w:highlight w:val="none"/>
        </w:rPr>
        <w:t>联系方式：</w:t>
      </w:r>
      <w:r>
        <w:rPr>
          <w:rFonts w:hint="eastAsia" w:ascii="仿宋" w:hAnsi="仿宋" w:eastAsia="仿宋" w:cs="仿宋"/>
          <w:i w:val="0"/>
          <w:iCs w:val="0"/>
          <w:caps w:val="0"/>
          <w:color w:val="auto"/>
          <w:spacing w:val="0"/>
          <w:sz w:val="27"/>
          <w:szCs w:val="27"/>
          <w:highlight w:val="none"/>
          <w:lang w:val="en-US" w:eastAsia="zh-CN"/>
        </w:rPr>
        <w:t>0994-6669518</w:t>
      </w:r>
    </w:p>
    <w:p w14:paraId="009F20CF">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ascii="仿宋" w:hAnsi="仿宋" w:eastAsia="仿宋" w:cs="仿宋"/>
          <w:color w:val="auto"/>
          <w:spacing w:val="0"/>
          <w:highlight w:val="none"/>
        </w:rPr>
      </w:pPr>
      <w:r>
        <w:rPr>
          <w:rFonts w:hint="eastAsia" w:ascii="仿宋" w:hAnsi="仿宋" w:eastAsia="仿宋" w:cs="仿宋"/>
          <w:i w:val="0"/>
          <w:iCs w:val="0"/>
          <w:caps w:val="0"/>
          <w:color w:val="auto"/>
          <w:spacing w:val="0"/>
          <w:sz w:val="27"/>
          <w:szCs w:val="27"/>
          <w:highlight w:val="none"/>
        </w:rPr>
        <w:t>2.采购代理机构信息</w:t>
      </w:r>
    </w:p>
    <w:p w14:paraId="1075795B">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ascii="仿宋" w:hAnsi="仿宋" w:eastAsia="仿宋" w:cs="仿宋"/>
          <w:color w:val="auto"/>
          <w:spacing w:val="0"/>
          <w:highlight w:val="none"/>
        </w:rPr>
      </w:pPr>
      <w:r>
        <w:rPr>
          <w:rFonts w:hint="eastAsia" w:ascii="仿宋" w:hAnsi="仿宋" w:eastAsia="仿宋" w:cs="仿宋"/>
          <w:i w:val="0"/>
          <w:iCs w:val="0"/>
          <w:caps w:val="0"/>
          <w:color w:val="auto"/>
          <w:spacing w:val="0"/>
          <w:sz w:val="27"/>
          <w:szCs w:val="27"/>
          <w:highlight w:val="none"/>
        </w:rPr>
        <w:t>名 称：新疆华远博辰工程项目管理有限公司</w:t>
      </w:r>
    </w:p>
    <w:p w14:paraId="2796E285">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ascii="仿宋" w:hAnsi="仿宋" w:eastAsia="仿宋" w:cs="仿宋"/>
          <w:color w:val="auto"/>
          <w:spacing w:val="0"/>
          <w:highlight w:val="none"/>
        </w:rPr>
      </w:pPr>
      <w:r>
        <w:rPr>
          <w:rFonts w:hint="eastAsia" w:ascii="仿宋" w:hAnsi="仿宋" w:eastAsia="仿宋" w:cs="仿宋"/>
          <w:i w:val="0"/>
          <w:iCs w:val="0"/>
          <w:caps w:val="0"/>
          <w:color w:val="auto"/>
          <w:spacing w:val="0"/>
          <w:sz w:val="27"/>
          <w:szCs w:val="27"/>
          <w:highlight w:val="none"/>
        </w:rPr>
        <w:t>地 址：昌吉市建国西路199号和谐国际广场F座17楼</w:t>
      </w:r>
    </w:p>
    <w:p w14:paraId="333022E1">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eastAsia="仿宋"/>
          <w:color w:val="auto"/>
          <w:spacing w:val="0"/>
          <w:highlight w:val="none"/>
          <w:lang w:val="en-US" w:eastAsia="zh-CN"/>
        </w:rPr>
      </w:pPr>
      <w:r>
        <w:rPr>
          <w:rFonts w:hint="eastAsia" w:ascii="仿宋" w:hAnsi="仿宋" w:eastAsia="仿宋" w:cs="仿宋"/>
          <w:i w:val="0"/>
          <w:iCs w:val="0"/>
          <w:caps w:val="0"/>
          <w:color w:val="auto"/>
          <w:spacing w:val="0"/>
          <w:sz w:val="27"/>
          <w:szCs w:val="27"/>
          <w:highlight w:val="none"/>
        </w:rPr>
        <w:t>联系方式：1999955812</w:t>
      </w:r>
      <w:r>
        <w:rPr>
          <w:rFonts w:hint="eastAsia" w:ascii="仿宋" w:hAnsi="仿宋" w:eastAsia="仿宋" w:cs="仿宋"/>
          <w:i w:val="0"/>
          <w:iCs w:val="0"/>
          <w:caps w:val="0"/>
          <w:color w:val="auto"/>
          <w:spacing w:val="0"/>
          <w:sz w:val="27"/>
          <w:szCs w:val="27"/>
          <w:highlight w:val="none"/>
          <w:lang w:val="en-US" w:eastAsia="zh-CN"/>
        </w:rPr>
        <w:t>3</w:t>
      </w:r>
    </w:p>
    <w:p w14:paraId="3D5DE3FB">
      <w:pPr>
        <w:pStyle w:val="16"/>
        <w:keepNext w:val="0"/>
        <w:keepLines w:val="0"/>
        <w:pageBreakBefore w:val="0"/>
        <w:widowControl w:val="0"/>
        <w:suppressLineNumbers w:val="0"/>
        <w:wordWrap/>
        <w:overflowPunct/>
        <w:topLinePunct w:val="0"/>
        <w:bidi w:val="0"/>
        <w:spacing w:before="75" w:beforeAutospacing="0" w:after="75" w:afterAutospacing="0" w:line="240" w:lineRule="auto"/>
        <w:ind w:left="0" w:right="0" w:firstLine="420"/>
        <w:rPr>
          <w:rFonts w:hint="eastAsia" w:eastAsia="仿宋"/>
          <w:color w:val="auto"/>
          <w:spacing w:val="0"/>
          <w:highlight w:val="none"/>
          <w:lang w:val="en-US" w:eastAsia="zh-CN"/>
        </w:rPr>
      </w:pPr>
    </w:p>
    <w:p w14:paraId="40B28569">
      <w:pPr>
        <w:keepNext w:val="0"/>
        <w:keepLines w:val="0"/>
        <w:pageBreakBefore w:val="0"/>
        <w:widowControl w:val="0"/>
        <w:wordWrap/>
        <w:overflowPunct/>
        <w:topLinePunct w:val="0"/>
        <w:bidi w:val="0"/>
        <w:spacing w:line="240" w:lineRule="auto"/>
        <w:rPr>
          <w:rFonts w:ascii="宋体" w:hAnsi="宋体" w:eastAsia="宋体" w:cs="宋体"/>
          <w:color w:val="auto"/>
          <w:spacing w:val="0"/>
          <w:sz w:val="24"/>
          <w:szCs w:val="24"/>
          <w:highlight w:val="none"/>
        </w:rPr>
        <w:sectPr>
          <w:footerReference r:id="rId7" w:type="default"/>
          <w:pgSz w:w="11906" w:h="16839"/>
          <w:pgMar w:top="1440" w:right="1800" w:bottom="1440" w:left="1800" w:header="0" w:footer="845" w:gutter="0"/>
          <w:cols w:space="720" w:num="1"/>
        </w:sectPr>
      </w:pPr>
    </w:p>
    <w:p w14:paraId="48C06F58">
      <w:pPr>
        <w:keepNext w:val="0"/>
        <w:keepLines w:val="0"/>
        <w:pageBreakBefore w:val="0"/>
        <w:widowControl w:val="0"/>
        <w:wordWrap/>
        <w:overflowPunct/>
        <w:topLinePunct w:val="0"/>
        <w:bidi w:val="0"/>
        <w:spacing w:before="101" w:line="240" w:lineRule="auto"/>
        <w:ind w:left="3795"/>
        <w:outlineLvl w:val="0"/>
        <w:rPr>
          <w:rFonts w:hint="eastAsia" w:ascii="仿宋" w:hAnsi="仿宋" w:eastAsia="仿宋" w:cs="仿宋"/>
          <w:color w:val="auto"/>
          <w:spacing w:val="0"/>
          <w:sz w:val="31"/>
          <w:szCs w:val="31"/>
          <w:highlight w:val="none"/>
        </w:rPr>
      </w:pPr>
      <w:bookmarkStart w:id="3" w:name="bookmark2"/>
      <w:bookmarkEnd w:id="3"/>
      <w:r>
        <w:rPr>
          <w:rFonts w:hint="eastAsia" w:ascii="仿宋" w:hAnsi="仿宋" w:eastAsia="仿宋" w:cs="仿宋"/>
          <w:b/>
          <w:bCs/>
          <w:color w:val="auto"/>
          <w:spacing w:val="0"/>
          <w:sz w:val="31"/>
          <w:szCs w:val="31"/>
          <w:highlight w:val="none"/>
        </w:rPr>
        <w:t>第二章</w:t>
      </w:r>
      <w:r>
        <w:rPr>
          <w:rFonts w:hint="eastAsia" w:ascii="仿宋" w:hAnsi="仿宋" w:eastAsia="仿宋" w:cs="仿宋"/>
          <w:color w:val="auto"/>
          <w:spacing w:val="0"/>
          <w:sz w:val="31"/>
          <w:szCs w:val="31"/>
          <w:highlight w:val="none"/>
        </w:rPr>
        <w:t xml:space="preserve"> </w:t>
      </w:r>
      <w:r>
        <w:rPr>
          <w:rFonts w:hint="eastAsia" w:ascii="仿宋" w:hAnsi="仿宋" w:eastAsia="仿宋" w:cs="仿宋"/>
          <w:b/>
          <w:bCs/>
          <w:color w:val="auto"/>
          <w:spacing w:val="0"/>
          <w:sz w:val="31"/>
          <w:szCs w:val="31"/>
          <w:highlight w:val="none"/>
        </w:rPr>
        <w:t>磋商须知</w:t>
      </w:r>
    </w:p>
    <w:p w14:paraId="38BAEFEC">
      <w:pPr>
        <w:keepNext w:val="0"/>
        <w:keepLines w:val="0"/>
        <w:pageBreakBefore w:val="0"/>
        <w:widowControl w:val="0"/>
        <w:wordWrap/>
        <w:overflowPunct/>
        <w:topLinePunct w:val="0"/>
        <w:bidi w:val="0"/>
        <w:spacing w:before="30" w:line="240" w:lineRule="auto"/>
        <w:ind w:left="4013"/>
        <w:outlineLvl w:val="1"/>
        <w:rPr>
          <w:rFonts w:hint="eastAsia" w:ascii="仿宋" w:hAnsi="仿宋" w:eastAsia="仿宋" w:cs="仿宋"/>
          <w:color w:val="auto"/>
          <w:spacing w:val="0"/>
          <w:sz w:val="28"/>
          <w:szCs w:val="28"/>
          <w:highlight w:val="none"/>
        </w:rPr>
      </w:pPr>
      <w:r>
        <w:rPr>
          <w:rFonts w:hint="eastAsia" w:ascii="仿宋" w:hAnsi="仿宋" w:eastAsia="仿宋" w:cs="仿宋"/>
          <w:b/>
          <w:bCs/>
          <w:color w:val="auto"/>
          <w:spacing w:val="0"/>
          <w:sz w:val="28"/>
          <w:szCs w:val="28"/>
          <w:highlight w:val="none"/>
        </w:rPr>
        <w:t>磋商须知前附表</w:t>
      </w:r>
    </w:p>
    <w:tbl>
      <w:tblPr>
        <w:tblStyle w:val="19"/>
        <w:tblW w:w="8799" w:type="dxa"/>
        <w:tblInd w:w="-52" w:type="dxa"/>
        <w:tblLayout w:type="fixed"/>
        <w:tblCellMar>
          <w:top w:w="0" w:type="dxa"/>
          <w:left w:w="108" w:type="dxa"/>
          <w:bottom w:w="49" w:type="dxa"/>
          <w:right w:w="115" w:type="dxa"/>
        </w:tblCellMar>
      </w:tblPr>
      <w:tblGrid>
        <w:gridCol w:w="899"/>
        <w:gridCol w:w="2239"/>
        <w:gridCol w:w="5661"/>
      </w:tblGrid>
      <w:tr w14:paraId="0C590399">
        <w:tblPrEx>
          <w:tblCellMar>
            <w:top w:w="0" w:type="dxa"/>
            <w:left w:w="108" w:type="dxa"/>
            <w:bottom w:w="49" w:type="dxa"/>
            <w:right w:w="115" w:type="dxa"/>
          </w:tblCellMar>
        </w:tblPrEx>
        <w:trPr>
          <w:trHeight w:val="42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C1DE37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b/>
                <w:color w:val="auto"/>
                <w:spacing w:val="0"/>
                <w:sz w:val="24"/>
                <w:szCs w:val="24"/>
                <w:highlight w:val="none"/>
              </w:rPr>
            </w:pPr>
            <w:bookmarkStart w:id="4" w:name="_Hlk503262599"/>
            <w:r>
              <w:rPr>
                <w:rFonts w:hint="eastAsia" w:ascii="仿宋" w:hAnsi="仿宋" w:eastAsia="仿宋" w:cs="仿宋"/>
                <w:b/>
                <w:color w:val="auto"/>
                <w:spacing w:val="0"/>
                <w:sz w:val="24"/>
                <w:szCs w:val="24"/>
                <w:highlight w:val="none"/>
              </w:rPr>
              <w:t>条款号</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00DD716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条款名称</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6C80297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编列内容</w:t>
            </w:r>
          </w:p>
        </w:tc>
      </w:tr>
      <w:bookmarkEnd w:id="4"/>
      <w:tr w14:paraId="6D478995">
        <w:tblPrEx>
          <w:tblCellMar>
            <w:top w:w="0" w:type="dxa"/>
            <w:left w:w="108" w:type="dxa"/>
            <w:bottom w:w="49" w:type="dxa"/>
            <w:right w:w="115" w:type="dxa"/>
          </w:tblCellMar>
        </w:tblPrEx>
        <w:trPr>
          <w:trHeight w:val="675"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5BF94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1.1.</w:t>
            </w:r>
            <w:r>
              <w:rPr>
                <w:rFonts w:hint="eastAsia" w:ascii="仿宋" w:hAnsi="仿宋" w:eastAsia="仿宋" w:cs="仿宋"/>
                <w:color w:val="auto"/>
                <w:spacing w:val="0"/>
                <w:sz w:val="24"/>
                <w:szCs w:val="24"/>
                <w:highlight w:val="none"/>
                <w:lang w:val="en-US" w:eastAsia="zh-CN"/>
              </w:rPr>
              <w:t>1</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7BBA954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采购人</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4B51A4A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color w:val="auto"/>
                <w:spacing w:val="0"/>
                <w:sz w:val="24"/>
                <w:szCs w:val="24"/>
                <w:highlight w:val="none"/>
              </w:rPr>
              <w:t>名称：</w:t>
            </w:r>
            <w:r>
              <w:rPr>
                <w:rFonts w:hint="eastAsia" w:ascii="仿宋" w:hAnsi="仿宋" w:eastAsia="仿宋" w:cs="仿宋"/>
                <w:color w:val="auto"/>
                <w:spacing w:val="0"/>
                <w:sz w:val="24"/>
                <w:szCs w:val="24"/>
                <w:highlight w:val="none"/>
                <w:lang w:eastAsia="zh-CN"/>
              </w:rPr>
              <w:t>玛纳斯县玛纳斯河水利管理处</w:t>
            </w:r>
          </w:p>
          <w:p w14:paraId="1D8649C6">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仿宋" w:hAnsi="仿宋" w:eastAsia="仿宋" w:cs="仿宋"/>
                <w:color w:val="auto"/>
                <w:spacing w:val="0"/>
                <w:sz w:val="24"/>
                <w:szCs w:val="24"/>
                <w:highlight w:val="none"/>
                <w:shd w:val="clear" w:color="auto" w:fill="FFFFFF"/>
                <w:lang w:val="en-US" w:eastAsia="zh-CN"/>
              </w:rPr>
            </w:pPr>
            <w:r>
              <w:rPr>
                <w:rFonts w:hint="eastAsia" w:ascii="仿宋" w:hAnsi="仿宋" w:eastAsia="仿宋" w:cs="仿宋"/>
                <w:color w:val="auto"/>
                <w:spacing w:val="0"/>
                <w:kern w:val="2"/>
                <w:sz w:val="24"/>
                <w:szCs w:val="24"/>
                <w:highlight w:val="none"/>
                <w:lang w:val="en-US" w:eastAsia="zh-CN" w:bidi="ar-SA"/>
              </w:rPr>
              <w:t>联系人：王女士   电话：0994-6669518</w:t>
            </w:r>
          </w:p>
        </w:tc>
      </w:tr>
      <w:tr w14:paraId="045F87A1">
        <w:tblPrEx>
          <w:tblCellMar>
            <w:top w:w="0" w:type="dxa"/>
            <w:left w:w="108" w:type="dxa"/>
            <w:bottom w:w="49" w:type="dxa"/>
            <w:right w:w="115" w:type="dxa"/>
          </w:tblCellMar>
        </w:tblPrEx>
        <w:trPr>
          <w:trHeight w:val="69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E2666B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1.1.</w:t>
            </w:r>
            <w:r>
              <w:rPr>
                <w:rFonts w:hint="eastAsia" w:ascii="仿宋" w:hAnsi="仿宋" w:eastAsia="仿宋" w:cs="仿宋"/>
                <w:color w:val="auto"/>
                <w:spacing w:val="0"/>
                <w:sz w:val="24"/>
                <w:szCs w:val="24"/>
                <w:highlight w:val="none"/>
                <w:lang w:val="en-US" w:eastAsia="zh-CN"/>
              </w:rPr>
              <w:t>2</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09A3761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代理机构</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1D81C21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eastAsia="zh-CN"/>
              </w:rPr>
            </w:pPr>
            <w:r>
              <w:rPr>
                <w:rFonts w:hint="eastAsia" w:ascii="仿宋" w:hAnsi="仿宋" w:eastAsia="仿宋" w:cs="仿宋"/>
                <w:b w:val="0"/>
                <w:bCs w:val="0"/>
                <w:color w:val="auto"/>
                <w:spacing w:val="0"/>
                <w:sz w:val="24"/>
                <w:szCs w:val="24"/>
                <w:highlight w:val="none"/>
              </w:rPr>
              <w:t>名称：</w:t>
            </w:r>
            <w:r>
              <w:rPr>
                <w:rFonts w:hint="eastAsia" w:ascii="仿宋" w:hAnsi="仿宋" w:eastAsia="仿宋" w:cs="仿宋"/>
                <w:b w:val="0"/>
                <w:bCs w:val="0"/>
                <w:color w:val="auto"/>
                <w:spacing w:val="0"/>
                <w:sz w:val="24"/>
                <w:szCs w:val="24"/>
                <w:highlight w:val="none"/>
                <w:lang w:eastAsia="zh-CN"/>
              </w:rPr>
              <w:t>新疆华远博辰工程项目管理有限公司</w:t>
            </w:r>
          </w:p>
          <w:p w14:paraId="720B4EF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eastAsia="zh-CN"/>
              </w:rPr>
            </w:pPr>
            <w:r>
              <w:rPr>
                <w:rFonts w:hint="eastAsia" w:ascii="仿宋" w:hAnsi="仿宋" w:eastAsia="仿宋" w:cs="仿宋"/>
                <w:b w:val="0"/>
                <w:bCs w:val="0"/>
                <w:color w:val="auto"/>
                <w:spacing w:val="0"/>
                <w:sz w:val="24"/>
                <w:szCs w:val="24"/>
                <w:highlight w:val="none"/>
              </w:rPr>
              <w:t>地址：</w:t>
            </w:r>
            <w:r>
              <w:rPr>
                <w:rFonts w:hint="eastAsia" w:ascii="仿宋" w:hAnsi="仿宋" w:eastAsia="仿宋" w:cs="仿宋"/>
                <w:b w:val="0"/>
                <w:bCs w:val="0"/>
                <w:color w:val="auto"/>
                <w:spacing w:val="0"/>
                <w:sz w:val="24"/>
                <w:szCs w:val="24"/>
                <w:highlight w:val="none"/>
                <w:lang w:eastAsia="zh-CN"/>
              </w:rPr>
              <w:t>昌吉市建国西路和谐国际广场</w:t>
            </w:r>
            <w:r>
              <w:rPr>
                <w:rFonts w:hint="eastAsia" w:ascii="仿宋" w:hAnsi="仿宋" w:eastAsia="仿宋" w:cs="仿宋"/>
                <w:b w:val="0"/>
                <w:bCs w:val="0"/>
                <w:color w:val="auto"/>
                <w:spacing w:val="0"/>
                <w:sz w:val="24"/>
                <w:szCs w:val="24"/>
                <w:highlight w:val="none"/>
                <w:lang w:val="en-US" w:eastAsia="zh-CN"/>
              </w:rPr>
              <w:t>F</w:t>
            </w:r>
            <w:r>
              <w:rPr>
                <w:rFonts w:hint="eastAsia" w:ascii="仿宋" w:hAnsi="仿宋" w:eastAsia="仿宋" w:cs="仿宋"/>
                <w:b w:val="0"/>
                <w:bCs w:val="0"/>
                <w:color w:val="auto"/>
                <w:spacing w:val="0"/>
                <w:sz w:val="24"/>
                <w:szCs w:val="24"/>
                <w:highlight w:val="none"/>
                <w:lang w:eastAsia="zh-CN"/>
              </w:rPr>
              <w:t>座</w:t>
            </w:r>
            <w:r>
              <w:rPr>
                <w:rFonts w:hint="eastAsia" w:ascii="仿宋" w:hAnsi="仿宋" w:eastAsia="仿宋" w:cs="仿宋"/>
                <w:b w:val="0"/>
                <w:bCs w:val="0"/>
                <w:color w:val="auto"/>
                <w:spacing w:val="0"/>
                <w:sz w:val="24"/>
                <w:szCs w:val="24"/>
                <w:highlight w:val="none"/>
                <w:lang w:val="en-US" w:eastAsia="zh-CN"/>
              </w:rPr>
              <w:t>17楼</w:t>
            </w:r>
          </w:p>
          <w:p w14:paraId="47A98123">
            <w:pPr>
              <w:pStyle w:val="2"/>
              <w:keepNext w:val="0"/>
              <w:keepLines w:val="0"/>
              <w:pageBreakBefore w:val="0"/>
              <w:widowControl w:val="0"/>
              <w:numPr>
                <w:ilvl w:val="0"/>
                <w:numId w:val="0"/>
              </w:numPr>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b w:val="0"/>
                <w:bCs w:val="0"/>
                <w:color w:val="auto"/>
                <w:spacing w:val="0"/>
                <w:sz w:val="24"/>
                <w:szCs w:val="24"/>
                <w:highlight w:val="none"/>
                <w:lang w:eastAsia="zh-CN"/>
              </w:rPr>
              <w:t>联系人及联系电</w:t>
            </w:r>
            <w:r>
              <w:rPr>
                <w:rFonts w:hint="eastAsia" w:ascii="仿宋" w:hAnsi="仿宋" w:eastAsia="仿宋" w:cs="仿宋"/>
                <w:b w:val="0"/>
                <w:bCs w:val="0"/>
                <w:color w:val="auto"/>
                <w:spacing w:val="0"/>
                <w:kern w:val="2"/>
                <w:sz w:val="24"/>
                <w:szCs w:val="24"/>
                <w:highlight w:val="none"/>
                <w:lang w:val="en-US" w:eastAsia="zh-CN" w:bidi="ar-SA"/>
              </w:rPr>
              <w:t>话：王先生  电  话</w:t>
            </w:r>
            <w:r>
              <w:rPr>
                <w:rFonts w:hint="eastAsia" w:ascii="仿宋" w:hAnsi="仿宋" w:eastAsia="仿宋" w:cs="仿宋"/>
                <w:b w:val="0"/>
                <w:bCs w:val="0"/>
                <w:color w:val="auto"/>
                <w:spacing w:val="0"/>
                <w:sz w:val="24"/>
                <w:szCs w:val="24"/>
                <w:highlight w:val="none"/>
                <w:lang w:eastAsia="zh-CN"/>
              </w:rPr>
              <w:t xml:space="preserve">：19999558123 </w:t>
            </w:r>
          </w:p>
        </w:tc>
      </w:tr>
      <w:tr w14:paraId="33EFB176">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C8387E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1.1.</w:t>
            </w:r>
            <w:r>
              <w:rPr>
                <w:rFonts w:hint="eastAsia" w:ascii="仿宋" w:hAnsi="仿宋" w:eastAsia="仿宋" w:cs="仿宋"/>
                <w:color w:val="auto"/>
                <w:spacing w:val="0"/>
                <w:sz w:val="24"/>
                <w:szCs w:val="24"/>
                <w:highlight w:val="none"/>
                <w:lang w:val="en-US" w:eastAsia="zh-CN"/>
              </w:rPr>
              <w:t>3</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17CEF78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项目名称</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265B778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新疆玛纳斯县阿尔巴萨依沟中小河流治理项目水土保持方案编制、监测服务</w:t>
            </w:r>
          </w:p>
        </w:tc>
      </w:tr>
      <w:tr w14:paraId="0CDC5355">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A1E422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1.1.</w:t>
            </w:r>
            <w:r>
              <w:rPr>
                <w:rFonts w:hint="eastAsia" w:ascii="仿宋" w:hAnsi="仿宋" w:eastAsia="仿宋" w:cs="仿宋"/>
                <w:color w:val="auto"/>
                <w:spacing w:val="0"/>
                <w:sz w:val="24"/>
                <w:szCs w:val="24"/>
                <w:highlight w:val="none"/>
                <w:lang w:val="en-US" w:eastAsia="zh-CN"/>
              </w:rPr>
              <w:t>4</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49BA0D8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项目地点</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61CCF25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昌吉州玛纳斯县</w:t>
            </w:r>
          </w:p>
        </w:tc>
      </w:tr>
      <w:tr w14:paraId="7CE20EAA">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D0E7A8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1.1.</w:t>
            </w:r>
            <w:r>
              <w:rPr>
                <w:rFonts w:hint="eastAsia" w:ascii="仿宋" w:hAnsi="仿宋" w:eastAsia="仿宋" w:cs="仿宋"/>
                <w:color w:val="auto"/>
                <w:spacing w:val="0"/>
                <w:sz w:val="24"/>
                <w:szCs w:val="24"/>
                <w:highlight w:val="none"/>
                <w:lang w:val="en-US" w:eastAsia="zh-CN"/>
              </w:rPr>
              <w:t>5</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6A2482D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项目规模</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165710A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新疆玛纳斯县阿尔巴萨依沟中小河流治理项目水土保持方案编制、监测服务</w:t>
            </w:r>
          </w:p>
        </w:tc>
      </w:tr>
      <w:tr w14:paraId="7BFCEAEF">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E6D55D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1.1.</w:t>
            </w:r>
            <w:r>
              <w:rPr>
                <w:rFonts w:hint="eastAsia" w:ascii="仿宋" w:hAnsi="仿宋" w:eastAsia="仿宋" w:cs="仿宋"/>
                <w:color w:val="auto"/>
                <w:spacing w:val="0"/>
                <w:sz w:val="24"/>
                <w:szCs w:val="24"/>
                <w:highlight w:val="none"/>
                <w:lang w:val="en-US" w:eastAsia="zh-CN"/>
              </w:rPr>
              <w:t>6</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28536CC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项目投资估算</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4AB05BF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kern w:val="0"/>
                <w:sz w:val="27"/>
                <w:szCs w:val="27"/>
                <w:highlight w:val="none"/>
                <w:lang w:val="en-US" w:eastAsia="zh-CN" w:bidi="ar"/>
              </w:rPr>
              <w:t>200000.00元</w:t>
            </w:r>
          </w:p>
        </w:tc>
      </w:tr>
      <w:tr w14:paraId="5BE51711">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38C83E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1.2.1</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679F461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资金来源</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6830876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财政资金</w:t>
            </w:r>
          </w:p>
        </w:tc>
      </w:tr>
      <w:tr w14:paraId="6F0655D6">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6A08E3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1.2.2</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6204747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资金落实情况</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0922E82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eastAsia="zh-CN"/>
              </w:rPr>
            </w:pPr>
            <w:r>
              <w:rPr>
                <w:rFonts w:hint="eastAsia" w:ascii="仿宋" w:hAnsi="仿宋" w:eastAsia="仿宋" w:cs="仿宋"/>
                <w:b w:val="0"/>
                <w:bCs w:val="0"/>
                <w:color w:val="auto"/>
                <w:spacing w:val="0"/>
                <w:sz w:val="24"/>
                <w:szCs w:val="24"/>
                <w:highlight w:val="none"/>
                <w:lang w:eastAsia="zh-CN"/>
              </w:rPr>
              <w:t>已落实</w:t>
            </w:r>
          </w:p>
        </w:tc>
      </w:tr>
      <w:tr w14:paraId="555C3FED">
        <w:tblPrEx>
          <w:tblCellMar>
            <w:top w:w="0" w:type="dxa"/>
            <w:left w:w="108" w:type="dxa"/>
            <w:bottom w:w="49" w:type="dxa"/>
            <w:right w:w="115" w:type="dxa"/>
          </w:tblCellMar>
        </w:tblPrEx>
        <w:trPr>
          <w:trHeight w:val="74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D475E0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1.3.1</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2F04E8C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招标范围</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3201B00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eastAsia="zh-CN"/>
              </w:rPr>
            </w:pPr>
            <w:r>
              <w:rPr>
                <w:rFonts w:hint="eastAsia" w:ascii="仿宋" w:hAnsi="仿宋" w:eastAsia="仿宋" w:cs="仿宋"/>
                <w:b w:val="0"/>
                <w:bCs w:val="0"/>
                <w:color w:val="auto"/>
                <w:spacing w:val="0"/>
                <w:sz w:val="24"/>
                <w:szCs w:val="24"/>
                <w:highlight w:val="none"/>
                <w:lang w:eastAsia="zh-CN"/>
              </w:rPr>
              <w:t>按水土保持技术规范和相关审核部门的要求对玛纳斯县阿尔巴萨依沟中小河流治理项目进行水土保持方案编制工作，编制水土保持报告书、水土保持监测文本，开展水土保持监测工作并提交监测季报等相关监测成果文件。</w:t>
            </w:r>
          </w:p>
        </w:tc>
      </w:tr>
      <w:tr w14:paraId="0555FB92">
        <w:tblPrEx>
          <w:tblCellMar>
            <w:top w:w="0" w:type="dxa"/>
            <w:left w:w="108" w:type="dxa"/>
            <w:bottom w:w="49" w:type="dxa"/>
            <w:right w:w="115" w:type="dxa"/>
          </w:tblCellMar>
        </w:tblPrEx>
        <w:trPr>
          <w:trHeight w:val="42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C73CC2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1.3.2</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6506A62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服务期限</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0E741A4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仿宋" w:hAnsi="仿宋" w:eastAsia="仿宋" w:cs="仿宋"/>
                <w:b w:val="0"/>
                <w:bCs w:val="0"/>
                <w:color w:val="auto"/>
                <w:spacing w:val="0"/>
                <w:sz w:val="24"/>
                <w:szCs w:val="24"/>
                <w:highlight w:val="none"/>
                <w:lang w:val="en-US" w:eastAsia="zh-CN"/>
              </w:rPr>
            </w:pPr>
            <w:r>
              <w:rPr>
                <w:rFonts w:hint="default" w:ascii="仿宋" w:hAnsi="仿宋" w:eastAsia="仿宋" w:cs="仿宋"/>
                <w:b w:val="0"/>
                <w:bCs w:val="0"/>
                <w:color w:val="auto"/>
                <w:spacing w:val="0"/>
                <w:sz w:val="24"/>
                <w:szCs w:val="24"/>
                <w:highlight w:val="none"/>
                <w:lang w:val="en-US" w:eastAsia="zh-CN"/>
              </w:rPr>
              <w:t>合同签订后30 日历日（具体以工期为准）。</w:t>
            </w:r>
          </w:p>
        </w:tc>
      </w:tr>
      <w:tr w14:paraId="77A3C6C4">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3EB93E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1.3.3</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6EF7D78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质量标准</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361FD0E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符合水土保持技术规范和相关审核部门的要求，确保合法、合规、完整，并在规定时间内获取相关主管部门的批准文件。</w:t>
            </w:r>
          </w:p>
        </w:tc>
      </w:tr>
      <w:tr w14:paraId="23BAA22D">
        <w:tblPrEx>
          <w:tblCellMar>
            <w:top w:w="0" w:type="dxa"/>
            <w:left w:w="108" w:type="dxa"/>
            <w:bottom w:w="49" w:type="dxa"/>
            <w:right w:w="115" w:type="dxa"/>
          </w:tblCellMar>
        </w:tblPrEx>
        <w:trPr>
          <w:trHeight w:val="155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90B7F5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1.4.1</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14:paraId="6ABC564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供应商资质条件、能力、信誉</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26DCCAD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1.满足《中华人民共和国政府采购法》第二十二条规定；</w:t>
            </w:r>
          </w:p>
          <w:p w14:paraId="7D8D199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2.落实政府采购政策需满足的资格要求：标项1：本项目专门面向中小微企业</w:t>
            </w:r>
          </w:p>
          <w:p w14:paraId="3AC4689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3.本项目的特定资格要求：</w:t>
            </w:r>
          </w:p>
          <w:p w14:paraId="18F2B7E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【标项1】</w:t>
            </w:r>
          </w:p>
          <w:p w14:paraId="549FBF8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（1）在中华人民共和国境内注册，具有独立法人资格，需具备有效的营业执照；</w:t>
            </w:r>
          </w:p>
          <w:p w14:paraId="0943D06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（2）项目负责人具有水利专业高级职称证书；</w:t>
            </w:r>
          </w:p>
          <w:p w14:paraId="042E49A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3）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CE3C27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24"/>
                <w:szCs w:val="24"/>
                <w:highlight w:val="none"/>
                <w:lang w:val="en-US" w:eastAsia="zh-CN"/>
              </w:rPr>
              <w:t>（4）供应商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w:t>
            </w:r>
          </w:p>
        </w:tc>
      </w:tr>
    </w:tbl>
    <w:tbl>
      <w:tblPr>
        <w:tblStyle w:val="19"/>
        <w:tblpPr w:leftFromText="180" w:rightFromText="180" w:vertAnchor="text" w:horzAnchor="margin" w:tblpX="-40" w:tblpY="14"/>
        <w:tblW w:w="8781" w:type="dxa"/>
        <w:tblInd w:w="0" w:type="dxa"/>
        <w:tblLayout w:type="fixed"/>
        <w:tblCellMar>
          <w:top w:w="0" w:type="dxa"/>
          <w:left w:w="108" w:type="dxa"/>
          <w:bottom w:w="49" w:type="dxa"/>
          <w:right w:w="115" w:type="dxa"/>
        </w:tblCellMar>
      </w:tblPr>
      <w:tblGrid>
        <w:gridCol w:w="887"/>
        <w:gridCol w:w="2233"/>
        <w:gridCol w:w="5661"/>
      </w:tblGrid>
      <w:tr w14:paraId="57143863">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BDCB91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98C23C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是否接受联合体投标</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404D2F4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不接受</w:t>
            </w:r>
          </w:p>
        </w:tc>
      </w:tr>
      <w:tr w14:paraId="55BB8762">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C54FF8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C30309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供应商不得存在的其他情形</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1ADF7F2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竞争性磋商“供应商须知总则第1.4.3条”的规定</w:t>
            </w:r>
          </w:p>
        </w:tc>
      </w:tr>
      <w:tr w14:paraId="5FC7B224">
        <w:tblPrEx>
          <w:tblCellMar>
            <w:top w:w="0" w:type="dxa"/>
            <w:left w:w="108" w:type="dxa"/>
            <w:bottom w:w="49" w:type="dxa"/>
            <w:right w:w="115"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01B9FB7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1.5.1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B612E3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踏勘现场</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00BACD6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不组织</w:t>
            </w:r>
          </w:p>
        </w:tc>
      </w:tr>
      <w:tr w14:paraId="1BFD23CA">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8A2993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1.6.1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248555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投标预备会</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4D883D2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不召开</w:t>
            </w:r>
          </w:p>
        </w:tc>
      </w:tr>
      <w:tr w14:paraId="47A16B84">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DEC55F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1.7.1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50E3AA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分包</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165F196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不允许</w:t>
            </w:r>
          </w:p>
        </w:tc>
      </w:tr>
      <w:tr w14:paraId="13D8CED1">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3AEF14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1.8.1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E2C9B0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实质性要求和条件</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50A4803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供应商不得偏差离竞争性磋商的实质性要求</w:t>
            </w:r>
          </w:p>
        </w:tc>
      </w:tr>
      <w:tr w14:paraId="7ABD98FE">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50B7C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1.9.3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52FE23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偏差</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39171D8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不允许</w:t>
            </w:r>
          </w:p>
        </w:tc>
      </w:tr>
      <w:tr w14:paraId="6B5ACCE6">
        <w:tblPrEx>
          <w:tblCellMar>
            <w:top w:w="0" w:type="dxa"/>
            <w:left w:w="108" w:type="dxa"/>
            <w:bottom w:w="49" w:type="dxa"/>
            <w:right w:w="115" w:type="dxa"/>
          </w:tblCellMar>
        </w:tblPrEx>
        <w:trPr>
          <w:trHeight w:val="529" w:hRule="atLeast"/>
        </w:trPr>
        <w:tc>
          <w:tcPr>
            <w:tcW w:w="887" w:type="dxa"/>
            <w:vMerge w:val="restart"/>
            <w:tcBorders>
              <w:top w:val="single" w:color="000000" w:sz="4" w:space="0"/>
              <w:left w:val="single" w:color="000000" w:sz="4" w:space="0"/>
              <w:right w:val="single" w:color="000000" w:sz="4" w:space="0"/>
            </w:tcBorders>
            <w:noWrap w:val="0"/>
            <w:vAlign w:val="center"/>
          </w:tcPr>
          <w:p w14:paraId="5ADED8A2">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.1</w:t>
            </w:r>
          </w:p>
        </w:tc>
        <w:tc>
          <w:tcPr>
            <w:tcW w:w="2233" w:type="dxa"/>
            <w:vMerge w:val="restart"/>
            <w:tcBorders>
              <w:top w:val="single" w:color="000000" w:sz="4" w:space="0"/>
              <w:left w:val="single" w:color="000000" w:sz="4" w:space="0"/>
              <w:right w:val="single" w:color="000000" w:sz="4" w:space="0"/>
            </w:tcBorders>
            <w:noWrap w:val="0"/>
            <w:vAlign w:val="center"/>
          </w:tcPr>
          <w:p w14:paraId="5DD2AFC5">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要求澄清竞争性磋商</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279CC5C2">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时间：</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要求</w:t>
            </w:r>
            <w:r>
              <w:rPr>
                <w:rFonts w:hint="eastAsia" w:ascii="仿宋" w:hAnsi="仿宋" w:eastAsia="仿宋" w:cs="仿宋"/>
                <w:color w:val="auto"/>
                <w:spacing w:val="0"/>
                <w:sz w:val="24"/>
                <w:szCs w:val="24"/>
                <w:highlight w:val="none"/>
                <w:lang w:eastAsia="zh-CN"/>
              </w:rPr>
              <w:t>采购人</w:t>
            </w:r>
            <w:r>
              <w:rPr>
                <w:rFonts w:hint="eastAsia" w:ascii="仿宋" w:hAnsi="仿宋" w:eastAsia="仿宋" w:cs="仿宋"/>
                <w:color w:val="auto"/>
                <w:spacing w:val="0"/>
                <w:sz w:val="24"/>
                <w:szCs w:val="24"/>
                <w:highlight w:val="none"/>
              </w:rPr>
              <w:t>对已发出的竞争性磋商进行澄清的，应在投标截止时间的</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rPr>
              <w:t>天前。</w:t>
            </w:r>
          </w:p>
        </w:tc>
      </w:tr>
      <w:tr w14:paraId="19F90D18">
        <w:tblPrEx>
          <w:tblCellMar>
            <w:top w:w="0" w:type="dxa"/>
            <w:left w:w="108" w:type="dxa"/>
            <w:bottom w:w="49" w:type="dxa"/>
            <w:right w:w="115" w:type="dxa"/>
          </w:tblCellMar>
        </w:tblPrEx>
        <w:trPr>
          <w:trHeight w:val="570" w:hRule="atLeast"/>
        </w:trPr>
        <w:tc>
          <w:tcPr>
            <w:tcW w:w="887" w:type="dxa"/>
            <w:vMerge w:val="continue"/>
            <w:tcBorders>
              <w:left w:val="single" w:color="000000" w:sz="4" w:space="0"/>
              <w:bottom w:val="single" w:color="000000" w:sz="4" w:space="0"/>
              <w:right w:val="single" w:color="000000" w:sz="4" w:space="0"/>
            </w:tcBorders>
            <w:noWrap w:val="0"/>
            <w:vAlign w:val="center"/>
          </w:tcPr>
          <w:p w14:paraId="7CAEDA30">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p>
        </w:tc>
        <w:tc>
          <w:tcPr>
            <w:tcW w:w="2233" w:type="dxa"/>
            <w:vMerge w:val="continue"/>
            <w:tcBorders>
              <w:left w:val="single" w:color="000000" w:sz="4" w:space="0"/>
              <w:bottom w:val="single" w:color="000000" w:sz="4" w:space="0"/>
              <w:right w:val="single" w:color="000000" w:sz="4" w:space="0"/>
            </w:tcBorders>
            <w:noWrap w:val="0"/>
            <w:vAlign w:val="center"/>
          </w:tcPr>
          <w:p w14:paraId="71BBEABA">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53A2CCFE">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rPr>
              <w:t>形式：</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将要求澄清的内容以书面形式送达</w:t>
            </w:r>
            <w:r>
              <w:rPr>
                <w:rFonts w:hint="eastAsia" w:ascii="仿宋" w:hAnsi="仿宋" w:eastAsia="仿宋" w:cs="仿宋"/>
                <w:color w:val="auto"/>
                <w:spacing w:val="0"/>
                <w:sz w:val="24"/>
                <w:szCs w:val="24"/>
                <w:highlight w:val="none"/>
                <w:lang w:eastAsia="zh-CN"/>
              </w:rPr>
              <w:t>采购人</w:t>
            </w:r>
            <w:r>
              <w:rPr>
                <w:rFonts w:hint="eastAsia" w:ascii="仿宋" w:hAnsi="仿宋" w:eastAsia="仿宋" w:cs="仿宋"/>
                <w:color w:val="auto"/>
                <w:spacing w:val="0"/>
                <w:sz w:val="24"/>
                <w:szCs w:val="24"/>
                <w:highlight w:val="none"/>
              </w:rPr>
              <w:t>（或招标代理机构）</w:t>
            </w:r>
            <w:r>
              <w:rPr>
                <w:rFonts w:hint="eastAsia" w:ascii="仿宋" w:hAnsi="仿宋" w:eastAsia="仿宋" w:cs="仿宋"/>
                <w:color w:val="auto"/>
                <w:spacing w:val="0"/>
                <w:sz w:val="24"/>
                <w:szCs w:val="24"/>
                <w:highlight w:val="none"/>
                <w:lang w:eastAsia="zh-CN"/>
              </w:rPr>
              <w:t>。</w:t>
            </w:r>
          </w:p>
        </w:tc>
      </w:tr>
      <w:tr w14:paraId="579A5593">
        <w:tblPrEx>
          <w:tblCellMar>
            <w:top w:w="0" w:type="dxa"/>
            <w:left w:w="108" w:type="dxa"/>
            <w:bottom w:w="49" w:type="dxa"/>
            <w:right w:w="115" w:type="dxa"/>
          </w:tblCellMar>
        </w:tblPrEx>
        <w:trPr>
          <w:trHeight w:val="566"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6812412">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2.2.2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9606AA7">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竞争性磋商澄清发出的形式</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36AED176">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smallCaps w:val="0"/>
                <w:color w:val="auto"/>
                <w:spacing w:val="0"/>
                <w:sz w:val="24"/>
                <w:szCs w:val="24"/>
                <w:highlight w:val="none"/>
                <w:lang w:bidi="ar"/>
              </w:rPr>
              <w:t>政采云平台https://www.zcygov.cn/以</w:t>
            </w:r>
            <w:r>
              <w:rPr>
                <w:rFonts w:hint="eastAsia" w:ascii="仿宋" w:hAnsi="仿宋" w:eastAsia="仿宋" w:cs="仿宋"/>
                <w:smallCaps w:val="0"/>
                <w:color w:val="auto"/>
                <w:spacing w:val="0"/>
                <w:sz w:val="24"/>
                <w:szCs w:val="24"/>
                <w:highlight w:val="none"/>
                <w:lang w:val="en-US" w:eastAsia="zh-CN" w:bidi="ar"/>
              </w:rPr>
              <w:t>答疑澄清文件</w:t>
            </w:r>
            <w:r>
              <w:rPr>
                <w:rFonts w:hint="eastAsia" w:ascii="仿宋" w:hAnsi="仿宋" w:eastAsia="仿宋" w:cs="仿宋"/>
                <w:smallCaps w:val="0"/>
                <w:color w:val="auto"/>
                <w:spacing w:val="0"/>
                <w:sz w:val="24"/>
                <w:szCs w:val="24"/>
                <w:highlight w:val="none"/>
                <w:lang w:bidi="ar"/>
              </w:rPr>
              <w:t>形式发出</w:t>
            </w:r>
          </w:p>
        </w:tc>
      </w:tr>
      <w:tr w14:paraId="5692433B">
        <w:tblPrEx>
          <w:tblCellMar>
            <w:top w:w="0" w:type="dxa"/>
            <w:left w:w="108" w:type="dxa"/>
            <w:bottom w:w="49" w:type="dxa"/>
            <w:right w:w="115" w:type="dxa"/>
          </w:tblCellMar>
        </w:tblPrEx>
        <w:trPr>
          <w:trHeight w:val="71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3A2B4B2">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2.2.3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C11746D">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确认收到竞争性磋商澄清</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08CB14AF">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bidi="ar"/>
              </w:rPr>
              <w:t>/</w:t>
            </w:r>
          </w:p>
        </w:tc>
      </w:tr>
      <w:tr w14:paraId="70B46C8A">
        <w:tblPrEx>
          <w:tblCellMar>
            <w:top w:w="0" w:type="dxa"/>
            <w:left w:w="108" w:type="dxa"/>
            <w:bottom w:w="49" w:type="dxa"/>
            <w:right w:w="115" w:type="dxa"/>
          </w:tblCellMar>
        </w:tblPrEx>
        <w:trPr>
          <w:trHeight w:val="71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53BFDD">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2.3.1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156AF17">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竞争性磋商修改发出的形式</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486FDB4B">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smallCaps w:val="0"/>
                <w:color w:val="auto"/>
                <w:spacing w:val="0"/>
                <w:sz w:val="24"/>
                <w:szCs w:val="24"/>
                <w:highlight w:val="none"/>
                <w:lang w:bidi="ar"/>
              </w:rPr>
              <w:t>政采云平台https://www.zcygov.cn/以</w:t>
            </w:r>
            <w:r>
              <w:rPr>
                <w:rFonts w:hint="eastAsia" w:ascii="仿宋" w:hAnsi="仿宋" w:eastAsia="仿宋" w:cs="仿宋"/>
                <w:smallCaps w:val="0"/>
                <w:color w:val="auto"/>
                <w:spacing w:val="0"/>
                <w:sz w:val="24"/>
                <w:szCs w:val="24"/>
                <w:highlight w:val="none"/>
                <w:lang w:val="en-US" w:eastAsia="zh-CN" w:bidi="ar"/>
              </w:rPr>
              <w:t>答疑澄清文件</w:t>
            </w:r>
            <w:r>
              <w:rPr>
                <w:rFonts w:hint="eastAsia" w:ascii="仿宋" w:hAnsi="仿宋" w:eastAsia="仿宋" w:cs="仿宋"/>
                <w:smallCaps w:val="0"/>
                <w:color w:val="auto"/>
                <w:spacing w:val="0"/>
                <w:sz w:val="24"/>
                <w:szCs w:val="24"/>
                <w:highlight w:val="none"/>
                <w:lang w:bidi="ar"/>
              </w:rPr>
              <w:t>形式发出</w:t>
            </w:r>
          </w:p>
        </w:tc>
      </w:tr>
      <w:tr w14:paraId="06910FD5">
        <w:tblPrEx>
          <w:tblCellMar>
            <w:top w:w="0" w:type="dxa"/>
            <w:left w:w="108" w:type="dxa"/>
            <w:bottom w:w="49" w:type="dxa"/>
            <w:right w:w="115" w:type="dxa"/>
          </w:tblCellMar>
        </w:tblPrEx>
        <w:trPr>
          <w:trHeight w:val="669"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796BFBA">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2.3.2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B4484B6">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确认收到竞争性磋商修改</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797B8D2B">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bidi="ar"/>
              </w:rPr>
              <w:t>/</w:t>
            </w:r>
          </w:p>
        </w:tc>
      </w:tr>
      <w:tr w14:paraId="585E0AC5">
        <w:tblPrEx>
          <w:tblCellMar>
            <w:top w:w="0" w:type="dxa"/>
            <w:left w:w="108" w:type="dxa"/>
            <w:bottom w:w="49" w:type="dxa"/>
            <w:right w:w="115" w:type="dxa"/>
          </w:tblCellMar>
        </w:tblPrEx>
        <w:trPr>
          <w:trHeight w:val="394"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016A077">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3.1.1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8E12130">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构成</w:t>
            </w:r>
            <w:r>
              <w:rPr>
                <w:rFonts w:hint="eastAsia" w:ascii="仿宋" w:hAnsi="仿宋" w:eastAsia="仿宋" w:cs="仿宋"/>
                <w:color w:val="auto"/>
                <w:spacing w:val="0"/>
                <w:sz w:val="24"/>
                <w:szCs w:val="24"/>
                <w:highlight w:val="none"/>
                <w:lang w:eastAsia="zh-CN"/>
              </w:rPr>
              <w:t>磋商文件</w:t>
            </w:r>
            <w:r>
              <w:rPr>
                <w:rFonts w:hint="eastAsia" w:ascii="仿宋" w:hAnsi="仿宋" w:eastAsia="仿宋" w:cs="仿宋"/>
                <w:color w:val="auto"/>
                <w:spacing w:val="0"/>
                <w:sz w:val="24"/>
                <w:szCs w:val="24"/>
                <w:highlight w:val="none"/>
              </w:rPr>
              <w:t>的其他资料</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7C9F081E">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详见竞争性磋商中的要求。</w:t>
            </w:r>
          </w:p>
        </w:tc>
      </w:tr>
      <w:tr w14:paraId="47763225">
        <w:tblPrEx>
          <w:tblCellMar>
            <w:top w:w="0" w:type="dxa"/>
            <w:left w:w="108" w:type="dxa"/>
            <w:bottom w:w="49" w:type="dxa"/>
            <w:right w:w="115" w:type="dxa"/>
          </w:tblCellMar>
        </w:tblPrEx>
        <w:trPr>
          <w:trHeight w:val="42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43C48E3">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3.2.1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7C6EED2">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增值税税金的计算方法</w:t>
            </w:r>
          </w:p>
        </w:tc>
        <w:tc>
          <w:tcPr>
            <w:tcW w:w="5661" w:type="dxa"/>
            <w:tcBorders>
              <w:top w:val="single" w:color="000000" w:sz="4" w:space="0"/>
              <w:left w:val="single" w:color="000000" w:sz="4" w:space="0"/>
              <w:bottom w:val="single" w:color="000000" w:sz="4" w:space="0"/>
              <w:right w:val="single" w:color="000000" w:sz="4" w:space="0"/>
            </w:tcBorders>
            <w:noWrap w:val="0"/>
            <w:vAlign w:val="center"/>
          </w:tcPr>
          <w:p w14:paraId="216B6CB8">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增值税税金按国家税务部门规定的一般计税方法计算。</w:t>
            </w:r>
          </w:p>
        </w:tc>
      </w:tr>
    </w:tbl>
    <w:tbl>
      <w:tblPr>
        <w:tblStyle w:val="19"/>
        <w:tblW w:w="8780" w:type="dxa"/>
        <w:tblInd w:w="-15" w:type="dxa"/>
        <w:tblLayout w:type="fixed"/>
        <w:tblCellMar>
          <w:top w:w="0" w:type="dxa"/>
          <w:left w:w="108" w:type="dxa"/>
          <w:bottom w:w="49" w:type="dxa"/>
          <w:right w:w="115" w:type="dxa"/>
        </w:tblCellMar>
      </w:tblPr>
      <w:tblGrid>
        <w:gridCol w:w="860"/>
        <w:gridCol w:w="2241"/>
        <w:gridCol w:w="5679"/>
      </w:tblGrid>
      <w:tr w14:paraId="29CCD942">
        <w:tblPrEx>
          <w:tblCellMar>
            <w:top w:w="0" w:type="dxa"/>
            <w:left w:w="108" w:type="dxa"/>
            <w:bottom w:w="49" w:type="dxa"/>
            <w:right w:w="115" w:type="dxa"/>
          </w:tblCellMar>
        </w:tblPrEx>
        <w:trPr>
          <w:trHeight w:val="432"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3B80BCB1">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3.2.</w:t>
            </w:r>
            <w:r>
              <w:rPr>
                <w:rFonts w:hint="eastAsia" w:ascii="仿宋" w:hAnsi="仿宋" w:eastAsia="仿宋" w:cs="仿宋"/>
                <w:color w:val="auto"/>
                <w:spacing w:val="0"/>
                <w:sz w:val="24"/>
                <w:szCs w:val="24"/>
                <w:highlight w:val="none"/>
                <w:lang w:val="en-US" w:eastAsia="zh-CN"/>
              </w:rPr>
              <w:t>2</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0CC361C">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报价方式</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626656DC">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sz w:val="24"/>
                <w:szCs w:val="24"/>
              </w:rPr>
            </w:pPr>
            <w:r>
              <w:rPr>
                <w:rFonts w:hint="eastAsia"/>
                <w:sz w:val="24"/>
                <w:szCs w:val="24"/>
              </w:rPr>
              <w:t>固定价，以人民币作为计价。</w:t>
            </w:r>
          </w:p>
          <w:p w14:paraId="59043509">
            <w:pPr>
              <w:pStyle w:val="15"/>
              <w:rPr>
                <w:rFonts w:hint="eastAsia"/>
              </w:rPr>
            </w:pPr>
          </w:p>
        </w:tc>
      </w:tr>
      <w:tr w14:paraId="5019A652">
        <w:tblPrEx>
          <w:tblCellMar>
            <w:top w:w="0" w:type="dxa"/>
            <w:left w:w="108" w:type="dxa"/>
            <w:bottom w:w="49" w:type="dxa"/>
            <w:right w:w="115" w:type="dxa"/>
          </w:tblCellMar>
        </w:tblPrEx>
        <w:trPr>
          <w:trHeight w:val="449"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182919F5">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3.2.</w:t>
            </w:r>
            <w:r>
              <w:rPr>
                <w:rFonts w:hint="eastAsia" w:ascii="仿宋" w:hAnsi="仿宋" w:eastAsia="仿宋" w:cs="仿宋"/>
                <w:color w:val="auto"/>
                <w:spacing w:val="0"/>
                <w:sz w:val="24"/>
                <w:szCs w:val="24"/>
                <w:highlight w:val="none"/>
                <w:lang w:val="en-US" w:eastAsia="zh-CN"/>
              </w:rPr>
              <w:t>3</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1662AF1D">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最高限价</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29E76429">
            <w:pPr>
              <w:keepNext w:val="0"/>
              <w:keepLines w:val="0"/>
              <w:pageBreakBefore w:val="0"/>
              <w:widowControl w:val="0"/>
              <w:kinsoku/>
              <w:wordWrap/>
              <w:overflowPunct/>
              <w:topLinePunct w:val="0"/>
              <w:bidi w:val="0"/>
              <w:spacing w:beforeAutospacing="0" w:after="0" w:afterAutospacing="0" w:line="240" w:lineRule="auto"/>
              <w:ind w:right="0"/>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b w:val="0"/>
                <w:bCs w:val="0"/>
                <w:i w:val="0"/>
                <w:iCs w:val="0"/>
                <w:caps w:val="0"/>
                <w:color w:val="auto"/>
                <w:spacing w:val="0"/>
                <w:kern w:val="0"/>
                <w:sz w:val="27"/>
                <w:szCs w:val="27"/>
                <w:highlight w:val="none"/>
                <w:lang w:val="en-US" w:eastAsia="zh-CN" w:bidi="ar"/>
              </w:rPr>
              <w:t>200000.00元</w:t>
            </w:r>
          </w:p>
        </w:tc>
      </w:tr>
      <w:tr w14:paraId="0D103539">
        <w:tblPrEx>
          <w:tblCellMar>
            <w:top w:w="0" w:type="dxa"/>
            <w:left w:w="108" w:type="dxa"/>
            <w:bottom w:w="49" w:type="dxa"/>
            <w:right w:w="115" w:type="dxa"/>
          </w:tblCellMar>
        </w:tblPrEx>
        <w:trPr>
          <w:trHeight w:val="432"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1610574C">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3.2.</w:t>
            </w:r>
            <w:r>
              <w:rPr>
                <w:rFonts w:hint="eastAsia" w:ascii="仿宋" w:hAnsi="仿宋" w:eastAsia="仿宋" w:cs="仿宋"/>
                <w:color w:val="auto"/>
                <w:spacing w:val="0"/>
                <w:sz w:val="24"/>
                <w:szCs w:val="24"/>
                <w:highlight w:val="none"/>
                <w:lang w:val="en-US" w:eastAsia="zh-CN"/>
              </w:rPr>
              <w:t>4</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B82DF0C">
            <w:pPr>
              <w:keepNext w:val="0"/>
              <w:keepLines w:val="0"/>
              <w:pageBreakBefore w:val="0"/>
              <w:widowControl w:val="0"/>
              <w:kinsoku/>
              <w:wordWrap/>
              <w:overflowPunct/>
              <w:topLinePunct w:val="0"/>
              <w:bidi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投标报价的其他要求</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35D99884">
            <w:pPr>
              <w:keepNext w:val="0"/>
              <w:keepLines w:val="0"/>
              <w:pageBreakBefore w:val="0"/>
              <w:widowControl w:val="0"/>
              <w:kinsoku/>
              <w:wordWrap/>
              <w:overflowPunct/>
              <w:topLinePunct w:val="0"/>
              <w:bidi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rPr>
            </w:pPr>
            <w:r>
              <w:rPr>
                <w:rFonts w:hint="eastAsia"/>
                <w:sz w:val="24"/>
                <w:szCs w:val="24"/>
                <w:highlight w:val="none"/>
              </w:rPr>
              <w:t>本次招标采用总价包干形式，成交价格即为项目最终结算价，后期除因招标人提出的重大设计变更或不可抗力因素外，不再产生任何额外费用，由此产生的一切风险由中标人自行承担。</w:t>
            </w:r>
          </w:p>
        </w:tc>
      </w:tr>
      <w:tr w14:paraId="3ACFBD91">
        <w:tblPrEx>
          <w:tblCellMar>
            <w:top w:w="0" w:type="dxa"/>
            <w:left w:w="108" w:type="dxa"/>
            <w:bottom w:w="49" w:type="dxa"/>
            <w:right w:w="115" w:type="dxa"/>
          </w:tblCellMar>
        </w:tblPrEx>
        <w:trPr>
          <w:trHeight w:val="432"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1EA09C79">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3.3.1</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94AE62F">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投标有效期</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478D6BC2">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自投标截止时间止起：</w:t>
            </w:r>
            <w:r>
              <w:rPr>
                <w:rFonts w:hint="eastAsia" w:ascii="仿宋" w:hAnsi="仿宋" w:eastAsia="仿宋" w:cs="仿宋"/>
                <w:color w:val="auto"/>
                <w:spacing w:val="0"/>
                <w:sz w:val="24"/>
                <w:szCs w:val="24"/>
                <w:highlight w:val="none"/>
                <w:u w:val="single"/>
              </w:rPr>
              <w:t>90</w:t>
            </w:r>
            <w:r>
              <w:rPr>
                <w:rFonts w:hint="eastAsia" w:ascii="仿宋" w:hAnsi="仿宋" w:eastAsia="仿宋" w:cs="仿宋"/>
                <w:color w:val="auto"/>
                <w:spacing w:val="0"/>
                <w:sz w:val="24"/>
                <w:szCs w:val="24"/>
                <w:highlight w:val="none"/>
              </w:rPr>
              <w:t>日历天</w:t>
            </w:r>
          </w:p>
        </w:tc>
      </w:tr>
      <w:tr w14:paraId="1D7E01E1">
        <w:tblPrEx>
          <w:tblCellMar>
            <w:top w:w="0" w:type="dxa"/>
            <w:left w:w="108" w:type="dxa"/>
            <w:bottom w:w="49" w:type="dxa"/>
            <w:right w:w="115" w:type="dxa"/>
          </w:tblCellMar>
        </w:tblPrEx>
        <w:trPr>
          <w:trHeight w:val="784"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3C850CAF">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3.4.</w:t>
            </w:r>
            <w:r>
              <w:rPr>
                <w:rFonts w:hint="eastAsia" w:ascii="仿宋" w:hAnsi="仿宋" w:eastAsia="仿宋" w:cs="仿宋"/>
                <w:color w:val="auto"/>
                <w:spacing w:val="0"/>
                <w:sz w:val="24"/>
                <w:szCs w:val="24"/>
                <w:highlight w:val="none"/>
                <w:lang w:val="en-US" w:eastAsia="zh-CN"/>
              </w:rPr>
              <w:t>1</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7585FAD1">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不予退还投标保证金的情形</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773A6656">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（1）供应商在投标有效期内撤销</w:t>
            </w:r>
            <w:r>
              <w:rPr>
                <w:rFonts w:hint="eastAsia" w:ascii="仿宋" w:hAnsi="仿宋" w:eastAsia="仿宋" w:cs="仿宋"/>
                <w:color w:val="auto"/>
                <w:spacing w:val="0"/>
                <w:sz w:val="24"/>
                <w:szCs w:val="24"/>
                <w:highlight w:val="none"/>
                <w:lang w:val="en-US" w:eastAsia="zh-CN"/>
              </w:rPr>
              <w:t>响应</w:t>
            </w:r>
            <w:r>
              <w:rPr>
                <w:rFonts w:hint="eastAsia" w:ascii="仿宋" w:hAnsi="仿宋" w:eastAsia="仿宋" w:cs="仿宋"/>
                <w:color w:val="auto"/>
                <w:spacing w:val="0"/>
                <w:sz w:val="24"/>
                <w:szCs w:val="24"/>
                <w:highlight w:val="none"/>
                <w:lang w:eastAsia="zh-CN"/>
              </w:rPr>
              <w:t>文件；</w:t>
            </w:r>
          </w:p>
          <w:p w14:paraId="1076BCAC">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（2）中标人在收到中标通知书后，无正当理由不与采购人订立合同，在签订合同时向采购人提出附加条件，或者不按照竞争性磋商要求提交履约保证金；</w:t>
            </w:r>
          </w:p>
          <w:p w14:paraId="64592744">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在其</w:t>
            </w:r>
            <w:r>
              <w:rPr>
                <w:rFonts w:hint="eastAsia" w:ascii="仿宋" w:hAnsi="仿宋" w:eastAsia="仿宋" w:cs="仿宋"/>
                <w:color w:val="auto"/>
                <w:spacing w:val="0"/>
                <w:sz w:val="24"/>
                <w:szCs w:val="24"/>
                <w:highlight w:val="none"/>
                <w:lang w:eastAsia="zh-CN"/>
              </w:rPr>
              <w:t>磋商文件</w:t>
            </w:r>
            <w:r>
              <w:rPr>
                <w:rFonts w:hint="eastAsia" w:ascii="仿宋" w:hAnsi="仿宋" w:eastAsia="仿宋" w:cs="仿宋"/>
                <w:color w:val="auto"/>
                <w:spacing w:val="0"/>
                <w:sz w:val="24"/>
                <w:szCs w:val="24"/>
                <w:highlight w:val="none"/>
              </w:rPr>
              <w:t>中提供虚假资料。</w:t>
            </w:r>
          </w:p>
        </w:tc>
      </w:tr>
      <w:tr w14:paraId="1B5E0238">
        <w:tblPrEx>
          <w:tblCellMar>
            <w:top w:w="0" w:type="dxa"/>
            <w:left w:w="108" w:type="dxa"/>
            <w:bottom w:w="49" w:type="dxa"/>
            <w:right w:w="115" w:type="dxa"/>
          </w:tblCellMar>
        </w:tblPrEx>
        <w:trPr>
          <w:trHeight w:val="432"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525C4A60">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3.5.2</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008CAC52">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近年财务状况的年份要求</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5BFE1061">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近3年(指2022年度、2023年度、2024年度)</w:t>
            </w:r>
          </w:p>
        </w:tc>
      </w:tr>
      <w:tr w14:paraId="6018256A">
        <w:tblPrEx>
          <w:tblCellMar>
            <w:top w:w="0" w:type="dxa"/>
            <w:left w:w="108" w:type="dxa"/>
            <w:bottom w:w="49" w:type="dxa"/>
            <w:right w:w="115" w:type="dxa"/>
          </w:tblCellMar>
        </w:tblPrEx>
        <w:trPr>
          <w:trHeight w:val="432" w:hRule="atLeast"/>
        </w:trPr>
        <w:tc>
          <w:tcPr>
            <w:tcW w:w="860" w:type="dxa"/>
            <w:tcBorders>
              <w:top w:val="single" w:color="000000" w:sz="4" w:space="0"/>
              <w:left w:val="single" w:color="000000" w:sz="4" w:space="0"/>
              <w:right w:val="single" w:color="000000" w:sz="4" w:space="0"/>
            </w:tcBorders>
            <w:noWrap w:val="0"/>
            <w:vAlign w:val="center"/>
          </w:tcPr>
          <w:p w14:paraId="58797427">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3.5.3</w:t>
            </w:r>
          </w:p>
        </w:tc>
        <w:tc>
          <w:tcPr>
            <w:tcW w:w="2241" w:type="dxa"/>
            <w:tcBorders>
              <w:top w:val="single" w:color="000000" w:sz="4" w:space="0"/>
              <w:left w:val="single" w:color="000000" w:sz="4" w:space="0"/>
              <w:right w:val="single" w:color="000000" w:sz="4" w:space="0"/>
            </w:tcBorders>
            <w:noWrap w:val="0"/>
            <w:vAlign w:val="center"/>
          </w:tcPr>
          <w:p w14:paraId="5CECCC38">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近年完成的类似项目时间要求</w:t>
            </w:r>
          </w:p>
        </w:tc>
        <w:tc>
          <w:tcPr>
            <w:tcW w:w="5679" w:type="dxa"/>
            <w:tcBorders>
              <w:top w:val="single" w:color="000000" w:sz="4" w:space="0"/>
              <w:left w:val="single" w:color="000000" w:sz="4" w:space="0"/>
              <w:right w:val="single" w:color="000000" w:sz="4" w:space="0"/>
            </w:tcBorders>
            <w:noWrap w:val="0"/>
            <w:vAlign w:val="center"/>
          </w:tcPr>
          <w:p w14:paraId="50F20EF8">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近三年</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2022年07月至投标截止时间，以合同签订时间为准</w:t>
            </w:r>
            <w:r>
              <w:rPr>
                <w:rFonts w:hint="eastAsia" w:ascii="仿宋" w:hAnsi="仿宋" w:eastAsia="仿宋" w:cs="仿宋"/>
                <w:color w:val="auto"/>
                <w:spacing w:val="0"/>
                <w:sz w:val="24"/>
                <w:szCs w:val="24"/>
                <w:highlight w:val="none"/>
                <w:lang w:eastAsia="zh-CN"/>
              </w:rPr>
              <w:t>）</w:t>
            </w:r>
          </w:p>
        </w:tc>
      </w:tr>
      <w:tr w14:paraId="2DE17096">
        <w:tblPrEx>
          <w:tblCellMar>
            <w:top w:w="0" w:type="dxa"/>
            <w:left w:w="108" w:type="dxa"/>
            <w:bottom w:w="49" w:type="dxa"/>
            <w:right w:w="115" w:type="dxa"/>
          </w:tblCellMar>
        </w:tblPrEx>
        <w:trPr>
          <w:trHeight w:val="154" w:hRule="atLeast"/>
        </w:trPr>
        <w:tc>
          <w:tcPr>
            <w:tcW w:w="860" w:type="dxa"/>
            <w:tcBorders>
              <w:top w:val="single" w:color="000000" w:sz="4" w:space="0"/>
              <w:left w:val="single" w:color="000000" w:sz="4" w:space="0"/>
              <w:right w:val="single" w:color="000000" w:sz="4" w:space="0"/>
            </w:tcBorders>
            <w:noWrap w:val="0"/>
            <w:vAlign w:val="center"/>
          </w:tcPr>
          <w:p w14:paraId="5E533E14">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3.5.5</w:t>
            </w:r>
          </w:p>
        </w:tc>
        <w:tc>
          <w:tcPr>
            <w:tcW w:w="2241" w:type="dxa"/>
            <w:tcBorders>
              <w:top w:val="single" w:color="000000" w:sz="4" w:space="0"/>
              <w:left w:val="single" w:color="000000" w:sz="4" w:space="0"/>
              <w:right w:val="single" w:color="000000" w:sz="4" w:space="0"/>
            </w:tcBorders>
            <w:noWrap w:val="0"/>
            <w:vAlign w:val="center"/>
          </w:tcPr>
          <w:p w14:paraId="6AFCAF15">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近年发生的诉讼及仲裁</w:t>
            </w:r>
          </w:p>
        </w:tc>
        <w:tc>
          <w:tcPr>
            <w:tcW w:w="5679" w:type="dxa"/>
            <w:tcBorders>
              <w:top w:val="single" w:color="000000" w:sz="4" w:space="0"/>
              <w:left w:val="single" w:color="000000" w:sz="4" w:space="0"/>
              <w:right w:val="single" w:color="000000" w:sz="4" w:space="0"/>
            </w:tcBorders>
            <w:noWrap w:val="0"/>
            <w:vAlign w:val="center"/>
          </w:tcPr>
          <w:p w14:paraId="257DCD11">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近三年</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2022年07月至投标截止时间</w:t>
            </w:r>
            <w:r>
              <w:rPr>
                <w:rFonts w:hint="eastAsia" w:ascii="仿宋" w:hAnsi="仿宋" w:eastAsia="仿宋" w:cs="仿宋"/>
                <w:color w:val="auto"/>
                <w:spacing w:val="0"/>
                <w:sz w:val="24"/>
                <w:szCs w:val="24"/>
                <w:highlight w:val="none"/>
                <w:lang w:eastAsia="zh-CN"/>
              </w:rPr>
              <w:t>）</w:t>
            </w:r>
          </w:p>
        </w:tc>
      </w:tr>
      <w:tr w14:paraId="05C26019">
        <w:tblPrEx>
          <w:tblCellMar>
            <w:top w:w="0" w:type="dxa"/>
            <w:left w:w="108" w:type="dxa"/>
            <w:bottom w:w="49" w:type="dxa"/>
            <w:right w:w="115" w:type="dxa"/>
          </w:tblCellMar>
        </w:tblPrEx>
        <w:trPr>
          <w:trHeight w:val="432"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28658CBD">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3.6.1</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266301D5">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是否允许递交备选投标方案</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0CEF8E42">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不允许</w:t>
            </w:r>
          </w:p>
        </w:tc>
      </w:tr>
      <w:tr w14:paraId="73344923">
        <w:tblPrEx>
          <w:tblCellMar>
            <w:top w:w="0" w:type="dxa"/>
            <w:left w:w="108" w:type="dxa"/>
            <w:bottom w:w="49" w:type="dxa"/>
            <w:right w:w="115" w:type="dxa"/>
          </w:tblCellMar>
        </w:tblPrEx>
        <w:trPr>
          <w:trHeight w:val="1373" w:hRule="atLeast"/>
        </w:trPr>
        <w:tc>
          <w:tcPr>
            <w:tcW w:w="860" w:type="dxa"/>
            <w:tcBorders>
              <w:top w:val="single" w:color="000000" w:sz="4" w:space="0"/>
              <w:left w:val="single" w:color="000000" w:sz="4" w:space="0"/>
              <w:bottom w:val="single" w:color="auto" w:sz="4" w:space="0"/>
              <w:right w:val="single" w:color="000000" w:sz="4" w:space="0"/>
            </w:tcBorders>
            <w:noWrap w:val="0"/>
            <w:vAlign w:val="center"/>
          </w:tcPr>
          <w:p w14:paraId="7BC4E7CE">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3.7.</w:t>
            </w:r>
            <w:r>
              <w:rPr>
                <w:rFonts w:hint="eastAsia" w:ascii="仿宋" w:hAnsi="仿宋" w:eastAsia="仿宋" w:cs="仿宋"/>
                <w:color w:val="auto"/>
                <w:spacing w:val="0"/>
                <w:sz w:val="24"/>
                <w:szCs w:val="24"/>
                <w:highlight w:val="none"/>
                <w:lang w:val="en-US" w:eastAsia="zh-CN"/>
              </w:rPr>
              <w:t>1</w:t>
            </w:r>
          </w:p>
        </w:tc>
        <w:tc>
          <w:tcPr>
            <w:tcW w:w="2241" w:type="dxa"/>
            <w:tcBorders>
              <w:top w:val="single" w:color="000000" w:sz="4" w:space="0"/>
              <w:left w:val="single" w:color="000000" w:sz="4" w:space="0"/>
              <w:bottom w:val="single" w:color="auto" w:sz="4" w:space="0"/>
              <w:right w:val="single" w:color="000000" w:sz="4" w:space="0"/>
            </w:tcBorders>
            <w:noWrap w:val="0"/>
            <w:vAlign w:val="center"/>
          </w:tcPr>
          <w:p w14:paraId="4BD8357F">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磋商文件</w:t>
            </w:r>
            <w:r>
              <w:rPr>
                <w:rFonts w:hint="eastAsia" w:ascii="仿宋" w:hAnsi="仿宋" w:eastAsia="仿宋" w:cs="仿宋"/>
                <w:color w:val="auto"/>
                <w:spacing w:val="0"/>
                <w:sz w:val="24"/>
                <w:szCs w:val="24"/>
                <w:highlight w:val="none"/>
              </w:rPr>
              <w:t>副本份数及其他要求</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7F8BFC87">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本项目为电子标，电子投标文件的内容按要求进行签章。未按要求进行数字证书认证的响应文件，电子评标系统将无法接受,采购单位不予受理。</w:t>
            </w:r>
          </w:p>
          <w:p w14:paraId="06CB2678">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b/>
                <w:bCs/>
                <w:color w:val="auto"/>
                <w:spacing w:val="0"/>
                <w:sz w:val="24"/>
                <w:szCs w:val="24"/>
                <w:highlight w:val="none"/>
              </w:rPr>
              <w:t>纸质版投标文件</w:t>
            </w:r>
            <w:r>
              <w:rPr>
                <w:rFonts w:hint="eastAsia" w:ascii="仿宋" w:hAnsi="仿宋" w:eastAsia="仿宋" w:cs="仿宋"/>
                <w:b w:val="0"/>
                <w:bCs w:val="0"/>
                <w:color w:val="auto"/>
                <w:spacing w:val="0"/>
                <w:sz w:val="24"/>
                <w:szCs w:val="24"/>
                <w:highlight w:val="none"/>
              </w:rPr>
              <w:t>按要求装订；</w:t>
            </w:r>
            <w:r>
              <w:rPr>
                <w:rFonts w:hint="eastAsia" w:ascii="仿宋" w:hAnsi="仿宋" w:eastAsia="仿宋" w:cs="仿宋"/>
                <w:color w:val="auto"/>
                <w:spacing w:val="0"/>
                <w:sz w:val="24"/>
                <w:szCs w:val="24"/>
                <w:highlight w:val="none"/>
              </w:rPr>
              <w:t>中标单位在领取中标通知书时提供纸质版投标文件三份（一正两副）、以U盘为介质的电子版响应文件一份</w:t>
            </w:r>
            <w:r>
              <w:rPr>
                <w:rFonts w:hint="eastAsia" w:ascii="仿宋" w:hAnsi="仿宋" w:eastAsia="仿宋" w:cs="仿宋"/>
                <w:color w:val="auto"/>
                <w:spacing w:val="0"/>
                <w:sz w:val="24"/>
                <w:szCs w:val="24"/>
                <w:highlight w:val="none"/>
                <w:lang w:eastAsia="zh-CN"/>
              </w:rPr>
              <w:t>。</w:t>
            </w:r>
          </w:p>
        </w:tc>
      </w:tr>
      <w:tr w14:paraId="0C6EDAA7">
        <w:tblPrEx>
          <w:tblCellMar>
            <w:top w:w="0" w:type="dxa"/>
            <w:left w:w="108" w:type="dxa"/>
            <w:bottom w:w="49" w:type="dxa"/>
            <w:right w:w="115" w:type="dxa"/>
          </w:tblCellMar>
        </w:tblPrEx>
        <w:trPr>
          <w:trHeight w:val="1014" w:hRule="atLeast"/>
        </w:trPr>
        <w:tc>
          <w:tcPr>
            <w:tcW w:w="860" w:type="dxa"/>
            <w:tcBorders>
              <w:top w:val="single" w:color="auto" w:sz="4" w:space="0"/>
              <w:left w:val="single" w:color="000000" w:sz="4" w:space="0"/>
              <w:bottom w:val="single" w:color="auto" w:sz="4" w:space="0"/>
              <w:right w:val="single" w:color="000000" w:sz="4" w:space="0"/>
            </w:tcBorders>
            <w:noWrap w:val="0"/>
            <w:vAlign w:val="center"/>
          </w:tcPr>
          <w:p w14:paraId="4632CA76">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3.7.2</w:t>
            </w:r>
          </w:p>
        </w:tc>
        <w:tc>
          <w:tcPr>
            <w:tcW w:w="2241" w:type="dxa"/>
            <w:tcBorders>
              <w:top w:val="single" w:color="auto" w:sz="4" w:space="0"/>
              <w:left w:val="single" w:color="000000" w:sz="4" w:space="0"/>
              <w:bottom w:val="single" w:color="auto" w:sz="4" w:space="0"/>
              <w:right w:val="single" w:color="000000" w:sz="4" w:space="0"/>
            </w:tcBorders>
            <w:noWrap w:val="0"/>
            <w:vAlign w:val="center"/>
          </w:tcPr>
          <w:p w14:paraId="644E39B4">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磋商文件</w:t>
            </w:r>
            <w:r>
              <w:rPr>
                <w:rFonts w:hint="eastAsia" w:ascii="仿宋" w:hAnsi="仿宋" w:eastAsia="仿宋" w:cs="仿宋"/>
                <w:color w:val="auto"/>
                <w:spacing w:val="0"/>
                <w:sz w:val="24"/>
                <w:szCs w:val="24"/>
                <w:highlight w:val="none"/>
              </w:rPr>
              <w:t>是否需分册装订</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72B31876">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需要，分册装订要求：</w:t>
            </w:r>
            <w:r>
              <w:rPr>
                <w:rFonts w:hint="eastAsia" w:ascii="仿宋" w:hAnsi="仿宋" w:eastAsia="仿宋" w:cs="仿宋"/>
                <w:color w:val="auto"/>
                <w:spacing w:val="0"/>
                <w:sz w:val="24"/>
                <w:szCs w:val="24"/>
                <w:highlight w:val="none"/>
                <w:lang w:eastAsia="zh-CN"/>
              </w:rPr>
              <w:t>磋商文件文本</w:t>
            </w:r>
            <w:r>
              <w:rPr>
                <w:rFonts w:hint="eastAsia" w:ascii="仿宋" w:hAnsi="仿宋" w:eastAsia="仿宋" w:cs="仿宋"/>
                <w:color w:val="auto"/>
                <w:spacing w:val="0"/>
                <w:sz w:val="24"/>
                <w:szCs w:val="24"/>
                <w:highlight w:val="none"/>
              </w:rPr>
              <w:t>应分册装订，并</w:t>
            </w:r>
            <w:r>
              <w:rPr>
                <w:rFonts w:hint="eastAsia" w:ascii="仿宋" w:hAnsi="仿宋" w:eastAsia="仿宋" w:cs="仿宋"/>
                <w:color w:val="auto"/>
                <w:spacing w:val="0"/>
                <w:sz w:val="24"/>
                <w:szCs w:val="24"/>
                <w:highlight w:val="none"/>
                <w:lang w:val="en-US" w:eastAsia="zh-CN"/>
              </w:rPr>
              <w:t>分</w:t>
            </w:r>
            <w:r>
              <w:rPr>
                <w:rFonts w:hint="eastAsia" w:ascii="仿宋" w:hAnsi="仿宋" w:eastAsia="仿宋" w:cs="仿宋"/>
                <w:color w:val="auto"/>
                <w:spacing w:val="0"/>
                <w:sz w:val="24"/>
                <w:szCs w:val="24"/>
                <w:highlight w:val="none"/>
              </w:rPr>
              <w:t>别胶装成册，并按</w:t>
            </w:r>
            <w:r>
              <w:rPr>
                <w:rFonts w:hint="eastAsia" w:ascii="仿宋" w:hAnsi="仿宋" w:eastAsia="仿宋" w:cs="仿宋"/>
                <w:color w:val="auto"/>
                <w:spacing w:val="0"/>
                <w:sz w:val="24"/>
                <w:szCs w:val="24"/>
                <w:highlight w:val="none"/>
                <w:lang w:eastAsia="zh-CN"/>
              </w:rPr>
              <w:t>磋商文件</w:t>
            </w:r>
            <w:r>
              <w:rPr>
                <w:rFonts w:hint="eastAsia" w:ascii="仿宋" w:hAnsi="仿宋" w:eastAsia="仿宋" w:cs="仿宋"/>
                <w:color w:val="auto"/>
                <w:spacing w:val="0"/>
                <w:sz w:val="24"/>
                <w:szCs w:val="24"/>
                <w:highlight w:val="none"/>
              </w:rPr>
              <w:t>相应的内容编制目录，逐页按顺序标注页码，并不得采用活页装订</w:t>
            </w:r>
            <w:r>
              <w:rPr>
                <w:rFonts w:hint="eastAsia" w:ascii="仿宋" w:hAnsi="仿宋" w:eastAsia="仿宋" w:cs="仿宋"/>
                <w:color w:val="0000FF"/>
                <w:spacing w:val="0"/>
                <w:sz w:val="24"/>
                <w:szCs w:val="24"/>
                <w:highlight w:val="none"/>
                <w:lang w:eastAsia="zh-CN"/>
              </w:rPr>
              <w:t>（不得单面打印）</w:t>
            </w:r>
            <w:r>
              <w:rPr>
                <w:rFonts w:hint="eastAsia" w:ascii="仿宋" w:hAnsi="仿宋" w:eastAsia="仿宋" w:cs="仿宋"/>
                <w:color w:val="auto"/>
                <w:spacing w:val="0"/>
                <w:sz w:val="24"/>
                <w:szCs w:val="24"/>
                <w:highlight w:val="none"/>
              </w:rPr>
              <w:t>。</w:t>
            </w:r>
          </w:p>
        </w:tc>
      </w:tr>
      <w:tr w14:paraId="3F10FD7E">
        <w:tblPrEx>
          <w:tblCellMar>
            <w:top w:w="0" w:type="dxa"/>
            <w:left w:w="108" w:type="dxa"/>
            <w:bottom w:w="49" w:type="dxa"/>
            <w:right w:w="115" w:type="dxa"/>
          </w:tblCellMar>
        </w:tblPrEx>
        <w:trPr>
          <w:trHeight w:val="432" w:hRule="atLeast"/>
        </w:trPr>
        <w:tc>
          <w:tcPr>
            <w:tcW w:w="860" w:type="dxa"/>
            <w:tcBorders>
              <w:top w:val="single" w:color="auto" w:sz="4" w:space="0"/>
              <w:left w:val="single" w:color="000000" w:sz="4" w:space="0"/>
              <w:bottom w:val="single" w:color="000000" w:sz="4" w:space="0"/>
              <w:right w:val="single" w:color="000000" w:sz="4" w:space="0"/>
            </w:tcBorders>
            <w:noWrap w:val="0"/>
            <w:vAlign w:val="center"/>
          </w:tcPr>
          <w:p w14:paraId="1F7FC731">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3.7.3</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EE2B33A">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磋商文件</w:t>
            </w:r>
            <w:r>
              <w:rPr>
                <w:rFonts w:hint="eastAsia" w:ascii="仿宋" w:hAnsi="仿宋" w:eastAsia="仿宋" w:cs="仿宋"/>
                <w:color w:val="auto"/>
                <w:spacing w:val="0"/>
                <w:sz w:val="24"/>
                <w:szCs w:val="24"/>
                <w:highlight w:val="none"/>
              </w:rPr>
              <w:t>签字或盖章要求</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636905A6">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按竞争性磋商中的“</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须知正文”的规定</w:t>
            </w:r>
          </w:p>
        </w:tc>
      </w:tr>
      <w:tr w14:paraId="0B4616A9">
        <w:tblPrEx>
          <w:tblCellMar>
            <w:top w:w="0" w:type="dxa"/>
            <w:left w:w="108" w:type="dxa"/>
            <w:bottom w:w="49" w:type="dxa"/>
            <w:right w:w="115" w:type="dxa"/>
          </w:tblCellMar>
        </w:tblPrEx>
        <w:trPr>
          <w:trHeight w:val="411"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58573058">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4.2.1</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434B4DAF">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磋商</w:t>
            </w:r>
            <w:r>
              <w:rPr>
                <w:rFonts w:hint="eastAsia" w:ascii="仿宋" w:hAnsi="仿宋" w:eastAsia="仿宋" w:cs="仿宋"/>
                <w:color w:val="auto"/>
                <w:spacing w:val="0"/>
                <w:sz w:val="24"/>
                <w:szCs w:val="24"/>
                <w:highlight w:val="none"/>
              </w:rPr>
              <w:t>截止时间</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26FAF894">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于</w:t>
            </w:r>
            <w:r>
              <w:rPr>
                <w:rFonts w:hint="eastAsia" w:ascii="仿宋" w:hAnsi="仿宋" w:eastAsia="仿宋" w:cs="仿宋"/>
                <w:i w:val="0"/>
                <w:iCs w:val="0"/>
                <w:caps w:val="0"/>
                <w:color w:val="auto"/>
                <w:spacing w:val="0"/>
                <w:sz w:val="27"/>
                <w:szCs w:val="27"/>
                <w:highlight w:val="none"/>
                <w:lang w:eastAsia="zh-CN"/>
              </w:rPr>
              <w:t>2025年07月28日16:30</w:t>
            </w:r>
            <w:r>
              <w:rPr>
                <w:rFonts w:hint="eastAsia" w:ascii="仿宋" w:hAnsi="仿宋" w:eastAsia="仿宋" w:cs="仿宋"/>
                <w:color w:val="auto"/>
                <w:spacing w:val="0"/>
                <w:sz w:val="24"/>
                <w:szCs w:val="24"/>
                <w:highlight w:val="none"/>
                <w:lang w:eastAsia="zh-CN"/>
              </w:rPr>
              <w:t>（北京时间）</w:t>
            </w:r>
            <w:r>
              <w:rPr>
                <w:rFonts w:hint="eastAsia" w:ascii="仿宋" w:hAnsi="仿宋" w:eastAsia="仿宋" w:cs="仿宋"/>
                <w:color w:val="auto"/>
                <w:spacing w:val="0"/>
                <w:sz w:val="24"/>
                <w:szCs w:val="24"/>
                <w:highlight w:val="none"/>
              </w:rPr>
              <w:t>时截止</w:t>
            </w:r>
          </w:p>
        </w:tc>
      </w:tr>
      <w:tr w14:paraId="6D6F2EED">
        <w:tblPrEx>
          <w:tblCellMar>
            <w:top w:w="0" w:type="dxa"/>
            <w:left w:w="108" w:type="dxa"/>
            <w:bottom w:w="49" w:type="dxa"/>
            <w:right w:w="115" w:type="dxa"/>
          </w:tblCellMar>
        </w:tblPrEx>
        <w:trPr>
          <w:trHeight w:val="489"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7176F3AB">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4.2.2</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1475FC7B">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递交</w:t>
            </w:r>
            <w:r>
              <w:rPr>
                <w:rFonts w:hint="eastAsia" w:ascii="仿宋" w:hAnsi="仿宋" w:eastAsia="仿宋" w:cs="仿宋"/>
                <w:color w:val="auto"/>
                <w:spacing w:val="0"/>
                <w:sz w:val="24"/>
                <w:szCs w:val="24"/>
                <w:highlight w:val="none"/>
                <w:lang w:val="en-US" w:eastAsia="zh-CN"/>
              </w:rPr>
              <w:t>磋商</w:t>
            </w:r>
            <w:r>
              <w:rPr>
                <w:rFonts w:hint="eastAsia" w:ascii="仿宋" w:hAnsi="仿宋" w:eastAsia="仿宋" w:cs="仿宋"/>
                <w:color w:val="auto"/>
                <w:spacing w:val="0"/>
                <w:sz w:val="24"/>
                <w:szCs w:val="24"/>
                <w:highlight w:val="none"/>
              </w:rPr>
              <w:t>文件地点</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79311657">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政采云平台（http://www.ccgp-xinjiang.gov.cn//），供应商应于</w:t>
            </w:r>
            <w:r>
              <w:rPr>
                <w:rFonts w:hint="eastAsia" w:ascii="仿宋" w:hAnsi="仿宋" w:eastAsia="仿宋" w:cs="仿宋"/>
                <w:color w:val="auto"/>
                <w:spacing w:val="0"/>
                <w:sz w:val="24"/>
                <w:szCs w:val="24"/>
                <w:highlight w:val="none"/>
                <w:lang w:eastAsia="zh-CN"/>
              </w:rPr>
              <w:t>2025年07月28日16:30</w:t>
            </w:r>
            <w:r>
              <w:rPr>
                <w:rFonts w:hint="eastAsia" w:ascii="仿宋" w:hAnsi="仿宋" w:eastAsia="仿宋" w:cs="仿宋"/>
                <w:color w:val="auto"/>
                <w:spacing w:val="0"/>
                <w:sz w:val="24"/>
                <w:szCs w:val="24"/>
                <w:highlight w:val="none"/>
                <w:lang w:val="en-US" w:eastAsia="zh-CN"/>
              </w:rPr>
              <w:t>时之前将电子响应文件上传到“政采云”平台。应按照本项目磋商文件和政采云平台的要求编制、加密传输响应文件。供应商在使用系统进行投标的过程中遇到涉及平台使用的任何问题，可致电政采云平台技术支持热线咨询，联系方式：95763。</w:t>
            </w:r>
          </w:p>
        </w:tc>
      </w:tr>
      <w:tr w14:paraId="10CD54E3">
        <w:tblPrEx>
          <w:tblCellMar>
            <w:top w:w="0" w:type="dxa"/>
            <w:left w:w="108" w:type="dxa"/>
            <w:bottom w:w="49" w:type="dxa"/>
            <w:right w:w="115" w:type="dxa"/>
          </w:tblCellMar>
        </w:tblPrEx>
        <w:trPr>
          <w:trHeight w:val="411"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50D7CF61">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4.2.3</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07AAA221">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磋商</w:t>
            </w:r>
            <w:r>
              <w:rPr>
                <w:rFonts w:hint="eastAsia" w:ascii="仿宋" w:hAnsi="仿宋" w:eastAsia="仿宋" w:cs="仿宋"/>
                <w:color w:val="auto"/>
                <w:spacing w:val="0"/>
                <w:sz w:val="24"/>
                <w:szCs w:val="24"/>
                <w:highlight w:val="none"/>
              </w:rPr>
              <w:t>文件是否退还</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786F7279">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否</w:t>
            </w:r>
          </w:p>
        </w:tc>
      </w:tr>
      <w:tr w14:paraId="6D31EF27">
        <w:tblPrEx>
          <w:tblCellMar>
            <w:top w:w="0" w:type="dxa"/>
            <w:left w:w="108" w:type="dxa"/>
            <w:bottom w:w="49" w:type="dxa"/>
            <w:right w:w="115" w:type="dxa"/>
          </w:tblCellMar>
        </w:tblPrEx>
        <w:trPr>
          <w:trHeight w:val="411"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124B50E0">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rPr>
              <w:t>5.1</w:t>
            </w:r>
            <w:r>
              <w:rPr>
                <w:rFonts w:hint="eastAsia" w:ascii="仿宋" w:hAnsi="仿宋" w:eastAsia="仿宋" w:cs="仿宋"/>
                <w:color w:val="auto"/>
                <w:spacing w:val="0"/>
                <w:sz w:val="24"/>
                <w:szCs w:val="24"/>
                <w:highlight w:val="none"/>
                <w:lang w:val="en-US" w:eastAsia="zh-CN"/>
              </w:rPr>
              <w:t>.1</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79DD4F2B">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开标时间和地点</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40A5C99F">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开标时间：同投标截止时间；开标地点：同递交</w:t>
            </w:r>
            <w:r>
              <w:rPr>
                <w:rFonts w:hint="eastAsia" w:ascii="仿宋" w:hAnsi="仿宋" w:eastAsia="仿宋" w:cs="仿宋"/>
                <w:color w:val="auto"/>
                <w:spacing w:val="0"/>
                <w:sz w:val="24"/>
                <w:szCs w:val="24"/>
                <w:highlight w:val="none"/>
                <w:lang w:val="en-US" w:eastAsia="zh-CN"/>
              </w:rPr>
              <w:t>磋商</w:t>
            </w:r>
            <w:r>
              <w:rPr>
                <w:rFonts w:hint="eastAsia" w:ascii="仿宋" w:hAnsi="仿宋" w:eastAsia="仿宋" w:cs="仿宋"/>
                <w:color w:val="auto"/>
                <w:spacing w:val="0"/>
                <w:sz w:val="24"/>
                <w:szCs w:val="24"/>
                <w:highlight w:val="none"/>
              </w:rPr>
              <w:t>文件地点</w:t>
            </w:r>
          </w:p>
        </w:tc>
      </w:tr>
      <w:tr w14:paraId="0AE7D220">
        <w:tblPrEx>
          <w:tblCellMar>
            <w:top w:w="0" w:type="dxa"/>
            <w:left w:w="108" w:type="dxa"/>
            <w:bottom w:w="49" w:type="dxa"/>
            <w:right w:w="115" w:type="dxa"/>
          </w:tblCellMar>
        </w:tblPrEx>
        <w:trPr>
          <w:trHeight w:val="411"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1FC87D28">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rPr>
              <w:t>5.2</w:t>
            </w:r>
            <w:r>
              <w:rPr>
                <w:rFonts w:hint="eastAsia" w:ascii="仿宋" w:hAnsi="仿宋" w:eastAsia="仿宋" w:cs="仿宋"/>
                <w:color w:val="auto"/>
                <w:spacing w:val="0"/>
                <w:sz w:val="24"/>
                <w:szCs w:val="24"/>
                <w:highlight w:val="none"/>
                <w:lang w:val="en-US" w:eastAsia="zh-CN"/>
              </w:rPr>
              <w:t>.1</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1DC7CEC7">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开标程序</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70B11697">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政府采购“全流程电子开评标”。</w:t>
            </w:r>
          </w:p>
        </w:tc>
      </w:tr>
      <w:tr w14:paraId="3867AE1F">
        <w:tblPrEx>
          <w:tblCellMar>
            <w:top w:w="0" w:type="dxa"/>
            <w:left w:w="108" w:type="dxa"/>
            <w:bottom w:w="49" w:type="dxa"/>
            <w:right w:w="115" w:type="dxa"/>
          </w:tblCellMar>
        </w:tblPrEx>
        <w:trPr>
          <w:trHeight w:val="933"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411B47D0">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6.1.1</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0A7C9C91">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评标委员会的组建</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24325BC5">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采购人</w:t>
            </w:r>
            <w:r>
              <w:rPr>
                <w:rFonts w:hint="eastAsia" w:ascii="仿宋" w:hAnsi="仿宋" w:eastAsia="仿宋" w:cs="仿宋"/>
                <w:color w:val="auto"/>
                <w:spacing w:val="0"/>
                <w:sz w:val="24"/>
                <w:szCs w:val="24"/>
                <w:highlight w:val="none"/>
              </w:rPr>
              <w:t>依法组建评标委员会。评标委员会成员由</w:t>
            </w:r>
            <w:r>
              <w:rPr>
                <w:rFonts w:hint="eastAsia" w:ascii="仿宋" w:hAnsi="仿宋" w:eastAsia="仿宋" w:cs="仿宋"/>
                <w:color w:val="auto"/>
                <w:spacing w:val="0"/>
                <w:sz w:val="24"/>
                <w:szCs w:val="24"/>
                <w:highlight w:val="none"/>
                <w:u w:val="single"/>
                <w:lang w:val="en-US" w:eastAsia="zh-CN"/>
              </w:rPr>
              <w:t>3</w:t>
            </w:r>
            <w:r>
              <w:rPr>
                <w:rFonts w:hint="eastAsia" w:ascii="仿宋" w:hAnsi="仿宋" w:eastAsia="仿宋" w:cs="仿宋"/>
                <w:color w:val="auto"/>
                <w:spacing w:val="0"/>
                <w:sz w:val="24"/>
                <w:szCs w:val="24"/>
                <w:highlight w:val="none"/>
              </w:rPr>
              <w:t>人构成，其中：</w:t>
            </w:r>
            <w:r>
              <w:rPr>
                <w:rFonts w:hint="eastAsia" w:ascii="仿宋" w:hAnsi="仿宋" w:eastAsia="仿宋" w:cs="仿宋"/>
                <w:color w:val="auto"/>
                <w:spacing w:val="0"/>
                <w:sz w:val="24"/>
                <w:szCs w:val="24"/>
                <w:highlight w:val="none"/>
                <w:lang w:eastAsia="zh-CN"/>
              </w:rPr>
              <w:t>采购人</w:t>
            </w:r>
            <w:r>
              <w:rPr>
                <w:rFonts w:hint="eastAsia" w:ascii="仿宋" w:hAnsi="仿宋" w:eastAsia="仿宋" w:cs="仿宋"/>
                <w:color w:val="auto"/>
                <w:spacing w:val="0"/>
                <w:sz w:val="24"/>
                <w:szCs w:val="24"/>
                <w:highlight w:val="none"/>
              </w:rPr>
              <w:t>代表</w:t>
            </w:r>
            <w:r>
              <w:rPr>
                <w:rFonts w:hint="eastAsia" w:ascii="仿宋" w:hAnsi="仿宋" w:eastAsia="仿宋" w:cs="仿宋"/>
                <w:color w:val="auto"/>
                <w:spacing w:val="0"/>
                <w:sz w:val="24"/>
                <w:szCs w:val="24"/>
                <w:highlight w:val="none"/>
                <w:u w:val="single"/>
                <w:lang w:val="en-US" w:eastAsia="zh-CN"/>
              </w:rPr>
              <w:t>0</w:t>
            </w:r>
            <w:r>
              <w:rPr>
                <w:rFonts w:hint="eastAsia" w:ascii="仿宋" w:hAnsi="仿宋" w:eastAsia="仿宋" w:cs="仿宋"/>
                <w:color w:val="auto"/>
                <w:spacing w:val="0"/>
                <w:sz w:val="24"/>
                <w:szCs w:val="24"/>
                <w:highlight w:val="none"/>
              </w:rPr>
              <w:t>人，经济及技术方面的专家</w:t>
            </w:r>
            <w:r>
              <w:rPr>
                <w:rFonts w:hint="eastAsia" w:ascii="仿宋" w:hAnsi="仿宋" w:eastAsia="仿宋" w:cs="仿宋"/>
                <w:color w:val="auto"/>
                <w:spacing w:val="0"/>
                <w:sz w:val="24"/>
                <w:szCs w:val="24"/>
                <w:highlight w:val="none"/>
                <w:u w:val="single"/>
                <w:lang w:val="en-US" w:eastAsia="zh-CN"/>
              </w:rPr>
              <w:t>3</w:t>
            </w:r>
            <w:r>
              <w:rPr>
                <w:rFonts w:hint="eastAsia" w:ascii="仿宋" w:hAnsi="仿宋" w:eastAsia="仿宋" w:cs="仿宋"/>
                <w:color w:val="auto"/>
                <w:spacing w:val="0"/>
                <w:sz w:val="24"/>
                <w:szCs w:val="24"/>
                <w:highlight w:val="none"/>
              </w:rPr>
              <w:t>人；经济及技术方面的专家由</w:t>
            </w:r>
            <w:r>
              <w:rPr>
                <w:rFonts w:hint="eastAsia" w:ascii="仿宋" w:hAnsi="仿宋" w:eastAsia="仿宋" w:cs="仿宋"/>
                <w:color w:val="auto"/>
                <w:spacing w:val="0"/>
                <w:sz w:val="24"/>
                <w:szCs w:val="24"/>
                <w:highlight w:val="none"/>
                <w:lang w:val="en-US" w:eastAsia="zh-CN"/>
              </w:rPr>
              <w:t>政府采购平台</w:t>
            </w:r>
            <w:r>
              <w:rPr>
                <w:rFonts w:hint="eastAsia" w:ascii="仿宋" w:hAnsi="仿宋" w:eastAsia="仿宋" w:cs="仿宋"/>
                <w:color w:val="auto"/>
                <w:spacing w:val="0"/>
                <w:sz w:val="24"/>
                <w:szCs w:val="24"/>
                <w:highlight w:val="none"/>
              </w:rPr>
              <w:t>专家库中随机抽取。</w:t>
            </w:r>
          </w:p>
        </w:tc>
      </w:tr>
      <w:tr w14:paraId="79B7A2A1">
        <w:tblPrEx>
          <w:tblCellMar>
            <w:top w:w="0" w:type="dxa"/>
            <w:left w:w="108" w:type="dxa"/>
            <w:bottom w:w="49" w:type="dxa"/>
            <w:right w:w="115" w:type="dxa"/>
          </w:tblCellMar>
        </w:tblPrEx>
        <w:trPr>
          <w:trHeight w:val="447"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4FC7F98E">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.2</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2635A4A4">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评委会推荐中标候选人的人数</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2BC917F1">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推荐中标候选人的数量为：</w:t>
            </w:r>
            <w:r>
              <w:rPr>
                <w:rFonts w:hint="eastAsia" w:ascii="仿宋" w:hAnsi="仿宋" w:eastAsia="仿宋" w:cs="仿宋"/>
                <w:color w:val="auto"/>
                <w:spacing w:val="0"/>
                <w:sz w:val="24"/>
                <w:szCs w:val="24"/>
                <w:highlight w:val="none"/>
                <w:u w:val="single"/>
              </w:rPr>
              <w:t>3</w:t>
            </w:r>
            <w:r>
              <w:rPr>
                <w:rFonts w:hint="eastAsia" w:ascii="仿宋" w:hAnsi="仿宋" w:eastAsia="仿宋" w:cs="仿宋"/>
                <w:color w:val="auto"/>
                <w:spacing w:val="0"/>
                <w:sz w:val="24"/>
                <w:szCs w:val="24"/>
                <w:highlight w:val="none"/>
              </w:rPr>
              <w:t>名</w:t>
            </w:r>
          </w:p>
        </w:tc>
      </w:tr>
      <w:tr w14:paraId="259211A7">
        <w:tblPrEx>
          <w:tblCellMar>
            <w:top w:w="0" w:type="dxa"/>
            <w:left w:w="108" w:type="dxa"/>
            <w:bottom w:w="49" w:type="dxa"/>
            <w:right w:w="115" w:type="dxa"/>
          </w:tblCellMar>
        </w:tblPrEx>
        <w:trPr>
          <w:trHeight w:val="499"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533BCCEE">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7.</w:t>
            </w:r>
            <w:r>
              <w:rPr>
                <w:rFonts w:hint="eastAsia" w:ascii="仿宋" w:hAnsi="仿宋" w:eastAsia="仿宋" w:cs="仿宋"/>
                <w:color w:val="auto"/>
                <w:spacing w:val="0"/>
                <w:sz w:val="24"/>
                <w:szCs w:val="24"/>
                <w:highlight w:val="none"/>
                <w:lang w:val="en-US" w:eastAsia="zh-CN"/>
              </w:rPr>
              <w:t>1</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2F9F1580">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是否授权评委会确定中标人</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36BD5F57">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否</w:t>
            </w:r>
          </w:p>
        </w:tc>
      </w:tr>
      <w:tr w14:paraId="003CAE78">
        <w:tblPrEx>
          <w:tblCellMar>
            <w:top w:w="0" w:type="dxa"/>
            <w:left w:w="108" w:type="dxa"/>
            <w:bottom w:w="49" w:type="dxa"/>
            <w:right w:w="115" w:type="dxa"/>
          </w:tblCellMar>
        </w:tblPrEx>
        <w:trPr>
          <w:trHeight w:val="447"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2AC20F48">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7.</w:t>
            </w:r>
            <w:r>
              <w:rPr>
                <w:rFonts w:hint="eastAsia" w:ascii="仿宋" w:hAnsi="仿宋" w:eastAsia="仿宋" w:cs="仿宋"/>
                <w:color w:val="auto"/>
                <w:spacing w:val="0"/>
                <w:sz w:val="24"/>
                <w:szCs w:val="24"/>
                <w:highlight w:val="none"/>
                <w:lang w:val="en-US" w:eastAsia="zh-CN"/>
              </w:rPr>
              <w:t>2</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1A6B603B">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技术成果经济补偿</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7552D366">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不补偿</w:t>
            </w:r>
          </w:p>
        </w:tc>
      </w:tr>
      <w:tr w14:paraId="1711B5B0">
        <w:tblPrEx>
          <w:tblCellMar>
            <w:top w:w="0" w:type="dxa"/>
            <w:left w:w="108" w:type="dxa"/>
            <w:bottom w:w="49" w:type="dxa"/>
            <w:right w:w="115" w:type="dxa"/>
          </w:tblCellMar>
        </w:tblPrEx>
        <w:trPr>
          <w:trHeight w:val="440"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248EB0C1">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8</w:t>
            </w:r>
            <w:r>
              <w:rPr>
                <w:rFonts w:hint="eastAsia" w:ascii="仿宋" w:hAnsi="仿宋" w:eastAsia="仿宋" w:cs="仿宋"/>
                <w:color w:val="auto"/>
                <w:spacing w:val="0"/>
                <w:sz w:val="24"/>
                <w:szCs w:val="24"/>
                <w:highlight w:val="none"/>
              </w:rPr>
              <w:t>.1</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14:paraId="5EF229B3">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是否采用电子招标投标</w:t>
            </w:r>
          </w:p>
        </w:tc>
        <w:tc>
          <w:tcPr>
            <w:tcW w:w="5679" w:type="dxa"/>
            <w:tcBorders>
              <w:top w:val="single" w:color="000000" w:sz="4" w:space="0"/>
              <w:left w:val="single" w:color="000000" w:sz="4" w:space="0"/>
              <w:bottom w:val="single" w:color="000000" w:sz="4" w:space="0"/>
              <w:right w:val="single" w:color="000000" w:sz="4" w:space="0"/>
            </w:tcBorders>
            <w:noWrap w:val="0"/>
            <w:vAlign w:val="center"/>
          </w:tcPr>
          <w:p w14:paraId="2B0F6750">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是</w:t>
            </w:r>
          </w:p>
        </w:tc>
      </w:tr>
      <w:tr w14:paraId="65F1077B">
        <w:tblPrEx>
          <w:tblCellMar>
            <w:top w:w="0" w:type="dxa"/>
            <w:left w:w="108" w:type="dxa"/>
            <w:bottom w:w="49" w:type="dxa"/>
            <w:right w:w="115" w:type="dxa"/>
          </w:tblCellMar>
        </w:tblPrEx>
        <w:trPr>
          <w:trHeight w:val="440" w:hRule="atLeast"/>
        </w:trPr>
        <w:tc>
          <w:tcPr>
            <w:tcW w:w="860" w:type="dxa"/>
            <w:tcBorders>
              <w:top w:val="single" w:color="000000" w:sz="4" w:space="0"/>
              <w:left w:val="single" w:color="000000" w:sz="4" w:space="0"/>
              <w:bottom w:val="single" w:color="auto" w:sz="4" w:space="0"/>
              <w:right w:val="single" w:color="000000" w:sz="4" w:space="0"/>
            </w:tcBorders>
            <w:noWrap w:val="0"/>
            <w:vAlign w:val="center"/>
          </w:tcPr>
          <w:p w14:paraId="535BAFD3">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color w:val="auto"/>
                <w:spacing w:val="0"/>
                <w:sz w:val="24"/>
                <w:szCs w:val="24"/>
                <w:highlight w:val="none"/>
                <w:lang w:eastAsia="zh-CN"/>
              </w:rPr>
            </w:pPr>
            <w:r>
              <w:rPr>
                <w:rFonts w:hint="eastAsia" w:ascii="仿宋" w:hAnsi="仿宋" w:eastAsia="仿宋" w:cs="仿宋"/>
                <w:b/>
                <w:color w:val="auto"/>
                <w:spacing w:val="0"/>
                <w:sz w:val="24"/>
                <w:szCs w:val="24"/>
                <w:highlight w:val="none"/>
                <w:lang w:val="en-US" w:eastAsia="zh-CN"/>
              </w:rPr>
              <w:t>9</w:t>
            </w:r>
          </w:p>
        </w:tc>
        <w:tc>
          <w:tcPr>
            <w:tcW w:w="2241" w:type="dxa"/>
            <w:tcBorders>
              <w:top w:val="single" w:color="000000" w:sz="4" w:space="0"/>
              <w:left w:val="single" w:color="000000" w:sz="4" w:space="0"/>
              <w:bottom w:val="single" w:color="auto" w:sz="4" w:space="0"/>
              <w:right w:val="single" w:color="000000" w:sz="4" w:space="0"/>
            </w:tcBorders>
            <w:noWrap w:val="0"/>
            <w:vAlign w:val="center"/>
          </w:tcPr>
          <w:p w14:paraId="7C0066BF">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需要补充的其他内容</w:t>
            </w:r>
          </w:p>
        </w:tc>
        <w:tc>
          <w:tcPr>
            <w:tcW w:w="5679" w:type="dxa"/>
            <w:tcBorders>
              <w:top w:val="single" w:color="000000" w:sz="4" w:space="0"/>
              <w:left w:val="single" w:color="000000" w:sz="4" w:space="0"/>
              <w:bottom w:val="single" w:color="auto" w:sz="4" w:space="0"/>
              <w:right w:val="single" w:color="000000" w:sz="4" w:space="0"/>
            </w:tcBorders>
            <w:noWrap w:val="0"/>
            <w:vAlign w:val="center"/>
          </w:tcPr>
          <w:p w14:paraId="7E64CAD9">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 xml:space="preserve"> 建设内容总投资最终以批复为准</w:t>
            </w:r>
          </w:p>
        </w:tc>
      </w:tr>
      <w:tr w14:paraId="048899D2">
        <w:tblPrEx>
          <w:tblCellMar>
            <w:top w:w="0" w:type="dxa"/>
            <w:left w:w="108" w:type="dxa"/>
            <w:bottom w:w="49" w:type="dxa"/>
            <w:right w:w="115" w:type="dxa"/>
          </w:tblCellMar>
        </w:tblPrEx>
        <w:trPr>
          <w:trHeight w:val="449"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08E7372A">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bookmarkStart w:id="5" w:name="_Hlk507195901"/>
            <w:r>
              <w:rPr>
                <w:rFonts w:hint="eastAsia" w:ascii="仿宋" w:hAnsi="仿宋" w:eastAsia="仿宋" w:cs="仿宋"/>
                <w:color w:val="auto"/>
                <w:spacing w:val="0"/>
                <w:sz w:val="24"/>
                <w:szCs w:val="24"/>
                <w:highlight w:val="none"/>
                <w:lang w:val="en-US" w:eastAsia="zh-CN"/>
              </w:rPr>
              <w:t>9</w:t>
            </w:r>
            <w:r>
              <w:rPr>
                <w:rFonts w:hint="eastAsia" w:ascii="仿宋" w:hAnsi="仿宋" w:eastAsia="仿宋" w:cs="仿宋"/>
                <w:color w:val="auto"/>
                <w:spacing w:val="0"/>
                <w:sz w:val="24"/>
                <w:szCs w:val="24"/>
                <w:highlight w:val="none"/>
              </w:rPr>
              <w:t>.1</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3B04D44">
            <w:pPr>
              <w:keepNext w:val="0"/>
              <w:keepLines w:val="0"/>
              <w:pageBreakBefore w:val="0"/>
              <w:widowControl w:val="0"/>
              <w:kinsoku/>
              <w:wordWrap/>
              <w:overflowPunct/>
              <w:topLinePunct w:val="0"/>
              <w:bidi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类似项目</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61A23302">
            <w:pPr>
              <w:keepNext w:val="0"/>
              <w:keepLines w:val="0"/>
              <w:pageBreakBefore w:val="0"/>
              <w:widowControl w:val="0"/>
              <w:kinsoku/>
              <w:wordWrap/>
              <w:overflowPunct/>
              <w:topLinePunct w:val="0"/>
              <w:bidi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类似业绩指供应商近三年（2022年</w:t>
            </w:r>
            <w:r>
              <w:rPr>
                <w:rFonts w:hint="eastAsia" w:ascii="仿宋" w:hAnsi="仿宋" w:eastAsia="仿宋" w:cs="仿宋"/>
                <w:color w:val="auto"/>
                <w:spacing w:val="0"/>
                <w:sz w:val="24"/>
                <w:szCs w:val="24"/>
                <w:highlight w:val="none"/>
                <w:lang w:val="en-US" w:eastAsia="zh-CN"/>
              </w:rPr>
              <w:t>07月</w:t>
            </w:r>
            <w:r>
              <w:rPr>
                <w:rFonts w:hint="eastAsia" w:ascii="仿宋" w:hAnsi="仿宋" w:eastAsia="仿宋" w:cs="仿宋"/>
                <w:color w:val="auto"/>
                <w:spacing w:val="0"/>
                <w:sz w:val="24"/>
                <w:szCs w:val="24"/>
                <w:highlight w:val="none"/>
                <w:lang w:eastAsia="zh-CN"/>
              </w:rPr>
              <w:t>至今）承担过的水土保持方案编制、水土保持监测</w:t>
            </w:r>
            <w:r>
              <w:rPr>
                <w:rFonts w:hint="eastAsia" w:ascii="仿宋" w:hAnsi="仿宋" w:eastAsia="仿宋" w:cs="仿宋"/>
                <w:color w:val="auto"/>
                <w:spacing w:val="0"/>
                <w:sz w:val="24"/>
                <w:szCs w:val="24"/>
                <w:highlight w:val="none"/>
                <w:lang w:val="en-US" w:eastAsia="zh-CN"/>
              </w:rPr>
              <w:t>等</w:t>
            </w:r>
            <w:r>
              <w:rPr>
                <w:rFonts w:hint="eastAsia" w:ascii="仿宋" w:hAnsi="仿宋" w:eastAsia="仿宋" w:cs="仿宋"/>
                <w:color w:val="auto"/>
                <w:spacing w:val="0"/>
                <w:sz w:val="24"/>
                <w:szCs w:val="24"/>
                <w:highlight w:val="none"/>
                <w:lang w:eastAsia="zh-CN"/>
              </w:rPr>
              <w:t>内容的项目业绩（供应商提供</w:t>
            </w:r>
            <w:r>
              <w:rPr>
                <w:rFonts w:hint="eastAsia" w:ascii="仿宋" w:hAnsi="仿宋" w:eastAsia="仿宋" w:cs="仿宋"/>
                <w:color w:val="auto"/>
                <w:spacing w:val="0"/>
                <w:sz w:val="24"/>
                <w:szCs w:val="24"/>
                <w:highlight w:val="none"/>
                <w:lang w:val="en-US" w:eastAsia="zh-CN"/>
              </w:rPr>
              <w:t>服务</w:t>
            </w:r>
            <w:r>
              <w:rPr>
                <w:rFonts w:hint="eastAsia" w:ascii="仿宋" w:hAnsi="仿宋" w:eastAsia="仿宋" w:cs="仿宋"/>
                <w:color w:val="auto"/>
                <w:spacing w:val="0"/>
                <w:sz w:val="24"/>
                <w:szCs w:val="24"/>
                <w:highlight w:val="none"/>
                <w:lang w:eastAsia="zh-CN"/>
              </w:rPr>
              <w:t>合同</w:t>
            </w:r>
            <w:r>
              <w:rPr>
                <w:rFonts w:hint="eastAsia" w:ascii="仿宋" w:hAnsi="仿宋" w:eastAsia="仿宋" w:cs="仿宋"/>
                <w:color w:val="auto"/>
                <w:spacing w:val="0"/>
                <w:sz w:val="24"/>
                <w:szCs w:val="24"/>
                <w:highlight w:val="none"/>
                <w:lang w:val="en-US" w:eastAsia="zh-CN"/>
              </w:rPr>
              <w:t>或中标通知书</w:t>
            </w:r>
            <w:r>
              <w:rPr>
                <w:rFonts w:hint="eastAsia" w:ascii="仿宋" w:hAnsi="仿宋" w:eastAsia="仿宋" w:cs="仿宋"/>
                <w:color w:val="auto"/>
                <w:spacing w:val="0"/>
                <w:sz w:val="24"/>
                <w:szCs w:val="24"/>
                <w:highlight w:val="none"/>
                <w:lang w:eastAsia="zh-CN"/>
              </w:rPr>
              <w:t>。）</w:t>
            </w:r>
          </w:p>
        </w:tc>
      </w:tr>
      <w:tr w14:paraId="0CD8649E">
        <w:tblPrEx>
          <w:tblCellMar>
            <w:top w:w="0" w:type="dxa"/>
            <w:left w:w="108" w:type="dxa"/>
            <w:bottom w:w="49" w:type="dxa"/>
            <w:right w:w="115" w:type="dxa"/>
          </w:tblCellMar>
        </w:tblPrEx>
        <w:trPr>
          <w:trHeight w:val="90"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16AED274">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9.2</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FEF3E31">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磋商保证金</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6EB3A6C8">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pacing w:val="0"/>
                <w:sz w:val="24"/>
                <w:szCs w:val="24"/>
                <w:highlight w:val="none"/>
              </w:rPr>
              <w:t>缴纳方式：当以支票、汇票、本票或</w:t>
            </w:r>
            <w:r>
              <w:rPr>
                <w:rFonts w:hint="eastAsia" w:ascii="仿宋" w:hAnsi="仿宋" w:eastAsia="仿宋" w:cs="仿宋"/>
                <w:bCs/>
                <w:color w:val="auto"/>
                <w:spacing w:val="0"/>
                <w:sz w:val="24"/>
                <w:szCs w:val="24"/>
                <w:highlight w:val="none"/>
                <w:lang w:val="en-US" w:eastAsia="zh-CN"/>
              </w:rPr>
              <w:t>电子</w:t>
            </w:r>
            <w:r>
              <w:rPr>
                <w:rFonts w:hint="eastAsia" w:ascii="仿宋" w:hAnsi="仿宋" w:eastAsia="仿宋" w:cs="仿宋"/>
                <w:bCs/>
                <w:color w:val="auto"/>
                <w:spacing w:val="0"/>
                <w:sz w:val="24"/>
                <w:szCs w:val="24"/>
                <w:highlight w:val="none"/>
              </w:rPr>
              <w:t>保函等非现金形式提交，若采用电汇或网银转账的方式汇至</w:t>
            </w:r>
            <w:r>
              <w:rPr>
                <w:rFonts w:hint="eastAsia" w:ascii="仿宋" w:hAnsi="仿宋" w:eastAsia="仿宋" w:cs="仿宋"/>
                <w:bCs/>
                <w:color w:val="auto"/>
                <w:spacing w:val="0"/>
                <w:sz w:val="24"/>
                <w:szCs w:val="24"/>
                <w:highlight w:val="none"/>
                <w:lang w:eastAsia="zh-CN"/>
              </w:rPr>
              <w:t>新疆华远博辰工程项目管理有限公司</w:t>
            </w:r>
          </w:p>
          <w:p w14:paraId="0D544FB6">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pacing w:val="0"/>
                <w:sz w:val="24"/>
                <w:szCs w:val="24"/>
                <w:highlight w:val="none"/>
                <w:lang w:val="en-US" w:eastAsia="zh-CN"/>
              </w:rPr>
            </w:pPr>
            <w:r>
              <w:rPr>
                <w:rFonts w:hint="eastAsia" w:ascii="仿宋" w:hAnsi="仿宋" w:eastAsia="仿宋" w:cs="仿宋"/>
                <w:bCs/>
                <w:color w:val="auto"/>
                <w:spacing w:val="0"/>
                <w:sz w:val="24"/>
                <w:szCs w:val="24"/>
                <w:highlight w:val="none"/>
              </w:rPr>
              <w:t>金额</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pacing w:val="0"/>
                <w:sz w:val="24"/>
                <w:szCs w:val="24"/>
                <w:highlight w:val="none"/>
                <w:lang w:val="en-US" w:eastAsia="zh-CN"/>
              </w:rPr>
              <w:t>小写4000.00元，大写：肆仟元整；</w:t>
            </w:r>
          </w:p>
          <w:p w14:paraId="12D0B699">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pacing w:val="0"/>
                <w:sz w:val="24"/>
                <w:szCs w:val="24"/>
                <w:highlight w:val="none"/>
                <w:lang w:eastAsia="zh-CN"/>
              </w:rPr>
              <w:t>开户名称：新疆华远博辰工程项目管理有限公司</w:t>
            </w:r>
          </w:p>
          <w:p w14:paraId="1F9E1682">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pacing w:val="0"/>
                <w:sz w:val="24"/>
                <w:szCs w:val="24"/>
                <w:highlight w:val="none"/>
                <w:lang w:eastAsia="zh-CN"/>
              </w:rPr>
              <w:t>开户行：中国工商银行股份有限公司乌鲁木齐迎宾路支行</w:t>
            </w:r>
          </w:p>
          <w:p w14:paraId="3C6CF158">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pacing w:val="0"/>
                <w:sz w:val="24"/>
                <w:szCs w:val="24"/>
                <w:highlight w:val="none"/>
                <w:lang w:eastAsia="zh-CN"/>
              </w:rPr>
              <w:t>账号：3002019609200044139</w:t>
            </w:r>
          </w:p>
          <w:p w14:paraId="06FF8EA9">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pacing w:val="0"/>
                <w:sz w:val="24"/>
                <w:szCs w:val="24"/>
                <w:highlight w:val="none"/>
                <w:lang w:eastAsia="zh-CN"/>
              </w:rPr>
              <w:t>注：到账截止时间：2025年07月28日16:30</w:t>
            </w:r>
          </w:p>
          <w:p w14:paraId="03D6320F">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bCs/>
                <w:color w:val="auto"/>
                <w:spacing w:val="0"/>
                <w:sz w:val="24"/>
                <w:szCs w:val="24"/>
                <w:highlight w:val="none"/>
                <w:lang w:eastAsia="zh-CN"/>
              </w:rPr>
              <w:t>注：（1）用转账或银行电汇提交保证金的，应当从其基本账户转入招标代理机构银行账户；未按招标要求缴纳投标保证金的，视为非实质性响应。（请各供应商在缴纳保证金时注明项目名称、</w:t>
            </w:r>
            <w:r>
              <w:rPr>
                <w:rFonts w:hint="eastAsia" w:ascii="仿宋" w:hAnsi="仿宋" w:eastAsia="仿宋" w:cs="仿宋"/>
                <w:bCs/>
                <w:color w:val="auto"/>
                <w:spacing w:val="0"/>
                <w:sz w:val="24"/>
                <w:szCs w:val="24"/>
                <w:highlight w:val="none"/>
                <w:lang w:val="en-US" w:eastAsia="zh-CN"/>
              </w:rPr>
              <w:t>标段号</w:t>
            </w:r>
            <w:r>
              <w:rPr>
                <w:rFonts w:hint="eastAsia" w:ascii="仿宋" w:hAnsi="仿宋" w:eastAsia="仿宋" w:cs="仿宋"/>
                <w:bCs/>
                <w:color w:val="auto"/>
                <w:spacing w:val="0"/>
                <w:sz w:val="24"/>
                <w:szCs w:val="24"/>
                <w:highlight w:val="none"/>
                <w:lang w:eastAsia="zh-CN"/>
              </w:rPr>
              <w:t>（若字数超标，可自行简写项目名称、</w:t>
            </w:r>
            <w:r>
              <w:rPr>
                <w:rFonts w:hint="eastAsia" w:ascii="仿宋" w:hAnsi="仿宋" w:eastAsia="仿宋" w:cs="仿宋"/>
                <w:bCs/>
                <w:color w:val="auto"/>
                <w:spacing w:val="0"/>
                <w:sz w:val="24"/>
                <w:szCs w:val="24"/>
                <w:highlight w:val="none"/>
                <w:lang w:val="en-US" w:eastAsia="zh-CN"/>
              </w:rPr>
              <w:t>标段号</w:t>
            </w:r>
            <w:r>
              <w:rPr>
                <w:rFonts w:hint="eastAsia" w:ascii="仿宋" w:hAnsi="仿宋" w:eastAsia="仿宋" w:cs="仿宋"/>
                <w:bCs/>
                <w:color w:val="auto"/>
                <w:spacing w:val="0"/>
                <w:sz w:val="24"/>
                <w:szCs w:val="24"/>
                <w:highlight w:val="none"/>
                <w:lang w:eastAsia="zh-CN"/>
              </w:rPr>
              <w:t>），如未注明，造成保证金无法查明的，责任由供应商承担），供应商以转账或银行电汇形式提交保证金的应充分考虑资金在途时间，保证金应于投标保证金递交截止时间前到账</w:t>
            </w:r>
            <w:r>
              <w:rPr>
                <w:rFonts w:hint="eastAsia" w:ascii="仿宋" w:hAnsi="仿宋" w:eastAsia="仿宋" w:cs="仿宋"/>
                <w:bCs/>
                <w:color w:val="auto"/>
                <w:spacing w:val="0"/>
                <w:sz w:val="24"/>
                <w:szCs w:val="24"/>
                <w:highlight w:val="none"/>
                <w:lang w:val="en-US" w:eastAsia="zh-CN"/>
              </w:rPr>
              <w:t>.</w:t>
            </w:r>
          </w:p>
          <w:p w14:paraId="340B6343">
            <w:pPr>
              <w:keepNext w:val="0"/>
              <w:keepLines w:val="0"/>
              <w:pageBreakBefore w:val="0"/>
              <w:widowControl w:val="0"/>
              <w:numPr>
                <w:ilvl w:val="0"/>
                <w:numId w:val="3"/>
              </w:numPr>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bCs/>
                <w:color w:val="auto"/>
                <w:spacing w:val="0"/>
                <w:sz w:val="24"/>
                <w:szCs w:val="24"/>
                <w:highlight w:val="none"/>
                <w:lang w:eastAsia="zh-CN"/>
              </w:rPr>
              <w:t>用</w:t>
            </w:r>
            <w:r>
              <w:rPr>
                <w:rFonts w:hint="eastAsia" w:ascii="仿宋" w:hAnsi="仿宋" w:eastAsia="仿宋" w:cs="仿宋"/>
                <w:bCs/>
                <w:color w:val="auto"/>
                <w:spacing w:val="0"/>
                <w:sz w:val="24"/>
                <w:szCs w:val="24"/>
                <w:highlight w:val="none"/>
                <w:lang w:val="en-US" w:eastAsia="zh-CN"/>
              </w:rPr>
              <w:t>电子保函</w:t>
            </w:r>
            <w:r>
              <w:rPr>
                <w:rFonts w:hint="eastAsia" w:ascii="仿宋" w:hAnsi="仿宋" w:eastAsia="仿宋" w:cs="仿宋"/>
                <w:color w:val="auto"/>
                <w:spacing w:val="0"/>
                <w:sz w:val="24"/>
                <w:szCs w:val="24"/>
                <w:highlight w:val="none"/>
              </w:rPr>
              <w:t>方式缴纳投标保证金的</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color w:val="auto"/>
                <w:spacing w:val="0"/>
                <w:sz w:val="24"/>
                <w:szCs w:val="24"/>
                <w:highlight w:val="none"/>
              </w:rPr>
              <w:t>供应商有权自主选择电子保函系统中公开征集的任意一家担保机构开具电子保函。供应商应按要求提供开具电子保函所需的资料，并保证其真实性。供应商采用电子保函方式缴纳投标保证金的，应针对具体项目做到“一项目一保函”。已开具的电子保函，供应商不可单方面提出退保、注销等要求。</w:t>
            </w:r>
            <w:r>
              <w:rPr>
                <w:rFonts w:hint="eastAsia" w:ascii="仿宋" w:hAnsi="仿宋" w:eastAsia="仿宋" w:cs="仿宋"/>
                <w:color w:val="auto"/>
                <w:spacing w:val="0"/>
                <w:sz w:val="24"/>
                <w:szCs w:val="24"/>
                <w:highlight w:val="none"/>
                <w:lang w:val="en-US" w:eastAsia="zh-CN"/>
              </w:rPr>
              <w:t>如有疑问，请咨询客服：95763</w:t>
            </w:r>
          </w:p>
        </w:tc>
      </w:tr>
      <w:tr w14:paraId="73EEFEDD">
        <w:tblPrEx>
          <w:tblCellMar>
            <w:top w:w="0" w:type="dxa"/>
            <w:left w:w="108" w:type="dxa"/>
            <w:bottom w:w="49" w:type="dxa"/>
            <w:right w:w="115" w:type="dxa"/>
          </w:tblCellMar>
        </w:tblPrEx>
        <w:trPr>
          <w:trHeight w:val="918"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30F4CD8D">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9</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3</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3D3BF7A">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rPr>
              <w:t>联系</w:t>
            </w:r>
            <w:r>
              <w:rPr>
                <w:rFonts w:hint="eastAsia" w:ascii="仿宋" w:hAnsi="仿宋" w:eastAsia="仿宋" w:cs="仿宋"/>
                <w:color w:val="auto"/>
                <w:spacing w:val="0"/>
                <w:sz w:val="24"/>
                <w:szCs w:val="24"/>
                <w:highlight w:val="none"/>
                <w:lang w:val="en-US" w:eastAsia="zh-CN"/>
              </w:rPr>
              <w:t>方式</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64A3A67A">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w:t>
            </w:r>
          </w:p>
        </w:tc>
      </w:tr>
      <w:tr w14:paraId="50C64BA9">
        <w:tblPrEx>
          <w:tblCellMar>
            <w:top w:w="0" w:type="dxa"/>
            <w:left w:w="108" w:type="dxa"/>
            <w:bottom w:w="49" w:type="dxa"/>
            <w:right w:w="115" w:type="dxa"/>
          </w:tblCellMar>
        </w:tblPrEx>
        <w:trPr>
          <w:trHeight w:val="407"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71D3F04A">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9</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4</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61B4FEA">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应承担的费用</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012F87A9">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费用承担详见</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须知</w:t>
            </w:r>
            <w:r>
              <w:rPr>
                <w:rFonts w:hint="eastAsia" w:ascii="仿宋" w:hAnsi="仿宋" w:eastAsia="仿宋" w:cs="仿宋"/>
                <w:color w:val="auto"/>
                <w:spacing w:val="0"/>
                <w:sz w:val="24"/>
                <w:szCs w:val="24"/>
                <w:highlight w:val="none"/>
                <w:lang w:val="en-US" w:eastAsia="zh-CN"/>
              </w:rPr>
              <w:t>总则</w:t>
            </w:r>
            <w:r>
              <w:rPr>
                <w:rFonts w:hint="eastAsia" w:ascii="仿宋" w:hAnsi="仿宋" w:eastAsia="仿宋" w:cs="仿宋"/>
                <w:color w:val="auto"/>
                <w:spacing w:val="0"/>
                <w:sz w:val="24"/>
                <w:szCs w:val="24"/>
                <w:highlight w:val="none"/>
              </w:rPr>
              <w:t>部分“第1.5.1款”</w:t>
            </w:r>
          </w:p>
        </w:tc>
      </w:tr>
      <w:tr w14:paraId="2CDA336E">
        <w:tblPrEx>
          <w:tblCellMar>
            <w:top w:w="0" w:type="dxa"/>
            <w:left w:w="108" w:type="dxa"/>
            <w:bottom w:w="49" w:type="dxa"/>
            <w:right w:w="115" w:type="dxa"/>
          </w:tblCellMar>
        </w:tblPrEx>
        <w:trPr>
          <w:trHeight w:val="407"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5444B886">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9.5</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026FDC4">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评审办法</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6CDC0287">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竞争性磋商</w:t>
            </w:r>
          </w:p>
        </w:tc>
      </w:tr>
      <w:tr w14:paraId="10681C47">
        <w:tblPrEx>
          <w:tblCellMar>
            <w:top w:w="0" w:type="dxa"/>
            <w:left w:w="108" w:type="dxa"/>
            <w:bottom w:w="49" w:type="dxa"/>
            <w:right w:w="115" w:type="dxa"/>
          </w:tblCellMar>
        </w:tblPrEx>
        <w:trPr>
          <w:trHeight w:val="407"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607B0463">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9.6</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5C76C178">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中标服务费</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6F37AAC2">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收费标准：参照国家发改委《关于降低部分建设项目收费标准规范收费行为等有关问题的通知》(发改价格(2011)534号文)，由中标人支付;收取方式：电汇或转账</w:t>
            </w:r>
          </w:p>
        </w:tc>
      </w:tr>
      <w:tr w14:paraId="3DF31C48">
        <w:tblPrEx>
          <w:tblCellMar>
            <w:top w:w="0" w:type="dxa"/>
            <w:left w:w="108" w:type="dxa"/>
            <w:bottom w:w="49" w:type="dxa"/>
            <w:right w:w="115" w:type="dxa"/>
          </w:tblCellMar>
        </w:tblPrEx>
        <w:trPr>
          <w:trHeight w:val="407"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26135B60">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9.7</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5A7907DD">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电子投标须知</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75D03E06">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请投标单位提前自学线上开标流程；投标截止时间当天，线上开标环节，响应文件解密时长30分钟，各投标单位务必提前调试好在线参标电脑的各项配置及CA锁网上进行签到、文件解密以及操作投标，响应文件报价确认签字时间为10分钟，超过时间视为报价无疑义。</w:t>
            </w:r>
          </w:p>
          <w:p w14:paraId="149C3F72">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2.招标文件中采购清单、技术需求等如有偏差，如有疑义请澄清中及时提出；否则视为充分理解招标文件各项要求。</w:t>
            </w:r>
          </w:p>
          <w:p w14:paraId="54ABEE92">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bCs/>
                <w:color w:val="auto"/>
                <w:spacing w:val="0"/>
                <w:kern w:val="2"/>
                <w:sz w:val="24"/>
                <w:szCs w:val="24"/>
                <w:highlight w:val="none"/>
                <w:lang w:val="en-US" w:eastAsia="zh-CN" w:bidi="ar-SA"/>
              </w:rPr>
            </w:pPr>
            <w:r>
              <w:rPr>
                <w:rFonts w:hint="eastAsia" w:ascii="仿宋" w:hAnsi="仿宋" w:eastAsia="仿宋" w:cs="仿宋"/>
                <w:color w:val="auto"/>
                <w:spacing w:val="0"/>
                <w:sz w:val="24"/>
                <w:szCs w:val="24"/>
                <w:highlight w:val="none"/>
                <w:lang w:val="en-US" w:eastAsia="zh-CN"/>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响应文件，并准备相关资料，若投标单位未按招标文件规定的时间和地点递交响应文件、资格条件不符或提供资料不全等原因导致投标失败，则由投标单位自行承担由此而引起的所有不利后果。</w:t>
            </w:r>
          </w:p>
        </w:tc>
      </w:tr>
      <w:tr w14:paraId="0CC1A9DA">
        <w:tblPrEx>
          <w:tblCellMar>
            <w:top w:w="0" w:type="dxa"/>
            <w:left w:w="108" w:type="dxa"/>
            <w:bottom w:w="49" w:type="dxa"/>
            <w:right w:w="115" w:type="dxa"/>
          </w:tblCellMar>
        </w:tblPrEx>
        <w:trPr>
          <w:trHeight w:val="407"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70C94012">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default" w:ascii="仿宋" w:hAnsi="仿宋" w:eastAsia="仿宋" w:cs="仿宋"/>
                <w:bCs/>
                <w:color w:val="auto"/>
                <w:spacing w:val="0"/>
                <w:sz w:val="24"/>
                <w:szCs w:val="24"/>
                <w:highlight w:val="none"/>
                <w:lang w:val="en-US" w:eastAsia="zh-CN"/>
              </w:rPr>
            </w:pPr>
            <w:r>
              <w:rPr>
                <w:rFonts w:hint="eastAsia" w:ascii="仿宋" w:hAnsi="仿宋" w:eastAsia="仿宋" w:cs="仿宋"/>
                <w:bCs/>
                <w:color w:val="auto"/>
                <w:spacing w:val="0"/>
                <w:sz w:val="24"/>
                <w:szCs w:val="24"/>
                <w:highlight w:val="none"/>
                <w:lang w:val="en-US" w:eastAsia="zh-CN"/>
              </w:rPr>
              <w:t>9.8</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8D9CB72">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default" w:ascii="仿宋" w:hAnsi="仿宋" w:eastAsia="仿宋" w:cs="仿宋"/>
                <w:bCs/>
                <w:color w:val="auto"/>
                <w:spacing w:val="0"/>
                <w:sz w:val="24"/>
                <w:szCs w:val="24"/>
                <w:highlight w:val="none"/>
                <w:lang w:val="en-US" w:eastAsia="zh-CN"/>
              </w:rPr>
            </w:pPr>
            <w:r>
              <w:rPr>
                <w:rFonts w:hint="eastAsia" w:ascii="仿宋" w:hAnsi="仿宋" w:eastAsia="仿宋" w:cs="仿宋"/>
                <w:bCs/>
                <w:color w:val="auto"/>
                <w:spacing w:val="0"/>
                <w:sz w:val="24"/>
                <w:szCs w:val="24"/>
                <w:highlight w:val="none"/>
                <w:lang w:val="en-US" w:eastAsia="zh-CN"/>
              </w:rPr>
              <w:t>所属行业类型</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104A68CA">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default" w:ascii="仿宋" w:hAnsi="仿宋" w:eastAsia="仿宋" w:cs="仿宋"/>
                <w:color w:val="auto"/>
                <w:spacing w:val="0"/>
                <w:sz w:val="24"/>
                <w:szCs w:val="24"/>
                <w:highlight w:val="none"/>
                <w:lang w:val="en-US" w:eastAsia="zh-CN"/>
              </w:rPr>
            </w:pPr>
            <w:r>
              <w:rPr>
                <w:rFonts w:hint="eastAsia" w:ascii="仿宋_GB2312" w:hAnsi="仿宋_GB2312" w:eastAsia="仿宋_GB2312" w:cs="仿宋_GB2312"/>
                <w:color w:val="auto"/>
                <w:sz w:val="24"/>
                <w:highlight w:val="none"/>
              </w:rPr>
              <w:t>“</w:t>
            </w:r>
            <w:r>
              <w:rPr>
                <w:rFonts w:hint="eastAsia" w:ascii="仿宋" w:hAnsi="仿宋" w:eastAsia="仿宋" w:cs="仿宋"/>
                <w:b/>
                <w:bCs/>
                <w:color w:val="auto"/>
                <w:kern w:val="0"/>
                <w:sz w:val="24"/>
                <w:highlight w:val="none"/>
                <w:shd w:val="clear" w:color="auto" w:fill="FFFFFF"/>
                <w:lang w:bidi="ar"/>
              </w:rPr>
              <w:t>其他未列明行业</w:t>
            </w:r>
            <w:r>
              <w:rPr>
                <w:rFonts w:hint="eastAsia" w:ascii="仿宋_GB2312" w:hAnsi="仿宋_GB2312" w:eastAsia="仿宋_GB2312" w:cs="仿宋_GB2312"/>
                <w:color w:val="auto"/>
                <w:sz w:val="24"/>
                <w:highlight w:val="none"/>
              </w:rPr>
              <w:t>”</w:t>
            </w:r>
          </w:p>
        </w:tc>
      </w:tr>
      <w:tr w14:paraId="132847D0">
        <w:tblPrEx>
          <w:tblCellMar>
            <w:top w:w="0" w:type="dxa"/>
            <w:left w:w="108" w:type="dxa"/>
            <w:bottom w:w="49" w:type="dxa"/>
            <w:right w:w="115" w:type="dxa"/>
          </w:tblCellMar>
        </w:tblPrEx>
        <w:trPr>
          <w:trHeight w:val="407"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14:paraId="1E9A2486">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default" w:ascii="仿宋" w:hAnsi="仿宋" w:eastAsia="仿宋" w:cs="仿宋"/>
                <w:bCs/>
                <w:color w:val="auto"/>
                <w:spacing w:val="0"/>
                <w:sz w:val="24"/>
                <w:szCs w:val="24"/>
                <w:highlight w:val="none"/>
                <w:lang w:val="en-US" w:eastAsia="zh-CN"/>
              </w:rPr>
            </w:pPr>
            <w:r>
              <w:rPr>
                <w:rFonts w:hint="eastAsia" w:ascii="仿宋" w:hAnsi="仿宋" w:eastAsia="仿宋" w:cs="仿宋"/>
                <w:bCs/>
                <w:color w:val="auto"/>
                <w:spacing w:val="0"/>
                <w:sz w:val="24"/>
                <w:szCs w:val="24"/>
                <w:highlight w:val="none"/>
                <w:lang w:val="en-US" w:eastAsia="zh-CN"/>
              </w:rPr>
              <w:t>9.9</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D367030">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pacing w:val="0"/>
                <w:sz w:val="24"/>
                <w:szCs w:val="24"/>
                <w:highlight w:val="none"/>
                <w:lang w:val="en-US" w:eastAsia="zh-CN"/>
              </w:rPr>
            </w:pPr>
            <w:r>
              <w:rPr>
                <w:rFonts w:hint="eastAsia" w:ascii="仿宋" w:hAnsi="仿宋" w:eastAsia="仿宋" w:cs="仿宋"/>
                <w:bCs/>
                <w:color w:val="auto"/>
                <w:spacing w:val="0"/>
                <w:sz w:val="24"/>
                <w:szCs w:val="24"/>
                <w:highlight w:val="none"/>
                <w:lang w:val="en-US" w:eastAsia="zh-CN"/>
              </w:rPr>
              <w:t>中小微型企业</w:t>
            </w:r>
          </w:p>
          <w:p w14:paraId="64A82A16">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pacing w:val="0"/>
                <w:sz w:val="24"/>
                <w:szCs w:val="24"/>
                <w:highlight w:val="none"/>
                <w:lang w:val="en-US" w:eastAsia="zh-CN"/>
              </w:rPr>
            </w:pPr>
            <w:r>
              <w:rPr>
                <w:rFonts w:hint="eastAsia" w:ascii="仿宋" w:hAnsi="仿宋" w:eastAsia="仿宋" w:cs="仿宋"/>
                <w:bCs/>
                <w:color w:val="auto"/>
                <w:spacing w:val="0"/>
                <w:sz w:val="24"/>
                <w:szCs w:val="24"/>
                <w:highlight w:val="none"/>
                <w:lang w:val="en-US" w:eastAsia="zh-CN"/>
              </w:rPr>
              <w:t>有关政策</w:t>
            </w:r>
          </w:p>
        </w:tc>
        <w:tc>
          <w:tcPr>
            <w:tcW w:w="5679" w:type="dxa"/>
            <w:tcBorders>
              <w:top w:val="single" w:color="auto" w:sz="4" w:space="0"/>
              <w:left w:val="single" w:color="auto" w:sz="4" w:space="0"/>
              <w:bottom w:val="single" w:color="auto" w:sz="4" w:space="0"/>
              <w:right w:val="single" w:color="auto" w:sz="4" w:space="0"/>
            </w:tcBorders>
            <w:noWrap w:val="0"/>
            <w:vAlign w:val="center"/>
          </w:tcPr>
          <w:p w14:paraId="3BB700A7">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 根据《政府采购促进中小企业展暂行办法》 （财库【2020】46 号文）；财政部《关于进一步 加大政府采购支持中小企业力度的通知》（财库 〔2022〕19 号）的规定执行；支持中小企业发展：给予小型、微型企业的价格给予10%-20%的扣除，用扣除后的价格参与评审，本项目专门面向中小微企业，无价格扣除。(注：未按要求提供《中小企业声明函》的，均不给予价格扣除）依据《关于印发中小企业划型标准规定的通知》（工信部联企业〔2011〕300号）。《中小企业声明函》中所列行业与采购文件所明确的行业不一致但不改变划型结果的不影响声明有效性。</w:t>
            </w:r>
          </w:p>
          <w:p w14:paraId="4C198963">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(2)根据工信部等部委发布的《关于印发中小企业 划型标准规定的通知》（工信部联企业[2011]300 号）规定执行；</w:t>
            </w:r>
          </w:p>
          <w:p w14:paraId="748A3C94">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（3）本项目为专门面向中小企业采购。</w:t>
            </w:r>
          </w:p>
          <w:p w14:paraId="5D953B8C">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本项目为专门面向中小企业采购项目，参加投标的供应商须出具《中小企业声明函》，（是监狱企业的应当提供《监狱企业声明函》， 是残疾人福利性单位的应当提供《残疾人福利性单位声明函》）。</w:t>
            </w:r>
          </w:p>
          <w:p w14:paraId="100B3C8A">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（4）根据中华人民共和国财政部、中华人民共和  国民政部、中国残疾人联合会《关于促进残疾人就  业政府采购政策的通知》（（财库〔2017〕141 号） 文件的规定：残疾人福利性单位视同小型、微型企  业。</w:t>
            </w:r>
          </w:p>
          <w:p w14:paraId="25F18C4D">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（5）根据财政部、司法部《关于政府采购支持监 狱企业发展有关问题的通知》(财库【2014】68 号) 文件的规定：在政府采购活动中，监狱企业视同小 型、微型企业。</w:t>
            </w:r>
          </w:p>
          <w:p w14:paraId="5711A10C">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（6）供应商若为残疾人福利性单位，须在投标文  件中提供《残疾人福利性单位声明函》，供应商须 对其声明的真实性负责，若与事实不符的，将依照 《政府采购法》第七十七条第一款的规定追究法</w:t>
            </w:r>
          </w:p>
          <w:p w14:paraId="2AFC297F">
            <w:pPr>
              <w:keepNext w:val="0"/>
              <w:keepLines w:val="0"/>
              <w:pageBreakBefore w:val="0"/>
              <w:widowControl w:val="0"/>
              <w:kinsoku/>
              <w:wordWrap/>
              <w:overflowPunct/>
              <w:topLinePunct w:val="0"/>
              <w:bidi w:val="0"/>
              <w:adjustRightInd w:val="0"/>
              <w:snapToGrid w:val="0"/>
              <w:spacing w:beforeAutospacing="0" w:after="0" w:afterAutospacing="0" w:line="240" w:lineRule="auto"/>
              <w:ind w:left="0" w:leftChars="0" w:right="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律责任。</w:t>
            </w:r>
          </w:p>
        </w:tc>
      </w:tr>
      <w:bookmarkEnd w:id="5"/>
    </w:tbl>
    <w:p w14:paraId="3C3C3F26">
      <w:pPr>
        <w:pStyle w:val="8"/>
        <w:keepNext w:val="0"/>
        <w:keepLines w:val="0"/>
        <w:pageBreakBefore w:val="0"/>
        <w:widowControl w:val="0"/>
        <w:wordWrap/>
        <w:overflowPunct/>
        <w:topLinePunct w:val="0"/>
        <w:bidi w:val="0"/>
        <w:spacing w:line="240" w:lineRule="auto"/>
        <w:rPr>
          <w:color w:val="auto"/>
          <w:spacing w:val="0"/>
          <w:highlight w:val="none"/>
        </w:rPr>
      </w:pPr>
    </w:p>
    <w:p w14:paraId="4C5E1C6A">
      <w:pPr>
        <w:keepNext w:val="0"/>
        <w:keepLines w:val="0"/>
        <w:pageBreakBefore w:val="0"/>
        <w:widowControl w:val="0"/>
        <w:wordWrap/>
        <w:overflowPunct/>
        <w:topLinePunct w:val="0"/>
        <w:bidi w:val="0"/>
        <w:spacing w:line="240" w:lineRule="auto"/>
        <w:rPr>
          <w:color w:val="auto"/>
          <w:spacing w:val="0"/>
          <w:highlight w:val="none"/>
        </w:rPr>
        <w:sectPr>
          <w:footerReference r:id="rId8" w:type="default"/>
          <w:pgSz w:w="11906" w:h="16839"/>
          <w:pgMar w:top="1440" w:right="1800" w:bottom="1440" w:left="1800" w:header="0" w:footer="845" w:gutter="0"/>
          <w:cols w:space="720" w:num="1"/>
        </w:sectPr>
      </w:pPr>
    </w:p>
    <w:p w14:paraId="34EA1785">
      <w:pPr>
        <w:keepNext w:val="0"/>
        <w:keepLines w:val="0"/>
        <w:pageBreakBefore w:val="0"/>
        <w:widowControl w:val="0"/>
        <w:wordWrap/>
        <w:overflowPunct/>
        <w:topLinePunct w:val="0"/>
        <w:bidi w:val="0"/>
        <w:spacing w:before="78" w:line="240" w:lineRule="auto"/>
        <w:ind w:left="4015"/>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一、说明</w:t>
      </w:r>
    </w:p>
    <w:p w14:paraId="67614926">
      <w:pPr>
        <w:keepNext w:val="0"/>
        <w:keepLines w:val="0"/>
        <w:pageBreakBefore w:val="0"/>
        <w:widowControl w:val="0"/>
        <w:wordWrap/>
        <w:overflowPunct/>
        <w:topLinePunct w:val="0"/>
        <w:bidi w:val="0"/>
        <w:spacing w:before="180" w:line="240" w:lineRule="auto"/>
        <w:ind w:left="498"/>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1.1</w:t>
      </w:r>
      <w:r>
        <w:rPr>
          <w:rFonts w:hint="eastAsia" w:ascii="仿宋" w:hAnsi="仿宋" w:eastAsia="仿宋" w:cs="仿宋"/>
          <w:color w:val="auto"/>
          <w:spacing w:val="0"/>
          <w:sz w:val="24"/>
          <w:szCs w:val="24"/>
          <w:highlight w:val="none"/>
        </w:rPr>
        <w:t xml:space="preserve"> </w:t>
      </w:r>
      <w:r>
        <w:rPr>
          <w:rFonts w:hint="eastAsia" w:ascii="仿宋" w:hAnsi="仿宋" w:eastAsia="仿宋" w:cs="仿宋"/>
          <w:b/>
          <w:bCs/>
          <w:color w:val="auto"/>
          <w:spacing w:val="0"/>
          <w:sz w:val="24"/>
          <w:szCs w:val="24"/>
          <w:highlight w:val="none"/>
        </w:rPr>
        <w:t>适用范围</w:t>
      </w:r>
    </w:p>
    <w:p w14:paraId="04D9FB6F">
      <w:pPr>
        <w:keepNext w:val="0"/>
        <w:keepLines w:val="0"/>
        <w:pageBreakBefore w:val="0"/>
        <w:widowControl w:val="0"/>
        <w:wordWrap/>
        <w:overflowPunct/>
        <w:topLinePunct w:val="0"/>
        <w:bidi w:val="0"/>
        <w:spacing w:before="181" w:line="240" w:lineRule="auto"/>
        <w:ind w:left="49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1.1.1 本磋商文件仅适用于本次磋商中所述项目的货物及相关服务的采购。</w:t>
      </w:r>
    </w:p>
    <w:p w14:paraId="00C66A88">
      <w:pPr>
        <w:keepNext w:val="0"/>
        <w:keepLines w:val="0"/>
        <w:pageBreakBefore w:val="0"/>
        <w:widowControl w:val="0"/>
        <w:wordWrap/>
        <w:overflowPunct/>
        <w:topLinePunct w:val="0"/>
        <w:bidi w:val="0"/>
        <w:spacing w:before="181" w:line="240" w:lineRule="auto"/>
        <w:ind w:left="498"/>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1.2</w:t>
      </w:r>
      <w:r>
        <w:rPr>
          <w:rFonts w:hint="eastAsia" w:ascii="仿宋" w:hAnsi="仿宋" w:eastAsia="仿宋" w:cs="仿宋"/>
          <w:color w:val="auto"/>
          <w:spacing w:val="0"/>
          <w:sz w:val="24"/>
          <w:szCs w:val="24"/>
          <w:highlight w:val="none"/>
        </w:rPr>
        <w:t xml:space="preserve"> </w:t>
      </w:r>
      <w:r>
        <w:rPr>
          <w:rFonts w:hint="eastAsia" w:ascii="仿宋" w:hAnsi="仿宋" w:eastAsia="仿宋" w:cs="仿宋"/>
          <w:b/>
          <w:bCs/>
          <w:color w:val="auto"/>
          <w:spacing w:val="0"/>
          <w:sz w:val="24"/>
          <w:szCs w:val="24"/>
          <w:highlight w:val="none"/>
        </w:rPr>
        <w:t>定义</w:t>
      </w:r>
    </w:p>
    <w:p w14:paraId="0EF9F8AB">
      <w:pPr>
        <w:keepNext w:val="0"/>
        <w:keepLines w:val="0"/>
        <w:pageBreakBefore w:val="0"/>
        <w:widowControl w:val="0"/>
        <w:wordWrap/>
        <w:overflowPunct/>
        <w:topLinePunct w:val="0"/>
        <w:bidi w:val="0"/>
        <w:spacing w:before="181" w:line="240" w:lineRule="auto"/>
        <w:ind w:left="49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1.2.1“采购人”是指：详见供应商须知前附表.</w:t>
      </w:r>
    </w:p>
    <w:p w14:paraId="5AC85329">
      <w:pPr>
        <w:keepNext w:val="0"/>
        <w:keepLines w:val="0"/>
        <w:pageBreakBefore w:val="0"/>
        <w:widowControl w:val="0"/>
        <w:wordWrap/>
        <w:overflowPunct/>
        <w:topLinePunct w:val="0"/>
        <w:bidi w:val="0"/>
        <w:spacing w:before="181"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1.2.2“采购代理机构”是指：详见供应商须知前附表.</w:t>
      </w:r>
    </w:p>
    <w:p w14:paraId="3521C138">
      <w:pPr>
        <w:keepNext w:val="0"/>
        <w:keepLines w:val="0"/>
        <w:pageBreakBefore w:val="0"/>
        <w:widowControl w:val="0"/>
        <w:wordWrap/>
        <w:overflowPunct/>
        <w:topLinePunct w:val="0"/>
        <w:bidi w:val="0"/>
        <w:spacing w:before="183"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1.2.3“监管部门”是指：详见供应商须知前附表.</w:t>
      </w:r>
    </w:p>
    <w:p w14:paraId="04B2AB92">
      <w:pPr>
        <w:keepNext w:val="0"/>
        <w:keepLines w:val="0"/>
        <w:pageBreakBefore w:val="0"/>
        <w:widowControl w:val="0"/>
        <w:wordWrap/>
        <w:overflowPunct/>
        <w:topLinePunct w:val="0"/>
        <w:bidi w:val="0"/>
        <w:spacing w:before="181" w:line="240" w:lineRule="auto"/>
        <w:ind w:left="2" w:firstLine="50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1.2.4“供应商”是指：响应磋商文件要求并且符合磋商文件规定资格条件和参加竞争性磋商的法人、其他组织或者自然人。</w:t>
      </w:r>
    </w:p>
    <w:p w14:paraId="73C354D0">
      <w:pPr>
        <w:keepNext w:val="0"/>
        <w:keepLines w:val="0"/>
        <w:pageBreakBefore w:val="0"/>
        <w:widowControl w:val="0"/>
        <w:wordWrap/>
        <w:overflowPunct/>
        <w:topLinePunct w:val="0"/>
        <w:bidi w:val="0"/>
        <w:spacing w:before="179" w:line="240" w:lineRule="auto"/>
        <w:ind w:left="5" w:firstLine="49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1.2.5“电子响应文件”是指：利用新疆政府采购网提供的“响应文件制作工具”编制加密的响应文件。</w:t>
      </w:r>
    </w:p>
    <w:p w14:paraId="2FA6C460">
      <w:pPr>
        <w:keepNext w:val="0"/>
        <w:keepLines w:val="0"/>
        <w:pageBreakBefore w:val="0"/>
        <w:widowControl w:val="0"/>
        <w:wordWrap/>
        <w:overflowPunct/>
        <w:topLinePunct w:val="0"/>
        <w:bidi w:val="0"/>
        <w:spacing w:before="180" w:line="240" w:lineRule="auto"/>
        <w:ind w:left="49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1.2.6“成交供应商”是指:是指经磋商小组评审，授予合同的供应商。</w:t>
      </w:r>
    </w:p>
    <w:p w14:paraId="5A6B7B8E">
      <w:pPr>
        <w:keepNext w:val="0"/>
        <w:keepLines w:val="0"/>
        <w:pageBreakBefore w:val="0"/>
        <w:widowControl w:val="0"/>
        <w:wordWrap/>
        <w:overflowPunct/>
        <w:topLinePunct w:val="0"/>
        <w:bidi w:val="0"/>
        <w:spacing w:before="304" w:line="240" w:lineRule="auto"/>
        <w:ind w:left="49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1.2.7采购人和采购代理机构统称为招标采购单位。</w:t>
      </w:r>
    </w:p>
    <w:p w14:paraId="3D43914D">
      <w:pPr>
        <w:keepNext w:val="0"/>
        <w:keepLines w:val="0"/>
        <w:pageBreakBefore w:val="0"/>
        <w:widowControl w:val="0"/>
        <w:wordWrap/>
        <w:overflowPunct/>
        <w:topLinePunct w:val="0"/>
        <w:bidi w:val="0"/>
        <w:spacing w:before="303" w:line="240" w:lineRule="auto"/>
        <w:ind w:left="50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1.3货物和服务</w:t>
      </w:r>
    </w:p>
    <w:p w14:paraId="40EB7439">
      <w:pPr>
        <w:keepNext w:val="0"/>
        <w:keepLines w:val="0"/>
        <w:pageBreakBefore w:val="0"/>
        <w:widowControl w:val="0"/>
        <w:wordWrap/>
        <w:overflowPunct/>
        <w:topLinePunct w:val="0"/>
        <w:bidi w:val="0"/>
        <w:spacing w:before="180" w:line="240" w:lineRule="auto"/>
        <w:ind w:firstLine="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14:paraId="128470D6">
      <w:pPr>
        <w:keepNext w:val="0"/>
        <w:keepLines w:val="0"/>
        <w:pageBreakBefore w:val="0"/>
        <w:widowControl w:val="0"/>
        <w:wordWrap/>
        <w:overflowPunct/>
        <w:topLinePunct w:val="0"/>
        <w:bidi w:val="0"/>
        <w:spacing w:before="186" w:line="240" w:lineRule="auto"/>
        <w:ind w:left="7" w:firstLine="496"/>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1.3.2“服务”是指：除货物和工程以外的其他政府采购对象。包括：政府自身需要的服务和政府向社会公众提供的公共服务。</w:t>
      </w:r>
    </w:p>
    <w:p w14:paraId="27C238AF">
      <w:pPr>
        <w:keepNext w:val="0"/>
        <w:keepLines w:val="0"/>
        <w:pageBreakBefore w:val="0"/>
        <w:widowControl w:val="0"/>
        <w:wordWrap/>
        <w:overflowPunct/>
        <w:topLinePunct w:val="0"/>
        <w:bidi w:val="0"/>
        <w:spacing w:before="184" w:line="240" w:lineRule="auto"/>
        <w:ind w:left="50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1.4磋商费用</w:t>
      </w:r>
    </w:p>
    <w:p w14:paraId="394CEC49">
      <w:pPr>
        <w:keepNext w:val="0"/>
        <w:keepLines w:val="0"/>
        <w:pageBreakBefore w:val="0"/>
        <w:widowControl w:val="0"/>
        <w:wordWrap/>
        <w:overflowPunct/>
        <w:topLinePunct w:val="0"/>
        <w:bidi w:val="0"/>
        <w:spacing w:before="179" w:line="240" w:lineRule="auto"/>
        <w:ind w:left="5" w:firstLine="49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1.4.1供应商应承担所有与准备和参加竞争性磋商有关的费用。不论磋商的结果如何，采购单位均无义务和责任承担这些费用。</w:t>
      </w:r>
    </w:p>
    <w:p w14:paraId="5E1506D8">
      <w:pPr>
        <w:keepNext w:val="0"/>
        <w:keepLines w:val="0"/>
        <w:pageBreakBefore w:val="0"/>
        <w:widowControl w:val="0"/>
        <w:wordWrap/>
        <w:overflowPunct/>
        <w:topLinePunct w:val="0"/>
        <w:bidi w:val="0"/>
        <w:spacing w:before="1" w:line="240" w:lineRule="auto"/>
        <w:ind w:left="3532"/>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二、磋商文件</w:t>
      </w:r>
    </w:p>
    <w:p w14:paraId="38DCF91A">
      <w:pPr>
        <w:keepNext w:val="0"/>
        <w:keepLines w:val="0"/>
        <w:pageBreakBefore w:val="0"/>
        <w:widowControl w:val="0"/>
        <w:wordWrap/>
        <w:overflowPunct/>
        <w:topLinePunct w:val="0"/>
        <w:bidi w:val="0"/>
        <w:spacing w:before="181" w:line="240" w:lineRule="auto"/>
        <w:ind w:left="486"/>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2.1磋商文件的构成</w:t>
      </w:r>
    </w:p>
    <w:p w14:paraId="6689B381">
      <w:pPr>
        <w:keepNext w:val="0"/>
        <w:keepLines w:val="0"/>
        <w:pageBreakBefore w:val="0"/>
        <w:widowControl w:val="0"/>
        <w:wordWrap/>
        <w:overflowPunct/>
        <w:topLinePunct w:val="0"/>
        <w:bidi w:val="0"/>
        <w:spacing w:before="180" w:line="240" w:lineRule="auto"/>
        <w:ind w:left="488"/>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2.1.1磋商文件由下列文件以及在采购过程中发出的修正和补充文件组成</w:t>
      </w:r>
      <w:r>
        <w:rPr>
          <w:rFonts w:hint="eastAsia" w:ascii="仿宋" w:hAnsi="仿宋" w:eastAsia="仿宋" w:cs="仿宋"/>
          <w:color w:val="auto"/>
          <w:spacing w:val="0"/>
          <w:sz w:val="24"/>
          <w:szCs w:val="24"/>
          <w:highlight w:val="none"/>
          <w:lang w:eastAsia="zh-CN"/>
        </w:rPr>
        <w:t>；</w:t>
      </w:r>
    </w:p>
    <w:p w14:paraId="3BEFF998">
      <w:pPr>
        <w:keepNext w:val="0"/>
        <w:keepLines w:val="0"/>
        <w:pageBreakBefore w:val="0"/>
        <w:widowControl w:val="0"/>
        <w:wordWrap/>
        <w:overflowPunct/>
        <w:topLinePunct w:val="0"/>
        <w:bidi w:val="0"/>
        <w:spacing w:before="183" w:line="240" w:lineRule="auto"/>
        <w:ind w:left="52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(1)磋商公告；</w:t>
      </w:r>
    </w:p>
    <w:p w14:paraId="505F4DB7">
      <w:pPr>
        <w:keepNext w:val="0"/>
        <w:keepLines w:val="0"/>
        <w:pageBreakBefore w:val="0"/>
        <w:widowControl w:val="0"/>
        <w:wordWrap/>
        <w:overflowPunct/>
        <w:topLinePunct w:val="0"/>
        <w:bidi w:val="0"/>
        <w:spacing w:before="78" w:line="240" w:lineRule="auto"/>
        <w:ind w:left="52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(2)供应商须知；</w:t>
      </w:r>
    </w:p>
    <w:p w14:paraId="185E9D1A">
      <w:pPr>
        <w:keepNext w:val="0"/>
        <w:keepLines w:val="0"/>
        <w:pageBreakBefore w:val="0"/>
        <w:widowControl w:val="0"/>
        <w:wordWrap/>
        <w:overflowPunct/>
        <w:topLinePunct w:val="0"/>
        <w:bidi w:val="0"/>
        <w:spacing w:before="78" w:line="240" w:lineRule="auto"/>
        <w:ind w:left="528"/>
        <w:rPr>
          <w:rFonts w:hint="eastAsia" w:ascii="仿宋" w:hAnsi="仿宋" w:eastAsia="仿宋" w:cs="仿宋"/>
          <w:color w:val="auto"/>
          <w:spacing w:val="0"/>
          <w:sz w:val="24"/>
          <w:szCs w:val="24"/>
          <w:highlight w:val="none"/>
        </w:rPr>
      </w:pPr>
      <w:r>
        <w:rPr>
          <w:rFonts w:ascii="宋体" w:hAnsi="宋体" w:eastAsia="宋体" w:cs="宋体"/>
          <w:color w:val="auto"/>
          <w:spacing w:val="0"/>
          <w:sz w:val="24"/>
          <w:szCs w:val="24"/>
          <w:highlight w:val="none"/>
        </w:rPr>
        <w:t>(3</w:t>
      </w:r>
      <w:r>
        <w:rPr>
          <w:rFonts w:hint="eastAsia" w:ascii="仿宋" w:hAnsi="仿宋" w:eastAsia="仿宋" w:cs="仿宋"/>
          <w:color w:val="auto"/>
          <w:spacing w:val="0"/>
          <w:sz w:val="24"/>
          <w:szCs w:val="24"/>
          <w:highlight w:val="none"/>
        </w:rPr>
        <w:t>)采购项目技术规格、参数及相关服务要求；</w:t>
      </w:r>
    </w:p>
    <w:p w14:paraId="771BC91C">
      <w:pPr>
        <w:keepNext w:val="0"/>
        <w:keepLines w:val="0"/>
        <w:pageBreakBefore w:val="0"/>
        <w:widowControl w:val="0"/>
        <w:wordWrap/>
        <w:overflowPunct/>
        <w:topLinePunct w:val="0"/>
        <w:bidi w:val="0"/>
        <w:spacing w:before="181" w:line="240" w:lineRule="auto"/>
        <w:ind w:left="52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(4)评审方法、步骤、标准；</w:t>
      </w:r>
    </w:p>
    <w:p w14:paraId="4DB56653">
      <w:pPr>
        <w:keepNext w:val="0"/>
        <w:keepLines w:val="0"/>
        <w:pageBreakBefore w:val="0"/>
        <w:widowControl w:val="0"/>
        <w:wordWrap/>
        <w:overflowPunct/>
        <w:topLinePunct w:val="0"/>
        <w:bidi w:val="0"/>
        <w:spacing w:before="183" w:line="240" w:lineRule="auto"/>
        <w:ind w:left="52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(5)合同格式及合同条款；</w:t>
      </w:r>
    </w:p>
    <w:p w14:paraId="4C24D1C5">
      <w:pPr>
        <w:keepNext w:val="0"/>
        <w:keepLines w:val="0"/>
        <w:pageBreakBefore w:val="0"/>
        <w:widowControl w:val="0"/>
        <w:wordWrap/>
        <w:overflowPunct/>
        <w:topLinePunct w:val="0"/>
        <w:bidi w:val="0"/>
        <w:spacing w:before="180" w:line="240" w:lineRule="auto"/>
        <w:ind w:left="52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(6)响应文件格式；</w:t>
      </w:r>
    </w:p>
    <w:p w14:paraId="5F77BE86">
      <w:pPr>
        <w:keepNext w:val="0"/>
        <w:keepLines w:val="0"/>
        <w:pageBreakBefore w:val="0"/>
        <w:widowControl w:val="0"/>
        <w:wordWrap/>
        <w:overflowPunct/>
        <w:topLinePunct w:val="0"/>
        <w:bidi w:val="0"/>
        <w:spacing w:before="183" w:line="240" w:lineRule="auto"/>
        <w:ind w:left="52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(7)在磋商过程中由采购单位发出的澄清和补充文件等。</w:t>
      </w:r>
    </w:p>
    <w:p w14:paraId="720127DC">
      <w:pPr>
        <w:keepNext w:val="0"/>
        <w:keepLines w:val="0"/>
        <w:pageBreakBefore w:val="0"/>
        <w:widowControl w:val="0"/>
        <w:wordWrap/>
        <w:overflowPunct/>
        <w:topLinePunct w:val="0"/>
        <w:bidi w:val="0"/>
        <w:spacing w:before="181" w:line="240" w:lineRule="auto"/>
        <w:ind w:left="3" w:right="12" w:firstLine="485"/>
        <w:jc w:val="both"/>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49C81321">
      <w:pPr>
        <w:keepNext w:val="0"/>
        <w:keepLines w:val="0"/>
        <w:pageBreakBefore w:val="0"/>
        <w:widowControl w:val="0"/>
        <w:wordWrap/>
        <w:overflowPunct/>
        <w:topLinePunct w:val="0"/>
        <w:bidi w:val="0"/>
        <w:spacing w:before="1" w:line="240" w:lineRule="auto"/>
        <w:ind w:left="487"/>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2.2.磋商文件的澄清</w:t>
      </w:r>
    </w:p>
    <w:p w14:paraId="7D814AAA">
      <w:pPr>
        <w:keepNext w:val="0"/>
        <w:keepLines w:val="0"/>
        <w:pageBreakBefore w:val="0"/>
        <w:widowControl w:val="0"/>
        <w:wordWrap/>
        <w:overflowPunct/>
        <w:topLinePunct w:val="0"/>
        <w:bidi w:val="0"/>
        <w:spacing w:before="185" w:line="240" w:lineRule="auto"/>
        <w:ind w:right="12"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2.2.1供应商应仔细阅读和检查磋商文件的全部内容。供应商若对磋商文件有任何疑问，均应在响应文件递交截止时间5日前，按磋商公告中的联系地址以书面形式送达采购代理机构，采购代理机构将以书面形式予以答复。答复中包括原提出的问题，但不包括问题的来源。</w:t>
      </w:r>
    </w:p>
    <w:p w14:paraId="2E771731">
      <w:pPr>
        <w:keepNext w:val="0"/>
        <w:keepLines w:val="0"/>
        <w:pageBreakBefore w:val="0"/>
        <w:widowControl w:val="0"/>
        <w:wordWrap/>
        <w:overflowPunct/>
        <w:topLinePunct w:val="0"/>
        <w:bidi w:val="0"/>
        <w:spacing w:before="182" w:line="240" w:lineRule="auto"/>
        <w:ind w:right="12" w:firstLine="46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2.2.2供应商在本项目采购公告期限届满之日起5个工作日内未对磋商文件提出异议的，采购单位将视其为同意。在规定的时间后就磋商文件内容提出的质疑将不予受理。</w:t>
      </w:r>
    </w:p>
    <w:p w14:paraId="7454E550">
      <w:pPr>
        <w:keepNext w:val="0"/>
        <w:keepLines w:val="0"/>
        <w:pageBreakBefore w:val="0"/>
        <w:widowControl w:val="0"/>
        <w:wordWrap/>
        <w:overflowPunct/>
        <w:topLinePunct w:val="0"/>
        <w:bidi w:val="0"/>
        <w:spacing w:before="181" w:line="240" w:lineRule="auto"/>
        <w:ind w:left="487"/>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2.3.磋商文件的修改</w:t>
      </w:r>
    </w:p>
    <w:p w14:paraId="735229DA">
      <w:pPr>
        <w:keepNext w:val="0"/>
        <w:keepLines w:val="0"/>
        <w:pageBreakBefore w:val="0"/>
        <w:widowControl w:val="0"/>
        <w:wordWrap/>
        <w:overflowPunct/>
        <w:topLinePunct w:val="0"/>
        <w:bidi w:val="0"/>
        <w:spacing w:before="184" w:line="240" w:lineRule="auto"/>
        <w:ind w:left="3" w:right="96" w:firstLine="46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2.3.1采购代理机构可以对已发出的磋商文件进行必要的澄清或者修改。澄清或者修改的内容可能影响响应文件编制的，采购单位将在响应文件递交截止时间五日前，以书面通知已领取磋商文件的潜在供应商。</w:t>
      </w:r>
    </w:p>
    <w:p w14:paraId="593E3A71">
      <w:pPr>
        <w:keepNext w:val="0"/>
        <w:keepLines w:val="0"/>
        <w:pageBreakBefore w:val="0"/>
        <w:widowControl w:val="0"/>
        <w:wordWrap/>
        <w:overflowPunct/>
        <w:topLinePunct w:val="0"/>
        <w:bidi w:val="0"/>
        <w:spacing w:before="183" w:line="240" w:lineRule="auto"/>
        <w:ind w:left="46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2.3.2澄清或者修改的内容是磋商文件的组成部分，对供应商具有约束力。</w:t>
      </w:r>
    </w:p>
    <w:p w14:paraId="3DD946AE">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2.3.3为使供应商有充足的时间对磋商文件的修改部分进行研究，采购代理机构可适当推迟响应文件递交截止时间，并以书面通知所有登记备案并领取了磋商文件的潜在供应商。</w:t>
      </w:r>
    </w:p>
    <w:p w14:paraId="20B37FBF">
      <w:pPr>
        <w:keepNext w:val="0"/>
        <w:keepLines w:val="0"/>
        <w:pageBreakBefore w:val="0"/>
        <w:widowControl w:val="0"/>
        <w:wordWrap/>
        <w:overflowPunct/>
        <w:topLinePunct w:val="0"/>
        <w:bidi w:val="0"/>
        <w:spacing w:before="181" w:line="240" w:lineRule="auto"/>
        <w:ind w:left="6" w:firstLine="45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2.3.4因供应商原因未及时获知澄清、修改或补充内容而导致的任何后果将由供应商自行承担。</w:t>
      </w:r>
    </w:p>
    <w:p w14:paraId="280672FA">
      <w:pPr>
        <w:keepNext w:val="0"/>
        <w:keepLines w:val="0"/>
        <w:pageBreakBefore w:val="0"/>
        <w:widowControl w:val="0"/>
        <w:wordWrap/>
        <w:overflowPunct/>
        <w:topLinePunct w:val="0"/>
        <w:bidi w:val="0"/>
        <w:spacing w:before="183" w:line="240" w:lineRule="auto"/>
        <w:ind w:left="2807"/>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三、响应文件的编制和数量</w:t>
      </w:r>
    </w:p>
    <w:p w14:paraId="58361692">
      <w:pPr>
        <w:keepNext w:val="0"/>
        <w:keepLines w:val="0"/>
        <w:pageBreakBefore w:val="0"/>
        <w:widowControl w:val="0"/>
        <w:wordWrap/>
        <w:overflowPunct/>
        <w:topLinePunct w:val="0"/>
        <w:bidi w:val="0"/>
        <w:spacing w:before="181" w:line="240" w:lineRule="auto"/>
        <w:ind w:left="489"/>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3.1．响应文件的语言</w:t>
      </w:r>
    </w:p>
    <w:p w14:paraId="0D7EDEBA">
      <w:pPr>
        <w:keepNext w:val="0"/>
        <w:keepLines w:val="0"/>
        <w:pageBreakBefore w:val="0"/>
        <w:widowControl w:val="0"/>
        <w:wordWrap/>
        <w:overflowPunct/>
        <w:topLinePunct w:val="0"/>
        <w:bidi w:val="0"/>
        <w:spacing w:before="182" w:line="240" w:lineRule="auto"/>
        <w:ind w:right="12" w:firstLine="46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2BA4862D">
      <w:pPr>
        <w:keepNext w:val="0"/>
        <w:keepLines w:val="0"/>
        <w:pageBreakBefore w:val="0"/>
        <w:widowControl w:val="0"/>
        <w:wordWrap/>
        <w:overflowPunct/>
        <w:topLinePunct w:val="0"/>
        <w:bidi w:val="0"/>
        <w:spacing w:line="240" w:lineRule="auto"/>
        <w:ind w:left="488"/>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3.2响应文件的构成</w:t>
      </w:r>
    </w:p>
    <w:p w14:paraId="55B897C7">
      <w:pPr>
        <w:keepNext w:val="0"/>
        <w:keepLines w:val="0"/>
        <w:pageBreakBefore w:val="0"/>
        <w:widowControl w:val="0"/>
        <w:wordWrap/>
        <w:overflowPunct/>
        <w:topLinePunct w:val="0"/>
        <w:bidi w:val="0"/>
        <w:spacing w:before="179" w:line="240" w:lineRule="auto"/>
        <w:ind w:left="49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3.2.1供应商编制的响应文件应包括但不少于下列内容：</w:t>
      </w:r>
    </w:p>
    <w:p w14:paraId="3B45A4D5">
      <w:pPr>
        <w:keepNext w:val="0"/>
        <w:keepLines w:val="0"/>
        <w:pageBreakBefore w:val="0"/>
        <w:widowControl w:val="0"/>
        <w:wordWrap/>
        <w:overflowPunct/>
        <w:topLinePunct w:val="0"/>
        <w:bidi w:val="0"/>
        <w:spacing w:before="183" w:line="240" w:lineRule="auto"/>
        <w:ind w:left="49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（1)商务文件内容（详见第六章商务文件组成）</w:t>
      </w:r>
    </w:p>
    <w:p w14:paraId="50E84A84">
      <w:pPr>
        <w:keepNext w:val="0"/>
        <w:keepLines w:val="0"/>
        <w:pageBreakBefore w:val="0"/>
        <w:widowControl w:val="0"/>
        <w:wordWrap/>
        <w:overflowPunct/>
        <w:topLinePunct w:val="0"/>
        <w:bidi w:val="0"/>
        <w:spacing w:before="181" w:line="240" w:lineRule="auto"/>
        <w:ind w:left="49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（2)技术文件内容（详见第六章技术文件组成）</w:t>
      </w:r>
    </w:p>
    <w:p w14:paraId="4715B88F">
      <w:pPr>
        <w:keepNext w:val="0"/>
        <w:keepLines w:val="0"/>
        <w:pageBreakBefore w:val="0"/>
        <w:widowControl w:val="0"/>
        <w:wordWrap/>
        <w:overflowPunct/>
        <w:topLinePunct w:val="0"/>
        <w:bidi w:val="0"/>
        <w:spacing w:before="184" w:line="240" w:lineRule="auto"/>
        <w:ind w:left="488"/>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3.3响应文件编制</w:t>
      </w:r>
    </w:p>
    <w:p w14:paraId="0E1DE7AA">
      <w:pPr>
        <w:keepNext w:val="0"/>
        <w:keepLines w:val="0"/>
        <w:pageBreakBefore w:val="0"/>
        <w:widowControl w:val="0"/>
        <w:wordWrap/>
        <w:overflowPunct/>
        <w:topLinePunct w:val="0"/>
        <w:bidi w:val="0"/>
        <w:spacing w:before="182" w:line="240" w:lineRule="auto"/>
        <w:ind w:left="1"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3.3.1电子响应文件制作时，应按照统一的“响应文件制作工具”和磋商文件中明确的响应文件目录和投标技术规格、参数及相关要求格式进行编制，保证目录清晰、内容完整。</w:t>
      </w:r>
    </w:p>
    <w:p w14:paraId="2470E3A6">
      <w:pPr>
        <w:keepNext w:val="0"/>
        <w:keepLines w:val="0"/>
        <w:pageBreakBefore w:val="0"/>
        <w:widowControl w:val="0"/>
        <w:wordWrap/>
        <w:overflowPunct/>
        <w:topLinePunct w:val="0"/>
        <w:bidi w:val="0"/>
        <w:spacing w:before="183" w:line="240" w:lineRule="auto"/>
        <w:ind w:left="49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3.3.2供应商应按照供应商须知前附表要求的份数编制响应文件。</w:t>
      </w:r>
    </w:p>
    <w:p w14:paraId="5D8476CE">
      <w:pPr>
        <w:keepNext w:val="0"/>
        <w:keepLines w:val="0"/>
        <w:pageBreakBefore w:val="0"/>
        <w:widowControl w:val="0"/>
        <w:wordWrap/>
        <w:overflowPunct/>
        <w:topLinePunct w:val="0"/>
        <w:bidi w:val="0"/>
        <w:spacing w:before="181" w:line="240" w:lineRule="auto"/>
        <w:ind w:left="49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3.3.3以网上提交的（加密）电子响应文件为准。</w:t>
      </w:r>
    </w:p>
    <w:p w14:paraId="4ABAA8A4">
      <w:pPr>
        <w:keepNext w:val="0"/>
        <w:keepLines w:val="0"/>
        <w:pageBreakBefore w:val="0"/>
        <w:widowControl w:val="0"/>
        <w:wordWrap/>
        <w:overflowPunct/>
        <w:topLinePunct w:val="0"/>
        <w:bidi w:val="0"/>
        <w:spacing w:before="182" w:line="240" w:lineRule="auto"/>
        <w:ind w:left="13" w:firstLine="47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3.3.4供应商因自身原因导致电子响应文件无法上传至新疆政采云系统的，该响应文件视为无效文件。</w:t>
      </w:r>
    </w:p>
    <w:p w14:paraId="22484E50">
      <w:pPr>
        <w:keepNext w:val="0"/>
        <w:keepLines w:val="0"/>
        <w:pageBreakBefore w:val="0"/>
        <w:widowControl w:val="0"/>
        <w:wordWrap/>
        <w:overflowPunct/>
        <w:topLinePunct w:val="0"/>
        <w:bidi w:val="0"/>
        <w:spacing w:before="183" w:line="240" w:lineRule="auto"/>
        <w:ind w:left="24" w:right="38" w:firstLine="466"/>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3.3.5电子响应文件具有法律效力,与其他形式的响应文件在内容和格式上等同，若响应文件与磋商文件要求不一致，其内容影响成交结果时，责任由供应商自行承担。</w:t>
      </w:r>
    </w:p>
    <w:p w14:paraId="56A3C2DA">
      <w:pPr>
        <w:keepNext w:val="0"/>
        <w:keepLines w:val="0"/>
        <w:pageBreakBefore w:val="0"/>
        <w:widowControl w:val="0"/>
        <w:wordWrap/>
        <w:overflowPunct/>
        <w:topLinePunct w:val="0"/>
        <w:bidi w:val="0"/>
        <w:spacing w:before="180" w:line="240" w:lineRule="auto"/>
        <w:ind w:left="2" w:firstLine="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3.3.6为了保证电子标书的合法性、安全性和完整性，电子响应文件转换完成后，应在规定区域加盖单位和法定代表人CA印章。电子响应文件若无CA电子签章，则视为无效文件。</w:t>
      </w:r>
    </w:p>
    <w:p w14:paraId="7EE5F066">
      <w:pPr>
        <w:keepNext w:val="0"/>
        <w:keepLines w:val="0"/>
        <w:pageBreakBefore w:val="0"/>
        <w:widowControl w:val="0"/>
        <w:wordWrap/>
        <w:overflowPunct/>
        <w:topLinePunct w:val="0"/>
        <w:bidi w:val="0"/>
        <w:spacing w:before="181" w:line="240" w:lineRule="auto"/>
        <w:ind w:left="5" w:firstLine="484"/>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3.3.7供应商应完整地填写磋商文件中提供的《竞争性磋商函》、《竞争性磋商报价一览表》、《竞争性磋商报价明细表》等磋商文件中规定的所有内容。</w:t>
      </w:r>
    </w:p>
    <w:p w14:paraId="67471A63">
      <w:pPr>
        <w:keepNext w:val="0"/>
        <w:keepLines w:val="0"/>
        <w:pageBreakBefore w:val="0"/>
        <w:widowControl w:val="0"/>
        <w:wordWrap/>
        <w:overflowPunct/>
        <w:topLinePunct w:val="0"/>
        <w:bidi w:val="0"/>
        <w:spacing w:before="182" w:line="240" w:lineRule="auto"/>
        <w:ind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3.3.8供应商必须保证响应文件所提供的全部资料真实可靠，并接受采购单位对其中任何资料进一步核实的要求。</w:t>
      </w:r>
    </w:p>
    <w:p w14:paraId="2D13A428">
      <w:pPr>
        <w:keepNext w:val="0"/>
        <w:keepLines w:val="0"/>
        <w:pageBreakBefore w:val="0"/>
        <w:widowControl w:val="0"/>
        <w:wordWrap/>
        <w:overflowPunct/>
        <w:topLinePunct w:val="0"/>
        <w:bidi w:val="0"/>
        <w:spacing w:before="182" w:line="240" w:lineRule="auto"/>
        <w:ind w:left="488"/>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3.4.磋商报价要求</w:t>
      </w:r>
    </w:p>
    <w:p w14:paraId="2FCECC06">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3.4.1供应商所提供的货物和服务均以人民币报价。</w:t>
      </w:r>
    </w:p>
    <w:p w14:paraId="478A3CC9">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3.4.2供应商应按照“第五章服务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42395AAB">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3.4.3《竞争性磋商报价明细表》填写时应响应下列要求：</w:t>
      </w:r>
    </w:p>
    <w:p w14:paraId="790B508D">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（1）对于报价免费的项目应标明“免费”；</w:t>
      </w:r>
    </w:p>
    <w:p w14:paraId="7221D062">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（2）所有根据合同或其它原因应由供应商支付的税款和其它应交纳的费用都要包括在供应商提交的磋商总价中；</w:t>
      </w:r>
    </w:p>
    <w:p w14:paraId="61E4AC80">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（3）应包含货物运至最终目的地的运输、保险和伴随货物服务的有关费用。</w:t>
      </w:r>
    </w:p>
    <w:p w14:paraId="4E348A06">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3.4.5每一种规格的货物、服务只允许有一个报价，否则将被视为无效投标。</w:t>
      </w:r>
    </w:p>
    <w:p w14:paraId="3063C8F6">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3.4.6供应商所报的总价在合同执行过程中是固定不变的，不得以任何理由予以变更。</w:t>
      </w:r>
    </w:p>
    <w:p w14:paraId="5546048B">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3.4.7供应商的最后磋商报价超过项目采购预算的为无效报价。</w:t>
      </w:r>
    </w:p>
    <w:p w14:paraId="3D6DEA91">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3.5备选方案（不允许）</w:t>
      </w:r>
    </w:p>
    <w:p w14:paraId="64128856">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3.5.1供应商应按照供应商须知前附表要求编制磋商备选方案，否则将被视为无效响应文件。</w:t>
      </w:r>
    </w:p>
    <w:p w14:paraId="08049017">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3.6联合体投标</w:t>
      </w:r>
    </w:p>
    <w:p w14:paraId="692763CA">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3.6.1两个供应商可以组成一个联合体，以一个供应商的身份共同参与磋商。</w:t>
      </w:r>
    </w:p>
    <w:p w14:paraId="79CCCF80">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6845FFBA">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3.6.3联合体各方之间必须签订联合磋商协议，明确约定联合体主体及各方承担的工作和相应的责任，其响应文件中必须提供联合磋商协议。</w:t>
      </w:r>
    </w:p>
    <w:p w14:paraId="28B4744D">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3.6.4以联合体形式参加政府采购活动的，联合体各方不得再单独参加或者与其他供应商另外组成联合体参加同一合同项下的政府采购活动。</w:t>
      </w:r>
    </w:p>
    <w:p w14:paraId="24B14880">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73380EC0">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3.6.6联合体成交的，联合体各方应当共同与采购人签订采购合同。</w:t>
      </w:r>
    </w:p>
    <w:p w14:paraId="542414F3">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3.6.7联合体中有同类资质的供应商按照联合体分工承担相同工作的，应当按照资质等级较低的供应商确定资质等级。</w:t>
      </w:r>
    </w:p>
    <w:p w14:paraId="0FF11E8F">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3.7.供应商资格证明文件</w:t>
      </w:r>
    </w:p>
    <w:p w14:paraId="7F7F8473">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3.7.1供应商应提交证明其有资格参加磋商和成交后有能力履行合同的文件，并作为其响应文件的一部分。</w:t>
      </w:r>
    </w:p>
    <w:p w14:paraId="12C6DFD3">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3.7.2资格证明文件必须真实可靠、不得伪造。</w:t>
      </w:r>
    </w:p>
    <w:p w14:paraId="190AEA0B">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3.7.3供应商相关资格证明文件：</w:t>
      </w:r>
    </w:p>
    <w:p w14:paraId="607382BC">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1.满足《中华人民共和国政府采购法》第二十二条规定；</w:t>
      </w:r>
    </w:p>
    <w:p w14:paraId="07AD56FB">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2.落实政府采购政策需满足的资格要求：标项1：本项目专门面向中小微企业</w:t>
      </w:r>
    </w:p>
    <w:p w14:paraId="5F6CFDA7">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3.本项目的特定资格要求：</w:t>
      </w:r>
    </w:p>
    <w:p w14:paraId="31B1D753">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（1）在中华人民共和国境内注册，具有独立法人资格，需具备有效的营业执照；</w:t>
      </w:r>
    </w:p>
    <w:p w14:paraId="6C4225BE">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（2）项目负责人具有水利专业高级职称证书；</w:t>
      </w:r>
    </w:p>
    <w:p w14:paraId="22E60351">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247F949">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供应商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w:t>
      </w:r>
    </w:p>
    <w:p w14:paraId="0308FCE1">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3.7.4证明投标货物、服务的合格性和符合磋商文件规定的文件。</w:t>
      </w:r>
    </w:p>
    <w:p w14:paraId="24754C48">
      <w:pPr>
        <w:keepNext w:val="0"/>
        <w:keepLines w:val="0"/>
        <w:pageBreakBefore w:val="0"/>
        <w:widowControl w:val="0"/>
        <w:wordWrap/>
        <w:overflowPunct/>
        <w:topLinePunct w:val="0"/>
        <w:bidi w:val="0"/>
        <w:spacing w:before="181" w:line="240" w:lineRule="auto"/>
        <w:ind w:left="3"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采取资格预审方式项目的供应商在递交响应文件时，其资格条件与资格预审时发生变化的，提交变化后的资料。</w:t>
      </w:r>
    </w:p>
    <w:p w14:paraId="31CA6224">
      <w:pPr>
        <w:keepNext w:val="0"/>
        <w:keepLines w:val="0"/>
        <w:pageBreakBefore w:val="0"/>
        <w:widowControl w:val="0"/>
        <w:wordWrap/>
        <w:overflowPunct/>
        <w:topLinePunct w:val="0"/>
        <w:bidi w:val="0"/>
        <w:spacing w:line="240" w:lineRule="auto"/>
        <w:ind w:left="489"/>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3.8.磋商保证金</w:t>
      </w:r>
    </w:p>
    <w:p w14:paraId="5DEF459E">
      <w:pPr>
        <w:keepNext w:val="0"/>
        <w:keepLines w:val="0"/>
        <w:pageBreakBefore w:val="0"/>
        <w:widowControl w:val="0"/>
        <w:wordWrap/>
        <w:overflowPunct/>
        <w:topLinePunct w:val="0"/>
        <w:bidi w:val="0"/>
        <w:spacing w:before="180" w:line="240" w:lineRule="auto"/>
        <w:ind w:left="2"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3.8.1供应商应在响应文件截止时间之前，通过账户，将所规定数额的保证金以转账或电汇方式缴纳至该项目所对应的保证金收取账号内（不接受现金缴纳）。保证金缴纳时间以该项目所对应的保证金收取账号中显示的到账时间为准。</w:t>
      </w:r>
    </w:p>
    <w:p w14:paraId="4D050748">
      <w:pPr>
        <w:keepNext w:val="0"/>
        <w:keepLines w:val="0"/>
        <w:pageBreakBefore w:val="0"/>
        <w:widowControl w:val="0"/>
        <w:wordWrap/>
        <w:overflowPunct/>
        <w:topLinePunct w:val="0"/>
        <w:bidi w:val="0"/>
        <w:spacing w:before="179" w:line="240" w:lineRule="auto"/>
        <w:ind w:right="80" w:firstLine="49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3.8.2对于未能按要求提交保证金的将视为未响应磋商文件的要求，其响应文件无效。</w:t>
      </w:r>
    </w:p>
    <w:p w14:paraId="52BDF2FD">
      <w:pPr>
        <w:keepNext w:val="0"/>
        <w:keepLines w:val="0"/>
        <w:pageBreakBefore w:val="0"/>
        <w:widowControl w:val="0"/>
        <w:wordWrap/>
        <w:overflowPunct/>
        <w:topLinePunct w:val="0"/>
        <w:bidi w:val="0"/>
        <w:spacing w:before="182" w:line="240" w:lineRule="auto"/>
        <w:ind w:left="2" w:right="80"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3.8.3未成交的供应商，其保证金在成交公告发布后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07E3A9BE">
      <w:pPr>
        <w:keepNext w:val="0"/>
        <w:keepLines w:val="0"/>
        <w:pageBreakBefore w:val="0"/>
        <w:widowControl w:val="0"/>
        <w:wordWrap/>
        <w:overflowPunct/>
        <w:topLinePunct w:val="0"/>
        <w:bidi w:val="0"/>
        <w:spacing w:before="179" w:line="240" w:lineRule="auto"/>
        <w:ind w:right="118" w:firstLine="49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4401CDDA">
      <w:pPr>
        <w:pStyle w:val="8"/>
        <w:keepNext w:val="0"/>
        <w:keepLines w:val="0"/>
        <w:pageBreakBefore w:val="0"/>
        <w:widowControl w:val="0"/>
        <w:wordWrap/>
        <w:overflowPunct/>
        <w:topLinePunct w:val="0"/>
        <w:bidi w:val="0"/>
        <w:spacing w:line="240" w:lineRule="auto"/>
        <w:rPr>
          <w:color w:val="auto"/>
          <w:spacing w:val="0"/>
          <w:highlight w:val="none"/>
        </w:rPr>
      </w:pPr>
      <w:r>
        <w:rPr>
          <w:rFonts w:hint="eastAsia" w:ascii="仿宋" w:hAnsi="仿宋" w:eastAsia="仿宋" w:cs="仿宋"/>
          <w:color w:val="auto"/>
          <w:spacing w:val="0"/>
          <w:sz w:val="24"/>
          <w:szCs w:val="24"/>
          <w:highlight w:val="none"/>
        </w:rPr>
        <w:t>3.8.5有下列情形之一的，保证金将被没收：</w:t>
      </w:r>
    </w:p>
    <w:p w14:paraId="5CDC6240">
      <w:pPr>
        <w:keepNext w:val="0"/>
        <w:keepLines w:val="0"/>
        <w:pageBreakBefore w:val="0"/>
        <w:widowControl w:val="0"/>
        <w:wordWrap/>
        <w:overflowPunct/>
        <w:topLinePunct w:val="0"/>
        <w:bidi w:val="0"/>
        <w:spacing w:before="179" w:line="240" w:lineRule="auto"/>
        <w:ind w:right="118" w:firstLine="49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在投标有效期内撤销</w:t>
      </w:r>
      <w:r>
        <w:rPr>
          <w:rFonts w:hint="eastAsia" w:ascii="仿宋" w:hAnsi="仿宋" w:eastAsia="仿宋" w:cs="仿宋"/>
          <w:color w:val="auto"/>
          <w:spacing w:val="0"/>
          <w:sz w:val="24"/>
          <w:szCs w:val="24"/>
          <w:highlight w:val="none"/>
          <w:lang w:val="en-US" w:eastAsia="zh-CN"/>
        </w:rPr>
        <w:t>响应</w:t>
      </w:r>
      <w:r>
        <w:rPr>
          <w:rFonts w:hint="eastAsia" w:ascii="仿宋" w:hAnsi="仿宋" w:eastAsia="仿宋" w:cs="仿宋"/>
          <w:color w:val="auto"/>
          <w:spacing w:val="0"/>
          <w:sz w:val="24"/>
          <w:szCs w:val="24"/>
          <w:highlight w:val="none"/>
          <w:lang w:eastAsia="zh-CN"/>
        </w:rPr>
        <w:t>文件</w:t>
      </w:r>
      <w:r>
        <w:rPr>
          <w:rFonts w:hint="eastAsia" w:ascii="仿宋" w:hAnsi="仿宋" w:eastAsia="仿宋" w:cs="仿宋"/>
          <w:color w:val="auto"/>
          <w:spacing w:val="0"/>
          <w:sz w:val="24"/>
          <w:szCs w:val="24"/>
          <w:highlight w:val="none"/>
        </w:rPr>
        <w:t>；</w:t>
      </w:r>
    </w:p>
    <w:p w14:paraId="2E76CBC3">
      <w:pPr>
        <w:keepNext w:val="0"/>
        <w:keepLines w:val="0"/>
        <w:pageBreakBefore w:val="0"/>
        <w:widowControl w:val="0"/>
        <w:wordWrap/>
        <w:overflowPunct/>
        <w:topLinePunct w:val="0"/>
        <w:bidi w:val="0"/>
        <w:spacing w:before="179" w:line="240" w:lineRule="auto"/>
        <w:ind w:right="118" w:firstLine="49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（2）中标人在收到中标通知书后，无正当理由不与</w:t>
      </w:r>
      <w:r>
        <w:rPr>
          <w:rFonts w:hint="eastAsia" w:ascii="仿宋" w:hAnsi="仿宋" w:eastAsia="仿宋" w:cs="仿宋"/>
          <w:color w:val="auto"/>
          <w:spacing w:val="0"/>
          <w:sz w:val="24"/>
          <w:szCs w:val="24"/>
          <w:highlight w:val="none"/>
          <w:lang w:eastAsia="zh-CN"/>
        </w:rPr>
        <w:t>采购人</w:t>
      </w:r>
      <w:r>
        <w:rPr>
          <w:rFonts w:hint="eastAsia" w:ascii="仿宋" w:hAnsi="仿宋" w:eastAsia="仿宋" w:cs="仿宋"/>
          <w:color w:val="auto"/>
          <w:spacing w:val="0"/>
          <w:sz w:val="24"/>
          <w:szCs w:val="24"/>
          <w:highlight w:val="none"/>
        </w:rPr>
        <w:t>订立合同，在签订合同时向</w:t>
      </w:r>
      <w:r>
        <w:rPr>
          <w:rFonts w:hint="eastAsia" w:ascii="仿宋" w:hAnsi="仿宋" w:eastAsia="仿宋" w:cs="仿宋"/>
          <w:color w:val="auto"/>
          <w:spacing w:val="0"/>
          <w:sz w:val="24"/>
          <w:szCs w:val="24"/>
          <w:highlight w:val="none"/>
          <w:lang w:eastAsia="zh-CN"/>
        </w:rPr>
        <w:t>采购人</w:t>
      </w:r>
      <w:r>
        <w:rPr>
          <w:rFonts w:hint="eastAsia" w:ascii="仿宋" w:hAnsi="仿宋" w:eastAsia="仿宋" w:cs="仿宋"/>
          <w:color w:val="auto"/>
          <w:spacing w:val="0"/>
          <w:sz w:val="24"/>
          <w:szCs w:val="24"/>
          <w:highlight w:val="none"/>
        </w:rPr>
        <w:t>提出附加条件，或者不按照竞争性磋商要求提交履约保证金；</w:t>
      </w:r>
    </w:p>
    <w:p w14:paraId="4164E14E">
      <w:pPr>
        <w:keepNext w:val="0"/>
        <w:keepLines w:val="0"/>
        <w:pageBreakBefore w:val="0"/>
        <w:widowControl w:val="0"/>
        <w:wordWrap/>
        <w:overflowPunct/>
        <w:topLinePunct w:val="0"/>
        <w:bidi w:val="0"/>
        <w:spacing w:before="179" w:line="240" w:lineRule="auto"/>
        <w:ind w:right="118" w:firstLine="49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（3）发生</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规定的其他可以不予退还投标保证金的情形。</w:t>
      </w:r>
    </w:p>
    <w:p w14:paraId="62F821DE">
      <w:pPr>
        <w:keepNext w:val="0"/>
        <w:keepLines w:val="0"/>
        <w:pageBreakBefore w:val="0"/>
        <w:widowControl w:val="0"/>
        <w:wordWrap/>
        <w:overflowPunct/>
        <w:topLinePunct w:val="0"/>
        <w:bidi w:val="0"/>
        <w:spacing w:before="182" w:line="240" w:lineRule="auto"/>
        <w:ind w:left="2" w:right="80"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3.8.6如开标时供应商对本单位投标保证金缴纳情况有疑义，供应商应在开标结束前向招标人提交书面申请核实保证金缴纳情况。由银行或保险公司核实后出具书面材料予以答复。</w:t>
      </w:r>
    </w:p>
    <w:p w14:paraId="5CB7511D">
      <w:pPr>
        <w:keepNext w:val="0"/>
        <w:keepLines w:val="0"/>
        <w:pageBreakBefore w:val="0"/>
        <w:widowControl w:val="0"/>
        <w:wordWrap/>
        <w:overflowPunct/>
        <w:topLinePunct w:val="0"/>
        <w:bidi w:val="0"/>
        <w:spacing w:before="182" w:line="240" w:lineRule="auto"/>
        <w:ind w:left="2" w:right="80"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3.8.7开标结束后，转账、电汇、网银形式缴纳的保证金由采购代理或采购人统一办理中标人和未中标人的保证金退还事宜。如本项目招标中遇质疑，投诉，复议等特殊情况，保证金退还时间按相关规定执行。</w:t>
      </w:r>
    </w:p>
    <w:p w14:paraId="38E43410">
      <w:pPr>
        <w:keepNext w:val="0"/>
        <w:keepLines w:val="0"/>
        <w:pageBreakBefore w:val="0"/>
        <w:widowControl w:val="0"/>
        <w:wordWrap/>
        <w:overflowPunct/>
        <w:topLinePunct w:val="0"/>
        <w:bidi w:val="0"/>
        <w:spacing w:before="182" w:line="240" w:lineRule="auto"/>
        <w:ind w:left="2" w:right="80"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3.9.磋商的有效期</w:t>
      </w:r>
    </w:p>
    <w:p w14:paraId="7095B413">
      <w:pPr>
        <w:keepNext w:val="0"/>
        <w:keepLines w:val="0"/>
        <w:pageBreakBefore w:val="0"/>
        <w:widowControl w:val="0"/>
        <w:wordWrap/>
        <w:overflowPunct/>
        <w:topLinePunct w:val="0"/>
        <w:bidi w:val="0"/>
        <w:spacing w:before="182" w:line="240" w:lineRule="auto"/>
        <w:ind w:left="2" w:right="80"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3.9.1磋商有效期详见供应商须知前附表。供应商响应文件中有效期不足的将被视为无效文件。</w:t>
      </w:r>
    </w:p>
    <w:p w14:paraId="2996E5DB">
      <w:pPr>
        <w:keepNext w:val="0"/>
        <w:keepLines w:val="0"/>
        <w:pageBreakBefore w:val="0"/>
        <w:widowControl w:val="0"/>
        <w:wordWrap/>
        <w:overflowPunct/>
        <w:topLinePunct w:val="0"/>
        <w:bidi w:val="0"/>
        <w:spacing w:before="182" w:line="240" w:lineRule="auto"/>
        <w:ind w:left="2" w:right="80"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3.9.2有效期内供应商未经采购结果确认谈判达成一致不得改变其磋商最后报价及承诺的全部义务。</w:t>
      </w:r>
    </w:p>
    <w:p w14:paraId="6A44625C">
      <w:pPr>
        <w:keepNext w:val="0"/>
        <w:keepLines w:val="0"/>
        <w:pageBreakBefore w:val="0"/>
        <w:widowControl w:val="0"/>
        <w:wordWrap/>
        <w:overflowPunct/>
        <w:topLinePunct w:val="0"/>
        <w:bidi w:val="0"/>
        <w:spacing w:before="183" w:line="240" w:lineRule="auto"/>
        <w:ind w:left="3192"/>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四、响应文件的递交</w:t>
      </w:r>
    </w:p>
    <w:p w14:paraId="270B7948">
      <w:pPr>
        <w:keepNext w:val="0"/>
        <w:keepLines w:val="0"/>
        <w:pageBreakBefore w:val="0"/>
        <w:widowControl w:val="0"/>
        <w:wordWrap/>
        <w:overflowPunct/>
        <w:topLinePunct w:val="0"/>
        <w:bidi w:val="0"/>
        <w:spacing w:before="181" w:line="240" w:lineRule="auto"/>
        <w:ind w:left="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4.1响应文件的密封和标记</w:t>
      </w:r>
    </w:p>
    <w:p w14:paraId="5BA9C269">
      <w:pPr>
        <w:keepNext w:val="0"/>
        <w:keepLines w:val="0"/>
        <w:pageBreakBefore w:val="0"/>
        <w:widowControl w:val="0"/>
        <w:wordWrap/>
        <w:overflowPunct/>
        <w:topLinePunct w:val="0"/>
        <w:bidi w:val="0"/>
        <w:spacing w:before="183" w:line="240" w:lineRule="auto"/>
        <w:ind w:firstLine="484"/>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4.1.1响应文件的密封和标记。电子响应文件的内容通过数字证书进行加密并签章。未按要求加密和数字证书认证的响应文件，电子评标系统将无法接受,采购代理机构不予受理。</w:t>
      </w:r>
    </w:p>
    <w:p w14:paraId="7E241162">
      <w:pPr>
        <w:keepNext w:val="0"/>
        <w:keepLines w:val="0"/>
        <w:pageBreakBefore w:val="0"/>
        <w:widowControl w:val="0"/>
        <w:wordWrap/>
        <w:overflowPunct/>
        <w:topLinePunct w:val="0"/>
        <w:bidi w:val="0"/>
        <w:spacing w:before="186" w:line="240" w:lineRule="auto"/>
        <w:ind w:left="1" w:firstLine="483"/>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4.1.2是否采用不见面开标方式详见供应商须知前附表，若本项目采用不见面开标，中标单位在开标后5日内提供密封不加密的电子版标书一份（U盘介质，U盘存储一份电子版标书或WORD版本一份）和纸质版响应文件</w:t>
      </w:r>
      <w:r>
        <w:rPr>
          <w:rFonts w:hint="eastAsia" w:ascii="仿宋" w:hAnsi="仿宋" w:eastAsia="仿宋" w:cs="仿宋"/>
          <w:b/>
          <w:bCs/>
          <w:color w:val="auto"/>
          <w:spacing w:val="0"/>
          <w:sz w:val="24"/>
          <w:szCs w:val="24"/>
          <w:highlight w:val="none"/>
          <w:lang w:eastAsia="zh-CN"/>
        </w:rPr>
        <w:t>三份</w:t>
      </w:r>
      <w:r>
        <w:rPr>
          <w:rFonts w:hint="eastAsia" w:ascii="仿宋" w:hAnsi="仿宋" w:eastAsia="仿宋" w:cs="仿宋"/>
          <w:b/>
          <w:bCs/>
          <w:color w:val="auto"/>
          <w:spacing w:val="0"/>
          <w:sz w:val="24"/>
          <w:szCs w:val="24"/>
          <w:highlight w:val="none"/>
        </w:rPr>
        <w:t>至招标代理公司处。纸质版响应文件内容须与电子版响应文件一致。</w:t>
      </w:r>
    </w:p>
    <w:p w14:paraId="04D37674">
      <w:pPr>
        <w:keepNext w:val="0"/>
        <w:keepLines w:val="0"/>
        <w:pageBreakBefore w:val="0"/>
        <w:widowControl w:val="0"/>
        <w:wordWrap/>
        <w:overflowPunct/>
        <w:topLinePunct w:val="0"/>
        <w:bidi w:val="0"/>
        <w:spacing w:before="181" w:line="240" w:lineRule="auto"/>
        <w:ind w:left="483"/>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4.2响应文件的递交</w:t>
      </w:r>
    </w:p>
    <w:p w14:paraId="1C42C2BD">
      <w:pPr>
        <w:keepNext w:val="0"/>
        <w:keepLines w:val="0"/>
        <w:pageBreakBefore w:val="0"/>
        <w:widowControl w:val="0"/>
        <w:wordWrap/>
        <w:overflowPunct/>
        <w:topLinePunct w:val="0"/>
        <w:bidi w:val="0"/>
        <w:spacing w:before="182" w:line="240" w:lineRule="auto"/>
        <w:ind w:left="2" w:right="80"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4.2.1供应商应在磋商文件规定的响应文件递交截止时间前将电子响应文件上传到新疆政采云（</w:t>
      </w:r>
      <w:r>
        <w:rPr>
          <w:rFonts w:hint="eastAsia" w:ascii="仿宋" w:hAnsi="仿宋" w:eastAsia="仿宋" w:cs="仿宋"/>
          <w:color w:val="auto"/>
          <w:spacing w:val="0"/>
          <w:sz w:val="24"/>
          <w:szCs w:val="24"/>
          <w:highlight w:val="none"/>
        </w:rPr>
        <w:fldChar w:fldCharType="begin"/>
      </w:r>
      <w:r>
        <w:rPr>
          <w:rFonts w:hint="eastAsia" w:ascii="仿宋" w:hAnsi="仿宋" w:eastAsia="仿宋" w:cs="仿宋"/>
          <w:color w:val="auto"/>
          <w:spacing w:val="0"/>
          <w:sz w:val="24"/>
          <w:szCs w:val="24"/>
          <w:highlight w:val="none"/>
        </w:rPr>
        <w:instrText xml:space="preserve"> HYPERLINK "http://ccgp-xinjiang.gov.cn/" </w:instrText>
      </w:r>
      <w:r>
        <w:rPr>
          <w:rFonts w:hint="eastAsia" w:ascii="仿宋" w:hAnsi="仿宋" w:eastAsia="仿宋" w:cs="仿宋"/>
          <w:color w:val="auto"/>
          <w:spacing w:val="0"/>
          <w:sz w:val="24"/>
          <w:szCs w:val="24"/>
          <w:highlight w:val="none"/>
        </w:rPr>
        <w:fldChar w:fldCharType="separate"/>
      </w:r>
      <w:r>
        <w:rPr>
          <w:rFonts w:hint="eastAsia" w:ascii="仿宋" w:hAnsi="仿宋" w:eastAsia="仿宋" w:cs="仿宋"/>
          <w:color w:val="auto"/>
          <w:spacing w:val="0"/>
          <w:sz w:val="24"/>
          <w:szCs w:val="24"/>
          <w:highlight w:val="none"/>
        </w:rPr>
        <w:t>http://ccgp-xinjiang.gov.cn/</w:t>
      </w:r>
      <w:r>
        <w:rPr>
          <w:rFonts w:hint="eastAsia" w:ascii="仿宋" w:hAnsi="仿宋" w:eastAsia="仿宋" w:cs="仿宋"/>
          <w:color w:val="auto"/>
          <w:spacing w:val="0"/>
          <w:sz w:val="24"/>
          <w:szCs w:val="24"/>
          <w:highlight w:val="none"/>
        </w:rPr>
        <w:fldChar w:fldCharType="end"/>
      </w:r>
      <w:r>
        <w:rPr>
          <w:rFonts w:hint="eastAsia" w:ascii="仿宋" w:hAnsi="仿宋" w:eastAsia="仿宋" w:cs="仿宋"/>
          <w:color w:val="auto"/>
          <w:spacing w:val="0"/>
          <w:sz w:val="24"/>
          <w:szCs w:val="24"/>
          <w:highlight w:val="none"/>
        </w:rPr>
        <w:t>）的指定栏目。未在响应文件递交截止时间前完成上传的电子响应文件视为逾期送达。逾期上传或未按规定方式上传的电子响应文件，采购代理机构不予受理。</w:t>
      </w:r>
    </w:p>
    <w:p w14:paraId="40017231">
      <w:pPr>
        <w:keepNext w:val="0"/>
        <w:keepLines w:val="0"/>
        <w:pageBreakBefore w:val="0"/>
        <w:widowControl w:val="0"/>
        <w:wordWrap/>
        <w:overflowPunct/>
        <w:topLinePunct w:val="0"/>
        <w:bidi w:val="0"/>
        <w:spacing w:before="182" w:line="240" w:lineRule="auto"/>
        <w:ind w:left="2" w:right="80"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4.2.2是否采用不见面开标详见供应商须知前附表，若项目采用不见面开标。只需将电子响应文件在投标截止时间前通过新疆政采云</w:t>
      </w:r>
    </w:p>
    <w:p w14:paraId="58D25E75">
      <w:pPr>
        <w:keepNext w:val="0"/>
        <w:keepLines w:val="0"/>
        <w:pageBreakBefore w:val="0"/>
        <w:widowControl w:val="0"/>
        <w:wordWrap/>
        <w:overflowPunct/>
        <w:topLinePunct w:val="0"/>
        <w:bidi w:val="0"/>
        <w:spacing w:before="182" w:line="240" w:lineRule="auto"/>
        <w:ind w:left="2" w:right="80"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rPr>
        <w:fldChar w:fldCharType="begin"/>
      </w:r>
      <w:r>
        <w:rPr>
          <w:rFonts w:hint="eastAsia" w:ascii="仿宋" w:hAnsi="仿宋" w:eastAsia="仿宋" w:cs="仿宋"/>
          <w:color w:val="auto"/>
          <w:spacing w:val="0"/>
          <w:sz w:val="24"/>
          <w:szCs w:val="24"/>
          <w:highlight w:val="none"/>
        </w:rPr>
        <w:instrText xml:space="preserve"> HYPERLINK "http://ccgp-xinjiang.gov.cn/" </w:instrText>
      </w:r>
      <w:r>
        <w:rPr>
          <w:rFonts w:hint="eastAsia" w:ascii="仿宋" w:hAnsi="仿宋" w:eastAsia="仿宋" w:cs="仿宋"/>
          <w:color w:val="auto"/>
          <w:spacing w:val="0"/>
          <w:sz w:val="24"/>
          <w:szCs w:val="24"/>
          <w:highlight w:val="none"/>
        </w:rPr>
        <w:fldChar w:fldCharType="separate"/>
      </w:r>
      <w:r>
        <w:rPr>
          <w:rFonts w:hint="eastAsia" w:ascii="仿宋" w:hAnsi="仿宋" w:eastAsia="仿宋" w:cs="仿宋"/>
          <w:color w:val="auto"/>
          <w:spacing w:val="0"/>
          <w:sz w:val="24"/>
          <w:szCs w:val="24"/>
          <w:highlight w:val="none"/>
        </w:rPr>
        <w:t>http://ccgp-xinjiang.gov.cn/</w:t>
      </w:r>
      <w:r>
        <w:rPr>
          <w:rFonts w:hint="eastAsia" w:ascii="仿宋" w:hAnsi="仿宋" w:eastAsia="仿宋" w:cs="仿宋"/>
          <w:color w:val="auto"/>
          <w:spacing w:val="0"/>
          <w:sz w:val="24"/>
          <w:szCs w:val="24"/>
          <w:highlight w:val="none"/>
        </w:rPr>
        <w:fldChar w:fldCharType="end"/>
      </w:r>
      <w:r>
        <w:rPr>
          <w:rFonts w:hint="eastAsia" w:ascii="仿宋" w:hAnsi="仿宋" w:eastAsia="仿宋" w:cs="仿宋"/>
          <w:color w:val="auto"/>
          <w:spacing w:val="0"/>
          <w:sz w:val="24"/>
          <w:szCs w:val="24"/>
          <w:highlight w:val="none"/>
        </w:rPr>
        <w:t>）加密上传完成。逾期上传的或者未上传到平台的响应文件，采购人不予受理。</w:t>
      </w:r>
    </w:p>
    <w:p w14:paraId="7E532002">
      <w:pPr>
        <w:keepNext w:val="0"/>
        <w:keepLines w:val="0"/>
        <w:pageBreakBefore w:val="0"/>
        <w:widowControl w:val="0"/>
        <w:wordWrap/>
        <w:overflowPunct/>
        <w:topLinePunct w:val="0"/>
        <w:bidi w:val="0"/>
        <w:spacing w:line="240" w:lineRule="auto"/>
        <w:ind w:left="483"/>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4.3迟交的响应文件</w:t>
      </w:r>
    </w:p>
    <w:p w14:paraId="7497A74A">
      <w:pPr>
        <w:keepNext w:val="0"/>
        <w:keepLines w:val="0"/>
        <w:pageBreakBefore w:val="0"/>
        <w:widowControl w:val="0"/>
        <w:wordWrap/>
        <w:overflowPunct/>
        <w:topLinePunct w:val="0"/>
        <w:bidi w:val="0"/>
        <w:spacing w:before="180" w:line="240" w:lineRule="auto"/>
        <w:ind w:right="144" w:firstLine="484"/>
        <w:jc w:val="both"/>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4.3.1采购代理机构将拒绝并原封退回在规定的响应文件递交截止期后送达的任何响应文件。由于对网上招标操作不熟悉或自身电脑、网络的原因导致不能在响应文件递交截止时间之前上传响应文件，采购代理机构不负任何责任。建议于开标前1个工作日完成响应文件的制作与上传。</w:t>
      </w:r>
    </w:p>
    <w:p w14:paraId="116877DC">
      <w:pPr>
        <w:keepNext w:val="0"/>
        <w:keepLines w:val="0"/>
        <w:pageBreakBefore w:val="0"/>
        <w:widowControl w:val="0"/>
        <w:wordWrap/>
        <w:overflowPunct/>
        <w:topLinePunct w:val="0"/>
        <w:bidi w:val="0"/>
        <w:spacing w:line="240" w:lineRule="auto"/>
        <w:ind w:left="483"/>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4.4响应文件的修改和撤回</w:t>
      </w:r>
    </w:p>
    <w:p w14:paraId="1835A719">
      <w:pPr>
        <w:keepNext w:val="0"/>
        <w:keepLines w:val="0"/>
        <w:pageBreakBefore w:val="0"/>
        <w:widowControl w:val="0"/>
        <w:wordWrap/>
        <w:overflowPunct/>
        <w:topLinePunct w:val="0"/>
        <w:bidi w:val="0"/>
        <w:spacing w:before="184" w:line="240" w:lineRule="auto"/>
        <w:ind w:right="41" w:firstLine="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64014796">
      <w:pPr>
        <w:keepNext w:val="0"/>
        <w:keepLines w:val="0"/>
        <w:pageBreakBefore w:val="0"/>
        <w:widowControl w:val="0"/>
        <w:wordWrap/>
        <w:overflowPunct/>
        <w:topLinePunct w:val="0"/>
        <w:bidi w:val="0"/>
        <w:spacing w:before="180" w:line="240" w:lineRule="auto"/>
        <w:ind w:right="144" w:firstLine="484"/>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4.4.2采购代理机构将拒绝并原封退回在规定的响应文件递交截止期后送达的任何响应文件。由于对网上招标操作不熟悉或自身电脑、网络的原因导致不能在响应文件递交截止时间之前上传响应文件，采购代理机构不负任何责任。建议于开标前1个工作日完成响应文件的制作与上传。</w:t>
      </w:r>
    </w:p>
    <w:p w14:paraId="5A20641D">
      <w:pPr>
        <w:keepNext w:val="0"/>
        <w:keepLines w:val="0"/>
        <w:pageBreakBefore w:val="0"/>
        <w:widowControl w:val="0"/>
        <w:wordWrap/>
        <w:overflowPunct/>
        <w:topLinePunct w:val="0"/>
        <w:bidi w:val="0"/>
        <w:spacing w:before="183" w:line="240" w:lineRule="auto"/>
        <w:ind w:left="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4.4.3供应商所提交的响应文件在评审结束后，无论中标与否都不退还。</w:t>
      </w:r>
    </w:p>
    <w:p w14:paraId="4FB56844">
      <w:pPr>
        <w:keepNext w:val="0"/>
        <w:keepLines w:val="0"/>
        <w:pageBreakBefore w:val="0"/>
        <w:widowControl w:val="0"/>
        <w:wordWrap/>
        <w:overflowPunct/>
        <w:topLinePunct w:val="0"/>
        <w:bidi w:val="0"/>
        <w:spacing w:before="184" w:line="240" w:lineRule="auto"/>
        <w:ind w:left="3173"/>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五、竞争性磋商程序</w:t>
      </w:r>
    </w:p>
    <w:p w14:paraId="7344D922">
      <w:pPr>
        <w:keepNext w:val="0"/>
        <w:keepLines w:val="0"/>
        <w:pageBreakBefore w:val="0"/>
        <w:widowControl w:val="0"/>
        <w:wordWrap/>
        <w:overflowPunct/>
        <w:topLinePunct w:val="0"/>
        <w:bidi w:val="0"/>
        <w:spacing w:before="181" w:line="240" w:lineRule="auto"/>
        <w:ind w:left="486"/>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5.1磋商小组的组成</w:t>
      </w:r>
    </w:p>
    <w:p w14:paraId="321BA831">
      <w:pPr>
        <w:keepNext w:val="0"/>
        <w:keepLines w:val="0"/>
        <w:pageBreakBefore w:val="0"/>
        <w:widowControl w:val="0"/>
        <w:wordWrap/>
        <w:overflowPunct/>
        <w:topLinePunct w:val="0"/>
        <w:bidi w:val="0"/>
        <w:spacing w:before="182" w:line="240" w:lineRule="auto"/>
        <w:ind w:left="4" w:right="41" w:firstLine="486"/>
        <w:jc w:val="both"/>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仿宋" w:hAnsi="仿宋" w:eastAsia="仿宋" w:cs="仿宋"/>
          <w:color w:val="auto"/>
          <w:spacing w:val="0"/>
          <w:highlight w:val="none"/>
        </w:rPr>
        <w:fldChar w:fldCharType="begin"/>
      </w:r>
      <w:r>
        <w:rPr>
          <w:rFonts w:hint="eastAsia" w:ascii="仿宋" w:hAnsi="仿宋" w:eastAsia="仿宋" w:cs="仿宋"/>
          <w:color w:val="auto"/>
          <w:spacing w:val="0"/>
          <w:highlight w:val="none"/>
        </w:rPr>
        <w:instrText xml:space="preserve"> HYPERLINK "file:///C:/Users/zww/Documents/WeChat%20Files/wxid_6509915098812/WordForm/e944b4b1-01b6-4e42-b170-f783fcf7903a.doc" </w:instrText>
      </w:r>
      <w:r>
        <w:rPr>
          <w:rFonts w:hint="eastAsia" w:ascii="仿宋" w:hAnsi="仿宋" w:eastAsia="仿宋" w:cs="仿宋"/>
          <w:color w:val="auto"/>
          <w:spacing w:val="0"/>
          <w:highlight w:val="none"/>
        </w:rPr>
        <w:fldChar w:fldCharType="separate"/>
      </w:r>
      <w:r>
        <w:rPr>
          <w:rFonts w:hint="eastAsia" w:ascii="仿宋" w:hAnsi="仿宋" w:eastAsia="仿宋" w:cs="仿宋"/>
          <w:color w:val="auto"/>
          <w:spacing w:val="0"/>
          <w:sz w:val="24"/>
          <w:szCs w:val="24"/>
          <w:highlight w:val="none"/>
        </w:rPr>
        <w:t>供应商须知</w:t>
      </w:r>
      <w:r>
        <w:rPr>
          <w:rFonts w:hint="eastAsia" w:ascii="仿宋" w:hAnsi="仿宋" w:eastAsia="仿宋" w:cs="仿宋"/>
          <w:color w:val="auto"/>
          <w:spacing w:val="0"/>
          <w:sz w:val="24"/>
          <w:szCs w:val="24"/>
          <w:highlight w:val="none"/>
        </w:rPr>
        <w:fldChar w:fldCharType="end"/>
      </w:r>
      <w:r>
        <w:rPr>
          <w:rFonts w:hint="eastAsia" w:ascii="仿宋" w:hAnsi="仿宋" w:eastAsia="仿宋" w:cs="仿宋"/>
          <w:color w:val="auto"/>
          <w:spacing w:val="0"/>
          <w:highlight w:val="none"/>
        </w:rPr>
        <w:fldChar w:fldCharType="begin"/>
      </w:r>
      <w:r>
        <w:rPr>
          <w:rFonts w:hint="eastAsia" w:ascii="仿宋" w:hAnsi="仿宋" w:eastAsia="仿宋" w:cs="仿宋"/>
          <w:color w:val="auto"/>
          <w:spacing w:val="0"/>
          <w:highlight w:val="none"/>
        </w:rPr>
        <w:instrText xml:space="preserve"> HYPERLINK "file:///C:/Users/zww/Documents/WeChat%20Files/wxid_6509915098812/WordForm/e944b4b1-01b6-4e42-b170-f783fcf7903a.doc" </w:instrText>
      </w:r>
      <w:r>
        <w:rPr>
          <w:rFonts w:hint="eastAsia" w:ascii="仿宋" w:hAnsi="仿宋" w:eastAsia="仿宋" w:cs="仿宋"/>
          <w:color w:val="auto"/>
          <w:spacing w:val="0"/>
          <w:highlight w:val="none"/>
        </w:rPr>
        <w:fldChar w:fldCharType="separate"/>
      </w:r>
      <w:r>
        <w:rPr>
          <w:rFonts w:hint="eastAsia" w:ascii="仿宋" w:hAnsi="仿宋" w:eastAsia="仿宋" w:cs="仿宋"/>
          <w:color w:val="auto"/>
          <w:spacing w:val="0"/>
          <w:sz w:val="24"/>
          <w:szCs w:val="24"/>
          <w:highlight w:val="none"/>
        </w:rPr>
        <w:t>前附表</w:t>
      </w:r>
      <w:r>
        <w:rPr>
          <w:rFonts w:hint="eastAsia" w:ascii="仿宋" w:hAnsi="仿宋" w:eastAsia="仿宋" w:cs="仿宋"/>
          <w:color w:val="auto"/>
          <w:spacing w:val="0"/>
          <w:sz w:val="24"/>
          <w:szCs w:val="24"/>
          <w:highlight w:val="none"/>
        </w:rPr>
        <w:fldChar w:fldCharType="end"/>
      </w:r>
      <w:r>
        <w:rPr>
          <w:rFonts w:hint="eastAsia" w:ascii="仿宋" w:hAnsi="仿宋" w:eastAsia="仿宋" w:cs="仿宋"/>
          <w:color w:val="auto"/>
          <w:spacing w:val="0"/>
          <w:sz w:val="24"/>
          <w:szCs w:val="24"/>
          <w:highlight w:val="none"/>
        </w:rPr>
        <w:t>。</w:t>
      </w:r>
    </w:p>
    <w:p w14:paraId="3A8BC06A">
      <w:pPr>
        <w:keepNext w:val="0"/>
        <w:keepLines w:val="0"/>
        <w:pageBreakBefore w:val="0"/>
        <w:widowControl w:val="0"/>
        <w:wordWrap/>
        <w:overflowPunct/>
        <w:topLinePunct w:val="0"/>
        <w:bidi w:val="0"/>
        <w:spacing w:line="240" w:lineRule="auto"/>
        <w:ind w:left="49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5.2磋商方法</w:t>
      </w:r>
    </w:p>
    <w:p w14:paraId="5B1E94B9">
      <w:pPr>
        <w:keepNext w:val="0"/>
        <w:keepLines w:val="0"/>
        <w:pageBreakBefore w:val="0"/>
        <w:widowControl w:val="0"/>
        <w:wordWrap/>
        <w:overflowPunct/>
        <w:topLinePunct w:val="0"/>
        <w:bidi w:val="0"/>
        <w:spacing w:before="179" w:line="240" w:lineRule="auto"/>
        <w:ind w:right="41" w:firstLine="49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5.2.1磋商小组将按照磋商文件确定的评审方法进行评审。磋商小组对响应文件的评审分为响应文件初审、澄清有关问题、比较与评价响应文件、推荐中标候选人名单。</w:t>
      </w:r>
    </w:p>
    <w:p w14:paraId="6624A5B3">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r>
        <w:rPr>
          <w:rFonts w:hint="eastAsia" w:ascii="仿宋" w:hAnsi="仿宋" w:eastAsia="仿宋" w:cs="仿宋"/>
          <w:color w:val="auto"/>
          <w:spacing w:val="0"/>
          <w:sz w:val="24"/>
          <w:szCs w:val="24"/>
          <w:highlight w:val="none"/>
        </w:rPr>
        <w:t>5.2.1项目评审方法详见磋商文件“第三章评审方法”。</w:t>
      </w:r>
    </w:p>
    <w:p w14:paraId="180C0A54">
      <w:pPr>
        <w:keepNext w:val="0"/>
        <w:keepLines w:val="0"/>
        <w:pageBreakBefore w:val="0"/>
        <w:widowControl w:val="0"/>
        <w:wordWrap/>
        <w:overflowPunct/>
        <w:topLinePunct w:val="0"/>
        <w:bidi w:val="0"/>
        <w:spacing w:before="78" w:line="240" w:lineRule="auto"/>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A．采用见面开标方式</w:t>
      </w:r>
    </w:p>
    <w:p w14:paraId="6C7A82D6">
      <w:pPr>
        <w:keepNext w:val="0"/>
        <w:keepLines w:val="0"/>
        <w:pageBreakBefore w:val="0"/>
        <w:widowControl w:val="0"/>
        <w:wordWrap/>
        <w:overflowPunct/>
        <w:topLinePunct w:val="0"/>
        <w:bidi w:val="0"/>
        <w:spacing w:before="181" w:line="240" w:lineRule="auto"/>
        <w:ind w:left="49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5.3响应文件的初审</w:t>
      </w:r>
    </w:p>
    <w:p w14:paraId="0EC39420">
      <w:pPr>
        <w:keepNext w:val="0"/>
        <w:keepLines w:val="0"/>
        <w:pageBreakBefore w:val="0"/>
        <w:widowControl w:val="0"/>
        <w:wordWrap/>
        <w:overflowPunct/>
        <w:topLinePunct w:val="0"/>
        <w:bidi w:val="0"/>
        <w:spacing w:before="183" w:line="240" w:lineRule="auto"/>
        <w:ind w:left="49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初审分为资格性检查和符合性检查。</w:t>
      </w:r>
    </w:p>
    <w:p w14:paraId="0C31984A">
      <w:pPr>
        <w:keepNext w:val="0"/>
        <w:keepLines w:val="0"/>
        <w:pageBreakBefore w:val="0"/>
        <w:widowControl w:val="0"/>
        <w:wordWrap/>
        <w:overflowPunct/>
        <w:topLinePunct w:val="0"/>
        <w:bidi w:val="0"/>
        <w:spacing w:before="180" w:line="240" w:lineRule="auto"/>
        <w:ind w:left="49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5.3.1资格性检查</w:t>
      </w:r>
    </w:p>
    <w:p w14:paraId="5287BD7E">
      <w:pPr>
        <w:keepNext w:val="0"/>
        <w:keepLines w:val="0"/>
        <w:pageBreakBefore w:val="0"/>
        <w:widowControl w:val="0"/>
        <w:wordWrap/>
        <w:overflowPunct/>
        <w:topLinePunct w:val="0"/>
        <w:bidi w:val="0"/>
        <w:spacing w:before="184" w:line="240" w:lineRule="auto"/>
        <w:ind w:left="19" w:firstLine="484"/>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（1）磋商小组根据评审办法前附表规定的评审因素和评审标准，对供应商的响应文件进行资格评审。资格性检查不合格的供应商的响应文件作无效文件处理。</w:t>
      </w:r>
    </w:p>
    <w:p w14:paraId="6798FBDF">
      <w:pPr>
        <w:keepNext w:val="0"/>
        <w:keepLines w:val="0"/>
        <w:pageBreakBefore w:val="0"/>
        <w:widowControl w:val="0"/>
        <w:wordWrap/>
        <w:overflowPunct/>
        <w:topLinePunct w:val="0"/>
        <w:bidi w:val="0"/>
        <w:spacing w:before="185" w:line="240" w:lineRule="auto"/>
        <w:ind w:left="8" w:right="98" w:firstLine="49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（2）磋商小组在进行资格检查时，不得改变磋商文件中已载明的资格条件、标准和办法。资格性检查不合格的供应商的响应文件作无效文件处理。</w:t>
      </w:r>
    </w:p>
    <w:p w14:paraId="54D44BAD">
      <w:pPr>
        <w:keepNext w:val="0"/>
        <w:keepLines w:val="0"/>
        <w:pageBreakBefore w:val="0"/>
        <w:widowControl w:val="0"/>
        <w:wordWrap/>
        <w:overflowPunct/>
        <w:topLinePunct w:val="0"/>
        <w:bidi w:val="0"/>
        <w:spacing w:before="185" w:line="240" w:lineRule="auto"/>
        <w:ind w:left="7" w:right="80" w:firstLine="496"/>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（3）供应商在递交响应文件的同时，应逐项对照上述资格性检查要求提交相应的原件和资格证明文件供磋商小组核查，否则评委将不予采信。</w:t>
      </w:r>
    </w:p>
    <w:p w14:paraId="1F024108">
      <w:pPr>
        <w:keepNext w:val="0"/>
        <w:keepLines w:val="0"/>
        <w:pageBreakBefore w:val="0"/>
        <w:widowControl w:val="0"/>
        <w:wordWrap/>
        <w:overflowPunct/>
        <w:topLinePunct w:val="0"/>
        <w:bidi w:val="0"/>
        <w:spacing w:before="185" w:line="240" w:lineRule="auto"/>
        <w:ind w:left="7" w:right="80" w:firstLine="496"/>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（4）磋商小组在评审中必要时可按供应商提供的联系方式就有关问题进行查询核实，或要求供应商做出书面澄清，查询及澄清结果将作为审查的依据。</w:t>
      </w:r>
    </w:p>
    <w:p w14:paraId="2727F931">
      <w:pPr>
        <w:keepNext w:val="0"/>
        <w:keepLines w:val="0"/>
        <w:pageBreakBefore w:val="0"/>
        <w:widowControl w:val="0"/>
        <w:wordWrap/>
        <w:overflowPunct/>
        <w:topLinePunct w:val="0"/>
        <w:bidi w:val="0"/>
        <w:spacing w:before="183" w:line="240" w:lineRule="auto"/>
        <w:ind w:left="8" w:right="80" w:firstLine="49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（5）通过全部资格性检查条件合格的供应商才能通过资格检查，其响应文件方可进入下一个检查阶段。</w:t>
      </w:r>
    </w:p>
    <w:p w14:paraId="2111B38B">
      <w:pPr>
        <w:keepNext w:val="0"/>
        <w:keepLines w:val="0"/>
        <w:pageBreakBefore w:val="0"/>
        <w:widowControl w:val="0"/>
        <w:wordWrap/>
        <w:overflowPunct/>
        <w:topLinePunct w:val="0"/>
        <w:bidi w:val="0"/>
        <w:spacing w:before="180" w:line="240" w:lineRule="auto"/>
        <w:ind w:left="49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5.3.2符合性检查</w:t>
      </w:r>
    </w:p>
    <w:p w14:paraId="1D8C3688">
      <w:pPr>
        <w:keepNext w:val="0"/>
        <w:keepLines w:val="0"/>
        <w:pageBreakBefore w:val="0"/>
        <w:widowControl w:val="0"/>
        <w:wordWrap/>
        <w:overflowPunct/>
        <w:topLinePunct w:val="0"/>
        <w:bidi w:val="0"/>
        <w:spacing w:before="184" w:line="240" w:lineRule="auto"/>
        <w:ind w:left="9" w:right="178" w:firstLine="48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磋商小组根据评审办法前附表规定的评审因素和评审标准，对供应商的响应文件进行符合性检查。符合性检查不合格的供应商的响应文件作无效文件处理。</w:t>
      </w:r>
    </w:p>
    <w:p w14:paraId="2883740F">
      <w:pPr>
        <w:keepNext w:val="0"/>
        <w:keepLines w:val="0"/>
        <w:pageBreakBefore w:val="0"/>
        <w:widowControl w:val="0"/>
        <w:wordWrap/>
        <w:overflowPunct/>
        <w:topLinePunct w:val="0"/>
        <w:bidi w:val="0"/>
        <w:spacing w:line="240" w:lineRule="auto"/>
        <w:ind w:left="49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5.4违法违规行为</w:t>
      </w:r>
    </w:p>
    <w:p w14:paraId="52C05620">
      <w:pPr>
        <w:keepNext w:val="0"/>
        <w:keepLines w:val="0"/>
        <w:pageBreakBefore w:val="0"/>
        <w:widowControl w:val="0"/>
        <w:wordWrap/>
        <w:overflowPunct/>
        <w:topLinePunct w:val="0"/>
        <w:bidi w:val="0"/>
        <w:spacing w:before="182" w:line="240" w:lineRule="auto"/>
        <w:ind w:left="10" w:right="80" w:firstLine="486"/>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5.4.1在评审过程中，磋商小组发现供应商有下列情形之一的，作无效文件处理：</w:t>
      </w:r>
    </w:p>
    <w:p w14:paraId="17E2365B">
      <w:pPr>
        <w:keepNext w:val="0"/>
        <w:keepLines w:val="0"/>
        <w:pageBreakBefore w:val="0"/>
        <w:widowControl w:val="0"/>
        <w:wordWrap/>
        <w:overflowPunct/>
        <w:topLinePunct w:val="0"/>
        <w:bidi w:val="0"/>
        <w:spacing w:line="240" w:lineRule="auto"/>
        <w:ind w:left="8" w:right="80" w:firstLine="49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（1）属于同一集团、协会、商会等组织成员的供应商按照该组织要求协同投标；</w:t>
      </w:r>
    </w:p>
    <w:p w14:paraId="28D4C748">
      <w:pPr>
        <w:keepNext w:val="0"/>
        <w:keepLines w:val="0"/>
        <w:pageBreakBefore w:val="0"/>
        <w:widowControl w:val="0"/>
        <w:wordWrap/>
        <w:overflowPunct/>
        <w:topLinePunct w:val="0"/>
        <w:bidi w:val="0"/>
        <w:spacing w:before="179"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（2）不同供应商的响应文件由同一单位或者个人编制；</w:t>
      </w:r>
    </w:p>
    <w:p w14:paraId="544B2E5E">
      <w:pPr>
        <w:keepNext w:val="0"/>
        <w:keepLines w:val="0"/>
        <w:pageBreakBefore w:val="0"/>
        <w:widowControl w:val="0"/>
        <w:wordWrap/>
        <w:overflowPunct/>
        <w:topLinePunct w:val="0"/>
        <w:bidi w:val="0"/>
        <w:spacing w:before="183"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（3）不同供应商委托同一单位或者个人办理投标事宜；</w:t>
      </w:r>
    </w:p>
    <w:p w14:paraId="0BDFECBC">
      <w:pPr>
        <w:keepNext w:val="0"/>
        <w:keepLines w:val="0"/>
        <w:pageBreakBefore w:val="0"/>
        <w:widowControl w:val="0"/>
        <w:wordWrap/>
        <w:overflowPunct/>
        <w:topLinePunct w:val="0"/>
        <w:bidi w:val="0"/>
        <w:spacing w:before="184"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（4）不同供应商的响应文件载明的项目管理成员为同一人；</w:t>
      </w:r>
    </w:p>
    <w:p w14:paraId="6333FD15">
      <w:pPr>
        <w:keepNext w:val="0"/>
        <w:keepLines w:val="0"/>
        <w:pageBreakBefore w:val="0"/>
        <w:widowControl w:val="0"/>
        <w:wordWrap/>
        <w:overflowPunct/>
        <w:topLinePunct w:val="0"/>
        <w:bidi w:val="0"/>
        <w:spacing w:before="181"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（5）不同供应商的响应文件异常一致或者投标报价呈规律性差异；</w:t>
      </w:r>
    </w:p>
    <w:p w14:paraId="702C94CD">
      <w:pPr>
        <w:keepNext w:val="0"/>
        <w:keepLines w:val="0"/>
        <w:pageBreakBefore w:val="0"/>
        <w:widowControl w:val="0"/>
        <w:wordWrap/>
        <w:overflowPunct/>
        <w:topLinePunct w:val="0"/>
        <w:bidi w:val="0"/>
        <w:spacing w:before="182"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（6）不同供应商的响应文件相互混装；</w:t>
      </w:r>
    </w:p>
    <w:p w14:paraId="5FFD8135">
      <w:pPr>
        <w:keepNext w:val="0"/>
        <w:keepLines w:val="0"/>
        <w:pageBreakBefore w:val="0"/>
        <w:widowControl w:val="0"/>
        <w:wordWrap/>
        <w:overflowPunct/>
        <w:topLinePunct w:val="0"/>
        <w:bidi w:val="0"/>
        <w:spacing w:before="183"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（7）不同供应商的投标保证金从同一单位或者个人的账户转出；</w:t>
      </w:r>
    </w:p>
    <w:p w14:paraId="654DFAA5">
      <w:pPr>
        <w:keepNext w:val="0"/>
        <w:keepLines w:val="0"/>
        <w:pageBreakBefore w:val="0"/>
        <w:widowControl w:val="0"/>
        <w:wordWrap/>
        <w:overflowPunct/>
        <w:topLinePunct w:val="0"/>
        <w:bidi w:val="0"/>
        <w:spacing w:before="182"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（8）使用伪造、变造的行政许可证件；</w:t>
      </w:r>
    </w:p>
    <w:p w14:paraId="08D03259">
      <w:pPr>
        <w:keepNext w:val="0"/>
        <w:keepLines w:val="0"/>
        <w:pageBreakBefore w:val="0"/>
        <w:widowControl w:val="0"/>
        <w:wordWrap/>
        <w:overflowPunct/>
        <w:topLinePunct w:val="0"/>
        <w:bidi w:val="0"/>
        <w:spacing w:before="182"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（9）提供虚假的财务状况或者业绩；</w:t>
      </w:r>
    </w:p>
    <w:p w14:paraId="09A4084E">
      <w:pPr>
        <w:keepNext w:val="0"/>
        <w:keepLines w:val="0"/>
        <w:pageBreakBefore w:val="0"/>
        <w:widowControl w:val="0"/>
        <w:wordWrap/>
        <w:overflowPunct/>
        <w:topLinePunct w:val="0"/>
        <w:bidi w:val="0"/>
        <w:spacing w:before="182"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（10）提供虚假的项目负责人或者主要技术人员简历、劳动关系证明；</w:t>
      </w:r>
    </w:p>
    <w:p w14:paraId="32EA037C">
      <w:pPr>
        <w:keepNext w:val="0"/>
        <w:keepLines w:val="0"/>
        <w:pageBreakBefore w:val="0"/>
        <w:widowControl w:val="0"/>
        <w:wordWrap/>
        <w:overflowPunct/>
        <w:topLinePunct w:val="0"/>
        <w:bidi w:val="0"/>
        <w:spacing w:before="182"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（11）提供虚假的信用状况；</w:t>
      </w:r>
    </w:p>
    <w:p w14:paraId="03AB613C">
      <w:pPr>
        <w:keepNext w:val="0"/>
        <w:keepLines w:val="0"/>
        <w:pageBreakBefore w:val="0"/>
        <w:widowControl w:val="0"/>
        <w:wordWrap/>
        <w:overflowPunct/>
        <w:topLinePunct w:val="0"/>
        <w:bidi w:val="0"/>
        <w:spacing w:before="183" w:line="240" w:lineRule="auto"/>
        <w:ind w:left="496"/>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（12）其他弄虚作假的行为。</w:t>
      </w:r>
    </w:p>
    <w:p w14:paraId="5D7CC1F9">
      <w:pPr>
        <w:keepNext w:val="0"/>
        <w:keepLines w:val="0"/>
        <w:pageBreakBefore w:val="0"/>
        <w:widowControl w:val="0"/>
        <w:wordWrap/>
        <w:overflowPunct/>
        <w:topLinePunct w:val="0"/>
        <w:bidi w:val="0"/>
        <w:spacing w:before="181" w:line="240" w:lineRule="auto"/>
        <w:ind w:left="48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5.5磋商小组审查响应文件是否完整、有无计算上的错误等。</w:t>
      </w:r>
    </w:p>
    <w:p w14:paraId="27AA68F9">
      <w:pPr>
        <w:keepNext w:val="0"/>
        <w:keepLines w:val="0"/>
        <w:pageBreakBefore w:val="0"/>
        <w:widowControl w:val="0"/>
        <w:wordWrap/>
        <w:overflowPunct/>
        <w:topLinePunct w:val="0"/>
        <w:bidi w:val="0"/>
        <w:spacing w:before="184" w:line="240" w:lineRule="auto"/>
        <w:ind w:left="48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5.5.1响应文件的修正及澄清</w:t>
      </w:r>
    </w:p>
    <w:p w14:paraId="7BBC3FEE">
      <w:pPr>
        <w:keepNext w:val="0"/>
        <w:keepLines w:val="0"/>
        <w:pageBreakBefore w:val="0"/>
        <w:widowControl w:val="0"/>
        <w:wordWrap/>
        <w:overflowPunct/>
        <w:topLinePunct w:val="0"/>
        <w:bidi w:val="0"/>
        <w:spacing w:before="179" w:line="240" w:lineRule="auto"/>
        <w:ind w:left="3" w:firstLine="49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（1）磋商小组对确定为实质上响应磋商文件要求的响应文件进行校核，看其是否有计算或表达上的错误，算术错误将按以下方法更正：</w:t>
      </w:r>
    </w:p>
    <w:p w14:paraId="3FFB162D">
      <w:pPr>
        <w:keepNext w:val="0"/>
        <w:keepLines w:val="0"/>
        <w:pageBreakBefore w:val="0"/>
        <w:widowControl w:val="0"/>
        <w:wordWrap/>
        <w:overflowPunct/>
        <w:topLinePunct w:val="0"/>
        <w:bidi w:val="0"/>
        <w:spacing w:before="183" w:line="240" w:lineRule="auto"/>
        <w:ind w:firstLine="49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6C0AB351">
      <w:pPr>
        <w:keepNext w:val="0"/>
        <w:keepLines w:val="0"/>
        <w:pageBreakBefore w:val="0"/>
        <w:widowControl w:val="0"/>
        <w:wordWrap/>
        <w:overflowPunct/>
        <w:topLinePunct w:val="0"/>
        <w:bidi w:val="0"/>
        <w:spacing w:before="181" w:line="240" w:lineRule="auto"/>
        <w:ind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w:t>
      </w:r>
    </w:p>
    <w:p w14:paraId="15E86082">
      <w:pPr>
        <w:keepNext w:val="0"/>
        <w:keepLines w:val="0"/>
        <w:pageBreakBefore w:val="0"/>
        <w:widowControl w:val="0"/>
        <w:wordWrap/>
        <w:overflowPunct/>
        <w:topLinePunct w:val="0"/>
        <w:bidi w:val="0"/>
        <w:spacing w:before="183" w:line="240" w:lineRule="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而不依据外部的证据。但响应文件有不真实不正确的内容的除外。</w:t>
      </w:r>
    </w:p>
    <w:p w14:paraId="27BD0DD3">
      <w:pPr>
        <w:keepNext w:val="0"/>
        <w:keepLines w:val="0"/>
        <w:pageBreakBefore w:val="0"/>
        <w:widowControl w:val="0"/>
        <w:wordWrap/>
        <w:overflowPunct/>
        <w:topLinePunct w:val="0"/>
        <w:bidi w:val="0"/>
        <w:spacing w:before="181" w:line="240" w:lineRule="auto"/>
        <w:ind w:firstLine="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5.5.3实质上没有响应磋商文件要求的响应文件将被视为无效文件。供应商不得通过修正或撤销不合要求的偏离从而使其成为实质上响应的文件。</w:t>
      </w:r>
    </w:p>
    <w:p w14:paraId="1A5D9A6A">
      <w:pPr>
        <w:keepNext w:val="0"/>
        <w:keepLines w:val="0"/>
        <w:pageBreakBefore w:val="0"/>
        <w:widowControl w:val="0"/>
        <w:wordWrap/>
        <w:overflowPunct/>
        <w:topLinePunct w:val="0"/>
        <w:bidi w:val="0"/>
        <w:spacing w:before="180" w:line="240" w:lineRule="auto"/>
        <w:ind w:firstLine="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负责人）或授权代表以书面形式作出并签字。</w:t>
      </w:r>
    </w:p>
    <w:p w14:paraId="345C0722">
      <w:pPr>
        <w:keepNext w:val="0"/>
        <w:keepLines w:val="0"/>
        <w:pageBreakBefore w:val="0"/>
        <w:widowControl w:val="0"/>
        <w:wordWrap/>
        <w:overflowPunct/>
        <w:topLinePunct w:val="0"/>
        <w:bidi w:val="0"/>
        <w:spacing w:before="180" w:line="240" w:lineRule="auto"/>
        <w:ind w:firstLine="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5.5.5供应商的澄清文件是其响应文件的组成部分。</w:t>
      </w:r>
    </w:p>
    <w:p w14:paraId="76B9568A">
      <w:pPr>
        <w:keepNext w:val="0"/>
        <w:keepLines w:val="0"/>
        <w:pageBreakBefore w:val="0"/>
        <w:widowControl w:val="0"/>
        <w:wordWrap/>
        <w:overflowPunct/>
        <w:topLinePunct w:val="0"/>
        <w:bidi w:val="0"/>
        <w:spacing w:before="180" w:line="240" w:lineRule="auto"/>
        <w:ind w:firstLine="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5.6磋商</w:t>
      </w:r>
    </w:p>
    <w:p w14:paraId="57F48B56">
      <w:pPr>
        <w:keepNext w:val="0"/>
        <w:keepLines w:val="0"/>
        <w:pageBreakBefore w:val="0"/>
        <w:widowControl w:val="0"/>
        <w:wordWrap/>
        <w:overflowPunct/>
        <w:topLinePunct w:val="0"/>
        <w:bidi w:val="0"/>
        <w:spacing w:before="180" w:line="240" w:lineRule="auto"/>
        <w:ind w:firstLine="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5.6.1磋商小组所有成员应当集中与单一供应商分别进行磋商，并给予所有参加磋商的供应商平等的磋商机会。</w:t>
      </w:r>
    </w:p>
    <w:p w14:paraId="31F57260">
      <w:pPr>
        <w:keepNext w:val="0"/>
        <w:keepLines w:val="0"/>
        <w:pageBreakBefore w:val="0"/>
        <w:widowControl w:val="0"/>
        <w:wordWrap/>
        <w:overflowPunct/>
        <w:topLinePunct w:val="0"/>
        <w:bidi w:val="0"/>
        <w:spacing w:before="180" w:line="240" w:lineRule="auto"/>
        <w:ind w:firstLine="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5.6.2在磋商过程中，磋商小组可以根据磋商文件和磋商情况实质性变动采购需求中的技术、服务要求以及合同草案条款，但不得变动磋商文件中的其他内容。实质性变动的内容，须经采购人代表确认。</w:t>
      </w:r>
    </w:p>
    <w:p w14:paraId="46393009">
      <w:pPr>
        <w:keepNext w:val="0"/>
        <w:keepLines w:val="0"/>
        <w:pageBreakBefore w:val="0"/>
        <w:widowControl w:val="0"/>
        <w:wordWrap/>
        <w:overflowPunct/>
        <w:topLinePunct w:val="0"/>
        <w:bidi w:val="0"/>
        <w:spacing w:before="180" w:line="240" w:lineRule="auto"/>
        <w:ind w:firstLine="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5.6.3对磋商文件作出的实质性变动是磋商文件的有效组成部分，磋商小组应当及时以书面形式同时通知所有参加磋商的供应商。</w:t>
      </w:r>
    </w:p>
    <w:p w14:paraId="1372130D">
      <w:pPr>
        <w:keepNext w:val="0"/>
        <w:keepLines w:val="0"/>
        <w:pageBreakBefore w:val="0"/>
        <w:widowControl w:val="0"/>
        <w:wordWrap/>
        <w:overflowPunct/>
        <w:topLinePunct w:val="0"/>
        <w:bidi w:val="0"/>
        <w:spacing w:before="182" w:line="240" w:lineRule="auto"/>
        <w:ind w:left="7" w:right="18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4F8F0D4">
      <w:pPr>
        <w:keepNext w:val="0"/>
        <w:keepLines w:val="0"/>
        <w:pageBreakBefore w:val="0"/>
        <w:widowControl w:val="0"/>
        <w:wordWrap/>
        <w:overflowPunct/>
        <w:topLinePunct w:val="0"/>
        <w:bidi w:val="0"/>
        <w:spacing w:before="183" w:line="240" w:lineRule="auto"/>
        <w:ind w:left="3" w:right="80" w:firstLine="49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5.6.5磋商文件能够详细列明采购标的的技术、服务要求的，磋商结束后，磋商小组应当要求所有实质性响应的供应商在规定时间内提交最后报价，提交最后报价的供应商不得少于2家。</w:t>
      </w:r>
    </w:p>
    <w:p w14:paraId="56F3AD97">
      <w:pPr>
        <w:keepNext w:val="0"/>
        <w:keepLines w:val="0"/>
        <w:pageBreakBefore w:val="0"/>
        <w:widowControl w:val="0"/>
        <w:wordWrap/>
        <w:overflowPunct/>
        <w:topLinePunct w:val="0"/>
        <w:bidi w:val="0"/>
        <w:spacing w:before="182" w:line="240" w:lineRule="auto"/>
        <w:ind w:left="6" w:right="80" w:firstLine="48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6A6B20FD">
      <w:pPr>
        <w:keepNext w:val="0"/>
        <w:keepLines w:val="0"/>
        <w:pageBreakBefore w:val="0"/>
        <w:widowControl w:val="0"/>
        <w:wordWrap/>
        <w:overflowPunct/>
        <w:topLinePunct w:val="0"/>
        <w:bidi w:val="0"/>
        <w:spacing w:before="184" w:line="240" w:lineRule="auto"/>
        <w:ind w:left="26" w:right="80" w:firstLine="46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5.6.7已提交响应文件的供应商，在提交最后报价之前，可以根据磋商情况退出磋商。其磋商保证金将予以退还。</w:t>
      </w:r>
    </w:p>
    <w:p w14:paraId="5CFC04BF">
      <w:pPr>
        <w:keepNext w:val="0"/>
        <w:keepLines w:val="0"/>
        <w:pageBreakBefore w:val="0"/>
        <w:widowControl w:val="0"/>
        <w:wordWrap/>
        <w:overflowPunct/>
        <w:topLinePunct w:val="0"/>
        <w:bidi w:val="0"/>
        <w:spacing w:before="180" w:line="240" w:lineRule="auto"/>
        <w:ind w:left="6" w:right="80" w:firstLine="48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5.6.8最后报价是供应商响应文件的有效组成部分。符合本办法第三条第四项情形的，提交最后报价的供应商可以为2家。</w:t>
      </w:r>
    </w:p>
    <w:p w14:paraId="2BB367C2">
      <w:pPr>
        <w:keepNext w:val="0"/>
        <w:keepLines w:val="0"/>
        <w:pageBreakBefore w:val="0"/>
        <w:widowControl w:val="0"/>
        <w:wordWrap/>
        <w:overflowPunct/>
        <w:topLinePunct w:val="0"/>
        <w:bidi w:val="0"/>
        <w:spacing w:before="185" w:line="240" w:lineRule="auto"/>
        <w:ind w:left="8" w:right="80" w:firstLine="48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5.6.9经磋商确定最终采购需求和提交最后报价的供应商后，由磋商小组采用综合评分法对提交最后报价的供应商的响应文件和最后报价进行综合评分。</w:t>
      </w:r>
    </w:p>
    <w:p w14:paraId="25598E5A">
      <w:pPr>
        <w:keepNext w:val="0"/>
        <w:keepLines w:val="0"/>
        <w:pageBreakBefore w:val="0"/>
        <w:widowControl w:val="0"/>
        <w:wordWrap/>
        <w:overflowPunct/>
        <w:topLinePunct w:val="0"/>
        <w:bidi w:val="0"/>
        <w:spacing w:before="184" w:line="240" w:lineRule="auto"/>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B．采用不见面开标方式</w:t>
      </w:r>
      <w:r>
        <w:rPr>
          <w:rFonts w:hint="eastAsia" w:ascii="仿宋" w:hAnsi="仿宋" w:eastAsia="仿宋" w:cs="仿宋"/>
          <w:color w:val="auto"/>
          <w:spacing w:val="0"/>
          <w:sz w:val="24"/>
          <w:szCs w:val="24"/>
          <w:highlight w:val="none"/>
        </w:rPr>
        <w:t>（是否采用详见供应商须知前附表）</w:t>
      </w:r>
    </w:p>
    <w:p w14:paraId="23DF5C61">
      <w:pPr>
        <w:keepNext w:val="0"/>
        <w:keepLines w:val="0"/>
        <w:pageBreakBefore w:val="0"/>
        <w:widowControl w:val="0"/>
        <w:wordWrap/>
        <w:overflowPunct/>
        <w:topLinePunct w:val="0"/>
        <w:bidi w:val="0"/>
        <w:spacing w:before="180" w:line="240" w:lineRule="auto"/>
        <w:ind w:firstLine="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采购人在本章规定的投标截止时间（开标时间）和供应商须知前附表规定的地点开标。供应商的法定代表人或其委托代理人无需到达开标现场，仅需在任意地点通过新疆政采云进入不见面开标系统，使用CA密钥完成远程解密、提疑澄清、开标唱标、结果公布等交互环节。</w:t>
      </w:r>
    </w:p>
    <w:p w14:paraId="07420576">
      <w:pPr>
        <w:keepNext w:val="0"/>
        <w:keepLines w:val="0"/>
        <w:pageBreakBefore w:val="0"/>
        <w:widowControl w:val="0"/>
        <w:wordWrap/>
        <w:overflowPunct/>
        <w:topLinePunct w:val="0"/>
        <w:bidi w:val="0"/>
        <w:spacing w:before="180" w:line="240" w:lineRule="auto"/>
        <w:ind w:firstLine="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5E0C0817">
      <w:pPr>
        <w:keepNext w:val="0"/>
        <w:keepLines w:val="0"/>
        <w:pageBreakBefore w:val="0"/>
        <w:widowControl w:val="0"/>
        <w:wordWrap/>
        <w:overflowPunct/>
        <w:topLinePunct w:val="0"/>
        <w:bidi w:val="0"/>
        <w:spacing w:before="180" w:line="240" w:lineRule="auto"/>
        <w:ind w:firstLine="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5.6.10采购结果确认</w:t>
      </w:r>
    </w:p>
    <w:p w14:paraId="4B2E7B1F">
      <w:pPr>
        <w:keepNext w:val="0"/>
        <w:keepLines w:val="0"/>
        <w:pageBreakBefore w:val="0"/>
        <w:widowControl w:val="0"/>
        <w:wordWrap/>
        <w:overflowPunct/>
        <w:topLinePunct w:val="0"/>
        <w:bidi w:val="0"/>
        <w:spacing w:before="181" w:line="240" w:lineRule="auto"/>
        <w:ind w:left="2" w:firstLine="47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3E463809">
      <w:pPr>
        <w:keepNext w:val="0"/>
        <w:keepLines w:val="0"/>
        <w:pageBreakBefore w:val="0"/>
        <w:widowControl w:val="0"/>
        <w:wordWrap/>
        <w:overflowPunct/>
        <w:topLinePunct w:val="0"/>
        <w:bidi w:val="0"/>
        <w:spacing w:before="1" w:line="240" w:lineRule="auto"/>
        <w:ind w:left="48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5.7.公示或公告</w:t>
      </w:r>
    </w:p>
    <w:p w14:paraId="47AE58F6">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480" w:firstLineChars="200"/>
        <w:textAlignment w:val="baseline"/>
        <w:outlineLvl w:val="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成交供应商确定后，采购代理机构将在政府采购监管部门指定的媒体上发布成交公告，同时向成交供应商发出《成交通知书》。《成交通知书》是合同的组成部分,对成交供应商和采购人具有同等法律效力。</w:t>
      </w:r>
    </w:p>
    <w:p w14:paraId="23B2C69A">
      <w:pPr>
        <w:keepNext w:val="0"/>
        <w:keepLines w:val="0"/>
        <w:pageBreakBefore w:val="0"/>
        <w:widowControl w:val="0"/>
        <w:wordWrap/>
        <w:overflowPunct/>
        <w:topLinePunct w:val="0"/>
        <w:bidi w:val="0"/>
        <w:spacing w:before="1" w:line="240" w:lineRule="auto"/>
        <w:ind w:left="3770"/>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六、授予合同</w:t>
      </w:r>
    </w:p>
    <w:p w14:paraId="14021518">
      <w:pPr>
        <w:keepNext w:val="0"/>
        <w:keepLines w:val="0"/>
        <w:pageBreakBefore w:val="0"/>
        <w:widowControl w:val="0"/>
        <w:wordWrap/>
        <w:overflowPunct/>
        <w:topLinePunct w:val="0"/>
        <w:bidi w:val="0"/>
        <w:spacing w:before="182" w:line="240" w:lineRule="auto"/>
        <w:ind w:left="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6.1签订合同</w:t>
      </w:r>
    </w:p>
    <w:p w14:paraId="140578F0">
      <w:pPr>
        <w:keepNext w:val="0"/>
        <w:keepLines w:val="0"/>
        <w:pageBreakBefore w:val="0"/>
        <w:widowControl w:val="0"/>
        <w:wordWrap/>
        <w:overflowPunct/>
        <w:topLinePunct w:val="0"/>
        <w:bidi w:val="0"/>
        <w:spacing w:before="178" w:line="240" w:lineRule="auto"/>
        <w:ind w:right="123" w:firstLine="48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6.1.1采购人应在成交通知书发出后30日内，根据成交结果和磋商文件、响应文件及有关补遗文件等与成交供应商签订采购合同。</w:t>
      </w:r>
    </w:p>
    <w:p w14:paraId="3C7A9BEF">
      <w:pPr>
        <w:keepNext w:val="0"/>
        <w:keepLines w:val="0"/>
        <w:pageBreakBefore w:val="0"/>
        <w:widowControl w:val="0"/>
        <w:wordWrap/>
        <w:overflowPunct/>
        <w:topLinePunct w:val="0"/>
        <w:bidi w:val="0"/>
        <w:spacing w:before="183" w:line="240" w:lineRule="auto"/>
        <w:ind w:right="80"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6.1.2采购人应按磋商文件要求和成交人的响应文件承诺订立书面合同，不得超出磋商文件和成交人响应文件的范围，也不得再另行订立背离合同实质性内容的其他协议。</w:t>
      </w:r>
    </w:p>
    <w:p w14:paraId="4AE17B6B">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6.1.3采购人应在《成交通知书》发出之日起30天内与成交人签订政府采购合同。签订政府采购合同后7个工作日内，采购人应将政府采购合同副本报政府采购监管部门和政府采购代理机构备案。</w:t>
      </w:r>
    </w:p>
    <w:p w14:paraId="03818543">
      <w:pPr>
        <w:keepNext w:val="0"/>
        <w:keepLines w:val="0"/>
        <w:pageBreakBefore w:val="0"/>
        <w:widowControl w:val="0"/>
        <w:wordWrap/>
        <w:overflowPunct/>
        <w:topLinePunct w:val="0"/>
        <w:bidi w:val="0"/>
        <w:spacing w:before="184" w:line="240" w:lineRule="auto"/>
        <w:ind w:left="3407"/>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七、质疑和投诉</w:t>
      </w:r>
    </w:p>
    <w:p w14:paraId="38E8B124">
      <w:pPr>
        <w:keepNext w:val="0"/>
        <w:keepLines w:val="0"/>
        <w:pageBreakBefore w:val="0"/>
        <w:widowControl w:val="0"/>
        <w:wordWrap/>
        <w:overflowPunct/>
        <w:topLinePunct w:val="0"/>
        <w:bidi w:val="0"/>
        <w:spacing w:before="180" w:line="240" w:lineRule="auto"/>
        <w:ind w:left="486"/>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7.1质疑</w:t>
      </w:r>
    </w:p>
    <w:p w14:paraId="4C7AC08F">
      <w:pPr>
        <w:keepNext w:val="0"/>
        <w:keepLines w:val="0"/>
        <w:pageBreakBefore w:val="0"/>
        <w:widowControl w:val="0"/>
        <w:wordWrap/>
        <w:overflowPunct/>
        <w:topLinePunct w:val="0"/>
        <w:bidi w:val="0"/>
        <w:spacing w:before="181" w:line="240" w:lineRule="auto"/>
        <w:ind w:left="486"/>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7.1.1供应商提出质疑应当符合以下条件：</w:t>
      </w:r>
    </w:p>
    <w:p w14:paraId="6B192F8B">
      <w:pPr>
        <w:keepNext w:val="0"/>
        <w:keepLines w:val="0"/>
        <w:pageBreakBefore w:val="0"/>
        <w:widowControl w:val="0"/>
        <w:wordWrap/>
        <w:overflowPunct/>
        <w:topLinePunct w:val="0"/>
        <w:bidi w:val="0"/>
        <w:spacing w:before="183" w:line="240" w:lineRule="auto"/>
        <w:ind w:left="1" w:right="183" w:firstLine="482"/>
        <w:jc w:val="both"/>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如果供应商对此次采购活动有疑问，可依据《政府采购法》等相关规定，在规定的时间内以书面形式向采购人或代理机构提出质疑。质疑书应当包括下列主要内容：</w:t>
      </w:r>
    </w:p>
    <w:p w14:paraId="08BB6BC8">
      <w:pPr>
        <w:keepNext w:val="0"/>
        <w:keepLines w:val="0"/>
        <w:pageBreakBefore w:val="0"/>
        <w:widowControl w:val="0"/>
        <w:wordWrap/>
        <w:overflowPunct/>
        <w:topLinePunct w:val="0"/>
        <w:bidi w:val="0"/>
        <w:spacing w:before="1" w:line="240" w:lineRule="auto"/>
        <w:ind w:left="49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（1）质疑人的名称、地址、电话等；</w:t>
      </w:r>
    </w:p>
    <w:p w14:paraId="6E6C0E13">
      <w:pPr>
        <w:keepNext w:val="0"/>
        <w:keepLines w:val="0"/>
        <w:pageBreakBefore w:val="0"/>
        <w:widowControl w:val="0"/>
        <w:wordWrap/>
        <w:overflowPunct/>
        <w:topLinePunct w:val="0"/>
        <w:bidi w:val="0"/>
        <w:spacing w:before="180" w:line="240" w:lineRule="auto"/>
        <w:ind w:left="49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（2）质疑人法人签章和单位公章；</w:t>
      </w:r>
    </w:p>
    <w:p w14:paraId="0FA0FCAC">
      <w:pPr>
        <w:keepNext w:val="0"/>
        <w:keepLines w:val="0"/>
        <w:pageBreakBefore w:val="0"/>
        <w:widowControl w:val="0"/>
        <w:wordWrap/>
        <w:overflowPunct/>
        <w:topLinePunct w:val="0"/>
        <w:bidi w:val="0"/>
        <w:spacing w:before="183" w:line="240" w:lineRule="auto"/>
        <w:ind w:left="49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（3）具体的质疑事项及事实依据；</w:t>
      </w:r>
    </w:p>
    <w:p w14:paraId="39FF59F1">
      <w:pPr>
        <w:keepNext w:val="0"/>
        <w:keepLines w:val="0"/>
        <w:pageBreakBefore w:val="0"/>
        <w:widowControl w:val="0"/>
        <w:wordWrap/>
        <w:overflowPunct/>
        <w:topLinePunct w:val="0"/>
        <w:bidi w:val="0"/>
        <w:spacing w:before="181" w:line="240" w:lineRule="auto"/>
        <w:ind w:left="49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（4）明确的请求和必要（合法来源）的证明材料；</w:t>
      </w:r>
    </w:p>
    <w:p w14:paraId="113E5508">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（5）以联合体形式参与资格预审的，则必须联合体各方共同签署、盖章；</w:t>
      </w:r>
    </w:p>
    <w:p w14:paraId="11C800BD">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（6）提起质疑的日期。</w:t>
      </w:r>
    </w:p>
    <w:p w14:paraId="0E694D9D">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特注：未按上述程序规定的必备内容进行质疑的，采购人或代理机构将不予以受理。</w:t>
      </w:r>
    </w:p>
    <w:p w14:paraId="02D044DD">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FEFE6C3">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7.1.3质疑人可以委托代理人办理质疑事项，代理人办理质疑事项时，除提交质疑书外，还应当提交质疑人的授权委托书及代理人的有效身份证明，授权委托书应当载明委托代理的具体权限和事项。</w:t>
      </w:r>
    </w:p>
    <w:p w14:paraId="68575BA0">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7.1.4被质疑人应当在受理质疑后7个工作日内作出答复，并以书面形式通知质疑人和其他有关供应商，答复内容仅限于供应商所质疑的内容，不得涉及国家秘密和商业秘密。</w:t>
      </w:r>
    </w:p>
    <w:p w14:paraId="5C46B579">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7.2投诉</w:t>
      </w:r>
    </w:p>
    <w:p w14:paraId="78A9B259">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0817103D">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7.2.2投诉人提起投诉应符合以下条件：</w:t>
      </w:r>
    </w:p>
    <w:p w14:paraId="60915040">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(1)投诉人应是参与项目的供应商；</w:t>
      </w:r>
    </w:p>
    <w:p w14:paraId="2FD3265B">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(2)投诉前已依法进行质疑；</w:t>
      </w:r>
    </w:p>
    <w:p w14:paraId="5C2BA913">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(3)投诉书内容符合中华人民共和国财政部94号令《政府采购质疑和投诉办法》的规定；</w:t>
      </w:r>
    </w:p>
    <w:p w14:paraId="25C8E4C0">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(4)在投诉有效期内；</w:t>
      </w:r>
    </w:p>
    <w:p w14:paraId="7D28E7C2">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(5)同一投诉事项未经处理的；</w:t>
      </w:r>
    </w:p>
    <w:p w14:paraId="0210A4CB">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(6)相关法律、法规和省级以上人民政府财政部门规定的其他条件。</w:t>
      </w:r>
    </w:p>
    <w:p w14:paraId="0FF471D3">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7.2.3供应商投诉时，应当当面提交投诉书，投诉书应当包括下列主要内容：</w:t>
      </w:r>
    </w:p>
    <w:p w14:paraId="58B3AB8D">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(1)投诉人的姓名或者名称、住所、联系方式及相关证明；</w:t>
      </w:r>
    </w:p>
    <w:p w14:paraId="03E7D567">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(2)被投诉人的名称、住所、联系方式；</w:t>
      </w:r>
    </w:p>
    <w:p w14:paraId="392EB200">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(3)具体的投诉事项、事实根据和法律依据；</w:t>
      </w:r>
    </w:p>
    <w:p w14:paraId="251AF09D">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(4)质疑和质疑答复情况及相关证明材料；</w:t>
      </w:r>
    </w:p>
    <w:p w14:paraId="67D7B8BA">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(5)提起投诉的日期。</w:t>
      </w:r>
    </w:p>
    <w:p w14:paraId="7E1678B4">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投诉人为自然人的，应当由本人签字。投诉人为法人的，应当由其法定代表人（负责人）签字并加盖单位公章。投诉人为其他组织的，应当由其主要负责人签字盖章并加盖单位公章。</w:t>
      </w:r>
    </w:p>
    <w:p w14:paraId="4FE4E984">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7.2.4投诉人可以授权代理人办理投诉事务。代理人办理投诉事务时，除提交投诉书外，还应当向监督部门提交投诉人的授权委托书，授权委托书应当载明委托代理的具体权限和事项。</w:t>
      </w:r>
    </w:p>
    <w:p w14:paraId="560474A5">
      <w:pPr>
        <w:keepNext w:val="0"/>
        <w:keepLines w:val="0"/>
        <w:pageBreakBefore w:val="0"/>
        <w:widowControl w:val="0"/>
        <w:wordWrap/>
        <w:overflowPunct/>
        <w:topLinePunct w:val="0"/>
        <w:bidi w:val="0"/>
        <w:spacing w:before="180" w:line="240" w:lineRule="auto"/>
        <w:ind w:right="123" w:firstLine="48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7.2.5投诉人不符合上述规定提起的投诉，政府采购监督部门不予受理。</w:t>
      </w:r>
    </w:p>
    <w:p w14:paraId="747C851F">
      <w:pPr>
        <w:keepNext w:val="0"/>
        <w:keepLines w:val="0"/>
        <w:pageBreakBefore w:val="0"/>
        <w:widowControl w:val="0"/>
        <w:wordWrap/>
        <w:overflowPunct/>
        <w:topLinePunct w:val="0"/>
        <w:bidi w:val="0"/>
        <w:spacing w:before="117" w:line="240" w:lineRule="auto"/>
        <w:ind w:left="3532"/>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八、项目验收</w:t>
      </w:r>
    </w:p>
    <w:p w14:paraId="3C7C2072">
      <w:pPr>
        <w:keepNext w:val="0"/>
        <w:keepLines w:val="0"/>
        <w:pageBreakBefore w:val="0"/>
        <w:widowControl w:val="0"/>
        <w:wordWrap/>
        <w:overflowPunct/>
        <w:topLinePunct w:val="0"/>
        <w:bidi w:val="0"/>
        <w:spacing w:before="116" w:line="240" w:lineRule="auto"/>
        <w:ind w:left="2" w:firstLine="47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8.1采购单位按照政府采购合同规定的技术、服务、安全标准对供应商履约情况进行验收，并出具验收书。验收书包括每一项技术、服务、安全标准的履约情况。</w:t>
      </w:r>
    </w:p>
    <w:p w14:paraId="54858FCA">
      <w:pPr>
        <w:keepNext w:val="0"/>
        <w:keepLines w:val="0"/>
        <w:pageBreakBefore w:val="0"/>
        <w:widowControl w:val="0"/>
        <w:wordWrap/>
        <w:overflowPunct/>
        <w:topLinePunct w:val="0"/>
        <w:bidi w:val="0"/>
        <w:spacing w:before="114" w:line="240" w:lineRule="auto"/>
        <w:ind w:left="48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8.2验收标准:磋商文件、响应文件、政府采购合同规定的标准。</w:t>
      </w:r>
    </w:p>
    <w:p w14:paraId="0616083F">
      <w:pPr>
        <w:keepNext w:val="0"/>
        <w:keepLines w:val="0"/>
        <w:pageBreakBefore w:val="0"/>
        <w:widowControl w:val="0"/>
        <w:wordWrap/>
        <w:overflowPunct/>
        <w:topLinePunct w:val="0"/>
        <w:bidi w:val="0"/>
        <w:spacing w:before="115" w:line="240" w:lineRule="auto"/>
        <w:ind w:left="3534"/>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九、适用法律</w:t>
      </w:r>
    </w:p>
    <w:p w14:paraId="0B93696E">
      <w:pPr>
        <w:keepNext w:val="0"/>
        <w:keepLines w:val="0"/>
        <w:pageBreakBefore w:val="0"/>
        <w:widowControl w:val="0"/>
        <w:wordWrap/>
        <w:overflowPunct/>
        <w:topLinePunct w:val="0"/>
        <w:bidi w:val="0"/>
        <w:spacing w:before="116" w:line="240" w:lineRule="auto"/>
        <w:ind w:firstLine="48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9.1招标采购单位和供应商的一切招标投标活动均适用于《政府采购法》、《政府采购实施条例》、《政府采购竞争性磋商采购方式管理办法》等相关规定。</w:t>
      </w:r>
    </w:p>
    <w:p w14:paraId="2F0FB7E8">
      <w:pPr>
        <w:keepNext w:val="0"/>
        <w:keepLines w:val="0"/>
        <w:pageBreakBefore w:val="0"/>
        <w:widowControl w:val="0"/>
        <w:wordWrap/>
        <w:overflowPunct/>
        <w:topLinePunct w:val="0"/>
        <w:bidi w:val="0"/>
        <w:spacing w:before="1" w:line="240" w:lineRule="auto"/>
        <w:ind w:left="3047"/>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十、磋商文件的解释权</w:t>
      </w:r>
    </w:p>
    <w:p w14:paraId="1ABC8286">
      <w:pPr>
        <w:keepNext w:val="0"/>
        <w:keepLines w:val="0"/>
        <w:pageBreakBefore w:val="0"/>
        <w:widowControl w:val="0"/>
        <w:wordWrap/>
        <w:overflowPunct/>
        <w:topLinePunct w:val="0"/>
        <w:bidi w:val="0"/>
        <w:spacing w:before="115" w:line="240" w:lineRule="auto"/>
        <w:ind w:left="50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10.1本项目磋商文件的最终解释权为采购代理机构所有。</w:t>
      </w:r>
    </w:p>
    <w:p w14:paraId="1CB12CB5">
      <w:pPr>
        <w:keepNext w:val="0"/>
        <w:keepLines w:val="0"/>
        <w:pageBreakBefore w:val="0"/>
        <w:widowControl w:val="0"/>
        <w:wordWrap/>
        <w:overflowPunct/>
        <w:topLinePunct w:val="0"/>
        <w:bidi w:val="0"/>
        <w:spacing w:before="117" w:line="240" w:lineRule="auto"/>
        <w:ind w:left="3169"/>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十一、其他注意事项</w:t>
      </w:r>
    </w:p>
    <w:p w14:paraId="63BB4496">
      <w:pPr>
        <w:keepNext w:val="0"/>
        <w:keepLines w:val="0"/>
        <w:pageBreakBefore w:val="0"/>
        <w:widowControl w:val="0"/>
        <w:wordWrap/>
        <w:overflowPunct/>
        <w:topLinePunct w:val="0"/>
        <w:bidi w:val="0"/>
        <w:spacing w:before="33" w:line="240" w:lineRule="auto"/>
        <w:ind w:left="2" w:right="43" w:firstLine="49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11.1单位负责人为同一人或者存在直接控股、管理关系的不同供应商，不得参加同一合同项下的政府采购活动。</w:t>
      </w:r>
    </w:p>
    <w:p w14:paraId="1568DA06">
      <w:pPr>
        <w:keepNext w:val="0"/>
        <w:keepLines w:val="0"/>
        <w:pageBreakBefore w:val="0"/>
        <w:widowControl w:val="0"/>
        <w:wordWrap/>
        <w:overflowPunct/>
        <w:topLinePunct w:val="0"/>
        <w:bidi w:val="0"/>
        <w:spacing w:before="183" w:line="240" w:lineRule="auto"/>
        <w:ind w:left="2" w:right="43" w:firstLine="49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11.2供应商为采购项目提供整体设计、规范编制或者项目管理、监理、检测等服务的供应商，不得再参加该采购项目的其他采购活动。</w:t>
      </w:r>
    </w:p>
    <w:p w14:paraId="3D1C4F6F">
      <w:pPr>
        <w:keepNext w:val="0"/>
        <w:keepLines w:val="0"/>
        <w:pageBreakBefore w:val="0"/>
        <w:widowControl w:val="0"/>
        <w:wordWrap/>
        <w:overflowPunct/>
        <w:topLinePunct w:val="0"/>
        <w:bidi w:val="0"/>
        <w:spacing w:before="182" w:line="240" w:lineRule="auto"/>
        <w:ind w:right="43" w:firstLine="49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11.3政府采购法第二十二条第一款第五项所称重大违法记录，是指供应商因违法经营受到刑事处罚或者责令停产停业、吊销许可证或者执照、较大数额罚款等行政处罚。</w:t>
      </w:r>
    </w:p>
    <w:p w14:paraId="159815E0">
      <w:pPr>
        <w:keepNext w:val="0"/>
        <w:keepLines w:val="0"/>
        <w:pageBreakBefore w:val="0"/>
        <w:widowControl w:val="0"/>
        <w:wordWrap/>
        <w:overflowPunct/>
        <w:topLinePunct w:val="0"/>
        <w:bidi w:val="0"/>
        <w:spacing w:before="182" w:line="240" w:lineRule="auto"/>
        <w:ind w:left="4" w:right="43" w:firstLine="49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11.4按照财政部《关于规范政府采购行政处罚有关问题的通知》的规定，各级人民政府财政部门依法对参加政府采购活动的供应商作出的禁止参加政府采购活动等行政处罚决定在全国范围内生效。</w:t>
      </w:r>
    </w:p>
    <w:p w14:paraId="09F3ED9B">
      <w:pPr>
        <w:keepNext w:val="0"/>
        <w:keepLines w:val="0"/>
        <w:pageBreakBefore w:val="0"/>
        <w:widowControl w:val="0"/>
        <w:wordWrap/>
        <w:overflowPunct/>
        <w:topLinePunct w:val="0"/>
        <w:bidi w:val="0"/>
        <w:spacing w:before="181" w:line="240" w:lineRule="auto"/>
        <w:ind w:right="43" w:firstLine="49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11.5供应商在参加政府采购活动前3年内因违法经营被禁止在一定期限内参加政府采购活动，期限届满的，可以参加政府采购活动。</w:t>
      </w:r>
    </w:p>
    <w:p w14:paraId="4524309A">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szCs w:val="24"/>
          <w:highlight w:val="none"/>
        </w:rPr>
        <w:sectPr>
          <w:footerReference r:id="rId9" w:type="default"/>
          <w:pgSz w:w="11906" w:h="16839"/>
          <w:pgMar w:top="1440" w:right="1800" w:bottom="1440" w:left="1800" w:header="0" w:footer="845" w:gutter="0"/>
          <w:cols w:space="720" w:num="1"/>
        </w:sectPr>
      </w:pPr>
    </w:p>
    <w:p w14:paraId="108C868F">
      <w:pPr>
        <w:keepNext w:val="0"/>
        <w:keepLines w:val="0"/>
        <w:pageBreakBefore w:val="0"/>
        <w:widowControl w:val="0"/>
        <w:wordWrap/>
        <w:overflowPunct/>
        <w:topLinePunct w:val="0"/>
        <w:bidi w:val="0"/>
        <w:spacing w:before="101" w:line="240" w:lineRule="auto"/>
        <w:jc w:val="center"/>
        <w:outlineLvl w:val="0"/>
        <w:rPr>
          <w:rFonts w:hint="eastAsia" w:ascii="仿宋" w:hAnsi="仿宋" w:eastAsia="仿宋" w:cs="仿宋"/>
          <w:color w:val="auto"/>
          <w:spacing w:val="0"/>
          <w:sz w:val="31"/>
          <w:szCs w:val="31"/>
          <w:highlight w:val="none"/>
        </w:rPr>
      </w:pPr>
      <w:bookmarkStart w:id="6" w:name="bookmark3"/>
      <w:bookmarkEnd w:id="6"/>
      <w:r>
        <w:rPr>
          <w:rFonts w:hint="eastAsia" w:ascii="仿宋" w:hAnsi="仿宋" w:eastAsia="仿宋" w:cs="仿宋"/>
          <w:b/>
          <w:bCs/>
          <w:color w:val="auto"/>
          <w:spacing w:val="0"/>
          <w:sz w:val="31"/>
          <w:szCs w:val="31"/>
          <w:highlight w:val="none"/>
        </w:rPr>
        <w:t>第三章</w:t>
      </w:r>
      <w:r>
        <w:rPr>
          <w:rFonts w:hint="eastAsia" w:ascii="仿宋" w:hAnsi="仿宋" w:eastAsia="仿宋" w:cs="仿宋"/>
          <w:color w:val="auto"/>
          <w:spacing w:val="0"/>
          <w:sz w:val="31"/>
          <w:szCs w:val="31"/>
          <w:highlight w:val="none"/>
        </w:rPr>
        <w:t xml:space="preserve"> </w:t>
      </w:r>
      <w:r>
        <w:rPr>
          <w:rFonts w:hint="eastAsia" w:ascii="仿宋" w:hAnsi="仿宋" w:eastAsia="仿宋" w:cs="仿宋"/>
          <w:b/>
          <w:bCs/>
          <w:color w:val="auto"/>
          <w:spacing w:val="0"/>
          <w:sz w:val="31"/>
          <w:szCs w:val="31"/>
          <w:highlight w:val="none"/>
        </w:rPr>
        <w:t>评审方法（综合评分法）</w:t>
      </w:r>
    </w:p>
    <w:tbl>
      <w:tblPr>
        <w:tblStyle w:val="1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35"/>
        <w:gridCol w:w="5245"/>
      </w:tblGrid>
      <w:tr w14:paraId="29F0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3969" w:type="dxa"/>
            <w:gridSpan w:val="2"/>
            <w:noWrap w:val="0"/>
            <w:vAlign w:val="center"/>
          </w:tcPr>
          <w:p w14:paraId="0768FD32">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center"/>
              <w:textAlignment w:val="auto"/>
              <w:rPr>
                <w:rFonts w:hint="eastAsia" w:ascii="仿宋" w:hAnsi="仿宋" w:eastAsia="仿宋" w:cs="仿宋"/>
                <w:b/>
                <w:color w:val="auto"/>
                <w:spacing w:val="0"/>
                <w:sz w:val="20"/>
                <w:szCs w:val="20"/>
                <w:highlight w:val="none"/>
              </w:rPr>
            </w:pPr>
            <w:r>
              <w:rPr>
                <w:rFonts w:hint="eastAsia" w:ascii="仿宋" w:hAnsi="仿宋" w:eastAsia="仿宋" w:cs="仿宋"/>
                <w:b/>
                <w:color w:val="auto"/>
                <w:spacing w:val="0"/>
                <w:sz w:val="20"/>
                <w:szCs w:val="20"/>
                <w:highlight w:val="none"/>
              </w:rPr>
              <w:t>评审因素</w:t>
            </w:r>
          </w:p>
        </w:tc>
        <w:tc>
          <w:tcPr>
            <w:tcW w:w="5245" w:type="dxa"/>
            <w:noWrap w:val="0"/>
            <w:vAlign w:val="center"/>
          </w:tcPr>
          <w:p w14:paraId="3E1F06AD">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center"/>
              <w:textAlignment w:val="auto"/>
              <w:rPr>
                <w:rFonts w:hint="eastAsia" w:ascii="仿宋" w:hAnsi="仿宋" w:eastAsia="仿宋" w:cs="仿宋"/>
                <w:b/>
                <w:color w:val="auto"/>
                <w:spacing w:val="0"/>
                <w:sz w:val="20"/>
                <w:szCs w:val="20"/>
                <w:highlight w:val="none"/>
              </w:rPr>
            </w:pPr>
            <w:r>
              <w:rPr>
                <w:rFonts w:hint="eastAsia" w:ascii="仿宋" w:hAnsi="仿宋" w:eastAsia="仿宋" w:cs="仿宋"/>
                <w:b/>
                <w:color w:val="auto"/>
                <w:spacing w:val="0"/>
                <w:sz w:val="20"/>
                <w:szCs w:val="20"/>
                <w:highlight w:val="none"/>
              </w:rPr>
              <w:t>评审标准</w:t>
            </w:r>
          </w:p>
        </w:tc>
      </w:tr>
      <w:tr w14:paraId="2E3C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restart"/>
            <w:noWrap w:val="0"/>
            <w:vAlign w:val="center"/>
          </w:tcPr>
          <w:p w14:paraId="384B3454">
            <w:pPr>
              <w:keepNext w:val="0"/>
              <w:keepLines w:val="0"/>
              <w:pageBreakBefore w:val="0"/>
              <w:widowControl w:val="0"/>
              <w:kinsoku/>
              <w:wordWrap/>
              <w:overflowPunct/>
              <w:topLinePunct w:val="0"/>
              <w:bidi w:val="0"/>
              <w:spacing w:beforeAutospacing="0" w:after="0" w:afterAutospacing="0" w:line="240" w:lineRule="auto"/>
              <w:ind w:left="0" w:leftChars="0" w:right="0" w:firstLine="201" w:firstLineChars="100"/>
              <w:jc w:val="both"/>
              <w:textAlignment w:val="auto"/>
              <w:rPr>
                <w:rFonts w:hint="eastAsia" w:ascii="仿宋" w:hAnsi="仿宋" w:eastAsia="仿宋" w:cs="仿宋"/>
                <w:b/>
                <w:color w:val="auto"/>
                <w:spacing w:val="0"/>
                <w:sz w:val="20"/>
                <w:szCs w:val="20"/>
                <w:highlight w:val="none"/>
                <w:lang w:val="en-US" w:eastAsia="zh-CN"/>
              </w:rPr>
            </w:pPr>
            <w:r>
              <w:rPr>
                <w:rFonts w:hint="eastAsia" w:ascii="仿宋" w:hAnsi="仿宋" w:eastAsia="仿宋" w:cs="仿宋"/>
                <w:b/>
                <w:color w:val="auto"/>
                <w:spacing w:val="0"/>
                <w:sz w:val="20"/>
                <w:szCs w:val="20"/>
                <w:highlight w:val="none"/>
                <w:lang w:val="en-US" w:eastAsia="zh-CN"/>
              </w:rPr>
              <w:t>资</w:t>
            </w:r>
          </w:p>
          <w:p w14:paraId="30F0A69D">
            <w:pPr>
              <w:keepNext w:val="0"/>
              <w:keepLines w:val="0"/>
              <w:pageBreakBefore w:val="0"/>
              <w:widowControl w:val="0"/>
              <w:kinsoku/>
              <w:wordWrap/>
              <w:overflowPunct/>
              <w:topLinePunct w:val="0"/>
              <w:bidi w:val="0"/>
              <w:spacing w:beforeAutospacing="0" w:after="0" w:afterAutospacing="0" w:line="240" w:lineRule="auto"/>
              <w:ind w:left="0" w:leftChars="0" w:right="0" w:firstLine="201" w:firstLineChars="100"/>
              <w:jc w:val="both"/>
              <w:textAlignment w:val="auto"/>
              <w:rPr>
                <w:rFonts w:hint="eastAsia" w:ascii="仿宋" w:hAnsi="仿宋" w:eastAsia="仿宋" w:cs="仿宋"/>
                <w:b/>
                <w:color w:val="auto"/>
                <w:spacing w:val="0"/>
                <w:sz w:val="20"/>
                <w:szCs w:val="20"/>
                <w:highlight w:val="none"/>
                <w:lang w:val="en-US" w:eastAsia="zh-CN"/>
              </w:rPr>
            </w:pPr>
            <w:r>
              <w:rPr>
                <w:rFonts w:hint="eastAsia" w:ascii="仿宋" w:hAnsi="仿宋" w:eastAsia="仿宋" w:cs="仿宋"/>
                <w:b/>
                <w:color w:val="auto"/>
                <w:spacing w:val="0"/>
                <w:sz w:val="20"/>
                <w:szCs w:val="20"/>
                <w:highlight w:val="none"/>
                <w:lang w:val="en-US" w:eastAsia="zh-CN"/>
              </w:rPr>
              <w:t>格</w:t>
            </w:r>
          </w:p>
          <w:p w14:paraId="415B65E1">
            <w:pPr>
              <w:keepNext w:val="0"/>
              <w:keepLines w:val="0"/>
              <w:pageBreakBefore w:val="0"/>
              <w:widowControl w:val="0"/>
              <w:kinsoku/>
              <w:wordWrap/>
              <w:overflowPunct/>
              <w:topLinePunct w:val="0"/>
              <w:bidi w:val="0"/>
              <w:spacing w:beforeAutospacing="0" w:after="0" w:afterAutospacing="0" w:line="240" w:lineRule="auto"/>
              <w:ind w:left="0" w:leftChars="0" w:right="0" w:firstLine="201" w:firstLineChars="100"/>
              <w:jc w:val="both"/>
              <w:textAlignment w:val="auto"/>
              <w:rPr>
                <w:rFonts w:hint="eastAsia" w:ascii="仿宋" w:hAnsi="仿宋" w:eastAsia="仿宋" w:cs="仿宋"/>
                <w:b/>
                <w:color w:val="auto"/>
                <w:spacing w:val="0"/>
                <w:sz w:val="20"/>
                <w:szCs w:val="20"/>
                <w:highlight w:val="none"/>
                <w:lang w:val="en-US" w:eastAsia="zh-CN"/>
              </w:rPr>
            </w:pPr>
            <w:r>
              <w:rPr>
                <w:rFonts w:hint="eastAsia" w:ascii="仿宋" w:hAnsi="仿宋" w:eastAsia="仿宋" w:cs="仿宋"/>
                <w:b/>
                <w:color w:val="auto"/>
                <w:spacing w:val="0"/>
                <w:sz w:val="20"/>
                <w:szCs w:val="20"/>
                <w:highlight w:val="none"/>
                <w:lang w:val="en-US" w:eastAsia="zh-CN"/>
              </w:rPr>
              <w:t>性</w:t>
            </w:r>
          </w:p>
          <w:p w14:paraId="03A49FA7">
            <w:pPr>
              <w:keepNext w:val="0"/>
              <w:keepLines w:val="0"/>
              <w:pageBreakBefore w:val="0"/>
              <w:widowControl w:val="0"/>
              <w:kinsoku/>
              <w:wordWrap/>
              <w:overflowPunct/>
              <w:topLinePunct w:val="0"/>
              <w:bidi w:val="0"/>
              <w:spacing w:beforeAutospacing="0" w:after="0" w:afterAutospacing="0" w:line="240" w:lineRule="auto"/>
              <w:ind w:left="0" w:leftChars="0" w:right="0" w:firstLine="201" w:firstLineChars="100"/>
              <w:jc w:val="both"/>
              <w:textAlignment w:val="auto"/>
              <w:rPr>
                <w:rFonts w:hint="eastAsia" w:ascii="仿宋" w:hAnsi="仿宋" w:eastAsia="仿宋" w:cs="仿宋"/>
                <w:b/>
                <w:color w:val="auto"/>
                <w:spacing w:val="0"/>
                <w:sz w:val="20"/>
                <w:szCs w:val="20"/>
                <w:highlight w:val="none"/>
                <w:lang w:val="en-US" w:eastAsia="zh-CN"/>
              </w:rPr>
            </w:pPr>
            <w:r>
              <w:rPr>
                <w:rFonts w:hint="eastAsia" w:ascii="仿宋" w:hAnsi="仿宋" w:eastAsia="仿宋" w:cs="仿宋"/>
                <w:b/>
                <w:color w:val="auto"/>
                <w:spacing w:val="0"/>
                <w:sz w:val="20"/>
                <w:szCs w:val="20"/>
                <w:highlight w:val="none"/>
                <w:lang w:val="en-US" w:eastAsia="zh-CN"/>
              </w:rPr>
              <w:t>评</w:t>
            </w:r>
          </w:p>
          <w:p w14:paraId="5A9C212C">
            <w:pPr>
              <w:keepNext w:val="0"/>
              <w:keepLines w:val="0"/>
              <w:pageBreakBefore w:val="0"/>
              <w:widowControl w:val="0"/>
              <w:kinsoku/>
              <w:wordWrap/>
              <w:overflowPunct/>
              <w:topLinePunct w:val="0"/>
              <w:bidi w:val="0"/>
              <w:spacing w:beforeAutospacing="0" w:after="0" w:afterAutospacing="0" w:line="240" w:lineRule="auto"/>
              <w:ind w:left="0" w:leftChars="0" w:right="0" w:rightChars="0" w:firstLine="201" w:firstLineChars="100"/>
              <w:jc w:val="both"/>
              <w:textAlignment w:val="auto"/>
              <w:rPr>
                <w:rFonts w:hint="eastAsia" w:ascii="仿宋" w:hAnsi="仿宋" w:eastAsia="仿宋" w:cs="仿宋"/>
                <w:b/>
                <w:color w:val="auto"/>
                <w:spacing w:val="0"/>
                <w:sz w:val="20"/>
                <w:szCs w:val="20"/>
                <w:highlight w:val="none"/>
                <w:lang w:val="en-US" w:eastAsia="zh-CN"/>
              </w:rPr>
            </w:pPr>
            <w:r>
              <w:rPr>
                <w:rFonts w:hint="eastAsia" w:ascii="仿宋" w:hAnsi="仿宋" w:eastAsia="仿宋" w:cs="仿宋"/>
                <w:b/>
                <w:color w:val="auto"/>
                <w:spacing w:val="0"/>
                <w:sz w:val="20"/>
                <w:szCs w:val="20"/>
                <w:highlight w:val="none"/>
                <w:lang w:val="en-US" w:eastAsia="zh-CN"/>
              </w:rPr>
              <w:t>审</w:t>
            </w:r>
          </w:p>
        </w:tc>
        <w:tc>
          <w:tcPr>
            <w:tcW w:w="2835" w:type="dxa"/>
            <w:noWrap w:val="0"/>
            <w:vAlign w:val="top"/>
          </w:tcPr>
          <w:p w14:paraId="585324DA">
            <w:pPr>
              <w:pStyle w:val="3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val="0"/>
                <w:color w:val="auto"/>
                <w:spacing w:val="0"/>
                <w:kern w:val="2"/>
                <w:sz w:val="20"/>
                <w:szCs w:val="20"/>
                <w:highlight w:val="none"/>
                <w:lang w:val="en-US" w:eastAsia="zh-CN" w:bidi="ar-SA"/>
              </w:rPr>
            </w:pPr>
            <w:r>
              <w:rPr>
                <w:rFonts w:hint="eastAsia" w:ascii="仿宋" w:hAnsi="仿宋" w:eastAsia="仿宋" w:cs="仿宋"/>
                <w:bCs w:val="0"/>
                <w:color w:val="auto"/>
                <w:spacing w:val="0"/>
                <w:kern w:val="2"/>
                <w:sz w:val="20"/>
                <w:szCs w:val="20"/>
                <w:highlight w:val="none"/>
                <w:lang w:val="en-US" w:eastAsia="zh-CN" w:bidi="ar-SA"/>
              </w:rPr>
              <w:t>具有独立承担民事责任的能力</w:t>
            </w:r>
          </w:p>
        </w:tc>
        <w:tc>
          <w:tcPr>
            <w:tcW w:w="5245" w:type="dxa"/>
            <w:noWrap w:val="0"/>
            <w:vAlign w:val="top"/>
          </w:tcPr>
          <w:p w14:paraId="30DFE118">
            <w:pPr>
              <w:pStyle w:val="3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val="0"/>
                <w:color w:val="auto"/>
                <w:spacing w:val="0"/>
                <w:kern w:val="2"/>
                <w:sz w:val="20"/>
                <w:szCs w:val="20"/>
                <w:highlight w:val="none"/>
                <w:lang w:val="en-US" w:eastAsia="zh-CN" w:bidi="ar-SA"/>
              </w:rPr>
            </w:pPr>
            <w:r>
              <w:rPr>
                <w:rFonts w:hint="eastAsia" w:ascii="仿宋" w:hAnsi="仿宋" w:eastAsia="仿宋" w:cs="仿宋"/>
                <w:bCs w:val="0"/>
                <w:color w:val="auto"/>
                <w:spacing w:val="0"/>
                <w:kern w:val="2"/>
                <w:sz w:val="20"/>
                <w:szCs w:val="20"/>
                <w:highlight w:val="none"/>
                <w:lang w:val="en-US" w:eastAsia="zh-CN" w:bidi="ar-SA"/>
              </w:rPr>
              <w:t>须提供在中华人民共和国境内注册的法人或其他组织或自然人的营业执照副本或事业法人登记证或执业许可证或身份证等相关证明复印件（除身份证外其余证件须加盖公章）</w:t>
            </w:r>
          </w:p>
        </w:tc>
      </w:tr>
      <w:tr w14:paraId="510F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4575A961">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b/>
                <w:color w:val="auto"/>
                <w:spacing w:val="0"/>
                <w:sz w:val="20"/>
                <w:szCs w:val="20"/>
                <w:highlight w:val="none"/>
              </w:rPr>
            </w:pPr>
          </w:p>
        </w:tc>
        <w:tc>
          <w:tcPr>
            <w:tcW w:w="2835" w:type="dxa"/>
            <w:noWrap w:val="0"/>
            <w:vAlign w:val="top"/>
          </w:tcPr>
          <w:p w14:paraId="00155DBB">
            <w:pPr>
              <w:pStyle w:val="3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val="0"/>
                <w:color w:val="auto"/>
                <w:spacing w:val="0"/>
                <w:kern w:val="2"/>
                <w:sz w:val="20"/>
                <w:szCs w:val="20"/>
                <w:highlight w:val="none"/>
                <w:lang w:val="en-US" w:eastAsia="zh-CN" w:bidi="ar-SA"/>
              </w:rPr>
            </w:pPr>
            <w:r>
              <w:rPr>
                <w:rFonts w:hint="eastAsia" w:ascii="仿宋" w:hAnsi="仿宋" w:eastAsia="仿宋" w:cs="仿宋"/>
                <w:bCs w:val="0"/>
                <w:color w:val="auto"/>
                <w:spacing w:val="0"/>
                <w:kern w:val="2"/>
                <w:sz w:val="20"/>
                <w:szCs w:val="20"/>
                <w:highlight w:val="none"/>
                <w:lang w:val="en-US" w:eastAsia="zh-CN" w:bidi="ar-SA"/>
              </w:rPr>
              <w:t>具有良好的商业信誉和健全的财务会计制度</w:t>
            </w:r>
          </w:p>
        </w:tc>
        <w:tc>
          <w:tcPr>
            <w:tcW w:w="5245" w:type="dxa"/>
            <w:noWrap w:val="0"/>
            <w:vAlign w:val="top"/>
          </w:tcPr>
          <w:p w14:paraId="46E1D095">
            <w:pPr>
              <w:pStyle w:val="3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val="0"/>
                <w:color w:val="auto"/>
                <w:spacing w:val="0"/>
                <w:kern w:val="2"/>
                <w:sz w:val="20"/>
                <w:szCs w:val="20"/>
                <w:highlight w:val="none"/>
                <w:lang w:val="en-US" w:eastAsia="zh-CN" w:bidi="ar-SA"/>
              </w:rPr>
            </w:pPr>
            <w:r>
              <w:rPr>
                <w:rFonts w:hint="eastAsia" w:ascii="仿宋" w:hAnsi="仿宋" w:eastAsia="仿宋" w:cs="仿宋"/>
                <w:bCs w:val="0"/>
                <w:color w:val="auto"/>
                <w:spacing w:val="0"/>
                <w:kern w:val="2"/>
                <w:sz w:val="20"/>
                <w:szCs w:val="20"/>
                <w:highlight w:val="none"/>
                <w:lang w:val="en-US" w:eastAsia="zh-CN" w:bidi="ar-SA"/>
              </w:rPr>
              <w:t>须提供本单位近三年由会计师事务所出具的财务审计报告（指2022年度、2023年度、2024年度），审计报告须包括资产负债表、利润表、现金流量表、所有者权益变动（如有）及其附注（复印件并加盖本单位公章）。如投标人无法提供上述审计报告，则需提供具有良好的商业信誉和健全的财务会计制度承诺书。</w:t>
            </w:r>
          </w:p>
        </w:tc>
      </w:tr>
      <w:tr w14:paraId="6B5E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397C314D">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b/>
                <w:color w:val="auto"/>
                <w:spacing w:val="0"/>
                <w:sz w:val="20"/>
                <w:szCs w:val="20"/>
                <w:highlight w:val="none"/>
              </w:rPr>
            </w:pPr>
          </w:p>
        </w:tc>
        <w:tc>
          <w:tcPr>
            <w:tcW w:w="2835" w:type="dxa"/>
            <w:noWrap w:val="0"/>
            <w:vAlign w:val="top"/>
          </w:tcPr>
          <w:p w14:paraId="3E32A0DB">
            <w:pPr>
              <w:pStyle w:val="3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val="0"/>
                <w:color w:val="auto"/>
                <w:spacing w:val="0"/>
                <w:kern w:val="2"/>
                <w:sz w:val="20"/>
                <w:szCs w:val="20"/>
                <w:highlight w:val="none"/>
                <w:lang w:val="en-US" w:eastAsia="zh-CN" w:bidi="ar-SA"/>
              </w:rPr>
            </w:pPr>
            <w:r>
              <w:rPr>
                <w:rFonts w:hint="eastAsia" w:ascii="仿宋" w:hAnsi="仿宋" w:eastAsia="仿宋" w:cs="仿宋"/>
                <w:bCs w:val="0"/>
                <w:color w:val="auto"/>
                <w:spacing w:val="0"/>
                <w:kern w:val="2"/>
                <w:sz w:val="20"/>
                <w:szCs w:val="20"/>
                <w:highlight w:val="none"/>
                <w:lang w:val="en-US" w:eastAsia="zh-CN" w:bidi="ar-SA"/>
              </w:rPr>
              <w:t>具有履行合同所必需的设备和专业技术能力</w:t>
            </w:r>
          </w:p>
        </w:tc>
        <w:tc>
          <w:tcPr>
            <w:tcW w:w="5245" w:type="dxa"/>
            <w:noWrap w:val="0"/>
            <w:vAlign w:val="top"/>
          </w:tcPr>
          <w:p w14:paraId="3ECD1DF1">
            <w:pPr>
              <w:pStyle w:val="3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val="0"/>
                <w:color w:val="auto"/>
                <w:spacing w:val="0"/>
                <w:kern w:val="2"/>
                <w:sz w:val="20"/>
                <w:szCs w:val="20"/>
                <w:highlight w:val="none"/>
                <w:lang w:val="en-US" w:eastAsia="zh-CN" w:bidi="ar-SA"/>
              </w:rPr>
            </w:pPr>
            <w:r>
              <w:rPr>
                <w:rFonts w:hint="eastAsia" w:ascii="仿宋" w:hAnsi="仿宋" w:eastAsia="仿宋" w:cs="仿宋"/>
                <w:bCs w:val="0"/>
                <w:color w:val="auto"/>
                <w:spacing w:val="0"/>
                <w:kern w:val="2"/>
                <w:sz w:val="20"/>
                <w:szCs w:val="20"/>
                <w:highlight w:val="none"/>
                <w:lang w:val="en-US" w:eastAsia="zh-CN" w:bidi="ar-SA"/>
              </w:rPr>
              <w:t>须提供具备履行合同所必需的设备和专业技术能力的证明材料或书面声明原件</w:t>
            </w:r>
          </w:p>
        </w:tc>
      </w:tr>
      <w:tr w14:paraId="5143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7D34C3CC">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b/>
                <w:color w:val="auto"/>
                <w:spacing w:val="0"/>
                <w:sz w:val="20"/>
                <w:szCs w:val="20"/>
                <w:highlight w:val="none"/>
              </w:rPr>
            </w:pPr>
          </w:p>
        </w:tc>
        <w:tc>
          <w:tcPr>
            <w:tcW w:w="2835" w:type="dxa"/>
            <w:noWrap w:val="0"/>
            <w:vAlign w:val="top"/>
          </w:tcPr>
          <w:p w14:paraId="17F13487">
            <w:pPr>
              <w:pStyle w:val="3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val="0"/>
                <w:color w:val="auto"/>
                <w:spacing w:val="0"/>
                <w:kern w:val="2"/>
                <w:sz w:val="20"/>
                <w:szCs w:val="20"/>
                <w:highlight w:val="none"/>
                <w:lang w:val="en-US" w:eastAsia="zh-CN" w:bidi="ar-SA"/>
              </w:rPr>
            </w:pPr>
            <w:r>
              <w:rPr>
                <w:rFonts w:hint="eastAsia" w:ascii="仿宋" w:hAnsi="仿宋" w:eastAsia="仿宋" w:cs="仿宋"/>
                <w:bCs w:val="0"/>
                <w:color w:val="auto"/>
                <w:spacing w:val="0"/>
                <w:kern w:val="2"/>
                <w:sz w:val="20"/>
                <w:szCs w:val="20"/>
                <w:highlight w:val="none"/>
                <w:lang w:val="en-US" w:eastAsia="zh-CN" w:bidi="ar-SA"/>
              </w:rPr>
              <w:t>有依法缴纳税收和社会保障资金的良好记录；</w:t>
            </w:r>
          </w:p>
        </w:tc>
        <w:tc>
          <w:tcPr>
            <w:tcW w:w="5245" w:type="dxa"/>
            <w:noWrap w:val="0"/>
            <w:vAlign w:val="top"/>
          </w:tcPr>
          <w:p w14:paraId="3DE318E8">
            <w:pPr>
              <w:pStyle w:val="3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val="0"/>
                <w:color w:val="auto"/>
                <w:spacing w:val="0"/>
                <w:kern w:val="2"/>
                <w:sz w:val="20"/>
                <w:szCs w:val="20"/>
                <w:highlight w:val="none"/>
                <w:lang w:val="en-US" w:eastAsia="zh-CN" w:bidi="ar-SA"/>
              </w:rPr>
            </w:pPr>
            <w:r>
              <w:rPr>
                <w:rFonts w:hint="eastAsia" w:ascii="仿宋" w:hAnsi="仿宋" w:eastAsia="仿宋" w:cs="仿宋"/>
                <w:bCs w:val="0"/>
                <w:color w:val="auto"/>
                <w:spacing w:val="0"/>
                <w:kern w:val="2"/>
                <w:sz w:val="20"/>
                <w:szCs w:val="20"/>
                <w:highlight w:val="none"/>
                <w:lang w:val="en-US" w:eastAsia="zh-CN" w:bidi="ar-SA"/>
              </w:rPr>
              <w:t>须提供响应文件递交截止日期之前六个月内任意连续三个月的社会保障资金和缴纳税收证明（依法免税的应提供相应文件说明）</w:t>
            </w:r>
          </w:p>
        </w:tc>
      </w:tr>
      <w:tr w14:paraId="72B2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34" w:type="dxa"/>
            <w:vMerge w:val="continue"/>
            <w:noWrap w:val="0"/>
            <w:vAlign w:val="center"/>
          </w:tcPr>
          <w:p w14:paraId="209DF552">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b/>
                <w:color w:val="auto"/>
                <w:spacing w:val="0"/>
                <w:sz w:val="20"/>
                <w:szCs w:val="20"/>
                <w:highlight w:val="none"/>
              </w:rPr>
            </w:pPr>
          </w:p>
        </w:tc>
        <w:tc>
          <w:tcPr>
            <w:tcW w:w="2835" w:type="dxa"/>
            <w:noWrap w:val="0"/>
            <w:vAlign w:val="top"/>
          </w:tcPr>
          <w:p w14:paraId="7247C5F8">
            <w:pPr>
              <w:pStyle w:val="3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val="0"/>
                <w:color w:val="auto"/>
                <w:spacing w:val="0"/>
                <w:kern w:val="2"/>
                <w:sz w:val="20"/>
                <w:szCs w:val="20"/>
                <w:highlight w:val="none"/>
                <w:lang w:val="en-US" w:eastAsia="zh-CN" w:bidi="ar-SA"/>
              </w:rPr>
            </w:pPr>
            <w:r>
              <w:rPr>
                <w:rFonts w:hint="eastAsia" w:ascii="仿宋" w:hAnsi="仿宋" w:eastAsia="仿宋" w:cs="仿宋"/>
                <w:bCs w:val="0"/>
                <w:color w:val="auto"/>
                <w:spacing w:val="0"/>
                <w:kern w:val="2"/>
                <w:sz w:val="20"/>
                <w:szCs w:val="20"/>
                <w:highlight w:val="none"/>
                <w:lang w:val="en-US" w:eastAsia="zh-CN" w:bidi="ar-SA"/>
              </w:rPr>
              <w:t>参加政府采购活动前三年内，在经营活动中没有重大违法记录</w:t>
            </w:r>
          </w:p>
        </w:tc>
        <w:tc>
          <w:tcPr>
            <w:tcW w:w="5245" w:type="dxa"/>
            <w:noWrap w:val="0"/>
            <w:vAlign w:val="top"/>
          </w:tcPr>
          <w:p w14:paraId="1A75B4B2">
            <w:pPr>
              <w:pStyle w:val="3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val="0"/>
                <w:color w:val="auto"/>
                <w:spacing w:val="0"/>
                <w:kern w:val="2"/>
                <w:sz w:val="20"/>
                <w:szCs w:val="20"/>
                <w:highlight w:val="none"/>
                <w:lang w:val="en-US" w:eastAsia="zh-CN" w:bidi="ar-SA"/>
              </w:rPr>
            </w:pPr>
            <w:r>
              <w:rPr>
                <w:rFonts w:hint="eastAsia" w:ascii="仿宋" w:hAnsi="仿宋" w:eastAsia="仿宋" w:cs="仿宋"/>
                <w:bCs w:val="0"/>
                <w:color w:val="auto"/>
                <w:spacing w:val="0"/>
                <w:kern w:val="2"/>
                <w:sz w:val="20"/>
                <w:szCs w:val="20"/>
                <w:highlight w:val="none"/>
                <w:lang w:val="en-US" w:eastAsia="zh-CN" w:bidi="ar-SA"/>
              </w:rPr>
              <w:t>须提供无重大违法记录声明函</w:t>
            </w:r>
          </w:p>
        </w:tc>
      </w:tr>
      <w:tr w14:paraId="3629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504DF3EB">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b/>
                <w:color w:val="auto"/>
                <w:spacing w:val="0"/>
                <w:sz w:val="20"/>
                <w:szCs w:val="20"/>
                <w:highlight w:val="none"/>
              </w:rPr>
            </w:pPr>
          </w:p>
        </w:tc>
        <w:tc>
          <w:tcPr>
            <w:tcW w:w="2835" w:type="dxa"/>
            <w:noWrap w:val="0"/>
            <w:vAlign w:val="center"/>
          </w:tcPr>
          <w:p w14:paraId="322BAD24">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特定资质</w:t>
            </w:r>
          </w:p>
        </w:tc>
        <w:tc>
          <w:tcPr>
            <w:tcW w:w="5245" w:type="dxa"/>
            <w:noWrap w:val="0"/>
            <w:vAlign w:val="center"/>
          </w:tcPr>
          <w:p w14:paraId="684987B8">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（1）项目负责人具有水利专业高级职称证书；</w:t>
            </w:r>
          </w:p>
          <w:p w14:paraId="63641598">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w:t>
            </w:r>
            <w:r>
              <w:rPr>
                <w:rFonts w:hint="eastAsia" w:ascii="仿宋" w:hAnsi="仿宋" w:eastAsia="仿宋" w:cs="仿宋"/>
                <w:color w:val="auto"/>
                <w:spacing w:val="0"/>
                <w:sz w:val="20"/>
                <w:szCs w:val="20"/>
                <w:highlight w:val="none"/>
                <w:lang w:val="en-US" w:eastAsia="zh-CN"/>
              </w:rPr>
              <w:t>2</w:t>
            </w:r>
            <w:r>
              <w:rPr>
                <w:rFonts w:hint="eastAsia" w:ascii="仿宋" w:hAnsi="仿宋" w:eastAsia="仿宋" w:cs="仿宋"/>
                <w:color w:val="auto"/>
                <w:spacing w:val="0"/>
                <w:sz w:val="20"/>
                <w:szCs w:val="20"/>
                <w:highlight w:val="none"/>
              </w:rPr>
              <w:t>）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26FEF81">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w:t>
            </w:r>
            <w:r>
              <w:rPr>
                <w:rFonts w:hint="eastAsia" w:ascii="仿宋" w:hAnsi="仿宋" w:eastAsia="仿宋" w:cs="仿宋"/>
                <w:color w:val="auto"/>
                <w:spacing w:val="0"/>
                <w:sz w:val="20"/>
                <w:szCs w:val="20"/>
                <w:highlight w:val="none"/>
                <w:lang w:val="en-US" w:eastAsia="zh-CN"/>
              </w:rPr>
              <w:t>3</w:t>
            </w:r>
            <w:r>
              <w:rPr>
                <w:rFonts w:hint="eastAsia" w:ascii="仿宋" w:hAnsi="仿宋" w:eastAsia="仿宋" w:cs="仿宋"/>
                <w:color w:val="auto"/>
                <w:spacing w:val="0"/>
                <w:sz w:val="20"/>
                <w:szCs w:val="20"/>
                <w:highlight w:val="none"/>
              </w:rPr>
              <w:t>）供应商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w:t>
            </w:r>
          </w:p>
        </w:tc>
      </w:tr>
      <w:tr w14:paraId="72C7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033884E0">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b/>
                <w:color w:val="auto"/>
                <w:spacing w:val="0"/>
                <w:sz w:val="20"/>
                <w:szCs w:val="20"/>
                <w:highlight w:val="none"/>
              </w:rPr>
            </w:pPr>
          </w:p>
        </w:tc>
        <w:tc>
          <w:tcPr>
            <w:tcW w:w="2835" w:type="dxa"/>
            <w:noWrap w:val="0"/>
            <w:vAlign w:val="center"/>
          </w:tcPr>
          <w:p w14:paraId="0CAE043E">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lang w:eastAsia="zh-CN"/>
              </w:rPr>
            </w:pPr>
            <w:r>
              <w:rPr>
                <w:rFonts w:hint="eastAsia" w:ascii="仿宋" w:hAnsi="仿宋" w:eastAsia="仿宋" w:cs="仿宋"/>
                <w:color w:val="auto"/>
                <w:spacing w:val="0"/>
                <w:sz w:val="20"/>
                <w:szCs w:val="20"/>
                <w:highlight w:val="none"/>
              </w:rPr>
              <w:t>采购政策</w:t>
            </w:r>
          </w:p>
        </w:tc>
        <w:tc>
          <w:tcPr>
            <w:tcW w:w="5245" w:type="dxa"/>
            <w:noWrap w:val="0"/>
            <w:vAlign w:val="center"/>
          </w:tcPr>
          <w:p w14:paraId="5758025A">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lang w:eastAsia="zh-CN"/>
              </w:rPr>
            </w:pPr>
            <w:bookmarkStart w:id="192" w:name="_GoBack"/>
            <w:r>
              <w:rPr>
                <w:rFonts w:hint="eastAsia" w:ascii="仿宋" w:hAnsi="仿宋" w:eastAsia="仿宋" w:cs="仿宋"/>
                <w:color w:val="auto"/>
                <w:spacing w:val="0"/>
                <w:sz w:val="20"/>
                <w:szCs w:val="20"/>
                <w:highlight w:val="none"/>
              </w:rPr>
              <w:t>本项目专门面向中小微企业</w:t>
            </w:r>
            <w:r>
              <w:rPr>
                <w:rFonts w:hint="eastAsia" w:ascii="仿宋" w:hAnsi="仿宋" w:eastAsia="仿宋" w:cs="仿宋"/>
                <w:color w:val="auto"/>
                <w:spacing w:val="0"/>
                <w:sz w:val="20"/>
                <w:szCs w:val="20"/>
                <w:highlight w:val="none"/>
                <w:lang w:eastAsia="zh-CN"/>
              </w:rPr>
              <w:t>，</w:t>
            </w:r>
            <w:r>
              <w:rPr>
                <w:rFonts w:hint="eastAsia" w:ascii="仿宋" w:hAnsi="仿宋" w:eastAsia="仿宋" w:cs="仿宋"/>
                <w:color w:val="auto"/>
                <w:spacing w:val="0"/>
                <w:sz w:val="20"/>
                <w:szCs w:val="20"/>
                <w:highlight w:val="none"/>
              </w:rPr>
              <w:t>供应商</w:t>
            </w:r>
            <w:r>
              <w:rPr>
                <w:rFonts w:hint="eastAsia" w:ascii="仿宋" w:hAnsi="仿宋" w:eastAsia="仿宋" w:cs="仿宋"/>
                <w:color w:val="auto"/>
                <w:spacing w:val="0"/>
                <w:sz w:val="20"/>
                <w:szCs w:val="20"/>
                <w:highlight w:val="none"/>
                <w:lang w:val="en-US" w:eastAsia="zh-CN"/>
              </w:rPr>
              <w:t>必须提供中小企业声明函</w:t>
            </w:r>
            <w:bookmarkEnd w:id="192"/>
          </w:p>
        </w:tc>
      </w:tr>
      <w:tr w14:paraId="2BB0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4" w:type="dxa"/>
            <w:vMerge w:val="restart"/>
            <w:noWrap w:val="0"/>
            <w:vAlign w:val="center"/>
          </w:tcPr>
          <w:p w14:paraId="1F5087B6">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color w:val="auto"/>
                <w:spacing w:val="0"/>
                <w:sz w:val="20"/>
                <w:szCs w:val="20"/>
                <w:highlight w:val="none"/>
                <w:lang w:val="en-US" w:eastAsia="zh-CN"/>
              </w:rPr>
            </w:pPr>
            <w:r>
              <w:rPr>
                <w:rFonts w:hint="eastAsia" w:ascii="仿宋" w:hAnsi="仿宋" w:eastAsia="仿宋" w:cs="仿宋"/>
                <w:b/>
                <w:color w:val="auto"/>
                <w:spacing w:val="0"/>
                <w:sz w:val="20"/>
                <w:szCs w:val="20"/>
                <w:highlight w:val="none"/>
                <w:lang w:val="en-US" w:eastAsia="zh-CN"/>
              </w:rPr>
              <w:t>符</w:t>
            </w:r>
          </w:p>
          <w:p w14:paraId="4A14835D">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color w:val="auto"/>
                <w:spacing w:val="0"/>
                <w:sz w:val="20"/>
                <w:szCs w:val="20"/>
                <w:highlight w:val="none"/>
                <w:lang w:eastAsia="zh-CN"/>
              </w:rPr>
            </w:pPr>
            <w:r>
              <w:rPr>
                <w:rFonts w:hint="eastAsia" w:ascii="仿宋" w:hAnsi="仿宋" w:eastAsia="仿宋" w:cs="仿宋"/>
                <w:b/>
                <w:color w:val="auto"/>
                <w:spacing w:val="0"/>
                <w:sz w:val="20"/>
                <w:szCs w:val="20"/>
                <w:highlight w:val="none"/>
                <w:lang w:val="en-US" w:eastAsia="zh-CN"/>
              </w:rPr>
              <w:t>合</w:t>
            </w:r>
          </w:p>
          <w:p w14:paraId="3A83E769">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color w:val="auto"/>
                <w:spacing w:val="0"/>
                <w:sz w:val="20"/>
                <w:szCs w:val="20"/>
                <w:highlight w:val="none"/>
              </w:rPr>
            </w:pPr>
            <w:r>
              <w:rPr>
                <w:rFonts w:hint="eastAsia" w:ascii="仿宋" w:hAnsi="仿宋" w:eastAsia="仿宋" w:cs="仿宋"/>
                <w:b/>
                <w:color w:val="auto"/>
                <w:spacing w:val="0"/>
                <w:sz w:val="20"/>
                <w:szCs w:val="20"/>
                <w:highlight w:val="none"/>
              </w:rPr>
              <w:t>性</w:t>
            </w:r>
          </w:p>
          <w:p w14:paraId="42B75534">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color w:val="auto"/>
                <w:spacing w:val="0"/>
                <w:sz w:val="20"/>
                <w:szCs w:val="20"/>
                <w:highlight w:val="none"/>
              </w:rPr>
            </w:pPr>
            <w:r>
              <w:rPr>
                <w:rFonts w:hint="eastAsia" w:ascii="仿宋" w:hAnsi="仿宋" w:eastAsia="仿宋" w:cs="仿宋"/>
                <w:b/>
                <w:color w:val="auto"/>
                <w:spacing w:val="0"/>
                <w:sz w:val="20"/>
                <w:szCs w:val="20"/>
                <w:highlight w:val="none"/>
              </w:rPr>
              <w:t>评</w:t>
            </w:r>
          </w:p>
          <w:p w14:paraId="66D7D1D5">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color w:val="auto"/>
                <w:spacing w:val="0"/>
                <w:sz w:val="20"/>
                <w:szCs w:val="20"/>
                <w:highlight w:val="none"/>
              </w:rPr>
            </w:pPr>
            <w:r>
              <w:rPr>
                <w:rFonts w:hint="eastAsia" w:ascii="仿宋" w:hAnsi="仿宋" w:eastAsia="仿宋" w:cs="仿宋"/>
                <w:b/>
                <w:color w:val="auto"/>
                <w:spacing w:val="0"/>
                <w:sz w:val="20"/>
                <w:szCs w:val="20"/>
                <w:highlight w:val="none"/>
              </w:rPr>
              <w:t>审</w:t>
            </w:r>
          </w:p>
          <w:p w14:paraId="5DDCC1A7">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color w:val="auto"/>
                <w:spacing w:val="0"/>
                <w:sz w:val="20"/>
                <w:szCs w:val="20"/>
                <w:highlight w:val="none"/>
              </w:rPr>
            </w:pPr>
            <w:r>
              <w:rPr>
                <w:rFonts w:hint="eastAsia" w:ascii="仿宋" w:hAnsi="仿宋" w:eastAsia="仿宋" w:cs="仿宋"/>
                <w:b/>
                <w:color w:val="auto"/>
                <w:spacing w:val="0"/>
                <w:sz w:val="20"/>
                <w:szCs w:val="20"/>
                <w:highlight w:val="none"/>
              </w:rPr>
              <w:t>标</w:t>
            </w:r>
          </w:p>
          <w:p w14:paraId="4EA8BEE6">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center"/>
              <w:textAlignment w:val="auto"/>
              <w:rPr>
                <w:rFonts w:hint="eastAsia" w:ascii="仿宋" w:hAnsi="仿宋" w:eastAsia="仿宋" w:cs="仿宋"/>
                <w:b/>
                <w:color w:val="auto"/>
                <w:spacing w:val="0"/>
                <w:sz w:val="20"/>
                <w:szCs w:val="20"/>
                <w:highlight w:val="none"/>
              </w:rPr>
            </w:pPr>
            <w:r>
              <w:rPr>
                <w:rFonts w:hint="eastAsia" w:ascii="仿宋" w:hAnsi="仿宋" w:eastAsia="仿宋" w:cs="仿宋"/>
                <w:b/>
                <w:color w:val="auto"/>
                <w:spacing w:val="0"/>
                <w:sz w:val="20"/>
                <w:szCs w:val="20"/>
                <w:highlight w:val="none"/>
              </w:rPr>
              <w:t>准</w:t>
            </w:r>
          </w:p>
        </w:tc>
        <w:tc>
          <w:tcPr>
            <w:tcW w:w="2835" w:type="dxa"/>
            <w:noWrap w:val="0"/>
            <w:vAlign w:val="center"/>
          </w:tcPr>
          <w:p w14:paraId="29E0158A">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rPr>
              <w:t>报价</w:t>
            </w:r>
          </w:p>
        </w:tc>
        <w:tc>
          <w:tcPr>
            <w:tcW w:w="5245" w:type="dxa"/>
            <w:noWrap w:val="0"/>
            <w:vAlign w:val="center"/>
          </w:tcPr>
          <w:p w14:paraId="3BCC87F5">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0"/>
                <w:szCs w:val="20"/>
                <w:highlight w:val="none"/>
                <w:lang w:eastAsia="zh-CN"/>
              </w:rPr>
            </w:pPr>
            <w:r>
              <w:rPr>
                <w:rFonts w:hint="eastAsia" w:ascii="仿宋" w:hAnsi="仿宋" w:eastAsia="仿宋" w:cs="仿宋"/>
                <w:color w:val="auto"/>
                <w:spacing w:val="0"/>
                <w:sz w:val="20"/>
                <w:szCs w:val="20"/>
                <w:highlight w:val="none"/>
              </w:rPr>
              <w:t>有下列情形之一的其投标无效：</w:t>
            </w:r>
          </w:p>
          <w:p w14:paraId="0A21E4D1">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0"/>
                <w:szCs w:val="20"/>
                <w:highlight w:val="none"/>
                <w:lang w:eastAsia="zh-CN"/>
              </w:rPr>
            </w:pPr>
            <w:r>
              <w:rPr>
                <w:rFonts w:hint="eastAsia" w:ascii="仿宋" w:hAnsi="仿宋" w:eastAsia="仿宋" w:cs="仿宋"/>
                <w:color w:val="auto"/>
                <w:spacing w:val="0"/>
                <w:sz w:val="20"/>
                <w:szCs w:val="20"/>
                <w:highlight w:val="none"/>
              </w:rPr>
              <w:t>1.1投标文件出现不是唯一的有选择性投标报价的；</w:t>
            </w:r>
          </w:p>
          <w:p w14:paraId="4770AE09">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1.2投标报价高于本项目采购预算或者最高限价的；</w:t>
            </w:r>
          </w:p>
        </w:tc>
      </w:tr>
      <w:tr w14:paraId="4755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228E3DB8">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center"/>
              <w:textAlignment w:val="auto"/>
              <w:rPr>
                <w:rFonts w:hint="eastAsia" w:ascii="仿宋" w:hAnsi="仿宋" w:eastAsia="仿宋" w:cs="仿宋"/>
                <w:b/>
                <w:color w:val="auto"/>
                <w:spacing w:val="0"/>
                <w:sz w:val="20"/>
                <w:szCs w:val="20"/>
                <w:highlight w:val="none"/>
              </w:rPr>
            </w:pPr>
          </w:p>
        </w:tc>
        <w:tc>
          <w:tcPr>
            <w:tcW w:w="2835" w:type="dxa"/>
            <w:noWrap w:val="0"/>
            <w:vAlign w:val="center"/>
          </w:tcPr>
          <w:p w14:paraId="79EA1694">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投标内容</w:t>
            </w:r>
          </w:p>
        </w:tc>
        <w:tc>
          <w:tcPr>
            <w:tcW w:w="5245" w:type="dxa"/>
            <w:noWrap w:val="0"/>
            <w:vAlign w:val="center"/>
          </w:tcPr>
          <w:p w14:paraId="2A11EEB4">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符合</w:t>
            </w:r>
            <w:r>
              <w:rPr>
                <w:rFonts w:hint="eastAsia" w:ascii="仿宋" w:hAnsi="仿宋" w:eastAsia="仿宋" w:cs="仿宋"/>
                <w:color w:val="auto"/>
                <w:spacing w:val="0"/>
                <w:sz w:val="20"/>
                <w:szCs w:val="20"/>
                <w:highlight w:val="none"/>
                <w:lang w:val="en-US" w:eastAsia="zh-CN"/>
              </w:rPr>
              <w:t>磋商文件招标范围</w:t>
            </w:r>
            <w:r>
              <w:rPr>
                <w:rFonts w:hint="eastAsia" w:ascii="仿宋" w:hAnsi="仿宋" w:eastAsia="仿宋" w:cs="仿宋"/>
                <w:color w:val="auto"/>
                <w:spacing w:val="0"/>
                <w:sz w:val="20"/>
                <w:szCs w:val="20"/>
                <w:highlight w:val="none"/>
              </w:rPr>
              <w:t>规定</w:t>
            </w:r>
          </w:p>
        </w:tc>
      </w:tr>
      <w:tr w14:paraId="7D88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77B18C87">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2"/>
                <w:szCs w:val="22"/>
                <w:highlight w:val="none"/>
              </w:rPr>
            </w:pPr>
          </w:p>
        </w:tc>
        <w:tc>
          <w:tcPr>
            <w:tcW w:w="2835" w:type="dxa"/>
            <w:noWrap w:val="0"/>
            <w:vAlign w:val="center"/>
          </w:tcPr>
          <w:p w14:paraId="24398054">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lang w:val="en-US" w:eastAsia="zh-CN"/>
              </w:rPr>
              <w:t>服务期限</w:t>
            </w:r>
          </w:p>
        </w:tc>
        <w:tc>
          <w:tcPr>
            <w:tcW w:w="5245" w:type="dxa"/>
            <w:noWrap w:val="0"/>
            <w:vAlign w:val="center"/>
          </w:tcPr>
          <w:p w14:paraId="737F34F6">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lang w:val="en-US" w:eastAsia="zh-CN"/>
              </w:rPr>
              <w:t>响应文件</w:t>
            </w:r>
            <w:r>
              <w:rPr>
                <w:rFonts w:hint="eastAsia" w:ascii="仿宋" w:hAnsi="仿宋" w:eastAsia="仿宋" w:cs="仿宋"/>
                <w:color w:val="auto"/>
                <w:spacing w:val="0"/>
                <w:sz w:val="20"/>
                <w:szCs w:val="20"/>
                <w:highlight w:val="none"/>
              </w:rPr>
              <w:t>中所报工期必须要满足</w:t>
            </w:r>
            <w:r>
              <w:rPr>
                <w:rFonts w:hint="eastAsia" w:ascii="仿宋" w:hAnsi="仿宋" w:eastAsia="仿宋" w:cs="仿宋"/>
                <w:color w:val="auto"/>
                <w:spacing w:val="0"/>
                <w:sz w:val="20"/>
                <w:szCs w:val="20"/>
                <w:highlight w:val="none"/>
                <w:lang w:val="en-US" w:eastAsia="zh-CN"/>
              </w:rPr>
              <w:t>竞争性磋商</w:t>
            </w:r>
            <w:r>
              <w:rPr>
                <w:rFonts w:hint="eastAsia" w:ascii="仿宋" w:hAnsi="仿宋" w:eastAsia="仿宋" w:cs="仿宋"/>
                <w:color w:val="auto"/>
                <w:spacing w:val="0"/>
                <w:sz w:val="20"/>
                <w:szCs w:val="20"/>
                <w:highlight w:val="none"/>
              </w:rPr>
              <w:t>文件规定。</w:t>
            </w:r>
          </w:p>
        </w:tc>
      </w:tr>
      <w:tr w14:paraId="0E6F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4" w:type="dxa"/>
            <w:vMerge w:val="continue"/>
            <w:noWrap w:val="0"/>
            <w:vAlign w:val="center"/>
          </w:tcPr>
          <w:p w14:paraId="5CF239A7">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2"/>
                <w:szCs w:val="22"/>
                <w:highlight w:val="none"/>
              </w:rPr>
            </w:pPr>
          </w:p>
        </w:tc>
        <w:tc>
          <w:tcPr>
            <w:tcW w:w="2835" w:type="dxa"/>
            <w:noWrap w:val="0"/>
            <w:vAlign w:val="center"/>
          </w:tcPr>
          <w:p w14:paraId="01A773D9">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rPr>
              <w:t>质量标准</w:t>
            </w:r>
          </w:p>
        </w:tc>
        <w:tc>
          <w:tcPr>
            <w:tcW w:w="5245" w:type="dxa"/>
            <w:noWrap w:val="0"/>
            <w:vAlign w:val="center"/>
          </w:tcPr>
          <w:p w14:paraId="4B924F14">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lang w:val="en-US" w:eastAsia="zh-CN"/>
              </w:rPr>
              <w:t>响应文件</w:t>
            </w:r>
            <w:r>
              <w:rPr>
                <w:rFonts w:hint="eastAsia" w:ascii="仿宋" w:hAnsi="仿宋" w:eastAsia="仿宋" w:cs="仿宋"/>
                <w:color w:val="auto"/>
                <w:spacing w:val="0"/>
                <w:sz w:val="20"/>
                <w:szCs w:val="20"/>
                <w:highlight w:val="none"/>
              </w:rPr>
              <w:t>中所报</w:t>
            </w:r>
            <w:r>
              <w:rPr>
                <w:rFonts w:hint="eastAsia" w:ascii="仿宋" w:hAnsi="仿宋" w:eastAsia="仿宋" w:cs="仿宋"/>
                <w:color w:val="auto"/>
                <w:spacing w:val="0"/>
                <w:sz w:val="20"/>
                <w:szCs w:val="20"/>
                <w:highlight w:val="none"/>
                <w:lang w:val="en-US" w:eastAsia="zh-CN"/>
              </w:rPr>
              <w:t>质量标准</w:t>
            </w:r>
            <w:r>
              <w:rPr>
                <w:rFonts w:hint="eastAsia" w:ascii="仿宋" w:hAnsi="仿宋" w:eastAsia="仿宋" w:cs="仿宋"/>
                <w:color w:val="auto"/>
                <w:spacing w:val="0"/>
                <w:sz w:val="20"/>
                <w:szCs w:val="20"/>
                <w:highlight w:val="none"/>
              </w:rPr>
              <w:t>必须要满足</w:t>
            </w:r>
            <w:r>
              <w:rPr>
                <w:rFonts w:hint="eastAsia" w:ascii="仿宋" w:hAnsi="仿宋" w:eastAsia="仿宋" w:cs="仿宋"/>
                <w:color w:val="auto"/>
                <w:spacing w:val="0"/>
                <w:sz w:val="20"/>
                <w:szCs w:val="20"/>
                <w:highlight w:val="none"/>
                <w:lang w:val="en-US" w:eastAsia="zh-CN"/>
              </w:rPr>
              <w:t>竞争性磋商</w:t>
            </w:r>
            <w:r>
              <w:rPr>
                <w:rFonts w:hint="eastAsia" w:ascii="仿宋" w:hAnsi="仿宋" w:eastAsia="仿宋" w:cs="仿宋"/>
                <w:color w:val="auto"/>
                <w:spacing w:val="0"/>
                <w:sz w:val="20"/>
                <w:szCs w:val="20"/>
                <w:highlight w:val="none"/>
              </w:rPr>
              <w:t>文件规定。</w:t>
            </w:r>
          </w:p>
        </w:tc>
      </w:tr>
      <w:tr w14:paraId="637C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4" w:type="dxa"/>
            <w:vMerge w:val="continue"/>
            <w:noWrap w:val="0"/>
            <w:vAlign w:val="center"/>
          </w:tcPr>
          <w:p w14:paraId="4E92B701">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2"/>
                <w:szCs w:val="22"/>
                <w:highlight w:val="none"/>
              </w:rPr>
            </w:pPr>
          </w:p>
        </w:tc>
        <w:tc>
          <w:tcPr>
            <w:tcW w:w="2835" w:type="dxa"/>
            <w:noWrap w:val="0"/>
            <w:vAlign w:val="center"/>
          </w:tcPr>
          <w:p w14:paraId="09C44E29">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投标有效期</w:t>
            </w:r>
          </w:p>
        </w:tc>
        <w:tc>
          <w:tcPr>
            <w:tcW w:w="5245" w:type="dxa"/>
            <w:noWrap w:val="0"/>
            <w:vAlign w:val="center"/>
          </w:tcPr>
          <w:p w14:paraId="60BA57EC">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lang w:val="en-US" w:eastAsia="zh-CN"/>
              </w:rPr>
              <w:t>响应文件</w:t>
            </w:r>
            <w:r>
              <w:rPr>
                <w:rFonts w:hint="eastAsia" w:ascii="仿宋" w:hAnsi="仿宋" w:eastAsia="仿宋" w:cs="仿宋"/>
                <w:color w:val="auto"/>
                <w:spacing w:val="0"/>
                <w:sz w:val="20"/>
                <w:szCs w:val="20"/>
                <w:highlight w:val="none"/>
              </w:rPr>
              <w:t>中所报</w:t>
            </w:r>
            <w:r>
              <w:rPr>
                <w:rFonts w:hint="eastAsia" w:ascii="仿宋" w:hAnsi="仿宋" w:eastAsia="仿宋" w:cs="仿宋"/>
                <w:color w:val="auto"/>
                <w:spacing w:val="0"/>
                <w:sz w:val="20"/>
                <w:szCs w:val="20"/>
                <w:highlight w:val="none"/>
                <w:lang w:val="en-US" w:eastAsia="zh-CN"/>
              </w:rPr>
              <w:t>投标有效期</w:t>
            </w:r>
            <w:r>
              <w:rPr>
                <w:rFonts w:hint="eastAsia" w:ascii="仿宋" w:hAnsi="仿宋" w:eastAsia="仿宋" w:cs="仿宋"/>
                <w:color w:val="auto"/>
                <w:spacing w:val="0"/>
                <w:sz w:val="20"/>
                <w:szCs w:val="20"/>
                <w:highlight w:val="none"/>
              </w:rPr>
              <w:t>必须要满足</w:t>
            </w:r>
            <w:r>
              <w:rPr>
                <w:rFonts w:hint="eastAsia" w:ascii="仿宋" w:hAnsi="仿宋" w:eastAsia="仿宋" w:cs="仿宋"/>
                <w:color w:val="auto"/>
                <w:spacing w:val="0"/>
                <w:sz w:val="20"/>
                <w:szCs w:val="20"/>
                <w:highlight w:val="none"/>
                <w:lang w:val="en-US" w:eastAsia="zh-CN"/>
              </w:rPr>
              <w:t>竞争性磋商</w:t>
            </w:r>
            <w:r>
              <w:rPr>
                <w:rFonts w:hint="eastAsia" w:ascii="仿宋" w:hAnsi="仿宋" w:eastAsia="仿宋" w:cs="仿宋"/>
                <w:color w:val="auto"/>
                <w:spacing w:val="0"/>
                <w:sz w:val="20"/>
                <w:szCs w:val="20"/>
                <w:highlight w:val="none"/>
              </w:rPr>
              <w:t>文件规定。</w:t>
            </w:r>
          </w:p>
        </w:tc>
      </w:tr>
      <w:tr w14:paraId="4E72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6E637F50">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2"/>
                <w:szCs w:val="22"/>
                <w:highlight w:val="none"/>
              </w:rPr>
            </w:pPr>
          </w:p>
        </w:tc>
        <w:tc>
          <w:tcPr>
            <w:tcW w:w="2835" w:type="dxa"/>
            <w:noWrap w:val="0"/>
            <w:vAlign w:val="center"/>
          </w:tcPr>
          <w:p w14:paraId="0BD572B4">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投标保证金</w:t>
            </w:r>
          </w:p>
        </w:tc>
        <w:tc>
          <w:tcPr>
            <w:tcW w:w="5245" w:type="dxa"/>
            <w:noWrap w:val="0"/>
            <w:vAlign w:val="center"/>
          </w:tcPr>
          <w:p w14:paraId="24957052">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lang w:val="en-US" w:eastAsia="zh-CN"/>
              </w:rPr>
              <w:t>供应商</w:t>
            </w:r>
            <w:r>
              <w:rPr>
                <w:rFonts w:hint="eastAsia" w:ascii="仿宋" w:hAnsi="仿宋" w:eastAsia="仿宋" w:cs="仿宋"/>
                <w:color w:val="auto"/>
                <w:spacing w:val="0"/>
                <w:sz w:val="20"/>
                <w:szCs w:val="20"/>
                <w:highlight w:val="none"/>
              </w:rPr>
              <w:t>缴纳的投标保证金满足</w:t>
            </w:r>
            <w:r>
              <w:rPr>
                <w:rFonts w:hint="eastAsia" w:ascii="仿宋" w:hAnsi="仿宋" w:eastAsia="仿宋" w:cs="仿宋"/>
                <w:color w:val="auto"/>
                <w:spacing w:val="0"/>
                <w:sz w:val="20"/>
                <w:szCs w:val="20"/>
                <w:highlight w:val="none"/>
                <w:lang w:val="en-US" w:eastAsia="zh-CN"/>
              </w:rPr>
              <w:t>竞争性磋商</w:t>
            </w:r>
            <w:r>
              <w:rPr>
                <w:rFonts w:hint="eastAsia" w:ascii="仿宋" w:hAnsi="仿宋" w:eastAsia="仿宋" w:cs="仿宋"/>
                <w:color w:val="auto"/>
                <w:spacing w:val="0"/>
                <w:sz w:val="20"/>
                <w:szCs w:val="20"/>
                <w:highlight w:val="none"/>
              </w:rPr>
              <w:t>文件规定。</w:t>
            </w:r>
          </w:p>
        </w:tc>
      </w:tr>
      <w:tr w14:paraId="3A1B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00D7D8DF">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2"/>
                <w:szCs w:val="22"/>
                <w:highlight w:val="none"/>
              </w:rPr>
            </w:pPr>
          </w:p>
        </w:tc>
        <w:tc>
          <w:tcPr>
            <w:tcW w:w="2835" w:type="dxa"/>
            <w:noWrap w:val="0"/>
            <w:vAlign w:val="center"/>
          </w:tcPr>
          <w:p w14:paraId="20C7093D">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kern w:val="0"/>
                <w:sz w:val="20"/>
                <w:szCs w:val="20"/>
                <w:highlight w:val="none"/>
              </w:rPr>
              <w:t>其他实质性要求</w:t>
            </w:r>
          </w:p>
        </w:tc>
        <w:tc>
          <w:tcPr>
            <w:tcW w:w="5245" w:type="dxa"/>
            <w:noWrap w:val="0"/>
            <w:vAlign w:val="center"/>
          </w:tcPr>
          <w:p w14:paraId="198076D1">
            <w:pPr>
              <w:keepNext w:val="0"/>
              <w:keepLines w:val="0"/>
              <w:pageBreakBefore w:val="0"/>
              <w:widowControl w:val="0"/>
              <w:kinsoku/>
              <w:wordWrap/>
              <w:overflowPunct/>
              <w:topLinePunct w:val="0"/>
              <w:bidi w:val="0"/>
              <w:spacing w:beforeAutospacing="0" w:after="0" w:afterAutospacing="0" w:line="240" w:lineRule="auto"/>
              <w:ind w:left="0" w:leftChars="0" w:right="0" w:rightChars="0"/>
              <w:jc w:val="both"/>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响应竞争性磋商规定的其他实质性要求</w:t>
            </w:r>
          </w:p>
        </w:tc>
      </w:tr>
    </w:tbl>
    <w:p w14:paraId="23E5C6A3">
      <w:pPr>
        <w:keepNext w:val="0"/>
        <w:keepLines w:val="0"/>
        <w:pageBreakBefore w:val="0"/>
        <w:widowControl w:val="0"/>
        <w:wordWrap/>
        <w:overflowPunct/>
        <w:topLinePunct w:val="0"/>
        <w:bidi w:val="0"/>
        <w:spacing w:before="34" w:line="240" w:lineRule="auto"/>
        <w:rPr>
          <w:color w:val="auto"/>
          <w:spacing w:val="0"/>
          <w:highlight w:val="none"/>
        </w:rPr>
      </w:pPr>
    </w:p>
    <w:p w14:paraId="55E589F2">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pacing w:val="0"/>
          <w:sz w:val="28"/>
          <w:szCs w:val="28"/>
          <w:highlight w:val="none"/>
        </w:rPr>
      </w:pPr>
    </w:p>
    <w:p w14:paraId="066A76C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color w:val="auto"/>
          <w:spacing w:val="0"/>
          <w:sz w:val="24"/>
          <w:szCs w:val="24"/>
          <w:highlight w:val="none"/>
          <w:lang w:val="en-US" w:eastAsia="zh-CN"/>
        </w:rPr>
      </w:pPr>
      <w:r>
        <w:rPr>
          <w:rFonts w:hint="eastAsia" w:ascii="仿宋" w:hAnsi="仿宋" w:eastAsia="仿宋" w:cs="仿宋"/>
          <w:b/>
          <w:color w:val="auto"/>
          <w:spacing w:val="0"/>
          <w:sz w:val="24"/>
          <w:szCs w:val="24"/>
          <w:highlight w:val="none"/>
        </w:rPr>
        <w:t>说明：</w:t>
      </w:r>
      <w:r>
        <w:rPr>
          <w:rFonts w:hint="eastAsia" w:ascii="仿宋" w:hAnsi="仿宋" w:eastAsia="仿宋" w:cs="仿宋"/>
          <w:b/>
          <w:color w:val="auto"/>
          <w:spacing w:val="0"/>
          <w:sz w:val="24"/>
          <w:szCs w:val="24"/>
          <w:highlight w:val="none"/>
          <w:lang w:eastAsia="zh-CN"/>
        </w:rPr>
        <w:t>磋商小组</w:t>
      </w:r>
      <w:r>
        <w:rPr>
          <w:rFonts w:hint="eastAsia" w:ascii="仿宋" w:hAnsi="仿宋" w:eastAsia="仿宋" w:cs="仿宋"/>
          <w:b/>
          <w:color w:val="auto"/>
          <w:spacing w:val="0"/>
          <w:sz w:val="24"/>
          <w:szCs w:val="24"/>
          <w:highlight w:val="none"/>
        </w:rPr>
        <w:t>对审查通过的，在对应栏打“√”</w:t>
      </w:r>
      <w:r>
        <w:rPr>
          <w:rFonts w:hint="eastAsia" w:ascii="仿宋" w:hAnsi="仿宋" w:eastAsia="仿宋" w:cs="仿宋"/>
          <w:b/>
          <w:color w:val="auto"/>
          <w:spacing w:val="0"/>
          <w:sz w:val="24"/>
          <w:szCs w:val="24"/>
          <w:highlight w:val="none"/>
          <w:lang w:val="en-US" w:eastAsia="zh-CN"/>
        </w:rPr>
        <w:t>或写“通过”</w:t>
      </w:r>
      <w:r>
        <w:rPr>
          <w:rFonts w:hint="eastAsia" w:ascii="仿宋" w:hAnsi="仿宋" w:eastAsia="仿宋" w:cs="仿宋"/>
          <w:b/>
          <w:color w:val="auto"/>
          <w:spacing w:val="0"/>
          <w:sz w:val="24"/>
          <w:szCs w:val="24"/>
          <w:highlight w:val="none"/>
        </w:rPr>
        <w:t>，未审查通过的，在对应栏打“×”</w:t>
      </w:r>
      <w:r>
        <w:rPr>
          <w:rFonts w:hint="eastAsia" w:ascii="仿宋" w:hAnsi="仿宋" w:eastAsia="仿宋" w:cs="仿宋"/>
          <w:b/>
          <w:color w:val="auto"/>
          <w:spacing w:val="0"/>
          <w:sz w:val="24"/>
          <w:szCs w:val="24"/>
          <w:highlight w:val="none"/>
          <w:lang w:val="en-US" w:eastAsia="zh-CN"/>
        </w:rPr>
        <w:t>或写“不通过”若专家意见不一致时，则按少数服从多数的原则，由专家投票决定该供应商是否通过审查，进入下一阶段评审。</w:t>
      </w:r>
    </w:p>
    <w:p w14:paraId="0B554D7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3.2有下列情形之一时，评标委员会应予废标，并将理由通知所有投标：</w:t>
      </w:r>
    </w:p>
    <w:p w14:paraId="113F2C6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（1）符合专业条件的供应商或者对招标文件作实质性响应的供应商不足三家的；</w:t>
      </w:r>
    </w:p>
    <w:p w14:paraId="4E1E93D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（2）出现影响招标公正的违法、违规行为的；</w:t>
      </w:r>
    </w:p>
    <w:p w14:paraId="5601634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（3）供应商的报价均超过了采购项目最高限价；</w:t>
      </w:r>
    </w:p>
    <w:p w14:paraId="7751655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（4）因重大变故，采购任务取消的。</w:t>
      </w:r>
    </w:p>
    <w:p w14:paraId="6619F91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4.磋商、响应文件有关事项的澄清、说明或者更正和最后报价</w:t>
      </w:r>
    </w:p>
    <w:p w14:paraId="5B9E4CC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4.1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68A336E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4.2供应商不得对下列内容进行澄清或补充：</w:t>
      </w:r>
    </w:p>
    <w:p w14:paraId="1E8656D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（1）开标时，未宣读的投标价格、价格折扣等实质性内容。</w:t>
      </w:r>
    </w:p>
    <w:p w14:paraId="2592BC6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（2）不满足磋商文件的实质性要求的响应文件内容，</w:t>
      </w:r>
    </w:p>
    <w:p w14:paraId="5B0F427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4.3计算错误将按以下方法修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若供应商拒绝接受上述修正，在评标时将其视为无效投标。</w:t>
      </w:r>
    </w:p>
    <w:p w14:paraId="6A3F97E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4.4供应商的澄清、说明或者补正应该采用书面形式，由法定代表人或其授权的代理人签字，并按评标委员会的通知要求递交。</w:t>
      </w:r>
    </w:p>
    <w:p w14:paraId="15F4446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4.5有效的书面澄清材料，是响应文件的补充材料，成为响应文件的组成部分。</w:t>
      </w:r>
    </w:p>
    <w:p w14:paraId="2E4BBCB0">
      <w:pPr>
        <w:pStyle w:val="8"/>
        <w:keepNext w:val="0"/>
        <w:keepLines w:val="0"/>
        <w:pageBreakBefore w:val="0"/>
        <w:widowControl w:val="0"/>
        <w:wordWrap/>
        <w:overflowPunct/>
        <w:topLinePunct w:val="0"/>
        <w:bidi w:val="0"/>
        <w:spacing w:line="240" w:lineRule="auto"/>
        <w:rPr>
          <w:color w:val="auto"/>
          <w:spacing w:val="0"/>
          <w:highlight w:val="none"/>
        </w:rPr>
      </w:pPr>
    </w:p>
    <w:p w14:paraId="1AAD743D">
      <w:pPr>
        <w:keepNext w:val="0"/>
        <w:keepLines w:val="0"/>
        <w:pageBreakBefore w:val="0"/>
        <w:widowControl w:val="0"/>
        <w:wordWrap/>
        <w:overflowPunct/>
        <w:topLinePunct w:val="0"/>
        <w:bidi w:val="0"/>
        <w:spacing w:line="240" w:lineRule="auto"/>
        <w:rPr>
          <w:color w:val="auto"/>
          <w:spacing w:val="0"/>
          <w:highlight w:val="none"/>
        </w:rPr>
        <w:sectPr>
          <w:footerReference r:id="rId10" w:type="default"/>
          <w:pgSz w:w="11906" w:h="16839"/>
          <w:pgMar w:top="1440" w:right="1800" w:bottom="1440" w:left="1800" w:header="0" w:footer="845" w:gutter="0"/>
          <w:cols w:space="720" w:num="1"/>
        </w:sectPr>
      </w:pPr>
    </w:p>
    <w:p w14:paraId="525FD6F0">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评标办法前附表-详细评审（一）</w:t>
      </w:r>
    </w:p>
    <w:p w14:paraId="44845E12">
      <w:pPr>
        <w:keepNext w:val="0"/>
        <w:keepLines w:val="0"/>
        <w:pageBreakBefore w:val="0"/>
        <w:widowControl w:val="0"/>
        <w:kinsoku/>
        <w:wordWrap/>
        <w:overflowPunct/>
        <w:topLinePunct w:val="0"/>
        <w:bidi w:val="0"/>
        <w:spacing w:beforeAutospacing="0" w:after="0" w:afterAutospacing="0" w:line="240" w:lineRule="auto"/>
        <w:ind w:left="0" w:leftChars="0" w:right="0"/>
        <w:jc w:val="center"/>
        <w:textAlignment w:val="auto"/>
        <w:rPr>
          <w:rFonts w:hint="eastAsia" w:ascii="仿宋" w:hAnsi="仿宋" w:eastAsia="仿宋" w:cs="仿宋"/>
          <w:b/>
          <w:color w:val="auto"/>
          <w:spacing w:val="0"/>
          <w:sz w:val="21"/>
          <w:szCs w:val="21"/>
          <w:highlight w:val="none"/>
        </w:rPr>
      </w:pPr>
      <w:bookmarkStart w:id="7" w:name="_Hlk508132016"/>
      <w:r>
        <w:rPr>
          <w:rFonts w:hint="eastAsia" w:ascii="仿宋" w:hAnsi="仿宋" w:eastAsia="仿宋" w:cs="仿宋"/>
          <w:b/>
          <w:color w:val="auto"/>
          <w:spacing w:val="0"/>
          <w:sz w:val="21"/>
          <w:szCs w:val="21"/>
          <w:highlight w:val="none"/>
        </w:rPr>
        <w:t>评标表-5</w:t>
      </w:r>
      <w:bookmarkEnd w:id="7"/>
    </w:p>
    <w:tbl>
      <w:tblPr>
        <w:tblStyle w:val="19"/>
        <w:tblW w:w="46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99"/>
        <w:gridCol w:w="1196"/>
        <w:gridCol w:w="1422"/>
        <w:gridCol w:w="4177"/>
        <w:gridCol w:w="499"/>
      </w:tblGrid>
      <w:tr w14:paraId="614D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2" w:hRule="atLeast"/>
        </w:trPr>
        <w:tc>
          <w:tcPr>
            <w:tcW w:w="1137" w:type="pct"/>
            <w:gridSpan w:val="2"/>
            <w:noWrap w:val="0"/>
            <w:vAlign w:val="center"/>
          </w:tcPr>
          <w:p w14:paraId="70DDC857">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bookmarkStart w:id="8" w:name="_Toc261618207"/>
            <w:r>
              <w:rPr>
                <w:rFonts w:hint="eastAsia" w:ascii="仿宋" w:hAnsi="仿宋" w:eastAsia="仿宋" w:cs="仿宋"/>
                <w:b/>
                <w:color w:val="auto"/>
                <w:spacing w:val="0"/>
                <w:sz w:val="24"/>
                <w:szCs w:val="24"/>
                <w:highlight w:val="none"/>
              </w:rPr>
              <w:t>评分因素</w:t>
            </w:r>
          </w:p>
        </w:tc>
        <w:tc>
          <w:tcPr>
            <w:tcW w:w="900" w:type="pct"/>
            <w:noWrap w:val="0"/>
            <w:vAlign w:val="center"/>
          </w:tcPr>
          <w:p w14:paraId="0AFFE4FA">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b/>
                <w:color w:val="auto"/>
                <w:spacing w:val="0"/>
                <w:sz w:val="24"/>
                <w:szCs w:val="24"/>
                <w:highlight w:val="none"/>
              </w:rPr>
              <w:t>评分点</w:t>
            </w:r>
          </w:p>
        </w:tc>
        <w:tc>
          <w:tcPr>
            <w:tcW w:w="2646" w:type="pct"/>
            <w:noWrap w:val="0"/>
            <w:vAlign w:val="center"/>
          </w:tcPr>
          <w:p w14:paraId="379D5B40">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b/>
                <w:color w:val="auto"/>
                <w:spacing w:val="0"/>
                <w:sz w:val="24"/>
                <w:szCs w:val="24"/>
                <w:highlight w:val="none"/>
              </w:rPr>
              <w:t>评分标准</w:t>
            </w:r>
          </w:p>
        </w:tc>
        <w:tc>
          <w:tcPr>
            <w:tcW w:w="316" w:type="pct"/>
            <w:noWrap w:val="0"/>
            <w:vAlign w:val="center"/>
          </w:tcPr>
          <w:p w14:paraId="4B4AFE45">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b/>
                <w:color w:val="auto"/>
                <w:spacing w:val="0"/>
                <w:sz w:val="24"/>
                <w:szCs w:val="24"/>
                <w:highlight w:val="none"/>
                <w:lang w:val="en-US" w:eastAsia="zh-CN"/>
              </w:rPr>
              <w:t>得分</w:t>
            </w:r>
          </w:p>
        </w:tc>
      </w:tr>
      <w:tr w14:paraId="7BA6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71" w:hRule="atLeast"/>
        </w:trPr>
        <w:tc>
          <w:tcPr>
            <w:tcW w:w="379" w:type="pct"/>
            <w:vMerge w:val="restart"/>
            <w:noWrap w:val="0"/>
            <w:vAlign w:val="center"/>
          </w:tcPr>
          <w:p w14:paraId="2A0DB89E">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详细评审</w:t>
            </w:r>
          </w:p>
        </w:tc>
        <w:tc>
          <w:tcPr>
            <w:tcW w:w="757" w:type="pct"/>
            <w:noWrap w:val="0"/>
            <w:vAlign w:val="center"/>
          </w:tcPr>
          <w:p w14:paraId="4B93C025">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价格评审</w:t>
            </w:r>
          </w:p>
          <w:p w14:paraId="5022F03D">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eastAsia="zh-CN"/>
              </w:rPr>
              <w:t>（</w:t>
            </w:r>
            <w:r>
              <w:rPr>
                <w:rFonts w:hint="eastAsia" w:ascii="仿宋" w:hAnsi="仿宋" w:eastAsia="仿宋" w:cs="仿宋"/>
                <w:color w:val="auto"/>
                <w:spacing w:val="0"/>
                <w:sz w:val="20"/>
                <w:szCs w:val="20"/>
                <w:highlight w:val="none"/>
                <w:lang w:val="en-US" w:eastAsia="zh-CN"/>
              </w:rPr>
              <w:t>20分）</w:t>
            </w:r>
          </w:p>
        </w:tc>
        <w:tc>
          <w:tcPr>
            <w:tcW w:w="900" w:type="pct"/>
            <w:noWrap w:val="0"/>
            <w:vAlign w:val="center"/>
          </w:tcPr>
          <w:p w14:paraId="1AABAAA8">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投标报价</w:t>
            </w:r>
          </w:p>
        </w:tc>
        <w:tc>
          <w:tcPr>
            <w:tcW w:w="2646" w:type="pct"/>
            <w:noWrap w:val="0"/>
            <w:vAlign w:val="center"/>
          </w:tcPr>
          <w:p w14:paraId="2AC8206F">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评标基准价=有效投标报价的最低值，有效投标报价等于基准值的得满分，投标报价得分=（评标基准价/投标报价）×价格权重×20。有效投标报价为通过初步审查的供应商报价</w:t>
            </w:r>
          </w:p>
        </w:tc>
        <w:tc>
          <w:tcPr>
            <w:tcW w:w="316" w:type="pct"/>
            <w:noWrap w:val="0"/>
            <w:vAlign w:val="center"/>
          </w:tcPr>
          <w:p w14:paraId="506EDEAE">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20</w:t>
            </w:r>
          </w:p>
        </w:tc>
      </w:tr>
      <w:tr w14:paraId="0970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00" w:hRule="atLeast"/>
        </w:trPr>
        <w:tc>
          <w:tcPr>
            <w:tcW w:w="379" w:type="pct"/>
            <w:vMerge w:val="continue"/>
            <w:noWrap w:val="0"/>
            <w:vAlign w:val="center"/>
          </w:tcPr>
          <w:p w14:paraId="0E32E43E">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757" w:type="pct"/>
            <w:vMerge w:val="restart"/>
            <w:noWrap w:val="0"/>
            <w:vAlign w:val="center"/>
          </w:tcPr>
          <w:p w14:paraId="00B97D11">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商务部分评审</w:t>
            </w:r>
          </w:p>
          <w:p w14:paraId="2278720A">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（25分）</w:t>
            </w:r>
          </w:p>
        </w:tc>
        <w:tc>
          <w:tcPr>
            <w:tcW w:w="900" w:type="pct"/>
            <w:noWrap w:val="0"/>
            <w:vAlign w:val="center"/>
          </w:tcPr>
          <w:p w14:paraId="6EA3EDE7">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企业业绩（15分）</w:t>
            </w:r>
          </w:p>
        </w:tc>
        <w:tc>
          <w:tcPr>
            <w:tcW w:w="2646" w:type="pct"/>
            <w:noWrap w:val="0"/>
            <w:vAlign w:val="center"/>
          </w:tcPr>
          <w:p w14:paraId="50E2E279">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default" w:ascii="仿宋" w:hAnsi="仿宋" w:eastAsia="仿宋" w:cs="仿宋"/>
                <w:color w:val="auto"/>
                <w:spacing w:val="0"/>
                <w:sz w:val="20"/>
                <w:szCs w:val="20"/>
                <w:highlight w:val="none"/>
                <w:lang w:val="en-US" w:eastAsia="zh-CN"/>
              </w:rPr>
            </w:pPr>
            <w:r>
              <w:rPr>
                <w:rFonts w:hint="default" w:ascii="仿宋" w:hAnsi="仿宋" w:eastAsia="仿宋" w:cs="仿宋"/>
                <w:color w:val="auto"/>
                <w:spacing w:val="0"/>
                <w:sz w:val="20"/>
                <w:szCs w:val="20"/>
                <w:highlight w:val="none"/>
                <w:lang w:val="en-US" w:eastAsia="zh-CN"/>
              </w:rPr>
              <w:t>近三年（2022年</w:t>
            </w:r>
            <w:r>
              <w:rPr>
                <w:rFonts w:hint="eastAsia" w:ascii="仿宋" w:hAnsi="仿宋" w:eastAsia="仿宋" w:cs="仿宋"/>
                <w:color w:val="auto"/>
                <w:spacing w:val="0"/>
                <w:sz w:val="20"/>
                <w:szCs w:val="20"/>
                <w:highlight w:val="none"/>
                <w:lang w:val="en-US" w:eastAsia="zh-CN"/>
              </w:rPr>
              <w:t>7</w:t>
            </w:r>
            <w:r>
              <w:rPr>
                <w:rFonts w:hint="default" w:ascii="仿宋" w:hAnsi="仿宋" w:eastAsia="仿宋" w:cs="仿宋"/>
                <w:color w:val="auto"/>
                <w:spacing w:val="0"/>
                <w:sz w:val="20"/>
                <w:szCs w:val="20"/>
                <w:highlight w:val="none"/>
                <w:lang w:val="en-US" w:eastAsia="zh-CN"/>
              </w:rPr>
              <w:t>月至响应文件提交截止日止）每提供一个类似项目业绩得</w:t>
            </w:r>
            <w:r>
              <w:rPr>
                <w:rFonts w:hint="eastAsia" w:ascii="仿宋" w:hAnsi="仿宋" w:eastAsia="仿宋" w:cs="仿宋"/>
                <w:color w:val="auto"/>
                <w:spacing w:val="0"/>
                <w:sz w:val="20"/>
                <w:szCs w:val="20"/>
                <w:highlight w:val="none"/>
                <w:lang w:val="en-US" w:eastAsia="zh-CN"/>
              </w:rPr>
              <w:t>5</w:t>
            </w:r>
            <w:r>
              <w:rPr>
                <w:rFonts w:hint="default" w:ascii="仿宋" w:hAnsi="仿宋" w:eastAsia="仿宋" w:cs="仿宋"/>
                <w:color w:val="auto"/>
                <w:spacing w:val="0"/>
                <w:sz w:val="20"/>
                <w:szCs w:val="20"/>
                <w:highlight w:val="none"/>
                <w:lang w:val="en-US" w:eastAsia="zh-CN"/>
              </w:rPr>
              <w:t>分，最高得</w:t>
            </w:r>
            <w:r>
              <w:rPr>
                <w:rFonts w:hint="eastAsia" w:ascii="仿宋" w:hAnsi="仿宋" w:eastAsia="仿宋" w:cs="仿宋"/>
                <w:color w:val="auto"/>
                <w:spacing w:val="0"/>
                <w:sz w:val="20"/>
                <w:szCs w:val="20"/>
                <w:highlight w:val="none"/>
                <w:lang w:val="en-US" w:eastAsia="zh-CN"/>
              </w:rPr>
              <w:t>15</w:t>
            </w:r>
            <w:r>
              <w:rPr>
                <w:rFonts w:hint="default" w:ascii="仿宋" w:hAnsi="仿宋" w:eastAsia="仿宋" w:cs="仿宋"/>
                <w:color w:val="auto"/>
                <w:spacing w:val="0"/>
                <w:sz w:val="20"/>
                <w:szCs w:val="20"/>
                <w:highlight w:val="none"/>
                <w:lang w:val="en-US" w:eastAsia="zh-CN"/>
              </w:rPr>
              <w:t>分。</w:t>
            </w:r>
          </w:p>
          <w:p w14:paraId="656C7657">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default" w:ascii="仿宋" w:hAnsi="仿宋" w:eastAsia="仿宋" w:cs="仿宋"/>
                <w:color w:val="auto"/>
                <w:spacing w:val="0"/>
                <w:sz w:val="20"/>
                <w:szCs w:val="20"/>
                <w:highlight w:val="none"/>
                <w:lang w:val="en-US" w:eastAsia="zh-CN"/>
              </w:rPr>
            </w:pPr>
            <w:r>
              <w:rPr>
                <w:rFonts w:hint="default" w:ascii="仿宋" w:hAnsi="仿宋" w:eastAsia="仿宋" w:cs="仿宋"/>
                <w:color w:val="auto"/>
                <w:spacing w:val="0"/>
                <w:sz w:val="20"/>
                <w:szCs w:val="20"/>
                <w:highlight w:val="none"/>
                <w:lang w:val="en-US" w:eastAsia="zh-CN"/>
              </w:rPr>
              <w:t>注：需提供业绩证明材料：指提供中标通知书或合同，业绩认定日期以中标通知书签发日期或合同签订日期为准</w:t>
            </w:r>
          </w:p>
        </w:tc>
        <w:tc>
          <w:tcPr>
            <w:tcW w:w="316" w:type="pct"/>
            <w:noWrap w:val="0"/>
            <w:vAlign w:val="center"/>
          </w:tcPr>
          <w:p w14:paraId="3F3EEC90">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15</w:t>
            </w:r>
          </w:p>
        </w:tc>
      </w:tr>
      <w:tr w14:paraId="5C9F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5" w:hRule="atLeast"/>
        </w:trPr>
        <w:tc>
          <w:tcPr>
            <w:tcW w:w="379" w:type="pct"/>
            <w:vMerge w:val="continue"/>
            <w:noWrap w:val="0"/>
            <w:vAlign w:val="center"/>
          </w:tcPr>
          <w:p w14:paraId="74B8FD84">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757" w:type="pct"/>
            <w:vMerge w:val="continue"/>
            <w:noWrap w:val="0"/>
            <w:vAlign w:val="center"/>
          </w:tcPr>
          <w:p w14:paraId="701DB065">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lang w:val="en-US" w:eastAsia="zh-CN"/>
              </w:rPr>
            </w:pPr>
          </w:p>
        </w:tc>
        <w:tc>
          <w:tcPr>
            <w:tcW w:w="900" w:type="pct"/>
            <w:noWrap w:val="0"/>
            <w:vAlign w:val="center"/>
          </w:tcPr>
          <w:p w14:paraId="419D4A6A">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项目负责人能力及业绩（4分）</w:t>
            </w:r>
          </w:p>
        </w:tc>
        <w:tc>
          <w:tcPr>
            <w:tcW w:w="2646" w:type="pct"/>
            <w:noWrap w:val="0"/>
            <w:vAlign w:val="center"/>
          </w:tcPr>
          <w:p w14:paraId="54EECCC1">
            <w:pPr>
              <w:pStyle w:val="39"/>
              <w:pageBreakBefore w:val="0"/>
              <w:numPr>
                <w:ilvl w:val="0"/>
                <w:numId w:val="0"/>
              </w:numPr>
              <w:kinsoku/>
              <w:overflowPunct/>
              <w:topLinePunct w:val="0"/>
              <w:bidi w:val="0"/>
              <w:spacing w:beforeAutospacing="0" w:afterAutospacing="0" w:line="240" w:lineRule="auto"/>
              <w:ind w:left="0" w:leftChars="0" w:right="0" w:rightChars="0" w:firstLine="0" w:firstLineChars="0"/>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近三年（2022年</w:t>
            </w:r>
            <w:r>
              <w:rPr>
                <w:rFonts w:hint="eastAsia" w:ascii="仿宋" w:hAnsi="仿宋" w:eastAsia="仿宋" w:cs="仿宋"/>
                <w:color w:val="auto"/>
                <w:spacing w:val="0"/>
                <w:sz w:val="20"/>
                <w:szCs w:val="20"/>
                <w:highlight w:val="none"/>
                <w:lang w:val="en-US" w:eastAsia="zh-CN"/>
              </w:rPr>
              <w:t>7</w:t>
            </w:r>
            <w:r>
              <w:rPr>
                <w:rFonts w:hint="default" w:ascii="仿宋" w:hAnsi="仿宋" w:eastAsia="仿宋" w:cs="仿宋"/>
                <w:color w:val="auto"/>
                <w:spacing w:val="0"/>
                <w:sz w:val="20"/>
                <w:szCs w:val="20"/>
                <w:highlight w:val="none"/>
                <w:lang w:val="en-US" w:eastAsia="zh-CN"/>
              </w:rPr>
              <w:t>月</w:t>
            </w:r>
            <w:r>
              <w:rPr>
                <w:rFonts w:hint="eastAsia" w:ascii="仿宋" w:hAnsi="仿宋" w:eastAsia="仿宋" w:cs="仿宋"/>
                <w:sz w:val="20"/>
                <w:szCs w:val="20"/>
                <w:highlight w:val="none"/>
                <w:lang w:val="en-US" w:eastAsia="zh-CN"/>
              </w:rPr>
              <w:t>至响应文件提交截止日止）每担任过 1 项水土保持方案编制或水土保持监测项目负责人，得 2 分，最高得4分。</w:t>
            </w:r>
          </w:p>
          <w:p w14:paraId="1299EFC1">
            <w:pPr>
              <w:pStyle w:val="39"/>
              <w:keepNext w:val="0"/>
              <w:keepLines w:val="0"/>
              <w:pageBreakBefore w:val="0"/>
              <w:widowControl w:val="0"/>
              <w:numPr>
                <w:ilvl w:val="0"/>
                <w:numId w:val="0"/>
              </w:numPr>
              <w:kinsoku/>
              <w:wordWrap/>
              <w:overflowPunct/>
              <w:topLinePunct w:val="0"/>
              <w:bidi w:val="0"/>
              <w:spacing w:beforeAutospacing="0" w:afterAutospacing="0" w:line="240" w:lineRule="auto"/>
              <w:ind w:right="0" w:rightChars="0"/>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sz w:val="20"/>
                <w:szCs w:val="20"/>
                <w:highlight w:val="none"/>
                <w:lang w:val="en-US" w:eastAsia="zh-CN"/>
              </w:rPr>
              <w:t>注：上述内容须提供相应证明资料，未按要求提供不得分；</w:t>
            </w:r>
            <w:r>
              <w:rPr>
                <w:rFonts w:hint="default" w:ascii="仿宋" w:hAnsi="仿宋" w:eastAsia="仿宋" w:cs="仿宋"/>
                <w:color w:val="auto"/>
                <w:spacing w:val="0"/>
                <w:sz w:val="20"/>
                <w:szCs w:val="20"/>
                <w:highlight w:val="none"/>
                <w:lang w:val="en-US" w:eastAsia="zh-CN"/>
              </w:rPr>
              <w:t>需提供业绩证明材料：指提供中标通知书或合同，</w:t>
            </w:r>
            <w:r>
              <w:rPr>
                <w:rFonts w:hint="eastAsia" w:ascii="仿宋" w:hAnsi="仿宋" w:eastAsia="仿宋" w:cs="仿宋"/>
                <w:color w:val="auto"/>
                <w:spacing w:val="0"/>
                <w:sz w:val="20"/>
                <w:szCs w:val="20"/>
                <w:highlight w:val="none"/>
                <w:lang w:val="en-US" w:eastAsia="zh-CN"/>
              </w:rPr>
              <w:t>须在</w:t>
            </w:r>
            <w:r>
              <w:rPr>
                <w:rFonts w:hint="default" w:ascii="仿宋" w:hAnsi="仿宋" w:eastAsia="仿宋" w:cs="仿宋"/>
                <w:color w:val="auto"/>
                <w:spacing w:val="0"/>
                <w:sz w:val="20"/>
                <w:szCs w:val="20"/>
                <w:highlight w:val="none"/>
                <w:lang w:val="en-US" w:eastAsia="zh-CN"/>
              </w:rPr>
              <w:t>业绩证明材料</w:t>
            </w:r>
            <w:r>
              <w:rPr>
                <w:rFonts w:hint="eastAsia" w:ascii="仿宋" w:hAnsi="仿宋" w:eastAsia="仿宋" w:cs="仿宋"/>
                <w:color w:val="auto"/>
                <w:spacing w:val="0"/>
                <w:sz w:val="20"/>
                <w:szCs w:val="20"/>
                <w:highlight w:val="none"/>
                <w:lang w:val="en-US" w:eastAsia="zh-CN"/>
              </w:rPr>
              <w:t>反映出项目负责人，</w:t>
            </w:r>
            <w:r>
              <w:rPr>
                <w:rFonts w:hint="default" w:ascii="仿宋" w:hAnsi="仿宋" w:eastAsia="仿宋" w:cs="仿宋"/>
                <w:color w:val="auto"/>
                <w:spacing w:val="0"/>
                <w:sz w:val="20"/>
                <w:szCs w:val="20"/>
                <w:highlight w:val="none"/>
                <w:lang w:val="en-US" w:eastAsia="zh-CN"/>
              </w:rPr>
              <w:t>业绩认定日期以中标通知书签发日期或合同签订日期为准</w:t>
            </w:r>
            <w:r>
              <w:rPr>
                <w:rFonts w:hint="eastAsia" w:ascii="仿宋" w:hAnsi="仿宋" w:eastAsia="仿宋" w:cs="仿宋"/>
                <w:color w:val="auto"/>
                <w:spacing w:val="0"/>
                <w:sz w:val="20"/>
                <w:szCs w:val="20"/>
                <w:highlight w:val="none"/>
                <w:lang w:val="en-US" w:eastAsia="zh-CN"/>
              </w:rPr>
              <w:t>。</w:t>
            </w:r>
          </w:p>
        </w:tc>
        <w:tc>
          <w:tcPr>
            <w:tcW w:w="316" w:type="pct"/>
            <w:noWrap w:val="0"/>
            <w:vAlign w:val="center"/>
          </w:tcPr>
          <w:p w14:paraId="4AB7FF61">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4</w:t>
            </w:r>
          </w:p>
        </w:tc>
      </w:tr>
      <w:tr w14:paraId="7477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5" w:hRule="atLeast"/>
        </w:trPr>
        <w:tc>
          <w:tcPr>
            <w:tcW w:w="379" w:type="pct"/>
            <w:vMerge w:val="continue"/>
            <w:noWrap w:val="0"/>
            <w:vAlign w:val="center"/>
          </w:tcPr>
          <w:p w14:paraId="31A3CF4B">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757" w:type="pct"/>
            <w:vMerge w:val="continue"/>
            <w:noWrap w:val="0"/>
            <w:vAlign w:val="center"/>
          </w:tcPr>
          <w:p w14:paraId="57446D77">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lang w:val="en-US" w:eastAsia="zh-CN"/>
              </w:rPr>
            </w:pPr>
          </w:p>
        </w:tc>
        <w:tc>
          <w:tcPr>
            <w:tcW w:w="900" w:type="pct"/>
            <w:noWrap w:val="0"/>
            <w:vAlign w:val="center"/>
          </w:tcPr>
          <w:p w14:paraId="11B353A8">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bCs/>
                <w:sz w:val="20"/>
                <w:szCs w:val="20"/>
                <w:highlight w:val="none"/>
                <w:lang w:eastAsia="zh-CN"/>
              </w:rPr>
              <w:t>拟投入本项目人员（</w:t>
            </w:r>
            <w:r>
              <w:rPr>
                <w:rFonts w:hint="eastAsia" w:ascii="仿宋" w:hAnsi="仿宋" w:eastAsia="仿宋" w:cs="仿宋"/>
                <w:bCs/>
                <w:sz w:val="20"/>
                <w:szCs w:val="20"/>
                <w:highlight w:val="none"/>
                <w:lang w:val="en-US" w:eastAsia="zh-CN"/>
              </w:rPr>
              <w:t>6</w:t>
            </w:r>
            <w:r>
              <w:rPr>
                <w:rFonts w:hint="eastAsia" w:ascii="仿宋" w:hAnsi="仿宋" w:eastAsia="仿宋" w:cs="仿宋"/>
                <w:bCs/>
                <w:sz w:val="20"/>
                <w:szCs w:val="20"/>
                <w:highlight w:val="none"/>
              </w:rPr>
              <w:t>分</w:t>
            </w:r>
            <w:r>
              <w:rPr>
                <w:rFonts w:hint="eastAsia" w:ascii="仿宋" w:hAnsi="仿宋" w:eastAsia="仿宋" w:cs="仿宋"/>
                <w:bCs/>
                <w:sz w:val="20"/>
                <w:szCs w:val="20"/>
                <w:highlight w:val="none"/>
                <w:lang w:eastAsia="zh-CN"/>
              </w:rPr>
              <w:t>）</w:t>
            </w:r>
          </w:p>
        </w:tc>
        <w:tc>
          <w:tcPr>
            <w:tcW w:w="2646" w:type="pct"/>
            <w:noWrap w:val="0"/>
            <w:vAlign w:val="center"/>
          </w:tcPr>
          <w:p w14:paraId="5489A3D6">
            <w:pPr>
              <w:pStyle w:val="39"/>
              <w:pageBreakBefore w:val="0"/>
              <w:kinsoku/>
              <w:overflowPunct/>
              <w:topLinePunct w:val="0"/>
              <w:bidi w:val="0"/>
              <w:spacing w:beforeAutospacing="0" w:afterAutospacing="0" w:line="240" w:lineRule="auto"/>
              <w:ind w:left="0" w:leftChars="0" w:right="0" w:rightChars="0"/>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sz w:val="20"/>
                <w:szCs w:val="20"/>
                <w:highlight w:val="none"/>
                <w:lang w:val="en-US" w:eastAsia="zh-CN"/>
              </w:rPr>
              <w:t>拟投入本项目人员（不包括项目负责人）每提供具有高级职称证书人员1人得1分，最高得4分；每提供具有初级及以上职称证书人员1人得0.5分，最高得2分；须提供相关证明资料，未按要求提供相关资料的不得分。（本项最高得6分）</w:t>
            </w:r>
          </w:p>
        </w:tc>
        <w:tc>
          <w:tcPr>
            <w:tcW w:w="316" w:type="pct"/>
            <w:noWrap w:val="0"/>
            <w:vAlign w:val="center"/>
          </w:tcPr>
          <w:p w14:paraId="17D51756">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6</w:t>
            </w:r>
          </w:p>
        </w:tc>
      </w:tr>
      <w:tr w14:paraId="0820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241" w:hRule="atLeast"/>
        </w:trPr>
        <w:tc>
          <w:tcPr>
            <w:tcW w:w="379" w:type="pct"/>
            <w:vMerge w:val="continue"/>
            <w:noWrap w:val="0"/>
            <w:vAlign w:val="center"/>
          </w:tcPr>
          <w:p w14:paraId="6C2F470B">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757" w:type="pct"/>
            <w:vMerge w:val="restart"/>
            <w:noWrap w:val="0"/>
            <w:vAlign w:val="center"/>
          </w:tcPr>
          <w:p w14:paraId="164C1530">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技术</w:t>
            </w:r>
            <w:r>
              <w:rPr>
                <w:rFonts w:hint="eastAsia" w:ascii="仿宋" w:hAnsi="仿宋" w:eastAsia="仿宋" w:cs="仿宋"/>
                <w:color w:val="auto"/>
                <w:spacing w:val="0"/>
                <w:sz w:val="20"/>
                <w:szCs w:val="20"/>
                <w:highlight w:val="none"/>
                <w:lang w:val="en-US" w:eastAsia="zh-CN"/>
              </w:rPr>
              <w:t>部分</w:t>
            </w:r>
            <w:r>
              <w:rPr>
                <w:rFonts w:hint="eastAsia" w:ascii="仿宋" w:hAnsi="仿宋" w:eastAsia="仿宋" w:cs="仿宋"/>
                <w:color w:val="auto"/>
                <w:spacing w:val="0"/>
                <w:sz w:val="20"/>
                <w:szCs w:val="20"/>
                <w:highlight w:val="none"/>
              </w:rPr>
              <w:t>评审</w:t>
            </w:r>
          </w:p>
          <w:p w14:paraId="40286AA6">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eastAsia="zh-CN"/>
              </w:rPr>
              <w:t>（</w:t>
            </w:r>
            <w:r>
              <w:rPr>
                <w:rFonts w:hint="eastAsia" w:ascii="仿宋" w:hAnsi="仿宋" w:eastAsia="仿宋" w:cs="仿宋"/>
                <w:color w:val="auto"/>
                <w:spacing w:val="0"/>
                <w:sz w:val="20"/>
                <w:szCs w:val="20"/>
                <w:highlight w:val="none"/>
                <w:lang w:val="en-US" w:eastAsia="zh-CN"/>
              </w:rPr>
              <w:t>55分）</w:t>
            </w:r>
          </w:p>
        </w:tc>
        <w:tc>
          <w:tcPr>
            <w:tcW w:w="900" w:type="pct"/>
            <w:noWrap w:val="0"/>
            <w:vAlign w:val="center"/>
          </w:tcPr>
          <w:p w14:paraId="0C172AC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水土保持大纲（15分）</w:t>
            </w:r>
          </w:p>
        </w:tc>
        <w:tc>
          <w:tcPr>
            <w:tcW w:w="2646" w:type="pct"/>
            <w:noWrap w:val="0"/>
            <w:vAlign w:val="center"/>
          </w:tcPr>
          <w:p w14:paraId="130907F7">
            <w:pPr>
              <w:keepNext w:val="0"/>
              <w:keepLines w:val="0"/>
              <w:pageBreakBefore w:val="0"/>
              <w:widowControl w:val="0"/>
              <w:kinsoku/>
              <w:wordWrap/>
              <w:overflowPunct/>
              <w:topLinePunct w:val="0"/>
              <w:bidi w:val="0"/>
              <w:spacing w:beforeAutospacing="0" w:after="0" w:afterAutospacing="0" w:line="240" w:lineRule="auto"/>
              <w:ind w:left="0" w:leftChars="0" w:right="0"/>
              <w:jc w:val="left"/>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sz w:val="20"/>
                <w:szCs w:val="20"/>
                <w:highlight w:val="none"/>
                <w:lang w:val="en-US" w:eastAsia="zh-CN"/>
              </w:rPr>
              <w:t>供应商提供的水土保持方案报告书根据项目的实际情况确定方案编制：1.水土流失防治目标2.水土流失预测3.水土保持措施4.水土保持投资估算5.主要结论建议；每缺失一项内容扣3分，每项内容中每有一处内容缺陷扣 1 分（缺陷是指：存在不适用项目实际情况的情形、凭空编造、内容前后不一致、前后逻辑错误、涉及的规范及标准错误、内容遗漏、不符合本项目实际需求），扣完为止。</w:t>
            </w:r>
          </w:p>
        </w:tc>
        <w:tc>
          <w:tcPr>
            <w:tcW w:w="316" w:type="pct"/>
            <w:noWrap w:val="0"/>
            <w:vAlign w:val="center"/>
          </w:tcPr>
          <w:p w14:paraId="7212E9DB">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15</w:t>
            </w:r>
          </w:p>
        </w:tc>
      </w:tr>
      <w:tr w14:paraId="3EEC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52" w:hRule="atLeast"/>
        </w:trPr>
        <w:tc>
          <w:tcPr>
            <w:tcW w:w="379" w:type="pct"/>
            <w:vMerge w:val="continue"/>
            <w:noWrap w:val="0"/>
            <w:vAlign w:val="center"/>
          </w:tcPr>
          <w:p w14:paraId="266F5600">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757" w:type="pct"/>
            <w:vMerge w:val="continue"/>
            <w:noWrap w:val="0"/>
            <w:vAlign w:val="center"/>
          </w:tcPr>
          <w:p w14:paraId="1D540094">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900" w:type="pct"/>
            <w:noWrap w:val="0"/>
            <w:vAlign w:val="center"/>
          </w:tcPr>
          <w:p w14:paraId="1BE244D6">
            <w:pPr>
              <w:widowControl/>
              <w:spacing w:line="300" w:lineRule="exact"/>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kern w:val="0"/>
                <w:sz w:val="20"/>
                <w:szCs w:val="20"/>
                <w:highlight w:val="none"/>
                <w:lang w:val="en-US" w:eastAsia="zh-CN" w:bidi="ar-SA"/>
              </w:rPr>
              <w:t>监测方案（16分）</w:t>
            </w:r>
          </w:p>
        </w:tc>
        <w:tc>
          <w:tcPr>
            <w:tcW w:w="2646" w:type="pct"/>
            <w:noWrap w:val="0"/>
            <w:vAlign w:val="center"/>
          </w:tcPr>
          <w:p w14:paraId="34DFE21E">
            <w:pPr>
              <w:keepNext w:val="0"/>
              <w:keepLines w:val="0"/>
              <w:pageBreakBefore w:val="0"/>
              <w:widowControl w:val="0"/>
              <w:kinsoku/>
              <w:wordWrap/>
              <w:overflowPunct/>
              <w:topLinePunct w:val="0"/>
              <w:bidi w:val="0"/>
              <w:spacing w:beforeAutospacing="0" w:after="0" w:afterAutospacing="0" w:line="240" w:lineRule="auto"/>
              <w:ind w:left="0" w:leftChars="0" w:right="0"/>
              <w:jc w:val="left"/>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根据供应商提供的项目具体监测方案进行综合评审，方案包含以下要素：①项目概况；②总监测目标与依据；③监测范围与分区；④监测内容与指标</w:t>
            </w:r>
            <w:r>
              <w:rPr>
                <w:rFonts w:hint="eastAsia" w:ascii="仿宋" w:hAnsi="仿宋" w:eastAsia="仿宋" w:cs="仿宋"/>
                <w:color w:val="auto"/>
                <w:spacing w:val="0"/>
                <w:sz w:val="20"/>
                <w:szCs w:val="20"/>
                <w:highlight w:val="none"/>
                <w:lang w:eastAsia="zh-CN"/>
              </w:rPr>
              <w:t>；⑤监测方法与频次；⑥监测点位布设；⑦数据管理与分析；⑧组织与实施；⑨成果提交</w:t>
            </w:r>
            <w:r>
              <w:rPr>
                <w:rFonts w:hint="eastAsia" w:ascii="仿宋" w:hAnsi="仿宋" w:eastAsia="仿宋" w:cs="仿宋"/>
                <w:color w:val="auto"/>
                <w:spacing w:val="0"/>
                <w:sz w:val="20"/>
                <w:szCs w:val="20"/>
                <w:highlight w:val="none"/>
              </w:rPr>
              <w:t>。以上内容每缺失一项内容扣</w:t>
            </w:r>
            <w:r>
              <w:rPr>
                <w:rFonts w:hint="eastAsia" w:ascii="仿宋" w:hAnsi="仿宋" w:eastAsia="仿宋" w:cs="仿宋"/>
                <w:color w:val="auto"/>
                <w:spacing w:val="0"/>
                <w:sz w:val="20"/>
                <w:szCs w:val="20"/>
                <w:highlight w:val="none"/>
                <w:lang w:val="en-US" w:eastAsia="zh-CN"/>
              </w:rPr>
              <w:t>2分</w:t>
            </w:r>
            <w:r>
              <w:rPr>
                <w:rFonts w:hint="eastAsia" w:ascii="仿宋" w:hAnsi="仿宋" w:eastAsia="仿宋" w:cs="仿宋"/>
                <w:color w:val="auto"/>
                <w:spacing w:val="0"/>
                <w:sz w:val="20"/>
                <w:szCs w:val="20"/>
                <w:highlight w:val="none"/>
              </w:rPr>
              <w:t>，每项内容中每有一处内容缺陷扣1分，扣完为止。</w:t>
            </w:r>
          </w:p>
          <w:p w14:paraId="146E2678">
            <w:pPr>
              <w:keepNext w:val="0"/>
              <w:keepLines w:val="0"/>
              <w:pageBreakBefore w:val="0"/>
              <w:widowControl w:val="0"/>
              <w:kinsoku/>
              <w:wordWrap/>
              <w:overflowPunct/>
              <w:topLinePunct w:val="0"/>
              <w:bidi w:val="0"/>
              <w:spacing w:beforeAutospacing="0" w:after="0" w:afterAutospacing="0" w:line="240" w:lineRule="auto"/>
              <w:ind w:left="0" w:leftChars="0" w:right="0"/>
              <w:jc w:val="left"/>
              <w:textAlignment w:val="auto"/>
              <w:rPr>
                <w:rFonts w:hint="eastAsia"/>
              </w:rPr>
            </w:pPr>
            <w:r>
              <w:rPr>
                <w:rFonts w:hint="eastAsia" w:ascii="仿宋" w:hAnsi="仿宋" w:eastAsia="仿宋" w:cs="仿宋"/>
                <w:color w:val="auto"/>
                <w:spacing w:val="0"/>
                <w:sz w:val="20"/>
                <w:szCs w:val="20"/>
                <w:highlight w:val="none"/>
              </w:rPr>
              <w:t>（缺陷是指：存在不适用项目实际情况的情形、凭空编造、内容前后不一致、前后逻辑错误、涉及的规范及标准错误、内容遗漏、不符合本项目实际需求）</w:t>
            </w:r>
          </w:p>
        </w:tc>
        <w:tc>
          <w:tcPr>
            <w:tcW w:w="316" w:type="pct"/>
            <w:noWrap w:val="0"/>
            <w:vAlign w:val="center"/>
          </w:tcPr>
          <w:p w14:paraId="5A2F0BCB">
            <w:pPr>
              <w:keepNext w:val="0"/>
              <w:keepLines w:val="0"/>
              <w:pageBreakBefore w:val="0"/>
              <w:widowControl w:val="0"/>
              <w:kinsoku/>
              <w:wordWrap/>
              <w:overflowPunct/>
              <w:topLinePunct w:val="0"/>
              <w:bidi w:val="0"/>
              <w:spacing w:beforeAutospacing="0" w:after="0" w:afterAutospacing="0" w:line="240" w:lineRule="auto"/>
              <w:ind w:left="0" w:leftChars="0" w:right="0"/>
              <w:jc w:val="left"/>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16</w:t>
            </w:r>
          </w:p>
        </w:tc>
      </w:tr>
      <w:tr w14:paraId="21B3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14" w:hRule="atLeast"/>
        </w:trPr>
        <w:tc>
          <w:tcPr>
            <w:tcW w:w="379" w:type="pct"/>
            <w:vMerge w:val="continue"/>
            <w:noWrap w:val="0"/>
            <w:vAlign w:val="center"/>
          </w:tcPr>
          <w:p w14:paraId="482633E6">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757" w:type="pct"/>
            <w:vMerge w:val="continue"/>
            <w:noWrap w:val="0"/>
            <w:vAlign w:val="center"/>
          </w:tcPr>
          <w:p w14:paraId="64DF0598">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900" w:type="pct"/>
            <w:noWrap w:val="0"/>
            <w:vAlign w:val="center"/>
          </w:tcPr>
          <w:p w14:paraId="369A50D3">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kern w:val="0"/>
                <w:sz w:val="20"/>
                <w:szCs w:val="20"/>
                <w:highlight w:val="none"/>
                <w:lang w:val="en-US" w:eastAsia="zh-CN" w:bidi="ar-SA"/>
              </w:rPr>
              <w:t>重点、难点部 分的认识及措施（5分）</w:t>
            </w:r>
          </w:p>
        </w:tc>
        <w:tc>
          <w:tcPr>
            <w:tcW w:w="2646" w:type="pct"/>
            <w:noWrap w:val="0"/>
            <w:vAlign w:val="center"/>
          </w:tcPr>
          <w:p w14:paraId="25E41970">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kern w:val="0"/>
                <w:sz w:val="20"/>
                <w:szCs w:val="20"/>
                <w:highlight w:val="none"/>
                <w:lang w:val="en-US" w:eastAsia="zh-CN" w:bidi="ar-SA"/>
              </w:rPr>
              <w:t>能针对协助及指导现场水保工作、水土保持监测内容从技术层面提出工作方法及解决方案，对技术重点、难点，并提出针对性保障措施，得 3-5分，针对性不强，得2-3分；没有对技术重点、难点提出的保障措施，得1-2分。未提供不得分。</w:t>
            </w:r>
          </w:p>
        </w:tc>
        <w:tc>
          <w:tcPr>
            <w:tcW w:w="316" w:type="pct"/>
            <w:noWrap w:val="0"/>
            <w:vAlign w:val="center"/>
          </w:tcPr>
          <w:p w14:paraId="32B8A025">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5</w:t>
            </w:r>
          </w:p>
        </w:tc>
      </w:tr>
      <w:tr w14:paraId="2799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11" w:hRule="atLeast"/>
        </w:trPr>
        <w:tc>
          <w:tcPr>
            <w:tcW w:w="379" w:type="pct"/>
            <w:vMerge w:val="continue"/>
            <w:noWrap w:val="0"/>
            <w:vAlign w:val="center"/>
          </w:tcPr>
          <w:p w14:paraId="2BCC6B3B">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757" w:type="pct"/>
            <w:vMerge w:val="continue"/>
            <w:noWrap w:val="0"/>
            <w:vAlign w:val="center"/>
          </w:tcPr>
          <w:p w14:paraId="75283142">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900" w:type="pct"/>
            <w:noWrap w:val="0"/>
            <w:vAlign w:val="center"/>
          </w:tcPr>
          <w:p w14:paraId="41712CAE">
            <w:pPr>
              <w:keepNext w:val="0"/>
              <w:keepLines w:val="0"/>
              <w:pageBreakBefore w:val="0"/>
              <w:widowControl w:val="0"/>
              <w:wordWrap/>
              <w:overflowPunct/>
              <w:topLinePunct w:val="0"/>
              <w:bidi w:val="0"/>
              <w:spacing w:line="240" w:lineRule="auto"/>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SA"/>
              </w:rPr>
              <w:t>进度保证措施（6分）</w:t>
            </w:r>
          </w:p>
        </w:tc>
        <w:tc>
          <w:tcPr>
            <w:tcW w:w="2646" w:type="pct"/>
            <w:noWrap w:val="0"/>
            <w:vAlign w:val="center"/>
          </w:tcPr>
          <w:p w14:paraId="2E4A0B38">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kern w:val="0"/>
                <w:sz w:val="20"/>
                <w:szCs w:val="20"/>
                <w:highlight w:val="none"/>
                <w:lang w:val="en-US" w:eastAsia="zh-CN" w:bidi="ar-SA"/>
              </w:rPr>
              <w:t>1、有完善的进度计划安排制度，进度计划安排合理、保证措施得力：得5-6分；</w:t>
            </w:r>
          </w:p>
          <w:p w14:paraId="0D07FE00">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kern w:val="0"/>
                <w:sz w:val="20"/>
                <w:szCs w:val="20"/>
                <w:highlight w:val="none"/>
                <w:lang w:val="en-US" w:eastAsia="zh-CN" w:bidi="ar-SA"/>
              </w:rPr>
              <w:t>2、进度计划安排一般，保证措施一般：得3-4分；</w:t>
            </w:r>
          </w:p>
          <w:p w14:paraId="1AA7F18B">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kern w:val="0"/>
                <w:sz w:val="20"/>
                <w:szCs w:val="20"/>
                <w:highlight w:val="none"/>
                <w:lang w:val="en-US" w:eastAsia="zh-CN" w:bidi="ar-SA"/>
              </w:rPr>
              <w:t>3、进度计划安排简略，保证措施简略：得1-2分；</w:t>
            </w:r>
          </w:p>
          <w:p w14:paraId="52F7036D">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kern w:val="0"/>
                <w:sz w:val="20"/>
                <w:szCs w:val="20"/>
                <w:highlight w:val="none"/>
                <w:lang w:val="en-US" w:eastAsia="zh-CN" w:bidi="ar-SA"/>
              </w:rPr>
              <w:t>4、未提供不得分</w:t>
            </w:r>
          </w:p>
        </w:tc>
        <w:tc>
          <w:tcPr>
            <w:tcW w:w="316" w:type="pct"/>
            <w:noWrap w:val="0"/>
            <w:vAlign w:val="center"/>
          </w:tcPr>
          <w:p w14:paraId="57ECCDBF">
            <w:pPr>
              <w:keepNext w:val="0"/>
              <w:keepLines w:val="0"/>
              <w:pageBreakBefore w:val="0"/>
              <w:widowControl w:val="0"/>
              <w:kinsoku/>
              <w:wordWrap/>
              <w:overflowPunct/>
              <w:topLinePunct w:val="0"/>
              <w:bidi w:val="0"/>
              <w:spacing w:beforeAutospacing="0" w:after="0" w:afterAutospacing="0" w:line="240" w:lineRule="auto"/>
              <w:ind w:left="0" w:leftChars="0" w:right="0"/>
              <w:jc w:val="left"/>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6</w:t>
            </w:r>
          </w:p>
        </w:tc>
      </w:tr>
      <w:tr w14:paraId="12A0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820" w:hRule="atLeast"/>
        </w:trPr>
        <w:tc>
          <w:tcPr>
            <w:tcW w:w="379" w:type="pct"/>
            <w:vMerge w:val="continue"/>
            <w:noWrap w:val="0"/>
            <w:vAlign w:val="center"/>
          </w:tcPr>
          <w:p w14:paraId="4D6E78D1">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757" w:type="pct"/>
            <w:vMerge w:val="continue"/>
            <w:noWrap w:val="0"/>
            <w:vAlign w:val="center"/>
          </w:tcPr>
          <w:p w14:paraId="236B92A3">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900" w:type="pct"/>
            <w:noWrap w:val="0"/>
            <w:vAlign w:val="center"/>
          </w:tcPr>
          <w:p w14:paraId="19E4ADEF">
            <w:pPr>
              <w:keepNext w:val="0"/>
              <w:keepLines w:val="0"/>
              <w:pageBreakBefore w:val="0"/>
              <w:widowControl w:val="0"/>
              <w:wordWrap/>
              <w:overflowPunct/>
              <w:topLinePunct w:val="0"/>
              <w:bidi w:val="0"/>
              <w:spacing w:line="240" w:lineRule="auto"/>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SA"/>
              </w:rPr>
              <w:t>服务质量保证措施（6分）</w:t>
            </w:r>
          </w:p>
        </w:tc>
        <w:tc>
          <w:tcPr>
            <w:tcW w:w="2646" w:type="pct"/>
            <w:noWrap w:val="0"/>
            <w:vAlign w:val="center"/>
          </w:tcPr>
          <w:p w14:paraId="43DCC107">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kern w:val="0"/>
                <w:sz w:val="20"/>
                <w:szCs w:val="20"/>
                <w:highlight w:val="none"/>
                <w:lang w:val="en-US" w:eastAsia="zh-CN" w:bidi="ar-SA"/>
              </w:rPr>
              <w:t>1、项目质量等级达到磋商文件要求的质量标准，且有确保达到或高于质量考核标准的措施：得5-6分；</w:t>
            </w:r>
          </w:p>
          <w:p w14:paraId="4E19784A">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kern w:val="0"/>
                <w:sz w:val="20"/>
                <w:szCs w:val="20"/>
                <w:highlight w:val="none"/>
                <w:lang w:val="en-US" w:eastAsia="zh-CN" w:bidi="ar-SA"/>
              </w:rPr>
              <w:t>2、项目质量等级达到磋商文件要求的质量标准，确保达到质量考核标准的措施一般：得3-4分</w:t>
            </w:r>
          </w:p>
          <w:p w14:paraId="7C5B9D95">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kern w:val="0"/>
                <w:sz w:val="20"/>
                <w:szCs w:val="20"/>
                <w:highlight w:val="none"/>
                <w:lang w:val="en-US" w:eastAsia="zh-CN" w:bidi="ar-SA"/>
              </w:rPr>
              <w:t>3、项目质量等级达到磋商文件要求的质量标准，确保达到质量考核标准的措施简略：得1-2分</w:t>
            </w:r>
          </w:p>
          <w:p w14:paraId="27C25383">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kern w:val="0"/>
                <w:sz w:val="20"/>
                <w:szCs w:val="20"/>
                <w:highlight w:val="cyan"/>
                <w:lang w:val="en-US" w:eastAsia="zh-CN" w:bidi="ar-SA"/>
              </w:rPr>
            </w:pPr>
            <w:r>
              <w:rPr>
                <w:rFonts w:hint="eastAsia" w:ascii="仿宋" w:hAnsi="仿宋" w:eastAsia="仿宋" w:cs="仿宋"/>
                <w:color w:val="auto"/>
                <w:spacing w:val="0"/>
                <w:kern w:val="0"/>
                <w:sz w:val="20"/>
                <w:szCs w:val="20"/>
                <w:highlight w:val="none"/>
                <w:lang w:val="en-US" w:eastAsia="zh-CN" w:bidi="ar-SA"/>
              </w:rPr>
              <w:t>4、未提供不得分</w:t>
            </w:r>
          </w:p>
        </w:tc>
        <w:tc>
          <w:tcPr>
            <w:tcW w:w="316" w:type="pct"/>
            <w:noWrap w:val="0"/>
            <w:vAlign w:val="center"/>
          </w:tcPr>
          <w:p w14:paraId="19C0E784">
            <w:pPr>
              <w:keepNext w:val="0"/>
              <w:keepLines w:val="0"/>
              <w:pageBreakBefore w:val="0"/>
              <w:widowControl w:val="0"/>
              <w:kinsoku/>
              <w:wordWrap/>
              <w:overflowPunct/>
              <w:topLinePunct w:val="0"/>
              <w:bidi w:val="0"/>
              <w:spacing w:beforeAutospacing="0" w:after="0" w:afterAutospacing="0" w:line="240" w:lineRule="auto"/>
              <w:ind w:left="0" w:leftChars="0" w:right="0"/>
              <w:jc w:val="left"/>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6</w:t>
            </w:r>
          </w:p>
        </w:tc>
      </w:tr>
      <w:tr w14:paraId="79AD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820" w:hRule="atLeast"/>
        </w:trPr>
        <w:tc>
          <w:tcPr>
            <w:tcW w:w="379" w:type="pct"/>
            <w:vMerge w:val="continue"/>
            <w:noWrap w:val="0"/>
            <w:vAlign w:val="center"/>
          </w:tcPr>
          <w:p w14:paraId="4DB33ADA">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757" w:type="pct"/>
            <w:vMerge w:val="continue"/>
            <w:noWrap w:val="0"/>
            <w:vAlign w:val="center"/>
          </w:tcPr>
          <w:p w14:paraId="1E3B530B">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900" w:type="pct"/>
            <w:noWrap w:val="0"/>
            <w:vAlign w:val="center"/>
          </w:tcPr>
          <w:p w14:paraId="5686F0B3">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服务响应（4分）</w:t>
            </w:r>
          </w:p>
        </w:tc>
        <w:tc>
          <w:tcPr>
            <w:tcW w:w="2646" w:type="pct"/>
            <w:noWrap w:val="0"/>
            <w:vAlign w:val="center"/>
          </w:tcPr>
          <w:p w14:paraId="6DCC0C58">
            <w:pPr>
              <w:pStyle w:val="39"/>
              <w:keepNext w:val="0"/>
              <w:keepLines w:val="0"/>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kern w:val="0"/>
                <w:sz w:val="20"/>
                <w:szCs w:val="20"/>
                <w:highlight w:val="none"/>
                <w:lang w:val="en-US" w:eastAsia="zh-CN" w:bidi="ar-SA"/>
              </w:rPr>
              <w:t>根据供应商提供的服务响应方案，包括：①响应到场时间、人员到位率保证、技术支持；</w:t>
            </w:r>
          </w:p>
          <w:p w14:paraId="522B8978">
            <w:pPr>
              <w:keepNext w:val="0"/>
              <w:keepLines w:val="0"/>
              <w:pageBreakBefore w:val="0"/>
              <w:widowControl w:val="0"/>
              <w:kinsoku/>
              <w:wordWrap/>
              <w:overflowPunct/>
              <w:topLinePunct w:val="0"/>
              <w:bidi w:val="0"/>
              <w:spacing w:beforeAutospacing="0" w:after="0" w:afterAutospacing="0" w:line="240" w:lineRule="auto"/>
              <w:ind w:left="0" w:leftChars="0" w:right="0"/>
              <w:jc w:val="left"/>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kern w:val="0"/>
                <w:sz w:val="20"/>
                <w:szCs w:val="20"/>
                <w:highlight w:val="none"/>
                <w:lang w:val="en-US" w:eastAsia="zh-CN" w:bidi="ar-SA"/>
              </w:rPr>
              <w:t>②服务承诺履行保障。</w:t>
            </w:r>
            <w:r>
              <w:rPr>
                <w:rFonts w:hint="eastAsia" w:ascii="仿宋" w:hAnsi="仿宋" w:eastAsia="仿宋" w:cs="仿宋"/>
                <w:color w:val="auto"/>
                <w:spacing w:val="0"/>
                <w:sz w:val="20"/>
                <w:szCs w:val="20"/>
                <w:highlight w:val="none"/>
              </w:rPr>
              <w:t>以上内容每缺失一项内容扣</w:t>
            </w:r>
            <w:r>
              <w:rPr>
                <w:rFonts w:hint="eastAsia" w:ascii="仿宋" w:hAnsi="仿宋" w:eastAsia="仿宋" w:cs="仿宋"/>
                <w:color w:val="auto"/>
                <w:spacing w:val="0"/>
                <w:sz w:val="20"/>
                <w:szCs w:val="20"/>
                <w:highlight w:val="none"/>
                <w:lang w:val="en-US" w:eastAsia="zh-CN"/>
              </w:rPr>
              <w:t>2分</w:t>
            </w:r>
            <w:r>
              <w:rPr>
                <w:rFonts w:hint="eastAsia" w:ascii="仿宋" w:hAnsi="仿宋" w:eastAsia="仿宋" w:cs="仿宋"/>
                <w:color w:val="auto"/>
                <w:spacing w:val="0"/>
                <w:sz w:val="20"/>
                <w:szCs w:val="20"/>
                <w:highlight w:val="none"/>
              </w:rPr>
              <w:t>，每项内容中每有一处内容缺陷扣1分，扣完为止。</w:t>
            </w:r>
          </w:p>
          <w:p w14:paraId="0AB31CD2">
            <w:pPr>
              <w:pStyle w:val="39"/>
              <w:keepNext w:val="0"/>
              <w:keepLines w:val="0"/>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sz w:val="20"/>
                <w:szCs w:val="20"/>
                <w:highlight w:val="none"/>
              </w:rPr>
              <w:t>（缺陷是指：存在不适用项目实际情况的情形、凭空编造、内容前后不一致、前后逻辑错误、涉及的规范及标准错误、内容遗漏、不符合本项目实际需求）</w:t>
            </w:r>
          </w:p>
        </w:tc>
        <w:tc>
          <w:tcPr>
            <w:tcW w:w="316" w:type="pct"/>
            <w:noWrap w:val="0"/>
            <w:vAlign w:val="center"/>
          </w:tcPr>
          <w:p w14:paraId="57351679">
            <w:pPr>
              <w:keepNext w:val="0"/>
              <w:keepLines w:val="0"/>
              <w:pageBreakBefore w:val="0"/>
              <w:widowControl w:val="0"/>
              <w:kinsoku/>
              <w:wordWrap/>
              <w:overflowPunct/>
              <w:topLinePunct w:val="0"/>
              <w:bidi w:val="0"/>
              <w:spacing w:beforeAutospacing="0" w:after="0" w:afterAutospacing="0" w:line="240" w:lineRule="auto"/>
              <w:ind w:left="0" w:leftChars="0" w:right="0"/>
              <w:jc w:val="left"/>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4</w:t>
            </w:r>
          </w:p>
        </w:tc>
      </w:tr>
      <w:tr w14:paraId="5498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228" w:hRule="atLeast"/>
        </w:trPr>
        <w:tc>
          <w:tcPr>
            <w:tcW w:w="379" w:type="pct"/>
            <w:vMerge w:val="continue"/>
            <w:noWrap w:val="0"/>
            <w:vAlign w:val="center"/>
          </w:tcPr>
          <w:p w14:paraId="5D3F8818">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757" w:type="pct"/>
            <w:vMerge w:val="continue"/>
            <w:noWrap w:val="0"/>
            <w:vAlign w:val="center"/>
          </w:tcPr>
          <w:p w14:paraId="39FAEEF3">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p>
        </w:tc>
        <w:tc>
          <w:tcPr>
            <w:tcW w:w="900" w:type="pct"/>
            <w:noWrap w:val="0"/>
            <w:vAlign w:val="center"/>
          </w:tcPr>
          <w:p w14:paraId="1B90AA9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资料归档（3分）</w:t>
            </w:r>
          </w:p>
        </w:tc>
        <w:tc>
          <w:tcPr>
            <w:tcW w:w="2646" w:type="pct"/>
            <w:noWrap w:val="0"/>
            <w:vAlign w:val="center"/>
          </w:tcPr>
          <w:p w14:paraId="3E12F58F">
            <w:pPr>
              <w:pStyle w:val="39"/>
              <w:keepNext w:val="0"/>
              <w:keepLines w:val="0"/>
              <w:pageBreakBefore w:val="0"/>
              <w:widowControl w:val="0"/>
              <w:kinsoku/>
              <w:wordWrap/>
              <w:overflowPunct/>
              <w:topLinePunct w:val="0"/>
              <w:bidi w:val="0"/>
              <w:spacing w:beforeAutospacing="0" w:afterAutospacing="0" w:line="240" w:lineRule="auto"/>
              <w:ind w:left="0" w:leftChars="0" w:right="0" w:rightChars="0"/>
              <w:textAlignment w:val="auto"/>
              <w:rPr>
                <w:rFonts w:hint="eastAsia" w:ascii="仿宋" w:hAnsi="仿宋" w:eastAsia="仿宋" w:cs="仿宋"/>
                <w:color w:val="auto"/>
                <w:spacing w:val="0"/>
                <w:kern w:val="0"/>
                <w:sz w:val="20"/>
                <w:szCs w:val="20"/>
                <w:highlight w:val="none"/>
                <w:lang w:val="en-US" w:eastAsia="zh-CN" w:bidi="ar-SA"/>
              </w:rPr>
            </w:pPr>
            <w:r>
              <w:rPr>
                <w:rFonts w:hint="eastAsia" w:ascii="仿宋" w:hAnsi="仿宋" w:eastAsia="仿宋" w:cs="仿宋"/>
                <w:color w:val="auto"/>
                <w:spacing w:val="0"/>
                <w:kern w:val="0"/>
                <w:sz w:val="20"/>
                <w:szCs w:val="20"/>
                <w:highlight w:val="none"/>
                <w:lang w:val="en-US" w:eastAsia="zh-CN" w:bidi="ar-SA"/>
              </w:rPr>
              <w:t>评审方案、监测数据、技术报告、测绘记录、测量数据、分析成果等有关资料应当归档保存，供应商提供资料归档保存方案，得1-3分，未提供不得分。</w:t>
            </w:r>
          </w:p>
        </w:tc>
        <w:tc>
          <w:tcPr>
            <w:tcW w:w="316" w:type="pct"/>
            <w:noWrap w:val="0"/>
            <w:vAlign w:val="center"/>
          </w:tcPr>
          <w:p w14:paraId="0D212AE5">
            <w:pPr>
              <w:keepNext w:val="0"/>
              <w:keepLines w:val="0"/>
              <w:pageBreakBefore w:val="0"/>
              <w:widowControl w:val="0"/>
              <w:kinsoku/>
              <w:wordWrap/>
              <w:overflowPunct/>
              <w:topLinePunct w:val="0"/>
              <w:bidi w:val="0"/>
              <w:spacing w:beforeAutospacing="0" w:after="0" w:afterAutospacing="0" w:line="240" w:lineRule="auto"/>
              <w:ind w:left="0" w:leftChars="0" w:right="0"/>
              <w:jc w:val="left"/>
              <w:textAlignment w:val="auto"/>
              <w:rPr>
                <w:rFonts w:hint="default"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3</w:t>
            </w:r>
          </w:p>
        </w:tc>
      </w:tr>
      <w:tr w14:paraId="7AC2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27" w:hRule="atLeast"/>
        </w:trPr>
        <w:tc>
          <w:tcPr>
            <w:tcW w:w="379" w:type="pct"/>
            <w:noWrap w:val="0"/>
            <w:vAlign w:val="center"/>
          </w:tcPr>
          <w:p w14:paraId="03E96168">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rPr>
            </w:pPr>
          </w:p>
        </w:tc>
        <w:tc>
          <w:tcPr>
            <w:tcW w:w="757" w:type="pct"/>
            <w:noWrap w:val="0"/>
            <w:vAlign w:val="center"/>
          </w:tcPr>
          <w:p w14:paraId="2B51820C">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合计</w:t>
            </w:r>
          </w:p>
        </w:tc>
        <w:tc>
          <w:tcPr>
            <w:tcW w:w="900" w:type="pct"/>
            <w:noWrap w:val="0"/>
            <w:vAlign w:val="center"/>
          </w:tcPr>
          <w:p w14:paraId="3EF18225">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rPr>
            </w:pPr>
          </w:p>
        </w:tc>
        <w:tc>
          <w:tcPr>
            <w:tcW w:w="2646" w:type="pct"/>
            <w:noWrap w:val="0"/>
            <w:vAlign w:val="center"/>
          </w:tcPr>
          <w:p w14:paraId="5CD93D6E">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rPr>
            </w:pPr>
          </w:p>
        </w:tc>
        <w:tc>
          <w:tcPr>
            <w:tcW w:w="316" w:type="pct"/>
            <w:noWrap w:val="0"/>
            <w:vAlign w:val="center"/>
          </w:tcPr>
          <w:p w14:paraId="1CF69FA6">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100</w:t>
            </w:r>
          </w:p>
        </w:tc>
      </w:tr>
      <w:tr w14:paraId="5DD6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73" w:hRule="atLeast"/>
        </w:trPr>
        <w:tc>
          <w:tcPr>
            <w:tcW w:w="1137" w:type="pct"/>
            <w:gridSpan w:val="2"/>
            <w:noWrap w:val="0"/>
            <w:vAlign w:val="center"/>
          </w:tcPr>
          <w:p w14:paraId="06FEC1A3">
            <w:pPr>
              <w:pStyle w:val="39"/>
              <w:keepNext w:val="0"/>
              <w:keepLines w:val="0"/>
              <w:pageBreakBefore w:val="0"/>
              <w:widowControl w:val="0"/>
              <w:kinsoku/>
              <w:wordWrap/>
              <w:overflowPunct/>
              <w:topLinePunct w:val="0"/>
              <w:bidi w:val="0"/>
              <w:spacing w:beforeAutospacing="0" w:afterAutospacing="0" w:line="240" w:lineRule="auto"/>
              <w:ind w:left="0" w:leftChars="0" w:right="0"/>
              <w:jc w:val="center"/>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废标条款</w:t>
            </w:r>
          </w:p>
        </w:tc>
        <w:tc>
          <w:tcPr>
            <w:tcW w:w="3862" w:type="pct"/>
            <w:gridSpan w:val="3"/>
            <w:noWrap w:val="0"/>
            <w:vAlign w:val="center"/>
          </w:tcPr>
          <w:p w14:paraId="34E3E4D0">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lang w:eastAsia="zh-CN"/>
              </w:rPr>
            </w:pPr>
            <w:r>
              <w:rPr>
                <w:rFonts w:hint="eastAsia" w:ascii="仿宋" w:hAnsi="仿宋" w:eastAsia="仿宋" w:cs="仿宋"/>
                <w:color w:val="auto"/>
                <w:spacing w:val="0"/>
                <w:sz w:val="20"/>
                <w:szCs w:val="20"/>
                <w:highlight w:val="none"/>
              </w:rPr>
              <w:t>(1)未按照招标文件的规定提交投标保证金的</w:t>
            </w:r>
          </w:p>
          <w:p w14:paraId="73975011">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lang w:eastAsia="zh-CN"/>
              </w:rPr>
            </w:pPr>
            <w:r>
              <w:rPr>
                <w:rFonts w:hint="eastAsia" w:ascii="仿宋" w:hAnsi="仿宋" w:eastAsia="仿宋" w:cs="仿宋"/>
                <w:color w:val="auto"/>
                <w:spacing w:val="0"/>
                <w:sz w:val="20"/>
                <w:szCs w:val="20"/>
                <w:highlight w:val="none"/>
              </w:rPr>
              <w:t>(2)</w:t>
            </w:r>
            <w:r>
              <w:rPr>
                <w:rFonts w:hint="eastAsia" w:ascii="仿宋" w:hAnsi="仿宋" w:eastAsia="仿宋" w:cs="仿宋"/>
                <w:color w:val="auto"/>
                <w:spacing w:val="0"/>
                <w:sz w:val="20"/>
                <w:szCs w:val="20"/>
                <w:highlight w:val="none"/>
                <w:lang w:eastAsia="zh-CN"/>
              </w:rPr>
              <w:t>磋商文件</w:t>
            </w:r>
            <w:r>
              <w:rPr>
                <w:rFonts w:hint="eastAsia" w:ascii="仿宋" w:hAnsi="仿宋" w:eastAsia="仿宋" w:cs="仿宋"/>
                <w:color w:val="auto"/>
                <w:spacing w:val="0"/>
                <w:sz w:val="20"/>
                <w:szCs w:val="20"/>
                <w:highlight w:val="none"/>
              </w:rPr>
              <w:t>未按招标文件要求签署、盖章的</w:t>
            </w:r>
          </w:p>
          <w:p w14:paraId="2CC371A7">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lang w:eastAsia="zh-CN"/>
              </w:rPr>
            </w:pPr>
            <w:r>
              <w:rPr>
                <w:rFonts w:hint="eastAsia" w:ascii="仿宋" w:hAnsi="仿宋" w:eastAsia="仿宋" w:cs="仿宋"/>
                <w:color w:val="auto"/>
                <w:spacing w:val="0"/>
                <w:sz w:val="20"/>
                <w:szCs w:val="20"/>
                <w:highlight w:val="none"/>
              </w:rPr>
              <w:t>(3)不具备招标文件中规定的资格要求</w:t>
            </w:r>
          </w:p>
          <w:p w14:paraId="3253F130">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lang w:eastAsia="zh-CN"/>
              </w:rPr>
            </w:pPr>
            <w:r>
              <w:rPr>
                <w:rFonts w:hint="eastAsia" w:ascii="仿宋" w:hAnsi="仿宋" w:eastAsia="仿宋" w:cs="仿宋"/>
                <w:color w:val="auto"/>
                <w:spacing w:val="0"/>
                <w:sz w:val="20"/>
                <w:szCs w:val="20"/>
                <w:highlight w:val="none"/>
              </w:rPr>
              <w:t>(4)报价超过招标文件中规定的预算金额或者最高限价的</w:t>
            </w:r>
          </w:p>
          <w:p w14:paraId="3383C473">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lang w:eastAsia="zh-CN"/>
              </w:rPr>
            </w:pPr>
            <w:r>
              <w:rPr>
                <w:rFonts w:hint="eastAsia" w:ascii="仿宋" w:hAnsi="仿宋" w:eastAsia="仿宋" w:cs="仿宋"/>
                <w:color w:val="auto"/>
                <w:spacing w:val="0"/>
                <w:sz w:val="20"/>
                <w:szCs w:val="20"/>
                <w:highlight w:val="none"/>
              </w:rPr>
              <w:t>(5)</w:t>
            </w:r>
            <w:r>
              <w:rPr>
                <w:rFonts w:hint="eastAsia" w:ascii="仿宋" w:hAnsi="仿宋" w:eastAsia="仿宋" w:cs="仿宋"/>
                <w:color w:val="auto"/>
                <w:spacing w:val="0"/>
                <w:sz w:val="20"/>
                <w:szCs w:val="20"/>
                <w:highlight w:val="none"/>
                <w:lang w:eastAsia="zh-CN"/>
              </w:rPr>
              <w:t>磋商文件</w:t>
            </w:r>
            <w:r>
              <w:rPr>
                <w:rFonts w:hint="eastAsia" w:ascii="仿宋" w:hAnsi="仿宋" w:eastAsia="仿宋" w:cs="仿宋"/>
                <w:color w:val="auto"/>
                <w:spacing w:val="0"/>
                <w:sz w:val="20"/>
                <w:szCs w:val="20"/>
                <w:highlight w:val="none"/>
              </w:rPr>
              <w:t>含有采购人不能接受的附加条件的</w:t>
            </w:r>
          </w:p>
          <w:p w14:paraId="6FB96220">
            <w:pPr>
              <w:pStyle w:val="39"/>
              <w:keepNext w:val="0"/>
              <w:keepLines w:val="0"/>
              <w:pageBreakBefore w:val="0"/>
              <w:widowControl w:val="0"/>
              <w:kinsoku/>
              <w:wordWrap/>
              <w:overflowPunct/>
              <w:topLinePunct w:val="0"/>
              <w:bidi w:val="0"/>
              <w:spacing w:beforeAutospacing="0" w:afterAutospacing="0" w:line="240" w:lineRule="auto"/>
              <w:ind w:left="0" w:leftChars="0" w:right="0"/>
              <w:textAlignment w:val="auto"/>
              <w:rPr>
                <w:rFonts w:hint="eastAsia" w:ascii="仿宋" w:hAnsi="仿宋" w:eastAsia="仿宋" w:cs="仿宋"/>
                <w:color w:val="auto"/>
                <w:spacing w:val="0"/>
                <w:sz w:val="20"/>
                <w:szCs w:val="20"/>
                <w:highlight w:val="none"/>
              </w:rPr>
            </w:pPr>
            <w:r>
              <w:rPr>
                <w:rFonts w:hint="eastAsia" w:ascii="仿宋" w:hAnsi="仿宋" w:eastAsia="仿宋" w:cs="仿宋"/>
                <w:color w:val="auto"/>
                <w:spacing w:val="0"/>
                <w:sz w:val="20"/>
                <w:szCs w:val="20"/>
                <w:highlight w:val="none"/>
              </w:rPr>
              <w:t>(6)法律、法规和招标文件规定的其他无效情形</w:t>
            </w:r>
          </w:p>
        </w:tc>
      </w:tr>
    </w:tbl>
    <w:p w14:paraId="1A9C9952">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另：</w:t>
      </w:r>
      <w:r>
        <w:rPr>
          <w:rFonts w:hint="eastAsia" w:ascii="仿宋" w:hAnsi="仿宋" w:eastAsia="仿宋" w:cs="仿宋"/>
          <w:color w:val="auto"/>
          <w:spacing w:val="0"/>
          <w:sz w:val="24"/>
          <w:szCs w:val="24"/>
          <w:highlight w:val="none"/>
        </w:rPr>
        <w:t>落实政府采购政策需满足的资格要求：</w:t>
      </w:r>
    </w:p>
    <w:p w14:paraId="44F315D2">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（1）小微型企业价格扣除</w:t>
      </w:r>
    </w:p>
    <w:p w14:paraId="2DA1C583">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本项目专门面向中小微企业。根据《政府采购促进中小企业展暂行办法》 （财库【2020】46 号文）；财政部《关于进一步加大政府采购支持中小企业力度的通知》（财库 〔2022〕19 号）的规定执行；支持中小企业发展：给予小型、微型企业的价格给予10%-20%的扣除，用扣除后的价格参与评审，</w:t>
      </w:r>
      <w:r>
        <w:rPr>
          <w:rFonts w:hint="eastAsia" w:ascii="仿宋" w:hAnsi="仿宋" w:eastAsia="仿宋" w:cs="仿宋"/>
          <w:color w:val="auto"/>
          <w:spacing w:val="0"/>
          <w:sz w:val="24"/>
          <w:szCs w:val="24"/>
          <w:highlight w:val="none"/>
          <w:lang w:val="en-US" w:eastAsia="zh-CN"/>
        </w:rPr>
        <w:t>本项目专门面向中小微企业，无价格扣除</w:t>
      </w:r>
      <w:r>
        <w:rPr>
          <w:rFonts w:hint="eastAsia" w:ascii="仿宋" w:hAnsi="仿宋" w:eastAsia="仿宋" w:cs="仿宋"/>
          <w:color w:val="auto"/>
          <w:spacing w:val="0"/>
          <w:sz w:val="24"/>
          <w:szCs w:val="24"/>
          <w:highlight w:val="none"/>
        </w:rPr>
        <w:t>。(注：未按要求提供《中小企业声明函》的，均不给予价格扣除）依据《关于印发中小企业划型标准规定的通知》（工信部联企业〔2011〕300号）。《中小企业声明函》中所列行业与采购文件所明确的行业不一致但不改变划型结果的不影响声明有效性。</w:t>
      </w:r>
    </w:p>
    <w:p w14:paraId="5C03C698">
      <w:pPr>
        <w:keepNext w:val="0"/>
        <w:keepLines w:val="0"/>
        <w:pageBreakBefore w:val="0"/>
        <w:widowControl w:val="0"/>
        <w:kinsoku/>
        <w:wordWrap/>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pacing w:val="0"/>
          <w:highlight w:val="none"/>
        </w:rPr>
      </w:pPr>
    </w:p>
    <w:p w14:paraId="06EED64E">
      <w:pPr>
        <w:pStyle w:val="8"/>
        <w:keepNext w:val="0"/>
        <w:keepLines w:val="0"/>
        <w:pageBreakBefore w:val="0"/>
        <w:widowControl w:val="0"/>
        <w:wordWrap/>
        <w:overflowPunct/>
        <w:topLinePunct w:val="0"/>
        <w:bidi w:val="0"/>
        <w:spacing w:line="240" w:lineRule="auto"/>
        <w:rPr>
          <w:color w:val="auto"/>
          <w:spacing w:val="0"/>
          <w:highlight w:val="none"/>
        </w:rPr>
      </w:pPr>
      <w:r>
        <w:rPr>
          <w:rFonts w:hint="eastAsia" w:ascii="宋体" w:hAnsi="宋体" w:eastAsia="宋体" w:cs="宋体"/>
          <w:b/>
          <w:color w:val="auto"/>
          <w:spacing w:val="0"/>
          <w:sz w:val="21"/>
          <w:szCs w:val="21"/>
          <w:highlight w:val="none"/>
        </w:rPr>
        <w:br w:type="page"/>
      </w:r>
      <w:bookmarkEnd w:id="8"/>
    </w:p>
    <w:p w14:paraId="6D723FA4">
      <w:pPr>
        <w:pStyle w:val="8"/>
        <w:keepNext w:val="0"/>
        <w:keepLines w:val="0"/>
        <w:pageBreakBefore w:val="0"/>
        <w:widowControl w:val="0"/>
        <w:wordWrap/>
        <w:overflowPunct/>
        <w:topLinePunct w:val="0"/>
        <w:bidi w:val="0"/>
        <w:spacing w:line="240" w:lineRule="auto"/>
        <w:rPr>
          <w:color w:val="auto"/>
          <w:spacing w:val="0"/>
          <w:highlight w:val="none"/>
        </w:rPr>
      </w:pPr>
    </w:p>
    <w:p w14:paraId="08C7EBE8">
      <w:pPr>
        <w:pStyle w:val="8"/>
        <w:keepNext w:val="0"/>
        <w:keepLines w:val="0"/>
        <w:pageBreakBefore w:val="0"/>
        <w:widowControl w:val="0"/>
        <w:wordWrap/>
        <w:overflowPunct/>
        <w:topLinePunct w:val="0"/>
        <w:bidi w:val="0"/>
        <w:spacing w:line="240" w:lineRule="auto"/>
        <w:rPr>
          <w:color w:val="auto"/>
          <w:spacing w:val="0"/>
          <w:highlight w:val="none"/>
        </w:rPr>
      </w:pPr>
    </w:p>
    <w:p w14:paraId="309F445C">
      <w:pPr>
        <w:pStyle w:val="8"/>
        <w:keepNext w:val="0"/>
        <w:keepLines w:val="0"/>
        <w:pageBreakBefore w:val="0"/>
        <w:widowControl w:val="0"/>
        <w:wordWrap/>
        <w:overflowPunct/>
        <w:topLinePunct w:val="0"/>
        <w:bidi w:val="0"/>
        <w:spacing w:line="240" w:lineRule="auto"/>
        <w:rPr>
          <w:color w:val="auto"/>
          <w:spacing w:val="0"/>
          <w:highlight w:val="none"/>
        </w:rPr>
      </w:pPr>
    </w:p>
    <w:p w14:paraId="0B3183C2">
      <w:pPr>
        <w:pStyle w:val="8"/>
        <w:keepNext w:val="0"/>
        <w:keepLines w:val="0"/>
        <w:pageBreakBefore w:val="0"/>
        <w:widowControl w:val="0"/>
        <w:wordWrap/>
        <w:overflowPunct/>
        <w:topLinePunct w:val="0"/>
        <w:bidi w:val="0"/>
        <w:spacing w:line="240" w:lineRule="auto"/>
        <w:rPr>
          <w:color w:val="auto"/>
          <w:spacing w:val="0"/>
          <w:highlight w:val="none"/>
        </w:rPr>
      </w:pPr>
    </w:p>
    <w:p w14:paraId="5EA0AA9A">
      <w:pPr>
        <w:pStyle w:val="8"/>
        <w:keepNext w:val="0"/>
        <w:keepLines w:val="0"/>
        <w:pageBreakBefore w:val="0"/>
        <w:widowControl w:val="0"/>
        <w:wordWrap/>
        <w:overflowPunct/>
        <w:topLinePunct w:val="0"/>
        <w:bidi w:val="0"/>
        <w:spacing w:line="240" w:lineRule="auto"/>
        <w:rPr>
          <w:color w:val="auto"/>
          <w:spacing w:val="0"/>
          <w:highlight w:val="none"/>
        </w:rPr>
      </w:pPr>
    </w:p>
    <w:p w14:paraId="7DD09DF9">
      <w:pPr>
        <w:pStyle w:val="8"/>
        <w:keepNext w:val="0"/>
        <w:keepLines w:val="0"/>
        <w:pageBreakBefore w:val="0"/>
        <w:widowControl w:val="0"/>
        <w:wordWrap/>
        <w:overflowPunct/>
        <w:topLinePunct w:val="0"/>
        <w:bidi w:val="0"/>
        <w:spacing w:line="240" w:lineRule="auto"/>
        <w:rPr>
          <w:color w:val="auto"/>
          <w:spacing w:val="0"/>
          <w:highlight w:val="none"/>
        </w:rPr>
      </w:pPr>
    </w:p>
    <w:p w14:paraId="03A3B022">
      <w:pPr>
        <w:pStyle w:val="8"/>
        <w:keepNext w:val="0"/>
        <w:keepLines w:val="0"/>
        <w:pageBreakBefore w:val="0"/>
        <w:widowControl w:val="0"/>
        <w:wordWrap/>
        <w:overflowPunct/>
        <w:topLinePunct w:val="0"/>
        <w:bidi w:val="0"/>
        <w:spacing w:line="240" w:lineRule="auto"/>
        <w:rPr>
          <w:color w:val="auto"/>
          <w:spacing w:val="0"/>
          <w:highlight w:val="none"/>
        </w:rPr>
      </w:pPr>
    </w:p>
    <w:p w14:paraId="7D2676B6">
      <w:pPr>
        <w:pStyle w:val="8"/>
        <w:keepNext w:val="0"/>
        <w:keepLines w:val="0"/>
        <w:pageBreakBefore w:val="0"/>
        <w:widowControl w:val="0"/>
        <w:wordWrap/>
        <w:overflowPunct/>
        <w:topLinePunct w:val="0"/>
        <w:bidi w:val="0"/>
        <w:spacing w:line="240" w:lineRule="auto"/>
        <w:rPr>
          <w:color w:val="auto"/>
          <w:spacing w:val="0"/>
          <w:highlight w:val="none"/>
        </w:rPr>
      </w:pPr>
    </w:p>
    <w:p w14:paraId="0464908A">
      <w:pPr>
        <w:pStyle w:val="8"/>
        <w:keepNext w:val="0"/>
        <w:keepLines w:val="0"/>
        <w:pageBreakBefore w:val="0"/>
        <w:widowControl w:val="0"/>
        <w:wordWrap/>
        <w:overflowPunct/>
        <w:topLinePunct w:val="0"/>
        <w:bidi w:val="0"/>
        <w:spacing w:line="240" w:lineRule="auto"/>
        <w:rPr>
          <w:color w:val="auto"/>
          <w:spacing w:val="0"/>
          <w:highlight w:val="none"/>
        </w:rPr>
      </w:pPr>
    </w:p>
    <w:p w14:paraId="5F3D1F4E">
      <w:pPr>
        <w:pStyle w:val="8"/>
        <w:keepNext w:val="0"/>
        <w:keepLines w:val="0"/>
        <w:pageBreakBefore w:val="0"/>
        <w:widowControl w:val="0"/>
        <w:wordWrap/>
        <w:overflowPunct/>
        <w:topLinePunct w:val="0"/>
        <w:bidi w:val="0"/>
        <w:spacing w:line="240" w:lineRule="auto"/>
        <w:rPr>
          <w:color w:val="auto"/>
          <w:spacing w:val="0"/>
          <w:highlight w:val="none"/>
        </w:rPr>
      </w:pPr>
    </w:p>
    <w:p w14:paraId="7783FDBD">
      <w:pPr>
        <w:pStyle w:val="8"/>
        <w:keepNext w:val="0"/>
        <w:keepLines w:val="0"/>
        <w:pageBreakBefore w:val="0"/>
        <w:widowControl w:val="0"/>
        <w:wordWrap/>
        <w:overflowPunct/>
        <w:topLinePunct w:val="0"/>
        <w:bidi w:val="0"/>
        <w:spacing w:line="240" w:lineRule="auto"/>
        <w:rPr>
          <w:color w:val="auto"/>
          <w:spacing w:val="0"/>
          <w:highlight w:val="none"/>
        </w:rPr>
      </w:pPr>
    </w:p>
    <w:p w14:paraId="7D8CB570">
      <w:pPr>
        <w:pStyle w:val="8"/>
        <w:keepNext w:val="0"/>
        <w:keepLines w:val="0"/>
        <w:pageBreakBefore w:val="0"/>
        <w:widowControl w:val="0"/>
        <w:wordWrap/>
        <w:overflowPunct/>
        <w:topLinePunct w:val="0"/>
        <w:bidi w:val="0"/>
        <w:spacing w:line="240" w:lineRule="auto"/>
        <w:rPr>
          <w:color w:val="auto"/>
          <w:spacing w:val="0"/>
          <w:highlight w:val="none"/>
        </w:rPr>
      </w:pPr>
    </w:p>
    <w:p w14:paraId="19FF1A3B">
      <w:pPr>
        <w:pStyle w:val="8"/>
        <w:keepNext w:val="0"/>
        <w:keepLines w:val="0"/>
        <w:pageBreakBefore w:val="0"/>
        <w:widowControl w:val="0"/>
        <w:wordWrap/>
        <w:overflowPunct/>
        <w:topLinePunct w:val="0"/>
        <w:bidi w:val="0"/>
        <w:spacing w:line="240" w:lineRule="auto"/>
        <w:rPr>
          <w:color w:val="auto"/>
          <w:spacing w:val="0"/>
          <w:highlight w:val="none"/>
        </w:rPr>
      </w:pPr>
    </w:p>
    <w:p w14:paraId="0381B1B5">
      <w:pPr>
        <w:pStyle w:val="8"/>
        <w:keepNext w:val="0"/>
        <w:keepLines w:val="0"/>
        <w:pageBreakBefore w:val="0"/>
        <w:widowControl w:val="0"/>
        <w:wordWrap/>
        <w:overflowPunct/>
        <w:topLinePunct w:val="0"/>
        <w:bidi w:val="0"/>
        <w:spacing w:line="240" w:lineRule="auto"/>
        <w:rPr>
          <w:color w:val="auto"/>
          <w:spacing w:val="0"/>
          <w:highlight w:val="none"/>
        </w:rPr>
      </w:pPr>
    </w:p>
    <w:p w14:paraId="64797E80">
      <w:pPr>
        <w:pStyle w:val="8"/>
        <w:keepNext w:val="0"/>
        <w:keepLines w:val="0"/>
        <w:pageBreakBefore w:val="0"/>
        <w:widowControl w:val="0"/>
        <w:wordWrap/>
        <w:overflowPunct/>
        <w:topLinePunct w:val="0"/>
        <w:bidi w:val="0"/>
        <w:spacing w:line="240" w:lineRule="auto"/>
        <w:rPr>
          <w:color w:val="auto"/>
          <w:spacing w:val="0"/>
          <w:highlight w:val="none"/>
        </w:rPr>
      </w:pPr>
    </w:p>
    <w:p w14:paraId="3EBE5D45">
      <w:pPr>
        <w:pStyle w:val="8"/>
        <w:keepNext w:val="0"/>
        <w:keepLines w:val="0"/>
        <w:pageBreakBefore w:val="0"/>
        <w:widowControl w:val="0"/>
        <w:wordWrap/>
        <w:overflowPunct/>
        <w:topLinePunct w:val="0"/>
        <w:bidi w:val="0"/>
        <w:spacing w:line="240" w:lineRule="auto"/>
        <w:rPr>
          <w:color w:val="auto"/>
          <w:spacing w:val="0"/>
          <w:highlight w:val="none"/>
        </w:rPr>
      </w:pPr>
    </w:p>
    <w:p w14:paraId="0820FE1C">
      <w:pPr>
        <w:pStyle w:val="8"/>
        <w:keepNext w:val="0"/>
        <w:keepLines w:val="0"/>
        <w:pageBreakBefore w:val="0"/>
        <w:widowControl w:val="0"/>
        <w:wordWrap/>
        <w:overflowPunct/>
        <w:topLinePunct w:val="0"/>
        <w:bidi w:val="0"/>
        <w:spacing w:line="240" w:lineRule="auto"/>
        <w:rPr>
          <w:color w:val="auto"/>
          <w:spacing w:val="0"/>
          <w:highlight w:val="none"/>
        </w:rPr>
      </w:pPr>
    </w:p>
    <w:p w14:paraId="68964CF8">
      <w:pPr>
        <w:pStyle w:val="8"/>
        <w:keepNext w:val="0"/>
        <w:keepLines w:val="0"/>
        <w:pageBreakBefore w:val="0"/>
        <w:widowControl w:val="0"/>
        <w:wordWrap/>
        <w:overflowPunct/>
        <w:topLinePunct w:val="0"/>
        <w:bidi w:val="0"/>
        <w:spacing w:line="240" w:lineRule="auto"/>
        <w:rPr>
          <w:color w:val="auto"/>
          <w:spacing w:val="0"/>
          <w:highlight w:val="none"/>
        </w:rPr>
      </w:pPr>
    </w:p>
    <w:p w14:paraId="0BB90D7B">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2978572">
      <w:pPr>
        <w:keepNext w:val="0"/>
        <w:keepLines w:val="0"/>
        <w:pageBreakBefore w:val="0"/>
        <w:widowControl w:val="0"/>
        <w:wordWrap/>
        <w:overflowPunct/>
        <w:topLinePunct w:val="0"/>
        <w:bidi w:val="0"/>
        <w:spacing w:before="101" w:line="240" w:lineRule="auto"/>
        <w:ind w:left="1548"/>
        <w:outlineLvl w:val="0"/>
        <w:rPr>
          <w:rFonts w:hint="eastAsia" w:ascii="仿宋" w:hAnsi="仿宋" w:eastAsia="仿宋" w:cs="仿宋"/>
          <w:color w:val="auto"/>
          <w:spacing w:val="0"/>
          <w:sz w:val="31"/>
          <w:szCs w:val="31"/>
          <w:highlight w:val="none"/>
        </w:rPr>
      </w:pPr>
      <w:bookmarkStart w:id="9" w:name="bookmark4"/>
      <w:bookmarkEnd w:id="9"/>
      <w:r>
        <w:rPr>
          <w:rFonts w:hint="eastAsia" w:ascii="仿宋" w:hAnsi="仿宋" w:eastAsia="仿宋" w:cs="仿宋"/>
          <w:b/>
          <w:bCs/>
          <w:color w:val="auto"/>
          <w:spacing w:val="0"/>
          <w:sz w:val="31"/>
          <w:szCs w:val="31"/>
          <w:highlight w:val="none"/>
        </w:rPr>
        <w:t>第四章</w:t>
      </w:r>
      <w:r>
        <w:rPr>
          <w:rFonts w:hint="eastAsia" w:ascii="仿宋" w:hAnsi="仿宋" w:eastAsia="仿宋" w:cs="仿宋"/>
          <w:color w:val="auto"/>
          <w:spacing w:val="0"/>
          <w:sz w:val="31"/>
          <w:szCs w:val="31"/>
          <w:highlight w:val="none"/>
        </w:rPr>
        <w:t xml:space="preserve"> </w:t>
      </w:r>
      <w:r>
        <w:rPr>
          <w:rFonts w:hint="eastAsia" w:ascii="仿宋" w:hAnsi="仿宋" w:eastAsia="仿宋" w:cs="仿宋"/>
          <w:b/>
          <w:bCs/>
          <w:color w:val="auto"/>
          <w:spacing w:val="0"/>
          <w:sz w:val="31"/>
          <w:szCs w:val="31"/>
          <w:highlight w:val="none"/>
        </w:rPr>
        <w:t>合同格式及合同条款（仅供参考）</w:t>
      </w:r>
    </w:p>
    <w:p w14:paraId="29C4D50C">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B137D90">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7C4E0A1">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3268D6BD">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FAF96EF">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F4EE7F1">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AE7645A">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6A55248">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3B2313A3">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0CDCB34">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8"/>
          <w:szCs w:val="28"/>
          <w:highlight w:val="none"/>
        </w:rPr>
        <w:sectPr>
          <w:footerReference r:id="rId11" w:type="default"/>
          <w:pgSz w:w="11906" w:h="16839"/>
          <w:pgMar w:top="1440" w:right="1800" w:bottom="1440" w:left="1800" w:header="0" w:footer="845" w:gutter="0"/>
          <w:cols w:space="720" w:num="1"/>
        </w:sectPr>
      </w:pPr>
    </w:p>
    <w:p w14:paraId="416B13E7">
      <w:pPr>
        <w:keepNext w:val="0"/>
        <w:keepLines w:val="0"/>
        <w:pageBreakBefore w:val="0"/>
        <w:widowControl w:val="0"/>
        <w:wordWrap/>
        <w:overflowPunct/>
        <w:topLinePunct w:val="0"/>
        <w:bidi w:val="0"/>
        <w:spacing w:before="91" w:line="240" w:lineRule="auto"/>
        <w:ind w:left="158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政府采购合同参考范本（合同以实际签订为准）</w:t>
      </w:r>
    </w:p>
    <w:p w14:paraId="2C1C0CC5">
      <w:pPr>
        <w:pStyle w:val="47"/>
        <w:keepNext w:val="0"/>
        <w:keepLines w:val="0"/>
        <w:pageBreakBefore w:val="0"/>
        <w:widowControl w:val="0"/>
        <w:wordWrap/>
        <w:overflowPunct/>
        <w:topLinePunct w:val="0"/>
        <w:bidi w:val="0"/>
        <w:spacing w:line="240" w:lineRule="auto"/>
        <w:rPr>
          <w:rFonts w:hint="eastAsia"/>
          <w:color w:val="auto"/>
          <w:spacing w:val="0"/>
          <w:highlight w:val="none"/>
        </w:rPr>
      </w:pPr>
    </w:p>
    <w:p w14:paraId="32BC751D">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sz w:val="24"/>
          <w:highlight w:val="none"/>
        </w:rPr>
        <w:t>合同编号：</w:t>
      </w:r>
      <w:r>
        <w:rPr>
          <w:rFonts w:hint="eastAsia" w:ascii="仿宋" w:hAnsi="仿宋" w:eastAsia="仿宋" w:cs="仿宋"/>
          <w:color w:val="auto"/>
          <w:spacing w:val="0"/>
          <w:sz w:val="24"/>
          <w:highlight w:val="none"/>
          <w:u w:val="single"/>
        </w:rPr>
        <w:t xml:space="preserve">           </w:t>
      </w:r>
    </w:p>
    <w:p w14:paraId="2AD43BF3">
      <w:pPr>
        <w:keepNext w:val="0"/>
        <w:keepLines w:val="0"/>
        <w:pageBreakBefore w:val="0"/>
        <w:widowControl w:val="0"/>
        <w:wordWrap/>
        <w:overflowPunct/>
        <w:topLinePunct w:val="0"/>
        <w:bidi w:val="0"/>
        <w:spacing w:line="240" w:lineRule="auto"/>
        <w:jc w:val="center"/>
        <w:rPr>
          <w:rFonts w:hint="eastAsia" w:ascii="仿宋" w:hAnsi="仿宋" w:eastAsia="仿宋" w:cs="仿宋"/>
          <w:b/>
          <w:color w:val="auto"/>
          <w:spacing w:val="0"/>
          <w:sz w:val="28"/>
          <w:szCs w:val="28"/>
          <w:highlight w:val="none"/>
        </w:rPr>
      </w:pPr>
    </w:p>
    <w:p w14:paraId="66B9E121">
      <w:pPr>
        <w:keepNext w:val="0"/>
        <w:keepLines w:val="0"/>
        <w:pageBreakBefore w:val="0"/>
        <w:widowControl w:val="0"/>
        <w:wordWrap/>
        <w:overflowPunct/>
        <w:topLinePunct w:val="0"/>
        <w:bidi w:val="0"/>
        <w:spacing w:line="240" w:lineRule="auto"/>
        <w:jc w:val="center"/>
        <w:rPr>
          <w:rFonts w:hint="eastAsia" w:ascii="仿宋" w:hAnsi="仿宋" w:eastAsia="仿宋" w:cs="仿宋"/>
          <w:b/>
          <w:color w:val="auto"/>
          <w:spacing w:val="0"/>
          <w:sz w:val="28"/>
          <w:szCs w:val="28"/>
          <w:highlight w:val="none"/>
        </w:rPr>
      </w:pPr>
    </w:p>
    <w:p w14:paraId="6B29031B">
      <w:pPr>
        <w:keepNext w:val="0"/>
        <w:keepLines w:val="0"/>
        <w:pageBreakBefore w:val="0"/>
        <w:widowControl w:val="0"/>
        <w:wordWrap/>
        <w:overflowPunct/>
        <w:topLinePunct w:val="0"/>
        <w:bidi w:val="0"/>
        <w:spacing w:line="240" w:lineRule="auto"/>
        <w:jc w:val="center"/>
        <w:rPr>
          <w:rFonts w:hint="eastAsia" w:ascii="仿宋" w:hAnsi="仿宋" w:eastAsia="仿宋" w:cs="仿宋"/>
          <w:b/>
          <w:color w:val="auto"/>
          <w:spacing w:val="0"/>
          <w:sz w:val="28"/>
          <w:szCs w:val="28"/>
          <w:highlight w:val="none"/>
        </w:rPr>
      </w:pPr>
    </w:p>
    <w:p w14:paraId="3C2392EB">
      <w:pPr>
        <w:keepNext w:val="0"/>
        <w:keepLines w:val="0"/>
        <w:pageBreakBefore w:val="0"/>
        <w:widowControl w:val="0"/>
        <w:wordWrap/>
        <w:overflowPunct/>
        <w:topLinePunct w:val="0"/>
        <w:bidi w:val="0"/>
        <w:spacing w:line="240" w:lineRule="auto"/>
        <w:jc w:val="center"/>
        <w:rPr>
          <w:rFonts w:hint="eastAsia" w:ascii="仿宋" w:hAnsi="仿宋" w:eastAsia="仿宋" w:cs="仿宋"/>
          <w:b/>
          <w:color w:val="auto"/>
          <w:spacing w:val="0"/>
          <w:sz w:val="44"/>
          <w:szCs w:val="44"/>
          <w:highlight w:val="none"/>
        </w:rPr>
      </w:pPr>
      <w:r>
        <w:rPr>
          <w:rFonts w:hint="eastAsia" w:ascii="仿宋" w:hAnsi="仿宋" w:eastAsia="仿宋" w:cs="仿宋"/>
          <w:b/>
          <w:color w:val="auto"/>
          <w:spacing w:val="0"/>
          <w:sz w:val="44"/>
          <w:szCs w:val="44"/>
          <w:highlight w:val="none"/>
        </w:rPr>
        <w:t>政府采购合同参考范本</w:t>
      </w:r>
    </w:p>
    <w:p w14:paraId="233E3305">
      <w:pPr>
        <w:keepNext w:val="0"/>
        <w:keepLines w:val="0"/>
        <w:pageBreakBefore w:val="0"/>
        <w:widowControl w:val="0"/>
        <w:wordWrap/>
        <w:overflowPunct/>
        <w:topLinePunct w:val="0"/>
        <w:bidi w:val="0"/>
        <w:spacing w:line="240" w:lineRule="auto"/>
        <w:jc w:val="center"/>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（服务类）</w:t>
      </w:r>
    </w:p>
    <w:p w14:paraId="4F8D432F">
      <w:pPr>
        <w:pStyle w:val="48"/>
        <w:keepNext w:val="0"/>
        <w:keepLines w:val="0"/>
        <w:pageBreakBefore w:val="0"/>
        <w:widowControl w:val="0"/>
        <w:wordWrap/>
        <w:overflowPunct/>
        <w:topLinePunct w:val="0"/>
        <w:bidi w:val="0"/>
        <w:spacing w:line="240" w:lineRule="auto"/>
        <w:ind w:firstLine="0"/>
        <w:rPr>
          <w:rFonts w:hint="eastAsia" w:ascii="仿宋" w:hAnsi="仿宋" w:eastAsia="仿宋" w:cs="仿宋"/>
          <w:color w:val="auto"/>
          <w:spacing w:val="0"/>
          <w:szCs w:val="24"/>
          <w:highlight w:val="none"/>
        </w:rPr>
      </w:pPr>
    </w:p>
    <w:p w14:paraId="2C8FEE8D">
      <w:pPr>
        <w:pStyle w:val="48"/>
        <w:keepNext w:val="0"/>
        <w:keepLines w:val="0"/>
        <w:pageBreakBefore w:val="0"/>
        <w:widowControl w:val="0"/>
        <w:wordWrap/>
        <w:overflowPunct/>
        <w:topLinePunct w:val="0"/>
        <w:bidi w:val="0"/>
        <w:spacing w:line="240" w:lineRule="auto"/>
        <w:ind w:firstLine="0"/>
        <w:rPr>
          <w:rFonts w:hint="eastAsia" w:ascii="仿宋" w:hAnsi="仿宋" w:eastAsia="仿宋" w:cs="仿宋"/>
          <w:color w:val="auto"/>
          <w:spacing w:val="0"/>
          <w:szCs w:val="24"/>
          <w:highlight w:val="none"/>
        </w:rPr>
      </w:pPr>
    </w:p>
    <w:p w14:paraId="30DB8A24">
      <w:pPr>
        <w:pStyle w:val="48"/>
        <w:keepNext w:val="0"/>
        <w:keepLines w:val="0"/>
        <w:pageBreakBefore w:val="0"/>
        <w:widowControl w:val="0"/>
        <w:wordWrap/>
        <w:overflowPunct/>
        <w:topLinePunct w:val="0"/>
        <w:bidi w:val="0"/>
        <w:spacing w:line="240" w:lineRule="auto"/>
        <w:ind w:firstLine="0"/>
        <w:rPr>
          <w:rFonts w:hint="eastAsia" w:ascii="仿宋" w:hAnsi="仿宋" w:eastAsia="仿宋" w:cs="仿宋"/>
          <w:color w:val="auto"/>
          <w:spacing w:val="0"/>
          <w:szCs w:val="24"/>
          <w:highlight w:val="none"/>
        </w:rPr>
      </w:pPr>
    </w:p>
    <w:p w14:paraId="79FEAA6E">
      <w:pPr>
        <w:pStyle w:val="48"/>
        <w:keepNext w:val="0"/>
        <w:keepLines w:val="0"/>
        <w:pageBreakBefore w:val="0"/>
        <w:widowControl w:val="0"/>
        <w:wordWrap/>
        <w:overflowPunct/>
        <w:topLinePunct w:val="0"/>
        <w:bidi w:val="0"/>
        <w:spacing w:line="240" w:lineRule="auto"/>
        <w:ind w:firstLine="0"/>
        <w:jc w:val="center"/>
        <w:rPr>
          <w:rFonts w:hint="eastAsia" w:ascii="仿宋" w:hAnsi="仿宋" w:eastAsia="仿宋" w:cs="仿宋"/>
          <w:b/>
          <w:color w:val="auto"/>
          <w:spacing w:val="0"/>
          <w:szCs w:val="24"/>
          <w:highlight w:val="none"/>
        </w:rPr>
      </w:pPr>
      <w:r>
        <w:rPr>
          <w:rFonts w:hint="eastAsia" w:ascii="仿宋" w:hAnsi="仿宋" w:eastAsia="仿宋" w:cs="仿宋"/>
          <w:b/>
          <w:color w:val="auto"/>
          <w:spacing w:val="0"/>
          <w:szCs w:val="24"/>
          <w:highlight w:val="none"/>
        </w:rPr>
        <w:t>第一部分 合同书</w:t>
      </w:r>
    </w:p>
    <w:p w14:paraId="29096D5A">
      <w:pPr>
        <w:pStyle w:val="48"/>
        <w:keepNext w:val="0"/>
        <w:keepLines w:val="0"/>
        <w:pageBreakBefore w:val="0"/>
        <w:widowControl w:val="0"/>
        <w:wordWrap/>
        <w:overflowPunct/>
        <w:topLinePunct w:val="0"/>
        <w:bidi w:val="0"/>
        <w:spacing w:line="240" w:lineRule="auto"/>
        <w:ind w:firstLine="0"/>
        <w:rPr>
          <w:rFonts w:hint="eastAsia" w:ascii="仿宋" w:hAnsi="仿宋" w:eastAsia="仿宋" w:cs="仿宋"/>
          <w:color w:val="auto"/>
          <w:spacing w:val="0"/>
          <w:szCs w:val="24"/>
          <w:highlight w:val="none"/>
        </w:rPr>
      </w:pPr>
    </w:p>
    <w:p w14:paraId="544AAF4C">
      <w:pPr>
        <w:pStyle w:val="48"/>
        <w:keepNext w:val="0"/>
        <w:keepLines w:val="0"/>
        <w:pageBreakBefore w:val="0"/>
        <w:widowControl w:val="0"/>
        <w:wordWrap/>
        <w:overflowPunct/>
        <w:topLinePunct w:val="0"/>
        <w:bidi w:val="0"/>
        <w:spacing w:line="240" w:lineRule="auto"/>
        <w:ind w:firstLine="0"/>
        <w:rPr>
          <w:rFonts w:hint="eastAsia" w:ascii="仿宋" w:hAnsi="仿宋" w:eastAsia="仿宋" w:cs="仿宋"/>
          <w:color w:val="auto"/>
          <w:spacing w:val="0"/>
          <w:szCs w:val="24"/>
          <w:highlight w:val="none"/>
        </w:rPr>
      </w:pPr>
    </w:p>
    <w:p w14:paraId="2EC55739">
      <w:pPr>
        <w:keepNext w:val="0"/>
        <w:keepLines w:val="0"/>
        <w:pageBreakBefore w:val="0"/>
        <w:widowControl w:val="0"/>
        <w:wordWrap/>
        <w:overflowPunct/>
        <w:topLinePunct w:val="0"/>
        <w:bidi w:val="0"/>
        <w:spacing w:before="120" w:line="240" w:lineRule="auto"/>
        <w:rPr>
          <w:rFonts w:hint="eastAsia" w:ascii="仿宋" w:hAnsi="仿宋" w:eastAsia="仿宋" w:cs="仿宋"/>
          <w:color w:val="auto"/>
          <w:spacing w:val="0"/>
          <w:sz w:val="24"/>
          <w:highlight w:val="none"/>
        </w:rPr>
      </w:pPr>
    </w:p>
    <w:p w14:paraId="371543DB">
      <w:pPr>
        <w:keepNext w:val="0"/>
        <w:keepLines w:val="0"/>
        <w:pageBreakBefore w:val="0"/>
        <w:widowControl w:val="0"/>
        <w:wordWrap/>
        <w:overflowPunct/>
        <w:topLinePunct w:val="0"/>
        <w:bidi w:val="0"/>
        <w:spacing w:before="120" w:line="240" w:lineRule="auto"/>
        <w:ind w:left="96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项目名称：</w:t>
      </w:r>
      <w:r>
        <w:rPr>
          <w:rFonts w:hint="eastAsia" w:ascii="仿宋" w:hAnsi="仿宋" w:eastAsia="仿宋" w:cs="仿宋"/>
          <w:color w:val="auto"/>
          <w:spacing w:val="0"/>
          <w:sz w:val="24"/>
          <w:highlight w:val="none"/>
          <w:u w:val="single"/>
        </w:rPr>
        <w:t xml:space="preserve">                                   </w:t>
      </w:r>
    </w:p>
    <w:p w14:paraId="16BB9570">
      <w:pPr>
        <w:pStyle w:val="49"/>
        <w:keepNext w:val="0"/>
        <w:keepLines w:val="0"/>
        <w:pageBreakBefore w:val="0"/>
        <w:widowControl w:val="0"/>
        <w:wordWrap/>
        <w:overflowPunct/>
        <w:topLinePunct w:val="0"/>
        <w:bidi w:val="0"/>
        <w:spacing w:before="120" w:line="240" w:lineRule="auto"/>
        <w:rPr>
          <w:rFonts w:hint="eastAsia" w:ascii="仿宋" w:hAnsi="仿宋" w:eastAsia="仿宋" w:cs="仿宋"/>
          <w:color w:val="auto"/>
          <w:spacing w:val="0"/>
          <w:szCs w:val="24"/>
          <w:highlight w:val="none"/>
        </w:rPr>
      </w:pPr>
    </w:p>
    <w:p w14:paraId="27DA41D6">
      <w:pPr>
        <w:pStyle w:val="49"/>
        <w:keepNext w:val="0"/>
        <w:keepLines w:val="0"/>
        <w:pageBreakBefore w:val="0"/>
        <w:widowControl w:val="0"/>
        <w:wordWrap/>
        <w:overflowPunct/>
        <w:topLinePunct w:val="0"/>
        <w:bidi w:val="0"/>
        <w:spacing w:before="120" w:line="240" w:lineRule="auto"/>
        <w:rPr>
          <w:rFonts w:hint="eastAsia" w:ascii="仿宋" w:hAnsi="仿宋" w:eastAsia="仿宋" w:cs="仿宋"/>
          <w:color w:val="auto"/>
          <w:spacing w:val="0"/>
          <w:szCs w:val="24"/>
          <w:highlight w:val="none"/>
        </w:rPr>
      </w:pPr>
    </w:p>
    <w:p w14:paraId="461B80D6">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03CB3FA">
      <w:pPr>
        <w:keepNext w:val="0"/>
        <w:keepLines w:val="0"/>
        <w:pageBreakBefore w:val="0"/>
        <w:widowControl w:val="0"/>
        <w:wordWrap/>
        <w:overflowPunct/>
        <w:topLinePunct w:val="0"/>
        <w:bidi w:val="0"/>
        <w:spacing w:before="120" w:line="240" w:lineRule="auto"/>
        <w:ind w:left="960"/>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sz w:val="24"/>
          <w:highlight w:val="none"/>
        </w:rPr>
        <w:t>甲方：</w:t>
      </w:r>
      <w:r>
        <w:rPr>
          <w:rFonts w:hint="eastAsia" w:ascii="仿宋" w:hAnsi="仿宋" w:eastAsia="仿宋" w:cs="仿宋"/>
          <w:color w:val="auto"/>
          <w:spacing w:val="0"/>
          <w:sz w:val="24"/>
          <w:highlight w:val="none"/>
          <w:u w:val="single"/>
        </w:rPr>
        <w:t xml:space="preserve">                                       </w:t>
      </w:r>
    </w:p>
    <w:p w14:paraId="645C605D">
      <w:pPr>
        <w:keepNext w:val="0"/>
        <w:keepLines w:val="0"/>
        <w:pageBreakBefore w:val="0"/>
        <w:widowControl w:val="0"/>
        <w:wordWrap/>
        <w:overflowPunct/>
        <w:topLinePunct w:val="0"/>
        <w:bidi w:val="0"/>
        <w:spacing w:before="120" w:line="240" w:lineRule="auto"/>
        <w:rPr>
          <w:rFonts w:hint="eastAsia" w:ascii="仿宋" w:hAnsi="仿宋" w:eastAsia="仿宋" w:cs="仿宋"/>
          <w:color w:val="auto"/>
          <w:spacing w:val="0"/>
          <w:sz w:val="24"/>
          <w:highlight w:val="none"/>
        </w:rPr>
      </w:pPr>
    </w:p>
    <w:p w14:paraId="620EEBD9">
      <w:pPr>
        <w:keepNext w:val="0"/>
        <w:keepLines w:val="0"/>
        <w:pageBreakBefore w:val="0"/>
        <w:widowControl w:val="0"/>
        <w:wordWrap/>
        <w:overflowPunct/>
        <w:topLinePunct w:val="0"/>
        <w:bidi w:val="0"/>
        <w:spacing w:before="120" w:line="240" w:lineRule="auto"/>
        <w:ind w:left="960"/>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sz w:val="24"/>
          <w:highlight w:val="none"/>
        </w:rPr>
        <w:t>乙方：</w:t>
      </w:r>
      <w:r>
        <w:rPr>
          <w:rFonts w:hint="eastAsia" w:ascii="仿宋" w:hAnsi="仿宋" w:eastAsia="仿宋" w:cs="仿宋"/>
          <w:color w:val="auto"/>
          <w:spacing w:val="0"/>
          <w:sz w:val="24"/>
          <w:highlight w:val="none"/>
          <w:u w:val="single"/>
        </w:rPr>
        <w:t xml:space="preserve">                                       </w:t>
      </w:r>
    </w:p>
    <w:p w14:paraId="1B0D97F7">
      <w:pPr>
        <w:keepNext w:val="0"/>
        <w:keepLines w:val="0"/>
        <w:pageBreakBefore w:val="0"/>
        <w:widowControl w:val="0"/>
        <w:wordWrap/>
        <w:overflowPunct/>
        <w:topLinePunct w:val="0"/>
        <w:bidi w:val="0"/>
        <w:spacing w:before="120" w:line="240" w:lineRule="auto"/>
        <w:rPr>
          <w:rFonts w:hint="eastAsia" w:ascii="仿宋" w:hAnsi="仿宋" w:eastAsia="仿宋" w:cs="仿宋"/>
          <w:color w:val="auto"/>
          <w:spacing w:val="0"/>
          <w:sz w:val="24"/>
          <w:highlight w:val="none"/>
        </w:rPr>
      </w:pPr>
    </w:p>
    <w:p w14:paraId="73B27863">
      <w:pPr>
        <w:keepNext w:val="0"/>
        <w:keepLines w:val="0"/>
        <w:pageBreakBefore w:val="0"/>
        <w:widowControl w:val="0"/>
        <w:wordWrap/>
        <w:overflowPunct/>
        <w:topLinePunct w:val="0"/>
        <w:bidi w:val="0"/>
        <w:spacing w:before="120" w:line="240" w:lineRule="auto"/>
        <w:ind w:firstLine="960" w:firstLineChars="400"/>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sz w:val="24"/>
          <w:highlight w:val="none"/>
        </w:rPr>
        <w:t>签订地：</w:t>
      </w:r>
      <w:r>
        <w:rPr>
          <w:rFonts w:hint="eastAsia" w:ascii="仿宋" w:hAnsi="仿宋" w:eastAsia="仿宋" w:cs="仿宋"/>
          <w:color w:val="auto"/>
          <w:spacing w:val="0"/>
          <w:sz w:val="24"/>
          <w:highlight w:val="none"/>
          <w:u w:val="single"/>
        </w:rPr>
        <w:t xml:space="preserve">                                     </w:t>
      </w:r>
    </w:p>
    <w:p w14:paraId="3B24C8F9">
      <w:pPr>
        <w:keepNext w:val="0"/>
        <w:keepLines w:val="0"/>
        <w:pageBreakBefore w:val="0"/>
        <w:widowControl w:val="0"/>
        <w:wordWrap/>
        <w:overflowPunct/>
        <w:topLinePunct w:val="0"/>
        <w:bidi w:val="0"/>
        <w:spacing w:before="120" w:line="240" w:lineRule="auto"/>
        <w:rPr>
          <w:rFonts w:hint="eastAsia" w:ascii="仿宋" w:hAnsi="仿宋" w:eastAsia="仿宋" w:cs="仿宋"/>
          <w:color w:val="auto"/>
          <w:spacing w:val="0"/>
          <w:sz w:val="24"/>
          <w:highlight w:val="none"/>
        </w:rPr>
      </w:pPr>
    </w:p>
    <w:p w14:paraId="0817BFC1">
      <w:pPr>
        <w:keepNext w:val="0"/>
        <w:keepLines w:val="0"/>
        <w:pageBreakBefore w:val="0"/>
        <w:widowControl w:val="0"/>
        <w:wordWrap/>
        <w:overflowPunct/>
        <w:topLinePunct w:val="0"/>
        <w:bidi w:val="0"/>
        <w:spacing w:before="120" w:line="240" w:lineRule="auto"/>
        <w:ind w:firstLine="960" w:firstLineChars="400"/>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sz w:val="24"/>
          <w:highlight w:val="none"/>
        </w:rPr>
        <w:t>签订日期：</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年</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月</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日</w:t>
      </w:r>
    </w:p>
    <w:p w14:paraId="005B8558">
      <w:pPr>
        <w:keepNext w:val="0"/>
        <w:keepLines w:val="0"/>
        <w:pageBreakBefore w:val="0"/>
        <w:widowControl w:val="0"/>
        <w:wordWrap/>
        <w:overflowPunct/>
        <w:topLinePunct w:val="0"/>
        <w:autoSpaceDE w:val="0"/>
        <w:autoSpaceDN w:val="0"/>
        <w:bidi w:val="0"/>
        <w:adjustRightInd w:val="0"/>
        <w:spacing w:line="240" w:lineRule="auto"/>
        <w:ind w:firstLine="640"/>
        <w:jc w:val="center"/>
        <w:rPr>
          <w:rFonts w:hint="eastAsia" w:ascii="仿宋" w:hAnsi="仿宋" w:eastAsia="仿宋" w:cs="仿宋"/>
          <w:color w:val="auto"/>
          <w:spacing w:val="0"/>
          <w:sz w:val="24"/>
          <w:highlight w:val="none"/>
        </w:rPr>
        <w:sectPr>
          <w:footerReference r:id="rId12" w:type="default"/>
          <w:pgSz w:w="11907" w:h="16840"/>
          <w:pgMar w:top="1474" w:right="1814" w:bottom="1474" w:left="1814" w:header="851" w:footer="851" w:gutter="0"/>
          <w:pgNumType w:fmt="decimal"/>
          <w:cols w:space="720" w:num="1"/>
          <w:docGrid w:linePitch="462" w:charSpace="0"/>
        </w:sectPr>
      </w:pPr>
    </w:p>
    <w:p w14:paraId="24D048AB">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u w:val="single"/>
          <w:lang w:val="zh-CN"/>
        </w:rPr>
        <w:t xml:space="preserve">        </w:t>
      </w:r>
      <w:r>
        <w:rPr>
          <w:rFonts w:hint="eastAsia" w:ascii="仿宋" w:hAnsi="仿宋" w:eastAsia="仿宋" w:cs="仿宋"/>
          <w:color w:val="auto"/>
          <w:spacing w:val="0"/>
          <w:sz w:val="24"/>
          <w:highlight w:val="none"/>
          <w:lang w:val="zh-CN"/>
        </w:rPr>
        <w:t>年</w:t>
      </w:r>
      <w:r>
        <w:rPr>
          <w:rFonts w:hint="eastAsia" w:ascii="仿宋" w:hAnsi="仿宋" w:eastAsia="仿宋" w:cs="仿宋"/>
          <w:color w:val="auto"/>
          <w:spacing w:val="0"/>
          <w:sz w:val="24"/>
          <w:highlight w:val="none"/>
          <w:u w:val="single"/>
          <w:lang w:val="zh-CN"/>
        </w:rPr>
        <w:t xml:space="preserve">    </w:t>
      </w:r>
      <w:r>
        <w:rPr>
          <w:rFonts w:hint="eastAsia" w:ascii="仿宋" w:hAnsi="仿宋" w:eastAsia="仿宋" w:cs="仿宋"/>
          <w:color w:val="auto"/>
          <w:spacing w:val="0"/>
          <w:sz w:val="24"/>
          <w:highlight w:val="none"/>
          <w:lang w:val="zh-CN"/>
        </w:rPr>
        <w:t>月</w:t>
      </w:r>
      <w:r>
        <w:rPr>
          <w:rFonts w:hint="eastAsia" w:ascii="仿宋" w:hAnsi="仿宋" w:eastAsia="仿宋" w:cs="仿宋"/>
          <w:color w:val="auto"/>
          <w:spacing w:val="0"/>
          <w:sz w:val="24"/>
          <w:highlight w:val="none"/>
          <w:u w:val="single"/>
          <w:lang w:val="zh-CN"/>
        </w:rPr>
        <w:t xml:space="preserve">    </w:t>
      </w:r>
      <w:r>
        <w:rPr>
          <w:rFonts w:hint="eastAsia" w:ascii="仿宋" w:hAnsi="仿宋" w:eastAsia="仿宋" w:cs="仿宋"/>
          <w:color w:val="auto"/>
          <w:spacing w:val="0"/>
          <w:sz w:val="24"/>
          <w:highlight w:val="none"/>
          <w:lang w:val="zh-CN"/>
        </w:rPr>
        <w:t>日</w:t>
      </w:r>
      <w:r>
        <w:rPr>
          <w:rFonts w:hint="eastAsia" w:ascii="仿宋" w:hAnsi="仿宋" w:eastAsia="仿宋" w:cs="仿宋"/>
          <w:color w:val="auto"/>
          <w:spacing w:val="0"/>
          <w:sz w:val="24"/>
          <w:highlight w:val="none"/>
        </w:rPr>
        <w:t>，</w:t>
      </w:r>
      <w:r>
        <w:rPr>
          <w:rFonts w:hint="eastAsia" w:ascii="仿宋" w:hAnsi="仿宋" w:eastAsia="仿宋" w:cs="仿宋"/>
          <w:color w:val="auto"/>
          <w:spacing w:val="0"/>
          <w:sz w:val="24"/>
          <w:highlight w:val="none"/>
          <w:u w:val="single"/>
        </w:rPr>
        <w:t xml:space="preserve">   （采购人名称）   </w:t>
      </w:r>
      <w:r>
        <w:rPr>
          <w:rFonts w:hint="eastAsia" w:ascii="仿宋" w:hAnsi="仿宋" w:eastAsia="仿宋" w:cs="仿宋"/>
          <w:color w:val="auto"/>
          <w:spacing w:val="0"/>
          <w:sz w:val="24"/>
          <w:highlight w:val="none"/>
        </w:rPr>
        <w:t>以</w:t>
      </w:r>
      <w:r>
        <w:rPr>
          <w:rFonts w:hint="eastAsia" w:ascii="仿宋" w:hAnsi="仿宋" w:eastAsia="仿宋" w:cs="仿宋"/>
          <w:color w:val="auto"/>
          <w:spacing w:val="0"/>
          <w:sz w:val="24"/>
          <w:highlight w:val="none"/>
          <w:u w:val="single"/>
        </w:rPr>
        <w:t xml:space="preserve">   （政府采购方式）  </w:t>
      </w:r>
      <w:r>
        <w:rPr>
          <w:rFonts w:hint="eastAsia" w:ascii="仿宋" w:hAnsi="仿宋" w:eastAsia="仿宋" w:cs="仿宋"/>
          <w:color w:val="auto"/>
          <w:spacing w:val="0"/>
          <w:sz w:val="24"/>
          <w:highlight w:val="none"/>
        </w:rPr>
        <w:t>对</w:t>
      </w:r>
      <w:r>
        <w:rPr>
          <w:rFonts w:hint="eastAsia" w:ascii="仿宋" w:hAnsi="仿宋" w:eastAsia="仿宋" w:cs="仿宋"/>
          <w:color w:val="auto"/>
          <w:spacing w:val="0"/>
          <w:sz w:val="24"/>
          <w:highlight w:val="none"/>
          <w:u w:val="single"/>
        </w:rPr>
        <w:t xml:space="preserve">   （同前页项目名称）   </w:t>
      </w:r>
      <w:r>
        <w:rPr>
          <w:rFonts w:hint="eastAsia" w:ascii="仿宋" w:hAnsi="仿宋" w:eastAsia="仿宋" w:cs="仿宋"/>
          <w:color w:val="auto"/>
          <w:spacing w:val="0"/>
          <w:sz w:val="24"/>
          <w:highlight w:val="none"/>
        </w:rPr>
        <w:t>项目进行了采购。经</w:t>
      </w:r>
      <w:r>
        <w:rPr>
          <w:rFonts w:hint="eastAsia" w:ascii="仿宋" w:hAnsi="仿宋" w:eastAsia="仿宋" w:cs="仿宋"/>
          <w:color w:val="auto"/>
          <w:spacing w:val="0"/>
          <w:sz w:val="24"/>
          <w:highlight w:val="none"/>
          <w:u w:val="single"/>
        </w:rPr>
        <w:t xml:space="preserve">   （相关评定主体名称）   </w:t>
      </w:r>
      <w:r>
        <w:rPr>
          <w:rFonts w:hint="eastAsia" w:ascii="仿宋" w:hAnsi="仿宋" w:eastAsia="仿宋" w:cs="仿宋"/>
          <w:color w:val="auto"/>
          <w:spacing w:val="0"/>
          <w:sz w:val="24"/>
          <w:highlight w:val="none"/>
        </w:rPr>
        <w:t>评定，</w:t>
      </w:r>
      <w:r>
        <w:rPr>
          <w:rFonts w:hint="eastAsia" w:ascii="仿宋" w:hAnsi="仿宋" w:eastAsia="仿宋" w:cs="仿宋"/>
          <w:color w:val="auto"/>
          <w:spacing w:val="0"/>
          <w:sz w:val="24"/>
          <w:highlight w:val="none"/>
          <w:u w:val="single"/>
        </w:rPr>
        <w:t xml:space="preserve">   （中标供应商名称） </w:t>
      </w:r>
      <w:r>
        <w:rPr>
          <w:rFonts w:hint="eastAsia" w:ascii="仿宋" w:hAnsi="仿宋" w:eastAsia="仿宋" w:cs="仿宋"/>
          <w:color w:val="auto"/>
          <w:spacing w:val="0"/>
          <w:sz w:val="24"/>
          <w:highlight w:val="none"/>
        </w:rPr>
        <w:t>为该项目中标供应商。现于中标通知书发出之日起三十日内，按照采购文件确定的事项签订本合同。</w:t>
      </w:r>
    </w:p>
    <w:p w14:paraId="3C135B0A">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pacing w:val="0"/>
          <w:sz w:val="24"/>
          <w:highlight w:val="none"/>
          <w:u w:val="single"/>
        </w:rPr>
        <w:t xml:space="preserve">   （采购人名称）   </w:t>
      </w:r>
      <w:r>
        <w:rPr>
          <w:rFonts w:hint="eastAsia" w:ascii="仿宋" w:hAnsi="仿宋" w:eastAsia="仿宋" w:cs="仿宋"/>
          <w:color w:val="auto"/>
          <w:spacing w:val="0"/>
          <w:sz w:val="24"/>
          <w:highlight w:val="none"/>
          <w:lang w:val="zh-CN"/>
        </w:rPr>
        <w:t>(以下简称：甲方)和</w:t>
      </w:r>
      <w:r>
        <w:rPr>
          <w:rFonts w:hint="eastAsia" w:ascii="仿宋" w:hAnsi="仿宋" w:eastAsia="仿宋" w:cs="仿宋"/>
          <w:color w:val="auto"/>
          <w:spacing w:val="0"/>
          <w:sz w:val="24"/>
          <w:highlight w:val="none"/>
          <w:u w:val="single"/>
        </w:rPr>
        <w:t xml:space="preserve">   （中标供应商名称）   </w:t>
      </w:r>
      <w:r>
        <w:rPr>
          <w:rFonts w:hint="eastAsia" w:ascii="仿宋" w:hAnsi="仿宋" w:eastAsia="仿宋" w:cs="仿宋"/>
          <w:color w:val="auto"/>
          <w:spacing w:val="0"/>
          <w:sz w:val="24"/>
          <w:highlight w:val="none"/>
          <w:lang w:val="zh-CN"/>
        </w:rPr>
        <w:t>(以下简称：乙方)协商一致，约定以下合同</w:t>
      </w:r>
      <w:r>
        <w:rPr>
          <w:rFonts w:hint="eastAsia" w:ascii="仿宋" w:hAnsi="仿宋" w:eastAsia="仿宋" w:cs="仿宋"/>
          <w:color w:val="auto"/>
          <w:spacing w:val="0"/>
          <w:sz w:val="24"/>
          <w:highlight w:val="none"/>
        </w:rPr>
        <w:t>条款，以兹共同遵守、全面履行。</w:t>
      </w:r>
    </w:p>
    <w:p w14:paraId="283476F4">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color w:val="auto"/>
          <w:spacing w:val="0"/>
          <w:sz w:val="24"/>
          <w:highlight w:val="none"/>
        </w:rPr>
      </w:pPr>
      <w:bookmarkStart w:id="10" w:name="_Toc22967"/>
      <w:bookmarkStart w:id="11" w:name="_Toc20421"/>
      <w:bookmarkStart w:id="12" w:name="_Toc28855"/>
      <w:bookmarkStart w:id="13" w:name="_Toc15367"/>
      <w:bookmarkStart w:id="14" w:name="_Toc19273"/>
      <w:r>
        <w:rPr>
          <w:rFonts w:hint="eastAsia" w:ascii="仿宋" w:hAnsi="仿宋" w:eastAsia="仿宋" w:cs="仿宋"/>
          <w:b/>
          <w:color w:val="auto"/>
          <w:spacing w:val="0"/>
          <w:sz w:val="24"/>
          <w:highlight w:val="none"/>
        </w:rPr>
        <w:t>1.1 合同组成部分</w:t>
      </w:r>
      <w:bookmarkEnd w:id="10"/>
      <w:bookmarkEnd w:id="11"/>
      <w:bookmarkEnd w:id="12"/>
      <w:bookmarkEnd w:id="13"/>
      <w:bookmarkEnd w:id="14"/>
    </w:p>
    <w:p w14:paraId="78973F81">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60D66F1">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1.1.1 本合同及其补充合同、变更协议；</w:t>
      </w:r>
    </w:p>
    <w:p w14:paraId="1540D31B">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1.1.2 中标通知书；</w:t>
      </w:r>
    </w:p>
    <w:p w14:paraId="6F844E30">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 xml:space="preserve">1.1.3 </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（含澄清或者说明文件）；</w:t>
      </w:r>
    </w:p>
    <w:p w14:paraId="084120B7">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 xml:space="preserve">1.1.4 </w:t>
      </w:r>
      <w:r>
        <w:rPr>
          <w:rFonts w:hint="eastAsia" w:ascii="仿宋" w:hAnsi="仿宋" w:eastAsia="仿宋" w:cs="仿宋"/>
          <w:color w:val="auto"/>
          <w:spacing w:val="0"/>
          <w:sz w:val="24"/>
          <w:highlight w:val="none"/>
          <w:lang w:eastAsia="zh-CN"/>
        </w:rPr>
        <w:t>磋商文件</w:t>
      </w:r>
      <w:r>
        <w:rPr>
          <w:rFonts w:hint="eastAsia" w:ascii="仿宋" w:hAnsi="仿宋" w:eastAsia="仿宋" w:cs="仿宋"/>
          <w:color w:val="auto"/>
          <w:spacing w:val="0"/>
          <w:sz w:val="24"/>
          <w:highlight w:val="none"/>
        </w:rPr>
        <w:t>（含澄清或者修改文件）；</w:t>
      </w:r>
    </w:p>
    <w:p w14:paraId="5E8FB950">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1.1.5 其他相关采购文件。</w:t>
      </w:r>
    </w:p>
    <w:p w14:paraId="533117EF">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5" w:name="_Toc18585"/>
      <w:bookmarkStart w:id="16" w:name="_Toc6311"/>
      <w:bookmarkStart w:id="17" w:name="_Toc2918"/>
      <w:bookmarkStart w:id="18" w:name="_Toc22185"/>
      <w:bookmarkStart w:id="19" w:name="_Toc6773"/>
      <w:r>
        <w:rPr>
          <w:rFonts w:hint="eastAsia" w:ascii="仿宋" w:hAnsi="仿宋" w:eastAsia="仿宋" w:cs="仿宋"/>
          <w:b/>
          <w:color w:val="auto"/>
          <w:spacing w:val="0"/>
          <w:sz w:val="24"/>
          <w:highlight w:val="none"/>
        </w:rPr>
        <w:t>1.2 标的</w:t>
      </w:r>
      <w:bookmarkEnd w:id="15"/>
      <w:bookmarkEnd w:id="16"/>
      <w:bookmarkEnd w:id="17"/>
      <w:bookmarkEnd w:id="18"/>
      <w:bookmarkEnd w:id="19"/>
    </w:p>
    <w:p w14:paraId="72CB1D8E">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sz w:val="24"/>
          <w:highlight w:val="none"/>
        </w:rPr>
        <w:t>1.2.1 标的名称：</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w:t>
      </w:r>
    </w:p>
    <w:p w14:paraId="2C9115C6">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sz w:val="24"/>
          <w:highlight w:val="none"/>
        </w:rPr>
        <w:t>1.2.2 标的数量：</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w:t>
      </w:r>
    </w:p>
    <w:p w14:paraId="7FFD1B32">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1.2.3 标的质量：</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w:t>
      </w:r>
    </w:p>
    <w:p w14:paraId="5195142A">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20" w:name="_Toc4929"/>
      <w:bookmarkStart w:id="21" w:name="_Toc1386"/>
      <w:bookmarkStart w:id="22" w:name="_Toc21124"/>
      <w:bookmarkStart w:id="23" w:name="_Toc5635"/>
      <w:bookmarkStart w:id="24" w:name="_Toc13918"/>
      <w:r>
        <w:rPr>
          <w:rFonts w:hint="eastAsia" w:ascii="仿宋" w:hAnsi="仿宋" w:eastAsia="仿宋" w:cs="仿宋"/>
          <w:b/>
          <w:color w:val="auto"/>
          <w:spacing w:val="0"/>
          <w:sz w:val="24"/>
          <w:highlight w:val="none"/>
        </w:rPr>
        <w:t>1.3 价款</w:t>
      </w:r>
      <w:bookmarkEnd w:id="20"/>
      <w:bookmarkEnd w:id="21"/>
      <w:bookmarkEnd w:id="22"/>
      <w:bookmarkEnd w:id="23"/>
      <w:bookmarkEnd w:id="24"/>
    </w:p>
    <w:p w14:paraId="5644DA2F">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本合同总价为：￥</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元（大写：</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元人民币）。</w:t>
      </w:r>
    </w:p>
    <w:p w14:paraId="74A5F6AB">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BB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E6B144D">
            <w:pPr>
              <w:pStyle w:val="50"/>
              <w:keepNext w:val="0"/>
              <w:keepLines w:val="0"/>
              <w:pageBreakBefore w:val="0"/>
              <w:widowControl w:val="0"/>
              <w:wordWrap/>
              <w:overflowPunct/>
              <w:topLinePunct w:val="0"/>
              <w:bidi w:val="0"/>
              <w:spacing w:line="240" w:lineRule="auto"/>
              <w:jc w:val="center"/>
              <w:rPr>
                <w:rFonts w:hint="eastAsia" w:ascii="仿宋" w:hAnsi="仿宋" w:eastAsia="仿宋" w:cs="仿宋"/>
                <w:color w:val="auto"/>
                <w:spacing w:val="0"/>
                <w:kern w:val="2"/>
                <w:sz w:val="24"/>
                <w:szCs w:val="24"/>
                <w:highlight w:val="none"/>
              </w:rPr>
            </w:pPr>
            <w:r>
              <w:rPr>
                <w:rFonts w:hint="eastAsia" w:ascii="仿宋" w:hAnsi="仿宋" w:eastAsia="仿宋" w:cs="仿宋"/>
                <w:color w:val="auto"/>
                <w:spacing w:val="0"/>
                <w:kern w:val="2"/>
                <w:sz w:val="24"/>
                <w:szCs w:val="24"/>
                <w:highlight w:val="none"/>
              </w:rPr>
              <w:t>序号</w:t>
            </w:r>
          </w:p>
        </w:tc>
        <w:tc>
          <w:tcPr>
            <w:tcW w:w="3402" w:type="dxa"/>
            <w:noWrap w:val="0"/>
            <w:vAlign w:val="center"/>
          </w:tcPr>
          <w:p w14:paraId="7F38CF78">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r>
              <w:rPr>
                <w:rFonts w:hint="eastAsia" w:ascii="仿宋" w:hAnsi="仿宋" w:eastAsia="仿宋" w:cs="仿宋"/>
                <w:color w:val="auto"/>
                <w:spacing w:val="0"/>
                <w:kern w:val="2"/>
                <w:sz w:val="24"/>
                <w:szCs w:val="24"/>
                <w:highlight w:val="none"/>
              </w:rPr>
              <w:t>分项名称</w:t>
            </w:r>
          </w:p>
        </w:tc>
        <w:tc>
          <w:tcPr>
            <w:tcW w:w="2552" w:type="dxa"/>
            <w:noWrap w:val="0"/>
            <w:vAlign w:val="center"/>
          </w:tcPr>
          <w:p w14:paraId="43F59E35">
            <w:pPr>
              <w:pStyle w:val="50"/>
              <w:keepNext w:val="0"/>
              <w:keepLines w:val="0"/>
              <w:pageBreakBefore w:val="0"/>
              <w:widowControl w:val="0"/>
              <w:wordWrap/>
              <w:overflowPunct/>
              <w:topLinePunct w:val="0"/>
              <w:bidi w:val="0"/>
              <w:spacing w:line="240" w:lineRule="auto"/>
              <w:jc w:val="center"/>
              <w:rPr>
                <w:rFonts w:hint="eastAsia" w:ascii="仿宋" w:hAnsi="仿宋" w:eastAsia="仿宋" w:cs="仿宋"/>
                <w:color w:val="auto"/>
                <w:spacing w:val="0"/>
                <w:kern w:val="2"/>
                <w:sz w:val="24"/>
                <w:szCs w:val="24"/>
                <w:highlight w:val="none"/>
              </w:rPr>
            </w:pPr>
            <w:r>
              <w:rPr>
                <w:rFonts w:hint="eastAsia" w:ascii="仿宋" w:hAnsi="仿宋" w:eastAsia="仿宋" w:cs="仿宋"/>
                <w:color w:val="auto"/>
                <w:spacing w:val="0"/>
                <w:kern w:val="2"/>
                <w:sz w:val="24"/>
                <w:szCs w:val="24"/>
                <w:highlight w:val="none"/>
              </w:rPr>
              <w:t>分项价格</w:t>
            </w:r>
          </w:p>
        </w:tc>
      </w:tr>
      <w:tr w14:paraId="3299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83755FB">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c>
          <w:tcPr>
            <w:tcW w:w="3402" w:type="dxa"/>
            <w:noWrap w:val="0"/>
            <w:vAlign w:val="center"/>
          </w:tcPr>
          <w:p w14:paraId="19D4A728">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c>
          <w:tcPr>
            <w:tcW w:w="2552" w:type="dxa"/>
            <w:noWrap w:val="0"/>
            <w:vAlign w:val="center"/>
          </w:tcPr>
          <w:p w14:paraId="2AE8DDF9">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r>
      <w:tr w14:paraId="2049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544BEE8">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c>
          <w:tcPr>
            <w:tcW w:w="3402" w:type="dxa"/>
            <w:noWrap w:val="0"/>
            <w:vAlign w:val="center"/>
          </w:tcPr>
          <w:p w14:paraId="1F774C68">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c>
          <w:tcPr>
            <w:tcW w:w="2552" w:type="dxa"/>
            <w:noWrap w:val="0"/>
            <w:vAlign w:val="center"/>
          </w:tcPr>
          <w:p w14:paraId="34B9DC32">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r>
      <w:tr w14:paraId="6179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88421CA">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c>
          <w:tcPr>
            <w:tcW w:w="3402" w:type="dxa"/>
            <w:noWrap w:val="0"/>
            <w:vAlign w:val="center"/>
          </w:tcPr>
          <w:p w14:paraId="72EEAC1A">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c>
          <w:tcPr>
            <w:tcW w:w="2552" w:type="dxa"/>
            <w:noWrap w:val="0"/>
            <w:vAlign w:val="center"/>
          </w:tcPr>
          <w:p w14:paraId="2B7AA1ED">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r>
      <w:tr w14:paraId="5A9C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93F3F02">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c>
          <w:tcPr>
            <w:tcW w:w="3402" w:type="dxa"/>
            <w:noWrap w:val="0"/>
            <w:vAlign w:val="center"/>
          </w:tcPr>
          <w:p w14:paraId="545D71A3">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c>
          <w:tcPr>
            <w:tcW w:w="2552" w:type="dxa"/>
            <w:noWrap w:val="0"/>
            <w:vAlign w:val="center"/>
          </w:tcPr>
          <w:p w14:paraId="6DE35334">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r>
      <w:tr w14:paraId="0117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4B8A957">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r>
              <w:rPr>
                <w:rFonts w:hint="eastAsia" w:ascii="仿宋" w:hAnsi="仿宋" w:eastAsia="仿宋" w:cs="仿宋"/>
                <w:color w:val="auto"/>
                <w:spacing w:val="0"/>
                <w:kern w:val="2"/>
                <w:sz w:val="24"/>
                <w:szCs w:val="24"/>
                <w:highlight w:val="none"/>
              </w:rPr>
              <w:t>总价</w:t>
            </w:r>
          </w:p>
        </w:tc>
        <w:tc>
          <w:tcPr>
            <w:tcW w:w="2552" w:type="dxa"/>
            <w:noWrap w:val="0"/>
            <w:vAlign w:val="center"/>
          </w:tcPr>
          <w:p w14:paraId="160AEBA0">
            <w:pPr>
              <w:pStyle w:val="50"/>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color w:val="auto"/>
                <w:spacing w:val="0"/>
                <w:kern w:val="2"/>
                <w:sz w:val="24"/>
                <w:szCs w:val="24"/>
                <w:highlight w:val="none"/>
              </w:rPr>
            </w:pPr>
          </w:p>
        </w:tc>
      </w:tr>
    </w:tbl>
    <w:p w14:paraId="458BD080">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25" w:name="_Toc26916"/>
      <w:bookmarkStart w:id="26" w:name="_Toc30506"/>
      <w:bookmarkStart w:id="27" w:name="_Toc3654"/>
      <w:bookmarkStart w:id="28" w:name="_Toc14993"/>
      <w:bookmarkStart w:id="29" w:name="_Toc30158"/>
      <w:r>
        <w:rPr>
          <w:rFonts w:hint="eastAsia" w:ascii="仿宋" w:hAnsi="仿宋" w:eastAsia="仿宋" w:cs="仿宋"/>
          <w:b/>
          <w:color w:val="auto"/>
          <w:spacing w:val="0"/>
          <w:sz w:val="24"/>
          <w:highlight w:val="none"/>
        </w:rPr>
        <w:t>1.4 付款方式和发票开具方式</w:t>
      </w:r>
      <w:bookmarkEnd w:id="25"/>
      <w:bookmarkEnd w:id="26"/>
      <w:bookmarkEnd w:id="27"/>
      <w:bookmarkEnd w:id="28"/>
      <w:bookmarkEnd w:id="29"/>
    </w:p>
    <w:p w14:paraId="18D6A542">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lang w:eastAsia="zh-CN"/>
        </w:rPr>
      </w:pPr>
      <w:r>
        <w:rPr>
          <w:rFonts w:hint="eastAsia" w:ascii="仿宋" w:hAnsi="仿宋" w:eastAsia="仿宋" w:cs="仿宋"/>
          <w:color w:val="auto"/>
          <w:spacing w:val="0"/>
          <w:sz w:val="24"/>
          <w:highlight w:val="none"/>
        </w:rPr>
        <w:t>1.4.1付款方式：</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u w:val="single"/>
          <w:lang w:val="en-US" w:eastAsia="zh-CN"/>
        </w:rPr>
        <w:t xml:space="preserve">                                     </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u w:val="none"/>
          <w:lang w:eastAsia="zh-CN"/>
        </w:rPr>
        <w:t>。</w:t>
      </w:r>
    </w:p>
    <w:p w14:paraId="2BA02EED">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1.4.2 发票开具方式：</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w:t>
      </w:r>
    </w:p>
    <w:p w14:paraId="4BF0CDD0">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30" w:name="_Toc4760"/>
      <w:bookmarkStart w:id="31" w:name="_Toc8772"/>
      <w:bookmarkStart w:id="32" w:name="_Toc3625"/>
      <w:bookmarkStart w:id="33" w:name="_Toc31421"/>
      <w:bookmarkStart w:id="34" w:name="_Toc11108"/>
      <w:r>
        <w:rPr>
          <w:rFonts w:hint="eastAsia" w:ascii="仿宋" w:hAnsi="仿宋" w:eastAsia="仿宋" w:cs="仿宋"/>
          <w:b/>
          <w:color w:val="auto"/>
          <w:spacing w:val="0"/>
          <w:sz w:val="24"/>
          <w:highlight w:val="none"/>
        </w:rPr>
        <w:t>1.5 履行期限、地点和方式</w:t>
      </w:r>
      <w:bookmarkEnd w:id="30"/>
      <w:bookmarkEnd w:id="31"/>
      <w:bookmarkEnd w:id="32"/>
      <w:bookmarkEnd w:id="33"/>
      <w:bookmarkEnd w:id="34"/>
    </w:p>
    <w:p w14:paraId="33006CEE">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u w:val="single"/>
        </w:rPr>
      </w:pPr>
      <w:r>
        <w:rPr>
          <w:rFonts w:hint="eastAsia" w:ascii="仿宋" w:hAnsi="仿宋" w:eastAsia="仿宋" w:cs="仿宋"/>
          <w:color w:val="auto"/>
          <w:spacing w:val="0"/>
          <w:sz w:val="24"/>
          <w:highlight w:val="none"/>
        </w:rPr>
        <w:t>1.5.1 履行期限：</w:t>
      </w:r>
      <w:r>
        <w:rPr>
          <w:rFonts w:hint="eastAsia" w:ascii="仿宋" w:hAnsi="仿宋" w:eastAsia="仿宋" w:cs="仿宋"/>
          <w:color w:val="auto"/>
          <w:spacing w:val="0"/>
          <w:sz w:val="24"/>
          <w:highlight w:val="none"/>
          <w:u w:val="single"/>
          <w:lang w:val="en-US" w:eastAsia="zh-CN"/>
        </w:rPr>
        <w:t xml:space="preserve">                                           </w:t>
      </w:r>
      <w:r>
        <w:rPr>
          <w:rFonts w:hint="eastAsia" w:ascii="仿宋" w:hAnsi="仿宋" w:eastAsia="仿宋" w:cs="仿宋"/>
          <w:color w:val="auto"/>
          <w:spacing w:val="0"/>
          <w:sz w:val="24"/>
          <w:highlight w:val="none"/>
          <w:u w:val="none"/>
          <w:lang w:val="en-US" w:eastAsia="zh-CN"/>
        </w:rPr>
        <w:t>；</w:t>
      </w:r>
    </w:p>
    <w:p w14:paraId="5D126667">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1.5.2 履行地点：</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u w:val="single"/>
          <w:lang w:val="en-US" w:eastAsia="zh-CN"/>
        </w:rPr>
        <w:t xml:space="preserve">                                          </w:t>
      </w:r>
      <w:r>
        <w:rPr>
          <w:rFonts w:hint="eastAsia" w:ascii="仿宋" w:hAnsi="仿宋" w:eastAsia="仿宋" w:cs="仿宋"/>
          <w:color w:val="auto"/>
          <w:spacing w:val="0"/>
          <w:sz w:val="24"/>
          <w:highlight w:val="none"/>
        </w:rPr>
        <w:t>；</w:t>
      </w:r>
    </w:p>
    <w:p w14:paraId="2D468CF8">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1.5.3 履行方式：</w:t>
      </w:r>
      <w:r>
        <w:rPr>
          <w:rFonts w:hint="eastAsia" w:ascii="仿宋" w:hAnsi="仿宋" w:eastAsia="仿宋" w:cs="仿宋"/>
          <w:color w:val="auto"/>
          <w:spacing w:val="0"/>
          <w:sz w:val="24"/>
          <w:highlight w:val="none"/>
          <w:u w:val="single"/>
        </w:rPr>
        <w:t>　</w:t>
      </w:r>
      <w:r>
        <w:rPr>
          <w:rFonts w:hint="eastAsia" w:ascii="仿宋" w:hAnsi="仿宋" w:eastAsia="仿宋" w:cs="仿宋"/>
          <w:color w:val="auto"/>
          <w:spacing w:val="0"/>
          <w:sz w:val="24"/>
          <w:highlight w:val="none"/>
          <w:u w:val="single"/>
          <w:lang w:val="en-US" w:eastAsia="zh-CN"/>
        </w:rPr>
        <w:t>按合同约定履行</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w:t>
      </w:r>
    </w:p>
    <w:p w14:paraId="192CA523">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color w:val="auto"/>
          <w:spacing w:val="0"/>
          <w:sz w:val="24"/>
          <w:highlight w:val="none"/>
          <w:u w:val="single"/>
        </w:rPr>
      </w:pPr>
      <w:bookmarkStart w:id="35" w:name="_Toc24662"/>
      <w:bookmarkStart w:id="36" w:name="_Toc2375"/>
      <w:bookmarkStart w:id="37" w:name="_Toc8586"/>
      <w:bookmarkStart w:id="38" w:name="_Toc3079"/>
      <w:bookmarkStart w:id="39" w:name="_Toc5698"/>
      <w:r>
        <w:rPr>
          <w:rFonts w:hint="eastAsia" w:ascii="仿宋" w:hAnsi="仿宋" w:eastAsia="仿宋" w:cs="仿宋"/>
          <w:b/>
          <w:color w:val="auto"/>
          <w:spacing w:val="0"/>
          <w:sz w:val="24"/>
          <w:highlight w:val="none"/>
        </w:rPr>
        <w:t>1.6 违约责任</w:t>
      </w:r>
      <w:bookmarkEnd w:id="35"/>
      <w:bookmarkEnd w:id="36"/>
      <w:bookmarkEnd w:id="37"/>
      <w:bookmarkEnd w:id="38"/>
      <w:bookmarkEnd w:id="39"/>
    </w:p>
    <w:p w14:paraId="5ACDB15C">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%计算，最高限额为本合同总价的</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%；迟延履行的违约金计算数额达到前述最高限额之日起，甲方有权在要求乙方支付违约金的同时，书面通知乙方解除本合同；</w:t>
      </w:r>
    </w:p>
    <w:p w14:paraId="526F335F">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%计算，最高限额为本合同总价的</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%；迟延付款的违约金计算数额达到前述最高限额之日起，乙方有权在要求甲方支付违约金的同时，书面通知甲方解除本合同；</w:t>
      </w:r>
    </w:p>
    <w:p w14:paraId="45C6D41F">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C183107">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7688F8">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C32A39F">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5F61622">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40" w:name="_Toc26807"/>
      <w:bookmarkStart w:id="41" w:name="_Toc32454"/>
      <w:bookmarkStart w:id="42" w:name="_Toc30329"/>
      <w:bookmarkStart w:id="43" w:name="_Toc9497"/>
      <w:bookmarkStart w:id="44" w:name="_Toc18683"/>
      <w:r>
        <w:rPr>
          <w:rFonts w:hint="eastAsia" w:ascii="仿宋" w:hAnsi="仿宋" w:eastAsia="仿宋" w:cs="仿宋"/>
          <w:b/>
          <w:color w:val="auto"/>
          <w:spacing w:val="0"/>
          <w:sz w:val="24"/>
          <w:highlight w:val="none"/>
        </w:rPr>
        <w:t>1.7 合同争议的解决</w:t>
      </w:r>
      <w:bookmarkEnd w:id="40"/>
      <w:bookmarkEnd w:id="41"/>
      <w:bookmarkEnd w:id="42"/>
      <w:bookmarkEnd w:id="43"/>
      <w:bookmarkEnd w:id="44"/>
    </w:p>
    <w:p w14:paraId="681400DD">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种方式解决：</w:t>
      </w:r>
    </w:p>
    <w:p w14:paraId="1D45F6B5">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1.7.1 将争议提交</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仲裁委员会依申请仲裁时其现行有效的仲裁规则裁决；</w:t>
      </w:r>
    </w:p>
    <w:p w14:paraId="1107F5D9">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1.7.2 向</w:t>
      </w:r>
      <w:r>
        <w:rPr>
          <w:rFonts w:hint="eastAsia" w:ascii="仿宋" w:hAnsi="仿宋" w:eastAsia="仿宋" w:cs="仿宋"/>
          <w:color w:val="auto"/>
          <w:spacing w:val="0"/>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pacing w:val="0"/>
          <w:sz w:val="24"/>
          <w:highlight w:val="none"/>
        </w:rPr>
        <w:t>人民法院起诉。</w:t>
      </w:r>
    </w:p>
    <w:p w14:paraId="7EB01577">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45" w:name="_Toc15827"/>
      <w:bookmarkStart w:id="46" w:name="_Toc23784"/>
      <w:bookmarkStart w:id="47" w:name="_Toc26227"/>
      <w:bookmarkStart w:id="48" w:name="_Toc16417"/>
      <w:bookmarkStart w:id="49" w:name="_Toc12273"/>
      <w:r>
        <w:rPr>
          <w:rFonts w:hint="eastAsia" w:ascii="仿宋" w:hAnsi="仿宋" w:eastAsia="仿宋" w:cs="仿宋"/>
          <w:b/>
          <w:color w:val="auto"/>
          <w:spacing w:val="0"/>
          <w:sz w:val="24"/>
          <w:highlight w:val="none"/>
        </w:rPr>
        <w:t>1.8 合同生效</w:t>
      </w:r>
      <w:bookmarkEnd w:id="45"/>
      <w:bookmarkEnd w:id="46"/>
      <w:bookmarkEnd w:id="47"/>
      <w:bookmarkEnd w:id="48"/>
      <w:bookmarkEnd w:id="49"/>
    </w:p>
    <w:p w14:paraId="44926CC5">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b/>
          <w:color w:val="auto"/>
          <w:spacing w:val="0"/>
          <w:sz w:val="24"/>
          <w:highlight w:val="none"/>
        </w:rPr>
      </w:pPr>
      <w:r>
        <w:rPr>
          <w:rFonts w:hint="eastAsia" w:ascii="仿宋" w:hAnsi="仿宋" w:eastAsia="仿宋" w:cs="仿宋"/>
          <w:color w:val="auto"/>
          <w:spacing w:val="0"/>
          <w:sz w:val="24"/>
          <w:highlight w:val="none"/>
        </w:rPr>
        <w:t>本合同自双方当事人盖章或者签字时生效。</w:t>
      </w:r>
    </w:p>
    <w:p w14:paraId="27866872">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p>
    <w:p w14:paraId="39762E1D">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b/>
          <w:color w:val="auto"/>
          <w:spacing w:val="0"/>
          <w:sz w:val="24"/>
          <w:highlight w:val="none"/>
          <w:lang w:val="zh-CN"/>
        </w:rPr>
      </w:pPr>
    </w:p>
    <w:p w14:paraId="3CFB5979">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b/>
          <w:color w:val="auto"/>
          <w:spacing w:val="0"/>
          <w:sz w:val="24"/>
          <w:highlight w:val="none"/>
          <w:lang w:val="zh-CN"/>
        </w:rPr>
      </w:pPr>
    </w:p>
    <w:p w14:paraId="103C4E1D">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b/>
          <w:color w:val="auto"/>
          <w:spacing w:val="0"/>
          <w:sz w:val="24"/>
          <w:highlight w:val="none"/>
          <w:lang w:val="zh-CN"/>
        </w:rPr>
      </w:pPr>
    </w:p>
    <w:p w14:paraId="55089BA1">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r>
        <w:rPr>
          <w:rFonts w:hint="eastAsia" w:ascii="仿宋" w:hAnsi="仿宋" w:eastAsia="仿宋" w:cs="仿宋"/>
          <w:b/>
          <w:color w:val="auto"/>
          <w:spacing w:val="0"/>
          <w:sz w:val="24"/>
          <w:highlight w:val="none"/>
          <w:lang w:val="zh-CN"/>
        </w:rPr>
        <w:t>甲方</w:t>
      </w:r>
      <w:r>
        <w:rPr>
          <w:rFonts w:hint="eastAsia" w:ascii="仿宋" w:hAnsi="仿宋" w:eastAsia="仿宋" w:cs="仿宋"/>
          <w:color w:val="auto"/>
          <w:spacing w:val="0"/>
          <w:sz w:val="24"/>
          <w:highlight w:val="none"/>
          <w:lang w:val="zh-CN"/>
        </w:rPr>
        <w:t xml:space="preserve">：                             </w:t>
      </w:r>
      <w:r>
        <w:rPr>
          <w:rFonts w:hint="eastAsia" w:ascii="仿宋" w:hAnsi="仿宋" w:eastAsia="仿宋" w:cs="仿宋"/>
          <w:b/>
          <w:color w:val="auto"/>
          <w:spacing w:val="0"/>
          <w:sz w:val="24"/>
          <w:highlight w:val="none"/>
          <w:lang w:val="zh-CN"/>
        </w:rPr>
        <w:t xml:space="preserve">      乙方</w:t>
      </w:r>
      <w:r>
        <w:rPr>
          <w:rFonts w:hint="eastAsia" w:ascii="仿宋" w:hAnsi="仿宋" w:eastAsia="仿宋" w:cs="仿宋"/>
          <w:color w:val="auto"/>
          <w:spacing w:val="0"/>
          <w:sz w:val="24"/>
          <w:highlight w:val="none"/>
          <w:lang w:val="zh-CN"/>
        </w:rPr>
        <w:t>：</w:t>
      </w:r>
    </w:p>
    <w:p w14:paraId="7752E8C4">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r>
        <w:rPr>
          <w:rFonts w:hint="eastAsia" w:ascii="仿宋" w:hAnsi="仿宋" w:eastAsia="仿宋" w:cs="仿宋"/>
          <w:color w:val="auto"/>
          <w:spacing w:val="0"/>
          <w:sz w:val="24"/>
          <w:highlight w:val="none"/>
          <w:lang w:val="zh-CN"/>
        </w:rPr>
        <w:t>统一社会信用代码：                      统一社会信用代码或身份证号码：</w:t>
      </w:r>
    </w:p>
    <w:p w14:paraId="6014E200">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p>
    <w:p w14:paraId="756A3752">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r>
        <w:rPr>
          <w:rFonts w:hint="eastAsia" w:ascii="仿宋" w:hAnsi="仿宋" w:eastAsia="仿宋" w:cs="仿宋"/>
          <w:color w:val="auto"/>
          <w:spacing w:val="0"/>
          <w:sz w:val="24"/>
          <w:highlight w:val="none"/>
          <w:lang w:val="zh-CN"/>
        </w:rPr>
        <w:t>住所：                                   住所：</w:t>
      </w:r>
    </w:p>
    <w:p w14:paraId="51A17CA6">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r>
        <w:rPr>
          <w:rFonts w:hint="eastAsia" w:ascii="仿宋" w:hAnsi="仿宋" w:eastAsia="仿宋" w:cs="仿宋"/>
          <w:color w:val="auto"/>
          <w:spacing w:val="0"/>
          <w:sz w:val="24"/>
          <w:highlight w:val="none"/>
          <w:lang w:val="zh-CN"/>
        </w:rPr>
        <w:t>法定代表人或                             法定代表人</w:t>
      </w:r>
    </w:p>
    <w:p w14:paraId="0833D7C4">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r>
        <w:rPr>
          <w:rFonts w:hint="eastAsia" w:ascii="仿宋" w:hAnsi="仿宋" w:eastAsia="仿宋" w:cs="仿宋"/>
          <w:color w:val="auto"/>
          <w:spacing w:val="0"/>
          <w:sz w:val="24"/>
          <w:highlight w:val="none"/>
          <w:lang w:val="zh-CN"/>
        </w:rPr>
        <w:t xml:space="preserve">授权代表（签字）：                        或授权代表（签字）: </w:t>
      </w:r>
    </w:p>
    <w:p w14:paraId="28188D8E">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r>
        <w:rPr>
          <w:rFonts w:hint="eastAsia" w:ascii="仿宋" w:hAnsi="仿宋" w:eastAsia="仿宋" w:cs="仿宋"/>
          <w:color w:val="auto"/>
          <w:spacing w:val="0"/>
          <w:sz w:val="24"/>
          <w:highlight w:val="none"/>
          <w:lang w:val="zh-CN"/>
        </w:rPr>
        <w:t>联系人：                                 联系人：</w:t>
      </w:r>
    </w:p>
    <w:p w14:paraId="43E1B72F">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r>
        <w:rPr>
          <w:rFonts w:hint="eastAsia" w:ascii="仿宋" w:hAnsi="仿宋" w:eastAsia="仿宋" w:cs="仿宋"/>
          <w:color w:val="auto"/>
          <w:spacing w:val="0"/>
          <w:sz w:val="24"/>
          <w:highlight w:val="none"/>
          <w:lang w:val="zh-CN"/>
        </w:rPr>
        <w:t>约定送达地址：                           约定送达地址：</w:t>
      </w:r>
    </w:p>
    <w:p w14:paraId="39C9790C">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r>
        <w:rPr>
          <w:rFonts w:hint="eastAsia" w:ascii="仿宋" w:hAnsi="仿宋" w:eastAsia="仿宋" w:cs="仿宋"/>
          <w:color w:val="auto"/>
          <w:spacing w:val="0"/>
          <w:sz w:val="24"/>
          <w:highlight w:val="none"/>
          <w:lang w:val="zh-CN"/>
        </w:rPr>
        <w:t>邮政编码：                               邮政编码：</w:t>
      </w:r>
    </w:p>
    <w:p w14:paraId="0817C44A">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r>
        <w:rPr>
          <w:rFonts w:hint="eastAsia" w:ascii="仿宋" w:hAnsi="仿宋" w:eastAsia="仿宋" w:cs="仿宋"/>
          <w:color w:val="auto"/>
          <w:spacing w:val="0"/>
          <w:sz w:val="24"/>
          <w:highlight w:val="none"/>
          <w:lang w:val="zh-CN"/>
        </w:rPr>
        <w:t xml:space="preserve">电话:                                    电话: </w:t>
      </w:r>
    </w:p>
    <w:p w14:paraId="37CB8DF1">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lang w:val="zh-CN"/>
        </w:rPr>
      </w:pPr>
      <w:r>
        <w:rPr>
          <w:rFonts w:hint="eastAsia" w:ascii="仿宋" w:hAnsi="仿宋" w:eastAsia="仿宋" w:cs="仿宋"/>
          <w:color w:val="auto"/>
          <w:spacing w:val="0"/>
          <w:sz w:val="24"/>
          <w:highlight w:val="none"/>
          <w:lang w:val="zh-CN"/>
        </w:rPr>
        <w:t>传真:                                    传真:</w:t>
      </w:r>
    </w:p>
    <w:p w14:paraId="40F9D9DB">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zh-CN"/>
        </w:rPr>
        <w:t>电子邮箱：                               电子邮箱：</w:t>
      </w:r>
    </w:p>
    <w:p w14:paraId="55351E78">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 xml:space="preserve">开户银行：                               开户银行： </w:t>
      </w:r>
    </w:p>
    <w:p w14:paraId="607EFD1B">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 xml:space="preserve">开户名称：                               开户名称： </w:t>
      </w:r>
    </w:p>
    <w:p w14:paraId="106E20F9">
      <w:pPr>
        <w:keepNext w:val="0"/>
        <w:keepLines w:val="0"/>
        <w:pageBreakBefore w:val="0"/>
        <w:widowControl w:val="0"/>
        <w:wordWrap/>
        <w:overflowPunct/>
        <w:topLinePunct w:val="0"/>
        <w:autoSpaceDE w:val="0"/>
        <w:autoSpaceDN w:val="0"/>
        <w:bidi w:val="0"/>
        <w:adjustRightInd w:val="0"/>
        <w:spacing w:line="240" w:lineRule="auto"/>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开户账号：</w:t>
      </w:r>
      <w:r>
        <w:rPr>
          <w:rFonts w:hint="eastAsia" w:ascii="仿宋" w:hAnsi="仿宋" w:eastAsia="仿宋" w:cs="仿宋"/>
          <w:color w:val="auto"/>
          <w:spacing w:val="0"/>
          <w:sz w:val="24"/>
          <w:highlight w:val="none"/>
          <w:lang w:val="zh-CN"/>
        </w:rPr>
        <w:t xml:space="preserve">                               </w:t>
      </w:r>
      <w:r>
        <w:rPr>
          <w:rFonts w:hint="eastAsia" w:ascii="仿宋" w:hAnsi="仿宋" w:eastAsia="仿宋" w:cs="仿宋"/>
          <w:color w:val="auto"/>
          <w:spacing w:val="0"/>
          <w:sz w:val="24"/>
          <w:highlight w:val="none"/>
        </w:rPr>
        <w:t>开户账号：</w:t>
      </w:r>
    </w:p>
    <w:p w14:paraId="2DCF55F8">
      <w:pPr>
        <w:keepNext w:val="0"/>
        <w:keepLines w:val="0"/>
        <w:pageBreakBefore w:val="0"/>
        <w:widowControl w:val="0"/>
        <w:wordWrap/>
        <w:overflowPunct/>
        <w:topLinePunct w:val="0"/>
        <w:bidi w:val="0"/>
        <w:spacing w:line="240" w:lineRule="auto"/>
        <w:jc w:val="left"/>
        <w:rPr>
          <w:rFonts w:hint="eastAsia" w:ascii="仿宋" w:hAnsi="仿宋" w:eastAsia="仿宋" w:cs="仿宋"/>
          <w:b/>
          <w:color w:val="auto"/>
          <w:spacing w:val="0"/>
          <w:highlight w:val="none"/>
        </w:rPr>
      </w:pPr>
      <w:bookmarkStart w:id="50" w:name="_Toc331685783"/>
    </w:p>
    <w:p w14:paraId="456CF487">
      <w:pPr>
        <w:keepNext w:val="0"/>
        <w:keepLines w:val="0"/>
        <w:pageBreakBefore w:val="0"/>
        <w:widowControl w:val="0"/>
        <w:wordWrap/>
        <w:overflowPunct/>
        <w:topLinePunct w:val="0"/>
        <w:bidi w:val="0"/>
        <w:spacing w:line="240" w:lineRule="auto"/>
        <w:jc w:val="left"/>
        <w:rPr>
          <w:rFonts w:hint="eastAsia" w:ascii="仿宋" w:hAnsi="仿宋" w:eastAsia="仿宋" w:cs="仿宋"/>
          <w:b/>
          <w:color w:val="auto"/>
          <w:spacing w:val="0"/>
          <w:highlight w:val="none"/>
        </w:rPr>
      </w:pPr>
    </w:p>
    <w:p w14:paraId="324DC5F7">
      <w:pPr>
        <w:keepNext w:val="0"/>
        <w:keepLines w:val="0"/>
        <w:pageBreakBefore w:val="0"/>
        <w:widowControl w:val="0"/>
        <w:wordWrap/>
        <w:overflowPunct/>
        <w:topLinePunct w:val="0"/>
        <w:bidi w:val="0"/>
        <w:spacing w:line="240" w:lineRule="auto"/>
        <w:jc w:val="left"/>
        <w:rPr>
          <w:rFonts w:hint="eastAsia" w:ascii="仿宋" w:hAnsi="仿宋" w:eastAsia="仿宋" w:cs="仿宋"/>
          <w:b/>
          <w:color w:val="auto"/>
          <w:spacing w:val="0"/>
          <w:kern w:val="0"/>
          <w:sz w:val="24"/>
          <w:highlight w:val="none"/>
        </w:rPr>
      </w:pPr>
    </w:p>
    <w:p w14:paraId="2ABCC9CA">
      <w:pPr>
        <w:keepNext w:val="0"/>
        <w:keepLines w:val="0"/>
        <w:pageBreakBefore w:val="0"/>
        <w:widowControl w:val="0"/>
        <w:wordWrap/>
        <w:overflowPunct/>
        <w:topLinePunct w:val="0"/>
        <w:bidi w:val="0"/>
        <w:spacing w:line="240" w:lineRule="auto"/>
        <w:jc w:val="left"/>
        <w:rPr>
          <w:rFonts w:hint="eastAsia" w:ascii="仿宋" w:hAnsi="仿宋" w:eastAsia="仿宋" w:cs="仿宋"/>
          <w:b/>
          <w:color w:val="auto"/>
          <w:spacing w:val="0"/>
          <w:kern w:val="0"/>
          <w:sz w:val="24"/>
          <w:highlight w:val="none"/>
        </w:rPr>
      </w:pPr>
    </w:p>
    <w:p w14:paraId="12E52B71">
      <w:pPr>
        <w:keepNext w:val="0"/>
        <w:keepLines w:val="0"/>
        <w:pageBreakBefore w:val="0"/>
        <w:widowControl w:val="0"/>
        <w:wordWrap/>
        <w:overflowPunct/>
        <w:topLinePunct w:val="0"/>
        <w:bidi w:val="0"/>
        <w:spacing w:line="240" w:lineRule="auto"/>
        <w:jc w:val="left"/>
        <w:rPr>
          <w:rFonts w:hint="eastAsia" w:ascii="仿宋" w:hAnsi="仿宋" w:eastAsia="仿宋" w:cs="仿宋"/>
          <w:b/>
          <w:color w:val="auto"/>
          <w:spacing w:val="0"/>
          <w:kern w:val="0"/>
          <w:sz w:val="24"/>
          <w:highlight w:val="none"/>
        </w:rPr>
      </w:pPr>
    </w:p>
    <w:p w14:paraId="0CB4D602">
      <w:pPr>
        <w:pStyle w:val="48"/>
        <w:keepNext w:val="0"/>
        <w:keepLines w:val="0"/>
        <w:pageBreakBefore w:val="0"/>
        <w:widowControl w:val="0"/>
        <w:wordWrap/>
        <w:overflowPunct/>
        <w:topLinePunct w:val="0"/>
        <w:bidi w:val="0"/>
        <w:spacing w:line="240" w:lineRule="auto"/>
        <w:ind w:firstLine="200"/>
        <w:jc w:val="center"/>
        <w:rPr>
          <w:rFonts w:hint="eastAsia" w:ascii="仿宋" w:hAnsi="仿宋" w:eastAsia="仿宋" w:cs="仿宋"/>
          <w:b/>
          <w:color w:val="auto"/>
          <w:spacing w:val="0"/>
          <w:szCs w:val="24"/>
          <w:highlight w:val="none"/>
        </w:rPr>
      </w:pPr>
      <w:r>
        <w:rPr>
          <w:rFonts w:hint="eastAsia" w:ascii="仿宋" w:hAnsi="仿宋" w:eastAsia="仿宋" w:cs="仿宋"/>
          <w:b/>
          <w:color w:val="auto"/>
          <w:spacing w:val="0"/>
          <w:szCs w:val="24"/>
          <w:highlight w:val="none"/>
        </w:rPr>
        <w:t>第二部分 合同一般条款</w:t>
      </w:r>
      <w:bookmarkEnd w:id="50"/>
    </w:p>
    <w:p w14:paraId="57A601C6">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51" w:name="_Toc19680"/>
      <w:bookmarkStart w:id="52" w:name="_Ref467379101"/>
      <w:bookmarkStart w:id="53" w:name="_Ref467379225"/>
      <w:bookmarkStart w:id="54" w:name="_Ref467379109"/>
      <w:bookmarkStart w:id="55" w:name="_Toc487900349"/>
      <w:bookmarkStart w:id="56" w:name="_Ref467379214"/>
      <w:bookmarkStart w:id="57" w:name="_Toc259093669"/>
      <w:bookmarkStart w:id="58" w:name="_Toc14021"/>
      <w:bookmarkStart w:id="59" w:name="_Toc31297"/>
      <w:bookmarkStart w:id="60" w:name="_Ref467379094"/>
      <w:bookmarkStart w:id="61" w:name="_Toc25079"/>
      <w:bookmarkStart w:id="62" w:name="_Ref467378463"/>
      <w:bookmarkStart w:id="63" w:name="_Toc279701240"/>
      <w:bookmarkStart w:id="64" w:name="_Ref467379195"/>
      <w:bookmarkStart w:id="65" w:name="_Toc5228"/>
      <w:bookmarkStart w:id="66" w:name="_Ref467379205"/>
      <w:bookmarkStart w:id="67" w:name="_Ref467378404"/>
      <w:bookmarkStart w:id="68" w:name="_Ref467378499"/>
      <w:r>
        <w:rPr>
          <w:rFonts w:hint="eastAsia" w:ascii="仿宋" w:hAnsi="仿宋" w:eastAsia="仿宋" w:cs="仿宋"/>
          <w:b/>
          <w:color w:val="auto"/>
          <w:spacing w:val="0"/>
          <w:sz w:val="24"/>
          <w:highlight w:val="none"/>
        </w:rPr>
        <w:t>2.1 定义</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83DD926">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本合同中的下列词语应按以下内容进行解释：</w:t>
      </w:r>
    </w:p>
    <w:p w14:paraId="422FEA9D">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2.1.1 “合同”系指采购人和中标供应商签订的载明双方当事人所达成的协议，并包括所有的附件、附录和构成合同的其他文件。</w:t>
      </w:r>
    </w:p>
    <w:p w14:paraId="0455AA35">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2.1.2 “合同价”系指根据合同约定，中标供应商在完全履行合同义务后，采购人应支付给中标供应商的价格。</w:t>
      </w:r>
    </w:p>
    <w:p w14:paraId="360693FF">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2.1.3 “服务”系指中标供应商根据合同约定应向采购人履行的除货物和工程以外的其他政府采购对象，包括采购人自身需要的服务和向社会公众提供的公共服务。</w:t>
      </w:r>
    </w:p>
    <w:p w14:paraId="7E2A3EA4">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bookmarkStart w:id="69" w:name="_Ref467378840"/>
      <w:r>
        <w:rPr>
          <w:rFonts w:hint="eastAsia" w:ascii="仿宋" w:hAnsi="仿宋" w:eastAsia="仿宋" w:cs="仿宋"/>
          <w:color w:val="auto"/>
          <w:spacing w:val="0"/>
          <w:sz w:val="24"/>
          <w:highlight w:val="none"/>
        </w:rPr>
        <w:t>2.1.4 “甲方”系指与中标供应商签署合同的采购人</w:t>
      </w:r>
      <w:bookmarkEnd w:id="69"/>
      <w:r>
        <w:rPr>
          <w:rFonts w:hint="eastAsia" w:ascii="仿宋" w:hAnsi="仿宋" w:eastAsia="仿宋" w:cs="仿宋"/>
          <w:color w:val="auto"/>
          <w:spacing w:val="0"/>
          <w:sz w:val="24"/>
          <w:highlight w:val="none"/>
        </w:rPr>
        <w:t>；采购人委托采购代理机构代表其与乙方签订合同的，采购人的授权委托书作为合同附件。</w:t>
      </w:r>
    </w:p>
    <w:p w14:paraId="65C6FA36">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bookmarkStart w:id="70" w:name="_Ref467379400"/>
      <w:r>
        <w:rPr>
          <w:rFonts w:hint="eastAsia" w:ascii="仿宋" w:hAnsi="仿宋" w:eastAsia="仿宋" w:cs="仿宋"/>
          <w:color w:val="auto"/>
          <w:spacing w:val="0"/>
          <w:sz w:val="24"/>
          <w:highlight w:val="none"/>
        </w:rPr>
        <w:t>2.1.5 “乙方”系指根据合同约定提供服务的中标供应商</w:t>
      </w:r>
      <w:bookmarkEnd w:id="70"/>
      <w:r>
        <w:rPr>
          <w:rFonts w:hint="eastAsia" w:ascii="仿宋" w:hAnsi="仿宋" w:eastAsia="仿宋" w:cs="仿宋"/>
          <w:color w:val="auto"/>
          <w:spacing w:val="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490B8E5">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bookmarkStart w:id="71" w:name="_Ref467379436"/>
      <w:r>
        <w:rPr>
          <w:rFonts w:hint="eastAsia" w:ascii="仿宋" w:hAnsi="仿宋" w:eastAsia="仿宋" w:cs="仿宋"/>
          <w:color w:val="auto"/>
          <w:spacing w:val="0"/>
          <w:sz w:val="24"/>
          <w:highlight w:val="none"/>
        </w:rPr>
        <w:t>2.1.6 “现场”系指合同约定提供服务的地点。</w:t>
      </w:r>
      <w:bookmarkEnd w:id="71"/>
    </w:p>
    <w:p w14:paraId="6756292B">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72" w:name="_Toc31402"/>
      <w:bookmarkStart w:id="73" w:name="_Toc279701241"/>
      <w:bookmarkStart w:id="74" w:name="_Toc259093670"/>
      <w:bookmarkStart w:id="75" w:name="_Toc19539"/>
      <w:bookmarkStart w:id="76" w:name="_Toc3769"/>
      <w:bookmarkStart w:id="77" w:name="_Toc23289"/>
      <w:bookmarkStart w:id="78" w:name="_Toc487900350"/>
      <w:bookmarkStart w:id="79" w:name="_Toc16752"/>
      <w:r>
        <w:rPr>
          <w:rFonts w:hint="eastAsia" w:ascii="仿宋" w:hAnsi="仿宋" w:eastAsia="仿宋" w:cs="仿宋"/>
          <w:b/>
          <w:color w:val="auto"/>
          <w:spacing w:val="0"/>
          <w:sz w:val="24"/>
          <w:highlight w:val="none"/>
        </w:rPr>
        <w:t>2.2 技术规范</w:t>
      </w:r>
      <w:bookmarkEnd w:id="72"/>
      <w:bookmarkEnd w:id="73"/>
      <w:bookmarkEnd w:id="74"/>
      <w:bookmarkEnd w:id="75"/>
      <w:bookmarkEnd w:id="76"/>
      <w:bookmarkEnd w:id="77"/>
      <w:bookmarkEnd w:id="78"/>
      <w:bookmarkEnd w:id="79"/>
    </w:p>
    <w:p w14:paraId="37EC7F9C">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606C307">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80" w:name="_Toc27945"/>
      <w:bookmarkStart w:id="81" w:name="_Toc259093671"/>
      <w:bookmarkStart w:id="82" w:name="_Toc487900351"/>
      <w:bookmarkStart w:id="83" w:name="_Toc13673"/>
      <w:bookmarkStart w:id="84" w:name="_Toc279701242"/>
      <w:bookmarkStart w:id="85" w:name="_Toc4133"/>
      <w:bookmarkStart w:id="86" w:name="_Toc12412"/>
      <w:bookmarkStart w:id="87" w:name="_Toc9161"/>
      <w:r>
        <w:rPr>
          <w:rFonts w:hint="eastAsia" w:ascii="仿宋" w:hAnsi="仿宋" w:eastAsia="仿宋" w:cs="仿宋"/>
          <w:b/>
          <w:color w:val="auto"/>
          <w:spacing w:val="0"/>
          <w:sz w:val="24"/>
          <w:highlight w:val="none"/>
        </w:rPr>
        <w:t>2.3 知识产权</w:t>
      </w:r>
      <w:bookmarkEnd w:id="80"/>
      <w:bookmarkEnd w:id="81"/>
      <w:bookmarkEnd w:id="82"/>
      <w:bookmarkEnd w:id="83"/>
      <w:bookmarkEnd w:id="84"/>
      <w:bookmarkEnd w:id="85"/>
      <w:bookmarkEnd w:id="86"/>
      <w:bookmarkEnd w:id="87"/>
    </w:p>
    <w:p w14:paraId="0AF3DF13">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783D487">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2.3.2 合同涉及技术成果的归属和收益的分成办法的，详见</w:t>
      </w:r>
      <w:r>
        <w:rPr>
          <w:rFonts w:hint="eastAsia" w:ascii="仿宋" w:hAnsi="仿宋" w:eastAsia="仿宋" w:cs="仿宋"/>
          <w:b/>
          <w:i/>
          <w:color w:val="auto"/>
          <w:spacing w:val="0"/>
          <w:sz w:val="24"/>
          <w:highlight w:val="none"/>
          <w:u w:val="single"/>
        </w:rPr>
        <w:t>合同专用条款</w:t>
      </w:r>
      <w:r>
        <w:rPr>
          <w:rFonts w:hint="eastAsia" w:ascii="仿宋" w:hAnsi="仿宋" w:eastAsia="仿宋" w:cs="仿宋"/>
          <w:color w:val="auto"/>
          <w:spacing w:val="0"/>
          <w:sz w:val="24"/>
          <w:highlight w:val="none"/>
        </w:rPr>
        <w:t>。</w:t>
      </w:r>
    </w:p>
    <w:p w14:paraId="1EBDE15A">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2.4 履约检查和问题反馈</w:t>
      </w:r>
    </w:p>
    <w:p w14:paraId="367B6A44">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bookmarkStart w:id="88" w:name="_Ref467379657"/>
      <w:r>
        <w:rPr>
          <w:rFonts w:hint="eastAsia" w:ascii="仿宋" w:hAnsi="仿宋" w:eastAsia="仿宋" w:cs="仿宋"/>
          <w:color w:val="auto"/>
          <w:spacing w:val="0"/>
          <w:sz w:val="24"/>
          <w:highlight w:val="none"/>
        </w:rPr>
        <w:t>2.4.1</w:t>
      </w:r>
      <w:bookmarkEnd w:id="88"/>
      <w:bookmarkStart w:id="89" w:name="_Toc186431854"/>
      <w:bookmarkStart w:id="90" w:name="_Ref467379793"/>
      <w:bookmarkStart w:id="91" w:name="_Toc259093676"/>
      <w:bookmarkStart w:id="92" w:name="_Toc487900357"/>
      <w:bookmarkStart w:id="93" w:name="_Ref467379807"/>
      <w:bookmarkStart w:id="94" w:name="_Toc279701247"/>
      <w:r>
        <w:rPr>
          <w:rFonts w:hint="eastAsia" w:ascii="仿宋" w:hAnsi="仿宋" w:eastAsia="仿宋" w:cs="仿宋"/>
          <w:color w:val="auto"/>
          <w:spacing w:val="0"/>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0C3AE1D2">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2.4.2 合同履行期间，甲方有权将履行过程中出现的问题反馈给乙方，双方当事人应以书面形式约定需要完善和改进的内容</w:t>
      </w:r>
      <w:bookmarkEnd w:id="89"/>
      <w:bookmarkStart w:id="95" w:name="_Toc186431855"/>
      <w:r>
        <w:rPr>
          <w:rFonts w:hint="eastAsia" w:ascii="仿宋" w:hAnsi="仿宋" w:eastAsia="仿宋" w:cs="仿宋"/>
          <w:color w:val="auto"/>
          <w:spacing w:val="0"/>
          <w:sz w:val="24"/>
          <w:highlight w:val="none"/>
        </w:rPr>
        <w:t>。</w:t>
      </w:r>
    </w:p>
    <w:bookmarkEnd w:id="95"/>
    <w:p w14:paraId="70E373C9">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96" w:name="_Toc15447"/>
      <w:bookmarkStart w:id="97" w:name="_Toc32670"/>
      <w:bookmarkStart w:id="98" w:name="_Toc22011"/>
      <w:bookmarkStart w:id="99" w:name="_Toc31233"/>
      <w:bookmarkStart w:id="100" w:name="_Toc26555"/>
      <w:r>
        <w:rPr>
          <w:rFonts w:hint="eastAsia" w:ascii="仿宋" w:hAnsi="仿宋" w:eastAsia="仿宋" w:cs="仿宋"/>
          <w:b/>
          <w:color w:val="auto"/>
          <w:spacing w:val="0"/>
          <w:sz w:val="24"/>
          <w:highlight w:val="none"/>
        </w:rPr>
        <w:t>2.5 结算方式和付款条件</w:t>
      </w:r>
      <w:bookmarkEnd w:id="90"/>
      <w:bookmarkEnd w:id="91"/>
      <w:bookmarkEnd w:id="92"/>
      <w:bookmarkEnd w:id="93"/>
      <w:bookmarkEnd w:id="94"/>
      <w:bookmarkEnd w:id="96"/>
      <w:bookmarkEnd w:id="97"/>
      <w:bookmarkEnd w:id="98"/>
      <w:bookmarkEnd w:id="99"/>
      <w:bookmarkEnd w:id="100"/>
    </w:p>
    <w:p w14:paraId="4F20A9FD">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详见</w:t>
      </w:r>
      <w:r>
        <w:rPr>
          <w:rFonts w:hint="eastAsia" w:ascii="仿宋" w:hAnsi="仿宋" w:eastAsia="仿宋" w:cs="仿宋"/>
          <w:b/>
          <w:i/>
          <w:color w:val="auto"/>
          <w:spacing w:val="0"/>
          <w:sz w:val="24"/>
          <w:highlight w:val="none"/>
          <w:u w:val="single"/>
        </w:rPr>
        <w:t>合同专用条款</w:t>
      </w:r>
      <w:r>
        <w:rPr>
          <w:rFonts w:hint="eastAsia" w:ascii="仿宋" w:hAnsi="仿宋" w:eastAsia="仿宋" w:cs="仿宋"/>
          <w:color w:val="auto"/>
          <w:spacing w:val="0"/>
          <w:sz w:val="24"/>
          <w:highlight w:val="none"/>
        </w:rPr>
        <w:t>。</w:t>
      </w:r>
    </w:p>
    <w:p w14:paraId="642A0BBC">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01" w:name="_Ref467379923"/>
      <w:bookmarkStart w:id="102" w:name="_Ref467379852"/>
      <w:bookmarkStart w:id="103" w:name="_Toc259093677"/>
      <w:bookmarkStart w:id="104" w:name="_Ref467379863"/>
      <w:bookmarkStart w:id="105" w:name="_Toc279701248"/>
      <w:bookmarkStart w:id="106" w:name="_Toc487900358"/>
      <w:bookmarkStart w:id="107" w:name="_Toc16163"/>
      <w:bookmarkStart w:id="108" w:name="_Toc18990"/>
      <w:bookmarkStart w:id="109" w:name="_Toc13154"/>
      <w:bookmarkStart w:id="110" w:name="_Toc30507"/>
      <w:bookmarkStart w:id="111" w:name="_Toc13467"/>
      <w:r>
        <w:rPr>
          <w:rFonts w:hint="eastAsia" w:ascii="仿宋" w:hAnsi="仿宋" w:eastAsia="仿宋" w:cs="仿宋"/>
          <w:b/>
          <w:color w:val="auto"/>
          <w:spacing w:val="0"/>
          <w:sz w:val="24"/>
          <w:highlight w:val="none"/>
        </w:rPr>
        <w:t>2.6 技术资料</w:t>
      </w:r>
      <w:bookmarkEnd w:id="101"/>
      <w:bookmarkEnd w:id="102"/>
      <w:bookmarkEnd w:id="103"/>
      <w:bookmarkEnd w:id="104"/>
      <w:bookmarkEnd w:id="105"/>
      <w:bookmarkEnd w:id="106"/>
      <w:r>
        <w:rPr>
          <w:rFonts w:hint="eastAsia" w:ascii="仿宋" w:hAnsi="仿宋" w:eastAsia="仿宋" w:cs="仿宋"/>
          <w:b/>
          <w:color w:val="auto"/>
          <w:spacing w:val="0"/>
          <w:sz w:val="24"/>
          <w:highlight w:val="none"/>
        </w:rPr>
        <w:t>和保密义务</w:t>
      </w:r>
      <w:bookmarkEnd w:id="107"/>
      <w:bookmarkEnd w:id="108"/>
      <w:bookmarkEnd w:id="109"/>
      <w:bookmarkEnd w:id="110"/>
      <w:bookmarkEnd w:id="111"/>
    </w:p>
    <w:p w14:paraId="064BF9F4">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2.6.1 乙方有权依据合同约定和项目需要，向甲方了解有关情况，调阅有关资料等，甲方应予积极配合；</w:t>
      </w:r>
    </w:p>
    <w:p w14:paraId="7F6A25BC">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2.6.2 乙方有义务妥善保管和保护由甲方提供的前款信息和资料等；</w:t>
      </w:r>
    </w:p>
    <w:p w14:paraId="738EC1AF">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925416">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12" w:name="_Toc19069"/>
      <w:bookmarkStart w:id="113" w:name="_Toc279701252"/>
      <w:bookmarkStart w:id="114" w:name="_Toc487900362"/>
      <w:bookmarkStart w:id="115" w:name="_Toc259093681"/>
      <w:r>
        <w:rPr>
          <w:rFonts w:hint="eastAsia" w:ascii="仿宋" w:hAnsi="仿宋" w:eastAsia="仿宋" w:cs="仿宋"/>
          <w:b/>
          <w:color w:val="auto"/>
          <w:spacing w:val="0"/>
          <w:sz w:val="24"/>
          <w:highlight w:val="none"/>
        </w:rPr>
        <w:t>2.7 质量保证</w:t>
      </w:r>
      <w:bookmarkEnd w:id="112"/>
    </w:p>
    <w:p w14:paraId="1C4B1479">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2.7.1 乙方应建立和完善履行合同的内部质量保证体系，并提供相关内部规章制度给甲方，以便甲方进行监督检查；</w:t>
      </w:r>
    </w:p>
    <w:p w14:paraId="6C775C8E">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2.7.2 乙方应保证履行合同的人员数量和素质、软件和硬件设备的配置、场地、环境和设施等满足全面履行合同的要求，并应接受甲方的监督检查。</w:t>
      </w:r>
    </w:p>
    <w:p w14:paraId="18B30968">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16" w:name="_Toc22267"/>
      <w:r>
        <w:rPr>
          <w:rFonts w:hint="eastAsia" w:ascii="仿宋" w:hAnsi="仿宋" w:eastAsia="仿宋" w:cs="仿宋"/>
          <w:b/>
          <w:color w:val="auto"/>
          <w:spacing w:val="0"/>
          <w:sz w:val="24"/>
          <w:highlight w:val="none"/>
        </w:rPr>
        <w:t>2.8 延迟</w:t>
      </w:r>
      <w:bookmarkEnd w:id="113"/>
      <w:bookmarkEnd w:id="114"/>
      <w:bookmarkEnd w:id="115"/>
      <w:r>
        <w:rPr>
          <w:rFonts w:hint="eastAsia" w:ascii="仿宋" w:hAnsi="仿宋" w:eastAsia="仿宋" w:cs="仿宋"/>
          <w:b/>
          <w:color w:val="auto"/>
          <w:spacing w:val="0"/>
          <w:sz w:val="24"/>
          <w:highlight w:val="none"/>
        </w:rPr>
        <w:t>履行</w:t>
      </w:r>
      <w:bookmarkEnd w:id="116"/>
    </w:p>
    <w:p w14:paraId="7159059F">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2B51296">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17" w:name="_Toc10611"/>
      <w:bookmarkStart w:id="118" w:name="_Ref467378121"/>
      <w:bookmarkStart w:id="119" w:name="_Toc279701254"/>
      <w:bookmarkStart w:id="120" w:name="_Toc259093683"/>
      <w:bookmarkStart w:id="121" w:name="_Toc487900364"/>
      <w:r>
        <w:rPr>
          <w:rFonts w:hint="eastAsia" w:ascii="仿宋" w:hAnsi="仿宋" w:eastAsia="仿宋" w:cs="仿宋"/>
          <w:b/>
          <w:color w:val="auto"/>
          <w:spacing w:val="0"/>
          <w:sz w:val="24"/>
          <w:highlight w:val="none"/>
        </w:rPr>
        <w:t>2.9 合同变更</w:t>
      </w:r>
      <w:bookmarkEnd w:id="117"/>
    </w:p>
    <w:p w14:paraId="72FD00F2">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5C486179">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2.9.2 合同继续履行将损害国家利益和社会公共利益的，双方当事人应当以书面形式变更合同。有过错的一方应当承担赔偿责任，双方当事人都有过错的，各自承担相应的责任。</w:t>
      </w:r>
      <w:bookmarkStart w:id="122" w:name="_Toc259093688"/>
      <w:bookmarkStart w:id="123" w:name="_Toc279701259"/>
      <w:bookmarkStart w:id="124" w:name="_Toc487900369"/>
    </w:p>
    <w:p w14:paraId="64E32C61">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25" w:name="_Toc23368"/>
      <w:bookmarkStart w:id="126" w:name="_Toc42"/>
      <w:bookmarkStart w:id="127" w:name="_Toc21830"/>
      <w:bookmarkStart w:id="128" w:name="_Toc10663"/>
      <w:bookmarkStart w:id="129" w:name="_Toc26689"/>
      <w:r>
        <w:rPr>
          <w:rFonts w:hint="eastAsia" w:ascii="仿宋" w:hAnsi="仿宋" w:eastAsia="仿宋" w:cs="仿宋"/>
          <w:b/>
          <w:color w:val="auto"/>
          <w:spacing w:val="0"/>
          <w:sz w:val="24"/>
          <w:highlight w:val="none"/>
        </w:rPr>
        <w:t>2.10 合同转让</w:t>
      </w:r>
      <w:bookmarkEnd w:id="122"/>
      <w:bookmarkEnd w:id="123"/>
      <w:bookmarkEnd w:id="124"/>
      <w:r>
        <w:rPr>
          <w:rFonts w:hint="eastAsia" w:ascii="仿宋" w:hAnsi="仿宋" w:eastAsia="仿宋" w:cs="仿宋"/>
          <w:b/>
          <w:color w:val="auto"/>
          <w:spacing w:val="0"/>
          <w:sz w:val="24"/>
          <w:highlight w:val="none"/>
        </w:rPr>
        <w:t>和分包</w:t>
      </w:r>
      <w:bookmarkEnd w:id="125"/>
      <w:bookmarkEnd w:id="126"/>
      <w:bookmarkEnd w:id="127"/>
      <w:bookmarkEnd w:id="128"/>
      <w:bookmarkEnd w:id="129"/>
    </w:p>
    <w:p w14:paraId="3D6A7840">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2F3D5A">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30" w:name="_Toc32494"/>
      <w:bookmarkStart w:id="131" w:name="_Toc25571"/>
      <w:bookmarkStart w:id="132" w:name="_Toc26633"/>
      <w:bookmarkStart w:id="133" w:name="_Toc4720"/>
      <w:bookmarkStart w:id="134" w:name="_Toc14371"/>
      <w:r>
        <w:rPr>
          <w:rFonts w:hint="eastAsia" w:ascii="仿宋" w:hAnsi="仿宋" w:eastAsia="仿宋" w:cs="仿宋"/>
          <w:b/>
          <w:color w:val="auto"/>
          <w:spacing w:val="0"/>
          <w:sz w:val="24"/>
          <w:highlight w:val="none"/>
        </w:rPr>
        <w:t>2.11 不可抗力</w:t>
      </w:r>
      <w:bookmarkEnd w:id="130"/>
      <w:bookmarkEnd w:id="131"/>
      <w:bookmarkEnd w:id="132"/>
      <w:bookmarkEnd w:id="133"/>
      <w:bookmarkEnd w:id="134"/>
    </w:p>
    <w:p w14:paraId="2E2ECE60">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2.11.1如果任何一方遭遇法律规定的不可抗力，致使合同履行受阻时，履行合同的期限应予延长，延长的期限应相当于不可抗力所影响的时间；</w:t>
      </w:r>
    </w:p>
    <w:p w14:paraId="7EAB434D">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2.11.2 因不可抗力致使不能实现合同目的的，当事人可以解除合同；</w:t>
      </w:r>
    </w:p>
    <w:p w14:paraId="505BA2D3">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2.11.3 因不可抗力致使合同有变更必要的，双方当事人应在</w:t>
      </w:r>
      <w:r>
        <w:rPr>
          <w:rFonts w:hint="eastAsia" w:ascii="仿宋" w:hAnsi="仿宋" w:eastAsia="仿宋" w:cs="仿宋"/>
          <w:b/>
          <w:i/>
          <w:color w:val="auto"/>
          <w:spacing w:val="0"/>
          <w:sz w:val="24"/>
          <w:highlight w:val="none"/>
          <w:u w:val="single"/>
        </w:rPr>
        <w:t>合同专用条款</w:t>
      </w:r>
      <w:r>
        <w:rPr>
          <w:rFonts w:hint="eastAsia" w:ascii="仿宋" w:hAnsi="仿宋" w:eastAsia="仿宋" w:cs="仿宋"/>
          <w:color w:val="auto"/>
          <w:spacing w:val="0"/>
          <w:sz w:val="24"/>
          <w:highlight w:val="none"/>
        </w:rPr>
        <w:t>约定时间内以书面形式变更合同；</w:t>
      </w:r>
    </w:p>
    <w:p w14:paraId="1DA72236">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2.11.4受不可抗力影响的一方在不可抗力发生后，应在</w:t>
      </w:r>
      <w:r>
        <w:rPr>
          <w:rFonts w:hint="eastAsia" w:ascii="仿宋" w:hAnsi="仿宋" w:eastAsia="仿宋" w:cs="仿宋"/>
          <w:b/>
          <w:i/>
          <w:color w:val="auto"/>
          <w:spacing w:val="0"/>
          <w:sz w:val="24"/>
          <w:highlight w:val="none"/>
          <w:u w:val="single"/>
        </w:rPr>
        <w:t>合同专用条款</w:t>
      </w:r>
      <w:r>
        <w:rPr>
          <w:rFonts w:hint="eastAsia" w:ascii="仿宋" w:hAnsi="仿宋" w:eastAsia="仿宋" w:cs="仿宋"/>
          <w:color w:val="auto"/>
          <w:spacing w:val="0"/>
          <w:sz w:val="24"/>
          <w:highlight w:val="none"/>
        </w:rPr>
        <w:t>约定时间内以书面形式通知对方当事人，并在</w:t>
      </w:r>
      <w:r>
        <w:rPr>
          <w:rFonts w:hint="eastAsia" w:ascii="仿宋" w:hAnsi="仿宋" w:eastAsia="仿宋" w:cs="仿宋"/>
          <w:b/>
          <w:i/>
          <w:color w:val="auto"/>
          <w:spacing w:val="0"/>
          <w:sz w:val="24"/>
          <w:highlight w:val="none"/>
          <w:u w:val="single"/>
        </w:rPr>
        <w:t>合同专用条款</w:t>
      </w:r>
      <w:r>
        <w:rPr>
          <w:rFonts w:hint="eastAsia" w:ascii="仿宋" w:hAnsi="仿宋" w:eastAsia="仿宋" w:cs="仿宋"/>
          <w:color w:val="auto"/>
          <w:spacing w:val="0"/>
          <w:sz w:val="24"/>
          <w:highlight w:val="none"/>
        </w:rPr>
        <w:t>约定时间内，将有关部门出具的证明文件送达对方当事人。</w:t>
      </w:r>
    </w:p>
    <w:p w14:paraId="58DEEA27">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35" w:name="_Toc24465"/>
      <w:bookmarkStart w:id="136" w:name="_Toc23854"/>
      <w:bookmarkStart w:id="137" w:name="_Toc487900365"/>
      <w:bookmarkStart w:id="138" w:name="_Toc25783"/>
      <w:bookmarkStart w:id="139" w:name="_Toc279701255"/>
      <w:bookmarkStart w:id="140" w:name="_Toc3638"/>
      <w:bookmarkStart w:id="141" w:name="_Toc14115"/>
      <w:bookmarkStart w:id="142" w:name="_Toc259093684"/>
      <w:r>
        <w:rPr>
          <w:rFonts w:hint="eastAsia" w:ascii="仿宋" w:hAnsi="仿宋" w:eastAsia="仿宋" w:cs="仿宋"/>
          <w:b/>
          <w:color w:val="auto"/>
          <w:spacing w:val="0"/>
          <w:sz w:val="24"/>
          <w:highlight w:val="none"/>
        </w:rPr>
        <w:t>2.12 税费</w:t>
      </w:r>
      <w:bookmarkEnd w:id="135"/>
      <w:bookmarkEnd w:id="136"/>
      <w:bookmarkEnd w:id="137"/>
      <w:bookmarkEnd w:id="138"/>
      <w:bookmarkEnd w:id="139"/>
      <w:bookmarkEnd w:id="140"/>
      <w:bookmarkEnd w:id="141"/>
      <w:bookmarkEnd w:id="142"/>
    </w:p>
    <w:p w14:paraId="04AF1D15">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与合同有关的一切税费，均按照中华人民共和国法律的相关规定缴纳。</w:t>
      </w:r>
    </w:p>
    <w:p w14:paraId="7281FCEA">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43" w:name="_Toc279701258"/>
      <w:bookmarkStart w:id="144" w:name="_Toc14814"/>
      <w:bookmarkStart w:id="145" w:name="_Toc487900368"/>
      <w:bookmarkStart w:id="146" w:name="_Toc259093687"/>
      <w:bookmarkStart w:id="147" w:name="_Toc26883"/>
      <w:bookmarkStart w:id="148" w:name="_Toc25525"/>
      <w:bookmarkStart w:id="149" w:name="_Toc7315"/>
      <w:bookmarkStart w:id="150" w:name="_Toc30105"/>
      <w:r>
        <w:rPr>
          <w:rFonts w:hint="eastAsia" w:ascii="仿宋" w:hAnsi="仿宋" w:eastAsia="仿宋" w:cs="仿宋"/>
          <w:b/>
          <w:color w:val="auto"/>
          <w:spacing w:val="0"/>
          <w:sz w:val="24"/>
          <w:highlight w:val="none"/>
        </w:rPr>
        <w:t>2.13 乙方破产</w:t>
      </w:r>
      <w:bookmarkEnd w:id="143"/>
      <w:bookmarkEnd w:id="144"/>
      <w:bookmarkEnd w:id="145"/>
      <w:bookmarkEnd w:id="146"/>
      <w:bookmarkEnd w:id="147"/>
      <w:bookmarkEnd w:id="148"/>
      <w:bookmarkEnd w:id="149"/>
      <w:bookmarkEnd w:id="150"/>
    </w:p>
    <w:p w14:paraId="45ECADBB">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FEDEA7">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51" w:name="_Toc1123"/>
      <w:bookmarkStart w:id="152" w:name="_Toc23323"/>
      <w:bookmarkStart w:id="153" w:name="_Toc2016"/>
      <w:r>
        <w:rPr>
          <w:rFonts w:hint="eastAsia" w:ascii="仿宋" w:hAnsi="仿宋" w:eastAsia="仿宋" w:cs="仿宋"/>
          <w:b/>
          <w:color w:val="auto"/>
          <w:spacing w:val="0"/>
          <w:sz w:val="24"/>
          <w:highlight w:val="none"/>
        </w:rPr>
        <w:t>2.14 合同中止、终止</w:t>
      </w:r>
      <w:bookmarkEnd w:id="151"/>
      <w:bookmarkEnd w:id="152"/>
      <w:bookmarkEnd w:id="153"/>
    </w:p>
    <w:p w14:paraId="13CCFBF0">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2.14.1 双方当事人不得擅自中止或者终止合同；</w:t>
      </w:r>
    </w:p>
    <w:p w14:paraId="748FC41D">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2.14.2合同继续履行将损害国家利益和社会公共利益的，双方当事人应当中止或者终止合同。有过错的一方应当承担赔偿责任，双方当事人都有过错的，各自承担相应的责任。</w:t>
      </w:r>
    </w:p>
    <w:p w14:paraId="25DED818">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54" w:name="_Toc17363"/>
      <w:bookmarkStart w:id="155" w:name="_Toc14525"/>
      <w:bookmarkStart w:id="156" w:name="_Toc1969"/>
      <w:r>
        <w:rPr>
          <w:rFonts w:hint="eastAsia" w:ascii="仿宋" w:hAnsi="仿宋" w:eastAsia="仿宋" w:cs="仿宋"/>
          <w:b/>
          <w:color w:val="auto"/>
          <w:spacing w:val="0"/>
          <w:sz w:val="24"/>
          <w:highlight w:val="none"/>
        </w:rPr>
        <w:t>2.15 检验和验收</w:t>
      </w:r>
      <w:bookmarkEnd w:id="154"/>
      <w:bookmarkEnd w:id="155"/>
      <w:bookmarkEnd w:id="156"/>
    </w:p>
    <w:p w14:paraId="056A4394">
      <w:pPr>
        <w:keepNext w:val="0"/>
        <w:keepLines w:val="0"/>
        <w:pageBreakBefore w:val="0"/>
        <w:widowControl w:val="0"/>
        <w:tabs>
          <w:tab w:val="left" w:pos="360"/>
          <w:tab w:val="left" w:pos="540"/>
          <w:tab w:val="left" w:pos="1080"/>
        </w:tabs>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2.15.1 乙方按照</w:t>
      </w:r>
      <w:r>
        <w:rPr>
          <w:rFonts w:hint="eastAsia" w:ascii="仿宋" w:hAnsi="仿宋" w:eastAsia="仿宋" w:cs="仿宋"/>
          <w:b/>
          <w:i/>
          <w:color w:val="auto"/>
          <w:spacing w:val="0"/>
          <w:sz w:val="24"/>
          <w:highlight w:val="none"/>
          <w:u w:val="single"/>
        </w:rPr>
        <w:t>合同专用条款</w:t>
      </w:r>
      <w:r>
        <w:rPr>
          <w:rFonts w:hint="eastAsia" w:ascii="仿宋" w:hAnsi="仿宋" w:eastAsia="仿宋" w:cs="仿宋"/>
          <w:color w:val="auto"/>
          <w:spacing w:val="0"/>
          <w:sz w:val="24"/>
          <w:highlight w:val="none"/>
        </w:rPr>
        <w:t>的约定，定期提交服务报告，甲方按照</w:t>
      </w:r>
      <w:r>
        <w:rPr>
          <w:rFonts w:hint="eastAsia" w:ascii="仿宋" w:hAnsi="仿宋" w:eastAsia="仿宋" w:cs="仿宋"/>
          <w:b/>
          <w:i/>
          <w:color w:val="auto"/>
          <w:spacing w:val="0"/>
          <w:sz w:val="24"/>
          <w:highlight w:val="none"/>
          <w:u w:val="single"/>
        </w:rPr>
        <w:t>合同专用条款</w:t>
      </w:r>
      <w:r>
        <w:rPr>
          <w:rFonts w:hint="eastAsia" w:ascii="仿宋" w:hAnsi="仿宋" w:eastAsia="仿宋" w:cs="仿宋"/>
          <w:color w:val="auto"/>
          <w:spacing w:val="0"/>
          <w:sz w:val="24"/>
          <w:highlight w:val="none"/>
        </w:rPr>
        <w:t>的约定进行定期验收；</w:t>
      </w:r>
    </w:p>
    <w:p w14:paraId="1F22D5EA">
      <w:pPr>
        <w:keepNext w:val="0"/>
        <w:keepLines w:val="0"/>
        <w:pageBreakBefore w:val="0"/>
        <w:widowControl w:val="0"/>
        <w:tabs>
          <w:tab w:val="left" w:pos="360"/>
          <w:tab w:val="left" w:pos="540"/>
          <w:tab w:val="left" w:pos="1080"/>
        </w:tabs>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503E12">
      <w:pPr>
        <w:keepNext w:val="0"/>
        <w:keepLines w:val="0"/>
        <w:pageBreakBefore w:val="0"/>
        <w:widowControl w:val="0"/>
        <w:tabs>
          <w:tab w:val="left" w:pos="360"/>
          <w:tab w:val="left" w:pos="540"/>
          <w:tab w:val="left" w:pos="1080"/>
        </w:tabs>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2.15.3 检验和验收标准、程序等具体内容以及前述验收书的效力详见</w:t>
      </w:r>
      <w:r>
        <w:rPr>
          <w:rFonts w:hint="eastAsia" w:ascii="仿宋" w:hAnsi="仿宋" w:eastAsia="仿宋" w:cs="仿宋"/>
          <w:b/>
          <w:i/>
          <w:color w:val="auto"/>
          <w:spacing w:val="0"/>
          <w:sz w:val="24"/>
          <w:highlight w:val="none"/>
          <w:u w:val="single"/>
        </w:rPr>
        <w:t>合同专用条款</w:t>
      </w:r>
      <w:r>
        <w:rPr>
          <w:rFonts w:hint="eastAsia" w:ascii="仿宋" w:hAnsi="仿宋" w:eastAsia="仿宋" w:cs="仿宋"/>
          <w:i/>
          <w:color w:val="auto"/>
          <w:spacing w:val="0"/>
          <w:sz w:val="24"/>
          <w:highlight w:val="none"/>
        </w:rPr>
        <w:t>。</w:t>
      </w:r>
    </w:p>
    <w:bookmarkEnd w:id="118"/>
    <w:bookmarkEnd w:id="119"/>
    <w:bookmarkEnd w:id="120"/>
    <w:bookmarkEnd w:id="121"/>
    <w:p w14:paraId="26F069D2">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57" w:name="_Toc487900371"/>
      <w:bookmarkStart w:id="158" w:name="_Toc259093690"/>
      <w:bookmarkStart w:id="159" w:name="_Toc279701261"/>
      <w:bookmarkStart w:id="160" w:name="_Toc25198"/>
      <w:bookmarkStart w:id="161" w:name="_Toc9808"/>
      <w:bookmarkStart w:id="162" w:name="_Toc31892"/>
      <w:bookmarkStart w:id="163" w:name="_Toc12666"/>
      <w:bookmarkStart w:id="164" w:name="_Toc2308"/>
      <w:r>
        <w:rPr>
          <w:rFonts w:hint="eastAsia" w:ascii="仿宋" w:hAnsi="仿宋" w:eastAsia="仿宋" w:cs="仿宋"/>
          <w:b/>
          <w:color w:val="auto"/>
          <w:spacing w:val="0"/>
          <w:sz w:val="24"/>
          <w:highlight w:val="none"/>
        </w:rPr>
        <w:t>2.16 通知</w:t>
      </w:r>
      <w:bookmarkEnd w:id="157"/>
      <w:bookmarkEnd w:id="158"/>
      <w:bookmarkEnd w:id="159"/>
      <w:r>
        <w:rPr>
          <w:rFonts w:hint="eastAsia" w:ascii="仿宋" w:hAnsi="仿宋" w:eastAsia="仿宋" w:cs="仿宋"/>
          <w:b/>
          <w:color w:val="auto"/>
          <w:spacing w:val="0"/>
          <w:sz w:val="24"/>
          <w:highlight w:val="none"/>
        </w:rPr>
        <w:t>和送达</w:t>
      </w:r>
      <w:bookmarkEnd w:id="160"/>
      <w:bookmarkEnd w:id="161"/>
      <w:bookmarkEnd w:id="162"/>
      <w:bookmarkEnd w:id="163"/>
      <w:bookmarkEnd w:id="164"/>
    </w:p>
    <w:p w14:paraId="1EF58D5E">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bookmarkStart w:id="165" w:name="_Toc7073"/>
      <w:bookmarkStart w:id="166" w:name="_Toc29220"/>
      <w:bookmarkStart w:id="167" w:name="_Toc487900372"/>
      <w:bookmarkStart w:id="168" w:name="_Toc279701262"/>
      <w:bookmarkStart w:id="169" w:name="_Toc259093691"/>
      <w:r>
        <w:rPr>
          <w:rFonts w:hint="eastAsia" w:ascii="仿宋" w:hAnsi="仿宋" w:eastAsia="仿宋" w:cs="仿宋"/>
          <w:color w:val="auto"/>
          <w:spacing w:val="0"/>
          <w:sz w:val="24"/>
          <w:highlight w:val="none"/>
        </w:rPr>
        <w:t>2.16.1 任何一方因履行合同而以合同第一部分尾部所列明的</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发出的所有通知、文件、材料，均视为已向对方当事人送达；任何一方变更上述送达方式或者地址的，应于</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个工作日内书面通知对方当事人，在对方当事人收到有关变更通知之前，变更前的约定送达方式或者地址仍视为有效。</w:t>
      </w:r>
      <w:bookmarkEnd w:id="165"/>
      <w:bookmarkEnd w:id="166"/>
    </w:p>
    <w:p w14:paraId="19012ADF">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bookmarkStart w:id="170" w:name="_Toc18401"/>
      <w:bookmarkStart w:id="171" w:name="_Toc27674"/>
      <w:r>
        <w:rPr>
          <w:rFonts w:hint="eastAsia" w:ascii="仿宋" w:hAnsi="仿宋" w:eastAsia="仿宋" w:cs="仿宋"/>
          <w:color w:val="auto"/>
          <w:spacing w:val="0"/>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bookmarkEnd w:id="167"/>
    <w:bookmarkEnd w:id="168"/>
    <w:bookmarkEnd w:id="169"/>
    <w:p w14:paraId="0B43BF24">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72" w:name="_Toc487900373"/>
      <w:bookmarkStart w:id="173" w:name="_Toc259093692"/>
      <w:bookmarkStart w:id="174" w:name="_Toc28906"/>
      <w:bookmarkStart w:id="175" w:name="_Toc279701263"/>
      <w:bookmarkStart w:id="176" w:name="_Toc12254"/>
      <w:bookmarkStart w:id="177" w:name="_Toc27644"/>
      <w:bookmarkStart w:id="178" w:name="_Toc5063"/>
      <w:bookmarkStart w:id="179" w:name="_Toc20808"/>
      <w:r>
        <w:rPr>
          <w:rFonts w:hint="eastAsia" w:ascii="仿宋" w:hAnsi="仿宋" w:eastAsia="仿宋" w:cs="仿宋"/>
          <w:b/>
          <w:color w:val="auto"/>
          <w:spacing w:val="0"/>
          <w:sz w:val="24"/>
          <w:highlight w:val="none"/>
        </w:rPr>
        <w:t>2.17 合同使用的文字和适用的法律</w:t>
      </w:r>
      <w:bookmarkEnd w:id="172"/>
      <w:bookmarkEnd w:id="173"/>
      <w:bookmarkEnd w:id="174"/>
      <w:bookmarkEnd w:id="175"/>
      <w:bookmarkEnd w:id="176"/>
      <w:bookmarkEnd w:id="177"/>
      <w:bookmarkEnd w:id="178"/>
      <w:bookmarkEnd w:id="179"/>
    </w:p>
    <w:p w14:paraId="12272EBB">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2.17.1 合同使用汉语书就、变更和解释；</w:t>
      </w:r>
    </w:p>
    <w:p w14:paraId="46B1D9B9">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2.17.2 合同适用中华人民共和国法律。</w:t>
      </w:r>
    </w:p>
    <w:p w14:paraId="14182AA9">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bookmarkStart w:id="180" w:name="_Toc279701264"/>
      <w:bookmarkStart w:id="181" w:name="_Toc30096"/>
      <w:bookmarkStart w:id="182" w:name="_Toc259093693"/>
      <w:bookmarkStart w:id="183" w:name="_Toc27127"/>
      <w:bookmarkStart w:id="184" w:name="_Toc22266"/>
      <w:bookmarkStart w:id="185" w:name="_Toc27403"/>
      <w:bookmarkStart w:id="186" w:name="_Toc1492"/>
      <w:bookmarkStart w:id="187" w:name="_Toc487900374"/>
      <w:r>
        <w:rPr>
          <w:rFonts w:hint="eastAsia" w:ascii="仿宋" w:hAnsi="仿宋" w:eastAsia="仿宋" w:cs="仿宋"/>
          <w:b/>
          <w:color w:val="auto"/>
          <w:spacing w:val="0"/>
          <w:sz w:val="24"/>
          <w:highlight w:val="none"/>
        </w:rPr>
        <w:t>2.18 履约保证金</w:t>
      </w:r>
      <w:bookmarkEnd w:id="180"/>
      <w:bookmarkEnd w:id="181"/>
      <w:bookmarkEnd w:id="182"/>
      <w:bookmarkEnd w:id="183"/>
      <w:bookmarkEnd w:id="184"/>
      <w:bookmarkEnd w:id="185"/>
      <w:bookmarkEnd w:id="186"/>
    </w:p>
    <w:p w14:paraId="1A8CAE3F">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2.18.1 采购文件要求乙方提交履约保证金的，乙方应按</w:t>
      </w:r>
      <w:r>
        <w:rPr>
          <w:rFonts w:hint="eastAsia" w:ascii="仿宋" w:hAnsi="仿宋" w:eastAsia="仿宋" w:cs="仿宋"/>
          <w:b/>
          <w:i/>
          <w:color w:val="auto"/>
          <w:spacing w:val="0"/>
          <w:sz w:val="24"/>
          <w:highlight w:val="none"/>
          <w:u w:val="single"/>
        </w:rPr>
        <w:t>合同专用条款</w:t>
      </w:r>
      <w:r>
        <w:rPr>
          <w:rFonts w:hint="eastAsia" w:ascii="仿宋" w:hAnsi="仿宋" w:eastAsia="仿宋" w:cs="仿宋"/>
          <w:color w:val="auto"/>
          <w:spacing w:val="0"/>
          <w:sz w:val="24"/>
          <w:highlight w:val="none"/>
        </w:rPr>
        <w:t>约定的方式，以支票、汇票、本票或者金融机构、担保机构出具的保函等非现金形式，提交不超过合同价10%的履约保证金；</w:t>
      </w:r>
    </w:p>
    <w:p w14:paraId="044AF413">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2.18.2 履约保证金在</w:t>
      </w:r>
      <w:r>
        <w:rPr>
          <w:rFonts w:hint="eastAsia" w:ascii="仿宋" w:hAnsi="仿宋" w:eastAsia="仿宋" w:cs="仿宋"/>
          <w:b/>
          <w:i/>
          <w:color w:val="auto"/>
          <w:spacing w:val="0"/>
          <w:sz w:val="24"/>
          <w:highlight w:val="none"/>
          <w:u w:val="single"/>
        </w:rPr>
        <w:t>合同专用条款</w:t>
      </w:r>
      <w:r>
        <w:rPr>
          <w:rFonts w:hint="eastAsia" w:ascii="仿宋" w:hAnsi="仿宋" w:eastAsia="仿宋" w:cs="仿宋"/>
          <w:color w:val="auto"/>
          <w:spacing w:val="0"/>
          <w:sz w:val="24"/>
          <w:highlight w:val="none"/>
        </w:rPr>
        <w:t>约定期间内不予退还或者应完全有效，前述约定期间届满之日起</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个工作日内，甲方应将履约保证金退还乙方；</w:t>
      </w:r>
    </w:p>
    <w:p w14:paraId="43B6E87B">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7"/>
    <w:p w14:paraId="1117A4D4">
      <w:pPr>
        <w:keepNext w:val="0"/>
        <w:keepLines w:val="0"/>
        <w:pageBreakBefore w:val="0"/>
        <w:widowControl w:val="0"/>
        <w:wordWrap/>
        <w:overflowPunct/>
        <w:topLinePunct w:val="0"/>
        <w:bidi w:val="0"/>
        <w:spacing w:line="240" w:lineRule="auto"/>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2.19 合同份数</w:t>
      </w:r>
    </w:p>
    <w:p w14:paraId="2D4BE5AB">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合同份数按</w:t>
      </w:r>
      <w:r>
        <w:rPr>
          <w:rFonts w:hint="eastAsia" w:ascii="仿宋" w:hAnsi="仿宋" w:eastAsia="仿宋" w:cs="仿宋"/>
          <w:b/>
          <w:i/>
          <w:color w:val="auto"/>
          <w:spacing w:val="0"/>
          <w:sz w:val="24"/>
          <w:highlight w:val="none"/>
          <w:u w:val="single"/>
        </w:rPr>
        <w:t>合同专用条款</w:t>
      </w:r>
      <w:r>
        <w:rPr>
          <w:rFonts w:hint="eastAsia" w:ascii="仿宋" w:hAnsi="仿宋" w:eastAsia="仿宋" w:cs="仿宋"/>
          <w:color w:val="auto"/>
          <w:spacing w:val="0"/>
          <w:sz w:val="24"/>
          <w:highlight w:val="none"/>
        </w:rPr>
        <w:t>规定，每份均具有同等法律效力。</w:t>
      </w:r>
    </w:p>
    <w:p w14:paraId="2C8AF0E4">
      <w:pPr>
        <w:pStyle w:val="48"/>
        <w:keepNext w:val="0"/>
        <w:keepLines w:val="0"/>
        <w:pageBreakBefore w:val="0"/>
        <w:widowControl w:val="0"/>
        <w:wordWrap/>
        <w:overflowPunct/>
        <w:topLinePunct w:val="0"/>
        <w:bidi w:val="0"/>
        <w:spacing w:line="240" w:lineRule="auto"/>
        <w:ind w:firstLine="0"/>
        <w:jc w:val="center"/>
        <w:rPr>
          <w:rFonts w:hint="eastAsia" w:ascii="仿宋" w:hAnsi="仿宋" w:eastAsia="仿宋" w:cs="仿宋"/>
          <w:b/>
          <w:color w:val="auto"/>
          <w:spacing w:val="0"/>
          <w:szCs w:val="24"/>
          <w:highlight w:val="none"/>
        </w:rPr>
      </w:pPr>
      <w:bookmarkStart w:id="188" w:name="_Toc331685784"/>
      <w:r>
        <w:rPr>
          <w:rFonts w:hint="eastAsia" w:ascii="仿宋" w:hAnsi="仿宋" w:eastAsia="仿宋" w:cs="仿宋"/>
          <w:b/>
          <w:color w:val="auto"/>
          <w:spacing w:val="0"/>
          <w:szCs w:val="24"/>
          <w:highlight w:val="none"/>
        </w:rPr>
        <w:t>第三部分  合同专用条款</w:t>
      </w:r>
      <w:bookmarkEnd w:id="188"/>
    </w:p>
    <w:p w14:paraId="2F1251AA">
      <w:pPr>
        <w:keepNext w:val="0"/>
        <w:keepLines w:val="0"/>
        <w:pageBreakBefore w:val="0"/>
        <w:widowControl w:val="0"/>
        <w:wordWrap/>
        <w:overflowPunct/>
        <w:topLinePunct w:val="0"/>
        <w:bidi w:val="0"/>
        <w:spacing w:line="240" w:lineRule="auto"/>
        <w:ind w:firstLine="480" w:firstLineChars="200"/>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CA7D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5BC2FA45">
            <w:pPr>
              <w:keepNext w:val="0"/>
              <w:keepLines w:val="0"/>
              <w:pageBreakBefore w:val="0"/>
              <w:widowControl w:val="0"/>
              <w:wordWrap/>
              <w:overflowPunct/>
              <w:topLinePunct w:val="0"/>
              <w:bidi w:val="0"/>
              <w:spacing w:line="240" w:lineRule="auto"/>
              <w:jc w:val="center"/>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条款号</w:t>
            </w:r>
          </w:p>
        </w:tc>
        <w:tc>
          <w:tcPr>
            <w:tcW w:w="7633" w:type="dxa"/>
            <w:noWrap w:val="0"/>
            <w:vAlign w:val="center"/>
          </w:tcPr>
          <w:p w14:paraId="06FA8376">
            <w:pPr>
              <w:keepNext w:val="0"/>
              <w:keepLines w:val="0"/>
              <w:pageBreakBefore w:val="0"/>
              <w:widowControl w:val="0"/>
              <w:wordWrap/>
              <w:overflowPunct/>
              <w:topLinePunct w:val="0"/>
              <w:bidi w:val="0"/>
              <w:spacing w:line="240" w:lineRule="auto"/>
              <w:jc w:val="center"/>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约定内容</w:t>
            </w:r>
          </w:p>
        </w:tc>
      </w:tr>
      <w:tr w14:paraId="1656D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170F56CA">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3DECF53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r>
      <w:tr w14:paraId="50397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A694D2F">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47AA814D">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r>
      <w:tr w14:paraId="5F7F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0C8B404">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225B38B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r>
      <w:tr w14:paraId="72C6B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7BA1CE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1FAC528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r>
      <w:tr w14:paraId="37CFD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2CC037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492FCE3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u w:val="single"/>
              </w:rPr>
            </w:pPr>
          </w:p>
        </w:tc>
      </w:tr>
      <w:tr w14:paraId="79754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322D19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4283324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r>
      <w:tr w14:paraId="4EB39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FA5217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6780E36B">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u w:val="single"/>
              </w:rPr>
            </w:pPr>
          </w:p>
        </w:tc>
      </w:tr>
      <w:tr w14:paraId="1A785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D47C48A">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2E759F85">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r>
      <w:tr w14:paraId="1A6D8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9F908E3">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421CAFA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r>
      <w:tr w14:paraId="60BAE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5BBCC0D">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6A23EB26">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r>
      <w:tr w14:paraId="5A7F7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FB88DA6">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7EF14546">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r>
      <w:tr w14:paraId="674EB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91B9D8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c>
          <w:tcPr>
            <w:tcW w:w="7633" w:type="dxa"/>
            <w:noWrap w:val="0"/>
            <w:vAlign w:val="center"/>
          </w:tcPr>
          <w:p w14:paraId="5848492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highlight w:val="none"/>
              </w:rPr>
            </w:pPr>
          </w:p>
        </w:tc>
      </w:tr>
    </w:tbl>
    <w:p w14:paraId="20E9E307">
      <w:pPr>
        <w:bidi w:val="0"/>
        <w:rPr>
          <w:rFonts w:hint="eastAsia"/>
        </w:rPr>
      </w:pPr>
      <w:bookmarkStart w:id="189" w:name="bookmark5"/>
      <w:bookmarkEnd w:id="189"/>
    </w:p>
    <w:p w14:paraId="623C6433">
      <w:pPr>
        <w:bidi w:val="0"/>
        <w:rPr>
          <w:rFonts w:hint="eastAsia"/>
        </w:rPr>
      </w:pPr>
    </w:p>
    <w:p w14:paraId="07248D25">
      <w:pPr>
        <w:bidi w:val="0"/>
        <w:rPr>
          <w:rFonts w:hint="eastAsia"/>
        </w:rPr>
      </w:pPr>
    </w:p>
    <w:p w14:paraId="69C298E2">
      <w:pPr>
        <w:bidi w:val="0"/>
        <w:rPr>
          <w:rFonts w:hint="eastAsia"/>
        </w:rPr>
      </w:pPr>
    </w:p>
    <w:p w14:paraId="56AE9935">
      <w:pPr>
        <w:bidi w:val="0"/>
        <w:rPr>
          <w:rFonts w:hint="eastAsia"/>
        </w:rPr>
      </w:pPr>
    </w:p>
    <w:p w14:paraId="1D1899E9">
      <w:pPr>
        <w:bidi w:val="0"/>
        <w:rPr>
          <w:rFonts w:hint="eastAsia"/>
        </w:rPr>
      </w:pPr>
    </w:p>
    <w:p w14:paraId="314DC437">
      <w:pPr>
        <w:bidi w:val="0"/>
        <w:rPr>
          <w:rFonts w:hint="eastAsia"/>
        </w:rPr>
      </w:pPr>
    </w:p>
    <w:p w14:paraId="59552B2E">
      <w:pPr>
        <w:bidi w:val="0"/>
        <w:rPr>
          <w:rFonts w:hint="eastAsia"/>
        </w:rPr>
      </w:pPr>
    </w:p>
    <w:p w14:paraId="5869CA0F">
      <w:pPr>
        <w:bidi w:val="0"/>
        <w:rPr>
          <w:rFonts w:hint="eastAsia"/>
        </w:rPr>
      </w:pPr>
    </w:p>
    <w:p w14:paraId="1EA5D4C2">
      <w:pPr>
        <w:bidi w:val="0"/>
        <w:rPr>
          <w:rFonts w:hint="eastAsia"/>
        </w:rPr>
      </w:pPr>
    </w:p>
    <w:p w14:paraId="60FB976B">
      <w:pPr>
        <w:bidi w:val="0"/>
        <w:rPr>
          <w:rFonts w:hint="eastAsia"/>
        </w:rPr>
      </w:pPr>
    </w:p>
    <w:p w14:paraId="23EB2DCE">
      <w:pPr>
        <w:bidi w:val="0"/>
        <w:rPr>
          <w:rFonts w:hint="eastAsia"/>
        </w:rPr>
      </w:pPr>
    </w:p>
    <w:p w14:paraId="295A0B44">
      <w:pPr>
        <w:rPr>
          <w:rFonts w:hint="eastAsia" w:ascii="仿宋" w:hAnsi="仿宋" w:eastAsia="仿宋" w:cs="仿宋"/>
          <w:b/>
          <w:bCs/>
          <w:color w:val="auto"/>
          <w:spacing w:val="0"/>
          <w:sz w:val="31"/>
          <w:szCs w:val="31"/>
          <w:highlight w:val="none"/>
        </w:rPr>
      </w:pPr>
      <w:r>
        <w:rPr>
          <w:rFonts w:hint="eastAsia" w:ascii="仿宋" w:hAnsi="仿宋" w:eastAsia="仿宋" w:cs="仿宋"/>
          <w:b/>
          <w:bCs/>
          <w:color w:val="auto"/>
          <w:spacing w:val="0"/>
          <w:sz w:val="31"/>
          <w:szCs w:val="31"/>
          <w:highlight w:val="none"/>
        </w:rPr>
        <w:br w:type="page"/>
      </w:r>
    </w:p>
    <w:p w14:paraId="51C65595">
      <w:pPr>
        <w:keepNext w:val="0"/>
        <w:keepLines w:val="0"/>
        <w:pageBreakBefore w:val="0"/>
        <w:widowControl w:val="0"/>
        <w:wordWrap/>
        <w:overflowPunct/>
        <w:topLinePunct w:val="0"/>
        <w:bidi w:val="0"/>
        <w:spacing w:before="101" w:line="240" w:lineRule="auto"/>
        <w:ind w:left="3404"/>
        <w:outlineLvl w:val="0"/>
        <w:rPr>
          <w:rFonts w:hint="eastAsia" w:ascii="仿宋" w:hAnsi="仿宋" w:eastAsia="仿宋" w:cs="仿宋"/>
          <w:color w:val="auto"/>
          <w:spacing w:val="0"/>
          <w:highlight w:val="none"/>
          <w:lang w:val="en-US" w:eastAsia="zh-CN"/>
        </w:rPr>
      </w:pPr>
      <w:r>
        <w:rPr>
          <w:rFonts w:hint="eastAsia" w:ascii="仿宋" w:hAnsi="仿宋" w:eastAsia="仿宋" w:cs="仿宋"/>
          <w:b/>
          <w:bCs/>
          <w:color w:val="auto"/>
          <w:spacing w:val="0"/>
          <w:sz w:val="31"/>
          <w:szCs w:val="31"/>
          <w:highlight w:val="none"/>
        </w:rPr>
        <w:t>第五章</w:t>
      </w:r>
      <w:r>
        <w:rPr>
          <w:rFonts w:hint="eastAsia" w:ascii="仿宋" w:hAnsi="仿宋" w:eastAsia="仿宋" w:cs="仿宋"/>
          <w:color w:val="auto"/>
          <w:spacing w:val="0"/>
          <w:sz w:val="31"/>
          <w:szCs w:val="31"/>
          <w:highlight w:val="none"/>
        </w:rPr>
        <w:t xml:space="preserve"> </w:t>
      </w:r>
      <w:r>
        <w:rPr>
          <w:rFonts w:hint="eastAsia" w:ascii="仿宋" w:hAnsi="仿宋" w:eastAsia="仿宋" w:cs="仿宋"/>
          <w:b/>
          <w:bCs/>
          <w:color w:val="auto"/>
          <w:spacing w:val="0"/>
          <w:sz w:val="31"/>
          <w:szCs w:val="31"/>
          <w:highlight w:val="none"/>
        </w:rPr>
        <w:t>服务需求</w:t>
      </w:r>
      <w:r>
        <w:rPr>
          <w:rFonts w:hint="eastAsia" w:ascii="仿宋" w:hAnsi="仿宋" w:eastAsia="仿宋" w:cs="仿宋"/>
          <w:b/>
          <w:bCs/>
          <w:color w:val="auto"/>
          <w:spacing w:val="0"/>
          <w:sz w:val="31"/>
          <w:szCs w:val="31"/>
          <w:highlight w:val="none"/>
          <w:lang w:val="en-US" w:eastAsia="zh-CN"/>
        </w:rPr>
        <w:t xml:space="preserve"> </w:t>
      </w:r>
    </w:p>
    <w:p w14:paraId="2C552F40">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80"/>
        <w:textAlignment w:val="baseline"/>
        <w:outlineLvl w:val="1"/>
        <w:rPr>
          <w:rFonts w:hint="default" w:ascii="仿宋" w:hAnsi="仿宋" w:eastAsia="仿宋" w:cs="仿宋"/>
          <w:color w:val="auto"/>
          <w:spacing w:val="0"/>
          <w:sz w:val="30"/>
          <w:szCs w:val="30"/>
          <w:highlight w:val="none"/>
          <w:lang w:val="en-US" w:eastAsia="zh-CN"/>
        </w:rPr>
      </w:pPr>
      <w:r>
        <w:rPr>
          <w:rFonts w:hint="eastAsia" w:ascii="仿宋" w:hAnsi="仿宋" w:eastAsia="仿宋" w:cs="仿宋"/>
          <w:color w:val="auto"/>
          <w:spacing w:val="0"/>
          <w:sz w:val="30"/>
          <w:szCs w:val="30"/>
          <w:highlight w:val="none"/>
          <w:lang w:val="en-US" w:eastAsia="zh-CN"/>
        </w:rPr>
        <w:t>1、项目基本概况</w:t>
      </w:r>
    </w:p>
    <w:p w14:paraId="49D664CF">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80" w:firstLine="482"/>
        <w:textAlignment w:val="baseline"/>
        <w:outlineLvl w:val="1"/>
        <w:rPr>
          <w:rFonts w:hint="eastAsia" w:ascii="仿宋" w:hAnsi="仿宋" w:eastAsia="仿宋" w:cs="仿宋"/>
          <w:color w:val="auto"/>
          <w:spacing w:val="0"/>
          <w:sz w:val="30"/>
          <w:szCs w:val="30"/>
          <w:highlight w:val="none"/>
          <w:lang w:eastAsia="zh-CN"/>
        </w:rPr>
      </w:pPr>
      <w:r>
        <w:rPr>
          <w:rFonts w:hint="eastAsia" w:ascii="仿宋" w:hAnsi="仿宋" w:eastAsia="仿宋" w:cs="仿宋"/>
          <w:color w:val="auto"/>
          <w:spacing w:val="0"/>
          <w:sz w:val="30"/>
          <w:szCs w:val="30"/>
          <w:highlight w:val="none"/>
        </w:rPr>
        <w:t>项目名称：</w:t>
      </w:r>
      <w:r>
        <w:rPr>
          <w:rFonts w:hint="eastAsia" w:ascii="仿宋" w:hAnsi="仿宋" w:eastAsia="仿宋" w:cs="仿宋"/>
          <w:color w:val="auto"/>
          <w:spacing w:val="0"/>
          <w:sz w:val="30"/>
          <w:szCs w:val="30"/>
          <w:highlight w:val="none"/>
          <w:lang w:eastAsia="zh-CN"/>
        </w:rPr>
        <w:t>新疆玛纳斯县阿尔巴萨依沟中小河流治理项目水土保持方案编制、监测服务</w:t>
      </w:r>
    </w:p>
    <w:p w14:paraId="5B5B34F3">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80" w:firstLine="482"/>
        <w:textAlignment w:val="baseline"/>
        <w:outlineLvl w:val="1"/>
        <w:rPr>
          <w:rFonts w:hint="eastAsia" w:ascii="仿宋" w:hAnsi="仿宋" w:eastAsia="仿宋" w:cs="仿宋"/>
          <w:color w:val="auto"/>
          <w:spacing w:val="0"/>
          <w:sz w:val="30"/>
          <w:szCs w:val="30"/>
          <w:highlight w:val="none"/>
        </w:rPr>
      </w:pPr>
      <w:r>
        <w:rPr>
          <w:rFonts w:hint="eastAsia" w:ascii="仿宋" w:hAnsi="仿宋" w:eastAsia="仿宋" w:cs="仿宋"/>
          <w:color w:val="auto"/>
          <w:spacing w:val="0"/>
          <w:sz w:val="30"/>
          <w:szCs w:val="30"/>
          <w:highlight w:val="none"/>
        </w:rPr>
        <w:t>项目地点：昌吉州玛纳斯县</w:t>
      </w:r>
    </w:p>
    <w:p w14:paraId="5D2870C1">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80" w:firstLine="482"/>
        <w:textAlignment w:val="baseline"/>
        <w:outlineLvl w:val="1"/>
        <w:rPr>
          <w:rFonts w:hint="eastAsia" w:ascii="仿宋" w:hAnsi="仿宋" w:eastAsia="仿宋" w:cs="仿宋"/>
          <w:color w:val="auto"/>
          <w:spacing w:val="0"/>
          <w:sz w:val="30"/>
          <w:szCs w:val="30"/>
          <w:highlight w:val="none"/>
        </w:rPr>
      </w:pPr>
      <w:r>
        <w:rPr>
          <w:rFonts w:hint="eastAsia" w:ascii="仿宋" w:hAnsi="仿宋" w:eastAsia="仿宋" w:cs="仿宋"/>
          <w:color w:val="auto"/>
          <w:spacing w:val="0"/>
          <w:sz w:val="30"/>
          <w:szCs w:val="30"/>
          <w:highlight w:val="none"/>
        </w:rPr>
        <w:t>采购需求：完成水土保持方案编制、监测并取得有关部门批复。</w:t>
      </w:r>
    </w:p>
    <w:p w14:paraId="3D1E1BB0">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80" w:firstLine="482"/>
        <w:textAlignment w:val="baseline"/>
        <w:outlineLvl w:val="1"/>
        <w:rPr>
          <w:rFonts w:hint="eastAsia" w:ascii="仿宋" w:hAnsi="仿宋" w:eastAsia="仿宋" w:cs="仿宋"/>
          <w:color w:val="0000FF"/>
          <w:spacing w:val="0"/>
          <w:sz w:val="30"/>
          <w:szCs w:val="30"/>
          <w:highlight w:val="none"/>
        </w:rPr>
      </w:pPr>
      <w:r>
        <w:rPr>
          <w:rFonts w:hint="eastAsia" w:ascii="仿宋" w:hAnsi="仿宋" w:eastAsia="仿宋" w:cs="仿宋"/>
          <w:color w:val="auto"/>
          <w:spacing w:val="0"/>
          <w:sz w:val="30"/>
          <w:szCs w:val="30"/>
          <w:highlight w:val="none"/>
        </w:rPr>
        <w:t>简要规格描述或项目基本概况介绍、用途：按水土保持技术规范和相关审核部门的要求对玛纳斯县阿尔巴萨依沟中小河流治理项目进行水土保持方案编制工作，编制水土保持报告书、水土保持监测文本，</w:t>
      </w:r>
      <w:r>
        <w:rPr>
          <w:rFonts w:hint="eastAsia" w:ascii="仿宋" w:hAnsi="仿宋" w:eastAsia="仿宋" w:cs="仿宋"/>
          <w:color w:val="auto"/>
          <w:spacing w:val="0"/>
          <w:sz w:val="30"/>
          <w:szCs w:val="30"/>
          <w:highlight w:val="none"/>
          <w:lang w:eastAsia="zh-CN"/>
        </w:rPr>
        <w:t>开展水土保</w:t>
      </w:r>
      <w:r>
        <w:rPr>
          <w:rFonts w:hint="eastAsia" w:ascii="仿宋" w:hAnsi="仿宋" w:eastAsia="仿宋" w:cs="仿宋"/>
          <w:color w:val="auto"/>
          <w:spacing w:val="0"/>
          <w:sz w:val="30"/>
          <w:szCs w:val="30"/>
          <w:highlight w:val="none"/>
        </w:rPr>
        <w:t>持监测工作并提交监测季报等相关监测成果文件。</w:t>
      </w:r>
    </w:p>
    <w:p w14:paraId="76947EE5">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80" w:firstLine="482"/>
        <w:textAlignment w:val="baseline"/>
        <w:outlineLvl w:val="1"/>
        <w:rPr>
          <w:rFonts w:hint="eastAsia" w:ascii="仿宋" w:hAnsi="仿宋" w:eastAsia="仿宋" w:cs="仿宋"/>
          <w:color w:val="auto"/>
          <w:spacing w:val="0"/>
          <w:sz w:val="30"/>
          <w:szCs w:val="30"/>
          <w:highlight w:val="none"/>
          <w:lang w:eastAsia="zh-CN"/>
        </w:rPr>
      </w:pPr>
      <w:r>
        <w:rPr>
          <w:rFonts w:hint="eastAsia" w:ascii="仿宋" w:hAnsi="仿宋" w:eastAsia="仿宋" w:cs="仿宋"/>
          <w:color w:val="auto"/>
          <w:spacing w:val="0"/>
          <w:sz w:val="30"/>
          <w:szCs w:val="30"/>
          <w:highlight w:val="none"/>
        </w:rPr>
        <w:t>服务期限</w:t>
      </w:r>
      <w:r>
        <w:rPr>
          <w:rFonts w:hint="eastAsia" w:ascii="仿宋" w:hAnsi="仿宋" w:eastAsia="仿宋" w:cs="仿宋"/>
          <w:color w:val="auto"/>
          <w:spacing w:val="0"/>
          <w:sz w:val="30"/>
          <w:szCs w:val="30"/>
          <w:highlight w:val="none"/>
          <w:lang w:eastAsia="zh-CN"/>
        </w:rPr>
        <w:t>：合同签订后30 日历日（具体以工期为准）。</w:t>
      </w:r>
    </w:p>
    <w:p w14:paraId="77D22237">
      <w:pPr>
        <w:keepNext w:val="0"/>
        <w:keepLines w:val="0"/>
        <w:pageBreakBefore w:val="0"/>
        <w:widowControl w:val="0"/>
        <w:kinsoku w:val="0"/>
        <w:wordWrap/>
        <w:overflowPunct/>
        <w:topLinePunct w:val="0"/>
        <w:autoSpaceDE w:val="0"/>
        <w:autoSpaceDN w:val="0"/>
        <w:bidi w:val="0"/>
        <w:adjustRightInd w:val="0"/>
        <w:snapToGrid w:val="0"/>
        <w:spacing w:before="2" w:line="360" w:lineRule="auto"/>
        <w:ind w:right="80" w:firstLine="482"/>
        <w:textAlignment w:val="baseline"/>
        <w:outlineLvl w:val="1"/>
        <w:rPr>
          <w:rFonts w:hint="eastAsia" w:ascii="仿宋" w:hAnsi="仿宋" w:eastAsia="仿宋" w:cs="仿宋"/>
          <w:color w:val="auto"/>
          <w:spacing w:val="0"/>
          <w:sz w:val="30"/>
          <w:szCs w:val="30"/>
          <w:highlight w:val="none"/>
          <w:lang w:eastAsia="zh-CN"/>
        </w:rPr>
      </w:pPr>
      <w:r>
        <w:rPr>
          <w:rFonts w:hint="eastAsia" w:ascii="仿宋" w:hAnsi="仿宋" w:eastAsia="仿宋" w:cs="仿宋"/>
          <w:color w:val="auto"/>
          <w:spacing w:val="0"/>
          <w:sz w:val="30"/>
          <w:szCs w:val="30"/>
          <w:highlight w:val="none"/>
        </w:rPr>
        <w:t>质量标准</w:t>
      </w:r>
      <w:r>
        <w:rPr>
          <w:rFonts w:hint="eastAsia" w:ascii="仿宋" w:hAnsi="仿宋" w:eastAsia="仿宋" w:cs="仿宋"/>
          <w:color w:val="auto"/>
          <w:spacing w:val="0"/>
          <w:sz w:val="30"/>
          <w:szCs w:val="30"/>
          <w:highlight w:val="none"/>
          <w:lang w:eastAsia="zh-CN"/>
        </w:rPr>
        <w:t>：符合水土保持技术规范和相关审核部门的要求，确保合法、合规、完整，并在规定时间内获取相关主管部门的批准文件。</w:t>
      </w:r>
    </w:p>
    <w:p w14:paraId="3F2E1C98">
      <w:pPr>
        <w:pStyle w:val="15"/>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pacing w:val="0"/>
          <w:sz w:val="30"/>
          <w:szCs w:val="30"/>
          <w:highlight w:val="none"/>
          <w:lang w:eastAsia="zh-CN"/>
        </w:rPr>
      </w:pPr>
    </w:p>
    <w:p w14:paraId="5442104C">
      <w:pPr>
        <w:keepNext w:val="0"/>
        <w:keepLines w:val="0"/>
        <w:pageBreakBefore w:val="0"/>
        <w:widowControl w:val="0"/>
        <w:wordWrap/>
        <w:overflowPunct/>
        <w:topLinePunct w:val="0"/>
        <w:bidi w:val="0"/>
        <w:spacing w:before="2" w:line="240" w:lineRule="auto"/>
        <w:ind w:right="80" w:firstLine="482"/>
        <w:outlineLvl w:val="1"/>
        <w:rPr>
          <w:rFonts w:hint="eastAsia" w:ascii="仿宋" w:hAnsi="仿宋" w:eastAsia="仿宋" w:cs="仿宋"/>
          <w:color w:val="auto"/>
          <w:spacing w:val="0"/>
          <w:sz w:val="24"/>
          <w:szCs w:val="24"/>
          <w:highlight w:val="none"/>
          <w:lang w:val="en-US" w:eastAsia="zh-CN"/>
        </w:rPr>
        <w:sectPr>
          <w:headerReference r:id="rId13" w:type="default"/>
          <w:footerReference r:id="rId14" w:type="default"/>
          <w:pgSz w:w="11905" w:h="16839"/>
          <w:pgMar w:top="1440" w:right="1800" w:bottom="1440" w:left="1800" w:header="0" w:footer="1013" w:gutter="0"/>
          <w:cols w:space="720" w:num="1"/>
        </w:sectPr>
      </w:pPr>
    </w:p>
    <w:p w14:paraId="0E0BD3D8">
      <w:pPr>
        <w:keepNext w:val="0"/>
        <w:keepLines w:val="0"/>
        <w:pageBreakBefore w:val="0"/>
        <w:widowControl w:val="0"/>
        <w:wordWrap/>
        <w:overflowPunct/>
        <w:topLinePunct w:val="0"/>
        <w:bidi w:val="0"/>
        <w:spacing w:before="101" w:line="240" w:lineRule="auto"/>
        <w:ind w:left="1850"/>
        <w:outlineLvl w:val="0"/>
        <w:rPr>
          <w:rFonts w:hint="eastAsia" w:ascii="仿宋" w:hAnsi="仿宋" w:eastAsia="仿宋" w:cs="仿宋"/>
          <w:color w:val="auto"/>
          <w:spacing w:val="0"/>
          <w:sz w:val="31"/>
          <w:szCs w:val="31"/>
          <w:highlight w:val="none"/>
        </w:rPr>
      </w:pPr>
      <w:bookmarkStart w:id="190" w:name="bookmark7"/>
      <w:bookmarkEnd w:id="190"/>
      <w:r>
        <w:rPr>
          <w:rFonts w:hint="eastAsia" w:ascii="仿宋" w:hAnsi="仿宋" w:eastAsia="仿宋" w:cs="仿宋"/>
          <w:b/>
          <w:bCs/>
          <w:color w:val="auto"/>
          <w:spacing w:val="0"/>
          <w:sz w:val="31"/>
          <w:szCs w:val="31"/>
          <w:highlight w:val="none"/>
        </w:rPr>
        <w:t>第六章</w:t>
      </w:r>
      <w:r>
        <w:rPr>
          <w:rFonts w:hint="eastAsia" w:ascii="仿宋" w:hAnsi="仿宋" w:eastAsia="仿宋" w:cs="仿宋"/>
          <w:color w:val="auto"/>
          <w:spacing w:val="0"/>
          <w:sz w:val="31"/>
          <w:szCs w:val="31"/>
          <w:highlight w:val="none"/>
        </w:rPr>
        <w:t xml:space="preserve"> </w:t>
      </w:r>
      <w:r>
        <w:rPr>
          <w:rFonts w:hint="eastAsia" w:ascii="仿宋" w:hAnsi="仿宋" w:eastAsia="仿宋" w:cs="仿宋"/>
          <w:b/>
          <w:bCs/>
          <w:color w:val="auto"/>
          <w:spacing w:val="0"/>
          <w:sz w:val="31"/>
          <w:szCs w:val="31"/>
          <w:highlight w:val="none"/>
        </w:rPr>
        <w:t>竞争性磋商响应文件格式</w:t>
      </w:r>
    </w:p>
    <w:p w14:paraId="1CA6517D">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7101A41">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81F970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30D223A4">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6E9EFF9">
      <w:pPr>
        <w:keepNext w:val="0"/>
        <w:keepLines w:val="0"/>
        <w:pageBreakBefore w:val="0"/>
        <w:widowControl w:val="0"/>
        <w:wordWrap/>
        <w:overflowPunct/>
        <w:topLinePunct w:val="0"/>
        <w:bidi w:val="0"/>
        <w:spacing w:before="101" w:line="240" w:lineRule="auto"/>
        <w:ind w:left="2893"/>
        <w:rPr>
          <w:rFonts w:hint="eastAsia" w:ascii="仿宋" w:hAnsi="仿宋" w:eastAsia="仿宋" w:cs="仿宋"/>
          <w:color w:val="auto"/>
          <w:spacing w:val="0"/>
          <w:sz w:val="31"/>
          <w:szCs w:val="31"/>
          <w:highlight w:val="none"/>
        </w:rPr>
      </w:pPr>
      <w:r>
        <w:rPr>
          <w:rFonts w:hint="eastAsia" w:ascii="仿宋" w:hAnsi="仿宋" w:eastAsia="仿宋" w:cs="仿宋"/>
          <w:b/>
          <w:bCs/>
          <w:color w:val="auto"/>
          <w:spacing w:val="0"/>
          <w:sz w:val="31"/>
          <w:szCs w:val="31"/>
          <w:highlight w:val="none"/>
        </w:rPr>
        <w:t>磋商响应文件封面</w:t>
      </w:r>
    </w:p>
    <w:p w14:paraId="5D57358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13C21CC">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E737587">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04AD73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F0EBAD7">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A0BF9C9">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256E05FC">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1FE0E62">
      <w:pPr>
        <w:keepNext w:val="0"/>
        <w:keepLines w:val="0"/>
        <w:pageBreakBefore w:val="0"/>
        <w:widowControl w:val="0"/>
        <w:wordWrap/>
        <w:overflowPunct/>
        <w:topLinePunct w:val="0"/>
        <w:bidi w:val="0"/>
        <w:spacing w:before="231" w:line="240" w:lineRule="auto"/>
        <w:ind w:left="2786"/>
        <w:rPr>
          <w:rFonts w:hint="eastAsia" w:ascii="仿宋" w:hAnsi="仿宋" w:eastAsia="仿宋" w:cs="仿宋"/>
          <w:color w:val="auto"/>
          <w:spacing w:val="0"/>
          <w:sz w:val="71"/>
          <w:szCs w:val="71"/>
          <w:highlight w:val="none"/>
        </w:rPr>
      </w:pPr>
      <w:bookmarkStart w:id="191" w:name="bookmark6"/>
      <w:bookmarkEnd w:id="191"/>
      <w:r>
        <w:rPr>
          <w:rFonts w:hint="eastAsia" w:ascii="仿宋" w:hAnsi="仿宋" w:eastAsia="仿宋" w:cs="仿宋"/>
          <w:b/>
          <w:bCs/>
          <w:color w:val="auto"/>
          <w:spacing w:val="0"/>
          <w:sz w:val="71"/>
          <w:szCs w:val="71"/>
          <w:highlight w:val="none"/>
        </w:rPr>
        <w:t>响应文件</w:t>
      </w:r>
    </w:p>
    <w:p w14:paraId="6F2B922B">
      <w:pPr>
        <w:keepNext w:val="0"/>
        <w:keepLines w:val="0"/>
        <w:pageBreakBefore w:val="0"/>
        <w:widowControl w:val="0"/>
        <w:wordWrap/>
        <w:overflowPunct/>
        <w:topLinePunct w:val="0"/>
        <w:bidi w:val="0"/>
        <w:spacing w:before="152" w:line="240" w:lineRule="auto"/>
        <w:ind w:left="2644"/>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（项目名称、项目编号）</w:t>
      </w:r>
    </w:p>
    <w:p w14:paraId="684923F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CA26397">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30E8F8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F0910B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74C2EE2">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165EEA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7D45E47">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74D1E0A">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2D857E6">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719B207">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A9CE64B">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E1365E0">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921216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7783F84">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7935F8D">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188B6B3">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F4CDFE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D609464">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CF7174F">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4B9C18D">
      <w:pPr>
        <w:keepNext w:val="0"/>
        <w:keepLines w:val="0"/>
        <w:pageBreakBefore w:val="0"/>
        <w:widowControl w:val="0"/>
        <w:wordWrap/>
        <w:overflowPunct/>
        <w:topLinePunct w:val="0"/>
        <w:bidi w:val="0"/>
        <w:spacing w:before="91" w:line="240" w:lineRule="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供应商：</w:t>
      </w:r>
      <w:r>
        <w:rPr>
          <w:rFonts w:hint="eastAsia" w:ascii="仿宋" w:hAnsi="仿宋" w:eastAsia="仿宋" w:cs="仿宋"/>
          <w:color w:val="auto"/>
          <w:spacing w:val="0"/>
          <w:sz w:val="28"/>
          <w:szCs w:val="28"/>
          <w:highlight w:val="none"/>
          <w:u w:val="single" w:color="auto"/>
        </w:rPr>
        <w:t xml:space="preserve">              </w:t>
      </w:r>
      <w:r>
        <w:rPr>
          <w:rFonts w:hint="eastAsia" w:ascii="仿宋" w:hAnsi="仿宋" w:eastAsia="仿宋" w:cs="仿宋"/>
          <w:color w:val="auto"/>
          <w:spacing w:val="0"/>
          <w:sz w:val="28"/>
          <w:szCs w:val="28"/>
          <w:highlight w:val="none"/>
        </w:rPr>
        <w:t xml:space="preserve"> （电子签章）</w:t>
      </w:r>
    </w:p>
    <w:p w14:paraId="22A76F2F">
      <w:pPr>
        <w:keepNext w:val="0"/>
        <w:keepLines w:val="0"/>
        <w:pageBreakBefore w:val="0"/>
        <w:widowControl w:val="0"/>
        <w:wordWrap/>
        <w:overflowPunct/>
        <w:topLinePunct w:val="0"/>
        <w:bidi w:val="0"/>
        <w:spacing w:before="91" w:line="240" w:lineRule="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法定代表人：</w:t>
      </w:r>
      <w:r>
        <w:rPr>
          <w:rFonts w:hint="eastAsia" w:ascii="仿宋" w:hAnsi="仿宋" w:eastAsia="仿宋" w:cs="仿宋"/>
          <w:color w:val="auto"/>
          <w:spacing w:val="0"/>
          <w:sz w:val="28"/>
          <w:szCs w:val="28"/>
          <w:highlight w:val="none"/>
          <w:u w:val="single" w:color="auto"/>
        </w:rPr>
        <w:t xml:space="preserve">         </w:t>
      </w:r>
      <w:r>
        <w:rPr>
          <w:rFonts w:hint="eastAsia" w:ascii="仿宋" w:hAnsi="仿宋" w:eastAsia="仿宋" w:cs="仿宋"/>
          <w:color w:val="auto"/>
          <w:spacing w:val="0"/>
          <w:sz w:val="28"/>
          <w:szCs w:val="28"/>
          <w:highlight w:val="none"/>
        </w:rPr>
        <w:t>（电子签章或签名）</w:t>
      </w:r>
    </w:p>
    <w:p w14:paraId="6747E0C3">
      <w:pPr>
        <w:keepNext w:val="0"/>
        <w:keepLines w:val="0"/>
        <w:pageBreakBefore w:val="0"/>
        <w:widowControl w:val="0"/>
        <w:wordWrap/>
        <w:overflowPunct/>
        <w:topLinePunct w:val="0"/>
        <w:bidi w:val="0"/>
        <w:spacing w:before="37" w:line="240" w:lineRule="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联系电话：</w:t>
      </w:r>
    </w:p>
    <w:p w14:paraId="41DC248C">
      <w:pPr>
        <w:keepNext w:val="0"/>
        <w:keepLines w:val="0"/>
        <w:pageBreakBefore w:val="0"/>
        <w:widowControl w:val="0"/>
        <w:wordWrap/>
        <w:overflowPunct/>
        <w:topLinePunct w:val="0"/>
        <w:bidi w:val="0"/>
        <w:spacing w:before="205" w:line="240" w:lineRule="auto"/>
        <w:ind w:left="3104"/>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日期（年/月/日）</w:t>
      </w:r>
    </w:p>
    <w:p w14:paraId="211BA396">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8"/>
          <w:szCs w:val="28"/>
          <w:highlight w:val="none"/>
        </w:rPr>
        <w:sectPr>
          <w:footerReference r:id="rId15" w:type="default"/>
          <w:pgSz w:w="11905" w:h="16839"/>
          <w:pgMar w:top="1440" w:right="1800" w:bottom="1440" w:left="1800" w:header="0" w:footer="1013" w:gutter="0"/>
          <w:cols w:space="720" w:num="1"/>
        </w:sectPr>
      </w:pPr>
    </w:p>
    <w:sdt>
      <w:sdtPr>
        <w:rPr>
          <w:rFonts w:hint="eastAsia" w:ascii="仿宋" w:hAnsi="仿宋" w:eastAsia="仿宋" w:cs="仿宋"/>
          <w:color w:val="auto"/>
          <w:spacing w:val="0"/>
          <w:sz w:val="30"/>
          <w:szCs w:val="30"/>
          <w:highlight w:val="none"/>
        </w:rPr>
        <w:id w:val="147472130"/>
        <w:docPartObj>
          <w:docPartGallery w:val="Table of Contents"/>
          <w:docPartUnique/>
        </w:docPartObj>
      </w:sdtPr>
      <w:sdtEndPr>
        <w:rPr>
          <w:rFonts w:hint="eastAsia" w:ascii="仿宋" w:hAnsi="仿宋" w:eastAsia="仿宋" w:cs="仿宋"/>
          <w:color w:val="auto"/>
          <w:spacing w:val="0"/>
          <w:sz w:val="24"/>
          <w:szCs w:val="24"/>
          <w:highlight w:val="none"/>
        </w:rPr>
      </w:sdtEndPr>
      <w:sdtContent>
        <w:p w14:paraId="1B4201A9">
          <w:pPr>
            <w:keepNext w:val="0"/>
            <w:keepLines w:val="0"/>
            <w:pageBreakBefore w:val="0"/>
            <w:widowControl w:val="0"/>
            <w:wordWrap/>
            <w:overflowPunct/>
            <w:topLinePunct w:val="0"/>
            <w:bidi w:val="0"/>
            <w:spacing w:before="97" w:line="240" w:lineRule="auto"/>
            <w:ind w:left="3636"/>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rPr>
            <w:t>目</w:t>
          </w:r>
          <w:r>
            <w:rPr>
              <w:rFonts w:hint="eastAsia" w:ascii="仿宋" w:hAnsi="仿宋" w:eastAsia="仿宋" w:cs="仿宋"/>
              <w:color w:val="auto"/>
              <w:spacing w:val="0"/>
              <w:sz w:val="30"/>
              <w:szCs w:val="30"/>
              <w:highlight w:val="none"/>
            </w:rPr>
            <w:t xml:space="preserve">    </w:t>
          </w:r>
          <w:r>
            <w:rPr>
              <w:rFonts w:hint="eastAsia" w:ascii="仿宋" w:hAnsi="仿宋" w:eastAsia="仿宋" w:cs="仿宋"/>
              <w:b/>
              <w:bCs/>
              <w:color w:val="auto"/>
              <w:spacing w:val="0"/>
              <w:sz w:val="30"/>
              <w:szCs w:val="30"/>
              <w:highlight w:val="none"/>
            </w:rPr>
            <w:t>录</w:t>
          </w:r>
        </w:p>
        <w:p w14:paraId="0DEA9E6D">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75231AA">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2F377831">
          <w:pPr>
            <w:keepNext w:val="0"/>
            <w:keepLines w:val="0"/>
            <w:pageBreakBefore w:val="0"/>
            <w:widowControl w:val="0"/>
            <w:wordWrap/>
            <w:overflowPunct/>
            <w:topLinePunct w:val="0"/>
            <w:bidi w:val="0"/>
            <w:spacing w:before="78" w:line="240" w:lineRule="auto"/>
            <w:ind w:left="11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一、投标函</w:t>
          </w:r>
        </w:p>
        <w:p w14:paraId="5D5683E7">
          <w:pPr>
            <w:keepNext w:val="0"/>
            <w:keepLines w:val="0"/>
            <w:pageBreakBefore w:val="0"/>
            <w:widowControl w:val="0"/>
            <w:wordWrap/>
            <w:overflowPunct/>
            <w:topLinePunct w:val="0"/>
            <w:bidi w:val="0"/>
            <w:spacing w:before="183" w:line="240" w:lineRule="auto"/>
            <w:ind w:left="11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二、法定代表人身份证明及授权委托书</w:t>
          </w:r>
        </w:p>
        <w:p w14:paraId="095CD41C">
          <w:pPr>
            <w:keepNext w:val="0"/>
            <w:keepLines w:val="0"/>
            <w:pageBreakBefore w:val="0"/>
            <w:widowControl w:val="0"/>
            <w:wordWrap/>
            <w:overflowPunct/>
            <w:topLinePunct w:val="0"/>
            <w:bidi w:val="0"/>
            <w:spacing w:before="188" w:line="240" w:lineRule="auto"/>
            <w:ind w:left="11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三、企业基本情况表</w:t>
          </w:r>
        </w:p>
        <w:p w14:paraId="6D3C0D46">
          <w:pPr>
            <w:keepNext w:val="0"/>
            <w:keepLines w:val="0"/>
            <w:pageBreakBefore w:val="0"/>
            <w:widowControl w:val="0"/>
            <w:wordWrap/>
            <w:overflowPunct/>
            <w:topLinePunct w:val="0"/>
            <w:bidi w:val="0"/>
            <w:spacing w:before="188" w:line="240" w:lineRule="auto"/>
            <w:ind w:left="13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四、投标保证金缴纳凭证</w:t>
          </w:r>
        </w:p>
        <w:p w14:paraId="24AD7B63">
          <w:pPr>
            <w:keepNext w:val="0"/>
            <w:keepLines w:val="0"/>
            <w:pageBreakBefore w:val="0"/>
            <w:widowControl w:val="0"/>
            <w:wordWrap/>
            <w:overflowPunct/>
            <w:topLinePunct w:val="0"/>
            <w:bidi w:val="0"/>
            <w:spacing w:before="187" w:line="240" w:lineRule="auto"/>
            <w:ind w:left="11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五</w:t>
          </w:r>
          <w:r>
            <w:rPr>
              <w:rFonts w:hint="eastAsia" w:ascii="仿宋" w:hAnsi="仿宋" w:eastAsia="仿宋" w:cs="仿宋"/>
              <w:color w:val="auto"/>
              <w:spacing w:val="0"/>
              <w:sz w:val="24"/>
              <w:szCs w:val="24"/>
              <w:highlight w:val="none"/>
            </w:rPr>
            <w:t>、开标一览表</w:t>
          </w:r>
        </w:p>
        <w:p w14:paraId="64EB5385">
          <w:pPr>
            <w:keepNext w:val="0"/>
            <w:keepLines w:val="0"/>
            <w:pageBreakBefore w:val="0"/>
            <w:widowControl w:val="0"/>
            <w:wordWrap/>
            <w:overflowPunct/>
            <w:topLinePunct w:val="0"/>
            <w:bidi w:val="0"/>
            <w:spacing w:before="186" w:line="240" w:lineRule="auto"/>
            <w:ind w:left="10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六</w:t>
          </w:r>
          <w:r>
            <w:rPr>
              <w:rFonts w:hint="eastAsia" w:ascii="仿宋" w:hAnsi="仿宋" w:eastAsia="仿宋" w:cs="仿宋"/>
              <w:color w:val="auto"/>
              <w:spacing w:val="0"/>
              <w:sz w:val="24"/>
              <w:szCs w:val="24"/>
              <w:highlight w:val="none"/>
            </w:rPr>
            <w:t>、拟投入本项目人员情况</w:t>
          </w:r>
        </w:p>
        <w:p w14:paraId="183D0D68">
          <w:pPr>
            <w:keepNext w:val="0"/>
            <w:keepLines w:val="0"/>
            <w:pageBreakBefore w:val="0"/>
            <w:widowControl w:val="0"/>
            <w:wordWrap/>
            <w:overflowPunct/>
            <w:topLinePunct w:val="0"/>
            <w:bidi w:val="0"/>
            <w:spacing w:before="190" w:line="240" w:lineRule="auto"/>
            <w:ind w:left="11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七</w:t>
          </w:r>
          <w:r>
            <w:rPr>
              <w:rFonts w:hint="eastAsia" w:ascii="仿宋" w:hAnsi="仿宋" w:eastAsia="仿宋" w:cs="仿宋"/>
              <w:color w:val="auto"/>
              <w:spacing w:val="0"/>
              <w:sz w:val="24"/>
              <w:szCs w:val="24"/>
              <w:highlight w:val="none"/>
            </w:rPr>
            <w:t>、商务技术偏离表</w:t>
          </w:r>
        </w:p>
        <w:p w14:paraId="7B9D8508">
          <w:pPr>
            <w:keepNext w:val="0"/>
            <w:keepLines w:val="0"/>
            <w:pageBreakBefore w:val="0"/>
            <w:widowControl w:val="0"/>
            <w:wordWrap/>
            <w:overflowPunct/>
            <w:topLinePunct w:val="0"/>
            <w:bidi w:val="0"/>
            <w:spacing w:before="188" w:line="240" w:lineRule="auto"/>
            <w:ind w:left="11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八</w:t>
          </w:r>
          <w:r>
            <w:rPr>
              <w:rFonts w:hint="eastAsia" w:ascii="仿宋" w:hAnsi="仿宋" w:eastAsia="仿宋" w:cs="仿宋"/>
              <w:color w:val="auto"/>
              <w:spacing w:val="0"/>
              <w:sz w:val="24"/>
              <w:szCs w:val="24"/>
              <w:highlight w:val="none"/>
            </w:rPr>
            <w:t>、中小企业声明函</w:t>
          </w:r>
        </w:p>
        <w:p w14:paraId="36933AAA">
          <w:pPr>
            <w:keepNext w:val="0"/>
            <w:keepLines w:val="0"/>
            <w:pageBreakBefore w:val="0"/>
            <w:widowControl w:val="0"/>
            <w:wordWrap/>
            <w:overflowPunct/>
            <w:topLinePunct w:val="0"/>
            <w:bidi w:val="0"/>
            <w:spacing w:before="184" w:line="240" w:lineRule="auto"/>
            <w:ind w:left="11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九</w:t>
          </w:r>
          <w:r>
            <w:rPr>
              <w:rFonts w:hint="eastAsia" w:ascii="仿宋" w:hAnsi="仿宋" w:eastAsia="仿宋" w:cs="仿宋"/>
              <w:color w:val="auto"/>
              <w:spacing w:val="0"/>
              <w:sz w:val="24"/>
              <w:szCs w:val="24"/>
              <w:highlight w:val="none"/>
            </w:rPr>
            <w:t>、供应商自觉抵制政府采购领域商业贿赂行为承诺书</w:t>
          </w:r>
        </w:p>
        <w:p w14:paraId="22B3EC2C">
          <w:pPr>
            <w:keepNext w:val="0"/>
            <w:keepLines w:val="0"/>
            <w:pageBreakBefore w:val="0"/>
            <w:widowControl w:val="0"/>
            <w:wordWrap/>
            <w:overflowPunct/>
            <w:topLinePunct w:val="0"/>
            <w:bidi w:val="0"/>
            <w:spacing w:before="188" w:line="240" w:lineRule="auto"/>
            <w:ind w:left="11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十、供应商类似项目业绩表</w:t>
          </w:r>
        </w:p>
        <w:p w14:paraId="5C053EE6">
          <w:pPr>
            <w:keepNext w:val="0"/>
            <w:keepLines w:val="0"/>
            <w:pageBreakBefore w:val="0"/>
            <w:widowControl w:val="0"/>
            <w:wordWrap/>
            <w:overflowPunct/>
            <w:topLinePunct w:val="0"/>
            <w:bidi w:val="0"/>
            <w:spacing w:before="189" w:line="240" w:lineRule="auto"/>
            <w:ind w:left="11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十</w:t>
          </w:r>
          <w:r>
            <w:rPr>
              <w:rFonts w:hint="eastAsia" w:ascii="仿宋" w:hAnsi="仿宋" w:eastAsia="仿宋" w:cs="仿宋"/>
              <w:color w:val="auto"/>
              <w:spacing w:val="0"/>
              <w:sz w:val="24"/>
              <w:szCs w:val="24"/>
              <w:highlight w:val="none"/>
              <w:lang w:val="en-US" w:eastAsia="zh-CN"/>
            </w:rPr>
            <w:t>一</w:t>
          </w:r>
          <w:r>
            <w:rPr>
              <w:rFonts w:hint="eastAsia" w:ascii="仿宋" w:hAnsi="仿宋" w:eastAsia="仿宋" w:cs="仿宋"/>
              <w:color w:val="auto"/>
              <w:spacing w:val="0"/>
              <w:sz w:val="24"/>
              <w:szCs w:val="24"/>
              <w:highlight w:val="none"/>
            </w:rPr>
            <w:t>、其他声明及文件资料（格式自拟）</w:t>
          </w:r>
        </w:p>
        <w:p w14:paraId="20060F17">
          <w:pPr>
            <w:keepNext w:val="0"/>
            <w:keepLines w:val="0"/>
            <w:pageBreakBefore w:val="0"/>
            <w:widowControl w:val="0"/>
            <w:wordWrap/>
            <w:overflowPunct/>
            <w:topLinePunct w:val="0"/>
            <w:bidi w:val="0"/>
            <w:spacing w:before="188" w:line="240" w:lineRule="auto"/>
            <w:ind w:left="11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十</w:t>
          </w:r>
          <w:r>
            <w:rPr>
              <w:rFonts w:hint="eastAsia" w:ascii="仿宋" w:hAnsi="仿宋" w:eastAsia="仿宋" w:cs="仿宋"/>
              <w:color w:val="auto"/>
              <w:spacing w:val="0"/>
              <w:sz w:val="24"/>
              <w:szCs w:val="24"/>
              <w:highlight w:val="none"/>
              <w:lang w:val="en-US" w:eastAsia="zh-CN"/>
            </w:rPr>
            <w:t>二</w:t>
          </w:r>
          <w:r>
            <w:rPr>
              <w:rFonts w:hint="eastAsia" w:ascii="仿宋" w:hAnsi="仿宋" w:eastAsia="仿宋" w:cs="仿宋"/>
              <w:color w:val="auto"/>
              <w:spacing w:val="0"/>
              <w:sz w:val="24"/>
              <w:szCs w:val="24"/>
              <w:highlight w:val="none"/>
            </w:rPr>
            <w:t>、技术文件</w:t>
          </w:r>
        </w:p>
        <w:p w14:paraId="7B6549A1">
          <w:pPr>
            <w:keepNext w:val="0"/>
            <w:keepLines w:val="0"/>
            <w:pageBreakBefore w:val="0"/>
            <w:widowControl w:val="0"/>
            <w:wordWrap/>
            <w:overflowPunct/>
            <w:topLinePunct w:val="0"/>
            <w:bidi w:val="0"/>
            <w:spacing w:before="189" w:line="240" w:lineRule="auto"/>
            <w:ind w:left="110"/>
            <w:rPr>
              <w:rFonts w:hint="eastAsia" w:ascii="仿宋" w:hAnsi="仿宋" w:eastAsia="仿宋" w:cs="仿宋"/>
              <w:color w:val="auto"/>
              <w:spacing w:val="0"/>
              <w:sz w:val="24"/>
              <w:szCs w:val="24"/>
              <w:highlight w:val="none"/>
            </w:rPr>
          </w:pPr>
        </w:p>
      </w:sdtContent>
    </w:sdt>
    <w:p w14:paraId="70F082F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szCs w:val="24"/>
          <w:highlight w:val="none"/>
        </w:rPr>
        <w:sectPr>
          <w:footerReference r:id="rId16" w:type="default"/>
          <w:pgSz w:w="11905" w:h="16839"/>
          <w:pgMar w:top="1440" w:right="1800" w:bottom="1440" w:left="1800" w:header="0" w:footer="1013" w:gutter="0"/>
          <w:cols w:space="720" w:num="1"/>
        </w:sectPr>
      </w:pPr>
    </w:p>
    <w:p w14:paraId="58B6A4E7">
      <w:pPr>
        <w:keepNext w:val="0"/>
        <w:keepLines w:val="0"/>
        <w:pageBreakBefore w:val="0"/>
        <w:widowControl w:val="0"/>
        <w:wordWrap/>
        <w:overflowPunct/>
        <w:topLinePunct w:val="0"/>
        <w:bidi w:val="0"/>
        <w:spacing w:before="98" w:line="240" w:lineRule="auto"/>
        <w:ind w:left="3793"/>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rPr>
        <w:t>一、</w:t>
      </w:r>
      <w:r>
        <w:rPr>
          <w:rFonts w:hint="eastAsia" w:ascii="仿宋" w:hAnsi="仿宋" w:eastAsia="仿宋" w:cs="仿宋"/>
          <w:b/>
          <w:bCs/>
          <w:color w:val="auto"/>
          <w:spacing w:val="0"/>
          <w:sz w:val="30"/>
          <w:szCs w:val="30"/>
          <w:highlight w:val="none"/>
          <w:lang w:val="en-US" w:eastAsia="zh-CN"/>
        </w:rPr>
        <w:t>响应</w:t>
      </w:r>
      <w:r>
        <w:rPr>
          <w:rFonts w:hint="eastAsia" w:ascii="仿宋" w:hAnsi="仿宋" w:eastAsia="仿宋" w:cs="仿宋"/>
          <w:b/>
          <w:bCs/>
          <w:color w:val="auto"/>
          <w:spacing w:val="0"/>
          <w:sz w:val="30"/>
          <w:szCs w:val="30"/>
          <w:highlight w:val="none"/>
        </w:rPr>
        <w:t>函</w:t>
      </w:r>
    </w:p>
    <w:p w14:paraId="593CFFBD">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A5909B6">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9EFA4D5">
      <w:pPr>
        <w:keepNext w:val="0"/>
        <w:keepLines w:val="0"/>
        <w:pageBreakBefore w:val="0"/>
        <w:widowControl w:val="0"/>
        <w:tabs>
          <w:tab w:val="left" w:pos="2880"/>
        </w:tabs>
        <w:wordWrap/>
        <w:overflowPunct/>
        <w:topLinePunct w:val="0"/>
        <w:bidi w:val="0"/>
        <w:spacing w:before="78" w:line="240" w:lineRule="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u w:val="single" w:color="auto"/>
        </w:rPr>
        <w:tab/>
      </w:r>
      <w:r>
        <w:rPr>
          <w:rFonts w:hint="eastAsia" w:ascii="仿宋" w:hAnsi="仿宋" w:eastAsia="仿宋" w:cs="仿宋"/>
          <w:color w:val="auto"/>
          <w:spacing w:val="0"/>
          <w:sz w:val="24"/>
          <w:szCs w:val="24"/>
          <w:highlight w:val="none"/>
        </w:rPr>
        <w:t>（采购人名称）：</w:t>
      </w:r>
    </w:p>
    <w:p w14:paraId="37E0823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2D0C7B6">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EA48CBF">
      <w:pPr>
        <w:keepNext w:val="0"/>
        <w:keepLines w:val="0"/>
        <w:pageBreakBefore w:val="0"/>
        <w:widowControl w:val="0"/>
        <w:wordWrap/>
        <w:overflowPunct/>
        <w:topLinePunct w:val="0"/>
        <w:bidi w:val="0"/>
        <w:spacing w:before="78" w:line="240" w:lineRule="auto"/>
        <w:ind w:left="11" w:right="138" w:firstLine="49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1．我方已仔细研究了</w:t>
      </w:r>
      <w:r>
        <w:rPr>
          <w:rFonts w:hint="eastAsia" w:ascii="仿宋" w:hAnsi="仿宋" w:eastAsia="仿宋" w:cs="仿宋"/>
          <w:color w:val="auto"/>
          <w:spacing w:val="0"/>
          <w:sz w:val="24"/>
          <w:szCs w:val="24"/>
          <w:highlight w:val="none"/>
          <w:u w:val="single" w:color="auto"/>
        </w:rPr>
        <w:t xml:space="preserve">          （项目名称）      </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lang w:val="en-US" w:eastAsia="zh-CN"/>
        </w:rPr>
        <w:t>磋商</w:t>
      </w:r>
      <w:r>
        <w:rPr>
          <w:rFonts w:hint="eastAsia" w:ascii="仿宋" w:hAnsi="仿宋" w:eastAsia="仿宋" w:cs="仿宋"/>
          <w:color w:val="auto"/>
          <w:spacing w:val="0"/>
          <w:sz w:val="24"/>
          <w:szCs w:val="24"/>
          <w:highlight w:val="none"/>
        </w:rPr>
        <w:t>文件的全部内容，愿意 以人民币（大写）</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元(¥</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)的投标总报价，服务期限为</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，按合同约定实施和完成本合同中的全部合同内容，质量要求</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w:t>
      </w:r>
    </w:p>
    <w:p w14:paraId="321AD805">
      <w:pPr>
        <w:keepNext w:val="0"/>
        <w:keepLines w:val="0"/>
        <w:pageBreakBefore w:val="0"/>
        <w:widowControl w:val="0"/>
        <w:wordWrap/>
        <w:overflowPunct/>
        <w:topLinePunct w:val="0"/>
        <w:bidi w:val="0"/>
        <w:spacing w:before="157" w:line="240" w:lineRule="auto"/>
        <w:ind w:left="49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2．我方承诺在投标有效期（ </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日历天）内不修改、撤销响应文件。</w:t>
      </w:r>
    </w:p>
    <w:p w14:paraId="21FA6CAA">
      <w:pPr>
        <w:keepNext w:val="0"/>
        <w:keepLines w:val="0"/>
        <w:pageBreakBefore w:val="0"/>
        <w:widowControl w:val="0"/>
        <w:wordWrap/>
        <w:overflowPunct/>
        <w:topLinePunct w:val="0"/>
        <w:bidi w:val="0"/>
        <w:spacing w:before="153" w:line="240" w:lineRule="auto"/>
        <w:jc w:val="right"/>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3．随同本投标函提交投标保证金一份，金额为人民币（大写）</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元(¥</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w:t>
      </w:r>
    </w:p>
    <w:p w14:paraId="0AC105CB">
      <w:pPr>
        <w:keepNext w:val="0"/>
        <w:keepLines w:val="0"/>
        <w:pageBreakBefore w:val="0"/>
        <w:widowControl w:val="0"/>
        <w:wordWrap/>
        <w:overflowPunct/>
        <w:topLinePunct w:val="0"/>
        <w:bidi w:val="0"/>
        <w:spacing w:before="155" w:line="240" w:lineRule="auto"/>
        <w:ind w:left="48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4．如我方中标：</w:t>
      </w:r>
    </w:p>
    <w:p w14:paraId="416010B2">
      <w:pPr>
        <w:keepNext w:val="0"/>
        <w:keepLines w:val="0"/>
        <w:pageBreakBefore w:val="0"/>
        <w:widowControl w:val="0"/>
        <w:wordWrap/>
        <w:overflowPunct/>
        <w:topLinePunct w:val="0"/>
        <w:bidi w:val="0"/>
        <w:spacing w:before="156" w:line="240" w:lineRule="auto"/>
        <w:ind w:left="50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（1）我方承诺在收到中标通知书后，在中标通知书规定的期限内与你方签订合同。</w:t>
      </w:r>
    </w:p>
    <w:p w14:paraId="062ACDDD">
      <w:pPr>
        <w:keepNext w:val="0"/>
        <w:keepLines w:val="0"/>
        <w:pageBreakBefore w:val="0"/>
        <w:widowControl w:val="0"/>
        <w:wordWrap/>
        <w:overflowPunct/>
        <w:topLinePunct w:val="0"/>
        <w:bidi w:val="0"/>
        <w:spacing w:before="155" w:line="240" w:lineRule="auto"/>
        <w:ind w:left="50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（2）我方承诺在合同约定的期限内完成并移交全部合同。</w:t>
      </w:r>
    </w:p>
    <w:p w14:paraId="45031470">
      <w:pPr>
        <w:keepNext w:val="0"/>
        <w:keepLines w:val="0"/>
        <w:pageBreakBefore w:val="0"/>
        <w:widowControl w:val="0"/>
        <w:wordWrap/>
        <w:overflowPunct/>
        <w:topLinePunct w:val="0"/>
        <w:bidi w:val="0"/>
        <w:spacing w:before="154" w:line="240" w:lineRule="auto"/>
        <w:ind w:left="494"/>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5．我方在此声明，所递交的响应文件及有关资料内容完整、真实和准确。</w:t>
      </w:r>
    </w:p>
    <w:p w14:paraId="19730EBD">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4AE2E08">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686B132">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1C6373C">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7AEE30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8E3A272">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3E4D1B9">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83E556C">
      <w:pPr>
        <w:keepNext w:val="0"/>
        <w:keepLines w:val="0"/>
        <w:pageBreakBefore w:val="0"/>
        <w:widowControl w:val="0"/>
        <w:wordWrap/>
        <w:overflowPunct/>
        <w:topLinePunct w:val="0"/>
        <w:bidi w:val="0"/>
        <w:spacing w:before="79" w:line="240" w:lineRule="auto"/>
        <w:ind w:left="48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供应商：</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（电子签章）</w:t>
      </w:r>
    </w:p>
    <w:p w14:paraId="28D58A30">
      <w:pPr>
        <w:keepNext w:val="0"/>
        <w:keepLines w:val="0"/>
        <w:pageBreakBefore w:val="0"/>
        <w:widowControl w:val="0"/>
        <w:wordWrap/>
        <w:overflowPunct/>
        <w:topLinePunct w:val="0"/>
        <w:bidi w:val="0"/>
        <w:spacing w:before="155" w:line="240" w:lineRule="auto"/>
        <w:ind w:left="49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（电子签章或签名）</w:t>
      </w:r>
    </w:p>
    <w:p w14:paraId="4A141EC5">
      <w:pPr>
        <w:keepNext w:val="0"/>
        <w:keepLines w:val="0"/>
        <w:pageBreakBefore w:val="0"/>
        <w:widowControl w:val="0"/>
        <w:wordWrap/>
        <w:overflowPunct/>
        <w:topLinePunct w:val="0"/>
        <w:bidi w:val="0"/>
        <w:spacing w:before="157" w:line="240" w:lineRule="auto"/>
        <w:ind w:left="48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地址：</w:t>
      </w:r>
      <w:r>
        <w:rPr>
          <w:rFonts w:hint="eastAsia" w:ascii="仿宋" w:hAnsi="仿宋" w:eastAsia="仿宋" w:cs="仿宋"/>
          <w:color w:val="auto"/>
          <w:spacing w:val="0"/>
          <w:sz w:val="24"/>
          <w:szCs w:val="24"/>
          <w:highlight w:val="none"/>
          <w:u w:val="single" w:color="auto"/>
        </w:rPr>
        <w:t xml:space="preserve">                                      </w:t>
      </w:r>
    </w:p>
    <w:p w14:paraId="205D5AF8">
      <w:pPr>
        <w:keepNext w:val="0"/>
        <w:keepLines w:val="0"/>
        <w:pageBreakBefore w:val="0"/>
        <w:widowControl w:val="0"/>
        <w:wordWrap/>
        <w:overflowPunct/>
        <w:topLinePunct w:val="0"/>
        <w:bidi w:val="0"/>
        <w:spacing w:before="142" w:line="240" w:lineRule="auto"/>
        <w:ind w:left="51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电话：</w:t>
      </w:r>
      <w:r>
        <w:rPr>
          <w:rFonts w:hint="eastAsia" w:ascii="仿宋" w:hAnsi="仿宋" w:eastAsia="仿宋" w:cs="仿宋"/>
          <w:color w:val="auto"/>
          <w:spacing w:val="0"/>
          <w:sz w:val="24"/>
          <w:szCs w:val="24"/>
          <w:highlight w:val="none"/>
          <w:u w:val="single" w:color="auto"/>
        </w:rPr>
        <w:t xml:space="preserve">                                      </w:t>
      </w:r>
    </w:p>
    <w:p w14:paraId="36FC4C72">
      <w:pPr>
        <w:keepNext w:val="0"/>
        <w:keepLines w:val="0"/>
        <w:pageBreakBefore w:val="0"/>
        <w:widowControl w:val="0"/>
        <w:wordWrap/>
        <w:overflowPunct/>
        <w:topLinePunct w:val="0"/>
        <w:bidi w:val="0"/>
        <w:spacing w:before="151" w:line="240" w:lineRule="auto"/>
        <w:ind w:left="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传真：</w:t>
      </w:r>
      <w:r>
        <w:rPr>
          <w:rFonts w:hint="eastAsia" w:ascii="仿宋" w:hAnsi="仿宋" w:eastAsia="仿宋" w:cs="仿宋"/>
          <w:color w:val="auto"/>
          <w:spacing w:val="0"/>
          <w:sz w:val="24"/>
          <w:szCs w:val="24"/>
          <w:highlight w:val="none"/>
          <w:u w:val="single" w:color="auto"/>
        </w:rPr>
        <w:t xml:space="preserve">                                      </w:t>
      </w:r>
    </w:p>
    <w:p w14:paraId="4EDFAA27">
      <w:pPr>
        <w:keepNext w:val="0"/>
        <w:keepLines w:val="0"/>
        <w:pageBreakBefore w:val="0"/>
        <w:widowControl w:val="0"/>
        <w:wordWrap/>
        <w:overflowPunct/>
        <w:topLinePunct w:val="0"/>
        <w:bidi w:val="0"/>
        <w:spacing w:before="158" w:line="240" w:lineRule="auto"/>
        <w:ind w:left="50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邮政编码：</w:t>
      </w:r>
      <w:r>
        <w:rPr>
          <w:rFonts w:hint="eastAsia" w:ascii="仿宋" w:hAnsi="仿宋" w:eastAsia="仿宋" w:cs="仿宋"/>
          <w:color w:val="auto"/>
          <w:spacing w:val="0"/>
          <w:sz w:val="24"/>
          <w:szCs w:val="24"/>
          <w:highlight w:val="none"/>
          <w:u w:val="single" w:color="auto"/>
        </w:rPr>
        <w:t xml:space="preserve">                                  </w:t>
      </w:r>
    </w:p>
    <w:p w14:paraId="437EF0BF">
      <w:pPr>
        <w:keepNext w:val="0"/>
        <w:keepLines w:val="0"/>
        <w:pageBreakBefore w:val="0"/>
        <w:widowControl w:val="0"/>
        <w:tabs>
          <w:tab w:val="left" w:pos="1440"/>
        </w:tabs>
        <w:wordWrap/>
        <w:overflowPunct/>
        <w:topLinePunct w:val="0"/>
        <w:bidi w:val="0"/>
        <w:spacing w:before="155" w:line="240" w:lineRule="auto"/>
        <w:ind w:left="48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u w:val="single" w:color="auto"/>
        </w:rPr>
        <w:tab/>
      </w:r>
      <w:r>
        <w:rPr>
          <w:rFonts w:hint="eastAsia" w:ascii="仿宋" w:hAnsi="仿宋" w:eastAsia="仿宋" w:cs="仿宋"/>
          <w:color w:val="auto"/>
          <w:spacing w:val="0"/>
          <w:sz w:val="24"/>
          <w:szCs w:val="24"/>
          <w:highlight w:val="none"/>
        </w:rPr>
        <w:t xml:space="preserve"> 年</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月</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日</w:t>
      </w:r>
    </w:p>
    <w:p w14:paraId="2ADA22AF">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szCs w:val="24"/>
          <w:highlight w:val="none"/>
        </w:rPr>
        <w:sectPr>
          <w:footerReference r:id="rId17" w:type="default"/>
          <w:pgSz w:w="11905" w:h="16839"/>
          <w:pgMar w:top="1440" w:right="1800" w:bottom="1440" w:left="1800" w:header="0" w:footer="1013" w:gutter="0"/>
          <w:cols w:space="720" w:num="1"/>
        </w:sectPr>
      </w:pPr>
    </w:p>
    <w:p w14:paraId="727A4BF0">
      <w:pPr>
        <w:keepNext w:val="0"/>
        <w:keepLines w:val="0"/>
        <w:pageBreakBefore w:val="0"/>
        <w:widowControl w:val="0"/>
        <w:wordWrap/>
        <w:overflowPunct/>
        <w:topLinePunct w:val="0"/>
        <w:bidi w:val="0"/>
        <w:spacing w:before="98" w:line="240" w:lineRule="auto"/>
        <w:ind w:left="2230"/>
        <w:outlineLvl w:val="1"/>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rPr>
        <w:t>二、法定代表人身份证明及授权委托书</w:t>
      </w:r>
    </w:p>
    <w:p w14:paraId="24BC9525">
      <w:pPr>
        <w:keepNext w:val="0"/>
        <w:keepLines w:val="0"/>
        <w:pageBreakBefore w:val="0"/>
        <w:widowControl w:val="0"/>
        <w:wordWrap/>
        <w:overflowPunct/>
        <w:topLinePunct w:val="0"/>
        <w:bidi w:val="0"/>
        <w:spacing w:before="227" w:line="240" w:lineRule="auto"/>
        <w:ind w:left="2874"/>
        <w:outlineLvl w:val="1"/>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（一）法定代表人身份证明</w:t>
      </w:r>
    </w:p>
    <w:p w14:paraId="5AAC77FD">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2D4BC04A">
      <w:pPr>
        <w:keepNext w:val="0"/>
        <w:keepLines w:val="0"/>
        <w:pageBreakBefore w:val="0"/>
        <w:widowControl w:val="0"/>
        <w:wordWrap/>
        <w:overflowPunct/>
        <w:topLinePunct w:val="0"/>
        <w:bidi w:val="0"/>
        <w:spacing w:before="78" w:line="240" w:lineRule="auto"/>
        <w:ind w:left="47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供应商名称：</w:t>
      </w:r>
      <w:r>
        <w:rPr>
          <w:rFonts w:hint="eastAsia" w:ascii="仿宋" w:hAnsi="仿宋" w:eastAsia="仿宋" w:cs="仿宋"/>
          <w:color w:val="auto"/>
          <w:spacing w:val="0"/>
          <w:sz w:val="24"/>
          <w:szCs w:val="24"/>
          <w:highlight w:val="none"/>
          <w:u w:val="single" w:color="auto"/>
        </w:rPr>
        <w:t xml:space="preserve">                               </w:t>
      </w:r>
    </w:p>
    <w:p w14:paraId="03A5237A">
      <w:pPr>
        <w:keepNext w:val="0"/>
        <w:keepLines w:val="0"/>
        <w:pageBreakBefore w:val="0"/>
        <w:widowControl w:val="0"/>
        <w:wordWrap/>
        <w:overflowPunct/>
        <w:topLinePunct w:val="0"/>
        <w:bidi w:val="0"/>
        <w:spacing w:before="181" w:line="240" w:lineRule="auto"/>
        <w:ind w:left="48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单位性质：</w:t>
      </w:r>
      <w:r>
        <w:rPr>
          <w:rFonts w:hint="eastAsia" w:ascii="仿宋" w:hAnsi="仿宋" w:eastAsia="仿宋" w:cs="仿宋"/>
          <w:color w:val="auto"/>
          <w:spacing w:val="0"/>
          <w:sz w:val="24"/>
          <w:szCs w:val="24"/>
          <w:highlight w:val="none"/>
          <w:u w:val="single" w:color="auto"/>
        </w:rPr>
        <w:t xml:space="preserve">                               </w:t>
      </w:r>
    </w:p>
    <w:p w14:paraId="474DCF28">
      <w:pPr>
        <w:keepNext w:val="0"/>
        <w:keepLines w:val="0"/>
        <w:pageBreakBefore w:val="0"/>
        <w:widowControl w:val="0"/>
        <w:wordWrap/>
        <w:overflowPunct/>
        <w:topLinePunct w:val="0"/>
        <w:bidi w:val="0"/>
        <w:spacing w:before="181" w:line="240" w:lineRule="auto"/>
        <w:ind w:left="47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注册地址：</w:t>
      </w:r>
      <w:r>
        <w:rPr>
          <w:rFonts w:hint="eastAsia" w:ascii="仿宋" w:hAnsi="仿宋" w:eastAsia="仿宋" w:cs="仿宋"/>
          <w:color w:val="auto"/>
          <w:spacing w:val="0"/>
          <w:sz w:val="24"/>
          <w:szCs w:val="24"/>
          <w:highlight w:val="none"/>
          <w:u w:val="single" w:color="auto"/>
        </w:rPr>
        <w:t xml:space="preserve">                                     </w:t>
      </w:r>
    </w:p>
    <w:p w14:paraId="1C09CA68">
      <w:pPr>
        <w:keepNext w:val="0"/>
        <w:keepLines w:val="0"/>
        <w:pageBreakBefore w:val="0"/>
        <w:widowControl w:val="0"/>
        <w:wordWrap/>
        <w:overflowPunct/>
        <w:topLinePunct w:val="0"/>
        <w:bidi w:val="0"/>
        <w:spacing w:before="181" w:line="240" w:lineRule="auto"/>
        <w:ind w:left="48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成立时间：</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年</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月</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日</w:t>
      </w:r>
    </w:p>
    <w:p w14:paraId="33BE4415">
      <w:pPr>
        <w:keepNext w:val="0"/>
        <w:keepLines w:val="0"/>
        <w:pageBreakBefore w:val="0"/>
        <w:widowControl w:val="0"/>
        <w:wordWrap/>
        <w:overflowPunct/>
        <w:topLinePunct w:val="0"/>
        <w:bidi w:val="0"/>
        <w:spacing w:before="180" w:line="240" w:lineRule="auto"/>
        <w:ind w:left="48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经营期限：</w:t>
      </w:r>
      <w:r>
        <w:rPr>
          <w:rFonts w:hint="eastAsia" w:ascii="仿宋" w:hAnsi="仿宋" w:eastAsia="仿宋" w:cs="仿宋"/>
          <w:color w:val="auto"/>
          <w:spacing w:val="0"/>
          <w:sz w:val="24"/>
          <w:szCs w:val="24"/>
          <w:highlight w:val="none"/>
          <w:u w:val="single" w:color="auto"/>
        </w:rPr>
        <w:t xml:space="preserve">                               </w:t>
      </w:r>
    </w:p>
    <w:p w14:paraId="23567B4A">
      <w:pPr>
        <w:keepNext w:val="0"/>
        <w:keepLines w:val="0"/>
        <w:pageBreakBefore w:val="0"/>
        <w:widowControl w:val="0"/>
        <w:wordWrap/>
        <w:overflowPunct/>
        <w:topLinePunct w:val="0"/>
        <w:bidi w:val="0"/>
        <w:spacing w:before="182" w:line="240" w:lineRule="auto"/>
        <w:ind w:left="47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姓名：</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性别：</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年龄：</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职务：</w:t>
      </w:r>
      <w:r>
        <w:rPr>
          <w:rFonts w:hint="eastAsia" w:ascii="仿宋" w:hAnsi="仿宋" w:eastAsia="仿宋" w:cs="仿宋"/>
          <w:color w:val="auto"/>
          <w:spacing w:val="0"/>
          <w:sz w:val="24"/>
          <w:szCs w:val="24"/>
          <w:highlight w:val="none"/>
          <w:u w:val="single" w:color="auto"/>
        </w:rPr>
        <w:t xml:space="preserve">        </w:t>
      </w:r>
    </w:p>
    <w:p w14:paraId="45405896">
      <w:pPr>
        <w:keepNext w:val="0"/>
        <w:keepLines w:val="0"/>
        <w:pageBreakBefore w:val="0"/>
        <w:widowControl w:val="0"/>
        <w:wordWrap/>
        <w:overflowPunct/>
        <w:topLinePunct w:val="0"/>
        <w:bidi w:val="0"/>
        <w:spacing w:before="180" w:line="240" w:lineRule="auto"/>
        <w:ind w:left="48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系</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（供应商名称）的法定代表人。</w:t>
      </w:r>
    </w:p>
    <w:p w14:paraId="18F0DA19">
      <w:pPr>
        <w:keepNext w:val="0"/>
        <w:keepLines w:val="0"/>
        <w:pageBreakBefore w:val="0"/>
        <w:widowControl w:val="0"/>
        <w:wordWrap/>
        <w:overflowPunct/>
        <w:topLinePunct w:val="0"/>
        <w:bidi w:val="0"/>
        <w:spacing w:before="182" w:line="240" w:lineRule="auto"/>
        <w:ind w:left="47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特此证明。</w:t>
      </w:r>
    </w:p>
    <w:p w14:paraId="365D596F">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F48E3C1">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2F3F2EFC">
      <w:pPr>
        <w:keepNext w:val="0"/>
        <w:keepLines w:val="0"/>
        <w:pageBreakBefore w:val="0"/>
        <w:widowControl w:val="0"/>
        <w:wordWrap/>
        <w:overflowPunct/>
        <w:topLinePunct w:val="0"/>
        <w:bidi w:val="0"/>
        <w:spacing w:before="79" w:line="240" w:lineRule="auto"/>
        <w:ind w:left="497"/>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附法定代表人身份证复印件。</w:t>
      </w:r>
    </w:p>
    <w:p w14:paraId="7F890FED">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B3F6A2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173A0C9">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37F6906C">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349792B">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F162392">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0C7696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A039049">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339FE48">
      <w:pPr>
        <w:keepNext w:val="0"/>
        <w:keepLines w:val="0"/>
        <w:pageBreakBefore w:val="0"/>
        <w:widowControl w:val="0"/>
        <w:wordWrap/>
        <w:overflowPunct/>
        <w:topLinePunct w:val="0"/>
        <w:bidi w:val="0"/>
        <w:spacing w:before="78" w:line="240" w:lineRule="auto"/>
        <w:ind w:left="59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供应商：</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（电子签章）</w:t>
      </w:r>
    </w:p>
    <w:p w14:paraId="75E5BF99">
      <w:pPr>
        <w:keepNext w:val="0"/>
        <w:keepLines w:val="0"/>
        <w:pageBreakBefore w:val="0"/>
        <w:widowControl w:val="0"/>
        <w:tabs>
          <w:tab w:val="left" w:pos="1428"/>
        </w:tabs>
        <w:wordWrap/>
        <w:overflowPunct/>
        <w:topLinePunct w:val="0"/>
        <w:bidi w:val="0"/>
        <w:spacing w:before="184" w:line="240" w:lineRule="auto"/>
        <w:ind w:left="58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u w:val="single" w:color="auto"/>
        </w:rPr>
        <w:tab/>
      </w:r>
      <w:r>
        <w:rPr>
          <w:rFonts w:hint="eastAsia" w:ascii="仿宋" w:hAnsi="仿宋" w:eastAsia="仿宋" w:cs="仿宋"/>
          <w:color w:val="auto"/>
          <w:spacing w:val="0"/>
          <w:sz w:val="24"/>
          <w:szCs w:val="24"/>
          <w:highlight w:val="none"/>
        </w:rPr>
        <w:t xml:space="preserve"> 年</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月</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日</w:t>
      </w:r>
    </w:p>
    <w:p w14:paraId="5CE9C8A2">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C97835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A257185">
      <w:pPr>
        <w:keepNext w:val="0"/>
        <w:keepLines w:val="0"/>
        <w:pageBreakBefore w:val="0"/>
        <w:widowControl w:val="0"/>
        <w:wordWrap/>
        <w:overflowPunct/>
        <w:topLinePunct w:val="0"/>
        <w:bidi w:val="0"/>
        <w:spacing w:before="78" w:line="240" w:lineRule="auto"/>
        <w:ind w:firstLine="47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注：1、参加投标活动并签署文件的为法人的提供本项，授权委托人参加的不提供本项。</w:t>
      </w:r>
    </w:p>
    <w:p w14:paraId="1F23760E">
      <w:pPr>
        <w:keepNext w:val="0"/>
        <w:keepLines w:val="0"/>
        <w:pageBreakBefore w:val="0"/>
        <w:widowControl w:val="0"/>
        <w:wordWrap/>
        <w:overflowPunct/>
        <w:topLinePunct w:val="0"/>
        <w:bidi w:val="0"/>
        <w:spacing w:before="1" w:line="240" w:lineRule="auto"/>
        <w:ind w:left="48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2、出示本人身份证原件、复印件和法人身份证明书核实身份。</w:t>
      </w:r>
    </w:p>
    <w:p w14:paraId="4CDED6EA">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szCs w:val="24"/>
          <w:highlight w:val="none"/>
        </w:rPr>
        <w:sectPr>
          <w:footerReference r:id="rId18" w:type="default"/>
          <w:pgSz w:w="11905" w:h="16839"/>
          <w:pgMar w:top="1440" w:right="1800" w:bottom="1440" w:left="1800" w:header="0" w:footer="1013" w:gutter="0"/>
          <w:cols w:space="720" w:num="1"/>
        </w:sectPr>
      </w:pPr>
    </w:p>
    <w:p w14:paraId="2E48E8C6">
      <w:pPr>
        <w:keepNext w:val="0"/>
        <w:keepLines w:val="0"/>
        <w:pageBreakBefore w:val="0"/>
        <w:widowControl w:val="0"/>
        <w:wordWrap/>
        <w:overflowPunct/>
        <w:topLinePunct w:val="0"/>
        <w:bidi w:val="0"/>
        <w:spacing w:before="91" w:line="240" w:lineRule="auto"/>
        <w:ind w:left="3716"/>
        <w:outlineLvl w:val="1"/>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（二）授权委托书</w:t>
      </w:r>
    </w:p>
    <w:p w14:paraId="548A5243">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3E5A9DBD">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3204806">
      <w:pPr>
        <w:keepNext w:val="0"/>
        <w:keepLines w:val="0"/>
        <w:pageBreakBefore w:val="0"/>
        <w:widowControl w:val="0"/>
        <w:wordWrap/>
        <w:overflowPunct/>
        <w:topLinePunct w:val="0"/>
        <w:bidi w:val="0"/>
        <w:spacing w:before="78" w:line="240" w:lineRule="auto"/>
        <w:ind w:firstLine="48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本人</w:t>
      </w:r>
      <w:r>
        <w:rPr>
          <w:rFonts w:hint="eastAsia" w:ascii="仿宋" w:hAnsi="仿宋" w:eastAsia="仿宋" w:cs="仿宋"/>
          <w:color w:val="auto"/>
          <w:spacing w:val="0"/>
          <w:sz w:val="24"/>
          <w:szCs w:val="24"/>
          <w:highlight w:val="none"/>
          <w:u w:val="single" w:color="auto"/>
        </w:rPr>
        <w:t>（姓名）</w:t>
      </w:r>
      <w:r>
        <w:rPr>
          <w:rFonts w:hint="eastAsia" w:ascii="仿宋" w:hAnsi="仿宋" w:eastAsia="仿宋" w:cs="仿宋"/>
          <w:color w:val="auto"/>
          <w:spacing w:val="0"/>
          <w:sz w:val="24"/>
          <w:szCs w:val="24"/>
          <w:highlight w:val="none"/>
        </w:rPr>
        <w:t>系</w:t>
      </w:r>
      <w:r>
        <w:rPr>
          <w:rFonts w:hint="eastAsia" w:ascii="仿宋" w:hAnsi="仿宋" w:eastAsia="仿宋" w:cs="仿宋"/>
          <w:color w:val="auto"/>
          <w:spacing w:val="0"/>
          <w:sz w:val="24"/>
          <w:szCs w:val="24"/>
          <w:highlight w:val="none"/>
          <w:u w:val="single" w:color="auto"/>
        </w:rPr>
        <w:t>（供应商名称）</w:t>
      </w:r>
      <w:r>
        <w:rPr>
          <w:rFonts w:hint="eastAsia" w:ascii="仿宋" w:hAnsi="仿宋" w:eastAsia="仿宋" w:cs="仿宋"/>
          <w:color w:val="auto"/>
          <w:spacing w:val="0"/>
          <w:sz w:val="24"/>
          <w:szCs w:val="24"/>
          <w:highlight w:val="none"/>
        </w:rPr>
        <w:t>的法定代表人，现委托</w:t>
      </w:r>
      <w:r>
        <w:rPr>
          <w:rFonts w:hint="eastAsia" w:ascii="仿宋" w:hAnsi="仿宋" w:eastAsia="仿宋" w:cs="仿宋"/>
          <w:color w:val="auto"/>
          <w:spacing w:val="0"/>
          <w:sz w:val="24"/>
          <w:szCs w:val="24"/>
          <w:highlight w:val="none"/>
          <w:u w:val="single" w:color="auto"/>
        </w:rPr>
        <w:t>（姓名）</w:t>
      </w:r>
      <w:r>
        <w:rPr>
          <w:rFonts w:hint="eastAsia" w:ascii="仿宋" w:hAnsi="仿宋" w:eastAsia="仿宋" w:cs="仿宋"/>
          <w:color w:val="auto"/>
          <w:spacing w:val="0"/>
          <w:sz w:val="24"/>
          <w:szCs w:val="24"/>
          <w:highlight w:val="none"/>
        </w:rPr>
        <w:t>为我方代理人。代理人根据授权，以我方名义签署、澄清、说明、补正、递交、撤回、修改</w:t>
      </w:r>
      <w:r>
        <w:rPr>
          <w:rFonts w:hint="eastAsia" w:ascii="仿宋" w:hAnsi="仿宋" w:eastAsia="仿宋" w:cs="仿宋"/>
          <w:color w:val="auto"/>
          <w:spacing w:val="0"/>
          <w:sz w:val="24"/>
          <w:szCs w:val="24"/>
          <w:highlight w:val="none"/>
          <w:u w:val="single" w:color="auto"/>
        </w:rPr>
        <w:t>（项目名称）</w:t>
      </w:r>
      <w:r>
        <w:rPr>
          <w:rFonts w:hint="eastAsia" w:ascii="仿宋" w:hAnsi="仿宋" w:eastAsia="仿宋" w:cs="仿宋"/>
          <w:color w:val="auto"/>
          <w:spacing w:val="0"/>
          <w:sz w:val="24"/>
          <w:szCs w:val="24"/>
          <w:highlight w:val="none"/>
        </w:rPr>
        <w:t>响应文件、签订合同和处理有关事宜，其法律后果由我方承担。</w:t>
      </w:r>
    </w:p>
    <w:p w14:paraId="7D333A4D">
      <w:pPr>
        <w:keepNext w:val="0"/>
        <w:keepLines w:val="0"/>
        <w:pageBreakBefore w:val="0"/>
        <w:widowControl w:val="0"/>
        <w:wordWrap/>
        <w:overflowPunct/>
        <w:topLinePunct w:val="0"/>
        <w:bidi w:val="0"/>
        <w:spacing w:line="240" w:lineRule="auto"/>
        <w:ind w:left="48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委托期限：</w:t>
      </w:r>
      <w:r>
        <w:rPr>
          <w:rFonts w:hint="eastAsia" w:ascii="仿宋" w:hAnsi="仿宋" w:eastAsia="仿宋" w:cs="仿宋"/>
          <w:color w:val="auto"/>
          <w:spacing w:val="0"/>
          <w:sz w:val="24"/>
          <w:szCs w:val="24"/>
          <w:highlight w:val="none"/>
          <w:u w:val="single" w:color="auto"/>
        </w:rPr>
        <w:t xml:space="preserve">                        </w:t>
      </w:r>
    </w:p>
    <w:p w14:paraId="3ED22B19">
      <w:pPr>
        <w:keepNext w:val="0"/>
        <w:keepLines w:val="0"/>
        <w:pageBreakBefore w:val="0"/>
        <w:widowControl w:val="0"/>
        <w:wordWrap/>
        <w:overflowPunct/>
        <w:topLinePunct w:val="0"/>
        <w:bidi w:val="0"/>
        <w:spacing w:before="187" w:line="240" w:lineRule="auto"/>
        <w:ind w:left="48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代理人无转委托权。</w:t>
      </w:r>
    </w:p>
    <w:p w14:paraId="637A85D9">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E4B011F">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0BF965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CA70CA3">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2A5C705C">
      <w:pPr>
        <w:keepNext w:val="0"/>
        <w:keepLines w:val="0"/>
        <w:pageBreakBefore w:val="0"/>
        <w:widowControl w:val="0"/>
        <w:wordWrap/>
        <w:overflowPunct/>
        <w:topLinePunct w:val="0"/>
        <w:bidi w:val="0"/>
        <w:spacing w:before="78" w:line="240" w:lineRule="auto"/>
        <w:ind w:left="19"/>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附委托代理人身份证复印件。</w:t>
      </w:r>
    </w:p>
    <w:p w14:paraId="65D4AD9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3A388118">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27BFF9A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2D4888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CC3D30C">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1F97DEA">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D040C3C">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29AD2588">
      <w:pPr>
        <w:keepNext w:val="0"/>
        <w:keepLines w:val="0"/>
        <w:pageBreakBefore w:val="0"/>
        <w:widowControl w:val="0"/>
        <w:wordWrap/>
        <w:overflowPunct/>
        <w:topLinePunct w:val="0"/>
        <w:bidi w:val="0"/>
        <w:spacing w:before="78" w:line="240" w:lineRule="auto"/>
        <w:ind w:left="48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供应商：</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（电子签章）</w:t>
      </w:r>
    </w:p>
    <w:p w14:paraId="0F755EFA">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A09FCCF">
      <w:pPr>
        <w:keepNext w:val="0"/>
        <w:keepLines w:val="0"/>
        <w:pageBreakBefore w:val="0"/>
        <w:widowControl w:val="0"/>
        <w:wordWrap/>
        <w:overflowPunct/>
        <w:topLinePunct w:val="0"/>
        <w:bidi w:val="0"/>
        <w:spacing w:before="79" w:line="240" w:lineRule="auto"/>
        <w:ind w:left="48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 ：</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（电子签章或签名）</w:t>
      </w:r>
    </w:p>
    <w:p w14:paraId="4DB28789">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279A5FFA">
      <w:pPr>
        <w:keepNext w:val="0"/>
        <w:keepLines w:val="0"/>
        <w:pageBreakBefore w:val="0"/>
        <w:widowControl w:val="0"/>
        <w:wordWrap/>
        <w:overflowPunct/>
        <w:topLinePunct w:val="0"/>
        <w:bidi w:val="0"/>
        <w:spacing w:before="78" w:line="240" w:lineRule="auto"/>
        <w:ind w:left="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身份证号码：</w:t>
      </w:r>
      <w:r>
        <w:rPr>
          <w:rFonts w:hint="eastAsia" w:ascii="仿宋" w:hAnsi="仿宋" w:eastAsia="仿宋" w:cs="仿宋"/>
          <w:color w:val="auto"/>
          <w:spacing w:val="0"/>
          <w:sz w:val="24"/>
          <w:szCs w:val="24"/>
          <w:highlight w:val="none"/>
          <w:u w:val="single" w:color="auto"/>
        </w:rPr>
        <w:t xml:space="preserve">                                              </w:t>
      </w:r>
    </w:p>
    <w:p w14:paraId="7497B892">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D36C6EC">
      <w:pPr>
        <w:keepNext w:val="0"/>
        <w:keepLines w:val="0"/>
        <w:pageBreakBefore w:val="0"/>
        <w:widowControl w:val="0"/>
        <w:wordWrap/>
        <w:overflowPunct/>
        <w:topLinePunct w:val="0"/>
        <w:bidi w:val="0"/>
        <w:spacing w:before="79" w:line="240" w:lineRule="auto"/>
        <w:ind w:left="48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委托代理人：</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（签字）</w:t>
      </w:r>
    </w:p>
    <w:p w14:paraId="40B343C9">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BBA87C8">
      <w:pPr>
        <w:keepNext w:val="0"/>
        <w:keepLines w:val="0"/>
        <w:pageBreakBefore w:val="0"/>
        <w:widowControl w:val="0"/>
        <w:wordWrap/>
        <w:overflowPunct/>
        <w:topLinePunct w:val="0"/>
        <w:bidi w:val="0"/>
        <w:spacing w:before="79" w:line="240" w:lineRule="auto"/>
        <w:ind w:left="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身份证号码：</w:t>
      </w:r>
      <w:r>
        <w:rPr>
          <w:rFonts w:hint="eastAsia" w:ascii="仿宋" w:hAnsi="仿宋" w:eastAsia="仿宋" w:cs="仿宋"/>
          <w:color w:val="auto"/>
          <w:spacing w:val="0"/>
          <w:sz w:val="24"/>
          <w:szCs w:val="24"/>
          <w:highlight w:val="none"/>
          <w:u w:val="single" w:color="auto"/>
        </w:rPr>
        <w:t xml:space="preserve">                                                </w:t>
      </w:r>
    </w:p>
    <w:p w14:paraId="6F4126D2">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161556F">
      <w:pPr>
        <w:keepNext w:val="0"/>
        <w:keepLines w:val="0"/>
        <w:pageBreakBefore w:val="0"/>
        <w:widowControl w:val="0"/>
        <w:tabs>
          <w:tab w:val="left" w:pos="1311"/>
        </w:tabs>
        <w:wordWrap/>
        <w:overflowPunct/>
        <w:topLinePunct w:val="0"/>
        <w:bidi w:val="0"/>
        <w:spacing w:before="79" w:line="240" w:lineRule="auto"/>
        <w:ind w:left="47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u w:val="single" w:color="auto"/>
        </w:rPr>
        <w:tab/>
      </w:r>
      <w:r>
        <w:rPr>
          <w:rFonts w:hint="eastAsia" w:ascii="仿宋" w:hAnsi="仿宋" w:eastAsia="仿宋" w:cs="仿宋"/>
          <w:color w:val="auto"/>
          <w:spacing w:val="0"/>
          <w:sz w:val="24"/>
          <w:szCs w:val="24"/>
          <w:highlight w:val="none"/>
        </w:rPr>
        <w:t xml:space="preserve"> 年</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月</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日</w:t>
      </w:r>
    </w:p>
    <w:p w14:paraId="5CAE6FF3">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szCs w:val="24"/>
          <w:highlight w:val="none"/>
        </w:rPr>
        <w:sectPr>
          <w:footerReference r:id="rId19" w:type="default"/>
          <w:pgSz w:w="11905" w:h="16839"/>
          <w:pgMar w:top="1440" w:right="1800" w:bottom="1440" w:left="1800" w:header="0" w:footer="1013" w:gutter="0"/>
          <w:cols w:space="720" w:num="1"/>
        </w:sectPr>
      </w:pPr>
    </w:p>
    <w:p w14:paraId="2FCD891C">
      <w:pPr>
        <w:keepNext w:val="0"/>
        <w:keepLines w:val="0"/>
        <w:pageBreakBefore w:val="0"/>
        <w:widowControl w:val="0"/>
        <w:wordWrap/>
        <w:overflowPunct/>
        <w:topLinePunct w:val="0"/>
        <w:bidi w:val="0"/>
        <w:spacing w:before="97" w:line="240" w:lineRule="auto"/>
        <w:ind w:left="3180"/>
        <w:outlineLvl w:val="1"/>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rPr>
        <w:t>三、企业基本情况表</w:t>
      </w:r>
    </w:p>
    <w:p w14:paraId="25DCEE9B">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tbl>
      <w:tblPr>
        <w:tblStyle w:val="33"/>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7"/>
        <w:gridCol w:w="2211"/>
        <w:gridCol w:w="1862"/>
        <w:gridCol w:w="3157"/>
      </w:tblGrid>
      <w:tr w14:paraId="22957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887" w:type="dxa"/>
            <w:vAlign w:val="top"/>
          </w:tcPr>
          <w:p w14:paraId="6B55A432">
            <w:pPr>
              <w:pStyle w:val="34"/>
              <w:keepNext w:val="0"/>
              <w:keepLines w:val="0"/>
              <w:pageBreakBefore w:val="0"/>
              <w:widowControl w:val="0"/>
              <w:wordWrap/>
              <w:overflowPunct/>
              <w:topLinePunct w:val="0"/>
              <w:bidi w:val="0"/>
              <w:spacing w:before="301" w:line="240" w:lineRule="auto"/>
              <w:ind w:left="410"/>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供应商名称</w:t>
            </w:r>
          </w:p>
        </w:tc>
        <w:tc>
          <w:tcPr>
            <w:tcW w:w="7230" w:type="dxa"/>
            <w:gridSpan w:val="3"/>
            <w:vAlign w:val="top"/>
          </w:tcPr>
          <w:p w14:paraId="274DBD6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1FFF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887" w:type="dxa"/>
            <w:vAlign w:val="top"/>
          </w:tcPr>
          <w:p w14:paraId="56BFBD81">
            <w:pPr>
              <w:pStyle w:val="34"/>
              <w:keepNext w:val="0"/>
              <w:keepLines w:val="0"/>
              <w:pageBreakBefore w:val="0"/>
              <w:widowControl w:val="0"/>
              <w:wordWrap/>
              <w:overflowPunct/>
              <w:topLinePunct w:val="0"/>
              <w:bidi w:val="0"/>
              <w:spacing w:before="271" w:line="240" w:lineRule="auto"/>
              <w:ind w:left="532"/>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成立时间</w:t>
            </w:r>
          </w:p>
        </w:tc>
        <w:tc>
          <w:tcPr>
            <w:tcW w:w="7230" w:type="dxa"/>
            <w:gridSpan w:val="3"/>
            <w:vAlign w:val="top"/>
          </w:tcPr>
          <w:p w14:paraId="3CE51CB6">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31F5D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887" w:type="dxa"/>
            <w:vAlign w:val="top"/>
          </w:tcPr>
          <w:p w14:paraId="021D9F3D">
            <w:pPr>
              <w:pStyle w:val="34"/>
              <w:keepNext w:val="0"/>
              <w:keepLines w:val="0"/>
              <w:pageBreakBefore w:val="0"/>
              <w:widowControl w:val="0"/>
              <w:wordWrap/>
              <w:overflowPunct/>
              <w:topLinePunct w:val="0"/>
              <w:bidi w:val="0"/>
              <w:spacing w:before="306" w:line="240" w:lineRule="auto"/>
              <w:ind w:left="533"/>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详细地址</w:t>
            </w:r>
          </w:p>
        </w:tc>
        <w:tc>
          <w:tcPr>
            <w:tcW w:w="7230" w:type="dxa"/>
            <w:gridSpan w:val="3"/>
            <w:vAlign w:val="top"/>
          </w:tcPr>
          <w:p w14:paraId="58D7E404">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5285E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887" w:type="dxa"/>
            <w:vAlign w:val="top"/>
          </w:tcPr>
          <w:p w14:paraId="1F4FF949">
            <w:pPr>
              <w:pStyle w:val="34"/>
              <w:keepNext w:val="0"/>
              <w:keepLines w:val="0"/>
              <w:pageBreakBefore w:val="0"/>
              <w:widowControl w:val="0"/>
              <w:wordWrap/>
              <w:overflowPunct/>
              <w:topLinePunct w:val="0"/>
              <w:bidi w:val="0"/>
              <w:spacing w:before="303" w:line="240" w:lineRule="auto"/>
              <w:ind w:left="548"/>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邮政编码</w:t>
            </w:r>
          </w:p>
        </w:tc>
        <w:tc>
          <w:tcPr>
            <w:tcW w:w="7230" w:type="dxa"/>
            <w:gridSpan w:val="3"/>
            <w:vAlign w:val="top"/>
          </w:tcPr>
          <w:p w14:paraId="736FDF2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74AC0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887" w:type="dxa"/>
            <w:vAlign w:val="top"/>
          </w:tcPr>
          <w:p w14:paraId="744E0FBE">
            <w:pPr>
              <w:pStyle w:val="34"/>
              <w:keepNext w:val="0"/>
              <w:keepLines w:val="0"/>
              <w:pageBreakBefore w:val="0"/>
              <w:widowControl w:val="0"/>
              <w:wordWrap/>
              <w:overflowPunct/>
              <w:topLinePunct w:val="0"/>
              <w:bidi w:val="0"/>
              <w:spacing w:before="305" w:line="240" w:lineRule="auto"/>
              <w:ind w:left="531"/>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联系电话</w:t>
            </w:r>
          </w:p>
        </w:tc>
        <w:tc>
          <w:tcPr>
            <w:tcW w:w="7230" w:type="dxa"/>
            <w:gridSpan w:val="3"/>
            <w:vAlign w:val="top"/>
          </w:tcPr>
          <w:p w14:paraId="38285A2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7E3B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87" w:type="dxa"/>
            <w:vAlign w:val="top"/>
          </w:tcPr>
          <w:p w14:paraId="47B1F565">
            <w:pPr>
              <w:pStyle w:val="34"/>
              <w:keepNext w:val="0"/>
              <w:keepLines w:val="0"/>
              <w:pageBreakBefore w:val="0"/>
              <w:widowControl w:val="0"/>
              <w:wordWrap/>
              <w:overflowPunct/>
              <w:topLinePunct w:val="0"/>
              <w:bidi w:val="0"/>
              <w:spacing w:before="299" w:line="240" w:lineRule="auto"/>
              <w:ind w:left="768"/>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传真</w:t>
            </w:r>
          </w:p>
        </w:tc>
        <w:tc>
          <w:tcPr>
            <w:tcW w:w="7230" w:type="dxa"/>
            <w:gridSpan w:val="3"/>
            <w:vAlign w:val="top"/>
          </w:tcPr>
          <w:p w14:paraId="11201F22">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3F055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vAlign w:val="top"/>
          </w:tcPr>
          <w:p w14:paraId="317952EF">
            <w:pPr>
              <w:pStyle w:val="34"/>
              <w:keepNext w:val="0"/>
              <w:keepLines w:val="0"/>
              <w:pageBreakBefore w:val="0"/>
              <w:widowControl w:val="0"/>
              <w:wordWrap/>
              <w:overflowPunct/>
              <w:topLinePunct w:val="0"/>
              <w:bidi w:val="0"/>
              <w:spacing w:before="297" w:line="240" w:lineRule="auto"/>
              <w:ind w:left="558"/>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电子邮箱</w:t>
            </w:r>
          </w:p>
        </w:tc>
        <w:tc>
          <w:tcPr>
            <w:tcW w:w="7230" w:type="dxa"/>
            <w:gridSpan w:val="3"/>
            <w:vAlign w:val="top"/>
          </w:tcPr>
          <w:p w14:paraId="4B74EE0B">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4DAD0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vAlign w:val="top"/>
          </w:tcPr>
          <w:p w14:paraId="378E178D">
            <w:pPr>
              <w:pStyle w:val="34"/>
              <w:keepNext w:val="0"/>
              <w:keepLines w:val="0"/>
              <w:pageBreakBefore w:val="0"/>
              <w:widowControl w:val="0"/>
              <w:wordWrap/>
              <w:overflowPunct/>
              <w:topLinePunct w:val="0"/>
              <w:bidi w:val="0"/>
              <w:spacing w:before="298" w:line="240" w:lineRule="auto"/>
              <w:ind w:left="411"/>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法定代表人</w:t>
            </w:r>
          </w:p>
        </w:tc>
        <w:tc>
          <w:tcPr>
            <w:tcW w:w="2211" w:type="dxa"/>
            <w:vAlign w:val="top"/>
          </w:tcPr>
          <w:p w14:paraId="7903E2A3">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862" w:type="dxa"/>
            <w:vAlign w:val="top"/>
          </w:tcPr>
          <w:p w14:paraId="3CB0C637">
            <w:pPr>
              <w:pStyle w:val="34"/>
              <w:keepNext w:val="0"/>
              <w:keepLines w:val="0"/>
              <w:pageBreakBefore w:val="0"/>
              <w:widowControl w:val="0"/>
              <w:wordWrap/>
              <w:overflowPunct/>
              <w:topLinePunct w:val="0"/>
              <w:bidi w:val="0"/>
              <w:spacing w:before="297" w:line="240" w:lineRule="auto"/>
              <w:ind w:right="29"/>
              <w:jc w:val="right"/>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电话（含手机）</w:t>
            </w:r>
          </w:p>
        </w:tc>
        <w:tc>
          <w:tcPr>
            <w:tcW w:w="3157" w:type="dxa"/>
            <w:vAlign w:val="top"/>
          </w:tcPr>
          <w:p w14:paraId="5CE78A9E">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61271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87" w:type="dxa"/>
            <w:vAlign w:val="top"/>
          </w:tcPr>
          <w:p w14:paraId="14FA5276">
            <w:pPr>
              <w:pStyle w:val="34"/>
              <w:keepNext w:val="0"/>
              <w:keepLines w:val="0"/>
              <w:pageBreakBefore w:val="0"/>
              <w:widowControl w:val="0"/>
              <w:wordWrap/>
              <w:overflowPunct/>
              <w:topLinePunct w:val="0"/>
              <w:bidi w:val="0"/>
              <w:spacing w:before="301" w:line="240" w:lineRule="auto"/>
              <w:ind w:left="537"/>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公司类型</w:t>
            </w:r>
          </w:p>
        </w:tc>
        <w:tc>
          <w:tcPr>
            <w:tcW w:w="7230" w:type="dxa"/>
            <w:gridSpan w:val="3"/>
            <w:vAlign w:val="top"/>
          </w:tcPr>
          <w:p w14:paraId="73D55D7E">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49344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vAlign w:val="top"/>
          </w:tcPr>
          <w:p w14:paraId="7E8C9F0F">
            <w:pPr>
              <w:pStyle w:val="34"/>
              <w:keepNext w:val="0"/>
              <w:keepLines w:val="0"/>
              <w:pageBreakBefore w:val="0"/>
              <w:widowControl w:val="0"/>
              <w:wordWrap/>
              <w:overflowPunct/>
              <w:topLinePunct w:val="0"/>
              <w:bidi w:val="0"/>
              <w:spacing w:before="298" w:line="240" w:lineRule="auto"/>
              <w:ind w:left="530"/>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注册资本</w:t>
            </w:r>
          </w:p>
        </w:tc>
        <w:tc>
          <w:tcPr>
            <w:tcW w:w="7230" w:type="dxa"/>
            <w:gridSpan w:val="3"/>
            <w:vAlign w:val="top"/>
          </w:tcPr>
          <w:p w14:paraId="47109C52">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14189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1887" w:type="dxa"/>
            <w:vAlign w:val="top"/>
          </w:tcPr>
          <w:p w14:paraId="4AB7FE38">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p w14:paraId="24BF14B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p w14:paraId="7E3E6B6F">
            <w:pPr>
              <w:pStyle w:val="34"/>
              <w:keepNext w:val="0"/>
              <w:keepLines w:val="0"/>
              <w:pageBreakBefore w:val="0"/>
              <w:widowControl w:val="0"/>
              <w:wordWrap/>
              <w:overflowPunct/>
              <w:topLinePunct w:val="0"/>
              <w:bidi w:val="0"/>
              <w:spacing w:before="78" w:line="240" w:lineRule="auto"/>
              <w:ind w:left="532"/>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经营范围</w:t>
            </w:r>
          </w:p>
        </w:tc>
        <w:tc>
          <w:tcPr>
            <w:tcW w:w="7230" w:type="dxa"/>
            <w:gridSpan w:val="3"/>
            <w:vAlign w:val="top"/>
          </w:tcPr>
          <w:p w14:paraId="15C52BB3">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7A4EA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1887" w:type="dxa"/>
            <w:vAlign w:val="top"/>
          </w:tcPr>
          <w:p w14:paraId="58E71CAA">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p w14:paraId="3F837F7E">
            <w:pPr>
              <w:pStyle w:val="34"/>
              <w:keepNext w:val="0"/>
              <w:keepLines w:val="0"/>
              <w:pageBreakBefore w:val="0"/>
              <w:widowControl w:val="0"/>
              <w:wordWrap/>
              <w:overflowPunct/>
              <w:topLinePunct w:val="0"/>
              <w:bidi w:val="0"/>
              <w:spacing w:before="78" w:line="240" w:lineRule="auto"/>
              <w:ind w:left="289"/>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业务开始时间</w:t>
            </w:r>
          </w:p>
        </w:tc>
        <w:tc>
          <w:tcPr>
            <w:tcW w:w="7230" w:type="dxa"/>
            <w:gridSpan w:val="3"/>
            <w:vAlign w:val="top"/>
          </w:tcPr>
          <w:p w14:paraId="059795F9">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74D15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887" w:type="dxa"/>
            <w:vAlign w:val="top"/>
          </w:tcPr>
          <w:p w14:paraId="56AE5FF1">
            <w:pPr>
              <w:pStyle w:val="34"/>
              <w:keepNext w:val="0"/>
              <w:keepLines w:val="0"/>
              <w:pageBreakBefore w:val="0"/>
              <w:widowControl w:val="0"/>
              <w:wordWrap/>
              <w:overflowPunct/>
              <w:topLinePunct w:val="0"/>
              <w:bidi w:val="0"/>
              <w:spacing w:before="304" w:line="240" w:lineRule="auto"/>
              <w:ind w:left="297"/>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公司人员情况</w:t>
            </w:r>
          </w:p>
        </w:tc>
        <w:tc>
          <w:tcPr>
            <w:tcW w:w="7230" w:type="dxa"/>
            <w:gridSpan w:val="3"/>
            <w:vAlign w:val="top"/>
          </w:tcPr>
          <w:p w14:paraId="5B0204B3">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bl>
    <w:p w14:paraId="27ECB0F1">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E903F11">
      <w:pPr>
        <w:keepNext w:val="0"/>
        <w:keepLines w:val="0"/>
        <w:pageBreakBefore w:val="0"/>
        <w:widowControl w:val="0"/>
        <w:wordWrap/>
        <w:overflowPunct/>
        <w:topLinePunct w:val="0"/>
        <w:bidi w:val="0"/>
        <w:spacing w:before="78" w:line="240" w:lineRule="auto"/>
        <w:ind w:left="494"/>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rPr>
        <w:t>注：此表后附营业执照资质证书材料</w:t>
      </w:r>
    </w:p>
    <w:p w14:paraId="541E28D8">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szCs w:val="24"/>
          <w:highlight w:val="none"/>
        </w:rPr>
        <w:sectPr>
          <w:footerReference r:id="rId20" w:type="default"/>
          <w:pgSz w:w="11905" w:h="16839"/>
          <w:pgMar w:top="1440" w:right="1800" w:bottom="1440" w:left="1800" w:header="0" w:footer="1013" w:gutter="0"/>
          <w:cols w:space="720" w:num="1"/>
        </w:sectPr>
      </w:pPr>
    </w:p>
    <w:p w14:paraId="6BF17DD7">
      <w:pPr>
        <w:keepNext w:val="0"/>
        <w:keepLines w:val="0"/>
        <w:pageBreakBefore w:val="0"/>
        <w:widowControl w:val="0"/>
        <w:wordWrap/>
        <w:overflowPunct/>
        <w:topLinePunct w:val="0"/>
        <w:bidi w:val="0"/>
        <w:spacing w:before="98" w:line="240" w:lineRule="auto"/>
        <w:ind w:left="2790"/>
        <w:outlineLvl w:val="1"/>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lang w:val="en-US" w:eastAsia="zh-CN"/>
        </w:rPr>
        <w:t>四</w:t>
      </w:r>
      <w:r>
        <w:rPr>
          <w:rFonts w:hint="eastAsia" w:ascii="仿宋" w:hAnsi="仿宋" w:eastAsia="仿宋" w:cs="仿宋"/>
          <w:b/>
          <w:bCs/>
          <w:color w:val="auto"/>
          <w:spacing w:val="0"/>
          <w:sz w:val="30"/>
          <w:szCs w:val="30"/>
          <w:highlight w:val="none"/>
        </w:rPr>
        <w:t>、投标保证金缴纳凭证</w:t>
      </w:r>
    </w:p>
    <w:p w14:paraId="4F414F1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30"/>
          <w:szCs w:val="30"/>
          <w:highlight w:val="none"/>
        </w:rPr>
        <w:sectPr>
          <w:footerReference r:id="rId21" w:type="default"/>
          <w:pgSz w:w="11905" w:h="16839"/>
          <w:pgMar w:top="1440" w:right="1800" w:bottom="1440" w:left="1800" w:header="0" w:footer="871" w:gutter="0"/>
          <w:cols w:space="720" w:num="1"/>
        </w:sectPr>
      </w:pPr>
    </w:p>
    <w:p w14:paraId="550D117E">
      <w:pPr>
        <w:keepNext w:val="0"/>
        <w:keepLines w:val="0"/>
        <w:pageBreakBefore w:val="0"/>
        <w:widowControl w:val="0"/>
        <w:wordWrap/>
        <w:overflowPunct/>
        <w:topLinePunct w:val="0"/>
        <w:bidi w:val="0"/>
        <w:spacing w:before="97" w:line="240" w:lineRule="auto"/>
        <w:jc w:val="center"/>
        <w:outlineLvl w:val="1"/>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lang w:val="en-US" w:eastAsia="zh-CN"/>
        </w:rPr>
        <w:t>五</w:t>
      </w:r>
      <w:r>
        <w:rPr>
          <w:rFonts w:hint="eastAsia" w:ascii="仿宋" w:hAnsi="仿宋" w:eastAsia="仿宋" w:cs="仿宋"/>
          <w:b/>
          <w:bCs/>
          <w:color w:val="auto"/>
          <w:spacing w:val="0"/>
          <w:sz w:val="30"/>
          <w:szCs w:val="30"/>
          <w:highlight w:val="none"/>
        </w:rPr>
        <w:t>、开标一览表</w:t>
      </w:r>
    </w:p>
    <w:p w14:paraId="1C8AB065">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
          <w:highlight w:val="none"/>
        </w:rPr>
      </w:pPr>
    </w:p>
    <w:p w14:paraId="7C0FF69F">
      <w:pPr>
        <w:adjustRightInd w:val="0"/>
        <w:snapToGrid w:val="0"/>
        <w:spacing w:line="500" w:lineRule="exact"/>
        <w:jc w:val="center"/>
        <w:rPr>
          <w:rFonts w:hint="eastAsia" w:ascii="仿宋" w:hAnsi="仿宋" w:eastAsia="仿宋" w:cs="仿宋"/>
          <w:sz w:val="28"/>
          <w:szCs w:val="32"/>
        </w:rPr>
      </w:pPr>
      <w:r>
        <w:rPr>
          <w:rFonts w:hint="eastAsia" w:ascii="仿宋" w:hAnsi="仿宋" w:eastAsia="仿宋" w:cs="仿宋"/>
          <w:sz w:val="28"/>
          <w:szCs w:val="32"/>
        </w:rPr>
        <w:t>报价表</w:t>
      </w:r>
    </w:p>
    <w:p w14:paraId="074FE986">
      <w:pPr>
        <w:pStyle w:val="18"/>
        <w:ind w:firstLine="1126"/>
        <w:rPr>
          <w:rFonts w:hint="eastAsia" w:ascii="仿宋" w:hAnsi="仿宋" w:eastAsia="仿宋" w:cs="仿宋"/>
        </w:rPr>
      </w:pPr>
    </w:p>
    <w:p w14:paraId="1A6694BE">
      <w:pPr>
        <w:pStyle w:val="51"/>
        <w:spacing w:line="360" w:lineRule="auto"/>
        <w:ind w:left="0" w:leftChars="0" w:firstLine="0" w:firstLineChars="0"/>
        <w:jc w:val="right"/>
        <w:rPr>
          <w:rFonts w:hint="eastAsia" w:ascii="仿宋" w:hAnsi="仿宋" w:eastAsia="仿宋" w:cs="仿宋"/>
        </w:rPr>
      </w:pPr>
      <w:r>
        <w:rPr>
          <w:rFonts w:hint="eastAsia" w:ascii="仿宋" w:hAnsi="仿宋" w:eastAsia="仿宋" w:cs="仿宋"/>
        </w:rPr>
        <w:t>价格单位：元</w:t>
      </w:r>
    </w:p>
    <w:tbl>
      <w:tblPr>
        <w:tblStyle w:val="19"/>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7346"/>
      </w:tblGrid>
      <w:tr w14:paraId="3DCC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14:paraId="273E6619">
            <w:pPr>
              <w:pStyle w:val="52"/>
              <w:tabs>
                <w:tab w:val="left" w:pos="1337"/>
              </w:tabs>
              <w:spacing w:line="360" w:lineRule="auto"/>
              <w:jc w:val="center"/>
              <w:rPr>
                <w:rFonts w:hint="eastAsia" w:ascii="仿宋" w:hAnsi="仿宋" w:eastAsia="仿宋" w:cs="仿宋"/>
                <w:sz w:val="24"/>
              </w:rPr>
            </w:pPr>
            <w:r>
              <w:rPr>
                <w:rFonts w:hint="eastAsia" w:ascii="仿宋" w:hAnsi="仿宋" w:eastAsia="仿宋" w:cs="仿宋"/>
                <w:bCs/>
                <w:sz w:val="24"/>
              </w:rPr>
              <w:t>项目名称</w:t>
            </w:r>
          </w:p>
        </w:tc>
        <w:tc>
          <w:tcPr>
            <w:tcW w:w="7346" w:type="dxa"/>
            <w:tcBorders>
              <w:bottom w:val="single" w:color="auto" w:sz="4" w:space="0"/>
            </w:tcBorders>
            <w:vAlign w:val="center"/>
          </w:tcPr>
          <w:p w14:paraId="00FC1EF5">
            <w:pPr>
              <w:pStyle w:val="52"/>
              <w:tabs>
                <w:tab w:val="left" w:pos="1337"/>
              </w:tabs>
              <w:spacing w:line="360" w:lineRule="auto"/>
              <w:rPr>
                <w:rFonts w:hint="eastAsia" w:ascii="仿宋" w:hAnsi="仿宋" w:eastAsia="仿宋" w:cs="仿宋"/>
                <w:bCs/>
                <w:sz w:val="24"/>
              </w:rPr>
            </w:pPr>
            <w:r>
              <w:rPr>
                <w:rFonts w:hint="eastAsia" w:ascii="仿宋" w:hAnsi="仿宋" w:eastAsia="仿宋" w:cs="仿宋"/>
              </w:rPr>
              <w:t xml:space="preserve">                                </w:t>
            </w:r>
          </w:p>
        </w:tc>
      </w:tr>
      <w:tr w14:paraId="2F91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14:paraId="3B2BD04C">
            <w:pPr>
              <w:pStyle w:val="52"/>
              <w:tabs>
                <w:tab w:val="left" w:pos="1337"/>
              </w:tabs>
              <w:spacing w:line="360" w:lineRule="auto"/>
              <w:jc w:val="center"/>
              <w:rPr>
                <w:rFonts w:hint="eastAsia" w:ascii="仿宋" w:hAnsi="仿宋" w:eastAsia="仿宋" w:cs="仿宋"/>
                <w:bCs/>
                <w:sz w:val="24"/>
              </w:rPr>
            </w:pPr>
            <w:r>
              <w:rPr>
                <w:rFonts w:hint="eastAsia" w:ascii="仿宋" w:hAnsi="仿宋" w:eastAsia="仿宋" w:cs="仿宋"/>
                <w:bCs/>
                <w:sz w:val="24"/>
              </w:rPr>
              <w:t>项目编号</w:t>
            </w:r>
          </w:p>
        </w:tc>
        <w:tc>
          <w:tcPr>
            <w:tcW w:w="7346" w:type="dxa"/>
            <w:tcBorders>
              <w:bottom w:val="single" w:color="auto" w:sz="4" w:space="0"/>
            </w:tcBorders>
            <w:vAlign w:val="center"/>
          </w:tcPr>
          <w:p w14:paraId="4F542909">
            <w:pPr>
              <w:pStyle w:val="52"/>
              <w:tabs>
                <w:tab w:val="left" w:pos="1337"/>
              </w:tabs>
              <w:spacing w:line="360" w:lineRule="auto"/>
              <w:rPr>
                <w:rFonts w:hint="eastAsia" w:ascii="仿宋" w:hAnsi="仿宋" w:eastAsia="仿宋" w:cs="仿宋"/>
                <w:u w:val="single"/>
              </w:rPr>
            </w:pPr>
          </w:p>
        </w:tc>
      </w:tr>
      <w:tr w14:paraId="2904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2614" w:type="dxa"/>
            <w:vAlign w:val="center"/>
          </w:tcPr>
          <w:p w14:paraId="34FEB1CD">
            <w:pPr>
              <w:pStyle w:val="52"/>
              <w:tabs>
                <w:tab w:val="left" w:pos="1337"/>
              </w:tabs>
              <w:spacing w:line="360" w:lineRule="auto"/>
              <w:jc w:val="center"/>
              <w:rPr>
                <w:rFonts w:hint="eastAsia" w:ascii="仿宋" w:hAnsi="仿宋" w:eastAsia="仿宋" w:cs="仿宋"/>
                <w:sz w:val="24"/>
              </w:rPr>
            </w:pPr>
            <w:r>
              <w:rPr>
                <w:rFonts w:hint="eastAsia" w:ascii="仿宋" w:hAnsi="仿宋" w:eastAsia="仿宋" w:cs="仿宋"/>
                <w:bCs/>
                <w:sz w:val="24"/>
              </w:rPr>
              <w:t>投 标 总 价</w:t>
            </w:r>
          </w:p>
        </w:tc>
        <w:tc>
          <w:tcPr>
            <w:tcW w:w="7346" w:type="dxa"/>
          </w:tcPr>
          <w:p w14:paraId="6289D60A">
            <w:pPr>
              <w:pStyle w:val="52"/>
              <w:tabs>
                <w:tab w:val="left" w:pos="1337"/>
              </w:tabs>
              <w:spacing w:line="360" w:lineRule="auto"/>
              <w:rPr>
                <w:rFonts w:hint="eastAsia" w:ascii="仿宋" w:hAnsi="仿宋" w:eastAsia="仿宋" w:cs="仿宋"/>
                <w:bCs/>
                <w:sz w:val="24"/>
              </w:rPr>
            </w:pPr>
          </w:p>
          <w:p w14:paraId="1AC03941">
            <w:pPr>
              <w:pStyle w:val="52"/>
              <w:tabs>
                <w:tab w:val="left" w:pos="1337"/>
              </w:tabs>
              <w:spacing w:line="360" w:lineRule="auto"/>
              <w:rPr>
                <w:rFonts w:hint="eastAsia" w:ascii="仿宋" w:hAnsi="仿宋" w:eastAsia="仿宋" w:cs="仿宋"/>
                <w:bCs/>
                <w:sz w:val="24"/>
              </w:rPr>
            </w:pPr>
            <w:r>
              <w:rPr>
                <w:rFonts w:hint="eastAsia" w:ascii="仿宋" w:hAnsi="仿宋" w:eastAsia="仿宋" w:cs="仿宋"/>
                <w:bCs/>
                <w:sz w:val="24"/>
              </w:rPr>
              <w:t>小写：</w:t>
            </w:r>
            <w:r>
              <w:rPr>
                <w:rFonts w:hint="eastAsia" w:ascii="仿宋" w:hAnsi="仿宋" w:eastAsia="仿宋" w:cs="仿宋"/>
                <w:bCs/>
                <w:sz w:val="24"/>
                <w:u w:val="single"/>
              </w:rPr>
              <w:t xml:space="preserve">                               </w:t>
            </w:r>
            <w:r>
              <w:rPr>
                <w:rFonts w:hint="eastAsia" w:ascii="仿宋" w:hAnsi="仿宋" w:eastAsia="仿宋" w:cs="仿宋"/>
                <w:bCs/>
                <w:sz w:val="24"/>
              </w:rPr>
              <w:t>元</w:t>
            </w:r>
          </w:p>
          <w:p w14:paraId="13F379D1">
            <w:pPr>
              <w:pStyle w:val="52"/>
              <w:tabs>
                <w:tab w:val="left" w:pos="1337"/>
              </w:tabs>
              <w:spacing w:line="360" w:lineRule="auto"/>
              <w:rPr>
                <w:rFonts w:hint="eastAsia" w:ascii="仿宋" w:hAnsi="仿宋" w:eastAsia="仿宋" w:cs="仿宋"/>
                <w:bCs/>
                <w:sz w:val="24"/>
              </w:rPr>
            </w:pPr>
          </w:p>
          <w:p w14:paraId="1C7CF535">
            <w:pPr>
              <w:pStyle w:val="52"/>
              <w:tabs>
                <w:tab w:val="left" w:pos="1337"/>
              </w:tabs>
              <w:spacing w:line="360" w:lineRule="auto"/>
              <w:rPr>
                <w:rFonts w:hint="eastAsia" w:ascii="仿宋" w:hAnsi="仿宋" w:eastAsia="仿宋" w:cs="仿宋"/>
                <w:bCs/>
                <w:sz w:val="24"/>
              </w:rPr>
            </w:pPr>
            <w:r>
              <w:rPr>
                <w:rFonts w:hint="eastAsia" w:ascii="仿宋" w:hAnsi="仿宋" w:eastAsia="仿宋" w:cs="仿宋"/>
                <w:bCs/>
                <w:sz w:val="24"/>
              </w:rPr>
              <w:t>大写：</w:t>
            </w:r>
            <w:r>
              <w:rPr>
                <w:rFonts w:hint="eastAsia" w:ascii="仿宋" w:hAnsi="仿宋" w:eastAsia="仿宋" w:cs="仿宋"/>
                <w:bCs/>
                <w:sz w:val="24"/>
                <w:u w:val="single"/>
              </w:rPr>
              <w:t xml:space="preserve">                               </w:t>
            </w:r>
            <w:r>
              <w:rPr>
                <w:rFonts w:hint="eastAsia" w:ascii="仿宋" w:hAnsi="仿宋" w:eastAsia="仿宋" w:cs="仿宋"/>
                <w:bCs/>
                <w:sz w:val="24"/>
              </w:rPr>
              <w:t>元</w:t>
            </w:r>
          </w:p>
          <w:p w14:paraId="590CE186">
            <w:pPr>
              <w:pStyle w:val="52"/>
              <w:tabs>
                <w:tab w:val="left" w:pos="1337"/>
              </w:tabs>
              <w:spacing w:line="360" w:lineRule="auto"/>
              <w:rPr>
                <w:rFonts w:hint="eastAsia" w:ascii="仿宋" w:hAnsi="仿宋" w:eastAsia="仿宋" w:cs="仿宋"/>
                <w:sz w:val="24"/>
              </w:rPr>
            </w:pPr>
          </w:p>
        </w:tc>
      </w:tr>
      <w:tr w14:paraId="5E15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2614" w:type="dxa"/>
          </w:tcPr>
          <w:p w14:paraId="43F86192">
            <w:pPr>
              <w:pStyle w:val="52"/>
              <w:tabs>
                <w:tab w:val="left" w:pos="1337"/>
              </w:tabs>
              <w:spacing w:line="360" w:lineRule="auto"/>
              <w:jc w:val="center"/>
              <w:rPr>
                <w:rFonts w:hint="eastAsia" w:ascii="仿宋" w:hAnsi="仿宋" w:eastAsia="仿宋" w:cs="仿宋"/>
                <w:sz w:val="24"/>
              </w:rPr>
            </w:pPr>
            <w:r>
              <w:rPr>
                <w:rFonts w:hint="eastAsia" w:ascii="仿宋" w:hAnsi="仿宋" w:eastAsia="仿宋" w:cs="仿宋"/>
                <w:bCs/>
                <w:sz w:val="24"/>
                <w:lang w:val="en-US" w:eastAsia="zh-CN"/>
              </w:rPr>
              <w:t>服务期限</w:t>
            </w:r>
          </w:p>
        </w:tc>
        <w:tc>
          <w:tcPr>
            <w:tcW w:w="7346" w:type="dxa"/>
          </w:tcPr>
          <w:p w14:paraId="3655D8B5">
            <w:pPr>
              <w:pStyle w:val="52"/>
              <w:tabs>
                <w:tab w:val="left" w:pos="1337"/>
              </w:tabs>
              <w:spacing w:line="360" w:lineRule="auto"/>
              <w:rPr>
                <w:rFonts w:hint="eastAsia" w:ascii="仿宋" w:hAnsi="仿宋" w:eastAsia="仿宋" w:cs="仿宋"/>
                <w:sz w:val="24"/>
              </w:rPr>
            </w:pPr>
            <w:r>
              <w:rPr>
                <w:rFonts w:hint="eastAsia" w:ascii="仿宋" w:hAnsi="仿宋" w:eastAsia="仿宋" w:cs="仿宋"/>
              </w:rPr>
              <w:t xml:space="preserve">                       </w:t>
            </w:r>
          </w:p>
        </w:tc>
      </w:tr>
      <w:tr w14:paraId="1944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960" w:type="dxa"/>
            <w:gridSpan w:val="2"/>
          </w:tcPr>
          <w:p w14:paraId="7A0880C2">
            <w:pPr>
              <w:pStyle w:val="52"/>
              <w:tabs>
                <w:tab w:val="left" w:pos="1337"/>
              </w:tabs>
              <w:spacing w:line="360" w:lineRule="auto"/>
              <w:rPr>
                <w:rFonts w:hint="eastAsia" w:ascii="仿宋" w:hAnsi="仿宋" w:eastAsia="仿宋" w:cs="仿宋"/>
                <w:sz w:val="24"/>
              </w:rPr>
            </w:pPr>
            <w:r>
              <w:rPr>
                <w:rFonts w:hint="eastAsia" w:ascii="仿宋" w:hAnsi="仿宋" w:eastAsia="仿宋" w:cs="仿宋"/>
                <w:bCs/>
                <w:sz w:val="24"/>
              </w:rPr>
              <w:t>备注：本项目</w:t>
            </w:r>
            <w:r>
              <w:rPr>
                <w:rFonts w:hint="eastAsia" w:ascii="仿宋" w:hAnsi="仿宋" w:eastAsia="仿宋" w:cs="仿宋"/>
                <w:bCs/>
                <w:sz w:val="24"/>
                <w:lang w:val="en-US" w:eastAsia="zh-CN"/>
              </w:rPr>
              <w:t>为固定总价承包</w:t>
            </w:r>
            <w:r>
              <w:rPr>
                <w:rFonts w:hint="eastAsia" w:ascii="仿宋" w:hAnsi="仿宋" w:eastAsia="仿宋" w:cs="仿宋"/>
                <w:bCs/>
                <w:sz w:val="24"/>
              </w:rPr>
              <w:t>。固定总价中包含了</w:t>
            </w:r>
            <w:r>
              <w:rPr>
                <w:rFonts w:hint="eastAsia" w:ascii="仿宋" w:hAnsi="仿宋" w:eastAsia="仿宋" w:cs="仿宋"/>
                <w:bCs/>
                <w:sz w:val="24"/>
                <w:lang w:val="en-US" w:eastAsia="zh-CN"/>
              </w:rPr>
              <w:t>为完成本项目全部工作的人工费、材料费、</w:t>
            </w:r>
            <w:r>
              <w:rPr>
                <w:rFonts w:hint="eastAsia" w:ascii="仿宋" w:hAnsi="仿宋" w:eastAsia="仿宋" w:cs="仿宋"/>
                <w:bCs/>
                <w:sz w:val="24"/>
              </w:rPr>
              <w:t>各项管理费、利润、风险、税金（增值税专用发票）以及本合同虽未提及但</w:t>
            </w:r>
            <w:r>
              <w:rPr>
                <w:rFonts w:hint="eastAsia" w:ascii="仿宋" w:hAnsi="仿宋" w:eastAsia="仿宋" w:cs="仿宋"/>
                <w:bCs/>
                <w:sz w:val="24"/>
                <w:lang w:val="en-US" w:eastAsia="zh-CN"/>
              </w:rPr>
              <w:t>供应商</w:t>
            </w:r>
            <w:r>
              <w:rPr>
                <w:rFonts w:hint="eastAsia" w:ascii="仿宋" w:hAnsi="仿宋" w:eastAsia="仿宋" w:cs="仿宋"/>
                <w:bCs/>
                <w:sz w:val="24"/>
              </w:rPr>
              <w:t>在完成本工程过程中必须支付的与本工程相关的其他费用。</w:t>
            </w:r>
          </w:p>
        </w:tc>
      </w:tr>
    </w:tbl>
    <w:p w14:paraId="74A45C98">
      <w:pPr>
        <w:spacing w:line="360" w:lineRule="auto"/>
        <w:rPr>
          <w:rFonts w:hint="eastAsia" w:ascii="仿宋" w:hAnsi="仿宋" w:eastAsia="仿宋" w:cs="仿宋"/>
          <w:sz w:val="28"/>
        </w:rPr>
      </w:pPr>
    </w:p>
    <w:p w14:paraId="210C74F9">
      <w:pPr>
        <w:spacing w:line="360" w:lineRule="auto"/>
        <w:rPr>
          <w:rFonts w:hint="eastAsia" w:ascii="仿宋" w:hAnsi="仿宋" w:eastAsia="仿宋" w:cs="仿宋"/>
          <w:sz w:val="22"/>
          <w:szCs w:val="20"/>
        </w:rPr>
      </w:pPr>
      <w:r>
        <w:rPr>
          <w:rFonts w:hint="eastAsia" w:ascii="仿宋" w:hAnsi="仿宋" w:eastAsia="仿宋" w:cs="仿宋"/>
          <w:sz w:val="22"/>
          <w:szCs w:val="20"/>
        </w:rPr>
        <w:t>说明：1、投标人严格按照规定的格式填写。</w:t>
      </w:r>
    </w:p>
    <w:p w14:paraId="783793C1">
      <w:pPr>
        <w:numPr>
          <w:ilvl w:val="0"/>
          <w:numId w:val="4"/>
        </w:numPr>
        <w:spacing w:line="360" w:lineRule="auto"/>
        <w:ind w:left="110" w:leftChars="0" w:firstLine="0" w:firstLineChars="0"/>
        <w:rPr>
          <w:rFonts w:hint="eastAsia" w:ascii="仿宋" w:hAnsi="仿宋" w:eastAsia="仿宋" w:cs="仿宋"/>
          <w:sz w:val="22"/>
          <w:szCs w:val="20"/>
        </w:rPr>
      </w:pPr>
      <w:r>
        <w:rPr>
          <w:rFonts w:hint="eastAsia" w:ascii="仿宋" w:hAnsi="仿宋" w:eastAsia="仿宋" w:cs="仿宋"/>
          <w:sz w:val="22"/>
          <w:szCs w:val="20"/>
        </w:rPr>
        <w:t>任何有选择或有条件的投标报价或表中某一包填写多个报价，均将导致投标被拒绝。</w:t>
      </w:r>
    </w:p>
    <w:p w14:paraId="15629037">
      <w:pPr>
        <w:pStyle w:val="53"/>
        <w:tabs>
          <w:tab w:val="left" w:pos="750"/>
        </w:tabs>
        <w:adjustRightInd w:val="0"/>
        <w:snapToGrid w:val="0"/>
        <w:spacing w:line="500" w:lineRule="exact"/>
        <w:jc w:val="center"/>
        <w:rPr>
          <w:rFonts w:hint="eastAsia" w:ascii="仿宋" w:hAnsi="仿宋" w:eastAsia="仿宋" w:cs="仿宋"/>
          <w:sz w:val="24"/>
          <w:szCs w:val="24"/>
        </w:rPr>
      </w:pPr>
    </w:p>
    <w:p w14:paraId="5B681506">
      <w:pPr>
        <w:pStyle w:val="53"/>
        <w:tabs>
          <w:tab w:val="left" w:pos="750"/>
        </w:tabs>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供应商名称（公章）：</w:t>
      </w:r>
      <w:r>
        <w:rPr>
          <w:rFonts w:hint="eastAsia" w:ascii="仿宋" w:hAnsi="仿宋" w:eastAsia="仿宋" w:cs="仿宋"/>
          <w:sz w:val="24"/>
          <w:szCs w:val="24"/>
          <w:u w:val="single"/>
        </w:rPr>
        <w:t xml:space="preserve">                         </w:t>
      </w:r>
    </w:p>
    <w:p w14:paraId="16CE1FBE">
      <w:pPr>
        <w:pStyle w:val="53"/>
        <w:tabs>
          <w:tab w:val="left" w:pos="750"/>
        </w:tabs>
        <w:adjustRightInd w:val="0"/>
        <w:snapToGrid w:val="0"/>
        <w:spacing w:line="500" w:lineRule="exact"/>
        <w:ind w:firstLine="720" w:firstLineChars="300"/>
        <w:jc w:val="center"/>
        <w:rPr>
          <w:rFonts w:hint="eastAsia" w:ascii="仿宋" w:hAnsi="仿宋" w:eastAsia="仿宋" w:cs="仿宋"/>
          <w:sz w:val="24"/>
          <w:szCs w:val="24"/>
        </w:rPr>
      </w:pPr>
      <w:r>
        <w:rPr>
          <w:rFonts w:hint="eastAsia" w:ascii="仿宋" w:hAnsi="仿宋" w:eastAsia="仿宋" w:cs="仿宋"/>
          <w:sz w:val="24"/>
          <w:szCs w:val="24"/>
        </w:rPr>
        <w:t>法定代表人（单位负责人）或其授权委托人（签字或盖章） ：</w:t>
      </w:r>
      <w:r>
        <w:rPr>
          <w:rFonts w:hint="eastAsia" w:ascii="仿宋" w:hAnsi="仿宋" w:eastAsia="仿宋" w:cs="仿宋"/>
          <w:sz w:val="24"/>
          <w:szCs w:val="24"/>
          <w:u w:val="single"/>
        </w:rPr>
        <w:t xml:space="preserve">            </w:t>
      </w:r>
    </w:p>
    <w:p w14:paraId="02C5F418">
      <w:pPr>
        <w:adjustRightInd w:val="0"/>
        <w:snapToGrid w:val="0"/>
        <w:spacing w:line="500" w:lineRule="exact"/>
        <w:ind w:left="-88" w:leftChars="-42"/>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75AED9C">
      <w:pPr>
        <w:pStyle w:val="11"/>
        <w:snapToGrid w:val="0"/>
        <w:spacing w:line="240" w:lineRule="atLeast"/>
        <w:rPr>
          <w:rFonts w:ascii="仿宋" w:hAnsi="仿宋" w:eastAsia="仿宋" w:cs="仿宋"/>
          <w:color w:val="auto"/>
          <w:highlight w:val="none"/>
        </w:rPr>
      </w:pPr>
    </w:p>
    <w:p w14:paraId="74CA2FF4">
      <w:pPr>
        <w:bidi w:val="0"/>
        <w:rPr>
          <w:rFonts w:hint="eastAsia"/>
        </w:rPr>
      </w:pPr>
    </w:p>
    <w:p w14:paraId="0B909D6E">
      <w:pPr>
        <w:keepNext w:val="0"/>
        <w:keepLines w:val="0"/>
        <w:pageBreakBefore w:val="0"/>
        <w:widowControl w:val="0"/>
        <w:wordWrap/>
        <w:overflowPunct/>
        <w:topLinePunct w:val="0"/>
        <w:bidi w:val="0"/>
        <w:spacing w:before="97" w:line="240" w:lineRule="auto"/>
        <w:ind w:left="2247"/>
        <w:rPr>
          <w:rFonts w:hint="eastAsia" w:ascii="仿宋" w:hAnsi="仿宋" w:eastAsia="仿宋" w:cs="仿宋"/>
          <w:b/>
          <w:bCs/>
          <w:color w:val="auto"/>
          <w:spacing w:val="0"/>
          <w:sz w:val="30"/>
          <w:szCs w:val="30"/>
          <w:highlight w:val="none"/>
          <w:lang w:val="en-US" w:eastAsia="zh-CN"/>
        </w:rPr>
      </w:pPr>
    </w:p>
    <w:p w14:paraId="743E830E">
      <w:pPr>
        <w:keepNext w:val="0"/>
        <w:keepLines w:val="0"/>
        <w:pageBreakBefore w:val="0"/>
        <w:widowControl w:val="0"/>
        <w:wordWrap/>
        <w:overflowPunct/>
        <w:topLinePunct w:val="0"/>
        <w:bidi w:val="0"/>
        <w:spacing w:before="97" w:line="240" w:lineRule="auto"/>
        <w:ind w:left="2247"/>
        <w:rPr>
          <w:rFonts w:hint="eastAsia" w:ascii="仿宋" w:hAnsi="仿宋" w:eastAsia="仿宋" w:cs="仿宋"/>
          <w:b/>
          <w:bCs/>
          <w:color w:val="auto"/>
          <w:spacing w:val="0"/>
          <w:sz w:val="30"/>
          <w:szCs w:val="30"/>
          <w:highlight w:val="none"/>
          <w:lang w:val="en-US" w:eastAsia="zh-CN"/>
        </w:rPr>
      </w:pPr>
    </w:p>
    <w:p w14:paraId="64C875FE">
      <w:pPr>
        <w:keepNext w:val="0"/>
        <w:keepLines w:val="0"/>
        <w:pageBreakBefore w:val="0"/>
        <w:widowControl w:val="0"/>
        <w:wordWrap/>
        <w:overflowPunct/>
        <w:topLinePunct w:val="0"/>
        <w:bidi w:val="0"/>
        <w:spacing w:before="97" w:line="240" w:lineRule="auto"/>
        <w:ind w:left="2247"/>
        <w:rPr>
          <w:rFonts w:hint="eastAsia" w:ascii="仿宋" w:hAnsi="仿宋" w:eastAsia="仿宋" w:cs="仿宋"/>
          <w:b/>
          <w:bCs/>
          <w:color w:val="auto"/>
          <w:spacing w:val="0"/>
          <w:sz w:val="30"/>
          <w:szCs w:val="30"/>
          <w:highlight w:val="none"/>
          <w:lang w:val="en-US" w:eastAsia="zh-CN"/>
        </w:rPr>
      </w:pPr>
    </w:p>
    <w:p w14:paraId="50258C08">
      <w:pPr>
        <w:keepNext w:val="0"/>
        <w:keepLines w:val="0"/>
        <w:pageBreakBefore w:val="0"/>
        <w:widowControl w:val="0"/>
        <w:wordWrap/>
        <w:overflowPunct/>
        <w:topLinePunct w:val="0"/>
        <w:bidi w:val="0"/>
        <w:spacing w:before="97" w:line="240" w:lineRule="auto"/>
        <w:ind w:left="2247"/>
        <w:rPr>
          <w:rFonts w:hint="eastAsia" w:ascii="仿宋" w:hAnsi="仿宋" w:eastAsia="仿宋" w:cs="仿宋"/>
          <w:b/>
          <w:bCs/>
          <w:color w:val="auto"/>
          <w:spacing w:val="0"/>
          <w:sz w:val="30"/>
          <w:szCs w:val="30"/>
          <w:highlight w:val="none"/>
          <w:lang w:val="en-US" w:eastAsia="zh-CN"/>
        </w:rPr>
      </w:pPr>
    </w:p>
    <w:p w14:paraId="07586E26">
      <w:pPr>
        <w:keepNext w:val="0"/>
        <w:keepLines w:val="0"/>
        <w:pageBreakBefore w:val="0"/>
        <w:widowControl w:val="0"/>
        <w:wordWrap/>
        <w:overflowPunct/>
        <w:topLinePunct w:val="0"/>
        <w:bidi w:val="0"/>
        <w:spacing w:before="97" w:line="240" w:lineRule="auto"/>
        <w:ind w:left="2247"/>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lang w:val="en-US" w:eastAsia="zh-CN"/>
        </w:rPr>
        <w:t>六</w:t>
      </w:r>
      <w:r>
        <w:rPr>
          <w:rFonts w:hint="eastAsia" w:ascii="仿宋" w:hAnsi="仿宋" w:eastAsia="仿宋" w:cs="仿宋"/>
          <w:b/>
          <w:bCs/>
          <w:color w:val="auto"/>
          <w:spacing w:val="0"/>
          <w:sz w:val="30"/>
          <w:szCs w:val="30"/>
          <w:highlight w:val="none"/>
        </w:rPr>
        <w:t>、拟</w:t>
      </w:r>
      <w:r>
        <w:rPr>
          <w:rFonts w:hint="eastAsia" w:ascii="仿宋" w:hAnsi="仿宋" w:eastAsia="仿宋" w:cs="仿宋"/>
          <w:b/>
          <w:bCs/>
          <w:color w:val="auto"/>
          <w:spacing w:val="0"/>
          <w:sz w:val="30"/>
          <w:szCs w:val="30"/>
          <w:highlight w:val="none"/>
          <w:lang w:eastAsia="zh-CN"/>
        </w:rPr>
        <w:t>投入</w:t>
      </w:r>
      <w:r>
        <w:rPr>
          <w:rFonts w:hint="eastAsia" w:ascii="仿宋" w:hAnsi="仿宋" w:eastAsia="仿宋" w:cs="仿宋"/>
          <w:b/>
          <w:bCs/>
          <w:color w:val="auto"/>
          <w:spacing w:val="0"/>
          <w:sz w:val="30"/>
          <w:szCs w:val="30"/>
          <w:highlight w:val="none"/>
        </w:rPr>
        <w:t>本项目人员情况</w:t>
      </w:r>
    </w:p>
    <w:p w14:paraId="699C1BFF">
      <w:pPr>
        <w:keepNext w:val="0"/>
        <w:keepLines w:val="0"/>
        <w:pageBreakBefore w:val="0"/>
        <w:widowControl w:val="0"/>
        <w:wordWrap/>
        <w:overflowPunct/>
        <w:topLinePunct w:val="0"/>
        <w:bidi w:val="0"/>
        <w:spacing w:before="5" w:line="240" w:lineRule="auto"/>
        <w:rPr>
          <w:rFonts w:hint="eastAsia" w:ascii="仿宋" w:hAnsi="仿宋" w:eastAsia="仿宋" w:cs="仿宋"/>
          <w:color w:val="auto"/>
          <w:spacing w:val="0"/>
          <w:highlight w:val="none"/>
        </w:rPr>
      </w:pPr>
    </w:p>
    <w:tbl>
      <w:tblPr>
        <w:tblStyle w:val="33"/>
        <w:tblW w:w="911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0"/>
        <w:gridCol w:w="1540"/>
        <w:gridCol w:w="980"/>
        <w:gridCol w:w="1119"/>
        <w:gridCol w:w="1399"/>
        <w:gridCol w:w="1541"/>
        <w:gridCol w:w="1408"/>
      </w:tblGrid>
      <w:tr w14:paraId="7E012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1130" w:type="dxa"/>
            <w:tcBorders>
              <w:top w:val="single" w:color="000000" w:sz="2" w:space="0"/>
              <w:left w:val="single" w:color="000000" w:sz="2" w:space="0"/>
              <w:bottom w:val="single" w:color="000000" w:sz="2" w:space="0"/>
              <w:right w:val="single" w:color="000000" w:sz="2" w:space="0"/>
            </w:tcBorders>
            <w:vAlign w:val="top"/>
          </w:tcPr>
          <w:p w14:paraId="4473AC1B">
            <w:pPr>
              <w:pStyle w:val="34"/>
              <w:keepNext w:val="0"/>
              <w:keepLines w:val="0"/>
              <w:pageBreakBefore w:val="0"/>
              <w:widowControl w:val="0"/>
              <w:wordWrap/>
              <w:overflowPunct/>
              <w:topLinePunct w:val="0"/>
              <w:bidi w:val="0"/>
              <w:spacing w:before="209" w:line="240" w:lineRule="auto"/>
              <w:ind w:left="330"/>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序号</w:t>
            </w:r>
          </w:p>
        </w:tc>
        <w:tc>
          <w:tcPr>
            <w:tcW w:w="1540" w:type="dxa"/>
            <w:tcBorders>
              <w:top w:val="single" w:color="000000" w:sz="2" w:space="0"/>
              <w:left w:val="single" w:color="000000" w:sz="2" w:space="0"/>
              <w:bottom w:val="single" w:color="000000" w:sz="2" w:space="0"/>
              <w:right w:val="single" w:color="000000" w:sz="2" w:space="0"/>
            </w:tcBorders>
            <w:vAlign w:val="top"/>
          </w:tcPr>
          <w:p w14:paraId="6C1B4848">
            <w:pPr>
              <w:pStyle w:val="34"/>
              <w:keepNext w:val="0"/>
              <w:keepLines w:val="0"/>
              <w:pageBreakBefore w:val="0"/>
              <w:widowControl w:val="0"/>
              <w:wordWrap/>
              <w:overflowPunct/>
              <w:topLinePunct w:val="0"/>
              <w:bidi w:val="0"/>
              <w:spacing w:before="209" w:line="240" w:lineRule="auto"/>
              <w:ind w:left="532"/>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姓名</w:t>
            </w:r>
          </w:p>
        </w:tc>
        <w:tc>
          <w:tcPr>
            <w:tcW w:w="980" w:type="dxa"/>
            <w:tcBorders>
              <w:top w:val="single" w:color="000000" w:sz="2" w:space="0"/>
              <w:left w:val="single" w:color="000000" w:sz="2" w:space="0"/>
              <w:bottom w:val="single" w:color="000000" w:sz="2" w:space="0"/>
              <w:right w:val="single" w:color="000000" w:sz="2" w:space="0"/>
            </w:tcBorders>
            <w:vAlign w:val="top"/>
          </w:tcPr>
          <w:p w14:paraId="5695A775">
            <w:pPr>
              <w:pStyle w:val="34"/>
              <w:keepNext w:val="0"/>
              <w:keepLines w:val="0"/>
              <w:pageBreakBefore w:val="0"/>
              <w:widowControl w:val="0"/>
              <w:wordWrap/>
              <w:overflowPunct/>
              <w:topLinePunct w:val="0"/>
              <w:bidi w:val="0"/>
              <w:spacing w:before="209" w:line="240" w:lineRule="auto"/>
              <w:ind w:left="253"/>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年龄</w:t>
            </w:r>
          </w:p>
        </w:tc>
        <w:tc>
          <w:tcPr>
            <w:tcW w:w="1119" w:type="dxa"/>
            <w:tcBorders>
              <w:top w:val="single" w:color="000000" w:sz="2" w:space="0"/>
              <w:left w:val="single" w:color="000000" w:sz="2" w:space="0"/>
              <w:bottom w:val="single" w:color="000000" w:sz="2" w:space="0"/>
              <w:right w:val="single" w:color="000000" w:sz="2" w:space="0"/>
            </w:tcBorders>
            <w:vAlign w:val="top"/>
          </w:tcPr>
          <w:p w14:paraId="0BB17492">
            <w:pPr>
              <w:pStyle w:val="34"/>
              <w:keepNext w:val="0"/>
              <w:keepLines w:val="0"/>
              <w:pageBreakBefore w:val="0"/>
              <w:widowControl w:val="0"/>
              <w:wordWrap/>
              <w:overflowPunct/>
              <w:topLinePunct w:val="0"/>
              <w:bidi w:val="0"/>
              <w:spacing w:before="209" w:line="240" w:lineRule="auto"/>
              <w:ind w:left="325"/>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专业</w:t>
            </w:r>
          </w:p>
        </w:tc>
        <w:tc>
          <w:tcPr>
            <w:tcW w:w="1399" w:type="dxa"/>
            <w:tcBorders>
              <w:top w:val="single" w:color="000000" w:sz="2" w:space="0"/>
              <w:left w:val="single" w:color="000000" w:sz="2" w:space="0"/>
              <w:bottom w:val="single" w:color="000000" w:sz="2" w:space="0"/>
              <w:right w:val="single" w:color="000000" w:sz="2" w:space="0"/>
            </w:tcBorders>
            <w:vAlign w:val="top"/>
          </w:tcPr>
          <w:p w14:paraId="5284F44A">
            <w:pPr>
              <w:pStyle w:val="34"/>
              <w:keepNext w:val="0"/>
              <w:keepLines w:val="0"/>
              <w:pageBreakBefore w:val="0"/>
              <w:widowControl w:val="0"/>
              <w:wordWrap/>
              <w:overflowPunct/>
              <w:topLinePunct w:val="0"/>
              <w:bidi w:val="0"/>
              <w:spacing w:before="209" w:line="240" w:lineRule="auto"/>
              <w:ind w:left="472"/>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学历</w:t>
            </w:r>
          </w:p>
        </w:tc>
        <w:tc>
          <w:tcPr>
            <w:tcW w:w="1541" w:type="dxa"/>
            <w:tcBorders>
              <w:top w:val="single" w:color="000000" w:sz="2" w:space="0"/>
              <w:left w:val="single" w:color="000000" w:sz="2" w:space="0"/>
              <w:bottom w:val="single" w:color="000000" w:sz="2" w:space="0"/>
              <w:right w:val="single" w:color="000000" w:sz="2" w:space="0"/>
            </w:tcBorders>
            <w:vAlign w:val="top"/>
          </w:tcPr>
          <w:p w14:paraId="0A473E42">
            <w:pPr>
              <w:pStyle w:val="34"/>
              <w:keepNext w:val="0"/>
              <w:keepLines w:val="0"/>
              <w:pageBreakBefore w:val="0"/>
              <w:widowControl w:val="0"/>
              <w:wordWrap/>
              <w:overflowPunct/>
              <w:topLinePunct w:val="0"/>
              <w:bidi w:val="0"/>
              <w:spacing w:before="210" w:line="240" w:lineRule="auto"/>
              <w:ind w:left="540"/>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职称</w:t>
            </w:r>
          </w:p>
        </w:tc>
        <w:tc>
          <w:tcPr>
            <w:tcW w:w="1408" w:type="dxa"/>
            <w:tcBorders>
              <w:top w:val="single" w:color="000000" w:sz="2" w:space="0"/>
              <w:left w:val="single" w:color="000000" w:sz="2" w:space="0"/>
              <w:bottom w:val="single" w:color="000000" w:sz="2" w:space="0"/>
              <w:right w:val="single" w:color="000000" w:sz="2" w:space="0"/>
            </w:tcBorders>
            <w:vAlign w:val="top"/>
          </w:tcPr>
          <w:p w14:paraId="668918A5">
            <w:pPr>
              <w:pStyle w:val="34"/>
              <w:keepNext w:val="0"/>
              <w:keepLines w:val="0"/>
              <w:pageBreakBefore w:val="0"/>
              <w:widowControl w:val="0"/>
              <w:wordWrap/>
              <w:overflowPunct/>
              <w:topLinePunct w:val="0"/>
              <w:bidi w:val="0"/>
              <w:spacing w:before="209" w:line="240" w:lineRule="auto"/>
              <w:ind w:left="475"/>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备注</w:t>
            </w:r>
          </w:p>
        </w:tc>
      </w:tr>
      <w:tr w14:paraId="0351A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4" w:hRule="atLeast"/>
        </w:trPr>
        <w:tc>
          <w:tcPr>
            <w:tcW w:w="1130" w:type="dxa"/>
            <w:tcBorders>
              <w:top w:val="single" w:color="000000" w:sz="2" w:space="0"/>
            </w:tcBorders>
            <w:vAlign w:val="top"/>
          </w:tcPr>
          <w:p w14:paraId="7DF71B3D">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0" w:type="dxa"/>
            <w:tcBorders>
              <w:top w:val="single" w:color="000000" w:sz="2" w:space="0"/>
            </w:tcBorders>
            <w:vAlign w:val="top"/>
          </w:tcPr>
          <w:p w14:paraId="3A265345">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980" w:type="dxa"/>
            <w:tcBorders>
              <w:top w:val="single" w:color="000000" w:sz="2" w:space="0"/>
            </w:tcBorders>
            <w:vAlign w:val="top"/>
          </w:tcPr>
          <w:p w14:paraId="7AC189A2">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119" w:type="dxa"/>
            <w:tcBorders>
              <w:top w:val="single" w:color="000000" w:sz="2" w:space="0"/>
            </w:tcBorders>
            <w:vAlign w:val="top"/>
          </w:tcPr>
          <w:p w14:paraId="2ACA7ACE">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399" w:type="dxa"/>
            <w:tcBorders>
              <w:top w:val="single" w:color="000000" w:sz="2" w:space="0"/>
            </w:tcBorders>
            <w:vAlign w:val="top"/>
          </w:tcPr>
          <w:p w14:paraId="3F7FF655">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1" w:type="dxa"/>
            <w:tcBorders>
              <w:top w:val="single" w:color="000000" w:sz="2" w:space="0"/>
            </w:tcBorders>
            <w:vAlign w:val="top"/>
          </w:tcPr>
          <w:p w14:paraId="37CC7E5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408" w:type="dxa"/>
            <w:tcBorders>
              <w:top w:val="single" w:color="000000" w:sz="2" w:space="0"/>
            </w:tcBorders>
            <w:vAlign w:val="top"/>
          </w:tcPr>
          <w:p w14:paraId="19C8322D">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5C5C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9" w:hRule="atLeast"/>
        </w:trPr>
        <w:tc>
          <w:tcPr>
            <w:tcW w:w="1130" w:type="dxa"/>
            <w:vAlign w:val="top"/>
          </w:tcPr>
          <w:p w14:paraId="018E756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0" w:type="dxa"/>
            <w:vAlign w:val="top"/>
          </w:tcPr>
          <w:p w14:paraId="129B405D">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980" w:type="dxa"/>
            <w:vAlign w:val="top"/>
          </w:tcPr>
          <w:p w14:paraId="7EB54D58">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119" w:type="dxa"/>
            <w:vAlign w:val="top"/>
          </w:tcPr>
          <w:p w14:paraId="6B65CC9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399" w:type="dxa"/>
            <w:vAlign w:val="top"/>
          </w:tcPr>
          <w:p w14:paraId="7F201195">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1" w:type="dxa"/>
            <w:vAlign w:val="top"/>
          </w:tcPr>
          <w:p w14:paraId="5014B43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408" w:type="dxa"/>
            <w:vAlign w:val="top"/>
          </w:tcPr>
          <w:p w14:paraId="00970F8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4C386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9" w:hRule="atLeast"/>
        </w:trPr>
        <w:tc>
          <w:tcPr>
            <w:tcW w:w="1130" w:type="dxa"/>
            <w:vAlign w:val="top"/>
          </w:tcPr>
          <w:p w14:paraId="530974A8">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0" w:type="dxa"/>
            <w:vAlign w:val="top"/>
          </w:tcPr>
          <w:p w14:paraId="3F80586A">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980" w:type="dxa"/>
            <w:vAlign w:val="top"/>
          </w:tcPr>
          <w:p w14:paraId="7CA055ED">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119" w:type="dxa"/>
            <w:vAlign w:val="top"/>
          </w:tcPr>
          <w:p w14:paraId="4403FAF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399" w:type="dxa"/>
            <w:vAlign w:val="top"/>
          </w:tcPr>
          <w:p w14:paraId="5206E45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1" w:type="dxa"/>
            <w:vAlign w:val="top"/>
          </w:tcPr>
          <w:p w14:paraId="03A033F4">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408" w:type="dxa"/>
            <w:vAlign w:val="top"/>
          </w:tcPr>
          <w:p w14:paraId="0F6E206F">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5922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9" w:hRule="atLeast"/>
        </w:trPr>
        <w:tc>
          <w:tcPr>
            <w:tcW w:w="1130" w:type="dxa"/>
            <w:vAlign w:val="top"/>
          </w:tcPr>
          <w:p w14:paraId="2A24E85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0" w:type="dxa"/>
            <w:vAlign w:val="top"/>
          </w:tcPr>
          <w:p w14:paraId="080D1B6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980" w:type="dxa"/>
            <w:vAlign w:val="top"/>
          </w:tcPr>
          <w:p w14:paraId="2528BAD2">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119" w:type="dxa"/>
            <w:vAlign w:val="top"/>
          </w:tcPr>
          <w:p w14:paraId="5825365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399" w:type="dxa"/>
            <w:vAlign w:val="top"/>
          </w:tcPr>
          <w:p w14:paraId="03E17D93">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1" w:type="dxa"/>
            <w:vAlign w:val="top"/>
          </w:tcPr>
          <w:p w14:paraId="4E402814">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408" w:type="dxa"/>
            <w:vAlign w:val="top"/>
          </w:tcPr>
          <w:p w14:paraId="78F4D234">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110F3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vAlign w:val="top"/>
          </w:tcPr>
          <w:p w14:paraId="5FF1B71B">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0" w:type="dxa"/>
            <w:vAlign w:val="top"/>
          </w:tcPr>
          <w:p w14:paraId="1F0232F2">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980" w:type="dxa"/>
            <w:vAlign w:val="top"/>
          </w:tcPr>
          <w:p w14:paraId="79F7334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119" w:type="dxa"/>
            <w:vAlign w:val="top"/>
          </w:tcPr>
          <w:p w14:paraId="362461E8">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399" w:type="dxa"/>
            <w:vAlign w:val="top"/>
          </w:tcPr>
          <w:p w14:paraId="2E1EB5D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1" w:type="dxa"/>
            <w:vAlign w:val="top"/>
          </w:tcPr>
          <w:p w14:paraId="37290C0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408" w:type="dxa"/>
            <w:vAlign w:val="top"/>
          </w:tcPr>
          <w:p w14:paraId="1D0785BE">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1C7A5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9" w:hRule="atLeast"/>
        </w:trPr>
        <w:tc>
          <w:tcPr>
            <w:tcW w:w="1130" w:type="dxa"/>
            <w:vAlign w:val="top"/>
          </w:tcPr>
          <w:p w14:paraId="529B7334">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0" w:type="dxa"/>
            <w:vAlign w:val="top"/>
          </w:tcPr>
          <w:p w14:paraId="5E1590E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980" w:type="dxa"/>
            <w:vAlign w:val="top"/>
          </w:tcPr>
          <w:p w14:paraId="3A7181FE">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119" w:type="dxa"/>
            <w:vAlign w:val="top"/>
          </w:tcPr>
          <w:p w14:paraId="22B6C3A4">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399" w:type="dxa"/>
            <w:vAlign w:val="top"/>
          </w:tcPr>
          <w:p w14:paraId="0DD6CC9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1" w:type="dxa"/>
            <w:vAlign w:val="top"/>
          </w:tcPr>
          <w:p w14:paraId="43E8A37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408" w:type="dxa"/>
            <w:vAlign w:val="top"/>
          </w:tcPr>
          <w:p w14:paraId="5768F65A">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4EE81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9" w:hRule="atLeast"/>
        </w:trPr>
        <w:tc>
          <w:tcPr>
            <w:tcW w:w="1130" w:type="dxa"/>
            <w:vAlign w:val="top"/>
          </w:tcPr>
          <w:p w14:paraId="6306D5F5">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0" w:type="dxa"/>
            <w:vAlign w:val="top"/>
          </w:tcPr>
          <w:p w14:paraId="6E8D1F1F">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980" w:type="dxa"/>
            <w:vAlign w:val="top"/>
          </w:tcPr>
          <w:p w14:paraId="7BE76D75">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119" w:type="dxa"/>
            <w:vAlign w:val="top"/>
          </w:tcPr>
          <w:p w14:paraId="141D6E4E">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399" w:type="dxa"/>
            <w:vAlign w:val="top"/>
          </w:tcPr>
          <w:p w14:paraId="30D3543B">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541" w:type="dxa"/>
            <w:vAlign w:val="top"/>
          </w:tcPr>
          <w:p w14:paraId="50235ED9">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408" w:type="dxa"/>
            <w:vAlign w:val="top"/>
          </w:tcPr>
          <w:p w14:paraId="61C43AFB">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bl>
    <w:p w14:paraId="37E61334">
      <w:pPr>
        <w:keepNext w:val="0"/>
        <w:keepLines w:val="0"/>
        <w:pageBreakBefore w:val="0"/>
        <w:widowControl w:val="0"/>
        <w:wordWrap/>
        <w:overflowPunct/>
        <w:topLinePunct w:val="0"/>
        <w:bidi w:val="0"/>
        <w:spacing w:before="241" w:line="240" w:lineRule="auto"/>
        <w:ind w:left="595"/>
        <w:outlineLvl w:val="9"/>
        <w:rPr>
          <w:rFonts w:hint="eastAsia" w:ascii="仿宋" w:hAnsi="仿宋" w:eastAsia="仿宋" w:cs="仿宋"/>
          <w:color w:val="auto"/>
          <w:spacing w:val="0"/>
          <w:sz w:val="28"/>
          <w:szCs w:val="28"/>
          <w:highlight w:val="none"/>
        </w:rPr>
      </w:pPr>
      <w:r>
        <w:rPr>
          <w:rFonts w:hint="eastAsia" w:ascii="仿宋" w:hAnsi="仿宋" w:eastAsia="仿宋" w:cs="仿宋"/>
          <w:b/>
          <w:bCs/>
          <w:color w:val="auto"/>
          <w:spacing w:val="0"/>
          <w:sz w:val="28"/>
          <w:szCs w:val="28"/>
          <w:highlight w:val="none"/>
        </w:rPr>
        <w:t>注：后附项目组成员资格证书等资料</w:t>
      </w:r>
    </w:p>
    <w:p w14:paraId="6BA2AC4D">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8"/>
          <w:szCs w:val="28"/>
          <w:highlight w:val="none"/>
        </w:rPr>
        <w:sectPr>
          <w:footerReference r:id="rId22" w:type="default"/>
          <w:pgSz w:w="11905" w:h="16839"/>
          <w:pgMar w:top="1440" w:right="1800" w:bottom="1440" w:left="1800" w:header="0" w:footer="871" w:gutter="0"/>
          <w:cols w:space="720" w:num="1"/>
        </w:sectPr>
      </w:pPr>
    </w:p>
    <w:p w14:paraId="3CFEFC89">
      <w:pPr>
        <w:keepNext w:val="0"/>
        <w:keepLines w:val="0"/>
        <w:pageBreakBefore w:val="0"/>
        <w:widowControl w:val="0"/>
        <w:wordWrap/>
        <w:overflowPunct/>
        <w:topLinePunct w:val="0"/>
        <w:bidi w:val="0"/>
        <w:spacing w:before="97" w:line="240" w:lineRule="auto"/>
        <w:ind w:left="3154"/>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lang w:val="en-US" w:eastAsia="zh-CN"/>
        </w:rPr>
        <w:t>七</w:t>
      </w:r>
      <w:r>
        <w:rPr>
          <w:rFonts w:hint="eastAsia" w:ascii="仿宋" w:hAnsi="仿宋" w:eastAsia="仿宋" w:cs="仿宋"/>
          <w:b/>
          <w:bCs/>
          <w:color w:val="auto"/>
          <w:spacing w:val="0"/>
          <w:sz w:val="30"/>
          <w:szCs w:val="30"/>
          <w:highlight w:val="none"/>
        </w:rPr>
        <w:t>、商务技术偏离表</w:t>
      </w:r>
    </w:p>
    <w:p w14:paraId="44F5CB1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tbl>
      <w:tblPr>
        <w:tblStyle w:val="33"/>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600"/>
        <w:gridCol w:w="2260"/>
        <w:gridCol w:w="2264"/>
      </w:tblGrid>
      <w:tr w14:paraId="137B0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40" w:type="dxa"/>
            <w:vAlign w:val="top"/>
          </w:tcPr>
          <w:p w14:paraId="5867840F">
            <w:pPr>
              <w:pStyle w:val="34"/>
              <w:keepNext w:val="0"/>
              <w:keepLines w:val="0"/>
              <w:pageBreakBefore w:val="0"/>
              <w:widowControl w:val="0"/>
              <w:wordWrap/>
              <w:overflowPunct/>
              <w:topLinePunct w:val="0"/>
              <w:bidi w:val="0"/>
              <w:spacing w:before="154" w:line="240" w:lineRule="auto"/>
              <w:ind w:left="236"/>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序号</w:t>
            </w:r>
          </w:p>
        </w:tc>
        <w:tc>
          <w:tcPr>
            <w:tcW w:w="3600" w:type="dxa"/>
            <w:vAlign w:val="top"/>
          </w:tcPr>
          <w:p w14:paraId="533C3344">
            <w:pPr>
              <w:pStyle w:val="34"/>
              <w:keepNext w:val="0"/>
              <w:keepLines w:val="0"/>
              <w:pageBreakBefore w:val="0"/>
              <w:widowControl w:val="0"/>
              <w:wordWrap/>
              <w:overflowPunct/>
              <w:topLinePunct w:val="0"/>
              <w:bidi w:val="0"/>
              <w:spacing w:before="154" w:line="240" w:lineRule="auto"/>
              <w:ind w:left="486"/>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招标文件章节及具体内容</w:t>
            </w:r>
          </w:p>
        </w:tc>
        <w:tc>
          <w:tcPr>
            <w:tcW w:w="2260" w:type="dxa"/>
            <w:vAlign w:val="top"/>
          </w:tcPr>
          <w:p w14:paraId="5F635854">
            <w:pPr>
              <w:pStyle w:val="34"/>
              <w:keepNext w:val="0"/>
              <w:keepLines w:val="0"/>
              <w:pageBreakBefore w:val="0"/>
              <w:widowControl w:val="0"/>
              <w:wordWrap/>
              <w:overflowPunct/>
              <w:topLinePunct w:val="0"/>
              <w:bidi w:val="0"/>
              <w:spacing w:before="18" w:line="240" w:lineRule="auto"/>
              <w:ind w:left="777" w:right="166" w:hanging="587"/>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响应文件章节及具体内容</w:t>
            </w:r>
          </w:p>
        </w:tc>
        <w:tc>
          <w:tcPr>
            <w:tcW w:w="2264" w:type="dxa"/>
            <w:vAlign w:val="top"/>
          </w:tcPr>
          <w:p w14:paraId="383A4336">
            <w:pPr>
              <w:pStyle w:val="34"/>
              <w:keepNext w:val="0"/>
              <w:keepLines w:val="0"/>
              <w:pageBreakBefore w:val="0"/>
              <w:widowControl w:val="0"/>
              <w:wordWrap/>
              <w:overflowPunct/>
              <w:topLinePunct w:val="0"/>
              <w:bidi w:val="0"/>
              <w:spacing w:before="155" w:line="240" w:lineRule="auto"/>
              <w:ind w:left="658"/>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偏离说明</w:t>
            </w:r>
          </w:p>
        </w:tc>
      </w:tr>
      <w:tr w14:paraId="68818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40" w:type="dxa"/>
            <w:vAlign w:val="center"/>
          </w:tcPr>
          <w:p w14:paraId="2780BCC0">
            <w:pPr>
              <w:pStyle w:val="34"/>
              <w:keepNext w:val="0"/>
              <w:keepLines w:val="0"/>
              <w:pageBreakBefore w:val="0"/>
              <w:widowControl w:val="0"/>
              <w:wordWrap/>
              <w:overflowPunct/>
              <w:topLinePunct w:val="0"/>
              <w:bidi w:val="0"/>
              <w:spacing w:before="131" w:line="240" w:lineRule="auto"/>
              <w:ind w:left="435"/>
              <w:jc w:val="center"/>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1</w:t>
            </w:r>
          </w:p>
        </w:tc>
        <w:tc>
          <w:tcPr>
            <w:tcW w:w="3600" w:type="dxa"/>
            <w:vAlign w:val="center"/>
          </w:tcPr>
          <w:p w14:paraId="6D2E930B">
            <w:pPr>
              <w:keepNext w:val="0"/>
              <w:keepLines w:val="0"/>
              <w:pageBreakBefore w:val="0"/>
              <w:widowControl w:val="0"/>
              <w:wordWrap/>
              <w:overflowPunct/>
              <w:topLinePunct w:val="0"/>
              <w:bidi w:val="0"/>
              <w:spacing w:line="240" w:lineRule="auto"/>
              <w:jc w:val="center"/>
              <w:rPr>
                <w:rFonts w:hint="default" w:ascii="仿宋" w:hAnsi="仿宋" w:eastAsia="仿宋" w:cs="仿宋"/>
                <w:color w:val="auto"/>
                <w:spacing w:val="0"/>
                <w:sz w:val="21"/>
                <w:highlight w:val="none"/>
                <w:lang w:val="en-US" w:eastAsia="zh-CN"/>
              </w:rPr>
            </w:pPr>
            <w:r>
              <w:rPr>
                <w:rFonts w:hint="eastAsia" w:ascii="仿宋" w:hAnsi="仿宋" w:eastAsia="仿宋" w:cs="仿宋"/>
                <w:color w:val="auto"/>
                <w:spacing w:val="0"/>
                <w:sz w:val="21"/>
                <w:highlight w:val="none"/>
                <w:lang w:val="en-US" w:eastAsia="zh-CN"/>
              </w:rPr>
              <w:t>服务期限</w:t>
            </w:r>
          </w:p>
        </w:tc>
        <w:tc>
          <w:tcPr>
            <w:tcW w:w="2260" w:type="dxa"/>
            <w:vAlign w:val="top"/>
          </w:tcPr>
          <w:p w14:paraId="046206CB">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2264" w:type="dxa"/>
            <w:vAlign w:val="top"/>
          </w:tcPr>
          <w:p w14:paraId="014360C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1C6D5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40" w:type="dxa"/>
            <w:vAlign w:val="center"/>
          </w:tcPr>
          <w:p w14:paraId="1E97F082">
            <w:pPr>
              <w:pStyle w:val="34"/>
              <w:keepNext w:val="0"/>
              <w:keepLines w:val="0"/>
              <w:pageBreakBefore w:val="0"/>
              <w:widowControl w:val="0"/>
              <w:wordWrap/>
              <w:overflowPunct/>
              <w:topLinePunct w:val="0"/>
              <w:bidi w:val="0"/>
              <w:spacing w:before="100" w:line="240" w:lineRule="auto"/>
              <w:ind w:left="420"/>
              <w:jc w:val="center"/>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2</w:t>
            </w:r>
          </w:p>
        </w:tc>
        <w:tc>
          <w:tcPr>
            <w:tcW w:w="3600" w:type="dxa"/>
            <w:vAlign w:val="center"/>
          </w:tcPr>
          <w:p w14:paraId="60B04BA6">
            <w:pPr>
              <w:keepNext w:val="0"/>
              <w:keepLines w:val="0"/>
              <w:pageBreakBefore w:val="0"/>
              <w:widowControl w:val="0"/>
              <w:wordWrap/>
              <w:overflowPunct/>
              <w:topLinePunct w:val="0"/>
              <w:bidi w:val="0"/>
              <w:spacing w:line="240" w:lineRule="auto"/>
              <w:jc w:val="center"/>
              <w:rPr>
                <w:rFonts w:hint="default" w:ascii="仿宋" w:hAnsi="仿宋" w:eastAsia="仿宋" w:cs="仿宋"/>
                <w:color w:val="auto"/>
                <w:spacing w:val="0"/>
                <w:sz w:val="21"/>
                <w:highlight w:val="none"/>
                <w:lang w:val="en-US" w:eastAsia="zh-CN"/>
              </w:rPr>
            </w:pPr>
            <w:r>
              <w:rPr>
                <w:rFonts w:hint="eastAsia" w:ascii="仿宋" w:hAnsi="仿宋" w:eastAsia="仿宋" w:cs="仿宋"/>
                <w:color w:val="auto"/>
                <w:spacing w:val="0"/>
                <w:sz w:val="21"/>
                <w:highlight w:val="none"/>
                <w:lang w:val="en-US" w:eastAsia="zh-CN"/>
              </w:rPr>
              <w:t>投标有效期</w:t>
            </w:r>
          </w:p>
        </w:tc>
        <w:tc>
          <w:tcPr>
            <w:tcW w:w="2260" w:type="dxa"/>
            <w:vAlign w:val="top"/>
          </w:tcPr>
          <w:p w14:paraId="7BE9BA5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2264" w:type="dxa"/>
            <w:vAlign w:val="top"/>
          </w:tcPr>
          <w:p w14:paraId="024CA26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1B586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40" w:type="dxa"/>
            <w:vAlign w:val="center"/>
          </w:tcPr>
          <w:p w14:paraId="1F9ACF20">
            <w:pPr>
              <w:pStyle w:val="34"/>
              <w:keepNext w:val="0"/>
              <w:keepLines w:val="0"/>
              <w:pageBreakBefore w:val="0"/>
              <w:widowControl w:val="0"/>
              <w:wordWrap/>
              <w:overflowPunct/>
              <w:topLinePunct w:val="0"/>
              <w:bidi w:val="0"/>
              <w:spacing w:before="314" w:line="240" w:lineRule="auto"/>
              <w:ind w:left="123" w:firstLine="240" w:firstLineChars="100"/>
              <w:jc w:val="center"/>
              <w:rPr>
                <w:rFonts w:hint="eastAsia" w:ascii="仿宋" w:hAnsi="仿宋" w:eastAsia="仿宋" w:cs="仿宋"/>
                <w:color w:val="auto"/>
                <w:spacing w:val="0"/>
                <w:highlight w:val="none"/>
                <w:lang w:eastAsia="zh-CN"/>
              </w:rPr>
            </w:pPr>
            <w:r>
              <w:rPr>
                <w:rFonts w:hint="eastAsia" w:ascii="仿宋" w:hAnsi="仿宋" w:eastAsia="仿宋" w:cs="仿宋"/>
                <w:color w:val="auto"/>
                <w:spacing w:val="0"/>
                <w:position w:val="1"/>
                <w:highlight w:val="none"/>
                <w:lang w:val="en-US" w:eastAsia="zh-CN"/>
              </w:rPr>
              <w:t>3</w:t>
            </w:r>
          </w:p>
        </w:tc>
        <w:tc>
          <w:tcPr>
            <w:tcW w:w="3600" w:type="dxa"/>
            <w:vAlign w:val="center"/>
          </w:tcPr>
          <w:p w14:paraId="096F9EE7">
            <w:pPr>
              <w:keepNext w:val="0"/>
              <w:keepLines w:val="0"/>
              <w:pageBreakBefore w:val="0"/>
              <w:widowControl w:val="0"/>
              <w:wordWrap/>
              <w:overflowPunct/>
              <w:topLinePunct w:val="0"/>
              <w:bidi w:val="0"/>
              <w:spacing w:line="240" w:lineRule="auto"/>
              <w:ind w:firstLine="1260" w:firstLineChars="600"/>
              <w:jc w:val="both"/>
              <w:rPr>
                <w:rFonts w:hint="default" w:ascii="仿宋" w:hAnsi="仿宋" w:eastAsia="仿宋" w:cs="仿宋"/>
                <w:color w:val="auto"/>
                <w:spacing w:val="0"/>
                <w:sz w:val="21"/>
                <w:highlight w:val="none"/>
                <w:lang w:val="en-US" w:eastAsia="zh-CN"/>
              </w:rPr>
            </w:pPr>
            <w:r>
              <w:rPr>
                <w:rFonts w:hint="eastAsia" w:ascii="仿宋" w:hAnsi="仿宋" w:eastAsia="仿宋" w:cs="仿宋"/>
                <w:color w:val="auto"/>
                <w:spacing w:val="0"/>
                <w:sz w:val="21"/>
                <w:highlight w:val="none"/>
                <w:lang w:val="en-US" w:eastAsia="zh-CN"/>
              </w:rPr>
              <w:t>投标保证金</w:t>
            </w:r>
          </w:p>
        </w:tc>
        <w:tc>
          <w:tcPr>
            <w:tcW w:w="2260" w:type="dxa"/>
            <w:vAlign w:val="top"/>
          </w:tcPr>
          <w:p w14:paraId="6EC99635">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2264" w:type="dxa"/>
            <w:vAlign w:val="top"/>
          </w:tcPr>
          <w:p w14:paraId="6B4C76D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3F360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40" w:type="dxa"/>
            <w:vAlign w:val="center"/>
          </w:tcPr>
          <w:p w14:paraId="58BD8A50">
            <w:pPr>
              <w:pStyle w:val="34"/>
              <w:keepNext w:val="0"/>
              <w:keepLines w:val="0"/>
              <w:pageBreakBefore w:val="0"/>
              <w:widowControl w:val="0"/>
              <w:wordWrap/>
              <w:overflowPunct/>
              <w:topLinePunct w:val="0"/>
              <w:bidi w:val="0"/>
              <w:spacing w:before="314" w:line="240" w:lineRule="auto"/>
              <w:ind w:left="123" w:firstLine="240" w:firstLineChars="100"/>
              <w:jc w:val="center"/>
              <w:rPr>
                <w:rFonts w:hint="eastAsia" w:ascii="仿宋" w:hAnsi="仿宋" w:eastAsia="仿宋" w:cs="仿宋"/>
                <w:color w:val="auto"/>
                <w:spacing w:val="0"/>
                <w:position w:val="1"/>
                <w:highlight w:val="none"/>
                <w:lang w:val="en-US" w:eastAsia="zh-CN"/>
              </w:rPr>
            </w:pPr>
            <w:r>
              <w:rPr>
                <w:rFonts w:hint="eastAsia" w:ascii="仿宋" w:hAnsi="仿宋" w:eastAsia="仿宋" w:cs="仿宋"/>
                <w:color w:val="auto"/>
                <w:spacing w:val="0"/>
                <w:position w:val="1"/>
                <w:highlight w:val="none"/>
                <w:lang w:val="en-US" w:eastAsia="zh-CN"/>
              </w:rPr>
              <w:t>4</w:t>
            </w:r>
          </w:p>
        </w:tc>
        <w:tc>
          <w:tcPr>
            <w:tcW w:w="3600" w:type="dxa"/>
            <w:vAlign w:val="center"/>
          </w:tcPr>
          <w:p w14:paraId="4FC9E033">
            <w:pPr>
              <w:keepNext w:val="0"/>
              <w:keepLines w:val="0"/>
              <w:pageBreakBefore w:val="0"/>
              <w:widowControl w:val="0"/>
              <w:wordWrap/>
              <w:overflowPunct/>
              <w:topLinePunct w:val="0"/>
              <w:bidi w:val="0"/>
              <w:spacing w:line="240" w:lineRule="auto"/>
              <w:ind w:firstLine="1260" w:firstLineChars="600"/>
              <w:jc w:val="both"/>
              <w:rPr>
                <w:rFonts w:hint="eastAsia" w:ascii="仿宋" w:hAnsi="仿宋" w:eastAsia="仿宋" w:cs="仿宋"/>
                <w:color w:val="auto"/>
                <w:spacing w:val="0"/>
                <w:sz w:val="21"/>
                <w:highlight w:val="none"/>
                <w:lang w:val="en-US" w:eastAsia="zh-CN"/>
              </w:rPr>
            </w:pPr>
            <w:r>
              <w:rPr>
                <w:rFonts w:hint="eastAsia" w:ascii="仿宋" w:hAnsi="仿宋" w:eastAsia="仿宋" w:cs="仿宋"/>
                <w:color w:val="auto"/>
                <w:spacing w:val="0"/>
                <w:sz w:val="21"/>
                <w:highlight w:val="none"/>
                <w:lang w:val="en-US" w:eastAsia="zh-CN"/>
              </w:rPr>
              <w:t>报价唯一</w:t>
            </w:r>
          </w:p>
        </w:tc>
        <w:tc>
          <w:tcPr>
            <w:tcW w:w="2260" w:type="dxa"/>
            <w:vAlign w:val="top"/>
          </w:tcPr>
          <w:p w14:paraId="5584760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2264" w:type="dxa"/>
            <w:vAlign w:val="top"/>
          </w:tcPr>
          <w:p w14:paraId="6296A4FA">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777C4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40" w:type="dxa"/>
            <w:vAlign w:val="center"/>
          </w:tcPr>
          <w:p w14:paraId="4BA4D550">
            <w:pPr>
              <w:pStyle w:val="34"/>
              <w:keepNext w:val="0"/>
              <w:keepLines w:val="0"/>
              <w:pageBreakBefore w:val="0"/>
              <w:widowControl w:val="0"/>
              <w:wordWrap/>
              <w:overflowPunct/>
              <w:topLinePunct w:val="0"/>
              <w:bidi w:val="0"/>
              <w:spacing w:before="314" w:line="240" w:lineRule="auto"/>
              <w:ind w:left="123" w:firstLine="240" w:firstLineChars="100"/>
              <w:jc w:val="center"/>
              <w:rPr>
                <w:rFonts w:hint="eastAsia" w:ascii="仿宋" w:hAnsi="仿宋" w:eastAsia="仿宋" w:cs="仿宋"/>
                <w:color w:val="auto"/>
                <w:spacing w:val="0"/>
                <w:position w:val="1"/>
                <w:highlight w:val="none"/>
                <w:lang w:val="en-US" w:eastAsia="zh-CN"/>
              </w:rPr>
            </w:pPr>
            <w:r>
              <w:rPr>
                <w:rFonts w:hint="eastAsia" w:ascii="仿宋" w:hAnsi="仿宋" w:eastAsia="仿宋" w:cs="仿宋"/>
                <w:color w:val="auto"/>
                <w:spacing w:val="0"/>
                <w:position w:val="1"/>
                <w:highlight w:val="none"/>
                <w:lang w:val="en-US" w:eastAsia="zh-CN"/>
              </w:rPr>
              <w:t>5</w:t>
            </w:r>
          </w:p>
        </w:tc>
        <w:tc>
          <w:tcPr>
            <w:tcW w:w="3600" w:type="dxa"/>
            <w:vAlign w:val="center"/>
          </w:tcPr>
          <w:p w14:paraId="47BFE8EF">
            <w:pPr>
              <w:keepNext w:val="0"/>
              <w:keepLines w:val="0"/>
              <w:pageBreakBefore w:val="0"/>
              <w:widowControl w:val="0"/>
              <w:wordWrap/>
              <w:overflowPunct/>
              <w:topLinePunct w:val="0"/>
              <w:bidi w:val="0"/>
              <w:spacing w:line="240" w:lineRule="auto"/>
              <w:ind w:firstLine="1260" w:firstLineChars="600"/>
              <w:jc w:val="both"/>
              <w:rPr>
                <w:rFonts w:hint="default" w:ascii="仿宋" w:hAnsi="仿宋" w:eastAsia="仿宋" w:cs="仿宋"/>
                <w:color w:val="auto"/>
                <w:spacing w:val="0"/>
                <w:sz w:val="21"/>
                <w:highlight w:val="none"/>
                <w:lang w:val="en-US" w:eastAsia="zh-CN"/>
              </w:rPr>
            </w:pPr>
            <w:r>
              <w:rPr>
                <w:rFonts w:hint="eastAsia" w:ascii="仿宋" w:hAnsi="仿宋" w:eastAsia="仿宋" w:cs="仿宋"/>
                <w:color w:val="auto"/>
                <w:spacing w:val="0"/>
                <w:sz w:val="21"/>
                <w:highlight w:val="none"/>
                <w:lang w:val="en-US" w:eastAsia="zh-CN"/>
              </w:rPr>
              <w:t>质量标准</w:t>
            </w:r>
          </w:p>
        </w:tc>
        <w:tc>
          <w:tcPr>
            <w:tcW w:w="2260" w:type="dxa"/>
            <w:vAlign w:val="top"/>
          </w:tcPr>
          <w:p w14:paraId="562CA7F6">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2264" w:type="dxa"/>
            <w:vAlign w:val="top"/>
          </w:tcPr>
          <w:p w14:paraId="29452F0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bl>
    <w:p w14:paraId="654442C1">
      <w:pPr>
        <w:keepNext w:val="0"/>
        <w:keepLines w:val="0"/>
        <w:pageBreakBefore w:val="0"/>
        <w:widowControl w:val="0"/>
        <w:wordWrap/>
        <w:overflowPunct/>
        <w:topLinePunct w:val="0"/>
        <w:bidi w:val="0"/>
        <w:spacing w:before="115" w:line="240" w:lineRule="auto"/>
        <w:ind w:left="122" w:right="356"/>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供应商保证：除商务技术偏离表列出的偏离外，供应商响应招标文件的全部要求。 注：按本格式和要求提供。</w:t>
      </w:r>
    </w:p>
    <w:p w14:paraId="0BD63FAD">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6CF7349">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6D082F2">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C63986F">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8934C59">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69A5A43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F81A5C9">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B69152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35C9532">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13E390FD">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65C065E">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2F0B477">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6CE86E7">
      <w:pPr>
        <w:keepNext w:val="0"/>
        <w:keepLines w:val="0"/>
        <w:pageBreakBefore w:val="0"/>
        <w:widowControl w:val="0"/>
        <w:wordWrap/>
        <w:overflowPunct/>
        <w:topLinePunct w:val="0"/>
        <w:bidi w:val="0"/>
        <w:spacing w:before="78" w:line="240" w:lineRule="auto"/>
        <w:ind w:left="12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供应商（电子签章）：</w:t>
      </w:r>
    </w:p>
    <w:p w14:paraId="6D9F47B9">
      <w:pPr>
        <w:keepNext w:val="0"/>
        <w:keepLines w:val="0"/>
        <w:pageBreakBefore w:val="0"/>
        <w:widowControl w:val="0"/>
        <w:wordWrap/>
        <w:overflowPunct/>
        <w:topLinePunct w:val="0"/>
        <w:bidi w:val="0"/>
        <w:spacing w:before="154" w:line="240" w:lineRule="auto"/>
        <w:ind w:left="12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法定代表人或授权委托代理人（电子签章或签名）：</w:t>
      </w:r>
    </w:p>
    <w:p w14:paraId="4047D7F0">
      <w:pPr>
        <w:keepNext w:val="0"/>
        <w:keepLines w:val="0"/>
        <w:pageBreakBefore w:val="0"/>
        <w:widowControl w:val="0"/>
        <w:tabs>
          <w:tab w:val="left" w:pos="951"/>
        </w:tabs>
        <w:wordWrap/>
        <w:overflowPunct/>
        <w:topLinePunct w:val="0"/>
        <w:bidi w:val="0"/>
        <w:spacing w:before="155" w:line="240" w:lineRule="auto"/>
        <w:ind w:left="11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u w:val="single" w:color="auto"/>
        </w:rPr>
        <w:tab/>
      </w:r>
      <w:r>
        <w:rPr>
          <w:rFonts w:hint="eastAsia" w:ascii="仿宋" w:hAnsi="仿宋" w:eastAsia="仿宋" w:cs="仿宋"/>
          <w:color w:val="auto"/>
          <w:spacing w:val="0"/>
          <w:sz w:val="24"/>
          <w:szCs w:val="24"/>
          <w:highlight w:val="none"/>
        </w:rPr>
        <w:t xml:space="preserve"> 年</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月</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日</w:t>
      </w:r>
    </w:p>
    <w:p w14:paraId="496933B8">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szCs w:val="24"/>
          <w:highlight w:val="none"/>
        </w:rPr>
        <w:sectPr>
          <w:footerReference r:id="rId23" w:type="default"/>
          <w:pgSz w:w="11906" w:h="16839"/>
          <w:pgMar w:top="1440" w:right="1800" w:bottom="1440" w:left="1800" w:header="0" w:footer="588" w:gutter="0"/>
          <w:cols w:space="720" w:num="1"/>
        </w:sectPr>
      </w:pPr>
    </w:p>
    <w:p w14:paraId="39821DD7">
      <w:pPr>
        <w:keepNext w:val="0"/>
        <w:keepLines w:val="0"/>
        <w:pageBreakBefore w:val="0"/>
        <w:widowControl w:val="0"/>
        <w:wordWrap/>
        <w:overflowPunct/>
        <w:topLinePunct w:val="0"/>
        <w:bidi w:val="0"/>
        <w:spacing w:before="97" w:line="240" w:lineRule="auto"/>
        <w:ind w:left="3053"/>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lang w:val="en-US" w:eastAsia="zh-CN"/>
        </w:rPr>
        <w:t>八</w:t>
      </w:r>
      <w:r>
        <w:rPr>
          <w:rFonts w:hint="eastAsia" w:ascii="仿宋" w:hAnsi="仿宋" w:eastAsia="仿宋" w:cs="仿宋"/>
          <w:b/>
          <w:bCs/>
          <w:color w:val="auto"/>
          <w:spacing w:val="0"/>
          <w:sz w:val="30"/>
          <w:szCs w:val="30"/>
          <w:highlight w:val="none"/>
        </w:rPr>
        <w:t>、</w:t>
      </w:r>
      <w:r>
        <w:rPr>
          <w:rFonts w:hint="eastAsia" w:ascii="仿宋" w:hAnsi="仿宋" w:eastAsia="仿宋" w:cs="仿宋"/>
          <w:color w:val="auto"/>
          <w:spacing w:val="0"/>
          <w:sz w:val="30"/>
          <w:szCs w:val="30"/>
          <w:highlight w:val="none"/>
        </w:rPr>
        <w:t xml:space="preserve"> </w:t>
      </w:r>
      <w:r>
        <w:rPr>
          <w:rFonts w:hint="eastAsia" w:ascii="仿宋" w:hAnsi="仿宋" w:eastAsia="仿宋" w:cs="仿宋"/>
          <w:b/>
          <w:bCs/>
          <w:color w:val="auto"/>
          <w:spacing w:val="0"/>
          <w:sz w:val="30"/>
          <w:szCs w:val="30"/>
          <w:highlight w:val="none"/>
        </w:rPr>
        <w:t>中小企业声明函</w:t>
      </w:r>
    </w:p>
    <w:p w14:paraId="7709330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0AF487FA">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344E2DC">
      <w:pPr>
        <w:keepNext w:val="0"/>
        <w:keepLines w:val="0"/>
        <w:pageBreakBefore w:val="0"/>
        <w:widowControl w:val="0"/>
        <w:wordWrap/>
        <w:overflowPunct/>
        <w:topLinePunct w:val="0"/>
        <w:bidi w:val="0"/>
        <w:spacing w:before="78" w:line="240" w:lineRule="auto"/>
        <w:ind w:left="7" w:right="48" w:firstLine="494"/>
        <w:jc w:val="both"/>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pacing w:val="0"/>
          <w:sz w:val="24"/>
          <w:szCs w:val="24"/>
          <w:highlight w:val="none"/>
          <w:u w:val="single" w:color="auto"/>
        </w:rPr>
        <w:t>(单位名称)</w:t>
      </w:r>
      <w:r>
        <w:rPr>
          <w:rFonts w:hint="eastAsia" w:ascii="仿宋" w:hAnsi="仿宋" w:eastAsia="仿宋" w:cs="仿宋"/>
          <w:color w:val="auto"/>
          <w:spacing w:val="0"/>
          <w:sz w:val="24"/>
          <w:szCs w:val="24"/>
          <w:highlight w:val="none"/>
        </w:rPr>
        <w:t>的</w:t>
      </w:r>
      <w:r>
        <w:rPr>
          <w:rFonts w:hint="eastAsia" w:ascii="仿宋" w:hAnsi="仿宋" w:eastAsia="仿宋" w:cs="仿宋"/>
          <w:color w:val="auto"/>
          <w:spacing w:val="0"/>
          <w:sz w:val="24"/>
          <w:szCs w:val="24"/>
          <w:highlight w:val="none"/>
          <w:u w:val="single" w:color="auto"/>
        </w:rPr>
        <w:t>(项目名称)</w:t>
      </w:r>
      <w:r>
        <w:rPr>
          <w:rFonts w:hint="eastAsia" w:ascii="仿宋" w:hAnsi="仿宋" w:eastAsia="仿宋" w:cs="仿宋"/>
          <w:color w:val="auto"/>
          <w:spacing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05A210C">
      <w:pPr>
        <w:keepNext w:val="0"/>
        <w:keepLines w:val="0"/>
        <w:pageBreakBefore w:val="0"/>
        <w:widowControl w:val="0"/>
        <w:wordWrap/>
        <w:overflowPunct/>
        <w:topLinePunct w:val="0"/>
        <w:bidi w:val="0"/>
        <w:spacing w:before="1" w:line="240" w:lineRule="auto"/>
        <w:ind w:left="12" w:firstLine="49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u w:val="single" w:color="auto"/>
        </w:rPr>
        <w:t>(标的名称)</w:t>
      </w:r>
      <w:r>
        <w:rPr>
          <w:rFonts w:hint="eastAsia" w:ascii="仿宋" w:hAnsi="仿宋" w:eastAsia="仿宋" w:cs="仿宋"/>
          <w:color w:val="auto"/>
          <w:spacing w:val="0"/>
          <w:sz w:val="24"/>
          <w:szCs w:val="24"/>
          <w:highlight w:val="none"/>
        </w:rPr>
        <w:t>，属于</w:t>
      </w:r>
      <w:r>
        <w:rPr>
          <w:rFonts w:hint="eastAsia" w:ascii="仿宋" w:hAnsi="仿宋" w:eastAsia="仿宋" w:cs="仿宋"/>
          <w:color w:val="auto"/>
          <w:spacing w:val="0"/>
          <w:sz w:val="24"/>
          <w:szCs w:val="24"/>
          <w:highlight w:val="none"/>
          <w:u w:val="single" w:color="auto"/>
        </w:rPr>
        <w:t>(采购文件中明确的所属行业)</w:t>
      </w:r>
      <w:r>
        <w:rPr>
          <w:rFonts w:hint="eastAsia" w:ascii="仿宋" w:hAnsi="仿宋" w:eastAsia="仿宋" w:cs="仿宋"/>
          <w:color w:val="auto"/>
          <w:spacing w:val="0"/>
          <w:sz w:val="24"/>
          <w:szCs w:val="24"/>
          <w:highlight w:val="none"/>
        </w:rPr>
        <w:t>；承建(承接)企业为</w:t>
      </w:r>
      <w:r>
        <w:rPr>
          <w:rFonts w:hint="eastAsia" w:ascii="仿宋" w:hAnsi="仿宋" w:eastAsia="仿宋" w:cs="仿宋"/>
          <w:color w:val="auto"/>
          <w:spacing w:val="0"/>
          <w:sz w:val="24"/>
          <w:szCs w:val="24"/>
          <w:highlight w:val="none"/>
          <w:u w:val="single" w:color="auto"/>
        </w:rPr>
        <w:t>(企业名称)</w:t>
      </w:r>
      <w:r>
        <w:rPr>
          <w:rFonts w:hint="eastAsia" w:ascii="仿宋" w:hAnsi="仿宋" w:eastAsia="仿宋" w:cs="仿宋"/>
          <w:color w:val="auto"/>
          <w:spacing w:val="0"/>
          <w:sz w:val="24"/>
          <w:szCs w:val="24"/>
          <w:highlight w:val="none"/>
        </w:rPr>
        <w:t>，从业人员</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人，营业收入为 </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万元，资产总额为 </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万元，属于 </w:t>
      </w:r>
      <w:r>
        <w:rPr>
          <w:rFonts w:hint="eastAsia" w:ascii="仿宋" w:hAnsi="仿宋" w:eastAsia="仿宋" w:cs="仿宋"/>
          <w:color w:val="auto"/>
          <w:spacing w:val="0"/>
          <w:sz w:val="24"/>
          <w:szCs w:val="24"/>
          <w:highlight w:val="none"/>
          <w:u w:val="single" w:color="auto"/>
        </w:rPr>
        <w:t xml:space="preserve">  (中型企业、小型企业、微型企业)</w:t>
      </w:r>
      <w:r>
        <w:rPr>
          <w:rFonts w:hint="eastAsia" w:ascii="仿宋" w:hAnsi="仿宋" w:eastAsia="仿宋" w:cs="仿宋"/>
          <w:color w:val="auto"/>
          <w:spacing w:val="0"/>
          <w:sz w:val="24"/>
          <w:szCs w:val="24"/>
          <w:highlight w:val="none"/>
        </w:rPr>
        <w:t>；</w:t>
      </w:r>
    </w:p>
    <w:p w14:paraId="032A2C65">
      <w:pPr>
        <w:keepNext w:val="0"/>
        <w:keepLines w:val="0"/>
        <w:pageBreakBefore w:val="0"/>
        <w:widowControl w:val="0"/>
        <w:wordWrap/>
        <w:overflowPunct/>
        <w:topLinePunct w:val="0"/>
        <w:bidi w:val="0"/>
        <w:spacing w:before="184" w:line="240" w:lineRule="auto"/>
        <w:ind w:left="8" w:right="7" w:firstLine="48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u w:val="single" w:color="auto"/>
        </w:rPr>
        <w:t>(标的名称)</w:t>
      </w:r>
      <w:r>
        <w:rPr>
          <w:rFonts w:hint="eastAsia" w:ascii="仿宋" w:hAnsi="仿宋" w:eastAsia="仿宋" w:cs="仿宋"/>
          <w:color w:val="auto"/>
          <w:spacing w:val="0"/>
          <w:sz w:val="24"/>
          <w:szCs w:val="24"/>
          <w:highlight w:val="none"/>
        </w:rPr>
        <w:t>，属于</w:t>
      </w:r>
      <w:r>
        <w:rPr>
          <w:rFonts w:hint="eastAsia" w:ascii="仿宋" w:hAnsi="仿宋" w:eastAsia="仿宋" w:cs="仿宋"/>
          <w:color w:val="auto"/>
          <w:spacing w:val="0"/>
          <w:sz w:val="24"/>
          <w:szCs w:val="24"/>
          <w:highlight w:val="none"/>
          <w:u w:val="single" w:color="auto"/>
        </w:rPr>
        <w:t>(采购文件中明确的所属行业)</w:t>
      </w:r>
      <w:r>
        <w:rPr>
          <w:rFonts w:hint="eastAsia" w:ascii="仿宋" w:hAnsi="仿宋" w:eastAsia="仿宋" w:cs="仿宋"/>
          <w:color w:val="auto"/>
          <w:spacing w:val="0"/>
          <w:sz w:val="24"/>
          <w:szCs w:val="24"/>
          <w:highlight w:val="none"/>
        </w:rPr>
        <w:t>；承建(承接)企业为</w:t>
      </w:r>
      <w:r>
        <w:rPr>
          <w:rFonts w:hint="eastAsia" w:ascii="仿宋" w:hAnsi="仿宋" w:eastAsia="仿宋" w:cs="仿宋"/>
          <w:color w:val="auto"/>
          <w:spacing w:val="0"/>
          <w:sz w:val="24"/>
          <w:szCs w:val="24"/>
          <w:highlight w:val="none"/>
          <w:u w:val="single" w:color="auto"/>
        </w:rPr>
        <w:t>(企业名称)</w:t>
      </w:r>
      <w:r>
        <w:rPr>
          <w:rFonts w:hint="eastAsia" w:ascii="仿宋" w:hAnsi="仿宋" w:eastAsia="仿宋" w:cs="仿宋"/>
          <w:color w:val="auto"/>
          <w:spacing w:val="0"/>
          <w:sz w:val="24"/>
          <w:szCs w:val="24"/>
          <w:highlight w:val="none"/>
        </w:rPr>
        <w:t>，从业人员</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人，营业收入为 </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万元，资产总额为 </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万元，属于 </w:t>
      </w:r>
      <w:r>
        <w:rPr>
          <w:rFonts w:hint="eastAsia" w:ascii="仿宋" w:hAnsi="仿宋" w:eastAsia="仿宋" w:cs="仿宋"/>
          <w:color w:val="auto"/>
          <w:spacing w:val="0"/>
          <w:sz w:val="24"/>
          <w:szCs w:val="24"/>
          <w:highlight w:val="none"/>
          <w:u w:val="single" w:color="auto"/>
        </w:rPr>
        <w:t xml:space="preserve">  (中型企业、 小型企业、微型企业)</w:t>
      </w:r>
      <w:r>
        <w:rPr>
          <w:rFonts w:hint="eastAsia" w:ascii="仿宋" w:hAnsi="仿宋" w:eastAsia="仿宋" w:cs="仿宋"/>
          <w:color w:val="auto"/>
          <w:spacing w:val="0"/>
          <w:sz w:val="24"/>
          <w:szCs w:val="24"/>
          <w:highlight w:val="none"/>
        </w:rPr>
        <w:t>；</w:t>
      </w:r>
    </w:p>
    <w:p w14:paraId="02D8E54D">
      <w:pPr>
        <w:keepNext w:val="0"/>
        <w:keepLines w:val="0"/>
        <w:pageBreakBefore w:val="0"/>
        <w:widowControl w:val="0"/>
        <w:wordWrap/>
        <w:overflowPunct/>
        <w:topLinePunct w:val="0"/>
        <w:bidi w:val="0"/>
        <w:spacing w:before="180" w:line="240" w:lineRule="auto"/>
        <w:ind w:left="487"/>
        <w:rPr>
          <w:rFonts w:hint="eastAsia" w:ascii="仿宋" w:hAnsi="仿宋" w:eastAsia="仿宋" w:cs="仿宋"/>
          <w:color w:val="auto"/>
          <w:spacing w:val="0"/>
          <w:sz w:val="24"/>
          <w:szCs w:val="24"/>
          <w:highlight w:val="none"/>
        </w:rPr>
      </w:pPr>
      <w:r>
        <w:rPr>
          <w:rFonts w:hint="eastAsia" w:ascii="仿宋" w:hAnsi="仿宋" w:eastAsia="仿宋" w:cs="仿宋"/>
          <w:color w:val="auto"/>
          <w:spacing w:val="0"/>
          <w:position w:val="3"/>
          <w:sz w:val="24"/>
          <w:szCs w:val="24"/>
          <w:highlight w:val="none"/>
        </w:rPr>
        <w:t>……</w:t>
      </w:r>
    </w:p>
    <w:p w14:paraId="7CFF030F">
      <w:pPr>
        <w:keepNext w:val="0"/>
        <w:keepLines w:val="0"/>
        <w:pageBreakBefore w:val="0"/>
        <w:widowControl w:val="0"/>
        <w:wordWrap/>
        <w:overflowPunct/>
        <w:topLinePunct w:val="0"/>
        <w:bidi w:val="0"/>
        <w:spacing w:before="91" w:line="240" w:lineRule="auto"/>
        <w:ind w:left="8" w:right="9" w:firstLine="52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以上企业，不属于大企业的分支机构，不存在控股股东为大企业的情形，也不存在与大企业的负责人为同一人的情形。</w:t>
      </w:r>
    </w:p>
    <w:p w14:paraId="6EEC0816">
      <w:pPr>
        <w:keepNext w:val="0"/>
        <w:keepLines w:val="0"/>
        <w:pageBreakBefore w:val="0"/>
        <w:widowControl w:val="0"/>
        <w:wordWrap/>
        <w:overflowPunct/>
        <w:topLinePunct w:val="0"/>
        <w:bidi w:val="0"/>
        <w:spacing w:line="240" w:lineRule="auto"/>
        <w:ind w:left="52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本企业对上述声明内容的真实性负责。如有虚假，将依法承担相应责任。</w:t>
      </w:r>
    </w:p>
    <w:p w14:paraId="1E44A75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D95126F">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52A28954">
      <w:pPr>
        <w:keepNext w:val="0"/>
        <w:keepLines w:val="0"/>
        <w:pageBreakBefore w:val="0"/>
        <w:widowControl w:val="0"/>
        <w:wordWrap/>
        <w:overflowPunct/>
        <w:topLinePunct w:val="0"/>
        <w:bidi w:val="0"/>
        <w:spacing w:before="79" w:line="240" w:lineRule="auto"/>
        <w:ind w:left="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供应商（电子签章）：</w:t>
      </w:r>
    </w:p>
    <w:p w14:paraId="5FAA7743">
      <w:pPr>
        <w:keepNext w:val="0"/>
        <w:keepLines w:val="0"/>
        <w:pageBreakBefore w:val="0"/>
        <w:widowControl w:val="0"/>
        <w:wordWrap/>
        <w:overflowPunct/>
        <w:topLinePunct w:val="0"/>
        <w:bidi w:val="0"/>
        <w:spacing w:before="156" w:line="240" w:lineRule="auto"/>
        <w:ind w:left="1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法定代表人（电子签章或签名）：</w:t>
      </w:r>
    </w:p>
    <w:p w14:paraId="54A1F3C3">
      <w:pPr>
        <w:keepNext w:val="0"/>
        <w:keepLines w:val="0"/>
        <w:pageBreakBefore w:val="0"/>
        <w:widowControl w:val="0"/>
        <w:tabs>
          <w:tab w:val="left" w:pos="840"/>
        </w:tabs>
        <w:wordWrap/>
        <w:overflowPunct/>
        <w:topLinePunct w:val="0"/>
        <w:bidi w:val="0"/>
        <w:spacing w:before="156" w:line="240" w:lineRule="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u w:val="single" w:color="auto"/>
        </w:rPr>
        <w:tab/>
      </w:r>
      <w:r>
        <w:rPr>
          <w:rFonts w:hint="eastAsia" w:ascii="仿宋" w:hAnsi="仿宋" w:eastAsia="仿宋" w:cs="仿宋"/>
          <w:color w:val="auto"/>
          <w:spacing w:val="0"/>
          <w:sz w:val="24"/>
          <w:szCs w:val="24"/>
          <w:highlight w:val="none"/>
        </w:rPr>
        <w:t>年</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月</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日</w:t>
      </w:r>
    </w:p>
    <w:p w14:paraId="1037E297">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9FE7678">
      <w:pPr>
        <w:keepNext w:val="0"/>
        <w:keepLines w:val="0"/>
        <w:pageBreakBefore w:val="0"/>
        <w:widowControl w:val="0"/>
        <w:wordWrap/>
        <w:overflowPunct/>
        <w:topLinePunct w:val="0"/>
        <w:bidi w:val="0"/>
        <w:spacing w:before="79" w:line="240" w:lineRule="auto"/>
        <w:ind w:left="13" w:right="9" w:firstLine="49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从业人员、营业收入、资产总额填报上一年度数据，无上一年度数据的新成立企业可不填报。</w:t>
      </w:r>
    </w:p>
    <w:p w14:paraId="279C2FC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szCs w:val="24"/>
          <w:highlight w:val="none"/>
        </w:rPr>
        <w:sectPr>
          <w:footerReference r:id="rId24" w:type="default"/>
          <w:pgSz w:w="11906" w:h="16839"/>
          <w:pgMar w:top="1440" w:right="1800" w:bottom="1440" w:left="1800" w:header="0" w:footer="588" w:gutter="0"/>
          <w:cols w:space="720" w:num="1"/>
        </w:sectPr>
      </w:pPr>
    </w:p>
    <w:p w14:paraId="01CC4B6E">
      <w:pPr>
        <w:keepNext w:val="0"/>
        <w:keepLines w:val="0"/>
        <w:pageBreakBefore w:val="0"/>
        <w:widowControl w:val="0"/>
        <w:wordWrap/>
        <w:overflowPunct/>
        <w:topLinePunct w:val="0"/>
        <w:bidi w:val="0"/>
        <w:spacing w:before="91" w:line="240" w:lineRule="auto"/>
        <w:ind w:left="304"/>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附件 1：</w:t>
      </w:r>
    </w:p>
    <w:p w14:paraId="307B9DF1">
      <w:pPr>
        <w:keepNext w:val="0"/>
        <w:keepLines w:val="0"/>
        <w:pageBreakBefore w:val="0"/>
        <w:widowControl w:val="0"/>
        <w:wordWrap/>
        <w:overflowPunct/>
        <w:topLinePunct w:val="0"/>
        <w:bidi w:val="0"/>
        <w:spacing w:before="212" w:line="240" w:lineRule="auto"/>
        <w:ind w:left="3728"/>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中小微企业划型标准</w:t>
      </w:r>
    </w:p>
    <w:tbl>
      <w:tblPr>
        <w:tblStyle w:val="33"/>
        <w:tblW w:w="93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1658"/>
        <w:gridCol w:w="1072"/>
        <w:gridCol w:w="1889"/>
        <w:gridCol w:w="2094"/>
        <w:gridCol w:w="1093"/>
      </w:tblGrid>
      <w:tr w14:paraId="73CD9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575" w:type="dxa"/>
            <w:vAlign w:val="top"/>
          </w:tcPr>
          <w:p w14:paraId="2BFE1429">
            <w:pPr>
              <w:pStyle w:val="34"/>
              <w:keepNext w:val="0"/>
              <w:keepLines w:val="0"/>
              <w:pageBreakBefore w:val="0"/>
              <w:widowControl w:val="0"/>
              <w:wordWrap/>
              <w:overflowPunct/>
              <w:topLinePunct w:val="0"/>
              <w:bidi w:val="0"/>
              <w:spacing w:before="49" w:line="240" w:lineRule="auto"/>
              <w:ind w:left="343"/>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行业名称</w:t>
            </w:r>
          </w:p>
        </w:tc>
        <w:tc>
          <w:tcPr>
            <w:tcW w:w="1658" w:type="dxa"/>
            <w:vAlign w:val="top"/>
          </w:tcPr>
          <w:p w14:paraId="4A4E792C">
            <w:pPr>
              <w:pStyle w:val="34"/>
              <w:keepNext w:val="0"/>
              <w:keepLines w:val="0"/>
              <w:pageBreakBefore w:val="0"/>
              <w:widowControl w:val="0"/>
              <w:wordWrap/>
              <w:overflowPunct/>
              <w:topLinePunct w:val="0"/>
              <w:bidi w:val="0"/>
              <w:spacing w:before="49" w:line="240" w:lineRule="auto"/>
              <w:ind w:left="38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指标名称</w:t>
            </w:r>
          </w:p>
        </w:tc>
        <w:tc>
          <w:tcPr>
            <w:tcW w:w="1072" w:type="dxa"/>
            <w:vAlign w:val="top"/>
          </w:tcPr>
          <w:p w14:paraId="50C6235D">
            <w:pPr>
              <w:pStyle w:val="34"/>
              <w:keepNext w:val="0"/>
              <w:keepLines w:val="0"/>
              <w:pageBreakBefore w:val="0"/>
              <w:widowControl w:val="0"/>
              <w:wordWrap/>
              <w:overflowPunct/>
              <w:topLinePunct w:val="0"/>
              <w:bidi w:val="0"/>
              <w:spacing w:before="49" w:line="240" w:lineRule="auto"/>
              <w:ind w:left="9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计量单位</w:t>
            </w:r>
          </w:p>
        </w:tc>
        <w:tc>
          <w:tcPr>
            <w:tcW w:w="1889" w:type="dxa"/>
            <w:vAlign w:val="top"/>
          </w:tcPr>
          <w:p w14:paraId="65A20963">
            <w:pPr>
              <w:pStyle w:val="34"/>
              <w:keepNext w:val="0"/>
              <w:keepLines w:val="0"/>
              <w:pageBreakBefore w:val="0"/>
              <w:widowControl w:val="0"/>
              <w:wordWrap/>
              <w:overflowPunct/>
              <w:topLinePunct w:val="0"/>
              <w:bidi w:val="0"/>
              <w:spacing w:before="49" w:line="240" w:lineRule="auto"/>
              <w:ind w:left="74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中型</w:t>
            </w:r>
          </w:p>
        </w:tc>
        <w:tc>
          <w:tcPr>
            <w:tcW w:w="2094" w:type="dxa"/>
            <w:vAlign w:val="top"/>
          </w:tcPr>
          <w:p w14:paraId="05B9175C">
            <w:pPr>
              <w:pStyle w:val="34"/>
              <w:keepNext w:val="0"/>
              <w:keepLines w:val="0"/>
              <w:pageBreakBefore w:val="0"/>
              <w:widowControl w:val="0"/>
              <w:wordWrap/>
              <w:overflowPunct/>
              <w:topLinePunct w:val="0"/>
              <w:bidi w:val="0"/>
              <w:spacing w:before="49" w:line="240" w:lineRule="auto"/>
              <w:ind w:left="83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小型</w:t>
            </w:r>
          </w:p>
        </w:tc>
        <w:tc>
          <w:tcPr>
            <w:tcW w:w="1093" w:type="dxa"/>
            <w:vAlign w:val="top"/>
          </w:tcPr>
          <w:p w14:paraId="4393B8AD">
            <w:pPr>
              <w:pStyle w:val="34"/>
              <w:keepNext w:val="0"/>
              <w:keepLines w:val="0"/>
              <w:pageBreakBefore w:val="0"/>
              <w:widowControl w:val="0"/>
              <w:wordWrap/>
              <w:overflowPunct/>
              <w:topLinePunct w:val="0"/>
              <w:bidi w:val="0"/>
              <w:spacing w:before="49" w:line="240" w:lineRule="auto"/>
              <w:ind w:left="32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微型</w:t>
            </w:r>
          </w:p>
        </w:tc>
      </w:tr>
      <w:tr w14:paraId="0FB47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5" w:type="dxa"/>
            <w:vAlign w:val="top"/>
          </w:tcPr>
          <w:p w14:paraId="0D0CD010">
            <w:pPr>
              <w:pStyle w:val="34"/>
              <w:keepNext w:val="0"/>
              <w:keepLines w:val="0"/>
              <w:pageBreakBefore w:val="0"/>
              <w:widowControl w:val="0"/>
              <w:wordWrap/>
              <w:overflowPunct/>
              <w:topLinePunct w:val="0"/>
              <w:bidi w:val="0"/>
              <w:spacing w:before="201" w:line="240" w:lineRule="auto"/>
              <w:jc w:val="right"/>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农、林、牧、 渔</w:t>
            </w:r>
          </w:p>
        </w:tc>
        <w:tc>
          <w:tcPr>
            <w:tcW w:w="1658" w:type="dxa"/>
            <w:vAlign w:val="top"/>
          </w:tcPr>
          <w:p w14:paraId="0D91214D">
            <w:pPr>
              <w:pStyle w:val="34"/>
              <w:keepNext w:val="0"/>
              <w:keepLines w:val="0"/>
              <w:pageBreakBefore w:val="0"/>
              <w:widowControl w:val="0"/>
              <w:wordWrap/>
              <w:overflowPunct/>
              <w:topLinePunct w:val="0"/>
              <w:bidi w:val="0"/>
              <w:spacing w:before="201"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0B1F4E2E">
            <w:pPr>
              <w:pStyle w:val="34"/>
              <w:keepNext w:val="0"/>
              <w:keepLines w:val="0"/>
              <w:pageBreakBefore w:val="0"/>
              <w:widowControl w:val="0"/>
              <w:wordWrap/>
              <w:overflowPunct/>
              <w:topLinePunct w:val="0"/>
              <w:bidi w:val="0"/>
              <w:spacing w:before="201"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07CEB7F5">
            <w:pPr>
              <w:pStyle w:val="34"/>
              <w:keepNext w:val="0"/>
              <w:keepLines w:val="0"/>
              <w:pageBreakBefore w:val="0"/>
              <w:widowControl w:val="0"/>
              <w:wordWrap/>
              <w:overflowPunct/>
              <w:topLinePunct w:val="0"/>
              <w:bidi w:val="0"/>
              <w:spacing w:before="200" w:line="240" w:lineRule="auto"/>
              <w:ind w:left="22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500≤Y＜20000</w:t>
            </w:r>
          </w:p>
        </w:tc>
        <w:tc>
          <w:tcPr>
            <w:tcW w:w="2094" w:type="dxa"/>
            <w:vAlign w:val="top"/>
          </w:tcPr>
          <w:p w14:paraId="0E1425E8">
            <w:pPr>
              <w:pStyle w:val="34"/>
              <w:keepNext w:val="0"/>
              <w:keepLines w:val="0"/>
              <w:pageBreakBefore w:val="0"/>
              <w:widowControl w:val="0"/>
              <w:wordWrap/>
              <w:overflowPunct/>
              <w:topLinePunct w:val="0"/>
              <w:bidi w:val="0"/>
              <w:spacing w:before="200" w:line="240" w:lineRule="auto"/>
              <w:ind w:left="493"/>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50≤Y＜500</w:t>
            </w:r>
          </w:p>
        </w:tc>
        <w:tc>
          <w:tcPr>
            <w:tcW w:w="1093" w:type="dxa"/>
            <w:vAlign w:val="top"/>
          </w:tcPr>
          <w:p w14:paraId="6D3A9AFB">
            <w:pPr>
              <w:pStyle w:val="34"/>
              <w:keepNext w:val="0"/>
              <w:keepLines w:val="0"/>
              <w:pageBreakBefore w:val="0"/>
              <w:widowControl w:val="0"/>
              <w:wordWrap/>
              <w:overflowPunct/>
              <w:topLinePunct w:val="0"/>
              <w:bidi w:val="0"/>
              <w:spacing w:before="201" w:line="240" w:lineRule="auto"/>
              <w:ind w:left="268"/>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Y＜50</w:t>
            </w:r>
          </w:p>
        </w:tc>
      </w:tr>
      <w:tr w14:paraId="53D40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15A82632">
            <w:pPr>
              <w:pStyle w:val="34"/>
              <w:keepNext w:val="0"/>
              <w:keepLines w:val="0"/>
              <w:pageBreakBefore w:val="0"/>
              <w:widowControl w:val="0"/>
              <w:wordWrap/>
              <w:overflowPunct/>
              <w:topLinePunct w:val="0"/>
              <w:bidi w:val="0"/>
              <w:spacing w:before="207" w:line="240" w:lineRule="auto"/>
              <w:ind w:left="57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工业</w:t>
            </w:r>
          </w:p>
        </w:tc>
        <w:tc>
          <w:tcPr>
            <w:tcW w:w="1658" w:type="dxa"/>
            <w:vAlign w:val="top"/>
          </w:tcPr>
          <w:p w14:paraId="6CCF8423">
            <w:pPr>
              <w:pStyle w:val="34"/>
              <w:keepNext w:val="0"/>
              <w:keepLines w:val="0"/>
              <w:pageBreakBefore w:val="0"/>
              <w:widowControl w:val="0"/>
              <w:wordWrap/>
              <w:overflowPunct/>
              <w:topLinePunct w:val="0"/>
              <w:bidi w:val="0"/>
              <w:spacing w:before="46"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5317D210">
            <w:pPr>
              <w:pStyle w:val="34"/>
              <w:keepNext w:val="0"/>
              <w:keepLines w:val="0"/>
              <w:pageBreakBefore w:val="0"/>
              <w:widowControl w:val="0"/>
              <w:wordWrap/>
              <w:overflowPunct/>
              <w:topLinePunct w:val="0"/>
              <w:bidi w:val="0"/>
              <w:spacing w:before="46"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33B378C1">
            <w:pPr>
              <w:pStyle w:val="34"/>
              <w:keepNext w:val="0"/>
              <w:keepLines w:val="0"/>
              <w:pageBreakBefore w:val="0"/>
              <w:widowControl w:val="0"/>
              <w:wordWrap/>
              <w:overflowPunct/>
              <w:topLinePunct w:val="0"/>
              <w:bidi w:val="0"/>
              <w:spacing w:before="46" w:line="240" w:lineRule="auto"/>
              <w:ind w:left="27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300≤X＜1000</w:t>
            </w:r>
          </w:p>
        </w:tc>
        <w:tc>
          <w:tcPr>
            <w:tcW w:w="2094" w:type="dxa"/>
            <w:vAlign w:val="top"/>
          </w:tcPr>
          <w:p w14:paraId="2EDEBF42">
            <w:pPr>
              <w:pStyle w:val="34"/>
              <w:keepNext w:val="0"/>
              <w:keepLines w:val="0"/>
              <w:pageBreakBefore w:val="0"/>
              <w:widowControl w:val="0"/>
              <w:wordWrap/>
              <w:overflowPunct/>
              <w:topLinePunct w:val="0"/>
              <w:bidi w:val="0"/>
              <w:spacing w:before="46" w:line="240" w:lineRule="auto"/>
              <w:ind w:left="49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20≤X＜300</w:t>
            </w:r>
          </w:p>
        </w:tc>
        <w:tc>
          <w:tcPr>
            <w:tcW w:w="1093" w:type="dxa"/>
            <w:vAlign w:val="top"/>
          </w:tcPr>
          <w:p w14:paraId="2287F80E">
            <w:pPr>
              <w:pStyle w:val="34"/>
              <w:keepNext w:val="0"/>
              <w:keepLines w:val="0"/>
              <w:pageBreakBefore w:val="0"/>
              <w:widowControl w:val="0"/>
              <w:wordWrap/>
              <w:overflowPunct/>
              <w:topLinePunct w:val="0"/>
              <w:bidi w:val="0"/>
              <w:spacing w:before="46" w:line="240" w:lineRule="auto"/>
              <w:ind w:left="2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X＜20</w:t>
            </w:r>
          </w:p>
        </w:tc>
      </w:tr>
      <w:tr w14:paraId="1FC29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vAlign w:val="top"/>
          </w:tcPr>
          <w:p w14:paraId="7290758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34C288D8">
            <w:pPr>
              <w:pStyle w:val="34"/>
              <w:keepNext w:val="0"/>
              <w:keepLines w:val="0"/>
              <w:pageBreakBefore w:val="0"/>
              <w:widowControl w:val="0"/>
              <w:wordWrap/>
              <w:overflowPunct/>
              <w:topLinePunct w:val="0"/>
              <w:bidi w:val="0"/>
              <w:spacing w:before="44"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1D51D98A">
            <w:pPr>
              <w:pStyle w:val="34"/>
              <w:keepNext w:val="0"/>
              <w:keepLines w:val="0"/>
              <w:pageBreakBefore w:val="0"/>
              <w:widowControl w:val="0"/>
              <w:wordWrap/>
              <w:overflowPunct/>
              <w:topLinePunct w:val="0"/>
              <w:bidi w:val="0"/>
              <w:spacing w:before="44"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70316D72">
            <w:pPr>
              <w:pStyle w:val="34"/>
              <w:keepNext w:val="0"/>
              <w:keepLines w:val="0"/>
              <w:pageBreakBefore w:val="0"/>
              <w:widowControl w:val="0"/>
              <w:wordWrap/>
              <w:overflowPunct/>
              <w:topLinePunct w:val="0"/>
              <w:bidi w:val="0"/>
              <w:spacing w:before="44" w:line="240" w:lineRule="auto"/>
              <w:ind w:left="163"/>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2000≤Y＜40000</w:t>
            </w:r>
          </w:p>
        </w:tc>
        <w:tc>
          <w:tcPr>
            <w:tcW w:w="2094" w:type="dxa"/>
            <w:vAlign w:val="top"/>
          </w:tcPr>
          <w:p w14:paraId="2429E426">
            <w:pPr>
              <w:pStyle w:val="34"/>
              <w:keepNext w:val="0"/>
              <w:keepLines w:val="0"/>
              <w:pageBreakBefore w:val="0"/>
              <w:widowControl w:val="0"/>
              <w:wordWrap/>
              <w:overflowPunct/>
              <w:topLinePunct w:val="0"/>
              <w:bidi w:val="0"/>
              <w:spacing w:before="44" w:line="240" w:lineRule="auto"/>
              <w:ind w:left="38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300≤Y＜2000</w:t>
            </w:r>
          </w:p>
        </w:tc>
        <w:tc>
          <w:tcPr>
            <w:tcW w:w="1093" w:type="dxa"/>
            <w:vAlign w:val="top"/>
          </w:tcPr>
          <w:p w14:paraId="5E7B9A77">
            <w:pPr>
              <w:pStyle w:val="34"/>
              <w:keepNext w:val="0"/>
              <w:keepLines w:val="0"/>
              <w:pageBreakBefore w:val="0"/>
              <w:widowControl w:val="0"/>
              <w:wordWrap/>
              <w:overflowPunct/>
              <w:topLinePunct w:val="0"/>
              <w:bidi w:val="0"/>
              <w:spacing w:before="44" w:line="240" w:lineRule="auto"/>
              <w:ind w:left="21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Y＜300</w:t>
            </w:r>
          </w:p>
        </w:tc>
      </w:tr>
      <w:tr w14:paraId="69195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40AC0B0B">
            <w:pPr>
              <w:pStyle w:val="34"/>
              <w:keepNext w:val="0"/>
              <w:keepLines w:val="0"/>
              <w:pageBreakBefore w:val="0"/>
              <w:widowControl w:val="0"/>
              <w:wordWrap/>
              <w:overflowPunct/>
              <w:topLinePunct w:val="0"/>
              <w:bidi w:val="0"/>
              <w:spacing w:before="208" w:line="240" w:lineRule="auto"/>
              <w:ind w:left="45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建筑业</w:t>
            </w:r>
          </w:p>
        </w:tc>
        <w:tc>
          <w:tcPr>
            <w:tcW w:w="1658" w:type="dxa"/>
            <w:vAlign w:val="top"/>
          </w:tcPr>
          <w:p w14:paraId="4B7944A6">
            <w:pPr>
              <w:pStyle w:val="34"/>
              <w:keepNext w:val="0"/>
              <w:keepLines w:val="0"/>
              <w:pageBreakBefore w:val="0"/>
              <w:widowControl w:val="0"/>
              <w:wordWrap/>
              <w:overflowPunct/>
              <w:topLinePunct w:val="0"/>
              <w:bidi w:val="0"/>
              <w:spacing w:before="44"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0244F302">
            <w:pPr>
              <w:pStyle w:val="34"/>
              <w:keepNext w:val="0"/>
              <w:keepLines w:val="0"/>
              <w:pageBreakBefore w:val="0"/>
              <w:widowControl w:val="0"/>
              <w:wordWrap/>
              <w:overflowPunct/>
              <w:topLinePunct w:val="0"/>
              <w:bidi w:val="0"/>
              <w:spacing w:before="44"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0CA3A6B9">
            <w:pPr>
              <w:pStyle w:val="34"/>
              <w:keepNext w:val="0"/>
              <w:keepLines w:val="0"/>
              <w:pageBreakBefore w:val="0"/>
              <w:widowControl w:val="0"/>
              <w:wordWrap/>
              <w:overflowPunct/>
              <w:topLinePunct w:val="0"/>
              <w:bidi w:val="0"/>
              <w:spacing w:before="44" w:line="240" w:lineRule="auto"/>
              <w:ind w:left="16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6000≤Y＜80000</w:t>
            </w:r>
          </w:p>
        </w:tc>
        <w:tc>
          <w:tcPr>
            <w:tcW w:w="2094" w:type="dxa"/>
            <w:vAlign w:val="top"/>
          </w:tcPr>
          <w:p w14:paraId="46662ACA">
            <w:pPr>
              <w:pStyle w:val="34"/>
              <w:keepNext w:val="0"/>
              <w:keepLines w:val="0"/>
              <w:pageBreakBefore w:val="0"/>
              <w:widowControl w:val="0"/>
              <w:wordWrap/>
              <w:overflowPunct/>
              <w:topLinePunct w:val="0"/>
              <w:bidi w:val="0"/>
              <w:spacing w:before="44" w:line="240" w:lineRule="auto"/>
              <w:ind w:left="38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300≤Y＜6000</w:t>
            </w:r>
          </w:p>
        </w:tc>
        <w:tc>
          <w:tcPr>
            <w:tcW w:w="1093" w:type="dxa"/>
            <w:vAlign w:val="top"/>
          </w:tcPr>
          <w:p w14:paraId="3576E1F8">
            <w:pPr>
              <w:pStyle w:val="34"/>
              <w:keepNext w:val="0"/>
              <w:keepLines w:val="0"/>
              <w:pageBreakBefore w:val="0"/>
              <w:widowControl w:val="0"/>
              <w:wordWrap/>
              <w:overflowPunct/>
              <w:topLinePunct w:val="0"/>
              <w:bidi w:val="0"/>
              <w:spacing w:before="44" w:line="240" w:lineRule="auto"/>
              <w:ind w:left="21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Y＜300</w:t>
            </w:r>
          </w:p>
        </w:tc>
      </w:tr>
      <w:tr w14:paraId="087CF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vAlign w:val="top"/>
          </w:tcPr>
          <w:p w14:paraId="6CDAB93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743B2948">
            <w:pPr>
              <w:pStyle w:val="34"/>
              <w:keepNext w:val="0"/>
              <w:keepLines w:val="0"/>
              <w:pageBreakBefore w:val="0"/>
              <w:widowControl w:val="0"/>
              <w:wordWrap/>
              <w:overflowPunct/>
              <w:topLinePunct w:val="0"/>
              <w:bidi w:val="0"/>
              <w:spacing w:before="47" w:line="240" w:lineRule="auto"/>
              <w:ind w:left="108"/>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资产总额（Z）</w:t>
            </w:r>
          </w:p>
        </w:tc>
        <w:tc>
          <w:tcPr>
            <w:tcW w:w="1072" w:type="dxa"/>
            <w:vAlign w:val="top"/>
          </w:tcPr>
          <w:p w14:paraId="33A64DE1">
            <w:pPr>
              <w:pStyle w:val="34"/>
              <w:keepNext w:val="0"/>
              <w:keepLines w:val="0"/>
              <w:pageBreakBefore w:val="0"/>
              <w:widowControl w:val="0"/>
              <w:wordWrap/>
              <w:overflowPunct/>
              <w:topLinePunct w:val="0"/>
              <w:bidi w:val="0"/>
              <w:spacing w:before="47"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365EEAB0">
            <w:pPr>
              <w:pStyle w:val="34"/>
              <w:keepNext w:val="0"/>
              <w:keepLines w:val="0"/>
              <w:pageBreakBefore w:val="0"/>
              <w:widowControl w:val="0"/>
              <w:wordWrap/>
              <w:overflowPunct/>
              <w:topLinePunct w:val="0"/>
              <w:bidi w:val="0"/>
              <w:spacing w:before="47" w:line="240" w:lineRule="auto"/>
              <w:ind w:left="16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5000≤Z＜80000</w:t>
            </w:r>
          </w:p>
        </w:tc>
        <w:tc>
          <w:tcPr>
            <w:tcW w:w="2094" w:type="dxa"/>
            <w:vAlign w:val="top"/>
          </w:tcPr>
          <w:p w14:paraId="2A40309E">
            <w:pPr>
              <w:pStyle w:val="34"/>
              <w:keepNext w:val="0"/>
              <w:keepLines w:val="0"/>
              <w:pageBreakBefore w:val="0"/>
              <w:widowControl w:val="0"/>
              <w:wordWrap/>
              <w:overflowPunct/>
              <w:topLinePunct w:val="0"/>
              <w:bidi w:val="0"/>
              <w:spacing w:before="47" w:line="240" w:lineRule="auto"/>
              <w:ind w:left="38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300≤Z＜5000</w:t>
            </w:r>
          </w:p>
        </w:tc>
        <w:tc>
          <w:tcPr>
            <w:tcW w:w="1093" w:type="dxa"/>
            <w:vAlign w:val="top"/>
          </w:tcPr>
          <w:p w14:paraId="06259166">
            <w:pPr>
              <w:pStyle w:val="34"/>
              <w:keepNext w:val="0"/>
              <w:keepLines w:val="0"/>
              <w:pageBreakBefore w:val="0"/>
              <w:widowControl w:val="0"/>
              <w:wordWrap/>
              <w:overflowPunct/>
              <w:topLinePunct w:val="0"/>
              <w:bidi w:val="0"/>
              <w:spacing w:before="47" w:line="240" w:lineRule="auto"/>
              <w:ind w:left="213"/>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Z＜300</w:t>
            </w:r>
          </w:p>
        </w:tc>
      </w:tr>
      <w:tr w14:paraId="560FB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4BB12C9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p w14:paraId="647B8BC6">
            <w:pPr>
              <w:pStyle w:val="34"/>
              <w:keepNext w:val="0"/>
              <w:keepLines w:val="0"/>
              <w:pageBreakBefore w:val="0"/>
              <w:widowControl w:val="0"/>
              <w:wordWrap/>
              <w:overflowPunct/>
              <w:topLinePunct w:val="0"/>
              <w:bidi w:val="0"/>
              <w:spacing w:before="72" w:line="240" w:lineRule="auto"/>
              <w:ind w:left="45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批发业</w:t>
            </w:r>
          </w:p>
        </w:tc>
        <w:tc>
          <w:tcPr>
            <w:tcW w:w="1658" w:type="dxa"/>
            <w:vAlign w:val="top"/>
          </w:tcPr>
          <w:p w14:paraId="1EF67F34">
            <w:pPr>
              <w:pStyle w:val="34"/>
              <w:keepNext w:val="0"/>
              <w:keepLines w:val="0"/>
              <w:pageBreakBefore w:val="0"/>
              <w:widowControl w:val="0"/>
              <w:wordWrap/>
              <w:overflowPunct/>
              <w:topLinePunct w:val="0"/>
              <w:bidi w:val="0"/>
              <w:spacing w:before="46"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6DB615C6">
            <w:pPr>
              <w:pStyle w:val="34"/>
              <w:keepNext w:val="0"/>
              <w:keepLines w:val="0"/>
              <w:pageBreakBefore w:val="0"/>
              <w:widowControl w:val="0"/>
              <w:wordWrap/>
              <w:overflowPunct/>
              <w:topLinePunct w:val="0"/>
              <w:bidi w:val="0"/>
              <w:spacing w:before="46"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68E50421">
            <w:pPr>
              <w:pStyle w:val="34"/>
              <w:keepNext w:val="0"/>
              <w:keepLines w:val="0"/>
              <w:pageBreakBefore w:val="0"/>
              <w:widowControl w:val="0"/>
              <w:wordWrap/>
              <w:overflowPunct/>
              <w:topLinePunct w:val="0"/>
              <w:bidi w:val="0"/>
              <w:spacing w:before="46" w:line="240" w:lineRule="auto"/>
              <w:ind w:left="388"/>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20≤X＜200</w:t>
            </w:r>
          </w:p>
        </w:tc>
        <w:tc>
          <w:tcPr>
            <w:tcW w:w="2094" w:type="dxa"/>
            <w:vAlign w:val="top"/>
          </w:tcPr>
          <w:p w14:paraId="1DE330B8">
            <w:pPr>
              <w:pStyle w:val="34"/>
              <w:keepNext w:val="0"/>
              <w:keepLines w:val="0"/>
              <w:pageBreakBefore w:val="0"/>
              <w:widowControl w:val="0"/>
              <w:wordWrap/>
              <w:overflowPunct/>
              <w:topLinePunct w:val="0"/>
              <w:bidi w:val="0"/>
              <w:spacing w:before="46" w:line="240" w:lineRule="auto"/>
              <w:ind w:left="6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5≤X＜20</w:t>
            </w:r>
          </w:p>
        </w:tc>
        <w:tc>
          <w:tcPr>
            <w:tcW w:w="1093" w:type="dxa"/>
            <w:vAlign w:val="top"/>
          </w:tcPr>
          <w:p w14:paraId="7AC5ACE1">
            <w:pPr>
              <w:pStyle w:val="34"/>
              <w:keepNext w:val="0"/>
              <w:keepLines w:val="0"/>
              <w:pageBreakBefore w:val="0"/>
              <w:widowControl w:val="0"/>
              <w:wordWrap/>
              <w:overflowPunct/>
              <w:topLinePunct w:val="0"/>
              <w:bidi w:val="0"/>
              <w:spacing w:before="46" w:line="240" w:lineRule="auto"/>
              <w:ind w:left="324"/>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X＜5</w:t>
            </w:r>
          </w:p>
        </w:tc>
      </w:tr>
      <w:tr w14:paraId="68DBD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continue"/>
            <w:tcBorders>
              <w:top w:val="nil"/>
            </w:tcBorders>
            <w:vAlign w:val="top"/>
          </w:tcPr>
          <w:p w14:paraId="5622BB2B">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46C3F70D">
            <w:pPr>
              <w:pStyle w:val="34"/>
              <w:keepNext w:val="0"/>
              <w:keepLines w:val="0"/>
              <w:pageBreakBefore w:val="0"/>
              <w:widowControl w:val="0"/>
              <w:wordWrap/>
              <w:overflowPunct/>
              <w:topLinePunct w:val="0"/>
              <w:bidi w:val="0"/>
              <w:spacing w:before="202"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0F00FEBE">
            <w:pPr>
              <w:pStyle w:val="34"/>
              <w:keepNext w:val="0"/>
              <w:keepLines w:val="0"/>
              <w:pageBreakBefore w:val="0"/>
              <w:widowControl w:val="0"/>
              <w:wordWrap/>
              <w:overflowPunct/>
              <w:topLinePunct w:val="0"/>
              <w:bidi w:val="0"/>
              <w:spacing w:before="202"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6E72E9CB">
            <w:pPr>
              <w:pStyle w:val="34"/>
              <w:keepNext w:val="0"/>
              <w:keepLines w:val="0"/>
              <w:pageBreakBefore w:val="0"/>
              <w:widowControl w:val="0"/>
              <w:wordWrap/>
              <w:overflowPunct/>
              <w:topLinePunct w:val="0"/>
              <w:bidi w:val="0"/>
              <w:spacing w:before="201" w:line="240" w:lineRule="auto"/>
              <w:ind w:left="16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5000≤Y＜40000</w:t>
            </w:r>
          </w:p>
        </w:tc>
        <w:tc>
          <w:tcPr>
            <w:tcW w:w="2094" w:type="dxa"/>
            <w:vAlign w:val="top"/>
          </w:tcPr>
          <w:p w14:paraId="64F4E8C1">
            <w:pPr>
              <w:pStyle w:val="34"/>
              <w:keepNext w:val="0"/>
              <w:keepLines w:val="0"/>
              <w:pageBreakBefore w:val="0"/>
              <w:widowControl w:val="0"/>
              <w:wordWrap/>
              <w:overflowPunct/>
              <w:topLinePunct w:val="0"/>
              <w:bidi w:val="0"/>
              <w:spacing w:before="201" w:line="240" w:lineRule="auto"/>
              <w:ind w:left="33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1000≤Y&lt; 5000</w:t>
            </w:r>
          </w:p>
        </w:tc>
        <w:tc>
          <w:tcPr>
            <w:tcW w:w="1093" w:type="dxa"/>
            <w:vAlign w:val="top"/>
          </w:tcPr>
          <w:p w14:paraId="5ECE702E">
            <w:pPr>
              <w:pStyle w:val="34"/>
              <w:keepNext w:val="0"/>
              <w:keepLines w:val="0"/>
              <w:pageBreakBefore w:val="0"/>
              <w:widowControl w:val="0"/>
              <w:wordWrap/>
              <w:overflowPunct/>
              <w:topLinePunct w:val="0"/>
              <w:bidi w:val="0"/>
              <w:spacing w:before="202" w:line="240" w:lineRule="auto"/>
              <w:ind w:left="15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Y＜1000</w:t>
            </w:r>
          </w:p>
        </w:tc>
      </w:tr>
      <w:tr w14:paraId="09C8F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189D9962">
            <w:pPr>
              <w:pStyle w:val="34"/>
              <w:keepNext w:val="0"/>
              <w:keepLines w:val="0"/>
              <w:pageBreakBefore w:val="0"/>
              <w:widowControl w:val="0"/>
              <w:wordWrap/>
              <w:overflowPunct/>
              <w:topLinePunct w:val="0"/>
              <w:bidi w:val="0"/>
              <w:spacing w:before="208" w:line="240" w:lineRule="auto"/>
              <w:ind w:left="453"/>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零售业</w:t>
            </w:r>
          </w:p>
        </w:tc>
        <w:tc>
          <w:tcPr>
            <w:tcW w:w="1658" w:type="dxa"/>
            <w:vAlign w:val="top"/>
          </w:tcPr>
          <w:p w14:paraId="71116057">
            <w:pPr>
              <w:pStyle w:val="34"/>
              <w:keepNext w:val="0"/>
              <w:keepLines w:val="0"/>
              <w:pageBreakBefore w:val="0"/>
              <w:widowControl w:val="0"/>
              <w:wordWrap/>
              <w:overflowPunct/>
              <w:topLinePunct w:val="0"/>
              <w:bidi w:val="0"/>
              <w:spacing w:before="47"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7101D500">
            <w:pPr>
              <w:pStyle w:val="34"/>
              <w:keepNext w:val="0"/>
              <w:keepLines w:val="0"/>
              <w:pageBreakBefore w:val="0"/>
              <w:widowControl w:val="0"/>
              <w:wordWrap/>
              <w:overflowPunct/>
              <w:topLinePunct w:val="0"/>
              <w:bidi w:val="0"/>
              <w:spacing w:before="47"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18D92EC4">
            <w:pPr>
              <w:pStyle w:val="34"/>
              <w:keepNext w:val="0"/>
              <w:keepLines w:val="0"/>
              <w:pageBreakBefore w:val="0"/>
              <w:widowControl w:val="0"/>
              <w:wordWrap/>
              <w:overflowPunct/>
              <w:topLinePunct w:val="0"/>
              <w:bidi w:val="0"/>
              <w:spacing w:before="47" w:line="240" w:lineRule="auto"/>
              <w:ind w:left="39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50≤X＜300</w:t>
            </w:r>
          </w:p>
        </w:tc>
        <w:tc>
          <w:tcPr>
            <w:tcW w:w="2094" w:type="dxa"/>
            <w:vAlign w:val="top"/>
          </w:tcPr>
          <w:p w14:paraId="7BC9BB6F">
            <w:pPr>
              <w:pStyle w:val="34"/>
              <w:keepNext w:val="0"/>
              <w:keepLines w:val="0"/>
              <w:pageBreakBefore w:val="0"/>
              <w:widowControl w:val="0"/>
              <w:wordWrap/>
              <w:overflowPunct/>
              <w:topLinePunct w:val="0"/>
              <w:bidi w:val="0"/>
              <w:spacing w:before="47" w:line="240" w:lineRule="auto"/>
              <w:ind w:left="563"/>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10≤X＜50</w:t>
            </w:r>
          </w:p>
        </w:tc>
        <w:tc>
          <w:tcPr>
            <w:tcW w:w="1093" w:type="dxa"/>
            <w:vAlign w:val="top"/>
          </w:tcPr>
          <w:p w14:paraId="56FD67A1">
            <w:pPr>
              <w:pStyle w:val="34"/>
              <w:keepNext w:val="0"/>
              <w:keepLines w:val="0"/>
              <w:pageBreakBefore w:val="0"/>
              <w:widowControl w:val="0"/>
              <w:wordWrap/>
              <w:overflowPunct/>
              <w:topLinePunct w:val="0"/>
              <w:bidi w:val="0"/>
              <w:spacing w:before="47" w:line="240" w:lineRule="auto"/>
              <w:ind w:left="2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X＜10</w:t>
            </w:r>
          </w:p>
        </w:tc>
      </w:tr>
      <w:tr w14:paraId="538C0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vAlign w:val="top"/>
          </w:tcPr>
          <w:p w14:paraId="0CC1F20B">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56D46525">
            <w:pPr>
              <w:pStyle w:val="34"/>
              <w:keepNext w:val="0"/>
              <w:keepLines w:val="0"/>
              <w:pageBreakBefore w:val="0"/>
              <w:widowControl w:val="0"/>
              <w:wordWrap/>
              <w:overflowPunct/>
              <w:topLinePunct w:val="0"/>
              <w:bidi w:val="0"/>
              <w:spacing w:before="47"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5A90B44A">
            <w:pPr>
              <w:pStyle w:val="34"/>
              <w:keepNext w:val="0"/>
              <w:keepLines w:val="0"/>
              <w:pageBreakBefore w:val="0"/>
              <w:widowControl w:val="0"/>
              <w:wordWrap/>
              <w:overflowPunct/>
              <w:topLinePunct w:val="0"/>
              <w:bidi w:val="0"/>
              <w:spacing w:before="47"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5ECA3177">
            <w:pPr>
              <w:pStyle w:val="34"/>
              <w:keepNext w:val="0"/>
              <w:keepLines w:val="0"/>
              <w:pageBreakBefore w:val="0"/>
              <w:widowControl w:val="0"/>
              <w:wordWrap/>
              <w:overflowPunct/>
              <w:topLinePunct w:val="0"/>
              <w:bidi w:val="0"/>
              <w:spacing w:before="47" w:line="240" w:lineRule="auto"/>
              <w:ind w:left="22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500≤Y＜20000</w:t>
            </w:r>
          </w:p>
        </w:tc>
        <w:tc>
          <w:tcPr>
            <w:tcW w:w="2094" w:type="dxa"/>
            <w:vAlign w:val="top"/>
          </w:tcPr>
          <w:p w14:paraId="4172E3D9">
            <w:pPr>
              <w:pStyle w:val="34"/>
              <w:keepNext w:val="0"/>
              <w:keepLines w:val="0"/>
              <w:pageBreakBefore w:val="0"/>
              <w:widowControl w:val="0"/>
              <w:wordWrap/>
              <w:overflowPunct/>
              <w:topLinePunct w:val="0"/>
              <w:bidi w:val="0"/>
              <w:spacing w:before="47" w:line="240" w:lineRule="auto"/>
              <w:ind w:left="45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100≤Y＜500</w:t>
            </w:r>
          </w:p>
        </w:tc>
        <w:tc>
          <w:tcPr>
            <w:tcW w:w="1093" w:type="dxa"/>
            <w:vAlign w:val="top"/>
          </w:tcPr>
          <w:p w14:paraId="0B140730">
            <w:pPr>
              <w:pStyle w:val="34"/>
              <w:keepNext w:val="0"/>
              <w:keepLines w:val="0"/>
              <w:pageBreakBefore w:val="0"/>
              <w:widowControl w:val="0"/>
              <w:wordWrap/>
              <w:overflowPunct/>
              <w:topLinePunct w:val="0"/>
              <w:bidi w:val="0"/>
              <w:spacing w:before="47" w:line="240" w:lineRule="auto"/>
              <w:ind w:left="21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Y＜100</w:t>
            </w:r>
          </w:p>
        </w:tc>
      </w:tr>
      <w:tr w14:paraId="7B055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64303613">
            <w:pPr>
              <w:pStyle w:val="34"/>
              <w:keepNext w:val="0"/>
              <w:keepLines w:val="0"/>
              <w:pageBreakBefore w:val="0"/>
              <w:widowControl w:val="0"/>
              <w:wordWrap/>
              <w:overflowPunct/>
              <w:topLinePunct w:val="0"/>
              <w:bidi w:val="0"/>
              <w:spacing w:before="207" w:line="240" w:lineRule="auto"/>
              <w:ind w:left="23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交通运输业</w:t>
            </w:r>
          </w:p>
        </w:tc>
        <w:tc>
          <w:tcPr>
            <w:tcW w:w="1658" w:type="dxa"/>
            <w:vAlign w:val="top"/>
          </w:tcPr>
          <w:p w14:paraId="2767BFDD">
            <w:pPr>
              <w:pStyle w:val="34"/>
              <w:keepNext w:val="0"/>
              <w:keepLines w:val="0"/>
              <w:pageBreakBefore w:val="0"/>
              <w:widowControl w:val="0"/>
              <w:wordWrap/>
              <w:overflowPunct/>
              <w:topLinePunct w:val="0"/>
              <w:bidi w:val="0"/>
              <w:spacing w:before="47"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1A1FF5D0">
            <w:pPr>
              <w:pStyle w:val="34"/>
              <w:keepNext w:val="0"/>
              <w:keepLines w:val="0"/>
              <w:pageBreakBefore w:val="0"/>
              <w:widowControl w:val="0"/>
              <w:wordWrap/>
              <w:overflowPunct/>
              <w:topLinePunct w:val="0"/>
              <w:bidi w:val="0"/>
              <w:spacing w:before="47"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5EC55291">
            <w:pPr>
              <w:pStyle w:val="34"/>
              <w:keepNext w:val="0"/>
              <w:keepLines w:val="0"/>
              <w:pageBreakBefore w:val="0"/>
              <w:widowControl w:val="0"/>
              <w:wordWrap/>
              <w:overflowPunct/>
              <w:topLinePunct w:val="0"/>
              <w:bidi w:val="0"/>
              <w:spacing w:before="47" w:line="240" w:lineRule="auto"/>
              <w:ind w:left="27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300≤X＜1000</w:t>
            </w:r>
          </w:p>
        </w:tc>
        <w:tc>
          <w:tcPr>
            <w:tcW w:w="2094" w:type="dxa"/>
            <w:vAlign w:val="top"/>
          </w:tcPr>
          <w:p w14:paraId="71E46103">
            <w:pPr>
              <w:pStyle w:val="34"/>
              <w:keepNext w:val="0"/>
              <w:keepLines w:val="0"/>
              <w:pageBreakBefore w:val="0"/>
              <w:widowControl w:val="0"/>
              <w:wordWrap/>
              <w:overflowPunct/>
              <w:topLinePunct w:val="0"/>
              <w:bidi w:val="0"/>
              <w:spacing w:before="47" w:line="240" w:lineRule="auto"/>
              <w:ind w:left="49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20≤X＜300</w:t>
            </w:r>
          </w:p>
        </w:tc>
        <w:tc>
          <w:tcPr>
            <w:tcW w:w="1093" w:type="dxa"/>
            <w:vAlign w:val="top"/>
          </w:tcPr>
          <w:p w14:paraId="7E151D45">
            <w:pPr>
              <w:pStyle w:val="34"/>
              <w:keepNext w:val="0"/>
              <w:keepLines w:val="0"/>
              <w:pageBreakBefore w:val="0"/>
              <w:widowControl w:val="0"/>
              <w:wordWrap/>
              <w:overflowPunct/>
              <w:topLinePunct w:val="0"/>
              <w:bidi w:val="0"/>
              <w:spacing w:before="47" w:line="240" w:lineRule="auto"/>
              <w:ind w:left="2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X＜20</w:t>
            </w:r>
          </w:p>
        </w:tc>
      </w:tr>
      <w:tr w14:paraId="3D4BA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vAlign w:val="top"/>
          </w:tcPr>
          <w:p w14:paraId="29243A22">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6EBBAE95">
            <w:pPr>
              <w:pStyle w:val="34"/>
              <w:keepNext w:val="0"/>
              <w:keepLines w:val="0"/>
              <w:pageBreakBefore w:val="0"/>
              <w:widowControl w:val="0"/>
              <w:wordWrap/>
              <w:overflowPunct/>
              <w:topLinePunct w:val="0"/>
              <w:bidi w:val="0"/>
              <w:spacing w:before="46"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677D80EE">
            <w:pPr>
              <w:pStyle w:val="34"/>
              <w:keepNext w:val="0"/>
              <w:keepLines w:val="0"/>
              <w:pageBreakBefore w:val="0"/>
              <w:widowControl w:val="0"/>
              <w:wordWrap/>
              <w:overflowPunct/>
              <w:topLinePunct w:val="0"/>
              <w:bidi w:val="0"/>
              <w:spacing w:before="46"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7B09018F">
            <w:pPr>
              <w:pStyle w:val="34"/>
              <w:keepNext w:val="0"/>
              <w:keepLines w:val="0"/>
              <w:pageBreakBefore w:val="0"/>
              <w:widowControl w:val="0"/>
              <w:wordWrap/>
              <w:overflowPunct/>
              <w:topLinePunct w:val="0"/>
              <w:bidi w:val="0"/>
              <w:spacing w:before="46" w:line="240" w:lineRule="auto"/>
              <w:ind w:left="16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3000≤Y＜30000</w:t>
            </w:r>
          </w:p>
        </w:tc>
        <w:tc>
          <w:tcPr>
            <w:tcW w:w="2094" w:type="dxa"/>
            <w:vAlign w:val="top"/>
          </w:tcPr>
          <w:p w14:paraId="6426BF1A">
            <w:pPr>
              <w:pStyle w:val="34"/>
              <w:keepNext w:val="0"/>
              <w:keepLines w:val="0"/>
              <w:pageBreakBefore w:val="0"/>
              <w:widowControl w:val="0"/>
              <w:wordWrap/>
              <w:overflowPunct/>
              <w:topLinePunct w:val="0"/>
              <w:bidi w:val="0"/>
              <w:spacing w:before="46" w:line="240" w:lineRule="auto"/>
              <w:ind w:left="37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200≤Y＜3000</w:t>
            </w:r>
          </w:p>
        </w:tc>
        <w:tc>
          <w:tcPr>
            <w:tcW w:w="1093" w:type="dxa"/>
            <w:vAlign w:val="top"/>
          </w:tcPr>
          <w:p w14:paraId="5E70426D">
            <w:pPr>
              <w:pStyle w:val="34"/>
              <w:keepNext w:val="0"/>
              <w:keepLines w:val="0"/>
              <w:pageBreakBefore w:val="0"/>
              <w:widowControl w:val="0"/>
              <w:wordWrap/>
              <w:overflowPunct/>
              <w:topLinePunct w:val="0"/>
              <w:bidi w:val="0"/>
              <w:spacing w:before="46" w:line="240" w:lineRule="auto"/>
              <w:ind w:left="21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Y＜200</w:t>
            </w:r>
          </w:p>
        </w:tc>
      </w:tr>
      <w:tr w14:paraId="01035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642CDC70">
            <w:pPr>
              <w:pStyle w:val="34"/>
              <w:keepNext w:val="0"/>
              <w:keepLines w:val="0"/>
              <w:pageBreakBefore w:val="0"/>
              <w:widowControl w:val="0"/>
              <w:wordWrap/>
              <w:overflowPunct/>
              <w:topLinePunct w:val="0"/>
              <w:bidi w:val="0"/>
              <w:spacing w:before="206" w:line="240" w:lineRule="auto"/>
              <w:ind w:left="45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仓储业</w:t>
            </w:r>
          </w:p>
        </w:tc>
        <w:tc>
          <w:tcPr>
            <w:tcW w:w="1658" w:type="dxa"/>
            <w:vAlign w:val="top"/>
          </w:tcPr>
          <w:p w14:paraId="15F23A9C">
            <w:pPr>
              <w:pStyle w:val="34"/>
              <w:keepNext w:val="0"/>
              <w:keepLines w:val="0"/>
              <w:pageBreakBefore w:val="0"/>
              <w:widowControl w:val="0"/>
              <w:wordWrap/>
              <w:overflowPunct/>
              <w:topLinePunct w:val="0"/>
              <w:bidi w:val="0"/>
              <w:spacing w:before="46"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1CC97A06">
            <w:pPr>
              <w:pStyle w:val="34"/>
              <w:keepNext w:val="0"/>
              <w:keepLines w:val="0"/>
              <w:pageBreakBefore w:val="0"/>
              <w:widowControl w:val="0"/>
              <w:wordWrap/>
              <w:overflowPunct/>
              <w:topLinePunct w:val="0"/>
              <w:bidi w:val="0"/>
              <w:spacing w:before="46"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0C976864">
            <w:pPr>
              <w:pStyle w:val="34"/>
              <w:keepNext w:val="0"/>
              <w:keepLines w:val="0"/>
              <w:pageBreakBefore w:val="0"/>
              <w:widowControl w:val="0"/>
              <w:wordWrap/>
              <w:overflowPunct/>
              <w:topLinePunct w:val="0"/>
              <w:bidi w:val="0"/>
              <w:spacing w:before="46" w:line="240" w:lineRule="auto"/>
              <w:ind w:left="34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100≤X＜200</w:t>
            </w:r>
          </w:p>
        </w:tc>
        <w:tc>
          <w:tcPr>
            <w:tcW w:w="2094" w:type="dxa"/>
            <w:vAlign w:val="top"/>
          </w:tcPr>
          <w:p w14:paraId="6DAFA3AC">
            <w:pPr>
              <w:pStyle w:val="34"/>
              <w:keepNext w:val="0"/>
              <w:keepLines w:val="0"/>
              <w:pageBreakBefore w:val="0"/>
              <w:widowControl w:val="0"/>
              <w:wordWrap/>
              <w:overflowPunct/>
              <w:topLinePunct w:val="0"/>
              <w:bidi w:val="0"/>
              <w:spacing w:before="46" w:line="240" w:lineRule="auto"/>
              <w:ind w:left="49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20≤X＜100</w:t>
            </w:r>
          </w:p>
        </w:tc>
        <w:tc>
          <w:tcPr>
            <w:tcW w:w="1093" w:type="dxa"/>
            <w:vAlign w:val="top"/>
          </w:tcPr>
          <w:p w14:paraId="5E7ED66D">
            <w:pPr>
              <w:pStyle w:val="34"/>
              <w:keepNext w:val="0"/>
              <w:keepLines w:val="0"/>
              <w:pageBreakBefore w:val="0"/>
              <w:widowControl w:val="0"/>
              <w:wordWrap/>
              <w:overflowPunct/>
              <w:topLinePunct w:val="0"/>
              <w:bidi w:val="0"/>
              <w:spacing w:before="46" w:line="240" w:lineRule="auto"/>
              <w:ind w:left="2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X＜20</w:t>
            </w:r>
          </w:p>
        </w:tc>
      </w:tr>
      <w:tr w14:paraId="2B635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vAlign w:val="top"/>
          </w:tcPr>
          <w:p w14:paraId="1ABF1A37">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787DF10C">
            <w:pPr>
              <w:pStyle w:val="34"/>
              <w:keepNext w:val="0"/>
              <w:keepLines w:val="0"/>
              <w:pageBreakBefore w:val="0"/>
              <w:widowControl w:val="0"/>
              <w:wordWrap/>
              <w:overflowPunct/>
              <w:topLinePunct w:val="0"/>
              <w:bidi w:val="0"/>
              <w:spacing w:before="48"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58B587CD">
            <w:pPr>
              <w:pStyle w:val="34"/>
              <w:keepNext w:val="0"/>
              <w:keepLines w:val="0"/>
              <w:pageBreakBefore w:val="0"/>
              <w:widowControl w:val="0"/>
              <w:wordWrap/>
              <w:overflowPunct/>
              <w:topLinePunct w:val="0"/>
              <w:bidi w:val="0"/>
              <w:spacing w:before="48"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6F4BAE56">
            <w:pPr>
              <w:pStyle w:val="34"/>
              <w:keepNext w:val="0"/>
              <w:keepLines w:val="0"/>
              <w:pageBreakBefore w:val="0"/>
              <w:widowControl w:val="0"/>
              <w:wordWrap/>
              <w:overflowPunct/>
              <w:topLinePunct w:val="0"/>
              <w:bidi w:val="0"/>
              <w:spacing w:before="48" w:line="240" w:lineRule="auto"/>
              <w:ind w:left="17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1000≤Y＜30000</w:t>
            </w:r>
          </w:p>
        </w:tc>
        <w:tc>
          <w:tcPr>
            <w:tcW w:w="2094" w:type="dxa"/>
            <w:vAlign w:val="top"/>
          </w:tcPr>
          <w:p w14:paraId="293001D9">
            <w:pPr>
              <w:pStyle w:val="34"/>
              <w:keepNext w:val="0"/>
              <w:keepLines w:val="0"/>
              <w:pageBreakBefore w:val="0"/>
              <w:widowControl w:val="0"/>
              <w:wordWrap/>
              <w:overflowPunct/>
              <w:topLinePunct w:val="0"/>
              <w:bidi w:val="0"/>
              <w:spacing w:before="48" w:line="240" w:lineRule="auto"/>
              <w:ind w:left="39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100≤Y＜1000</w:t>
            </w:r>
          </w:p>
        </w:tc>
        <w:tc>
          <w:tcPr>
            <w:tcW w:w="1093" w:type="dxa"/>
            <w:vAlign w:val="top"/>
          </w:tcPr>
          <w:p w14:paraId="375E69C5">
            <w:pPr>
              <w:pStyle w:val="34"/>
              <w:keepNext w:val="0"/>
              <w:keepLines w:val="0"/>
              <w:pageBreakBefore w:val="0"/>
              <w:widowControl w:val="0"/>
              <w:wordWrap/>
              <w:overflowPunct/>
              <w:topLinePunct w:val="0"/>
              <w:bidi w:val="0"/>
              <w:spacing w:before="48" w:line="240" w:lineRule="auto"/>
              <w:ind w:left="21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Y＜100</w:t>
            </w:r>
          </w:p>
        </w:tc>
      </w:tr>
      <w:tr w14:paraId="708BC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6905B34B">
            <w:pPr>
              <w:pStyle w:val="34"/>
              <w:keepNext w:val="0"/>
              <w:keepLines w:val="0"/>
              <w:pageBreakBefore w:val="0"/>
              <w:widowControl w:val="0"/>
              <w:wordWrap/>
              <w:overflowPunct/>
              <w:topLinePunct w:val="0"/>
              <w:bidi w:val="0"/>
              <w:spacing w:before="208" w:line="240" w:lineRule="auto"/>
              <w:ind w:left="4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邮政业</w:t>
            </w:r>
          </w:p>
        </w:tc>
        <w:tc>
          <w:tcPr>
            <w:tcW w:w="1658" w:type="dxa"/>
            <w:vAlign w:val="top"/>
          </w:tcPr>
          <w:p w14:paraId="287D2C81">
            <w:pPr>
              <w:pStyle w:val="34"/>
              <w:keepNext w:val="0"/>
              <w:keepLines w:val="0"/>
              <w:pageBreakBefore w:val="0"/>
              <w:widowControl w:val="0"/>
              <w:wordWrap/>
              <w:overflowPunct/>
              <w:topLinePunct w:val="0"/>
              <w:bidi w:val="0"/>
              <w:spacing w:before="47"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144CEF34">
            <w:pPr>
              <w:pStyle w:val="34"/>
              <w:keepNext w:val="0"/>
              <w:keepLines w:val="0"/>
              <w:pageBreakBefore w:val="0"/>
              <w:widowControl w:val="0"/>
              <w:wordWrap/>
              <w:overflowPunct/>
              <w:topLinePunct w:val="0"/>
              <w:bidi w:val="0"/>
              <w:spacing w:before="47"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761FC31F">
            <w:pPr>
              <w:pStyle w:val="34"/>
              <w:keepNext w:val="0"/>
              <w:keepLines w:val="0"/>
              <w:pageBreakBefore w:val="0"/>
              <w:widowControl w:val="0"/>
              <w:wordWrap/>
              <w:overflowPunct/>
              <w:topLinePunct w:val="0"/>
              <w:bidi w:val="0"/>
              <w:spacing w:before="47" w:line="240" w:lineRule="auto"/>
              <w:ind w:left="27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300≤X＜1000</w:t>
            </w:r>
          </w:p>
        </w:tc>
        <w:tc>
          <w:tcPr>
            <w:tcW w:w="2094" w:type="dxa"/>
            <w:vAlign w:val="top"/>
          </w:tcPr>
          <w:p w14:paraId="50D42667">
            <w:pPr>
              <w:pStyle w:val="34"/>
              <w:keepNext w:val="0"/>
              <w:keepLines w:val="0"/>
              <w:pageBreakBefore w:val="0"/>
              <w:widowControl w:val="0"/>
              <w:wordWrap/>
              <w:overflowPunct/>
              <w:topLinePunct w:val="0"/>
              <w:bidi w:val="0"/>
              <w:spacing w:before="47" w:line="240" w:lineRule="auto"/>
              <w:ind w:left="49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20≤X＜300</w:t>
            </w:r>
          </w:p>
        </w:tc>
        <w:tc>
          <w:tcPr>
            <w:tcW w:w="1093" w:type="dxa"/>
            <w:vAlign w:val="top"/>
          </w:tcPr>
          <w:p w14:paraId="4ACA7260">
            <w:pPr>
              <w:pStyle w:val="34"/>
              <w:keepNext w:val="0"/>
              <w:keepLines w:val="0"/>
              <w:pageBreakBefore w:val="0"/>
              <w:widowControl w:val="0"/>
              <w:wordWrap/>
              <w:overflowPunct/>
              <w:topLinePunct w:val="0"/>
              <w:bidi w:val="0"/>
              <w:spacing w:before="47" w:line="240" w:lineRule="auto"/>
              <w:ind w:left="2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X＜20</w:t>
            </w:r>
          </w:p>
        </w:tc>
      </w:tr>
      <w:tr w14:paraId="29F14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vAlign w:val="top"/>
          </w:tcPr>
          <w:p w14:paraId="23342EC4">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4A096DAC">
            <w:pPr>
              <w:pStyle w:val="34"/>
              <w:keepNext w:val="0"/>
              <w:keepLines w:val="0"/>
              <w:pageBreakBefore w:val="0"/>
              <w:widowControl w:val="0"/>
              <w:wordWrap/>
              <w:overflowPunct/>
              <w:topLinePunct w:val="0"/>
              <w:bidi w:val="0"/>
              <w:spacing w:before="47"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5BFE838C">
            <w:pPr>
              <w:pStyle w:val="34"/>
              <w:keepNext w:val="0"/>
              <w:keepLines w:val="0"/>
              <w:pageBreakBefore w:val="0"/>
              <w:widowControl w:val="0"/>
              <w:wordWrap/>
              <w:overflowPunct/>
              <w:topLinePunct w:val="0"/>
              <w:bidi w:val="0"/>
              <w:spacing w:before="47"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389249C5">
            <w:pPr>
              <w:pStyle w:val="34"/>
              <w:keepNext w:val="0"/>
              <w:keepLines w:val="0"/>
              <w:pageBreakBefore w:val="0"/>
              <w:widowControl w:val="0"/>
              <w:wordWrap/>
              <w:overflowPunct/>
              <w:topLinePunct w:val="0"/>
              <w:bidi w:val="0"/>
              <w:spacing w:before="47" w:line="240" w:lineRule="auto"/>
              <w:ind w:left="163"/>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2000≤Y＜30000</w:t>
            </w:r>
          </w:p>
        </w:tc>
        <w:tc>
          <w:tcPr>
            <w:tcW w:w="2094" w:type="dxa"/>
            <w:vAlign w:val="top"/>
          </w:tcPr>
          <w:p w14:paraId="390F323A">
            <w:pPr>
              <w:pStyle w:val="34"/>
              <w:keepNext w:val="0"/>
              <w:keepLines w:val="0"/>
              <w:pageBreakBefore w:val="0"/>
              <w:widowControl w:val="0"/>
              <w:wordWrap/>
              <w:overflowPunct/>
              <w:topLinePunct w:val="0"/>
              <w:bidi w:val="0"/>
              <w:spacing w:before="47" w:line="240" w:lineRule="auto"/>
              <w:ind w:left="39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100≤Y＜2000</w:t>
            </w:r>
          </w:p>
        </w:tc>
        <w:tc>
          <w:tcPr>
            <w:tcW w:w="1093" w:type="dxa"/>
            <w:vAlign w:val="top"/>
          </w:tcPr>
          <w:p w14:paraId="5292ACBD">
            <w:pPr>
              <w:pStyle w:val="34"/>
              <w:keepNext w:val="0"/>
              <w:keepLines w:val="0"/>
              <w:pageBreakBefore w:val="0"/>
              <w:widowControl w:val="0"/>
              <w:wordWrap/>
              <w:overflowPunct/>
              <w:topLinePunct w:val="0"/>
              <w:bidi w:val="0"/>
              <w:spacing w:before="47" w:line="240" w:lineRule="auto"/>
              <w:ind w:left="21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Y＜100</w:t>
            </w:r>
          </w:p>
        </w:tc>
      </w:tr>
      <w:tr w14:paraId="03FD5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1022DD0D">
            <w:pPr>
              <w:pStyle w:val="34"/>
              <w:keepNext w:val="0"/>
              <w:keepLines w:val="0"/>
              <w:pageBreakBefore w:val="0"/>
              <w:widowControl w:val="0"/>
              <w:wordWrap/>
              <w:overflowPunct/>
              <w:topLinePunct w:val="0"/>
              <w:bidi w:val="0"/>
              <w:spacing w:before="207" w:line="240" w:lineRule="auto"/>
              <w:ind w:left="45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住宿业</w:t>
            </w:r>
          </w:p>
        </w:tc>
        <w:tc>
          <w:tcPr>
            <w:tcW w:w="1658" w:type="dxa"/>
            <w:vAlign w:val="top"/>
          </w:tcPr>
          <w:p w14:paraId="07159AE9">
            <w:pPr>
              <w:pStyle w:val="34"/>
              <w:keepNext w:val="0"/>
              <w:keepLines w:val="0"/>
              <w:pageBreakBefore w:val="0"/>
              <w:widowControl w:val="0"/>
              <w:wordWrap/>
              <w:overflowPunct/>
              <w:topLinePunct w:val="0"/>
              <w:bidi w:val="0"/>
              <w:spacing w:before="47"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51E81F7F">
            <w:pPr>
              <w:pStyle w:val="34"/>
              <w:keepNext w:val="0"/>
              <w:keepLines w:val="0"/>
              <w:pageBreakBefore w:val="0"/>
              <w:widowControl w:val="0"/>
              <w:wordWrap/>
              <w:overflowPunct/>
              <w:topLinePunct w:val="0"/>
              <w:bidi w:val="0"/>
              <w:spacing w:before="47"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1DE03F67">
            <w:pPr>
              <w:pStyle w:val="34"/>
              <w:keepNext w:val="0"/>
              <w:keepLines w:val="0"/>
              <w:pageBreakBefore w:val="0"/>
              <w:widowControl w:val="0"/>
              <w:wordWrap/>
              <w:overflowPunct/>
              <w:topLinePunct w:val="0"/>
              <w:bidi w:val="0"/>
              <w:spacing w:before="47" w:line="240" w:lineRule="auto"/>
              <w:ind w:left="34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100≤X＜300</w:t>
            </w:r>
          </w:p>
        </w:tc>
        <w:tc>
          <w:tcPr>
            <w:tcW w:w="2094" w:type="dxa"/>
            <w:vAlign w:val="top"/>
          </w:tcPr>
          <w:p w14:paraId="4C8D8F3B">
            <w:pPr>
              <w:pStyle w:val="34"/>
              <w:keepNext w:val="0"/>
              <w:keepLines w:val="0"/>
              <w:pageBreakBefore w:val="0"/>
              <w:widowControl w:val="0"/>
              <w:wordWrap/>
              <w:overflowPunct/>
              <w:topLinePunct w:val="0"/>
              <w:bidi w:val="0"/>
              <w:spacing w:before="47" w:line="240" w:lineRule="auto"/>
              <w:ind w:left="50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10≤X＜100</w:t>
            </w:r>
          </w:p>
        </w:tc>
        <w:tc>
          <w:tcPr>
            <w:tcW w:w="1093" w:type="dxa"/>
            <w:vAlign w:val="top"/>
          </w:tcPr>
          <w:p w14:paraId="36898685">
            <w:pPr>
              <w:pStyle w:val="34"/>
              <w:keepNext w:val="0"/>
              <w:keepLines w:val="0"/>
              <w:pageBreakBefore w:val="0"/>
              <w:widowControl w:val="0"/>
              <w:wordWrap/>
              <w:overflowPunct/>
              <w:topLinePunct w:val="0"/>
              <w:bidi w:val="0"/>
              <w:spacing w:before="47" w:line="240" w:lineRule="auto"/>
              <w:ind w:left="2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X＜10</w:t>
            </w:r>
          </w:p>
        </w:tc>
      </w:tr>
      <w:tr w14:paraId="1EBFC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vAlign w:val="top"/>
          </w:tcPr>
          <w:p w14:paraId="27ACD8A8">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663295F9">
            <w:pPr>
              <w:pStyle w:val="34"/>
              <w:keepNext w:val="0"/>
              <w:keepLines w:val="0"/>
              <w:pageBreakBefore w:val="0"/>
              <w:widowControl w:val="0"/>
              <w:wordWrap/>
              <w:overflowPunct/>
              <w:topLinePunct w:val="0"/>
              <w:bidi w:val="0"/>
              <w:spacing w:before="46"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714BD5A3">
            <w:pPr>
              <w:pStyle w:val="34"/>
              <w:keepNext w:val="0"/>
              <w:keepLines w:val="0"/>
              <w:pageBreakBefore w:val="0"/>
              <w:widowControl w:val="0"/>
              <w:wordWrap/>
              <w:overflowPunct/>
              <w:topLinePunct w:val="0"/>
              <w:bidi w:val="0"/>
              <w:spacing w:before="46"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14D38EB6">
            <w:pPr>
              <w:pStyle w:val="34"/>
              <w:keepNext w:val="0"/>
              <w:keepLines w:val="0"/>
              <w:pageBreakBefore w:val="0"/>
              <w:widowControl w:val="0"/>
              <w:wordWrap/>
              <w:overflowPunct/>
              <w:topLinePunct w:val="0"/>
              <w:bidi w:val="0"/>
              <w:spacing w:before="46" w:line="240" w:lineRule="auto"/>
              <w:ind w:left="163"/>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2000≤Y＜10000</w:t>
            </w:r>
          </w:p>
        </w:tc>
        <w:tc>
          <w:tcPr>
            <w:tcW w:w="2094" w:type="dxa"/>
            <w:vAlign w:val="top"/>
          </w:tcPr>
          <w:p w14:paraId="00F73E74">
            <w:pPr>
              <w:pStyle w:val="34"/>
              <w:keepNext w:val="0"/>
              <w:keepLines w:val="0"/>
              <w:pageBreakBefore w:val="0"/>
              <w:widowControl w:val="0"/>
              <w:wordWrap/>
              <w:overflowPunct/>
              <w:topLinePunct w:val="0"/>
              <w:bidi w:val="0"/>
              <w:spacing w:before="46" w:line="240" w:lineRule="auto"/>
              <w:ind w:left="39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100≤Y＜2000</w:t>
            </w:r>
          </w:p>
        </w:tc>
        <w:tc>
          <w:tcPr>
            <w:tcW w:w="1093" w:type="dxa"/>
            <w:vAlign w:val="top"/>
          </w:tcPr>
          <w:p w14:paraId="78B85332">
            <w:pPr>
              <w:pStyle w:val="34"/>
              <w:keepNext w:val="0"/>
              <w:keepLines w:val="0"/>
              <w:pageBreakBefore w:val="0"/>
              <w:widowControl w:val="0"/>
              <w:wordWrap/>
              <w:overflowPunct/>
              <w:topLinePunct w:val="0"/>
              <w:bidi w:val="0"/>
              <w:spacing w:before="46" w:line="240" w:lineRule="auto"/>
              <w:ind w:left="21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Y＜100</w:t>
            </w:r>
          </w:p>
        </w:tc>
      </w:tr>
      <w:tr w14:paraId="6E023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33222ABA">
            <w:pPr>
              <w:pStyle w:val="34"/>
              <w:keepNext w:val="0"/>
              <w:keepLines w:val="0"/>
              <w:pageBreakBefore w:val="0"/>
              <w:widowControl w:val="0"/>
              <w:wordWrap/>
              <w:overflowPunct/>
              <w:topLinePunct w:val="0"/>
              <w:bidi w:val="0"/>
              <w:spacing w:before="207" w:line="240" w:lineRule="auto"/>
              <w:ind w:left="454"/>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餐饮业</w:t>
            </w:r>
          </w:p>
        </w:tc>
        <w:tc>
          <w:tcPr>
            <w:tcW w:w="1658" w:type="dxa"/>
            <w:vAlign w:val="top"/>
          </w:tcPr>
          <w:p w14:paraId="2DEABC7A">
            <w:pPr>
              <w:pStyle w:val="34"/>
              <w:keepNext w:val="0"/>
              <w:keepLines w:val="0"/>
              <w:pageBreakBefore w:val="0"/>
              <w:widowControl w:val="0"/>
              <w:wordWrap/>
              <w:overflowPunct/>
              <w:topLinePunct w:val="0"/>
              <w:bidi w:val="0"/>
              <w:spacing w:before="46"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0425AF3A">
            <w:pPr>
              <w:pStyle w:val="34"/>
              <w:keepNext w:val="0"/>
              <w:keepLines w:val="0"/>
              <w:pageBreakBefore w:val="0"/>
              <w:widowControl w:val="0"/>
              <w:wordWrap/>
              <w:overflowPunct/>
              <w:topLinePunct w:val="0"/>
              <w:bidi w:val="0"/>
              <w:spacing w:before="46"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58635343">
            <w:pPr>
              <w:pStyle w:val="34"/>
              <w:keepNext w:val="0"/>
              <w:keepLines w:val="0"/>
              <w:pageBreakBefore w:val="0"/>
              <w:widowControl w:val="0"/>
              <w:wordWrap/>
              <w:overflowPunct/>
              <w:topLinePunct w:val="0"/>
              <w:bidi w:val="0"/>
              <w:spacing w:before="46" w:line="240" w:lineRule="auto"/>
              <w:ind w:left="34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100≤X＜300</w:t>
            </w:r>
          </w:p>
        </w:tc>
        <w:tc>
          <w:tcPr>
            <w:tcW w:w="2094" w:type="dxa"/>
            <w:vAlign w:val="top"/>
          </w:tcPr>
          <w:p w14:paraId="5B8F30AA">
            <w:pPr>
              <w:pStyle w:val="34"/>
              <w:keepNext w:val="0"/>
              <w:keepLines w:val="0"/>
              <w:pageBreakBefore w:val="0"/>
              <w:widowControl w:val="0"/>
              <w:wordWrap/>
              <w:overflowPunct/>
              <w:topLinePunct w:val="0"/>
              <w:bidi w:val="0"/>
              <w:spacing w:before="46" w:line="240" w:lineRule="auto"/>
              <w:ind w:left="50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10≤X＜100</w:t>
            </w:r>
          </w:p>
        </w:tc>
        <w:tc>
          <w:tcPr>
            <w:tcW w:w="1093" w:type="dxa"/>
            <w:vAlign w:val="top"/>
          </w:tcPr>
          <w:p w14:paraId="252309B1">
            <w:pPr>
              <w:pStyle w:val="34"/>
              <w:keepNext w:val="0"/>
              <w:keepLines w:val="0"/>
              <w:pageBreakBefore w:val="0"/>
              <w:widowControl w:val="0"/>
              <w:wordWrap/>
              <w:overflowPunct/>
              <w:topLinePunct w:val="0"/>
              <w:bidi w:val="0"/>
              <w:spacing w:before="46" w:line="240" w:lineRule="auto"/>
              <w:ind w:left="2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X＜10</w:t>
            </w:r>
          </w:p>
        </w:tc>
      </w:tr>
      <w:tr w14:paraId="2B179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vAlign w:val="top"/>
          </w:tcPr>
          <w:p w14:paraId="6DF207F3">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36970379">
            <w:pPr>
              <w:pStyle w:val="34"/>
              <w:keepNext w:val="0"/>
              <w:keepLines w:val="0"/>
              <w:pageBreakBefore w:val="0"/>
              <w:widowControl w:val="0"/>
              <w:wordWrap/>
              <w:overflowPunct/>
              <w:topLinePunct w:val="0"/>
              <w:bidi w:val="0"/>
              <w:spacing w:before="48"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4004CE96">
            <w:pPr>
              <w:pStyle w:val="34"/>
              <w:keepNext w:val="0"/>
              <w:keepLines w:val="0"/>
              <w:pageBreakBefore w:val="0"/>
              <w:widowControl w:val="0"/>
              <w:wordWrap/>
              <w:overflowPunct/>
              <w:topLinePunct w:val="0"/>
              <w:bidi w:val="0"/>
              <w:spacing w:before="48"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28D218DE">
            <w:pPr>
              <w:pStyle w:val="34"/>
              <w:keepNext w:val="0"/>
              <w:keepLines w:val="0"/>
              <w:pageBreakBefore w:val="0"/>
              <w:widowControl w:val="0"/>
              <w:wordWrap/>
              <w:overflowPunct/>
              <w:topLinePunct w:val="0"/>
              <w:bidi w:val="0"/>
              <w:spacing w:before="48" w:line="240" w:lineRule="auto"/>
              <w:ind w:left="163"/>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2000≤Y＜10000</w:t>
            </w:r>
          </w:p>
        </w:tc>
        <w:tc>
          <w:tcPr>
            <w:tcW w:w="2094" w:type="dxa"/>
            <w:vAlign w:val="top"/>
          </w:tcPr>
          <w:p w14:paraId="0A13BB36">
            <w:pPr>
              <w:pStyle w:val="34"/>
              <w:keepNext w:val="0"/>
              <w:keepLines w:val="0"/>
              <w:pageBreakBefore w:val="0"/>
              <w:widowControl w:val="0"/>
              <w:wordWrap/>
              <w:overflowPunct/>
              <w:topLinePunct w:val="0"/>
              <w:bidi w:val="0"/>
              <w:spacing w:before="48" w:line="240" w:lineRule="auto"/>
              <w:ind w:left="39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100≤Y＜2000</w:t>
            </w:r>
          </w:p>
        </w:tc>
        <w:tc>
          <w:tcPr>
            <w:tcW w:w="1093" w:type="dxa"/>
            <w:vAlign w:val="top"/>
          </w:tcPr>
          <w:p w14:paraId="7EB9A7A2">
            <w:pPr>
              <w:pStyle w:val="34"/>
              <w:keepNext w:val="0"/>
              <w:keepLines w:val="0"/>
              <w:pageBreakBefore w:val="0"/>
              <w:widowControl w:val="0"/>
              <w:wordWrap/>
              <w:overflowPunct/>
              <w:topLinePunct w:val="0"/>
              <w:bidi w:val="0"/>
              <w:spacing w:before="48" w:line="240" w:lineRule="auto"/>
              <w:ind w:left="21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Y＜100</w:t>
            </w:r>
          </w:p>
        </w:tc>
      </w:tr>
      <w:tr w14:paraId="0A0B8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7E103481">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p w14:paraId="75DC3CD3">
            <w:pPr>
              <w:pStyle w:val="34"/>
              <w:keepNext w:val="0"/>
              <w:keepLines w:val="0"/>
              <w:pageBreakBefore w:val="0"/>
              <w:widowControl w:val="0"/>
              <w:wordWrap/>
              <w:overflowPunct/>
              <w:topLinePunct w:val="0"/>
              <w:bidi w:val="0"/>
              <w:spacing w:before="71" w:line="240" w:lineRule="auto"/>
              <w:ind w:left="22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信息传输业</w:t>
            </w:r>
          </w:p>
        </w:tc>
        <w:tc>
          <w:tcPr>
            <w:tcW w:w="1658" w:type="dxa"/>
            <w:vAlign w:val="top"/>
          </w:tcPr>
          <w:p w14:paraId="4DB7DA91">
            <w:pPr>
              <w:pStyle w:val="34"/>
              <w:keepNext w:val="0"/>
              <w:keepLines w:val="0"/>
              <w:pageBreakBefore w:val="0"/>
              <w:widowControl w:val="0"/>
              <w:wordWrap/>
              <w:overflowPunct/>
              <w:topLinePunct w:val="0"/>
              <w:bidi w:val="0"/>
              <w:spacing w:before="47"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34BB5C7C">
            <w:pPr>
              <w:pStyle w:val="34"/>
              <w:keepNext w:val="0"/>
              <w:keepLines w:val="0"/>
              <w:pageBreakBefore w:val="0"/>
              <w:widowControl w:val="0"/>
              <w:wordWrap/>
              <w:overflowPunct/>
              <w:topLinePunct w:val="0"/>
              <w:bidi w:val="0"/>
              <w:spacing w:before="47"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0A4FC767">
            <w:pPr>
              <w:pStyle w:val="34"/>
              <w:keepNext w:val="0"/>
              <w:keepLines w:val="0"/>
              <w:pageBreakBefore w:val="0"/>
              <w:widowControl w:val="0"/>
              <w:wordWrap/>
              <w:overflowPunct/>
              <w:topLinePunct w:val="0"/>
              <w:bidi w:val="0"/>
              <w:spacing w:before="47" w:line="240" w:lineRule="auto"/>
              <w:ind w:left="28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100≤X＜2000</w:t>
            </w:r>
          </w:p>
        </w:tc>
        <w:tc>
          <w:tcPr>
            <w:tcW w:w="2094" w:type="dxa"/>
            <w:vAlign w:val="top"/>
          </w:tcPr>
          <w:p w14:paraId="6A9459B5">
            <w:pPr>
              <w:pStyle w:val="34"/>
              <w:keepNext w:val="0"/>
              <w:keepLines w:val="0"/>
              <w:pageBreakBefore w:val="0"/>
              <w:widowControl w:val="0"/>
              <w:wordWrap/>
              <w:overflowPunct/>
              <w:topLinePunct w:val="0"/>
              <w:bidi w:val="0"/>
              <w:spacing w:before="47" w:line="240" w:lineRule="auto"/>
              <w:ind w:left="50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10≤X＜100</w:t>
            </w:r>
          </w:p>
        </w:tc>
        <w:tc>
          <w:tcPr>
            <w:tcW w:w="1093" w:type="dxa"/>
            <w:vAlign w:val="top"/>
          </w:tcPr>
          <w:p w14:paraId="6FC9E0DF">
            <w:pPr>
              <w:pStyle w:val="34"/>
              <w:keepNext w:val="0"/>
              <w:keepLines w:val="0"/>
              <w:pageBreakBefore w:val="0"/>
              <w:widowControl w:val="0"/>
              <w:wordWrap/>
              <w:overflowPunct/>
              <w:topLinePunct w:val="0"/>
              <w:bidi w:val="0"/>
              <w:spacing w:before="47" w:line="240" w:lineRule="auto"/>
              <w:ind w:left="2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X＜10</w:t>
            </w:r>
          </w:p>
        </w:tc>
      </w:tr>
      <w:tr w14:paraId="75B27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75" w:type="dxa"/>
            <w:vMerge w:val="continue"/>
            <w:tcBorders>
              <w:top w:val="nil"/>
            </w:tcBorders>
            <w:vAlign w:val="top"/>
          </w:tcPr>
          <w:p w14:paraId="62D5A258">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286C0086">
            <w:pPr>
              <w:pStyle w:val="34"/>
              <w:keepNext w:val="0"/>
              <w:keepLines w:val="0"/>
              <w:pageBreakBefore w:val="0"/>
              <w:widowControl w:val="0"/>
              <w:wordWrap/>
              <w:overflowPunct/>
              <w:topLinePunct w:val="0"/>
              <w:bidi w:val="0"/>
              <w:spacing w:before="196"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2FFE0151">
            <w:pPr>
              <w:pStyle w:val="34"/>
              <w:keepNext w:val="0"/>
              <w:keepLines w:val="0"/>
              <w:pageBreakBefore w:val="0"/>
              <w:widowControl w:val="0"/>
              <w:wordWrap/>
              <w:overflowPunct/>
              <w:topLinePunct w:val="0"/>
              <w:bidi w:val="0"/>
              <w:spacing w:before="196"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4D49C6A1">
            <w:pPr>
              <w:pStyle w:val="34"/>
              <w:keepNext w:val="0"/>
              <w:keepLines w:val="0"/>
              <w:pageBreakBefore w:val="0"/>
              <w:widowControl w:val="0"/>
              <w:wordWrap/>
              <w:overflowPunct/>
              <w:topLinePunct w:val="0"/>
              <w:bidi w:val="0"/>
              <w:spacing w:before="195" w:line="240" w:lineRule="auto"/>
              <w:ind w:left="17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1000≤Y&lt;100000</w:t>
            </w:r>
          </w:p>
        </w:tc>
        <w:tc>
          <w:tcPr>
            <w:tcW w:w="2094" w:type="dxa"/>
            <w:vAlign w:val="top"/>
          </w:tcPr>
          <w:p w14:paraId="2101D13A">
            <w:pPr>
              <w:pStyle w:val="34"/>
              <w:keepNext w:val="0"/>
              <w:keepLines w:val="0"/>
              <w:pageBreakBefore w:val="0"/>
              <w:widowControl w:val="0"/>
              <w:wordWrap/>
              <w:overflowPunct/>
              <w:topLinePunct w:val="0"/>
              <w:bidi w:val="0"/>
              <w:spacing w:before="195" w:line="240" w:lineRule="auto"/>
              <w:ind w:left="39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100≤Y＜1000</w:t>
            </w:r>
          </w:p>
        </w:tc>
        <w:tc>
          <w:tcPr>
            <w:tcW w:w="1093" w:type="dxa"/>
            <w:vAlign w:val="top"/>
          </w:tcPr>
          <w:p w14:paraId="00DEB67B">
            <w:pPr>
              <w:pStyle w:val="34"/>
              <w:keepNext w:val="0"/>
              <w:keepLines w:val="0"/>
              <w:pageBreakBefore w:val="0"/>
              <w:widowControl w:val="0"/>
              <w:wordWrap/>
              <w:overflowPunct/>
              <w:topLinePunct w:val="0"/>
              <w:bidi w:val="0"/>
              <w:spacing w:before="196" w:line="240" w:lineRule="auto"/>
              <w:ind w:left="21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Y＜100</w:t>
            </w:r>
          </w:p>
        </w:tc>
      </w:tr>
      <w:tr w14:paraId="0813C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2298D17E">
            <w:pPr>
              <w:pStyle w:val="34"/>
              <w:keepNext w:val="0"/>
              <w:keepLines w:val="0"/>
              <w:pageBreakBefore w:val="0"/>
              <w:widowControl w:val="0"/>
              <w:wordWrap/>
              <w:overflowPunct/>
              <w:topLinePunct w:val="0"/>
              <w:bidi w:val="0"/>
              <w:spacing w:before="66" w:line="240" w:lineRule="auto"/>
              <w:ind w:left="11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软件和信息技</w:t>
            </w:r>
          </w:p>
          <w:p w14:paraId="1D45D69E">
            <w:pPr>
              <w:pStyle w:val="34"/>
              <w:keepNext w:val="0"/>
              <w:keepLines w:val="0"/>
              <w:pageBreakBefore w:val="0"/>
              <w:widowControl w:val="0"/>
              <w:wordWrap/>
              <w:overflowPunct/>
              <w:topLinePunct w:val="0"/>
              <w:bidi w:val="0"/>
              <w:spacing w:before="21" w:line="240" w:lineRule="auto"/>
              <w:ind w:left="34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术服务业</w:t>
            </w:r>
          </w:p>
        </w:tc>
        <w:tc>
          <w:tcPr>
            <w:tcW w:w="1658" w:type="dxa"/>
            <w:vAlign w:val="top"/>
          </w:tcPr>
          <w:p w14:paraId="3C6DD5E8">
            <w:pPr>
              <w:pStyle w:val="34"/>
              <w:keepNext w:val="0"/>
              <w:keepLines w:val="0"/>
              <w:pageBreakBefore w:val="0"/>
              <w:widowControl w:val="0"/>
              <w:wordWrap/>
              <w:overflowPunct/>
              <w:topLinePunct w:val="0"/>
              <w:bidi w:val="0"/>
              <w:spacing w:before="47"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7DD74D32">
            <w:pPr>
              <w:pStyle w:val="34"/>
              <w:keepNext w:val="0"/>
              <w:keepLines w:val="0"/>
              <w:pageBreakBefore w:val="0"/>
              <w:widowControl w:val="0"/>
              <w:wordWrap/>
              <w:overflowPunct/>
              <w:topLinePunct w:val="0"/>
              <w:bidi w:val="0"/>
              <w:spacing w:before="47"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4726C4E1">
            <w:pPr>
              <w:pStyle w:val="34"/>
              <w:keepNext w:val="0"/>
              <w:keepLines w:val="0"/>
              <w:pageBreakBefore w:val="0"/>
              <w:widowControl w:val="0"/>
              <w:wordWrap/>
              <w:overflowPunct/>
              <w:topLinePunct w:val="0"/>
              <w:bidi w:val="0"/>
              <w:spacing w:before="47" w:line="240" w:lineRule="auto"/>
              <w:ind w:left="34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100≤X＜300</w:t>
            </w:r>
          </w:p>
        </w:tc>
        <w:tc>
          <w:tcPr>
            <w:tcW w:w="2094" w:type="dxa"/>
            <w:vAlign w:val="top"/>
          </w:tcPr>
          <w:p w14:paraId="48A89274">
            <w:pPr>
              <w:pStyle w:val="34"/>
              <w:keepNext w:val="0"/>
              <w:keepLines w:val="0"/>
              <w:pageBreakBefore w:val="0"/>
              <w:widowControl w:val="0"/>
              <w:wordWrap/>
              <w:overflowPunct/>
              <w:topLinePunct w:val="0"/>
              <w:bidi w:val="0"/>
              <w:spacing w:before="47" w:line="240" w:lineRule="auto"/>
              <w:ind w:left="50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10≤X＜100</w:t>
            </w:r>
          </w:p>
        </w:tc>
        <w:tc>
          <w:tcPr>
            <w:tcW w:w="1093" w:type="dxa"/>
            <w:vAlign w:val="top"/>
          </w:tcPr>
          <w:p w14:paraId="3AB7CA5D">
            <w:pPr>
              <w:pStyle w:val="34"/>
              <w:keepNext w:val="0"/>
              <w:keepLines w:val="0"/>
              <w:pageBreakBefore w:val="0"/>
              <w:widowControl w:val="0"/>
              <w:wordWrap/>
              <w:overflowPunct/>
              <w:topLinePunct w:val="0"/>
              <w:bidi w:val="0"/>
              <w:spacing w:before="47" w:line="240" w:lineRule="auto"/>
              <w:ind w:left="2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X＜10</w:t>
            </w:r>
          </w:p>
        </w:tc>
      </w:tr>
      <w:tr w14:paraId="1267B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vAlign w:val="top"/>
          </w:tcPr>
          <w:p w14:paraId="423CF4FE">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359AE5E6">
            <w:pPr>
              <w:pStyle w:val="34"/>
              <w:keepNext w:val="0"/>
              <w:keepLines w:val="0"/>
              <w:pageBreakBefore w:val="0"/>
              <w:widowControl w:val="0"/>
              <w:wordWrap/>
              <w:overflowPunct/>
              <w:topLinePunct w:val="0"/>
              <w:bidi w:val="0"/>
              <w:spacing w:before="47"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164B70B8">
            <w:pPr>
              <w:pStyle w:val="34"/>
              <w:keepNext w:val="0"/>
              <w:keepLines w:val="0"/>
              <w:pageBreakBefore w:val="0"/>
              <w:widowControl w:val="0"/>
              <w:wordWrap/>
              <w:overflowPunct/>
              <w:topLinePunct w:val="0"/>
              <w:bidi w:val="0"/>
              <w:spacing w:before="47"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10908AB0">
            <w:pPr>
              <w:pStyle w:val="34"/>
              <w:keepNext w:val="0"/>
              <w:keepLines w:val="0"/>
              <w:pageBreakBefore w:val="0"/>
              <w:widowControl w:val="0"/>
              <w:wordWrap/>
              <w:overflowPunct/>
              <w:topLinePunct w:val="0"/>
              <w:bidi w:val="0"/>
              <w:spacing w:before="47" w:line="240" w:lineRule="auto"/>
              <w:ind w:left="17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1000≤Y＜10000</w:t>
            </w:r>
          </w:p>
        </w:tc>
        <w:tc>
          <w:tcPr>
            <w:tcW w:w="2094" w:type="dxa"/>
            <w:vAlign w:val="top"/>
          </w:tcPr>
          <w:p w14:paraId="3646093D">
            <w:pPr>
              <w:pStyle w:val="34"/>
              <w:keepNext w:val="0"/>
              <w:keepLines w:val="0"/>
              <w:pageBreakBefore w:val="0"/>
              <w:widowControl w:val="0"/>
              <w:wordWrap/>
              <w:overflowPunct/>
              <w:topLinePunct w:val="0"/>
              <w:bidi w:val="0"/>
              <w:spacing w:before="47" w:line="240" w:lineRule="auto"/>
              <w:ind w:left="438"/>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50≤Y＜1000</w:t>
            </w:r>
          </w:p>
        </w:tc>
        <w:tc>
          <w:tcPr>
            <w:tcW w:w="1093" w:type="dxa"/>
            <w:vAlign w:val="top"/>
          </w:tcPr>
          <w:p w14:paraId="79029296">
            <w:pPr>
              <w:pStyle w:val="34"/>
              <w:keepNext w:val="0"/>
              <w:keepLines w:val="0"/>
              <w:pageBreakBefore w:val="0"/>
              <w:widowControl w:val="0"/>
              <w:wordWrap/>
              <w:overflowPunct/>
              <w:topLinePunct w:val="0"/>
              <w:bidi w:val="0"/>
              <w:spacing w:before="47" w:line="240" w:lineRule="auto"/>
              <w:ind w:left="268"/>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Y＜50</w:t>
            </w:r>
          </w:p>
        </w:tc>
      </w:tr>
      <w:tr w14:paraId="1020F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restart"/>
            <w:tcBorders>
              <w:bottom w:val="nil"/>
            </w:tcBorders>
            <w:vAlign w:val="top"/>
          </w:tcPr>
          <w:p w14:paraId="7F40E4BA">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p w14:paraId="63618B12">
            <w:pPr>
              <w:pStyle w:val="34"/>
              <w:keepNext w:val="0"/>
              <w:keepLines w:val="0"/>
              <w:pageBreakBefore w:val="0"/>
              <w:widowControl w:val="0"/>
              <w:wordWrap/>
              <w:overflowPunct/>
              <w:topLinePunct w:val="0"/>
              <w:bidi w:val="0"/>
              <w:spacing w:before="72" w:line="240" w:lineRule="auto"/>
              <w:ind w:left="11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房地产开发经</w:t>
            </w:r>
          </w:p>
          <w:p w14:paraId="51A9C4D3">
            <w:pPr>
              <w:pStyle w:val="34"/>
              <w:keepNext w:val="0"/>
              <w:keepLines w:val="0"/>
              <w:pageBreakBefore w:val="0"/>
              <w:widowControl w:val="0"/>
              <w:wordWrap/>
              <w:overflowPunct/>
              <w:topLinePunct w:val="0"/>
              <w:bidi w:val="0"/>
              <w:spacing w:before="23" w:line="240" w:lineRule="auto"/>
              <w:ind w:left="68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w:t>
            </w:r>
          </w:p>
        </w:tc>
        <w:tc>
          <w:tcPr>
            <w:tcW w:w="1658" w:type="dxa"/>
            <w:vAlign w:val="top"/>
          </w:tcPr>
          <w:p w14:paraId="1E7098E8">
            <w:pPr>
              <w:pStyle w:val="34"/>
              <w:keepNext w:val="0"/>
              <w:keepLines w:val="0"/>
              <w:pageBreakBefore w:val="0"/>
              <w:widowControl w:val="0"/>
              <w:wordWrap/>
              <w:overflowPunct/>
              <w:topLinePunct w:val="0"/>
              <w:bidi w:val="0"/>
              <w:spacing w:before="202"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058008FF">
            <w:pPr>
              <w:pStyle w:val="34"/>
              <w:keepNext w:val="0"/>
              <w:keepLines w:val="0"/>
              <w:pageBreakBefore w:val="0"/>
              <w:widowControl w:val="0"/>
              <w:wordWrap/>
              <w:overflowPunct/>
              <w:topLinePunct w:val="0"/>
              <w:bidi w:val="0"/>
              <w:spacing w:before="202"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56C5CFBC">
            <w:pPr>
              <w:pStyle w:val="34"/>
              <w:keepNext w:val="0"/>
              <w:keepLines w:val="0"/>
              <w:pageBreakBefore w:val="0"/>
              <w:widowControl w:val="0"/>
              <w:wordWrap/>
              <w:overflowPunct/>
              <w:topLinePunct w:val="0"/>
              <w:bidi w:val="0"/>
              <w:spacing w:before="202" w:line="240" w:lineRule="auto"/>
              <w:ind w:left="17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1000≤Y&lt;200000</w:t>
            </w:r>
          </w:p>
        </w:tc>
        <w:tc>
          <w:tcPr>
            <w:tcW w:w="2094" w:type="dxa"/>
            <w:vAlign w:val="top"/>
          </w:tcPr>
          <w:p w14:paraId="49A77536">
            <w:pPr>
              <w:pStyle w:val="34"/>
              <w:keepNext w:val="0"/>
              <w:keepLines w:val="0"/>
              <w:pageBreakBefore w:val="0"/>
              <w:widowControl w:val="0"/>
              <w:wordWrap/>
              <w:overflowPunct/>
              <w:topLinePunct w:val="0"/>
              <w:bidi w:val="0"/>
              <w:spacing w:before="202" w:line="240" w:lineRule="auto"/>
              <w:ind w:left="39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100≤X＜1000</w:t>
            </w:r>
          </w:p>
        </w:tc>
        <w:tc>
          <w:tcPr>
            <w:tcW w:w="1093" w:type="dxa"/>
            <w:vAlign w:val="top"/>
          </w:tcPr>
          <w:p w14:paraId="0DD618A1">
            <w:pPr>
              <w:pStyle w:val="34"/>
              <w:keepNext w:val="0"/>
              <w:keepLines w:val="0"/>
              <w:pageBreakBefore w:val="0"/>
              <w:widowControl w:val="0"/>
              <w:wordWrap/>
              <w:overflowPunct/>
              <w:topLinePunct w:val="0"/>
              <w:bidi w:val="0"/>
              <w:spacing w:before="203" w:line="240" w:lineRule="auto"/>
              <w:ind w:left="21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X＜100</w:t>
            </w:r>
          </w:p>
        </w:tc>
      </w:tr>
      <w:tr w14:paraId="05381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continue"/>
            <w:tcBorders>
              <w:top w:val="nil"/>
            </w:tcBorders>
            <w:vAlign w:val="top"/>
          </w:tcPr>
          <w:p w14:paraId="36992CDC">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31B76D57">
            <w:pPr>
              <w:pStyle w:val="34"/>
              <w:keepNext w:val="0"/>
              <w:keepLines w:val="0"/>
              <w:pageBreakBefore w:val="0"/>
              <w:widowControl w:val="0"/>
              <w:wordWrap/>
              <w:overflowPunct/>
              <w:topLinePunct w:val="0"/>
              <w:bidi w:val="0"/>
              <w:spacing w:before="204" w:line="240" w:lineRule="auto"/>
              <w:ind w:left="108"/>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资产总额（Z）</w:t>
            </w:r>
          </w:p>
        </w:tc>
        <w:tc>
          <w:tcPr>
            <w:tcW w:w="1072" w:type="dxa"/>
            <w:vAlign w:val="top"/>
          </w:tcPr>
          <w:p w14:paraId="629B1FC0">
            <w:pPr>
              <w:pStyle w:val="34"/>
              <w:keepNext w:val="0"/>
              <w:keepLines w:val="0"/>
              <w:pageBreakBefore w:val="0"/>
              <w:widowControl w:val="0"/>
              <w:wordWrap/>
              <w:overflowPunct/>
              <w:topLinePunct w:val="0"/>
              <w:bidi w:val="0"/>
              <w:spacing w:before="204"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3D8E0D83">
            <w:pPr>
              <w:pStyle w:val="34"/>
              <w:keepNext w:val="0"/>
              <w:keepLines w:val="0"/>
              <w:pageBreakBefore w:val="0"/>
              <w:widowControl w:val="0"/>
              <w:wordWrap/>
              <w:overflowPunct/>
              <w:topLinePunct w:val="0"/>
              <w:bidi w:val="0"/>
              <w:spacing w:before="204" w:line="240" w:lineRule="auto"/>
              <w:ind w:left="16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5000≤Z＜10000</w:t>
            </w:r>
          </w:p>
        </w:tc>
        <w:tc>
          <w:tcPr>
            <w:tcW w:w="2094" w:type="dxa"/>
            <w:vAlign w:val="top"/>
          </w:tcPr>
          <w:p w14:paraId="7DE51AB4">
            <w:pPr>
              <w:pStyle w:val="34"/>
              <w:keepNext w:val="0"/>
              <w:keepLines w:val="0"/>
              <w:pageBreakBefore w:val="0"/>
              <w:widowControl w:val="0"/>
              <w:wordWrap/>
              <w:overflowPunct/>
              <w:topLinePunct w:val="0"/>
              <w:bidi w:val="0"/>
              <w:spacing w:before="204" w:line="240" w:lineRule="auto"/>
              <w:ind w:left="323"/>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2000≤Y&lt; 5000</w:t>
            </w:r>
          </w:p>
        </w:tc>
        <w:tc>
          <w:tcPr>
            <w:tcW w:w="1093" w:type="dxa"/>
            <w:vAlign w:val="top"/>
          </w:tcPr>
          <w:p w14:paraId="28CC6515">
            <w:pPr>
              <w:pStyle w:val="34"/>
              <w:keepNext w:val="0"/>
              <w:keepLines w:val="0"/>
              <w:pageBreakBefore w:val="0"/>
              <w:widowControl w:val="0"/>
              <w:wordWrap/>
              <w:overflowPunct/>
              <w:topLinePunct w:val="0"/>
              <w:bidi w:val="0"/>
              <w:spacing w:before="204" w:line="240" w:lineRule="auto"/>
              <w:ind w:left="15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Y＜2000</w:t>
            </w:r>
          </w:p>
        </w:tc>
      </w:tr>
      <w:tr w14:paraId="493AB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28BDA664">
            <w:pPr>
              <w:pStyle w:val="34"/>
              <w:keepNext w:val="0"/>
              <w:keepLines w:val="0"/>
              <w:pageBreakBefore w:val="0"/>
              <w:widowControl w:val="0"/>
              <w:wordWrap/>
              <w:overflowPunct/>
              <w:topLinePunct w:val="0"/>
              <w:bidi w:val="0"/>
              <w:spacing w:before="210" w:line="240" w:lineRule="auto"/>
              <w:ind w:left="34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物业管理</w:t>
            </w:r>
          </w:p>
        </w:tc>
        <w:tc>
          <w:tcPr>
            <w:tcW w:w="1658" w:type="dxa"/>
            <w:vAlign w:val="top"/>
          </w:tcPr>
          <w:p w14:paraId="418DC867">
            <w:pPr>
              <w:pStyle w:val="34"/>
              <w:keepNext w:val="0"/>
              <w:keepLines w:val="0"/>
              <w:pageBreakBefore w:val="0"/>
              <w:widowControl w:val="0"/>
              <w:wordWrap/>
              <w:overflowPunct/>
              <w:topLinePunct w:val="0"/>
              <w:bidi w:val="0"/>
              <w:spacing w:before="49"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7DC08DF6">
            <w:pPr>
              <w:pStyle w:val="34"/>
              <w:keepNext w:val="0"/>
              <w:keepLines w:val="0"/>
              <w:pageBreakBefore w:val="0"/>
              <w:widowControl w:val="0"/>
              <w:wordWrap/>
              <w:overflowPunct/>
              <w:topLinePunct w:val="0"/>
              <w:bidi w:val="0"/>
              <w:spacing w:before="49"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47CFF282">
            <w:pPr>
              <w:pStyle w:val="34"/>
              <w:keepNext w:val="0"/>
              <w:keepLines w:val="0"/>
              <w:pageBreakBefore w:val="0"/>
              <w:widowControl w:val="0"/>
              <w:wordWrap/>
              <w:overflowPunct/>
              <w:topLinePunct w:val="0"/>
              <w:bidi w:val="0"/>
              <w:spacing w:before="49" w:line="240" w:lineRule="auto"/>
              <w:ind w:left="27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300≤X＜1000</w:t>
            </w:r>
          </w:p>
        </w:tc>
        <w:tc>
          <w:tcPr>
            <w:tcW w:w="2094" w:type="dxa"/>
            <w:vAlign w:val="top"/>
          </w:tcPr>
          <w:p w14:paraId="7FD81BCF">
            <w:pPr>
              <w:pStyle w:val="34"/>
              <w:keepNext w:val="0"/>
              <w:keepLines w:val="0"/>
              <w:pageBreakBefore w:val="0"/>
              <w:widowControl w:val="0"/>
              <w:wordWrap/>
              <w:overflowPunct/>
              <w:topLinePunct w:val="0"/>
              <w:bidi w:val="0"/>
              <w:spacing w:before="49" w:line="240" w:lineRule="auto"/>
              <w:ind w:left="45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100≤X＜300</w:t>
            </w:r>
          </w:p>
        </w:tc>
        <w:tc>
          <w:tcPr>
            <w:tcW w:w="1093" w:type="dxa"/>
            <w:vAlign w:val="top"/>
          </w:tcPr>
          <w:p w14:paraId="612CD572">
            <w:pPr>
              <w:pStyle w:val="34"/>
              <w:keepNext w:val="0"/>
              <w:keepLines w:val="0"/>
              <w:pageBreakBefore w:val="0"/>
              <w:widowControl w:val="0"/>
              <w:wordWrap/>
              <w:overflowPunct/>
              <w:topLinePunct w:val="0"/>
              <w:bidi w:val="0"/>
              <w:spacing w:before="49" w:line="240" w:lineRule="auto"/>
              <w:ind w:left="21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X＜100</w:t>
            </w:r>
          </w:p>
        </w:tc>
      </w:tr>
      <w:tr w14:paraId="441B8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continue"/>
            <w:tcBorders>
              <w:top w:val="nil"/>
            </w:tcBorders>
            <w:vAlign w:val="top"/>
          </w:tcPr>
          <w:p w14:paraId="3810C2B4">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742BB613">
            <w:pPr>
              <w:pStyle w:val="34"/>
              <w:keepNext w:val="0"/>
              <w:keepLines w:val="0"/>
              <w:pageBreakBefore w:val="0"/>
              <w:widowControl w:val="0"/>
              <w:wordWrap/>
              <w:overflowPunct/>
              <w:topLinePunct w:val="0"/>
              <w:bidi w:val="0"/>
              <w:spacing w:before="49" w:line="240" w:lineRule="auto"/>
              <w:ind w:left="10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营业收入（Y）</w:t>
            </w:r>
          </w:p>
        </w:tc>
        <w:tc>
          <w:tcPr>
            <w:tcW w:w="1072" w:type="dxa"/>
            <w:vAlign w:val="top"/>
          </w:tcPr>
          <w:p w14:paraId="5F5A4853">
            <w:pPr>
              <w:pStyle w:val="34"/>
              <w:keepNext w:val="0"/>
              <w:keepLines w:val="0"/>
              <w:pageBreakBefore w:val="0"/>
              <w:widowControl w:val="0"/>
              <w:wordWrap/>
              <w:overflowPunct/>
              <w:topLinePunct w:val="0"/>
              <w:bidi w:val="0"/>
              <w:spacing w:before="49"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4135CD5C">
            <w:pPr>
              <w:pStyle w:val="34"/>
              <w:keepNext w:val="0"/>
              <w:keepLines w:val="0"/>
              <w:pageBreakBefore w:val="0"/>
              <w:widowControl w:val="0"/>
              <w:wordWrap/>
              <w:overflowPunct/>
              <w:topLinePunct w:val="0"/>
              <w:bidi w:val="0"/>
              <w:spacing w:before="49" w:line="240" w:lineRule="auto"/>
              <w:ind w:left="23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1000≤Y＜5000</w:t>
            </w:r>
          </w:p>
        </w:tc>
        <w:tc>
          <w:tcPr>
            <w:tcW w:w="2094" w:type="dxa"/>
            <w:vAlign w:val="top"/>
          </w:tcPr>
          <w:p w14:paraId="2F295A9C">
            <w:pPr>
              <w:pStyle w:val="34"/>
              <w:keepNext w:val="0"/>
              <w:keepLines w:val="0"/>
              <w:pageBreakBefore w:val="0"/>
              <w:widowControl w:val="0"/>
              <w:wordWrap/>
              <w:overflowPunct/>
              <w:topLinePunct w:val="0"/>
              <w:bidi w:val="0"/>
              <w:spacing w:before="49" w:line="240" w:lineRule="auto"/>
              <w:ind w:left="38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500≤Y＜1000</w:t>
            </w:r>
          </w:p>
        </w:tc>
        <w:tc>
          <w:tcPr>
            <w:tcW w:w="1093" w:type="dxa"/>
            <w:vAlign w:val="top"/>
          </w:tcPr>
          <w:p w14:paraId="01F40C0D">
            <w:pPr>
              <w:pStyle w:val="34"/>
              <w:keepNext w:val="0"/>
              <w:keepLines w:val="0"/>
              <w:pageBreakBefore w:val="0"/>
              <w:widowControl w:val="0"/>
              <w:wordWrap/>
              <w:overflowPunct/>
              <w:topLinePunct w:val="0"/>
              <w:bidi w:val="0"/>
              <w:spacing w:before="49" w:line="240" w:lineRule="auto"/>
              <w:ind w:left="21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Y＜500</w:t>
            </w:r>
          </w:p>
        </w:tc>
      </w:tr>
      <w:tr w14:paraId="2CAF0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5" w:type="dxa"/>
            <w:vMerge w:val="restart"/>
            <w:tcBorders>
              <w:bottom w:val="nil"/>
            </w:tcBorders>
            <w:vAlign w:val="top"/>
          </w:tcPr>
          <w:p w14:paraId="1B75306E">
            <w:pPr>
              <w:pStyle w:val="34"/>
              <w:keepNext w:val="0"/>
              <w:keepLines w:val="0"/>
              <w:pageBreakBefore w:val="0"/>
              <w:widowControl w:val="0"/>
              <w:wordWrap/>
              <w:overflowPunct/>
              <w:topLinePunct w:val="0"/>
              <w:bidi w:val="0"/>
              <w:spacing w:before="222" w:line="240" w:lineRule="auto"/>
              <w:ind w:left="11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租赁和商务服</w:t>
            </w:r>
          </w:p>
          <w:p w14:paraId="27371928">
            <w:pPr>
              <w:pStyle w:val="34"/>
              <w:keepNext w:val="0"/>
              <w:keepLines w:val="0"/>
              <w:pageBreakBefore w:val="0"/>
              <w:widowControl w:val="0"/>
              <w:wordWrap/>
              <w:overflowPunct/>
              <w:topLinePunct w:val="0"/>
              <w:bidi w:val="0"/>
              <w:spacing w:before="23" w:line="240" w:lineRule="auto"/>
              <w:ind w:left="5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务业</w:t>
            </w:r>
          </w:p>
        </w:tc>
        <w:tc>
          <w:tcPr>
            <w:tcW w:w="1658" w:type="dxa"/>
            <w:vAlign w:val="top"/>
          </w:tcPr>
          <w:p w14:paraId="2E14DCBB">
            <w:pPr>
              <w:pStyle w:val="34"/>
              <w:keepNext w:val="0"/>
              <w:keepLines w:val="0"/>
              <w:pageBreakBefore w:val="0"/>
              <w:widowControl w:val="0"/>
              <w:wordWrap/>
              <w:overflowPunct/>
              <w:topLinePunct w:val="0"/>
              <w:bidi w:val="0"/>
              <w:spacing w:before="49"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1474D227">
            <w:pPr>
              <w:pStyle w:val="34"/>
              <w:keepNext w:val="0"/>
              <w:keepLines w:val="0"/>
              <w:pageBreakBefore w:val="0"/>
              <w:widowControl w:val="0"/>
              <w:wordWrap/>
              <w:overflowPunct/>
              <w:topLinePunct w:val="0"/>
              <w:bidi w:val="0"/>
              <w:spacing w:before="49"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1E7CEC03">
            <w:pPr>
              <w:pStyle w:val="34"/>
              <w:keepNext w:val="0"/>
              <w:keepLines w:val="0"/>
              <w:pageBreakBefore w:val="0"/>
              <w:widowControl w:val="0"/>
              <w:wordWrap/>
              <w:overflowPunct/>
              <w:topLinePunct w:val="0"/>
              <w:bidi w:val="0"/>
              <w:spacing w:before="49" w:line="240" w:lineRule="auto"/>
              <w:ind w:left="34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100≤X＜300</w:t>
            </w:r>
          </w:p>
        </w:tc>
        <w:tc>
          <w:tcPr>
            <w:tcW w:w="2094" w:type="dxa"/>
            <w:vAlign w:val="top"/>
          </w:tcPr>
          <w:p w14:paraId="6B2E153B">
            <w:pPr>
              <w:pStyle w:val="34"/>
              <w:keepNext w:val="0"/>
              <w:keepLines w:val="0"/>
              <w:pageBreakBefore w:val="0"/>
              <w:widowControl w:val="0"/>
              <w:wordWrap/>
              <w:overflowPunct/>
              <w:topLinePunct w:val="0"/>
              <w:bidi w:val="0"/>
              <w:spacing w:before="49" w:line="240" w:lineRule="auto"/>
              <w:ind w:left="50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10≤X＜100</w:t>
            </w:r>
          </w:p>
        </w:tc>
        <w:tc>
          <w:tcPr>
            <w:tcW w:w="1093" w:type="dxa"/>
            <w:vAlign w:val="top"/>
          </w:tcPr>
          <w:p w14:paraId="0E493743">
            <w:pPr>
              <w:pStyle w:val="34"/>
              <w:keepNext w:val="0"/>
              <w:keepLines w:val="0"/>
              <w:pageBreakBefore w:val="0"/>
              <w:widowControl w:val="0"/>
              <w:wordWrap/>
              <w:overflowPunct/>
              <w:topLinePunct w:val="0"/>
              <w:bidi w:val="0"/>
              <w:spacing w:before="49" w:line="240" w:lineRule="auto"/>
              <w:ind w:left="2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X＜10</w:t>
            </w:r>
          </w:p>
        </w:tc>
      </w:tr>
      <w:tr w14:paraId="44FA7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5" w:type="dxa"/>
            <w:vMerge w:val="continue"/>
            <w:tcBorders>
              <w:top w:val="nil"/>
            </w:tcBorders>
            <w:vAlign w:val="top"/>
          </w:tcPr>
          <w:p w14:paraId="37E8ED3D">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c>
          <w:tcPr>
            <w:tcW w:w="1658" w:type="dxa"/>
            <w:vAlign w:val="top"/>
          </w:tcPr>
          <w:p w14:paraId="35F1AF3F">
            <w:pPr>
              <w:pStyle w:val="34"/>
              <w:keepNext w:val="0"/>
              <w:keepLines w:val="0"/>
              <w:pageBreakBefore w:val="0"/>
              <w:widowControl w:val="0"/>
              <w:wordWrap/>
              <w:overflowPunct/>
              <w:topLinePunct w:val="0"/>
              <w:bidi w:val="0"/>
              <w:spacing w:before="204" w:line="240" w:lineRule="auto"/>
              <w:ind w:left="108"/>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资产总额（Z）</w:t>
            </w:r>
          </w:p>
        </w:tc>
        <w:tc>
          <w:tcPr>
            <w:tcW w:w="1072" w:type="dxa"/>
            <w:vAlign w:val="top"/>
          </w:tcPr>
          <w:p w14:paraId="33185BB2">
            <w:pPr>
              <w:pStyle w:val="34"/>
              <w:keepNext w:val="0"/>
              <w:keepLines w:val="0"/>
              <w:pageBreakBefore w:val="0"/>
              <w:widowControl w:val="0"/>
              <w:wordWrap/>
              <w:overflowPunct/>
              <w:topLinePunct w:val="0"/>
              <w:bidi w:val="0"/>
              <w:spacing w:before="204" w:line="240" w:lineRule="auto"/>
              <w:ind w:left="32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万元</w:t>
            </w:r>
          </w:p>
        </w:tc>
        <w:tc>
          <w:tcPr>
            <w:tcW w:w="1889" w:type="dxa"/>
            <w:vAlign w:val="top"/>
          </w:tcPr>
          <w:p w14:paraId="09F09A0F">
            <w:pPr>
              <w:pStyle w:val="34"/>
              <w:keepNext w:val="0"/>
              <w:keepLines w:val="0"/>
              <w:pageBreakBefore w:val="0"/>
              <w:widowControl w:val="0"/>
              <w:wordWrap/>
              <w:overflowPunct/>
              <w:topLinePunct w:val="0"/>
              <w:bidi w:val="0"/>
              <w:spacing w:before="204" w:line="240" w:lineRule="auto"/>
              <w:ind w:left="161"/>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8000≤Z&lt;120000</w:t>
            </w:r>
          </w:p>
        </w:tc>
        <w:tc>
          <w:tcPr>
            <w:tcW w:w="2094" w:type="dxa"/>
            <w:vAlign w:val="top"/>
          </w:tcPr>
          <w:p w14:paraId="02E3A700">
            <w:pPr>
              <w:pStyle w:val="34"/>
              <w:keepNext w:val="0"/>
              <w:keepLines w:val="0"/>
              <w:pageBreakBefore w:val="0"/>
              <w:widowControl w:val="0"/>
              <w:wordWrap/>
              <w:overflowPunct/>
              <w:topLinePunct w:val="0"/>
              <w:bidi w:val="0"/>
              <w:spacing w:before="204" w:line="240" w:lineRule="auto"/>
              <w:ind w:left="39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100≤Z＜8000</w:t>
            </w:r>
          </w:p>
        </w:tc>
        <w:tc>
          <w:tcPr>
            <w:tcW w:w="1093" w:type="dxa"/>
            <w:vAlign w:val="top"/>
          </w:tcPr>
          <w:p w14:paraId="6F970741">
            <w:pPr>
              <w:pStyle w:val="34"/>
              <w:keepNext w:val="0"/>
              <w:keepLines w:val="0"/>
              <w:pageBreakBefore w:val="0"/>
              <w:widowControl w:val="0"/>
              <w:wordWrap/>
              <w:overflowPunct/>
              <w:topLinePunct w:val="0"/>
              <w:bidi w:val="0"/>
              <w:spacing w:before="205" w:line="240" w:lineRule="auto"/>
              <w:ind w:left="21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Y＜100</w:t>
            </w:r>
          </w:p>
        </w:tc>
      </w:tr>
      <w:tr w14:paraId="0D8E4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75" w:type="dxa"/>
            <w:vAlign w:val="top"/>
          </w:tcPr>
          <w:p w14:paraId="3C95FF42">
            <w:pPr>
              <w:pStyle w:val="34"/>
              <w:keepNext w:val="0"/>
              <w:keepLines w:val="0"/>
              <w:pageBreakBefore w:val="0"/>
              <w:widowControl w:val="0"/>
              <w:wordWrap/>
              <w:overflowPunct/>
              <w:topLinePunct w:val="0"/>
              <w:bidi w:val="0"/>
              <w:spacing w:before="67" w:line="240" w:lineRule="auto"/>
              <w:ind w:left="11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其他未列明行</w:t>
            </w:r>
          </w:p>
          <w:p w14:paraId="0AA80306">
            <w:pPr>
              <w:pStyle w:val="34"/>
              <w:keepNext w:val="0"/>
              <w:keepLines w:val="0"/>
              <w:pageBreakBefore w:val="0"/>
              <w:widowControl w:val="0"/>
              <w:wordWrap/>
              <w:overflowPunct/>
              <w:topLinePunct w:val="0"/>
              <w:bidi w:val="0"/>
              <w:spacing w:before="21" w:line="240" w:lineRule="auto"/>
              <w:ind w:left="67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业</w:t>
            </w:r>
          </w:p>
        </w:tc>
        <w:tc>
          <w:tcPr>
            <w:tcW w:w="1658" w:type="dxa"/>
            <w:vAlign w:val="top"/>
          </w:tcPr>
          <w:p w14:paraId="3F5CE108">
            <w:pPr>
              <w:pStyle w:val="34"/>
              <w:keepNext w:val="0"/>
              <w:keepLines w:val="0"/>
              <w:pageBreakBefore w:val="0"/>
              <w:widowControl w:val="0"/>
              <w:wordWrap/>
              <w:overflowPunct/>
              <w:topLinePunct w:val="0"/>
              <w:bidi w:val="0"/>
              <w:spacing w:before="208" w:line="240" w:lineRule="auto"/>
              <w:ind w:left="10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从业人员（X）</w:t>
            </w:r>
          </w:p>
        </w:tc>
        <w:tc>
          <w:tcPr>
            <w:tcW w:w="1072" w:type="dxa"/>
            <w:vAlign w:val="top"/>
          </w:tcPr>
          <w:p w14:paraId="5FE9A583">
            <w:pPr>
              <w:pStyle w:val="34"/>
              <w:keepNext w:val="0"/>
              <w:keepLines w:val="0"/>
              <w:pageBreakBefore w:val="0"/>
              <w:widowControl w:val="0"/>
              <w:wordWrap/>
              <w:overflowPunct/>
              <w:topLinePunct w:val="0"/>
              <w:bidi w:val="0"/>
              <w:spacing w:before="208" w:line="240" w:lineRule="auto"/>
              <w:ind w:left="43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人</w:t>
            </w:r>
          </w:p>
        </w:tc>
        <w:tc>
          <w:tcPr>
            <w:tcW w:w="1889" w:type="dxa"/>
            <w:vAlign w:val="top"/>
          </w:tcPr>
          <w:p w14:paraId="566BF108">
            <w:pPr>
              <w:pStyle w:val="34"/>
              <w:keepNext w:val="0"/>
              <w:keepLines w:val="0"/>
              <w:pageBreakBefore w:val="0"/>
              <w:widowControl w:val="0"/>
              <w:wordWrap/>
              <w:overflowPunct/>
              <w:topLinePunct w:val="0"/>
              <w:bidi w:val="0"/>
              <w:spacing w:before="208" w:line="240" w:lineRule="auto"/>
              <w:ind w:left="347"/>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100≤X＜300</w:t>
            </w:r>
          </w:p>
        </w:tc>
        <w:tc>
          <w:tcPr>
            <w:tcW w:w="2094" w:type="dxa"/>
            <w:vAlign w:val="top"/>
          </w:tcPr>
          <w:p w14:paraId="4EF1CAFE">
            <w:pPr>
              <w:pStyle w:val="34"/>
              <w:keepNext w:val="0"/>
              <w:keepLines w:val="0"/>
              <w:pageBreakBefore w:val="0"/>
              <w:widowControl w:val="0"/>
              <w:wordWrap/>
              <w:overflowPunct/>
              <w:topLinePunct w:val="0"/>
              <w:bidi w:val="0"/>
              <w:spacing w:before="208" w:line="240" w:lineRule="auto"/>
              <w:ind w:left="505"/>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10≤X＜100</w:t>
            </w:r>
          </w:p>
        </w:tc>
        <w:tc>
          <w:tcPr>
            <w:tcW w:w="1093" w:type="dxa"/>
            <w:vAlign w:val="top"/>
          </w:tcPr>
          <w:p w14:paraId="143F7DC9">
            <w:pPr>
              <w:pStyle w:val="34"/>
              <w:keepNext w:val="0"/>
              <w:keepLines w:val="0"/>
              <w:pageBreakBefore w:val="0"/>
              <w:widowControl w:val="0"/>
              <w:wordWrap/>
              <w:overflowPunct/>
              <w:topLinePunct w:val="0"/>
              <w:bidi w:val="0"/>
              <w:spacing w:before="209" w:line="240" w:lineRule="auto"/>
              <w:ind w:left="269"/>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X＜10</w:t>
            </w:r>
          </w:p>
        </w:tc>
      </w:tr>
    </w:tbl>
    <w:p w14:paraId="6A18F0CF">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sectPr>
          <w:footerReference r:id="rId25" w:type="default"/>
          <w:pgSz w:w="11906" w:h="16839"/>
          <w:pgMar w:top="1440" w:right="1800" w:bottom="1440" w:left="1800" w:header="0" w:footer="588" w:gutter="0"/>
          <w:cols w:space="720" w:num="1"/>
        </w:sectPr>
      </w:pPr>
    </w:p>
    <w:p w14:paraId="79FB8C53">
      <w:pPr>
        <w:keepNext w:val="0"/>
        <w:keepLines w:val="0"/>
        <w:pageBreakBefore w:val="0"/>
        <w:widowControl w:val="0"/>
        <w:kinsoku w:val="0"/>
        <w:wordWrap/>
        <w:overflowPunct/>
        <w:topLinePunct w:val="0"/>
        <w:autoSpaceDE w:val="0"/>
        <w:autoSpaceDN w:val="0"/>
        <w:bidi w:val="0"/>
        <w:adjustRightInd w:val="0"/>
        <w:snapToGrid w:val="0"/>
        <w:spacing w:before="72" w:line="240" w:lineRule="auto"/>
        <w:ind w:left="454"/>
        <w:textAlignment w:val="baseline"/>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说明：上述标准参照《关于印发中小企业划型标准规定的通知》（工信部联企业[2011]300号），大型、中型和小型企业须同时满足所列指标的下限，否则下划一档；</w:t>
      </w:r>
    </w:p>
    <w:p w14:paraId="704683D0">
      <w:pPr>
        <w:keepNext w:val="0"/>
        <w:keepLines w:val="0"/>
        <w:pageBreakBefore w:val="0"/>
        <w:widowControl w:val="0"/>
        <w:kinsoku w:val="0"/>
        <w:wordWrap/>
        <w:overflowPunct/>
        <w:topLinePunct w:val="0"/>
        <w:autoSpaceDE w:val="0"/>
        <w:autoSpaceDN w:val="0"/>
        <w:bidi w:val="0"/>
        <w:adjustRightInd w:val="0"/>
        <w:snapToGrid w:val="0"/>
        <w:spacing w:before="165" w:line="240" w:lineRule="auto"/>
        <w:ind w:left="452"/>
        <w:textAlignment w:val="baseline"/>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微型企业只须满足所列指标中的一项即可。</w:t>
      </w:r>
    </w:p>
    <w:p w14:paraId="02BC08A9">
      <w:pPr>
        <w:keepNext w:val="0"/>
        <w:keepLines w:val="0"/>
        <w:pageBreakBefore w:val="0"/>
        <w:widowControl w:val="0"/>
        <w:wordWrap/>
        <w:overflowPunct/>
        <w:topLinePunct w:val="0"/>
        <w:bidi w:val="0"/>
        <w:spacing w:before="166" w:line="240" w:lineRule="auto"/>
        <w:ind w:firstLine="452"/>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4548032">
      <w:pPr>
        <w:keepNext w:val="0"/>
        <w:keepLines w:val="0"/>
        <w:pageBreakBefore w:val="0"/>
        <w:widowControl w:val="0"/>
        <w:wordWrap/>
        <w:overflowPunct/>
        <w:topLinePunct w:val="0"/>
        <w:bidi w:val="0"/>
        <w:spacing w:line="240" w:lineRule="auto"/>
        <w:ind w:left="4" w:right="65" w:firstLine="454"/>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（1）在货物采购项目中，货物由中小企业制造，即货物由中小企业生产且使用该中小企业商号或者注册商标，不对其中涉及的工程承建商和服务的承接商作出要求；</w:t>
      </w:r>
    </w:p>
    <w:p w14:paraId="63FE66B4">
      <w:pPr>
        <w:keepNext w:val="0"/>
        <w:keepLines w:val="0"/>
        <w:pageBreakBefore w:val="0"/>
        <w:widowControl w:val="0"/>
        <w:wordWrap/>
        <w:overflowPunct/>
        <w:topLinePunct w:val="0"/>
        <w:bidi w:val="0"/>
        <w:spacing w:before="164" w:line="240" w:lineRule="auto"/>
        <w:ind w:left="21" w:right="65" w:firstLine="436"/>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（2）在工程采购项目中，工程由中小企业承建，即工程施工单位为中小企业，不对其中涉及的货物的制造商和服务的承接商作出要求；</w:t>
      </w:r>
    </w:p>
    <w:p w14:paraId="46DD4FA7">
      <w:pPr>
        <w:keepNext w:val="0"/>
        <w:keepLines w:val="0"/>
        <w:pageBreakBefore w:val="0"/>
        <w:widowControl w:val="0"/>
        <w:wordWrap/>
        <w:overflowPunct/>
        <w:topLinePunct w:val="0"/>
        <w:bidi w:val="0"/>
        <w:spacing w:before="170" w:line="240" w:lineRule="auto"/>
        <w:ind w:right="65" w:firstLine="458"/>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在服务采购项目中，服务由中小企业承接，即提供服务的人员为中小企业依照《中华人民共和国劳动合同法》订立劳动合同的从业人员，不对其中涉及的货物的制造商和工程承建商作出要求。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依据本招标文件规定享受扶持政策获得政府采购合同的，小微企业不得将合同分包给大中型企业，中型企业不得将合同分包给大型企业。</w:t>
      </w:r>
    </w:p>
    <w:p w14:paraId="3A6676BB">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2"/>
          <w:szCs w:val="22"/>
          <w:highlight w:val="none"/>
        </w:rPr>
        <w:sectPr>
          <w:footerReference r:id="rId26" w:type="default"/>
          <w:pgSz w:w="11906" w:h="16839"/>
          <w:pgMar w:top="1440" w:right="1800" w:bottom="1440" w:left="1800" w:header="0" w:footer="588" w:gutter="0"/>
          <w:cols w:space="720" w:num="1"/>
        </w:sectPr>
      </w:pPr>
    </w:p>
    <w:p w14:paraId="0D460F9F">
      <w:pPr>
        <w:keepNext w:val="0"/>
        <w:keepLines w:val="0"/>
        <w:pageBreakBefore w:val="0"/>
        <w:widowControl w:val="0"/>
        <w:wordWrap/>
        <w:overflowPunct/>
        <w:topLinePunct w:val="0"/>
        <w:bidi w:val="0"/>
        <w:spacing w:before="97" w:line="240" w:lineRule="auto"/>
        <w:ind w:left="562"/>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lang w:val="en-US" w:eastAsia="zh-CN"/>
        </w:rPr>
        <w:t>九</w:t>
      </w:r>
      <w:r>
        <w:rPr>
          <w:rFonts w:hint="eastAsia" w:ascii="仿宋" w:hAnsi="仿宋" w:eastAsia="仿宋" w:cs="仿宋"/>
          <w:b/>
          <w:bCs/>
          <w:color w:val="auto"/>
          <w:spacing w:val="0"/>
          <w:sz w:val="30"/>
          <w:szCs w:val="30"/>
          <w:highlight w:val="none"/>
        </w:rPr>
        <w:t>、供应商自觉抵制政府采购领域商业贿赂行为承诺书</w:t>
      </w:r>
    </w:p>
    <w:p w14:paraId="3E1D5D24">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3C321179">
      <w:pPr>
        <w:keepNext w:val="0"/>
        <w:keepLines w:val="0"/>
        <w:pageBreakBefore w:val="0"/>
        <w:widowControl w:val="0"/>
        <w:wordWrap/>
        <w:overflowPunct/>
        <w:topLinePunct w:val="0"/>
        <w:bidi w:val="0"/>
        <w:spacing w:before="78" w:line="240" w:lineRule="auto"/>
        <w:ind w:left="9" w:right="58" w:firstLine="480"/>
        <w:jc w:val="both"/>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和政府采购市场环境，维护政府采购制度良好声誉，在参与政府采购活动中，我们庄重承诺：</w:t>
      </w:r>
    </w:p>
    <w:p w14:paraId="559B754F">
      <w:pPr>
        <w:keepNext w:val="0"/>
        <w:keepLines w:val="0"/>
        <w:pageBreakBefore w:val="0"/>
        <w:widowControl w:val="0"/>
        <w:wordWrap/>
        <w:overflowPunct/>
        <w:topLinePunct w:val="0"/>
        <w:bidi w:val="0"/>
        <w:spacing w:line="240" w:lineRule="auto"/>
        <w:ind w:left="49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一、依法参与政府采购活动，遵纪守法，诚信经营，公平竞争。</w:t>
      </w:r>
    </w:p>
    <w:p w14:paraId="7609DE2F">
      <w:pPr>
        <w:keepNext w:val="0"/>
        <w:keepLines w:val="0"/>
        <w:pageBreakBefore w:val="0"/>
        <w:widowControl w:val="0"/>
        <w:wordWrap/>
        <w:overflowPunct/>
        <w:topLinePunct w:val="0"/>
        <w:bidi w:val="0"/>
        <w:spacing w:before="184" w:line="240" w:lineRule="auto"/>
        <w:ind w:left="8" w:firstLine="484"/>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二、不向采购单位、采购代理机构和政府采购评审专家提供任何形式的商业贿赂；对索取或接受商业贿赂的单位和个人，及时向财政部门和纪检监察机关举报。</w:t>
      </w:r>
    </w:p>
    <w:p w14:paraId="6D0D0C2A">
      <w:pPr>
        <w:keepNext w:val="0"/>
        <w:keepLines w:val="0"/>
        <w:pageBreakBefore w:val="0"/>
        <w:widowControl w:val="0"/>
        <w:wordWrap/>
        <w:overflowPunct/>
        <w:topLinePunct w:val="0"/>
        <w:bidi w:val="0"/>
        <w:spacing w:before="182" w:line="240" w:lineRule="auto"/>
        <w:ind w:left="11" w:right="58" w:firstLine="47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三、不以提供虚假资质文件等形式参与政府采购活动，不以虚假材料谋取中标或成交。</w:t>
      </w:r>
    </w:p>
    <w:p w14:paraId="1B8E9AE5">
      <w:pPr>
        <w:keepNext w:val="0"/>
        <w:keepLines w:val="0"/>
        <w:pageBreakBefore w:val="0"/>
        <w:widowControl w:val="0"/>
        <w:wordWrap/>
        <w:overflowPunct/>
        <w:topLinePunct w:val="0"/>
        <w:bidi w:val="0"/>
        <w:spacing w:before="181" w:line="240" w:lineRule="auto"/>
        <w:ind w:left="10" w:right="58" w:firstLine="50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四、不采取不正当手段诋毁、排挤其他供应商，与其他参与政府采购活动供应商保持良性的竞争关系。</w:t>
      </w:r>
    </w:p>
    <w:p w14:paraId="3A030209">
      <w:pPr>
        <w:keepNext w:val="0"/>
        <w:keepLines w:val="0"/>
        <w:pageBreakBefore w:val="0"/>
        <w:widowControl w:val="0"/>
        <w:wordWrap/>
        <w:overflowPunct/>
        <w:topLinePunct w:val="0"/>
        <w:bidi w:val="0"/>
        <w:spacing w:before="183" w:line="240" w:lineRule="auto"/>
        <w:ind w:left="8" w:right="58" w:firstLine="484"/>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五、不与采购单位、采购代理机构和政府采购评审专家恶意串通，自觉维护政府采购公平竞争的市场秩序。</w:t>
      </w:r>
    </w:p>
    <w:p w14:paraId="0B9D5D81">
      <w:pPr>
        <w:keepNext w:val="0"/>
        <w:keepLines w:val="0"/>
        <w:pageBreakBefore w:val="0"/>
        <w:widowControl w:val="0"/>
        <w:wordWrap/>
        <w:overflowPunct/>
        <w:topLinePunct w:val="0"/>
        <w:bidi w:val="0"/>
        <w:spacing w:before="183" w:line="240" w:lineRule="auto"/>
        <w:ind w:left="13" w:right="58" w:firstLine="47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六、不与其他供应商串通采取围标、陪标等商业欺诈手段谋取中标或成交，积极维护国家利益、社会公共利益和采购单位的合法权益。</w:t>
      </w:r>
    </w:p>
    <w:p w14:paraId="4C5D146C">
      <w:pPr>
        <w:keepNext w:val="0"/>
        <w:keepLines w:val="0"/>
        <w:pageBreakBefore w:val="0"/>
        <w:widowControl w:val="0"/>
        <w:wordWrap/>
        <w:overflowPunct/>
        <w:topLinePunct w:val="0"/>
        <w:bidi w:val="0"/>
        <w:spacing w:before="183" w:line="240" w:lineRule="auto"/>
        <w:ind w:left="8" w:right="58" w:firstLine="48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七、严格履行政府采购合同约定义务，不在政府采购合同执行过程中采取降低质量或标准、减少数量、拖延交付时间等方式损害采购单位的利益，并自觉承担违约责任。</w:t>
      </w:r>
    </w:p>
    <w:p w14:paraId="732723A4">
      <w:pPr>
        <w:keepNext w:val="0"/>
        <w:keepLines w:val="0"/>
        <w:pageBreakBefore w:val="0"/>
        <w:widowControl w:val="0"/>
        <w:wordWrap/>
        <w:overflowPunct/>
        <w:topLinePunct w:val="0"/>
        <w:bidi w:val="0"/>
        <w:spacing w:before="184" w:line="240" w:lineRule="auto"/>
        <w:ind w:left="22" w:right="58" w:firstLine="47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八、自觉接受并积极配合财政部门和纪检监察机关依法实施的监督检查，如实反映情况，及时提供有关证明材料。</w:t>
      </w:r>
    </w:p>
    <w:p w14:paraId="7CE790E3">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76650D62">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F672709">
      <w:pPr>
        <w:keepNext w:val="0"/>
        <w:keepLines w:val="0"/>
        <w:pageBreakBefore w:val="0"/>
        <w:widowControl w:val="0"/>
        <w:wordWrap/>
        <w:overflowPunct/>
        <w:topLinePunct w:val="0"/>
        <w:bidi w:val="0"/>
        <w:spacing w:before="78" w:line="240" w:lineRule="auto"/>
        <w:ind w:left="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供应商（电子签章）：</w:t>
      </w:r>
    </w:p>
    <w:p w14:paraId="570F6A84">
      <w:pPr>
        <w:keepNext w:val="0"/>
        <w:keepLines w:val="0"/>
        <w:pageBreakBefore w:val="0"/>
        <w:widowControl w:val="0"/>
        <w:wordWrap/>
        <w:overflowPunct/>
        <w:topLinePunct w:val="0"/>
        <w:bidi w:val="0"/>
        <w:spacing w:before="157" w:line="240" w:lineRule="auto"/>
        <w:ind w:left="10"/>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法定代表人或授权委托代理人（电子签章或签名）：</w:t>
      </w:r>
    </w:p>
    <w:p w14:paraId="0FA963D3">
      <w:pPr>
        <w:keepNext w:val="0"/>
        <w:keepLines w:val="0"/>
        <w:pageBreakBefore w:val="0"/>
        <w:widowControl w:val="0"/>
        <w:tabs>
          <w:tab w:val="left" w:pos="840"/>
        </w:tabs>
        <w:wordWrap/>
        <w:overflowPunct/>
        <w:topLinePunct w:val="0"/>
        <w:bidi w:val="0"/>
        <w:spacing w:before="155" w:line="240" w:lineRule="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u w:val="single" w:color="auto"/>
        </w:rPr>
        <w:tab/>
      </w:r>
      <w:r>
        <w:rPr>
          <w:rFonts w:hint="eastAsia" w:ascii="仿宋" w:hAnsi="仿宋" w:eastAsia="仿宋" w:cs="仿宋"/>
          <w:color w:val="auto"/>
          <w:spacing w:val="0"/>
          <w:sz w:val="24"/>
          <w:szCs w:val="24"/>
          <w:highlight w:val="none"/>
        </w:rPr>
        <w:t>年</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月</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rPr>
        <w:t xml:space="preserve"> 日</w:t>
      </w:r>
    </w:p>
    <w:p w14:paraId="5F67C05D">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szCs w:val="24"/>
          <w:highlight w:val="none"/>
        </w:rPr>
        <w:sectPr>
          <w:footerReference r:id="rId27" w:type="default"/>
          <w:pgSz w:w="11906" w:h="16839"/>
          <w:pgMar w:top="1440" w:right="1800" w:bottom="1440" w:left="1800" w:header="0" w:footer="588" w:gutter="0"/>
          <w:cols w:space="720" w:num="1"/>
        </w:sectPr>
      </w:pPr>
    </w:p>
    <w:p w14:paraId="73EB8219">
      <w:pPr>
        <w:keepNext w:val="0"/>
        <w:keepLines w:val="0"/>
        <w:pageBreakBefore w:val="0"/>
        <w:widowControl w:val="0"/>
        <w:wordWrap/>
        <w:overflowPunct/>
        <w:topLinePunct w:val="0"/>
        <w:bidi w:val="0"/>
        <w:spacing w:before="97" w:line="240" w:lineRule="auto"/>
        <w:ind w:left="2563"/>
        <w:outlineLvl w:val="2"/>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rPr>
        <w:t>十、供应商类似项目业绩表</w:t>
      </w:r>
    </w:p>
    <w:p w14:paraId="66B667C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3A1D95D7">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88841F6">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4B929ADF">
      <w:pPr>
        <w:keepNext w:val="0"/>
        <w:keepLines w:val="0"/>
        <w:pageBreakBefore w:val="0"/>
        <w:widowControl w:val="0"/>
        <w:wordWrap/>
        <w:overflowPunct/>
        <w:topLinePunct w:val="0"/>
        <w:bidi w:val="0"/>
        <w:spacing w:before="78" w:line="240" w:lineRule="auto"/>
        <w:ind w:left="14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采购项目编号：</w:t>
      </w:r>
    </w:p>
    <w:p w14:paraId="62C11B6F">
      <w:pPr>
        <w:keepNext w:val="0"/>
        <w:keepLines w:val="0"/>
        <w:pageBreakBefore w:val="0"/>
        <w:widowControl w:val="0"/>
        <w:wordWrap/>
        <w:overflowPunct/>
        <w:topLinePunct w:val="0"/>
        <w:bidi w:val="0"/>
        <w:spacing w:before="216" w:line="240" w:lineRule="auto"/>
        <w:ind w:left="145"/>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采购项目名称：</w:t>
      </w:r>
    </w:p>
    <w:p w14:paraId="21641FAA">
      <w:pPr>
        <w:keepNext w:val="0"/>
        <w:keepLines w:val="0"/>
        <w:pageBreakBefore w:val="0"/>
        <w:widowControl w:val="0"/>
        <w:wordWrap/>
        <w:overflowPunct/>
        <w:topLinePunct w:val="0"/>
        <w:bidi w:val="0"/>
        <w:spacing w:before="4" w:line="240" w:lineRule="auto"/>
        <w:rPr>
          <w:rFonts w:hint="eastAsia" w:ascii="仿宋" w:hAnsi="仿宋" w:eastAsia="仿宋" w:cs="仿宋"/>
          <w:color w:val="auto"/>
          <w:spacing w:val="0"/>
          <w:highlight w:val="none"/>
        </w:rPr>
      </w:pPr>
    </w:p>
    <w:p w14:paraId="0F52B38A">
      <w:pPr>
        <w:keepNext w:val="0"/>
        <w:keepLines w:val="0"/>
        <w:pageBreakBefore w:val="0"/>
        <w:widowControl w:val="0"/>
        <w:wordWrap/>
        <w:overflowPunct/>
        <w:topLinePunct w:val="0"/>
        <w:bidi w:val="0"/>
        <w:spacing w:before="4" w:line="240" w:lineRule="auto"/>
        <w:rPr>
          <w:rFonts w:hint="eastAsia" w:ascii="仿宋" w:hAnsi="仿宋" w:eastAsia="仿宋" w:cs="仿宋"/>
          <w:color w:val="auto"/>
          <w:spacing w:val="0"/>
          <w:highlight w:val="none"/>
        </w:rPr>
      </w:pPr>
    </w:p>
    <w:tbl>
      <w:tblPr>
        <w:tblStyle w:val="33"/>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1"/>
        <w:gridCol w:w="7201"/>
      </w:tblGrid>
      <w:tr w14:paraId="7CE75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911" w:type="dxa"/>
            <w:vAlign w:val="top"/>
          </w:tcPr>
          <w:p w14:paraId="178FED63">
            <w:pPr>
              <w:pStyle w:val="34"/>
              <w:keepNext w:val="0"/>
              <w:keepLines w:val="0"/>
              <w:pageBreakBefore w:val="0"/>
              <w:widowControl w:val="0"/>
              <w:wordWrap/>
              <w:overflowPunct/>
              <w:topLinePunct w:val="0"/>
              <w:bidi w:val="0"/>
              <w:spacing w:before="231" w:line="240" w:lineRule="auto"/>
              <w:ind w:left="486"/>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项目名称</w:t>
            </w:r>
          </w:p>
        </w:tc>
        <w:tc>
          <w:tcPr>
            <w:tcW w:w="7201" w:type="dxa"/>
            <w:vAlign w:val="top"/>
          </w:tcPr>
          <w:p w14:paraId="72A45649">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57932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1" w:type="dxa"/>
            <w:vAlign w:val="top"/>
          </w:tcPr>
          <w:p w14:paraId="77A1D652">
            <w:pPr>
              <w:pStyle w:val="34"/>
              <w:keepNext w:val="0"/>
              <w:keepLines w:val="0"/>
              <w:pageBreakBefore w:val="0"/>
              <w:widowControl w:val="0"/>
              <w:wordWrap/>
              <w:overflowPunct/>
              <w:topLinePunct w:val="0"/>
              <w:bidi w:val="0"/>
              <w:spacing w:before="225" w:line="240" w:lineRule="auto"/>
              <w:ind w:left="241"/>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采购单位名称</w:t>
            </w:r>
          </w:p>
        </w:tc>
        <w:tc>
          <w:tcPr>
            <w:tcW w:w="7201" w:type="dxa"/>
            <w:vAlign w:val="top"/>
          </w:tcPr>
          <w:p w14:paraId="644CD4C3">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251E5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911" w:type="dxa"/>
            <w:vAlign w:val="top"/>
          </w:tcPr>
          <w:p w14:paraId="08A1E4A6">
            <w:pPr>
              <w:pStyle w:val="34"/>
              <w:keepNext w:val="0"/>
              <w:keepLines w:val="0"/>
              <w:pageBreakBefore w:val="0"/>
              <w:widowControl w:val="0"/>
              <w:wordWrap/>
              <w:overflowPunct/>
              <w:topLinePunct w:val="0"/>
              <w:bidi w:val="0"/>
              <w:spacing w:before="227" w:line="240" w:lineRule="auto"/>
              <w:ind w:left="121" w:right="113"/>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采购单位联系人 姓名及联系方式</w:t>
            </w:r>
          </w:p>
        </w:tc>
        <w:tc>
          <w:tcPr>
            <w:tcW w:w="7201" w:type="dxa"/>
            <w:vAlign w:val="top"/>
          </w:tcPr>
          <w:p w14:paraId="4587FF2A">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4DBF4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11" w:type="dxa"/>
            <w:vAlign w:val="top"/>
          </w:tcPr>
          <w:p w14:paraId="2F1C2053">
            <w:pPr>
              <w:pStyle w:val="34"/>
              <w:keepNext w:val="0"/>
              <w:keepLines w:val="0"/>
              <w:pageBreakBefore w:val="0"/>
              <w:widowControl w:val="0"/>
              <w:wordWrap/>
              <w:overflowPunct/>
              <w:topLinePunct w:val="0"/>
              <w:bidi w:val="0"/>
              <w:spacing w:before="288" w:line="240" w:lineRule="auto"/>
              <w:ind w:left="483"/>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合同金额</w:t>
            </w:r>
          </w:p>
        </w:tc>
        <w:tc>
          <w:tcPr>
            <w:tcW w:w="7201" w:type="dxa"/>
            <w:vAlign w:val="top"/>
          </w:tcPr>
          <w:p w14:paraId="14EC85B4">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467EA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911" w:type="dxa"/>
            <w:vAlign w:val="top"/>
          </w:tcPr>
          <w:p w14:paraId="02B78882">
            <w:pPr>
              <w:pStyle w:val="34"/>
              <w:keepNext w:val="0"/>
              <w:keepLines w:val="0"/>
              <w:pageBreakBefore w:val="0"/>
              <w:widowControl w:val="0"/>
              <w:wordWrap/>
              <w:overflowPunct/>
              <w:topLinePunct w:val="0"/>
              <w:bidi w:val="0"/>
              <w:spacing w:before="227" w:line="240" w:lineRule="auto"/>
              <w:ind w:left="366"/>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项目负责人</w:t>
            </w:r>
          </w:p>
          <w:p w14:paraId="764D38D5">
            <w:pPr>
              <w:pStyle w:val="34"/>
              <w:keepNext w:val="0"/>
              <w:keepLines w:val="0"/>
              <w:pageBreakBefore w:val="0"/>
              <w:widowControl w:val="0"/>
              <w:wordWrap/>
              <w:overflowPunct/>
              <w:topLinePunct w:val="0"/>
              <w:bidi w:val="0"/>
              <w:spacing w:before="216" w:line="240" w:lineRule="auto"/>
              <w:ind w:left="722"/>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姓名</w:t>
            </w:r>
          </w:p>
        </w:tc>
        <w:tc>
          <w:tcPr>
            <w:tcW w:w="7201" w:type="dxa"/>
            <w:vAlign w:val="top"/>
          </w:tcPr>
          <w:p w14:paraId="259A5002">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4B22B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1" w:type="dxa"/>
            <w:vAlign w:val="top"/>
          </w:tcPr>
          <w:p w14:paraId="1832088C">
            <w:pPr>
              <w:pStyle w:val="34"/>
              <w:keepNext w:val="0"/>
              <w:keepLines w:val="0"/>
              <w:pageBreakBefore w:val="0"/>
              <w:widowControl w:val="0"/>
              <w:wordWrap/>
              <w:overflowPunct/>
              <w:topLinePunct w:val="0"/>
              <w:bidi w:val="0"/>
              <w:spacing w:before="228" w:line="240" w:lineRule="auto"/>
              <w:ind w:left="246"/>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项目实施时间</w:t>
            </w:r>
          </w:p>
        </w:tc>
        <w:tc>
          <w:tcPr>
            <w:tcW w:w="7201" w:type="dxa"/>
            <w:vAlign w:val="top"/>
          </w:tcPr>
          <w:p w14:paraId="5A8DB032">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r w14:paraId="26C10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6" w:hRule="atLeast"/>
        </w:trPr>
        <w:tc>
          <w:tcPr>
            <w:tcW w:w="1911" w:type="dxa"/>
            <w:vAlign w:val="top"/>
          </w:tcPr>
          <w:p w14:paraId="47D9019D">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p w14:paraId="2317B759">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p w14:paraId="72BB297B">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p w14:paraId="46FED6AA">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p w14:paraId="30B439D9">
            <w:pPr>
              <w:pStyle w:val="34"/>
              <w:keepNext w:val="0"/>
              <w:keepLines w:val="0"/>
              <w:pageBreakBefore w:val="0"/>
              <w:widowControl w:val="0"/>
              <w:wordWrap/>
              <w:overflowPunct/>
              <w:topLinePunct w:val="0"/>
              <w:bidi w:val="0"/>
              <w:spacing w:before="78" w:line="240" w:lineRule="auto"/>
              <w:ind w:left="246"/>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项目内容说明</w:t>
            </w:r>
          </w:p>
        </w:tc>
        <w:tc>
          <w:tcPr>
            <w:tcW w:w="7201" w:type="dxa"/>
            <w:vAlign w:val="top"/>
          </w:tcPr>
          <w:p w14:paraId="6B921316">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1"/>
                <w:highlight w:val="none"/>
              </w:rPr>
            </w:pPr>
          </w:p>
        </w:tc>
      </w:tr>
    </w:tbl>
    <w:p w14:paraId="7124B25C">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222546F6">
      <w:pPr>
        <w:keepNext w:val="0"/>
        <w:keepLines w:val="0"/>
        <w:pageBreakBefore w:val="0"/>
        <w:widowControl w:val="0"/>
        <w:wordWrap/>
        <w:overflowPunct/>
        <w:topLinePunct w:val="0"/>
        <w:bidi w:val="0"/>
        <w:spacing w:before="78" w:line="240" w:lineRule="auto"/>
        <w:ind w:left="146" w:right="220" w:firstLine="2"/>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说明：1．每个合同须单独附表，并附上相关证明材料，否则专家在评审时将不予采信；</w:t>
      </w:r>
    </w:p>
    <w:p w14:paraId="4A4C4B24">
      <w:pPr>
        <w:keepNext w:val="0"/>
        <w:keepLines w:val="0"/>
        <w:pageBreakBefore w:val="0"/>
        <w:widowControl w:val="0"/>
        <w:wordWrap/>
        <w:overflowPunct/>
        <w:topLinePunct w:val="0"/>
        <w:bidi w:val="0"/>
        <w:spacing w:line="240" w:lineRule="auto"/>
        <w:ind w:left="14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2．项目内容请详细说明所承担的具体工作内容；</w:t>
      </w:r>
    </w:p>
    <w:p w14:paraId="0D8EDF60">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szCs w:val="24"/>
          <w:highlight w:val="none"/>
        </w:rPr>
        <w:sectPr>
          <w:footerReference r:id="rId28" w:type="default"/>
          <w:pgSz w:w="11906" w:h="16839"/>
          <w:pgMar w:top="1440" w:right="1800" w:bottom="1440" w:left="1800" w:header="0" w:footer="588" w:gutter="0"/>
          <w:cols w:space="720" w:num="1"/>
        </w:sectPr>
      </w:pPr>
    </w:p>
    <w:p w14:paraId="43E927BE">
      <w:pPr>
        <w:keepNext w:val="0"/>
        <w:keepLines w:val="0"/>
        <w:pageBreakBefore w:val="0"/>
        <w:widowControl w:val="0"/>
        <w:wordWrap/>
        <w:overflowPunct/>
        <w:topLinePunct w:val="0"/>
        <w:bidi w:val="0"/>
        <w:spacing w:before="98" w:line="240" w:lineRule="auto"/>
        <w:ind w:left="1394"/>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rPr>
        <w:t>十</w:t>
      </w:r>
      <w:r>
        <w:rPr>
          <w:rFonts w:hint="eastAsia" w:ascii="仿宋" w:hAnsi="仿宋" w:eastAsia="仿宋" w:cs="仿宋"/>
          <w:b/>
          <w:bCs/>
          <w:color w:val="auto"/>
          <w:spacing w:val="0"/>
          <w:sz w:val="30"/>
          <w:szCs w:val="30"/>
          <w:highlight w:val="none"/>
          <w:lang w:val="en-US" w:eastAsia="zh-CN"/>
        </w:rPr>
        <w:t>一</w:t>
      </w:r>
      <w:r>
        <w:rPr>
          <w:rFonts w:hint="eastAsia" w:ascii="仿宋" w:hAnsi="仿宋" w:eastAsia="仿宋" w:cs="仿宋"/>
          <w:b/>
          <w:bCs/>
          <w:color w:val="auto"/>
          <w:spacing w:val="0"/>
          <w:sz w:val="30"/>
          <w:szCs w:val="30"/>
          <w:highlight w:val="none"/>
        </w:rPr>
        <w:t>、其他声明及文件资料（格式自拟）</w:t>
      </w:r>
    </w:p>
    <w:p w14:paraId="4AD8AB7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3D3B72A3">
      <w:pPr>
        <w:keepNext w:val="0"/>
        <w:keepLines w:val="0"/>
        <w:pageBreakBefore w:val="0"/>
        <w:widowControl w:val="0"/>
        <w:wordWrap/>
        <w:overflowPunct/>
        <w:topLinePunct w:val="0"/>
        <w:bidi w:val="0"/>
        <w:spacing w:before="78" w:line="240" w:lineRule="auto"/>
        <w:ind w:left="2005"/>
        <w:outlineLvl w:val="1"/>
        <w:rPr>
          <w:rFonts w:hint="eastAsia" w:ascii="仿宋" w:hAnsi="仿宋" w:eastAsia="仿宋" w:cs="仿宋"/>
          <w:color w:val="auto"/>
          <w:spacing w:val="0"/>
          <w:sz w:val="24"/>
          <w:szCs w:val="24"/>
          <w:highlight w:val="none"/>
        </w:rPr>
      </w:pPr>
      <w:r>
        <w:rPr>
          <w:rFonts w:hint="eastAsia" w:ascii="仿宋" w:hAnsi="仿宋" w:eastAsia="仿宋" w:cs="仿宋"/>
          <w:b/>
          <w:bCs/>
          <w:color w:val="auto"/>
          <w:spacing w:val="0"/>
          <w:sz w:val="24"/>
          <w:szCs w:val="24"/>
          <w:highlight w:val="none"/>
          <w:shd w:val="clear" w:fill="C0C0C0"/>
        </w:rPr>
        <w:t>供应商认为需要提供的其他声明及文件资料。</w:t>
      </w:r>
    </w:p>
    <w:p w14:paraId="3CD22E98">
      <w:pPr>
        <w:keepNext w:val="0"/>
        <w:keepLines w:val="0"/>
        <w:pageBreakBefore w:val="0"/>
        <w:widowControl w:val="0"/>
        <w:wordWrap/>
        <w:overflowPunct/>
        <w:topLinePunct w:val="0"/>
        <w:bidi w:val="0"/>
        <w:spacing w:line="240" w:lineRule="auto"/>
        <w:rPr>
          <w:rFonts w:hint="eastAsia" w:ascii="仿宋" w:hAnsi="仿宋" w:eastAsia="仿宋" w:cs="仿宋"/>
          <w:color w:val="auto"/>
          <w:spacing w:val="0"/>
          <w:sz w:val="24"/>
          <w:szCs w:val="24"/>
          <w:highlight w:val="none"/>
        </w:rPr>
        <w:sectPr>
          <w:footerReference r:id="rId29" w:type="default"/>
          <w:pgSz w:w="11906" w:h="16839"/>
          <w:pgMar w:top="1440" w:right="1800" w:bottom="1440" w:left="1800" w:header="0" w:footer="588" w:gutter="0"/>
          <w:cols w:space="720" w:num="1"/>
        </w:sectPr>
      </w:pPr>
    </w:p>
    <w:p w14:paraId="1C50AD33">
      <w:pPr>
        <w:keepNext w:val="0"/>
        <w:keepLines w:val="0"/>
        <w:pageBreakBefore w:val="0"/>
        <w:widowControl w:val="0"/>
        <w:wordWrap/>
        <w:overflowPunct/>
        <w:topLinePunct w:val="0"/>
        <w:bidi w:val="0"/>
        <w:spacing w:before="97" w:line="240" w:lineRule="auto"/>
        <w:ind w:left="3108"/>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rPr>
        <w:t>十</w:t>
      </w:r>
      <w:r>
        <w:rPr>
          <w:rFonts w:hint="eastAsia" w:ascii="仿宋" w:hAnsi="仿宋" w:eastAsia="仿宋" w:cs="仿宋"/>
          <w:b/>
          <w:bCs/>
          <w:color w:val="auto"/>
          <w:spacing w:val="0"/>
          <w:sz w:val="30"/>
          <w:szCs w:val="30"/>
          <w:highlight w:val="none"/>
          <w:lang w:val="en-US" w:eastAsia="zh-CN"/>
        </w:rPr>
        <w:t>二</w:t>
      </w:r>
      <w:r>
        <w:rPr>
          <w:rFonts w:hint="eastAsia" w:ascii="仿宋" w:hAnsi="仿宋" w:eastAsia="仿宋" w:cs="仿宋"/>
          <w:b/>
          <w:bCs/>
          <w:color w:val="auto"/>
          <w:spacing w:val="0"/>
          <w:sz w:val="30"/>
          <w:szCs w:val="30"/>
          <w:highlight w:val="none"/>
        </w:rPr>
        <w:t>、技术文件</w:t>
      </w:r>
    </w:p>
    <w:p w14:paraId="48B40F75">
      <w:pPr>
        <w:pStyle w:val="8"/>
        <w:keepNext w:val="0"/>
        <w:keepLines w:val="0"/>
        <w:pageBreakBefore w:val="0"/>
        <w:widowControl w:val="0"/>
        <w:wordWrap/>
        <w:overflowPunct/>
        <w:topLinePunct w:val="0"/>
        <w:bidi w:val="0"/>
        <w:spacing w:line="240" w:lineRule="auto"/>
        <w:rPr>
          <w:rFonts w:hint="eastAsia" w:ascii="仿宋" w:hAnsi="仿宋" w:eastAsia="仿宋" w:cs="仿宋"/>
          <w:color w:val="auto"/>
          <w:spacing w:val="0"/>
          <w:highlight w:val="none"/>
        </w:rPr>
      </w:pPr>
    </w:p>
    <w:p w14:paraId="37AB961F">
      <w:pPr>
        <w:keepNext w:val="0"/>
        <w:keepLines w:val="0"/>
        <w:pageBreakBefore w:val="0"/>
        <w:widowControl w:val="0"/>
        <w:wordWrap/>
        <w:overflowPunct/>
        <w:topLinePunct w:val="0"/>
        <w:bidi w:val="0"/>
        <w:spacing w:before="98" w:line="240" w:lineRule="auto"/>
        <w:jc w:val="center"/>
        <w:rPr>
          <w:rFonts w:hint="eastAsia" w:ascii="仿宋" w:hAnsi="仿宋" w:eastAsia="仿宋" w:cs="仿宋"/>
          <w:color w:val="auto"/>
          <w:spacing w:val="0"/>
          <w:sz w:val="30"/>
          <w:szCs w:val="30"/>
          <w:highlight w:val="none"/>
        </w:rPr>
      </w:pPr>
      <w:r>
        <w:rPr>
          <w:rFonts w:hint="eastAsia" w:ascii="仿宋" w:hAnsi="仿宋" w:eastAsia="仿宋" w:cs="仿宋"/>
          <w:b/>
          <w:bCs/>
          <w:color w:val="auto"/>
          <w:spacing w:val="0"/>
          <w:sz w:val="30"/>
          <w:szCs w:val="30"/>
          <w:highlight w:val="none"/>
        </w:rPr>
        <w:t>参照评标办法（格式内容自拟）</w:t>
      </w:r>
    </w:p>
    <w:sectPr>
      <w:headerReference r:id="rId30" w:type="default"/>
      <w:footerReference r:id="rId31" w:type="default"/>
      <w:pgSz w:w="11906" w:h="16839"/>
      <w:pgMar w:top="1440" w:right="1800" w:bottom="1440" w:left="1800" w:header="0" w:footer="5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DA26">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1785">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72F3">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6B282">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9E47">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2B41A">
    <w:pPr>
      <w:spacing w:line="176" w:lineRule="auto"/>
      <w:ind w:left="40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2C6D9">
    <w:pPr>
      <w:spacing w:line="176" w:lineRule="auto"/>
      <w:ind w:left="44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1693">
    <w:pPr>
      <w:spacing w:line="176"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0FD31">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7F10">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D22E2">
    <w:pPr>
      <w:spacing w:line="173" w:lineRule="auto"/>
      <w:ind w:left="43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E977">
    <w:pPr>
      <w:spacing w:line="176" w:lineRule="auto"/>
      <w:ind w:left="494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4B13">
    <w:pPr>
      <w:spacing w:line="173"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374AD">
    <w:pPr>
      <w:spacing w:line="176" w:lineRule="auto"/>
      <w:ind w:left="44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B002">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BEBB">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E6ED">
    <w:pPr>
      <w:spacing w:line="176" w:lineRule="auto"/>
      <w:ind w:left="41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6B06C">
    <w:pPr>
      <w:spacing w:line="176" w:lineRule="auto"/>
      <w:ind w:left="48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1D541">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E518">
    <w:pPr>
      <w:pStyle w:val="12"/>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93C6E">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1193C6E">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C6550">
    <w:pPr>
      <w:spacing w:line="176" w:lineRule="auto"/>
      <w:ind w:left="450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E1E14">
    <w:pPr>
      <w:spacing w:line="176" w:lineRule="auto"/>
      <w:ind w:left="40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1953">
    <w:pPr>
      <w:spacing w:line="176" w:lineRule="auto"/>
      <w:ind w:left="40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D595">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173FF">
    <w:pPr>
      <w:pStyle w:val="8"/>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CDD8">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49BF">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0A7E5"/>
    <w:multiLevelType w:val="singleLevel"/>
    <w:tmpl w:val="9000A7E5"/>
    <w:lvl w:ilvl="0" w:tentative="0">
      <w:start w:val="2"/>
      <w:numFmt w:val="decimal"/>
      <w:suff w:val="nothing"/>
      <w:lvlText w:val="（%1）"/>
      <w:lvlJc w:val="left"/>
    </w:lvl>
  </w:abstractNum>
  <w:abstractNum w:abstractNumId="1">
    <w:nsid w:val="00000007"/>
    <w:multiLevelType w:val="multilevel"/>
    <w:tmpl w:val="00000007"/>
    <w:lvl w:ilvl="0" w:tentative="0">
      <w:start w:val="1"/>
      <w:numFmt w:val="chineseCountingThousand"/>
      <w:pStyle w:val="2"/>
      <w:suff w:val="nothing"/>
      <w:lvlText w:val="%1、"/>
      <w:lvlJc w:val="left"/>
      <w:pPr>
        <w:ind w:left="0" w:firstLine="0"/>
      </w:pPr>
      <w:rPr>
        <w:rFonts w:hint="eastAsia"/>
      </w:rPr>
    </w:lvl>
    <w:lvl w:ilvl="1" w:tentative="0">
      <w:start w:val="1"/>
      <w:numFmt w:val="decimal"/>
      <w:isLgl/>
      <w:suff w:val="nothing"/>
      <w:lvlText w:val="%1.%2 "/>
      <w:lvlJc w:val="left"/>
      <w:pPr>
        <w:ind w:left="3970" w:firstLine="0"/>
      </w:pPr>
    </w:lvl>
    <w:lvl w:ilvl="2" w:tentative="0">
      <w:start w:val="1"/>
      <w:numFmt w:val="decimal"/>
      <w:isLgl/>
      <w:suff w:val="nothing"/>
      <w:lvlText w:val="%1.%2.%3 "/>
      <w:lvlJc w:val="left"/>
      <w:pPr>
        <w:ind w:left="142"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4E409BB"/>
    <w:multiLevelType w:val="multilevel"/>
    <w:tmpl w:val="24E409BB"/>
    <w:lvl w:ilvl="0" w:tentative="0">
      <w:start w:val="1"/>
      <w:numFmt w:val="decimal"/>
      <w:pStyle w:val="35"/>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BD2B92B"/>
    <w:multiLevelType w:val="singleLevel"/>
    <w:tmpl w:val="4BD2B92B"/>
    <w:lvl w:ilvl="0" w:tentative="0">
      <w:start w:val="2"/>
      <w:numFmt w:val="decimal"/>
      <w:suff w:val="nothing"/>
      <w:lvlText w:val="%1、"/>
      <w:lvlJc w:val="left"/>
      <w:pPr>
        <w:ind w:left="110" w:leftChars="0" w:firstLine="0" w:firstLineChars="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RhMTZmNDZmNmI5YmYyM2I4NTg2N2E4MGI4MzI4MjEifQ=="/>
    <w:docVar w:name="KSO_WPS_MARK_KEY" w:val="64652061-4e3a-4506-acf7-3c270f3c6b7e"/>
  </w:docVars>
  <w:rsids>
    <w:rsidRoot w:val="00000000"/>
    <w:rsid w:val="03E963D8"/>
    <w:rsid w:val="04B82C41"/>
    <w:rsid w:val="052F0FB3"/>
    <w:rsid w:val="07EB5CFD"/>
    <w:rsid w:val="091E13F6"/>
    <w:rsid w:val="0EF645A0"/>
    <w:rsid w:val="12076306"/>
    <w:rsid w:val="17253C74"/>
    <w:rsid w:val="18B37873"/>
    <w:rsid w:val="1AB2080F"/>
    <w:rsid w:val="1B176CD0"/>
    <w:rsid w:val="1E081BFA"/>
    <w:rsid w:val="20941DC0"/>
    <w:rsid w:val="23B20D1E"/>
    <w:rsid w:val="26B41F0B"/>
    <w:rsid w:val="27E91934"/>
    <w:rsid w:val="29D46E34"/>
    <w:rsid w:val="2DC263D5"/>
    <w:rsid w:val="33CE207D"/>
    <w:rsid w:val="37DD5656"/>
    <w:rsid w:val="39547749"/>
    <w:rsid w:val="39DB066B"/>
    <w:rsid w:val="3A2A1F4E"/>
    <w:rsid w:val="3A683094"/>
    <w:rsid w:val="3C426494"/>
    <w:rsid w:val="3D273381"/>
    <w:rsid w:val="3F5767B9"/>
    <w:rsid w:val="408474A7"/>
    <w:rsid w:val="45051757"/>
    <w:rsid w:val="47E66CC2"/>
    <w:rsid w:val="488F68F0"/>
    <w:rsid w:val="4E3B72FE"/>
    <w:rsid w:val="531F7CC8"/>
    <w:rsid w:val="535030B5"/>
    <w:rsid w:val="54AF7AE3"/>
    <w:rsid w:val="560A32C3"/>
    <w:rsid w:val="57B163F3"/>
    <w:rsid w:val="59662A86"/>
    <w:rsid w:val="5DC361EB"/>
    <w:rsid w:val="5E225FE7"/>
    <w:rsid w:val="60945AD0"/>
    <w:rsid w:val="61746DF0"/>
    <w:rsid w:val="628D5909"/>
    <w:rsid w:val="63A4729C"/>
    <w:rsid w:val="68307350"/>
    <w:rsid w:val="6A124586"/>
    <w:rsid w:val="6B054723"/>
    <w:rsid w:val="6B6B418E"/>
    <w:rsid w:val="6E8D5A9E"/>
    <w:rsid w:val="6ECC10B7"/>
    <w:rsid w:val="757765BE"/>
    <w:rsid w:val="787D0545"/>
    <w:rsid w:val="78FB785D"/>
    <w:rsid w:val="7DA00930"/>
    <w:rsid w:val="7E406548"/>
    <w:rsid w:val="7F1837E4"/>
    <w:rsid w:val="7FB40D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1"/>
      </w:numPr>
      <w:jc w:val="center"/>
      <w:outlineLvl w:val="0"/>
    </w:pPr>
    <w:rPr>
      <w:b/>
      <w:bCs/>
      <w:color w:val="0000FF"/>
      <w:kern w:val="44"/>
      <w:sz w:val="32"/>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rFonts w:ascii="Times New Roman" w:hAnsi="Times New Roman"/>
      <w:kern w:val="0"/>
      <w:sz w:val="20"/>
      <w:szCs w:val="20"/>
    </w:rPr>
  </w:style>
  <w:style w:type="paragraph" w:styleId="6">
    <w:name w:val="toa heading"/>
    <w:basedOn w:val="1"/>
    <w:next w:val="1"/>
    <w:qFormat/>
    <w:uiPriority w:val="0"/>
    <w:pPr>
      <w:spacing w:before="120"/>
    </w:pPr>
    <w:rPr>
      <w:rFonts w:ascii="Arial" w:hAnsi="Arial"/>
      <w:sz w:val="24"/>
      <w:szCs w:val="21"/>
    </w:rPr>
  </w:style>
  <w:style w:type="paragraph" w:styleId="7">
    <w:name w:val="index 6"/>
    <w:basedOn w:val="1"/>
    <w:next w:val="1"/>
    <w:qFormat/>
    <w:uiPriority w:val="0"/>
    <w:pPr>
      <w:ind w:firstLine="840"/>
    </w:pPr>
    <w:rPr>
      <w:rFonts w:ascii="Calibri" w:hAnsi="Calibri" w:cs="Arial"/>
    </w:rPr>
  </w:style>
  <w:style w:type="paragraph" w:styleId="8">
    <w:name w:val="Body Text"/>
    <w:basedOn w:val="1"/>
    <w:next w:val="1"/>
    <w:qFormat/>
    <w:uiPriority w:val="0"/>
    <w:rPr>
      <w:rFonts w:ascii="Arial" w:hAnsi="Arial" w:eastAsia="Arial" w:cs="Arial"/>
      <w:sz w:val="21"/>
      <w:szCs w:val="21"/>
      <w:lang w:val="en-US" w:eastAsia="en-US" w:bidi="ar-SA"/>
    </w:rPr>
  </w:style>
  <w:style w:type="paragraph" w:styleId="9">
    <w:name w:val="Body Text Indent"/>
    <w:basedOn w:val="1"/>
    <w:next w:val="10"/>
    <w:qFormat/>
    <w:uiPriority w:val="0"/>
    <w:pPr>
      <w:ind w:firstLine="560" w:firstLineChars="200"/>
    </w:pPr>
    <w:rPr>
      <w:rFonts w:eastAsia="仿宋_GB2312"/>
      <w:sz w:val="28"/>
      <w:szCs w:val="21"/>
    </w:rPr>
  </w:style>
  <w:style w:type="paragraph" w:styleId="10">
    <w:name w:val="Body Text First Indent"/>
    <w:basedOn w:val="8"/>
    <w:next w:val="7"/>
    <w:qFormat/>
    <w:uiPriority w:val="0"/>
    <w:pPr>
      <w:spacing w:line="540" w:lineRule="exact"/>
      <w:ind w:firstLine="420" w:firstLineChars="100"/>
    </w:pPr>
    <w:rPr>
      <w:rFonts w:eastAsia="仿宋_GB2312"/>
      <w:sz w:val="28"/>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rFonts w:ascii="Calibri" w:hAnsi="Calibri"/>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45"/>
    <w:qFormat/>
    <w:uiPriority w:val="0"/>
    <w:pPr>
      <w:spacing w:before="240" w:after="60" w:line="312" w:lineRule="auto"/>
      <w:jc w:val="center"/>
      <w:outlineLvl w:val="1"/>
    </w:pPr>
    <w:rPr>
      <w:rFonts w:ascii="Cambria" w:hAnsi="Cambria"/>
      <w:b/>
      <w:bCs/>
      <w:kern w:val="28"/>
      <w:sz w:val="32"/>
      <w:szCs w:val="32"/>
    </w:rPr>
  </w:style>
  <w:style w:type="paragraph" w:styleId="15">
    <w:name w:val="footnote text"/>
    <w:basedOn w:val="1"/>
    <w:next w:val="8"/>
    <w:qFormat/>
    <w:uiPriority w:val="99"/>
    <w:pPr>
      <w:snapToGrid w:val="0"/>
      <w:jc w:val="left"/>
    </w:pPr>
    <w:rPr>
      <w:sz w:val="18"/>
    </w:rPr>
  </w:style>
  <w:style w:type="paragraph" w:styleId="16">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link w:val="44"/>
    <w:qFormat/>
    <w:uiPriority w:val="0"/>
    <w:pPr>
      <w:spacing w:before="240" w:beforeLines="0" w:after="60" w:afterLines="0"/>
      <w:jc w:val="center"/>
      <w:outlineLvl w:val="0"/>
    </w:pPr>
    <w:rPr>
      <w:rFonts w:ascii="Cambria" w:hAnsi="Cambria"/>
      <w:b/>
      <w:bCs/>
      <w:sz w:val="32"/>
      <w:szCs w:val="32"/>
    </w:rPr>
  </w:style>
  <w:style w:type="paragraph" w:styleId="18">
    <w:name w:val="Body Text First Indent 2"/>
    <w:basedOn w:val="9"/>
    <w:next w:val="1"/>
    <w:qFormat/>
    <w:uiPriority w:val="0"/>
    <w:pPr>
      <w:ind w:firstLine="420" w:firstLineChars="200"/>
    </w:pPr>
  </w:style>
  <w:style w:type="character" w:styleId="21">
    <w:name w:val="Strong"/>
    <w:basedOn w:val="20"/>
    <w:qFormat/>
    <w:uiPriority w:val="0"/>
    <w:rPr>
      <w:b/>
    </w:rPr>
  </w:style>
  <w:style w:type="character" w:styleId="22">
    <w:name w:val="FollowedHyperlink"/>
    <w:basedOn w:val="20"/>
    <w:qFormat/>
    <w:uiPriority w:val="0"/>
    <w:rPr>
      <w:color w:val="800080"/>
      <w:u w:val="none"/>
    </w:rPr>
  </w:style>
  <w:style w:type="character" w:styleId="23">
    <w:name w:val="HTML Definition"/>
    <w:basedOn w:val="20"/>
    <w:qFormat/>
    <w:uiPriority w:val="0"/>
  </w:style>
  <w:style w:type="character" w:styleId="24">
    <w:name w:val="HTML Typewriter"/>
    <w:basedOn w:val="20"/>
    <w:qFormat/>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0000FF"/>
      <w:u w:val="none"/>
    </w:rPr>
  </w:style>
  <w:style w:type="character" w:styleId="28">
    <w:name w:val="HTML Code"/>
    <w:basedOn w:val="20"/>
    <w:qFormat/>
    <w:uiPriority w:val="0"/>
    <w:rPr>
      <w:rFonts w:ascii="monospace" w:hAnsi="monospace" w:eastAsia="monospace" w:cs="monospace"/>
      <w:sz w:val="20"/>
    </w:rPr>
  </w:style>
  <w:style w:type="character" w:styleId="29">
    <w:name w:val="HTML Cite"/>
    <w:basedOn w:val="20"/>
    <w:qFormat/>
    <w:uiPriority w:val="0"/>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Default"/>
    <w:basedOn w:val="17"/>
    <w:next w:val="1"/>
    <w:qFormat/>
    <w:uiPriority w:val="0"/>
    <w:pPr>
      <w:widowControl w:val="0"/>
      <w:autoSpaceDE w:val="0"/>
      <w:autoSpaceDN w:val="0"/>
      <w:adjustRightInd w:val="0"/>
    </w:pPr>
    <w:rPr>
      <w:rFonts w:ascii="宋体" w:hAnsi="Calibri" w:cs="宋体"/>
      <w:color w:val="000000"/>
      <w:sz w:val="24"/>
      <w:szCs w:val="24"/>
      <w:lang w:val="en-US" w:eastAsia="zh-CN"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eastAsia="宋体" w:cs="宋体"/>
      <w:sz w:val="24"/>
      <w:szCs w:val="24"/>
      <w:lang w:val="en-US" w:eastAsia="en-US" w:bidi="ar-SA"/>
    </w:rPr>
  </w:style>
  <w:style w:type="paragraph" w:customStyle="1" w:styleId="35">
    <w:name w:val="表名称"/>
    <w:basedOn w:val="5"/>
    <w:qFormat/>
    <w:uiPriority w:val="0"/>
    <w:pPr>
      <w:numPr>
        <w:ilvl w:val="0"/>
        <w:numId w:val="2"/>
      </w:numPr>
      <w:ind w:firstLine="0" w:firstLineChars="0"/>
      <w:jc w:val="center"/>
    </w:pPr>
  </w:style>
  <w:style w:type="paragraph" w:styleId="36">
    <w:name w:val="List Paragraph"/>
    <w:basedOn w:val="1"/>
    <w:qFormat/>
    <w:uiPriority w:val="34"/>
    <w:pPr>
      <w:ind w:firstLine="420" w:firstLineChars="200"/>
    </w:pPr>
  </w:style>
  <w:style w:type="paragraph" w:customStyle="1" w:styleId="37">
    <w:name w:val="表格文字2"/>
    <w:basedOn w:val="38"/>
    <w:qFormat/>
    <w:uiPriority w:val="99"/>
    <w:pPr>
      <w:spacing w:before="25" w:after="25"/>
      <w:jc w:val="left"/>
    </w:pPr>
    <w:rPr>
      <w:bCs/>
      <w:spacing w:val="10"/>
      <w:kern w:val="0"/>
    </w:rPr>
  </w:style>
  <w:style w:type="paragraph" w:customStyle="1" w:styleId="38">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Normal_0"/>
    <w:qFormat/>
    <w:uiPriority w:val="0"/>
    <w:rPr>
      <w:rFonts w:ascii="Times New Roman" w:hAnsi="Times New Roman" w:eastAsia="Times New Roman" w:cs="Times New Roman"/>
      <w:sz w:val="24"/>
      <w:szCs w:val="24"/>
      <w:lang w:val="en-US" w:eastAsia="zh-CN" w:bidi="ar-SA"/>
    </w:rPr>
  </w:style>
  <w:style w:type="paragraph" w:customStyle="1" w:styleId="40">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41">
    <w:name w:val="_Style 4"/>
    <w:basedOn w:val="2"/>
    <w:next w:val="1"/>
    <w:qFormat/>
    <w:uiPriority w:val="0"/>
    <w:pPr>
      <w:widowControl w:val="0"/>
      <w:spacing w:line="576" w:lineRule="auto"/>
      <w:jc w:val="both"/>
      <w:outlineLvl w:val="9"/>
    </w:pPr>
    <w:rPr>
      <w:rFonts w:ascii="Calibri" w:hAnsi="Calibri" w:cs="Times New Roman"/>
    </w:rPr>
  </w:style>
  <w:style w:type="paragraph" w:customStyle="1" w:styleId="42">
    <w:name w:val="p0"/>
    <w:basedOn w:val="1"/>
    <w:qFormat/>
    <w:uiPriority w:val="0"/>
    <w:pPr>
      <w:widowControl/>
    </w:pPr>
    <w:rPr>
      <w:rFonts w:ascii="Courier New" w:hAnsi="Courier New" w:eastAsia="宋体" w:cs="Courier New"/>
      <w:kern w:val="0"/>
      <w:szCs w:val="21"/>
      <w:lang w:bidi="ar-SA"/>
    </w:rPr>
  </w:style>
  <w:style w:type="character" w:customStyle="1" w:styleId="43">
    <w:name w:val="15"/>
    <w:qFormat/>
    <w:uiPriority w:val="0"/>
    <w:rPr>
      <w:rFonts w:hint="default" w:ascii="Times New Roman" w:hAnsi="Times New Roman" w:cs="Times New Roman"/>
      <w:color w:val="464445"/>
      <w:u w:val="none"/>
    </w:rPr>
  </w:style>
  <w:style w:type="character" w:customStyle="1" w:styleId="44">
    <w:name w:val="标题 Char"/>
    <w:link w:val="17"/>
    <w:qFormat/>
    <w:uiPriority w:val="0"/>
    <w:rPr>
      <w:rFonts w:ascii="Cambria" w:hAnsi="Cambria"/>
      <w:b/>
      <w:bCs/>
      <w:sz w:val="32"/>
      <w:szCs w:val="32"/>
    </w:rPr>
  </w:style>
  <w:style w:type="character" w:customStyle="1" w:styleId="45">
    <w:name w:val="副标题 Char"/>
    <w:link w:val="14"/>
    <w:qFormat/>
    <w:uiPriority w:val="0"/>
    <w:rPr>
      <w:rFonts w:ascii="Cambria" w:hAnsi="Cambria"/>
      <w:b/>
      <w:bCs/>
      <w:kern w:val="28"/>
      <w:sz w:val="32"/>
      <w:szCs w:val="32"/>
    </w:rPr>
  </w:style>
  <w:style w:type="paragraph" w:customStyle="1" w:styleId="4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9">
    <w:name w:val="索引 11"/>
    <w:basedOn w:val="1"/>
    <w:next w:val="1"/>
    <w:qFormat/>
    <w:uiPriority w:val="0"/>
    <w:pPr>
      <w:spacing w:line="360" w:lineRule="auto"/>
    </w:pPr>
    <w:rPr>
      <w:rFonts w:ascii="仿宋_GB2312" w:eastAsia="仿宋_GB2312"/>
      <w:sz w:val="24"/>
      <w:szCs w:val="20"/>
    </w:rPr>
  </w:style>
  <w:style w:type="paragraph" w:customStyle="1" w:styleId="50">
    <w:name w:val="纯文本1"/>
    <w:basedOn w:val="1"/>
    <w:qFormat/>
    <w:uiPriority w:val="0"/>
    <w:rPr>
      <w:rFonts w:ascii="宋体" w:hAnsi="Courier New"/>
      <w:kern w:val="0"/>
      <w:sz w:val="20"/>
      <w:szCs w:val="20"/>
    </w:rPr>
  </w:style>
  <w:style w:type="paragraph" w:customStyle="1" w:styleId="51">
    <w:name w:val="正文文本缩进_1"/>
    <w:basedOn w:val="52"/>
    <w:qFormat/>
    <w:uiPriority w:val="0"/>
    <w:pPr>
      <w:spacing w:line="500" w:lineRule="exact"/>
      <w:ind w:left="1588" w:leftChars="832" w:firstLine="433" w:firstLineChars="196"/>
    </w:pPr>
    <w:rPr>
      <w:kern w:val="0"/>
      <w:sz w:val="24"/>
    </w:rPr>
  </w:style>
  <w:style w:type="paragraph" w:customStyle="1" w:styleId="52">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4">
    <w:name w:val="样式1"/>
    <w:basedOn w:val="1"/>
    <w:qFormat/>
    <w:uiPriority w:val="0"/>
    <w:pPr>
      <w:tabs>
        <w:tab w:val="left" w:pos="709"/>
      </w:tabs>
      <w:adjustRightInd w:val="0"/>
      <w:ind w:left="709" w:hanging="709"/>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3.xml"/><Relationship Id="rId30" Type="http://schemas.openxmlformats.org/officeDocument/2006/relationships/header" Target="header4.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17032</Words>
  <Characters>18496</Characters>
  <TotalTime>58</TotalTime>
  <ScaleCrop>false</ScaleCrop>
  <LinksUpToDate>false</LinksUpToDate>
  <CharactersWithSpaces>18584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2024-11-29T12:59:00Z</dcterms:created>
  <dc:creator>D.</dc:creator>
  <cp:lastModifiedBy>武功不高</cp:lastModifiedBy>
  <dcterms:modified xsi:type="dcterms:W3CDTF">2025-07-17T05:27:47Z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2025-03-14T19:14:01Z</vt:filetime>
  </property>
  <property fmtid="{D5CDD505-2E9C-101B-9397-08002B2CF9AE}" pid="4" name="KSOTemplateDocerSaveRecord">
    <vt:lpwstr>eyJoZGlkIjoiNWI5NGJlZWU4ZjZhY2UzNmRkZWU5YjQ3MzA0Y2ZjZmEiLCJ1c2VySWQiOiI0MzU5NTU2MjAifQ==</vt:lpwstr>
  </property>
  <property fmtid="{D5CDD505-2E9C-101B-9397-08002B2CF9AE}" pid="5" name="KSOProductBuildVer">
    <vt:lpwstr>2052-12.1.0.21915</vt:lpwstr>
  </property>
  <property fmtid="{D5CDD505-2E9C-101B-9397-08002B2CF9AE}" pid="6" name="ICV">
    <vt:lpwstr>7FA972FE52A844948818861AC1FD8C92_13</vt:lpwstr>
  </property>
</Properties>
</file>