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jc w:val="center"/>
        <w:rPr>
          <w:rFonts w:hint="eastAsia" w:cs="Arial"/>
          <w:b/>
          <w:color w:val="auto"/>
          <w:sz w:val="72"/>
          <w:szCs w:val="72"/>
        </w:rPr>
      </w:pPr>
      <w:bookmarkStart w:id="0" w:name="_Toc152042286"/>
      <w:bookmarkStart w:id="1" w:name="_Toc144974478"/>
    </w:p>
    <w:p>
      <w:pPr>
        <w:pStyle w:val="17"/>
        <w:spacing w:line="360" w:lineRule="auto"/>
        <w:jc w:val="center"/>
        <w:rPr>
          <w:rFonts w:hint="eastAsia" w:cs="Arial"/>
          <w:b/>
          <w:color w:val="auto"/>
          <w:sz w:val="72"/>
          <w:szCs w:val="72"/>
          <w:lang w:val="en-US" w:eastAsia="zh-CN"/>
        </w:rPr>
      </w:pPr>
    </w:p>
    <w:p>
      <w:pPr>
        <w:pStyle w:val="17"/>
        <w:spacing w:line="360" w:lineRule="auto"/>
        <w:jc w:val="center"/>
        <w:rPr>
          <w:rFonts w:hint="eastAsia" w:cs="Arial"/>
          <w:b/>
          <w:color w:val="auto"/>
          <w:sz w:val="72"/>
          <w:szCs w:val="72"/>
        </w:rPr>
      </w:pPr>
      <w:r>
        <w:rPr>
          <w:rFonts w:hint="eastAsia" w:cs="Arial"/>
          <w:b/>
          <w:color w:val="auto"/>
          <w:sz w:val="72"/>
          <w:szCs w:val="72"/>
          <w:lang w:val="en-US" w:eastAsia="zh-CN"/>
        </w:rPr>
        <w:t xml:space="preserve">招 标 </w:t>
      </w:r>
      <w:r>
        <w:rPr>
          <w:rFonts w:hint="eastAsia" w:cs="Arial"/>
          <w:b/>
          <w:color w:val="auto"/>
          <w:sz w:val="72"/>
          <w:szCs w:val="72"/>
        </w:rPr>
        <w:t>文</w:t>
      </w:r>
      <w:r>
        <w:rPr>
          <w:rFonts w:hint="eastAsia" w:cs="Arial"/>
          <w:b/>
          <w:color w:val="auto"/>
          <w:sz w:val="72"/>
          <w:szCs w:val="72"/>
          <w:lang w:val="en-US" w:eastAsia="zh-CN"/>
        </w:rPr>
        <w:t xml:space="preserve"> </w:t>
      </w:r>
      <w:r>
        <w:rPr>
          <w:rFonts w:hint="eastAsia" w:cs="Arial"/>
          <w:b/>
          <w:color w:val="auto"/>
          <w:sz w:val="72"/>
          <w:szCs w:val="72"/>
        </w:rPr>
        <w:t>件</w:t>
      </w:r>
    </w:p>
    <w:p>
      <w:pPr>
        <w:pStyle w:val="17"/>
        <w:spacing w:line="360" w:lineRule="auto"/>
        <w:jc w:val="center"/>
        <w:rPr>
          <w:rFonts w:hint="eastAsia" w:cs="Arial"/>
          <w:b/>
          <w:color w:val="auto"/>
          <w:sz w:val="28"/>
          <w:szCs w:val="28"/>
        </w:rPr>
      </w:pPr>
    </w:p>
    <w:p>
      <w:pPr>
        <w:pStyle w:val="17"/>
        <w:spacing w:line="360" w:lineRule="auto"/>
        <w:jc w:val="both"/>
        <w:rPr>
          <w:rFonts w:hint="eastAsia" w:cs="Arial"/>
          <w:b/>
          <w:color w:val="auto"/>
          <w:sz w:val="28"/>
          <w:szCs w:val="28"/>
        </w:rPr>
      </w:pPr>
    </w:p>
    <w:p>
      <w:pPr>
        <w:pStyle w:val="17"/>
        <w:spacing w:line="360" w:lineRule="auto"/>
        <w:jc w:val="center"/>
        <w:rPr>
          <w:rFonts w:hint="eastAsia" w:cs="Arial"/>
          <w:b/>
          <w:color w:val="auto"/>
          <w:sz w:val="28"/>
          <w:szCs w:val="28"/>
        </w:rPr>
      </w:pPr>
    </w:p>
    <w:p>
      <w:pPr>
        <w:pStyle w:val="17"/>
        <w:spacing w:line="360" w:lineRule="auto"/>
        <w:jc w:val="center"/>
        <w:rPr>
          <w:rFonts w:hint="default" w:cs="Arial"/>
          <w:b/>
          <w:color w:val="auto"/>
          <w:sz w:val="32"/>
          <w:szCs w:val="32"/>
          <w:lang w:val="en-US" w:eastAsia="zh-CN"/>
        </w:rPr>
      </w:pPr>
      <w:r>
        <w:rPr>
          <w:rFonts w:hint="eastAsia" w:cs="Arial"/>
          <w:b/>
          <w:color w:val="auto"/>
          <w:sz w:val="32"/>
          <w:szCs w:val="32"/>
        </w:rPr>
        <w:t>项目编号：</w:t>
      </w:r>
      <w:r>
        <w:rPr>
          <w:rFonts w:hint="eastAsia" w:cs="Arial"/>
          <w:b/>
          <w:color w:val="auto"/>
          <w:sz w:val="32"/>
          <w:szCs w:val="32"/>
          <w:lang w:val="en-US" w:eastAsia="zh-CN"/>
        </w:rPr>
        <w:t>2022JYCZB-CW031</w:t>
      </w:r>
    </w:p>
    <w:p>
      <w:pPr>
        <w:pStyle w:val="17"/>
        <w:spacing w:line="360" w:lineRule="auto"/>
        <w:rPr>
          <w:rFonts w:hint="eastAsia" w:cs="Arial"/>
          <w:b/>
          <w:color w:val="auto"/>
          <w:sz w:val="28"/>
          <w:szCs w:val="30"/>
        </w:rPr>
      </w:pPr>
      <w:r>
        <w:rPr>
          <w:rFonts w:hint="eastAsia" w:cs="Arial"/>
          <w:b/>
          <w:color w:val="auto"/>
          <w:sz w:val="28"/>
          <w:szCs w:val="30"/>
        </w:rPr>
        <w:tab/>
      </w:r>
    </w:p>
    <w:p>
      <w:pPr>
        <w:pStyle w:val="17"/>
        <w:spacing w:line="360" w:lineRule="auto"/>
        <w:rPr>
          <w:rFonts w:hint="eastAsia" w:cs="Arial"/>
          <w:b/>
          <w:color w:val="auto"/>
          <w:sz w:val="28"/>
          <w:szCs w:val="30"/>
        </w:rPr>
      </w:pPr>
      <w:r>
        <w:rPr>
          <w:rFonts w:hint="eastAsia" w:cs="Arial"/>
          <w:b/>
          <w:color w:val="auto"/>
          <w:sz w:val="28"/>
          <w:szCs w:val="30"/>
        </w:rPr>
        <w:t xml:space="preserve">   </w:t>
      </w:r>
    </w:p>
    <w:p>
      <w:pPr>
        <w:pStyle w:val="17"/>
        <w:spacing w:line="360" w:lineRule="auto"/>
        <w:rPr>
          <w:rFonts w:hint="eastAsia" w:cs="Arial"/>
          <w:b/>
          <w:color w:val="auto"/>
          <w:sz w:val="28"/>
          <w:szCs w:val="30"/>
        </w:rPr>
      </w:pPr>
    </w:p>
    <w:p>
      <w:pPr>
        <w:pStyle w:val="17"/>
        <w:spacing w:line="360" w:lineRule="auto"/>
        <w:jc w:val="center"/>
        <w:rPr>
          <w:rFonts w:cs="Arial"/>
          <w:b/>
          <w:color w:val="auto"/>
          <w:sz w:val="32"/>
          <w:szCs w:val="32"/>
        </w:rPr>
      </w:pPr>
    </w:p>
    <w:p>
      <w:pPr>
        <w:pStyle w:val="17"/>
        <w:spacing w:line="360" w:lineRule="auto"/>
        <w:rPr>
          <w:rFonts w:hint="eastAsia" w:cs="Arial"/>
          <w:b/>
          <w:color w:val="auto"/>
          <w:sz w:val="32"/>
          <w:szCs w:val="32"/>
          <w:highlight w:val="none"/>
        </w:rPr>
      </w:pPr>
      <w:r>
        <w:rPr>
          <w:rFonts w:hint="eastAsia" w:cs="Arial"/>
          <w:b/>
          <w:color w:val="auto"/>
          <w:sz w:val="32"/>
          <w:szCs w:val="32"/>
          <w:highlight w:val="none"/>
        </w:rPr>
        <w:t>项目名称：</w:t>
      </w:r>
      <w:r>
        <w:rPr>
          <w:rFonts w:hint="eastAsia" w:cs="Arial"/>
          <w:b/>
          <w:color w:val="auto"/>
          <w:sz w:val="32"/>
          <w:szCs w:val="32"/>
          <w:highlight w:val="none"/>
          <w:lang w:eastAsia="zh-CN"/>
        </w:rPr>
        <w:t>2022年职业教育质量提升-实训基地建设项目</w:t>
      </w:r>
    </w:p>
    <w:p>
      <w:pPr>
        <w:pStyle w:val="17"/>
        <w:spacing w:line="360" w:lineRule="auto"/>
        <w:jc w:val="both"/>
        <w:rPr>
          <w:rFonts w:hint="eastAsia" w:cs="Arial"/>
          <w:b/>
          <w:color w:val="auto"/>
          <w:sz w:val="32"/>
          <w:szCs w:val="32"/>
        </w:rPr>
      </w:pPr>
    </w:p>
    <w:p>
      <w:pPr>
        <w:pStyle w:val="18"/>
        <w:numPr>
          <w:ilvl w:val="0"/>
          <w:numId w:val="0"/>
        </w:numPr>
        <w:ind w:left="1680" w:leftChars="0"/>
        <w:rPr>
          <w:rFonts w:hint="eastAsia"/>
          <w:color w:val="auto"/>
        </w:rPr>
      </w:pPr>
    </w:p>
    <w:p>
      <w:pPr>
        <w:pStyle w:val="17"/>
        <w:spacing w:line="360" w:lineRule="auto"/>
        <w:rPr>
          <w:rFonts w:hint="eastAsia" w:cs="Arial"/>
          <w:b/>
          <w:color w:val="auto"/>
          <w:sz w:val="32"/>
          <w:szCs w:val="32"/>
        </w:rPr>
      </w:pPr>
      <w:r>
        <w:rPr>
          <w:rFonts w:hint="eastAsia" w:cs="Arial"/>
          <w:b/>
          <w:color w:val="auto"/>
          <w:sz w:val="32"/>
          <w:szCs w:val="32"/>
          <w:lang w:eastAsia="zh-CN"/>
        </w:rPr>
        <w:t>采购单位</w:t>
      </w:r>
      <w:r>
        <w:rPr>
          <w:rFonts w:hint="eastAsia" w:cs="Arial"/>
          <w:b/>
          <w:color w:val="auto"/>
          <w:sz w:val="32"/>
          <w:szCs w:val="32"/>
        </w:rPr>
        <w:t>：</w:t>
      </w:r>
      <w:r>
        <w:rPr>
          <w:rFonts w:hint="eastAsia" w:cs="Arial"/>
          <w:b/>
          <w:color w:val="auto"/>
          <w:sz w:val="32"/>
          <w:szCs w:val="32"/>
          <w:lang w:eastAsia="zh-CN"/>
        </w:rPr>
        <w:t>玛纳斯中等职业技术学校</w:t>
      </w:r>
      <w:r>
        <w:rPr>
          <w:rFonts w:hint="eastAsia" w:cs="Arial"/>
          <w:b/>
          <w:color w:val="auto"/>
          <w:sz w:val="32"/>
          <w:szCs w:val="32"/>
        </w:rPr>
        <w:t>（</w:t>
      </w:r>
      <w:r>
        <w:rPr>
          <w:rFonts w:hint="eastAsia" w:cs="Arial"/>
          <w:b/>
          <w:color w:val="auto"/>
          <w:sz w:val="32"/>
          <w:szCs w:val="32"/>
          <w:lang w:val="en-US" w:eastAsia="zh-CN"/>
        </w:rPr>
        <w:t>公</w:t>
      </w:r>
      <w:r>
        <w:rPr>
          <w:rFonts w:hint="eastAsia" w:cs="Arial"/>
          <w:b/>
          <w:color w:val="auto"/>
          <w:sz w:val="32"/>
          <w:szCs w:val="32"/>
        </w:rPr>
        <w:t>章）</w:t>
      </w:r>
    </w:p>
    <w:p>
      <w:pPr>
        <w:pStyle w:val="17"/>
        <w:spacing w:line="360" w:lineRule="auto"/>
        <w:jc w:val="both"/>
        <w:rPr>
          <w:rFonts w:hint="eastAsia" w:cs="Arial"/>
          <w:b/>
          <w:color w:val="auto"/>
          <w:sz w:val="32"/>
          <w:szCs w:val="32"/>
        </w:rPr>
      </w:pPr>
    </w:p>
    <w:p>
      <w:pPr>
        <w:pStyle w:val="18"/>
        <w:numPr>
          <w:ilvl w:val="0"/>
          <w:numId w:val="0"/>
        </w:numPr>
        <w:ind w:left="1680" w:leftChars="0"/>
        <w:rPr>
          <w:rFonts w:hint="eastAsia"/>
          <w:color w:val="auto"/>
        </w:rPr>
      </w:pPr>
    </w:p>
    <w:p>
      <w:pPr>
        <w:pStyle w:val="17"/>
        <w:spacing w:line="360" w:lineRule="auto"/>
        <w:rPr>
          <w:rFonts w:hint="eastAsia" w:cs="Arial"/>
          <w:b/>
          <w:color w:val="auto"/>
          <w:sz w:val="32"/>
          <w:szCs w:val="32"/>
        </w:rPr>
      </w:pPr>
      <w:r>
        <w:rPr>
          <w:rFonts w:hint="eastAsia" w:cs="Arial"/>
          <w:b/>
          <w:color w:val="auto"/>
          <w:sz w:val="32"/>
          <w:szCs w:val="32"/>
        </w:rPr>
        <w:t>招标代理机构：</w:t>
      </w:r>
      <w:r>
        <w:rPr>
          <w:rFonts w:hint="eastAsia" w:cs="Arial"/>
          <w:b/>
          <w:color w:val="auto"/>
          <w:sz w:val="32"/>
          <w:szCs w:val="32"/>
          <w:lang w:eastAsia="zh-CN"/>
        </w:rPr>
        <w:t xml:space="preserve">新疆金裕诚项目管理有限公司 </w:t>
      </w:r>
      <w:r>
        <w:rPr>
          <w:rFonts w:hint="eastAsia" w:cs="Arial"/>
          <w:b/>
          <w:color w:val="auto"/>
          <w:sz w:val="32"/>
          <w:szCs w:val="32"/>
        </w:rPr>
        <w:t xml:space="preserve"> （公章）</w:t>
      </w:r>
    </w:p>
    <w:p>
      <w:pPr>
        <w:pStyle w:val="17"/>
        <w:spacing w:line="360" w:lineRule="auto"/>
        <w:rPr>
          <w:rFonts w:hint="eastAsia" w:cs="Arial"/>
          <w:b/>
          <w:color w:val="auto"/>
          <w:sz w:val="32"/>
          <w:szCs w:val="32"/>
        </w:rPr>
      </w:pPr>
    </w:p>
    <w:p>
      <w:pPr>
        <w:pStyle w:val="17"/>
        <w:spacing w:line="360" w:lineRule="auto"/>
        <w:rPr>
          <w:rFonts w:hint="eastAsia" w:cs="Arial"/>
          <w:b/>
          <w:color w:val="auto"/>
          <w:sz w:val="32"/>
          <w:szCs w:val="32"/>
        </w:rPr>
      </w:pPr>
    </w:p>
    <w:p>
      <w:pPr>
        <w:pStyle w:val="17"/>
        <w:spacing w:line="360" w:lineRule="auto"/>
        <w:jc w:val="center"/>
        <w:rPr>
          <w:rFonts w:hint="eastAsia" w:cs="Arial"/>
          <w:b/>
          <w:color w:val="auto"/>
          <w:sz w:val="32"/>
          <w:szCs w:val="32"/>
        </w:rPr>
      </w:pPr>
      <w:r>
        <w:rPr>
          <w:rFonts w:hint="eastAsia" w:cs="Arial"/>
          <w:b/>
          <w:color w:val="auto"/>
          <w:sz w:val="32"/>
          <w:szCs w:val="32"/>
        </w:rPr>
        <w:t>日期： 20</w:t>
      </w:r>
      <w:r>
        <w:rPr>
          <w:rFonts w:hint="eastAsia" w:cs="Arial"/>
          <w:b/>
          <w:color w:val="auto"/>
          <w:sz w:val="32"/>
          <w:szCs w:val="32"/>
          <w:lang w:val="en-US" w:eastAsia="zh-CN"/>
        </w:rPr>
        <w:t>22</w:t>
      </w:r>
      <w:r>
        <w:rPr>
          <w:rFonts w:hint="eastAsia" w:cs="Arial"/>
          <w:b/>
          <w:color w:val="auto"/>
          <w:sz w:val="32"/>
          <w:szCs w:val="32"/>
        </w:rPr>
        <w:t>年</w:t>
      </w:r>
      <w:r>
        <w:rPr>
          <w:rFonts w:hint="eastAsia" w:cs="Arial"/>
          <w:b/>
          <w:color w:val="auto"/>
          <w:sz w:val="32"/>
          <w:szCs w:val="32"/>
          <w:lang w:val="en-US" w:eastAsia="zh-CN"/>
        </w:rPr>
        <w:t>8</w:t>
      </w:r>
      <w:r>
        <w:rPr>
          <w:rFonts w:hint="eastAsia" w:cs="Arial"/>
          <w:b/>
          <w:color w:val="auto"/>
          <w:sz w:val="32"/>
          <w:szCs w:val="32"/>
        </w:rPr>
        <w:t>月</w:t>
      </w:r>
    </w:p>
    <w:p>
      <w:pPr>
        <w:jc w:val="center"/>
        <w:rPr>
          <w:color w:val="auto"/>
        </w:rPr>
        <w:sectPr>
          <w:pgSz w:w="11911" w:h="16838"/>
          <w:pgMar w:top="567" w:right="1276" w:bottom="567" w:left="1678" w:header="720" w:footer="720" w:gutter="0"/>
          <w:pgNumType w:start="1"/>
          <w:cols w:space="720" w:num="1"/>
          <w:docGrid w:linePitch="312" w:charSpace="0"/>
        </w:sectPr>
      </w:pPr>
    </w:p>
    <w:bookmarkEnd w:id="0"/>
    <w:bookmarkEnd w:id="1"/>
    <w:p>
      <w:pPr>
        <w:pStyle w:val="6"/>
        <w:adjustRightInd w:val="0"/>
        <w:snapToGrid w:val="0"/>
        <w:spacing w:before="0" w:after="0" w:line="400" w:lineRule="exact"/>
        <w:rPr>
          <w:rFonts w:hint="eastAsia" w:ascii="宋体" w:hAnsi="宋体" w:eastAsia="宋体" w:cs="宋体"/>
          <w:b w:val="0"/>
          <w:bCs w:val="0"/>
          <w:color w:val="auto"/>
          <w:sz w:val="28"/>
          <w:szCs w:val="28"/>
          <w:highlight w:val="none"/>
        </w:rPr>
      </w:pPr>
      <w:bookmarkStart w:id="2" w:name="_Toc152042303"/>
      <w:bookmarkStart w:id="3" w:name="_Toc144974495"/>
      <w:bookmarkStart w:id="4" w:name="_Toc268513916"/>
      <w:bookmarkStart w:id="5" w:name="_Toc152045527"/>
      <w:bookmarkStart w:id="6" w:name="_Toc323054892"/>
      <w:bookmarkStart w:id="7" w:name="_Toc260780316"/>
      <w:bookmarkStart w:id="8" w:name="_Toc260780307"/>
    </w:p>
    <w:bookmarkEnd w:id="2"/>
    <w:bookmarkEnd w:id="3"/>
    <w:bookmarkEnd w:id="4"/>
    <w:bookmarkEnd w:id="5"/>
    <w:bookmarkEnd w:id="6"/>
    <w:bookmarkEnd w:id="7"/>
    <w:bookmarkEnd w:id="8"/>
    <w:p>
      <w:pPr>
        <w:pStyle w:val="24"/>
        <w:tabs>
          <w:tab w:val="right" w:leader="dot" w:pos="8296"/>
        </w:tabs>
        <w:ind w:left="0" w:leftChars="0" w:firstLine="0" w:firstLineChars="0"/>
        <w:jc w:val="center"/>
        <w:rPr>
          <w:rFonts w:hint="eastAsia" w:ascii="宋体" w:hAnsi="宋体" w:eastAsia="宋体" w:cs="宋体"/>
          <w:b/>
          <w:bCs/>
          <w:color w:val="auto"/>
          <w:sz w:val="36"/>
          <w:szCs w:val="36"/>
          <w:highlight w:val="none"/>
          <w:lang w:val="en-US" w:eastAsia="zh-CN"/>
        </w:rPr>
      </w:pPr>
      <w:bookmarkStart w:id="9" w:name="_Toc26317"/>
      <w:bookmarkStart w:id="10" w:name="_Toc16949"/>
      <w:bookmarkStart w:id="11" w:name="_Toc144974496"/>
      <w:bookmarkStart w:id="12" w:name="_Toc152042304"/>
      <w:bookmarkStart w:id="13" w:name="_Toc260780317"/>
      <w:bookmarkStart w:id="14" w:name="_Toc152045528"/>
      <w:r>
        <w:rPr>
          <w:rFonts w:hint="eastAsia" w:ascii="宋体" w:hAnsi="宋体" w:cs="宋体"/>
          <w:b/>
          <w:bCs/>
          <w:color w:val="auto"/>
          <w:sz w:val="36"/>
          <w:szCs w:val="36"/>
          <w:highlight w:val="none"/>
          <w:lang w:val="en-US" w:eastAsia="zh-CN"/>
        </w:rPr>
        <w:t>目  录</w:t>
      </w:r>
    </w:p>
    <w:p>
      <w:pPr>
        <w:pStyle w:val="6"/>
        <w:adjustRightInd w:val="0"/>
        <w:snapToGrid w:val="0"/>
        <w:spacing w:before="0" w:after="0" w:line="400" w:lineRule="exact"/>
        <w:rPr>
          <w:rFonts w:hint="eastAsia" w:ascii="宋体" w:hAnsi="宋体" w:eastAsia="宋体" w:cs="宋体"/>
          <w:b w:val="0"/>
          <w:bCs w:val="0"/>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bookmarkStart w:id="15" w:name="_Toc29226"/>
      <w:bookmarkStart w:id="16" w:name="_Toc260780308"/>
      <w:bookmarkStart w:id="17" w:name="_Toc323054893"/>
      <w:bookmarkStart w:id="18" w:name="_Toc491"/>
      <w:r>
        <w:rPr>
          <w:rFonts w:hint="eastAsia" w:ascii="宋体" w:hAnsi="宋体" w:eastAsia="宋体" w:cs="宋体"/>
          <w:b w:val="0"/>
          <w:bCs w:val="0"/>
          <w:color w:val="auto"/>
          <w:sz w:val="28"/>
          <w:szCs w:val="28"/>
          <w:highlight w:val="none"/>
        </w:rPr>
        <w:t xml:space="preserve">第一章  </w:t>
      </w:r>
      <w:bookmarkEnd w:id="15"/>
      <w:bookmarkEnd w:id="16"/>
      <w:bookmarkEnd w:id="17"/>
      <w:bookmarkEnd w:id="18"/>
      <w:r>
        <w:rPr>
          <w:rFonts w:hint="eastAsia" w:ascii="宋体" w:hAnsi="宋体" w:eastAsia="宋体" w:cs="宋体"/>
          <w:b w:val="0"/>
          <w:bCs w:val="0"/>
          <w:color w:val="auto"/>
          <w:sz w:val="28"/>
          <w:szCs w:val="28"/>
          <w:highlight w:val="none"/>
          <w:lang w:val="en-US" w:eastAsia="zh-CN"/>
        </w:rPr>
        <w:t>招标公告..........................................2</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二</w:t>
      </w:r>
      <w:r>
        <w:rPr>
          <w:rFonts w:hint="eastAsia" w:ascii="宋体" w:hAnsi="宋体" w:eastAsia="宋体" w:cs="宋体"/>
          <w:b w:val="0"/>
          <w:bCs w:val="0"/>
          <w:color w:val="auto"/>
          <w:sz w:val="28"/>
          <w:szCs w:val="28"/>
          <w:highlight w:val="none"/>
        </w:rPr>
        <w:t xml:space="preserve">章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投标人须知</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5</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投标人须知前附表</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5</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1、总则...................................................1</w:t>
      </w:r>
      <w:r>
        <w:rPr>
          <w:rFonts w:hint="eastAsia" w:ascii="宋体" w:hAnsi="宋体" w:cs="宋体"/>
          <w:b w:val="0"/>
          <w:bCs w:val="0"/>
          <w:color w:val="auto"/>
          <w:sz w:val="28"/>
          <w:szCs w:val="28"/>
          <w:highlight w:val="none"/>
          <w:lang w:val="en-US" w:eastAsia="zh-CN"/>
        </w:rPr>
        <w:t>3</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2、招标文件...............................................1</w:t>
      </w:r>
      <w:r>
        <w:rPr>
          <w:rFonts w:hint="eastAsia" w:ascii="宋体" w:hAnsi="宋体" w:cs="宋体"/>
          <w:b w:val="0"/>
          <w:bCs w:val="0"/>
          <w:color w:val="auto"/>
          <w:sz w:val="28"/>
          <w:szCs w:val="28"/>
          <w:highlight w:val="none"/>
          <w:lang w:val="en-US" w:eastAsia="zh-CN"/>
        </w:rPr>
        <w:t>5</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3、投标文件...............................................1</w:t>
      </w:r>
      <w:r>
        <w:rPr>
          <w:rFonts w:hint="eastAsia" w:ascii="宋体" w:hAnsi="宋体" w:cs="宋体"/>
          <w:b w:val="0"/>
          <w:bCs w:val="0"/>
          <w:color w:val="auto"/>
          <w:sz w:val="28"/>
          <w:szCs w:val="28"/>
          <w:highlight w:val="none"/>
          <w:lang w:val="en-US" w:eastAsia="zh-CN"/>
        </w:rPr>
        <w:t>6</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4、投标...................................................1</w:t>
      </w:r>
      <w:r>
        <w:rPr>
          <w:rFonts w:hint="eastAsia" w:ascii="宋体" w:hAnsi="宋体" w:cs="宋体"/>
          <w:b w:val="0"/>
          <w:bCs w:val="0"/>
          <w:color w:val="auto"/>
          <w:sz w:val="28"/>
          <w:szCs w:val="28"/>
          <w:highlight w:val="none"/>
          <w:lang w:val="en-US" w:eastAsia="zh-CN"/>
        </w:rPr>
        <w:t>8</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5、开标...................................................1</w:t>
      </w:r>
      <w:r>
        <w:rPr>
          <w:rFonts w:hint="eastAsia" w:ascii="宋体" w:hAnsi="宋体" w:cs="宋体"/>
          <w:b w:val="0"/>
          <w:bCs w:val="0"/>
          <w:color w:val="auto"/>
          <w:sz w:val="28"/>
          <w:szCs w:val="28"/>
          <w:highlight w:val="none"/>
          <w:lang w:val="en-US" w:eastAsia="zh-CN"/>
        </w:rPr>
        <w:t>8</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6、评标...................................................1</w:t>
      </w:r>
      <w:r>
        <w:rPr>
          <w:rFonts w:hint="eastAsia" w:ascii="宋体" w:hAnsi="宋体" w:cs="宋体"/>
          <w:b w:val="0"/>
          <w:bCs w:val="0"/>
          <w:color w:val="auto"/>
          <w:sz w:val="28"/>
          <w:szCs w:val="28"/>
          <w:highlight w:val="none"/>
          <w:lang w:val="en-US" w:eastAsia="zh-CN"/>
        </w:rPr>
        <w:t>9</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7、合同授予...............................................1</w:t>
      </w:r>
      <w:r>
        <w:rPr>
          <w:rFonts w:hint="eastAsia" w:ascii="宋体" w:hAnsi="宋体" w:cs="宋体"/>
          <w:b w:val="0"/>
          <w:bCs w:val="0"/>
          <w:color w:val="auto"/>
          <w:sz w:val="28"/>
          <w:szCs w:val="28"/>
          <w:highlight w:val="none"/>
          <w:lang w:val="en-US" w:eastAsia="zh-CN"/>
        </w:rPr>
        <w:t>9</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8、重新招标和不再招标.....................................</w:t>
      </w:r>
      <w:r>
        <w:rPr>
          <w:rFonts w:hint="eastAsia" w:ascii="宋体" w:hAnsi="宋体" w:cs="宋体"/>
          <w:b w:val="0"/>
          <w:bCs w:val="0"/>
          <w:color w:val="auto"/>
          <w:sz w:val="28"/>
          <w:szCs w:val="28"/>
          <w:highlight w:val="none"/>
          <w:lang w:val="en-US" w:eastAsia="zh-CN"/>
        </w:rPr>
        <w:t>20</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9、纪律和监督.............................................</w:t>
      </w:r>
      <w:r>
        <w:rPr>
          <w:rFonts w:hint="eastAsia" w:ascii="宋体" w:hAnsi="宋体" w:cs="宋体"/>
          <w:b w:val="0"/>
          <w:bCs w:val="0"/>
          <w:color w:val="auto"/>
          <w:sz w:val="28"/>
          <w:szCs w:val="28"/>
          <w:highlight w:val="none"/>
          <w:lang w:val="en-US" w:eastAsia="zh-CN"/>
        </w:rPr>
        <w:t>21</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10、询问、质疑、投诉.......................................</w:t>
      </w:r>
      <w:r>
        <w:rPr>
          <w:rFonts w:hint="eastAsia" w:ascii="宋体" w:hAnsi="宋体" w:cs="宋体"/>
          <w:b w:val="0"/>
          <w:bCs w:val="0"/>
          <w:color w:val="auto"/>
          <w:sz w:val="28"/>
          <w:szCs w:val="28"/>
          <w:highlight w:val="none"/>
          <w:lang w:val="en-US" w:eastAsia="zh-CN"/>
        </w:rPr>
        <w:t>21</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11、项目验收..............................................2</w:t>
      </w:r>
      <w:r>
        <w:rPr>
          <w:rFonts w:hint="eastAsia" w:ascii="宋体" w:hAnsi="宋体" w:cs="宋体"/>
          <w:b w:val="0"/>
          <w:bCs w:val="0"/>
          <w:color w:val="auto"/>
          <w:sz w:val="28"/>
          <w:szCs w:val="28"/>
          <w:highlight w:val="none"/>
          <w:lang w:val="en-US" w:eastAsia="zh-CN"/>
        </w:rPr>
        <w:t>4</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12、需要补充的其他内容....................................2</w:t>
      </w:r>
      <w:r>
        <w:rPr>
          <w:rFonts w:hint="eastAsia" w:ascii="宋体" w:hAnsi="宋体" w:cs="宋体"/>
          <w:b w:val="0"/>
          <w:bCs w:val="0"/>
          <w:color w:val="auto"/>
          <w:sz w:val="28"/>
          <w:szCs w:val="28"/>
          <w:highlight w:val="none"/>
          <w:lang w:val="en-US" w:eastAsia="zh-CN"/>
        </w:rPr>
        <w:t>4</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三</w:t>
      </w:r>
      <w:r>
        <w:rPr>
          <w:rFonts w:hint="eastAsia" w:ascii="宋体" w:hAnsi="宋体" w:eastAsia="宋体" w:cs="宋体"/>
          <w:b w:val="0"/>
          <w:bCs w:val="0"/>
          <w:color w:val="auto"/>
          <w:sz w:val="28"/>
          <w:szCs w:val="28"/>
          <w:highlight w:val="none"/>
        </w:rPr>
        <w:t xml:space="preserve">章 </w:t>
      </w:r>
      <w:r>
        <w:rPr>
          <w:rFonts w:hint="eastAsia" w:ascii="宋体" w:hAnsi="宋体" w:eastAsia="宋体" w:cs="宋体"/>
          <w:b w:val="0"/>
          <w:bCs w:val="0"/>
          <w:color w:val="auto"/>
          <w:sz w:val="28"/>
          <w:szCs w:val="28"/>
          <w:highlight w:val="none"/>
          <w:lang w:val="en-US" w:eastAsia="zh-CN"/>
        </w:rPr>
        <w:t xml:space="preserve"> 评标办法.........................................</w:t>
      </w:r>
      <w:r>
        <w:rPr>
          <w:rFonts w:hint="eastAsia" w:ascii="宋体" w:hAnsi="宋体" w:cs="宋体"/>
          <w:b w:val="0"/>
          <w:bCs w:val="0"/>
          <w:color w:val="auto"/>
          <w:sz w:val="28"/>
          <w:szCs w:val="28"/>
          <w:highlight w:val="none"/>
          <w:lang w:val="en-US" w:eastAsia="zh-CN"/>
        </w:rPr>
        <w:t>25</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第四章  技术标准和要求</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33</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宋体" w:hAnsi="宋体" w:eastAsia="宋体" w:cs="宋体"/>
          <w:color w:val="auto"/>
          <w:sz w:val="28"/>
          <w:szCs w:val="28"/>
          <w:highlight w:val="none"/>
          <w:lang w:val="en-US"/>
        </w:rPr>
        <w:sectPr>
          <w:headerReference r:id="rId3" w:type="default"/>
          <w:footerReference r:id="rId4" w:type="default"/>
          <w:pgSz w:w="11906" w:h="16838"/>
          <w:pgMar w:top="1440" w:right="1800" w:bottom="1440" w:left="1800" w:header="850" w:footer="1020" w:gutter="0"/>
          <w:pgNumType w:fmt="decimal" w:start="1"/>
          <w:cols w:space="720" w:num="1"/>
          <w:docGrid w:linePitch="312" w:charSpace="0"/>
        </w:sectPr>
      </w:pPr>
      <w:r>
        <w:rPr>
          <w:rFonts w:hint="eastAsia" w:ascii="宋体" w:hAnsi="宋体" w:eastAsia="宋体" w:cs="宋体"/>
          <w:b w:val="0"/>
          <w:bCs w:val="0"/>
          <w:color w:val="auto"/>
          <w:sz w:val="28"/>
          <w:szCs w:val="28"/>
          <w:highlight w:val="none"/>
        </w:rPr>
        <w:t>第</w:t>
      </w:r>
      <w:r>
        <w:rPr>
          <w:rFonts w:hint="eastAsia" w:ascii="宋体" w:hAnsi="宋体" w:cs="宋体"/>
          <w:b w:val="0"/>
          <w:bCs w:val="0"/>
          <w:color w:val="auto"/>
          <w:sz w:val="28"/>
          <w:szCs w:val="28"/>
          <w:highlight w:val="none"/>
          <w:lang w:val="en-US" w:eastAsia="zh-CN"/>
        </w:rPr>
        <w:t>五</w:t>
      </w:r>
      <w:r>
        <w:rPr>
          <w:rFonts w:hint="eastAsia" w:ascii="宋体" w:hAnsi="宋体" w:eastAsia="宋体" w:cs="宋体"/>
          <w:b w:val="0"/>
          <w:bCs w:val="0"/>
          <w:color w:val="auto"/>
          <w:sz w:val="28"/>
          <w:szCs w:val="28"/>
          <w:highlight w:val="none"/>
        </w:rPr>
        <w:t xml:space="preserve">章 </w:t>
      </w:r>
      <w:r>
        <w:rPr>
          <w:rFonts w:hint="eastAsia" w:ascii="宋体" w:hAnsi="宋体" w:eastAsia="宋体" w:cs="宋体"/>
          <w:b w:val="0"/>
          <w:bCs w:val="0"/>
          <w:color w:val="auto"/>
          <w:sz w:val="28"/>
          <w:szCs w:val="28"/>
          <w:highlight w:val="none"/>
          <w:lang w:val="en-US" w:eastAsia="zh-CN"/>
        </w:rPr>
        <w:t xml:space="preserve"> 合同条款及格式...................................</w:t>
      </w:r>
      <w:r>
        <w:rPr>
          <w:rFonts w:hint="eastAsia" w:ascii="宋体" w:hAnsi="宋体" w:cs="宋体"/>
          <w:b w:val="0"/>
          <w:bCs w:val="0"/>
          <w:color w:val="auto"/>
          <w:sz w:val="28"/>
          <w:szCs w:val="28"/>
          <w:highlight w:val="none"/>
          <w:lang w:val="en-US" w:eastAsia="zh-CN"/>
        </w:rPr>
        <w:t>72</w:t>
      </w:r>
      <w:r>
        <w:rPr>
          <w:rFonts w:hint="eastAsia" w:ascii="宋体" w:hAnsi="宋体" w:eastAsia="宋体" w:cs="宋体"/>
          <w:b w:val="0"/>
          <w:bCs w:val="0"/>
          <w:color w:val="auto"/>
          <w:sz w:val="28"/>
          <w:szCs w:val="28"/>
          <w:highlight w:val="none"/>
        </w:rPr>
        <w:t>第</w:t>
      </w:r>
      <w:r>
        <w:rPr>
          <w:rFonts w:hint="eastAsia" w:ascii="宋体" w:hAnsi="宋体" w:cs="宋体"/>
          <w:b w:val="0"/>
          <w:bCs w:val="0"/>
          <w:color w:val="auto"/>
          <w:sz w:val="28"/>
          <w:szCs w:val="28"/>
          <w:highlight w:val="none"/>
          <w:lang w:val="en-US" w:eastAsia="zh-CN"/>
        </w:rPr>
        <w:t>六</w:t>
      </w:r>
      <w:r>
        <w:rPr>
          <w:rFonts w:hint="eastAsia" w:ascii="宋体" w:hAnsi="宋体" w:eastAsia="宋体" w:cs="宋体"/>
          <w:b w:val="0"/>
          <w:bCs w:val="0"/>
          <w:color w:val="auto"/>
          <w:sz w:val="28"/>
          <w:szCs w:val="28"/>
          <w:highlight w:val="none"/>
        </w:rPr>
        <w:t xml:space="preserve">章 </w:t>
      </w:r>
      <w:r>
        <w:rPr>
          <w:rFonts w:hint="eastAsia" w:ascii="宋体" w:hAnsi="宋体" w:eastAsia="宋体" w:cs="宋体"/>
          <w:b w:val="0"/>
          <w:bCs w:val="0"/>
          <w:color w:val="auto"/>
          <w:sz w:val="28"/>
          <w:szCs w:val="28"/>
          <w:highlight w:val="none"/>
          <w:lang w:val="en-US" w:eastAsia="zh-CN"/>
        </w:rPr>
        <w:t xml:space="preserve"> 投标文件格式.....................................</w:t>
      </w:r>
      <w:r>
        <w:rPr>
          <w:rFonts w:hint="eastAsia" w:ascii="宋体" w:hAnsi="宋体" w:cs="宋体"/>
          <w:b w:val="0"/>
          <w:bCs w:val="0"/>
          <w:color w:val="auto"/>
          <w:sz w:val="28"/>
          <w:szCs w:val="28"/>
          <w:highlight w:val="none"/>
          <w:lang w:val="en-US" w:eastAsia="zh-CN"/>
        </w:rPr>
        <w:t>85</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80" w:lineRule="exact"/>
        <w:ind w:leftChars="200" w:right="0" w:rightChars="0"/>
        <w:jc w:val="center"/>
        <w:textAlignment w:val="auto"/>
        <w:outlineLvl w:val="9"/>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招标公告</w:t>
      </w:r>
    </w:p>
    <w:p>
      <w:pPr>
        <w:pStyle w:val="33"/>
        <w:numPr>
          <w:ilvl w:val="0"/>
          <w:numId w:val="0"/>
        </w:numPr>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kern w:val="0"/>
          <w:sz w:val="24"/>
          <w:szCs w:val="24"/>
        </w:rPr>
        <w:t xml:space="preserve"> </w:t>
      </w:r>
      <w:r>
        <w:rPr>
          <w:rFonts w:hint="eastAsia" w:ascii="宋体" w:hAnsi="宋体"/>
          <w:color w:val="auto"/>
          <w:kern w:val="0"/>
          <w:sz w:val="24"/>
          <w:szCs w:val="24"/>
          <w:u w:val="single"/>
          <w:lang w:val="en-US" w:eastAsia="zh-CN"/>
        </w:rPr>
        <w:t>2022年职业教育质量提升-实训基地建设项目</w:t>
      </w:r>
      <w:r>
        <w:rPr>
          <w:rFonts w:hint="eastAsia" w:ascii="宋体" w:hAnsi="宋体"/>
          <w:color w:val="auto"/>
          <w:sz w:val="24"/>
          <w:szCs w:val="24"/>
        </w:rPr>
        <w:t>，招标人为</w:t>
      </w:r>
      <w:r>
        <w:rPr>
          <w:rFonts w:hint="eastAsia" w:ascii="宋体" w:hAnsi="宋体"/>
          <w:color w:val="auto"/>
          <w:sz w:val="24"/>
          <w:szCs w:val="24"/>
          <w:u w:val="single"/>
          <w:lang w:val="en-US" w:eastAsia="zh-CN"/>
        </w:rPr>
        <w:t>玛纳斯中等职业技术学校</w:t>
      </w:r>
      <w:r>
        <w:rPr>
          <w:rFonts w:hint="eastAsia" w:ascii="宋体" w:hAnsi="宋体"/>
          <w:color w:val="auto"/>
          <w:sz w:val="24"/>
          <w:szCs w:val="24"/>
        </w:rPr>
        <w:t>。该项目已具备招标条件，现决定对该项目进行公开招标。</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rPr>
      </w:pPr>
      <w:r>
        <w:rPr>
          <w:rFonts w:hint="eastAsia" w:ascii="宋体" w:hAnsi="宋体"/>
          <w:color w:val="auto"/>
          <w:sz w:val="24"/>
          <w:szCs w:val="24"/>
          <w:lang w:val="en-US" w:eastAsia="zh-CN"/>
        </w:rPr>
        <w:t>一、</w:t>
      </w:r>
      <w:r>
        <w:rPr>
          <w:rFonts w:hint="eastAsia" w:ascii="宋体" w:hAnsi="宋体"/>
          <w:color w:val="auto"/>
          <w:sz w:val="24"/>
          <w:szCs w:val="24"/>
        </w:rPr>
        <w:t>项目概况</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right="0" w:rightChars="0" w:firstLine="480" w:firstLineChars="200"/>
        <w:textAlignment w:val="auto"/>
        <w:outlineLvl w:val="9"/>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1、项目编号：2022JYCZB-CW031</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kern w:val="2"/>
          <w:sz w:val="24"/>
          <w:szCs w:val="24"/>
          <w:lang w:eastAsia="zh-CN"/>
        </w:rPr>
      </w:pPr>
      <w:r>
        <w:rPr>
          <w:rFonts w:hint="eastAsia" w:ascii="宋体" w:hAnsi="宋体"/>
          <w:color w:val="auto"/>
          <w:sz w:val="24"/>
          <w:szCs w:val="24"/>
          <w:lang w:val="en-US" w:eastAsia="zh-CN"/>
        </w:rPr>
        <w:t>2、</w:t>
      </w:r>
      <w:r>
        <w:rPr>
          <w:rFonts w:hint="eastAsia" w:ascii="宋体" w:hAnsi="宋体"/>
          <w:color w:val="auto"/>
          <w:sz w:val="24"/>
          <w:szCs w:val="24"/>
        </w:rPr>
        <w:t>项目名称：</w:t>
      </w:r>
      <w:r>
        <w:rPr>
          <w:rFonts w:hint="eastAsia" w:ascii="宋体" w:hAnsi="宋体"/>
          <w:color w:val="auto"/>
          <w:kern w:val="2"/>
          <w:sz w:val="24"/>
          <w:szCs w:val="24"/>
          <w:lang w:eastAsia="zh-CN"/>
        </w:rPr>
        <w:t>2022年职业教育质量提升-实训基地建设项目</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rPr>
      </w:pPr>
      <w:r>
        <w:rPr>
          <w:rFonts w:hint="eastAsia" w:ascii="宋体" w:hAnsi="宋体"/>
          <w:color w:val="auto"/>
          <w:sz w:val="24"/>
          <w:szCs w:val="24"/>
          <w:lang w:val="en-US" w:eastAsia="zh-CN"/>
        </w:rPr>
        <w:t>3、项目</w:t>
      </w:r>
      <w:r>
        <w:rPr>
          <w:rFonts w:hint="eastAsia" w:ascii="宋体" w:hAnsi="宋体"/>
          <w:color w:val="auto"/>
          <w:sz w:val="24"/>
          <w:szCs w:val="24"/>
        </w:rPr>
        <w:t>地点：</w:t>
      </w:r>
      <w:r>
        <w:rPr>
          <w:rFonts w:hint="eastAsia" w:ascii="宋体" w:hAnsi="宋体"/>
          <w:color w:val="auto"/>
          <w:kern w:val="2"/>
          <w:sz w:val="24"/>
          <w:szCs w:val="24"/>
          <w:lang w:eastAsia="zh-CN"/>
        </w:rPr>
        <w:t>玛纳斯中等职业技术学校</w:t>
      </w:r>
      <w:r>
        <w:rPr>
          <w:rFonts w:hint="eastAsia" w:ascii="宋体" w:hAnsi="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color w:val="auto"/>
          <w:kern w:val="2"/>
          <w:sz w:val="24"/>
          <w:szCs w:val="24"/>
          <w:highlight w:val="none"/>
          <w:lang w:eastAsia="zh-CN"/>
        </w:rPr>
      </w:pPr>
      <w:r>
        <w:rPr>
          <w:rFonts w:hint="eastAsia" w:ascii="宋体" w:hAnsi="宋体"/>
          <w:color w:val="auto"/>
          <w:kern w:val="2"/>
          <w:sz w:val="24"/>
          <w:szCs w:val="24"/>
          <w:lang w:val="en-US" w:eastAsia="zh-CN"/>
        </w:rPr>
        <w:t>4、采购内容</w:t>
      </w:r>
      <w:r>
        <w:rPr>
          <w:rFonts w:hint="eastAsia" w:ascii="宋体" w:hAnsi="宋体"/>
          <w:color w:val="auto"/>
          <w:kern w:val="2"/>
          <w:sz w:val="24"/>
          <w:szCs w:val="24"/>
          <w:lang w:eastAsia="zh-CN"/>
        </w:rPr>
        <w:t>：工业机器人操作与运维工作站4台；工业机器人离线编程软件；仿真实训系统1套；3D打印机2台；工业传感器应用平台8台；智能家居安装与维护系统；虚拟焊机培训平台2套；电工技能仿真实训软件；</w:t>
      </w:r>
      <w:r>
        <w:rPr>
          <w:rFonts w:hint="eastAsia" w:ascii="宋体" w:hAnsi="宋体"/>
          <w:color w:val="auto"/>
          <w:kern w:val="2"/>
          <w:sz w:val="24"/>
          <w:szCs w:val="24"/>
          <w:highlight w:val="none"/>
          <w:lang w:eastAsia="zh-CN"/>
        </w:rPr>
        <w:t>工业机器视觉编程与应用技术平台4台</w:t>
      </w:r>
      <w:r>
        <w:rPr>
          <w:rFonts w:hint="eastAsia" w:ascii="宋体" w:hAnsi="宋体"/>
          <w:color w:val="auto"/>
          <w:kern w:val="2"/>
          <w:sz w:val="24"/>
          <w:szCs w:val="24"/>
          <w:highlight w:val="none"/>
          <w:lang w:val="en-US" w:eastAsia="zh-CN"/>
        </w:rPr>
        <w:t>，具体内容详见招标文件</w:t>
      </w:r>
      <w:r>
        <w:rPr>
          <w:rFonts w:hint="eastAsia" w:ascii="宋体" w:hAnsi="宋体"/>
          <w:color w:val="auto"/>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bidi="ar-SA"/>
        </w:rPr>
        <w:t>5、</w:t>
      </w:r>
      <w:r>
        <w:rPr>
          <w:rFonts w:hint="eastAsia" w:ascii="宋体" w:hAnsi="宋体" w:eastAsia="宋体" w:cs="宋体"/>
          <w:color w:val="auto"/>
          <w:sz w:val="24"/>
          <w:szCs w:val="24"/>
          <w:highlight w:val="none"/>
          <w:lang w:val="en-US" w:eastAsia="zh-CN"/>
        </w:rPr>
        <w:t>投资额：</w:t>
      </w:r>
      <w:r>
        <w:rPr>
          <w:rFonts w:hint="eastAsia" w:ascii="宋体" w:hAnsi="宋体" w:cs="宋体"/>
          <w:color w:val="auto"/>
          <w:sz w:val="24"/>
          <w:szCs w:val="24"/>
          <w:highlight w:val="none"/>
          <w:lang w:val="en-US" w:eastAsia="zh-CN"/>
        </w:rPr>
        <w:t>500万元。</w:t>
      </w:r>
    </w:p>
    <w:p>
      <w:pPr>
        <w:pStyle w:val="39"/>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bidi="ar-SA"/>
        </w:rPr>
        <w:t>6、资金来源：财政资金。</w:t>
      </w:r>
    </w:p>
    <w:p>
      <w:pPr>
        <w:pStyle w:val="39"/>
        <w:keepNext w:val="0"/>
        <w:keepLines w:val="0"/>
        <w:pageBreakBefore w:val="0"/>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本项目招标</w:t>
      </w:r>
      <w:r>
        <w:rPr>
          <w:rFonts w:hint="eastAsia" w:ascii="宋体" w:hAnsi="宋体"/>
          <w:color w:val="auto"/>
          <w:sz w:val="24"/>
          <w:szCs w:val="24"/>
          <w:highlight w:val="none"/>
          <w:lang w:eastAsia="zh-CN"/>
        </w:rPr>
        <w:t>不分</w:t>
      </w:r>
      <w:r>
        <w:rPr>
          <w:rFonts w:hint="eastAsia" w:ascii="宋体" w:hAnsi="宋体"/>
          <w:color w:val="auto"/>
          <w:sz w:val="24"/>
          <w:szCs w:val="24"/>
          <w:highlight w:val="none"/>
        </w:rPr>
        <w:t>标段。</w:t>
      </w:r>
    </w:p>
    <w:p>
      <w:pPr>
        <w:pStyle w:val="39"/>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8、本项目不接受联合体投标。</w:t>
      </w:r>
    </w:p>
    <w:p>
      <w:pPr>
        <w:pStyle w:val="39"/>
        <w:keepNext w:val="0"/>
        <w:keepLines w:val="0"/>
        <w:pageBreakBefore w:val="0"/>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9、资格审查方式：资格后审。</w:t>
      </w:r>
    </w:p>
    <w:p>
      <w:pPr>
        <w:pStyle w:val="39"/>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二、投标人资格要求</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满足《中华人民共和国政府采购法》第二十二条要求相关规定</w:t>
      </w:r>
      <w:r>
        <w:rPr>
          <w:rFonts w:hint="eastAsia" w:ascii="宋体" w:hAnsi="宋体" w:cs="宋体"/>
          <w:color w:val="auto"/>
          <w:sz w:val="24"/>
          <w:szCs w:val="24"/>
          <w:lang w:eastAsia="zh-CN"/>
        </w:rPr>
        <w:t>，</w:t>
      </w:r>
      <w:r>
        <w:rPr>
          <w:rFonts w:hint="eastAsia" w:ascii="宋体" w:hAnsi="宋体" w:cs="宋体"/>
          <w:color w:val="auto"/>
          <w:sz w:val="24"/>
          <w:szCs w:val="24"/>
        </w:rPr>
        <w:t>供应商参加政府采购活动应当具备下列条件：（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r>
        <w:rPr>
          <w:rFonts w:hint="eastAsia" w:ascii="宋体" w:hAnsi="宋体" w:cs="宋体"/>
          <w:color w:val="auto"/>
          <w:sz w:val="24"/>
          <w:szCs w:val="24"/>
          <w:lang w:eastAsia="zh-CN"/>
        </w:rPr>
        <w:t>。</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2、落实政府采购政策需满足的资格要求：(1)《政府采购促进中小企业发展管理办法》（财库〔2020〕46号）；</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(2)《财政部、司法部关于政府采购支持监狱企业发展有关问题的通知》（财库〔2014〕68号）；</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right="0" w:rightChars="0" w:firstLine="480" w:firstLineChars="200"/>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(3)《财政部 民政部 中国残疾人联合会关于促进残疾人就业政府采购政策的通知》（财库〔2017〕141号）。</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3、本项目的特定资格要求：（1）投标人须在中华人民共和国合法注册并具有独立法人资格，营业执照经年检有效且须有相应经营范围。</w:t>
      </w:r>
    </w:p>
    <w:p>
      <w:pPr>
        <w:pStyle w:val="39"/>
        <w:keepNext w:val="0"/>
        <w:keepLines w:val="0"/>
        <w:pageBreakBefore w:val="0"/>
        <w:numPr>
          <w:ilvl w:val="0"/>
          <w:numId w:val="0"/>
        </w:numPr>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eastAsiaTheme="minorEastAsia"/>
          <w:color w:val="auto"/>
          <w:kern w:val="2"/>
          <w:sz w:val="24"/>
          <w:szCs w:val="24"/>
          <w:lang w:eastAsia="zh-CN"/>
        </w:rPr>
      </w:pPr>
      <w:r>
        <w:rPr>
          <w:rFonts w:hint="eastAsia" w:ascii="宋体" w:hAnsi="宋体"/>
          <w:color w:val="auto"/>
          <w:sz w:val="24"/>
          <w:szCs w:val="24"/>
          <w:highlight w:val="none"/>
          <w:lang w:val="en-US" w:eastAsia="zh-CN"/>
        </w:rPr>
        <w:t>（2）</w:t>
      </w:r>
      <w:r>
        <w:rPr>
          <w:rFonts w:hint="eastAsia" w:ascii="宋体" w:hAnsi="宋体" w:eastAsia="宋体" w:cs="宋体"/>
          <w:color w:val="auto"/>
          <w:kern w:val="2"/>
          <w:sz w:val="24"/>
          <w:szCs w:val="24"/>
          <w:lang w:val="en-US" w:eastAsia="zh-CN" w:bidi="ar-SA"/>
        </w:rPr>
        <w:t>根据《财政部关于在政府采购活动中查询及使用信用记录有关问题的通知》（财库﹝2016﹞125号）的要求，凡拟参加本次招标项目的投标人，如在“信用中国”网（www.creditchina.gov.cn）、中国政府采购网（www.ccgp.gov.cn）</w:t>
      </w:r>
      <w:r>
        <w:rPr>
          <w:rFonts w:hint="eastAsia" w:ascii="宋体" w:hAnsi="宋体" w:eastAsia="宋体" w:cs="宋体"/>
          <w:color w:val="auto"/>
          <w:sz w:val="24"/>
          <w:szCs w:val="24"/>
          <w:lang w:val="en-US" w:eastAsia="zh-CN"/>
        </w:rPr>
        <w:t>列入失信被执行人、重大税收违法案件当事人名单、政府采购严重违法失信行为记录名单的</w:t>
      </w:r>
      <w:r>
        <w:rPr>
          <w:rFonts w:hint="eastAsia" w:ascii="宋体" w:hAnsi="宋体" w:eastAsia="宋体" w:cs="宋体"/>
          <w:color w:val="auto"/>
          <w:kern w:val="2"/>
          <w:sz w:val="24"/>
          <w:szCs w:val="24"/>
          <w:lang w:val="en-US" w:eastAsia="zh-CN" w:bidi="ar-SA"/>
        </w:rPr>
        <w:t>（尚在处罚期内的），将拒绝其参加本次政府采购活动；</w:t>
      </w:r>
    </w:p>
    <w:p>
      <w:pPr>
        <w:pStyle w:val="39"/>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right="0" w:rightChars="0" w:firstLine="480" w:firstLineChars="200"/>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（3）单位负责人为同一人或者存在直接控股、管理关系的不同投标人，不得参加同一合同项下的政府采购活动。否则，皆取消投标资格。</w:t>
      </w:r>
    </w:p>
    <w:p>
      <w:pPr>
        <w:pStyle w:val="39"/>
        <w:keepNext w:val="0"/>
        <w:keepLines w:val="0"/>
        <w:pageBreakBefore w:val="0"/>
        <w:numPr>
          <w:ilvl w:val="0"/>
          <w:numId w:val="0"/>
        </w:numPr>
        <w:kinsoku/>
        <w:wordWrap/>
        <w:overflowPunct/>
        <w:topLinePunct w:val="0"/>
        <w:autoSpaceDE/>
        <w:autoSpaceDN/>
        <w:bidi w:val="0"/>
        <w:adjustRightInd/>
        <w:snapToGrid/>
        <w:spacing w:line="440" w:lineRule="atLeast"/>
        <w:ind w:leftChars="0" w:right="0" w:rightChars="0"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三、招标文件领取</w:t>
      </w:r>
    </w:p>
    <w:p>
      <w:pPr>
        <w:pStyle w:val="39"/>
        <w:keepNext w:val="0"/>
        <w:keepLines w:val="0"/>
        <w:pageBreakBefore w:val="0"/>
        <w:numPr>
          <w:ilvl w:val="0"/>
          <w:numId w:val="0"/>
        </w:numPr>
        <w:kinsoku/>
        <w:wordWrap/>
        <w:overflowPunct/>
        <w:topLinePunct w:val="0"/>
        <w:autoSpaceDE/>
        <w:autoSpaceDN/>
        <w:bidi w:val="0"/>
        <w:adjustRightInd/>
        <w:snapToGrid/>
        <w:spacing w:line="440" w:lineRule="atLeast"/>
        <w:ind w:leftChars="0" w:right="0" w:rightChars="0"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1、领取时间：</w:t>
      </w:r>
      <w:r>
        <w:rPr>
          <w:rFonts w:hint="eastAsia" w:ascii="宋体" w:hAnsi="宋体"/>
          <w:color w:val="auto"/>
          <w:sz w:val="24"/>
          <w:szCs w:val="24"/>
          <w:lang w:eastAsia="zh-CN"/>
        </w:rPr>
        <w:t>202</w:t>
      </w:r>
      <w:r>
        <w:rPr>
          <w:rFonts w:hint="eastAsia" w:ascii="宋体" w:hAnsi="宋体"/>
          <w:color w:val="auto"/>
          <w:sz w:val="24"/>
          <w:szCs w:val="24"/>
          <w:lang w:val="en-US" w:eastAsia="zh-CN"/>
        </w:rPr>
        <w:t>2</w:t>
      </w:r>
      <w:r>
        <w:rPr>
          <w:rFonts w:hint="eastAsia" w:ascii="宋体" w:hAnsi="宋体"/>
          <w:color w:val="auto"/>
          <w:sz w:val="24"/>
          <w:szCs w:val="24"/>
          <w:lang w:eastAsia="zh-CN"/>
        </w:rPr>
        <w:t>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日10:00时－</w:t>
      </w:r>
      <w:r>
        <w:rPr>
          <w:rFonts w:hint="eastAsia" w:ascii="宋体" w:hAnsi="宋体"/>
          <w:color w:val="auto"/>
          <w:sz w:val="24"/>
          <w:szCs w:val="24"/>
          <w:lang w:eastAsia="zh-CN"/>
        </w:rPr>
        <w:t>20</w:t>
      </w:r>
      <w:r>
        <w:rPr>
          <w:rFonts w:hint="eastAsia" w:ascii="宋体" w:hAnsi="宋体"/>
          <w:color w:val="auto"/>
          <w:sz w:val="24"/>
          <w:szCs w:val="24"/>
          <w:lang w:val="en-US" w:eastAsia="zh-CN"/>
        </w:rPr>
        <w:t>22</w:t>
      </w:r>
      <w:r>
        <w:rPr>
          <w:rFonts w:hint="eastAsia" w:ascii="宋体" w:hAnsi="宋体"/>
          <w:color w:val="auto"/>
          <w:sz w:val="24"/>
          <w:szCs w:val="24"/>
          <w:lang w:eastAsia="zh-CN"/>
        </w:rPr>
        <w:t>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25</w:t>
      </w:r>
      <w:r>
        <w:rPr>
          <w:rFonts w:hint="eastAsia" w:ascii="宋体" w:hAnsi="宋体"/>
          <w:color w:val="auto"/>
          <w:sz w:val="24"/>
          <w:szCs w:val="24"/>
        </w:rPr>
        <w:t>日</w:t>
      </w:r>
      <w:r>
        <w:rPr>
          <w:rFonts w:hint="eastAsia" w:ascii="宋体" w:hAnsi="宋体"/>
          <w:color w:val="auto"/>
          <w:sz w:val="24"/>
          <w:szCs w:val="24"/>
          <w:lang w:val="en-US" w:eastAsia="zh-CN"/>
        </w:rPr>
        <w:t>20</w:t>
      </w:r>
      <w:r>
        <w:rPr>
          <w:rFonts w:hint="eastAsia" w:ascii="宋体" w:hAnsi="宋体"/>
          <w:color w:val="auto"/>
          <w:sz w:val="24"/>
          <w:szCs w:val="24"/>
        </w:rPr>
        <w:t>:</w:t>
      </w:r>
      <w:r>
        <w:rPr>
          <w:rFonts w:hint="eastAsia" w:ascii="宋体" w:hAnsi="宋体"/>
          <w:color w:val="auto"/>
          <w:sz w:val="24"/>
          <w:szCs w:val="24"/>
          <w:lang w:val="en-US" w:eastAsia="zh-CN"/>
        </w:rPr>
        <w:t>00</w:t>
      </w:r>
      <w:r>
        <w:rPr>
          <w:rFonts w:hint="eastAsia" w:ascii="宋体" w:hAnsi="宋体"/>
          <w:color w:val="auto"/>
          <w:sz w:val="24"/>
          <w:szCs w:val="24"/>
        </w:rPr>
        <w:t>时（北京时间）</w:t>
      </w:r>
    </w:p>
    <w:p>
      <w:pPr>
        <w:pStyle w:val="39"/>
        <w:keepNext w:val="0"/>
        <w:keepLines w:val="0"/>
        <w:pageBreakBefore w:val="0"/>
        <w:kinsoku/>
        <w:wordWrap/>
        <w:overflowPunct/>
        <w:topLinePunct w:val="0"/>
        <w:autoSpaceDE/>
        <w:autoSpaceDN/>
        <w:bidi w:val="0"/>
        <w:adjustRightInd/>
        <w:snapToGrid/>
        <w:spacing w:line="420" w:lineRule="atLeast"/>
        <w:ind w:right="0" w:rightChars="0" w:firstLine="480" w:firstLineChars="200"/>
        <w:jc w:val="both"/>
        <w:textAlignment w:val="auto"/>
        <w:outlineLvl w:val="9"/>
        <w:rPr>
          <w:rFonts w:hint="eastAsia" w:ascii="宋体" w:hAnsi="宋体"/>
          <w:color w:val="auto"/>
          <w:sz w:val="24"/>
          <w:szCs w:val="24"/>
          <w:lang w:eastAsia="zh-CN"/>
        </w:rPr>
      </w:pPr>
      <w:r>
        <w:rPr>
          <w:rFonts w:hint="eastAsia" w:ascii="宋体" w:hAnsi="宋体"/>
          <w:color w:val="auto"/>
          <w:sz w:val="24"/>
          <w:szCs w:val="24"/>
        </w:rPr>
        <w:t>2、招标文件获取方式：</w:t>
      </w:r>
      <w:r>
        <w:rPr>
          <w:rFonts w:hint="eastAsia" w:ascii="宋体" w:hAnsi="宋体" w:eastAsia="宋体" w:cs="宋体"/>
          <w:b w:val="0"/>
          <w:bCs w:val="0"/>
          <w:color w:val="auto"/>
          <w:kern w:val="0"/>
          <w:sz w:val="24"/>
          <w:szCs w:val="24"/>
          <w:lang w:eastAsia="zh-CN"/>
        </w:rPr>
        <w:t>由法定代表人或委托代理人凭身份证原件领取，同时须携带法定代表人授权委托书</w:t>
      </w:r>
      <w:r>
        <w:rPr>
          <w:rFonts w:hint="eastAsia" w:ascii="宋体" w:hAnsi="宋体" w:eastAsia="宋体" w:cs="宋体"/>
          <w:b w:val="0"/>
          <w:bCs w:val="0"/>
          <w:color w:val="auto"/>
          <w:kern w:val="0"/>
          <w:sz w:val="24"/>
          <w:szCs w:val="24"/>
          <w:lang w:val="en-US" w:eastAsia="zh-CN"/>
        </w:rPr>
        <w:t>原件（</w:t>
      </w:r>
      <w:r>
        <w:rPr>
          <w:rFonts w:hint="eastAsia" w:ascii="宋体" w:hAnsi="宋体" w:eastAsia="宋体" w:cs="宋体"/>
          <w:b w:val="0"/>
          <w:bCs w:val="0"/>
          <w:color w:val="auto"/>
          <w:kern w:val="0"/>
          <w:sz w:val="24"/>
          <w:szCs w:val="24"/>
          <w:lang w:eastAsia="zh-CN"/>
        </w:rPr>
        <w:t>法定代表人授权委托书</w:t>
      </w:r>
      <w:r>
        <w:rPr>
          <w:rFonts w:hint="eastAsia" w:ascii="宋体" w:hAnsi="宋体" w:eastAsia="宋体" w:cs="宋体"/>
          <w:b w:val="0"/>
          <w:bCs w:val="0"/>
          <w:color w:val="auto"/>
          <w:kern w:val="0"/>
          <w:sz w:val="24"/>
          <w:szCs w:val="24"/>
          <w:lang w:val="en-US" w:eastAsia="zh-CN"/>
        </w:rPr>
        <w:t>需附法定代表人身份证正反面复印件及授权委托人身份证正反面复印件）</w:t>
      </w:r>
      <w:r>
        <w:rPr>
          <w:rFonts w:hint="eastAsia" w:ascii="宋体" w:hAnsi="宋体" w:eastAsia="宋体" w:cs="宋体"/>
          <w:b w:val="0"/>
          <w:bCs w:val="0"/>
          <w:color w:val="auto"/>
          <w:kern w:val="0"/>
          <w:sz w:val="24"/>
          <w:szCs w:val="24"/>
          <w:lang w:eastAsia="zh-CN"/>
        </w:rPr>
        <w:t>或法人身份证明</w:t>
      </w:r>
      <w:r>
        <w:rPr>
          <w:rFonts w:hint="eastAsia" w:ascii="宋体" w:hAnsi="宋体" w:eastAsia="宋体" w:cs="宋体"/>
          <w:b w:val="0"/>
          <w:bCs w:val="0"/>
          <w:color w:val="auto"/>
          <w:kern w:val="0"/>
          <w:sz w:val="24"/>
          <w:szCs w:val="24"/>
          <w:lang w:val="en-US" w:eastAsia="zh-CN"/>
        </w:rPr>
        <w:t>书原件</w:t>
      </w:r>
      <w:r>
        <w:rPr>
          <w:rFonts w:ascii="宋体" w:hAnsi="宋体"/>
          <w:color w:val="auto"/>
          <w:sz w:val="24"/>
          <w:szCs w:val="24"/>
          <w:lang w:val="zh-TW"/>
        </w:rPr>
        <w:t>、</w:t>
      </w:r>
      <w:r>
        <w:rPr>
          <w:rFonts w:hint="eastAsia" w:ascii="宋体" w:hAnsi="宋体" w:eastAsia="宋体" w:cs="宋体"/>
          <w:b w:val="0"/>
          <w:bCs w:val="0"/>
          <w:color w:val="auto"/>
          <w:kern w:val="0"/>
          <w:sz w:val="24"/>
          <w:szCs w:val="24"/>
          <w:lang w:eastAsia="zh-CN"/>
        </w:rPr>
        <w:t>法定代表人</w:t>
      </w:r>
      <w:r>
        <w:rPr>
          <w:rFonts w:hint="eastAsia" w:ascii="宋体" w:hAnsi="宋体" w:eastAsia="宋体" w:cs="宋体"/>
          <w:b w:val="0"/>
          <w:bCs w:val="0"/>
          <w:color w:val="auto"/>
          <w:kern w:val="0"/>
          <w:sz w:val="24"/>
          <w:szCs w:val="24"/>
          <w:lang w:val="en-US" w:eastAsia="zh-CN"/>
        </w:rPr>
        <w:t>身份证原件或</w:t>
      </w:r>
      <w:r>
        <w:rPr>
          <w:rFonts w:ascii="宋体" w:hAnsi="宋体"/>
          <w:color w:val="auto"/>
          <w:sz w:val="24"/>
          <w:szCs w:val="24"/>
          <w:lang w:val="zh-TW"/>
        </w:rPr>
        <w:t>委托</w:t>
      </w:r>
      <w:r>
        <w:rPr>
          <w:rFonts w:hint="eastAsia" w:ascii="宋体" w:hAnsi="宋体"/>
          <w:color w:val="auto"/>
          <w:sz w:val="24"/>
          <w:szCs w:val="24"/>
          <w:lang w:val="en-US" w:eastAsia="zh-CN"/>
        </w:rPr>
        <w:t>代理</w:t>
      </w:r>
      <w:r>
        <w:rPr>
          <w:rFonts w:ascii="宋体" w:hAnsi="宋体"/>
          <w:color w:val="auto"/>
          <w:sz w:val="24"/>
          <w:szCs w:val="24"/>
          <w:lang w:val="zh-TW"/>
        </w:rPr>
        <w:t>人身份证原件、委托</w:t>
      </w:r>
      <w:r>
        <w:rPr>
          <w:rFonts w:hint="eastAsia" w:ascii="宋体" w:hAnsi="宋体"/>
          <w:color w:val="auto"/>
          <w:sz w:val="24"/>
          <w:szCs w:val="24"/>
          <w:lang w:val="en-US" w:eastAsia="zh-CN"/>
        </w:rPr>
        <w:t>代理</w:t>
      </w:r>
      <w:r>
        <w:rPr>
          <w:rFonts w:ascii="宋体" w:hAnsi="宋体"/>
          <w:color w:val="auto"/>
          <w:sz w:val="24"/>
          <w:szCs w:val="24"/>
          <w:lang w:val="zh-TW"/>
        </w:rPr>
        <w:t>人</w:t>
      </w:r>
      <w:r>
        <w:rPr>
          <w:rFonts w:hint="eastAsia" w:ascii="宋体" w:hAnsi="宋体"/>
          <w:color w:val="auto"/>
          <w:sz w:val="24"/>
          <w:szCs w:val="24"/>
          <w:lang w:val="en-US" w:eastAsia="zh-CN"/>
        </w:rPr>
        <w:t>还</w:t>
      </w:r>
      <w:r>
        <w:rPr>
          <w:rFonts w:ascii="宋体" w:hAnsi="宋体"/>
          <w:color w:val="auto"/>
          <w:sz w:val="24"/>
          <w:szCs w:val="24"/>
          <w:lang w:val="zh-TW"/>
        </w:rPr>
        <w:t>需提供2022年</w:t>
      </w:r>
      <w:r>
        <w:rPr>
          <w:rFonts w:hint="eastAsia" w:ascii="宋体" w:hAnsi="宋体"/>
          <w:color w:val="auto"/>
          <w:sz w:val="24"/>
          <w:szCs w:val="24"/>
          <w:lang w:val="en-US" w:eastAsia="zh-CN"/>
        </w:rPr>
        <w:t>1</w:t>
      </w:r>
      <w:r>
        <w:rPr>
          <w:rFonts w:ascii="宋体" w:hAnsi="宋体"/>
          <w:color w:val="auto"/>
          <w:sz w:val="24"/>
          <w:szCs w:val="24"/>
          <w:lang w:val="zh-TW"/>
        </w:rPr>
        <w:t>月至2022年</w:t>
      </w:r>
      <w:r>
        <w:rPr>
          <w:rFonts w:hint="eastAsia" w:ascii="宋体" w:hAnsi="宋体"/>
          <w:color w:val="auto"/>
          <w:sz w:val="24"/>
          <w:szCs w:val="24"/>
          <w:lang w:val="en-US" w:eastAsia="zh-CN"/>
        </w:rPr>
        <w:t>6</w:t>
      </w:r>
      <w:r>
        <w:rPr>
          <w:rFonts w:ascii="宋体" w:hAnsi="宋体"/>
          <w:color w:val="auto"/>
          <w:sz w:val="24"/>
          <w:szCs w:val="24"/>
          <w:lang w:val="zh-TW"/>
        </w:rPr>
        <w:t>月在职单位社保</w:t>
      </w:r>
      <w:r>
        <w:rPr>
          <w:rFonts w:hint="eastAsia" w:ascii="宋体" w:hAnsi="宋体"/>
          <w:color w:val="auto"/>
          <w:sz w:val="24"/>
          <w:szCs w:val="24"/>
          <w:lang w:val="en-US" w:eastAsia="zh-CN"/>
        </w:rPr>
        <w:t>缴纳</w:t>
      </w:r>
      <w:r>
        <w:rPr>
          <w:rFonts w:ascii="宋体" w:hAnsi="宋体"/>
          <w:color w:val="auto"/>
          <w:sz w:val="24"/>
          <w:szCs w:val="24"/>
          <w:lang w:val="zh-TW"/>
        </w:rPr>
        <w:t>明细证明（不接受单位汇总明细）</w:t>
      </w:r>
      <w:r>
        <w:rPr>
          <w:rFonts w:hint="eastAsia" w:ascii="宋体" w:hAnsi="宋体"/>
          <w:color w:val="auto"/>
          <w:sz w:val="24"/>
          <w:szCs w:val="24"/>
          <w:lang w:val="en-US" w:eastAsia="zh-CN"/>
        </w:rPr>
        <w:t>复印件加盖公章</w:t>
      </w:r>
      <w:r>
        <w:rPr>
          <w:rFonts w:ascii="宋体" w:hAnsi="宋体"/>
          <w:color w:val="auto"/>
          <w:sz w:val="24"/>
          <w:szCs w:val="24"/>
          <w:lang w:val="zh-TW"/>
        </w:rPr>
        <w:t>，退休人员提供退休证</w:t>
      </w:r>
      <w:r>
        <w:rPr>
          <w:rFonts w:hint="eastAsia" w:ascii="宋体" w:hAnsi="宋体"/>
          <w:color w:val="auto"/>
          <w:sz w:val="24"/>
          <w:szCs w:val="24"/>
          <w:lang w:val="en-US" w:eastAsia="zh-CN"/>
        </w:rPr>
        <w:t>复印件加盖公章</w:t>
      </w:r>
      <w:r>
        <w:rPr>
          <w:rFonts w:hint="eastAsia" w:ascii="宋体" w:hAnsi="宋体"/>
          <w:color w:val="auto"/>
          <w:sz w:val="24"/>
          <w:szCs w:val="24"/>
          <w:lang w:val="zh-TW" w:eastAsia="zh-CN"/>
        </w:rPr>
        <w:t>、有效的营业执照</w:t>
      </w:r>
      <w:r>
        <w:rPr>
          <w:rFonts w:hint="eastAsia" w:ascii="宋体" w:hAnsi="宋体"/>
          <w:color w:val="auto"/>
          <w:sz w:val="24"/>
          <w:szCs w:val="24"/>
          <w:lang w:val="en-US" w:eastAsia="zh-CN"/>
        </w:rPr>
        <w:t>复印件加盖公章、</w:t>
      </w:r>
      <w:r>
        <w:rPr>
          <w:rFonts w:hint="eastAsia" w:ascii="宋体" w:hAnsi="宋体"/>
          <w:color w:val="auto"/>
          <w:sz w:val="24"/>
          <w:szCs w:val="24"/>
          <w:highlight w:val="none"/>
          <w:lang w:val="en-US" w:eastAsia="zh-CN"/>
        </w:rPr>
        <w:t>提供履行合同所必需的设备和专业技术能力声明函（声明函格式投标人自拟）原件、</w:t>
      </w:r>
      <w:r>
        <w:rPr>
          <w:rFonts w:hint="eastAsia" w:ascii="宋体" w:hAnsi="宋体" w:cs="宋体"/>
          <w:color w:val="auto"/>
          <w:sz w:val="24"/>
          <w:szCs w:val="24"/>
        </w:rPr>
        <w:t>参加政府采购活动前三年内，在经营活动中没有重大违法记录</w:t>
      </w:r>
      <w:r>
        <w:rPr>
          <w:rFonts w:hint="eastAsia" w:ascii="宋体" w:hAnsi="宋体"/>
          <w:color w:val="auto"/>
          <w:sz w:val="24"/>
          <w:szCs w:val="24"/>
          <w:highlight w:val="none"/>
          <w:lang w:val="en-US" w:eastAsia="zh-CN"/>
        </w:rPr>
        <w:t>声明函（声明函格式投标人自拟）原件</w:t>
      </w:r>
      <w:r>
        <w:rPr>
          <w:rFonts w:hint="eastAsia" w:ascii="宋体" w:hAnsi="宋体"/>
          <w:color w:val="auto"/>
          <w:sz w:val="24"/>
          <w:szCs w:val="24"/>
          <w:lang w:val="en-US" w:eastAsia="zh-CN"/>
        </w:rPr>
        <w:t>、</w:t>
      </w:r>
      <w:r>
        <w:rPr>
          <w:rFonts w:hint="eastAsia" w:ascii="宋体" w:hAnsi="宋体" w:cs="宋体"/>
          <w:color w:val="auto"/>
          <w:sz w:val="24"/>
          <w:szCs w:val="24"/>
        </w:rPr>
        <w:t>未被</w:t>
      </w:r>
      <w:r>
        <w:rPr>
          <w:rFonts w:hint="eastAsia" w:ascii="宋体" w:hAnsi="宋体" w:cs="宋体"/>
          <w:color w:val="auto"/>
          <w:sz w:val="24"/>
          <w:szCs w:val="24"/>
          <w:lang w:val="en-US" w:eastAsia="zh-CN"/>
        </w:rPr>
        <w:t>信用中国网站（www.creditchina.gov.cn）、中国政府采购网站（www.ccgp.gov.cn）列入违法失信行为记录名单、</w:t>
      </w:r>
      <w:r>
        <w:rPr>
          <w:rFonts w:hint="eastAsia" w:ascii="宋体" w:hAnsi="宋体" w:eastAsia="宋体" w:cs="宋体"/>
          <w:color w:val="auto"/>
          <w:sz w:val="24"/>
          <w:szCs w:val="24"/>
          <w:lang w:val="en-US" w:eastAsia="zh-CN"/>
        </w:rPr>
        <w:t>重大税收违法案件当事人名单、政府采购严重违法失信行为记录名单的</w:t>
      </w:r>
      <w:r>
        <w:rPr>
          <w:rFonts w:hint="eastAsia" w:ascii="宋体" w:hAnsi="宋体" w:cs="宋体"/>
          <w:color w:val="auto"/>
          <w:sz w:val="24"/>
          <w:szCs w:val="24"/>
        </w:rPr>
        <w:t>相关证明材料（网络截图）</w:t>
      </w:r>
      <w:r>
        <w:rPr>
          <w:rFonts w:hint="eastAsia" w:ascii="宋体" w:hAnsi="宋体"/>
          <w:color w:val="auto"/>
          <w:sz w:val="24"/>
          <w:szCs w:val="24"/>
          <w:highlight w:val="none"/>
          <w:lang w:val="en-US" w:eastAsia="zh-CN"/>
        </w:rPr>
        <w:t>加盖公章，</w:t>
      </w:r>
      <w:r>
        <w:rPr>
          <w:rFonts w:hint="eastAsia" w:ascii="宋体" w:hAnsi="宋体"/>
          <w:color w:val="auto"/>
          <w:sz w:val="24"/>
          <w:szCs w:val="24"/>
          <w:lang w:eastAsia="zh-CN"/>
        </w:rPr>
        <w:t>领取招标文件时</w:t>
      </w:r>
      <w:r>
        <w:rPr>
          <w:rFonts w:ascii="宋体" w:hAnsi="宋体"/>
          <w:color w:val="auto"/>
          <w:sz w:val="24"/>
          <w:szCs w:val="24"/>
        </w:rPr>
        <w:t>携带以上所有证件复印件一套(需加盖投标单位公章)</w:t>
      </w:r>
      <w:r>
        <w:rPr>
          <w:rFonts w:hint="eastAsia" w:ascii="宋体" w:hAnsi="宋体"/>
          <w:color w:val="auto"/>
          <w:sz w:val="24"/>
          <w:szCs w:val="24"/>
          <w:lang w:eastAsia="zh-CN"/>
        </w:rPr>
        <w:t>，资料不齐全，不予接受。</w:t>
      </w:r>
    </w:p>
    <w:p>
      <w:pPr>
        <w:pStyle w:val="39"/>
        <w:keepNext w:val="0"/>
        <w:keepLines w:val="0"/>
        <w:pageBreakBefore w:val="0"/>
        <w:kinsoku/>
        <w:wordWrap/>
        <w:overflowPunct/>
        <w:topLinePunct w:val="0"/>
        <w:autoSpaceDE/>
        <w:autoSpaceDN/>
        <w:bidi w:val="0"/>
        <w:adjustRightInd/>
        <w:snapToGrid/>
        <w:spacing w:line="420" w:lineRule="atLeast"/>
        <w:ind w:right="0" w:rightChars="0" w:firstLine="480" w:firstLineChars="200"/>
        <w:jc w:val="both"/>
        <w:textAlignment w:val="auto"/>
        <w:outlineLvl w:val="9"/>
        <w:rPr>
          <w:rFonts w:hint="default" w:ascii="宋体" w:hAnsi="宋体"/>
          <w:b w:val="0"/>
          <w:bCs w:val="0"/>
          <w:color w:val="auto"/>
          <w:sz w:val="24"/>
          <w:szCs w:val="24"/>
          <w:lang w:val="en-US" w:eastAsia="zh-CN"/>
        </w:rPr>
      </w:pPr>
      <w:r>
        <w:rPr>
          <w:rFonts w:hint="eastAsia" w:ascii="宋体" w:hAnsi="宋体"/>
          <w:color w:val="auto"/>
          <w:sz w:val="24"/>
          <w:szCs w:val="24"/>
          <w:lang w:val="en-US" w:eastAsia="zh-CN"/>
        </w:rPr>
        <w:t>注：</w:t>
      </w:r>
      <w:r>
        <w:rPr>
          <w:rFonts w:hint="default" w:ascii="宋体" w:hAnsi="宋体"/>
          <w:color w:val="auto"/>
          <w:sz w:val="24"/>
          <w:szCs w:val="24"/>
          <w:lang w:val="en-US" w:eastAsia="zh-CN"/>
        </w:rPr>
        <w:t>为贯彻落实党中央、国务院、国家发展改革委、中国招标投标协会关于做好新型冠状病毒防控的一系列规定和指示，避免或减少非必要聚集和流动，防止疫情扩散和蔓延，切实保障人民群众的身体健康和生命安全，在新型冠状病毒防控期间，</w:t>
      </w:r>
      <w:r>
        <w:rPr>
          <w:rFonts w:hint="eastAsia" w:ascii="宋体" w:hAnsi="宋体"/>
          <w:color w:val="auto"/>
          <w:sz w:val="24"/>
          <w:szCs w:val="24"/>
          <w:lang w:val="en-US" w:eastAsia="zh-CN"/>
        </w:rPr>
        <w:t>招标</w:t>
      </w:r>
      <w:r>
        <w:rPr>
          <w:rFonts w:hint="default" w:ascii="宋体" w:hAnsi="宋体"/>
          <w:color w:val="auto"/>
          <w:sz w:val="24"/>
          <w:szCs w:val="24"/>
          <w:lang w:val="en-US" w:eastAsia="zh-CN"/>
        </w:rPr>
        <w:t>文件的领取在网上进行。领取</w:t>
      </w:r>
      <w:r>
        <w:rPr>
          <w:rFonts w:hint="eastAsia" w:ascii="宋体" w:hAnsi="宋体"/>
          <w:color w:val="auto"/>
          <w:sz w:val="24"/>
          <w:szCs w:val="24"/>
          <w:lang w:val="en-US" w:eastAsia="zh-CN"/>
        </w:rPr>
        <w:t>招标</w:t>
      </w:r>
      <w:r>
        <w:rPr>
          <w:rFonts w:hint="default" w:ascii="宋体" w:hAnsi="宋体"/>
          <w:color w:val="auto"/>
          <w:sz w:val="24"/>
          <w:szCs w:val="24"/>
          <w:lang w:val="en-US" w:eastAsia="zh-CN"/>
        </w:rPr>
        <w:t>文件时需将本公告中招标文件获取方式要求的相关资料（加盖单位公章）扫描成一份电子版PDF格式文件发送至招标代理机构邮箱（1723178373@qq.com）</w:t>
      </w:r>
      <w:r>
        <w:rPr>
          <w:rFonts w:hint="eastAsia" w:ascii="宋体" w:hAnsi="宋体"/>
          <w:b w:val="0"/>
          <w:bCs w:val="0"/>
          <w:color w:val="auto"/>
          <w:sz w:val="24"/>
          <w:szCs w:val="24"/>
          <w:lang w:val="en-US" w:eastAsia="zh-CN"/>
        </w:rPr>
        <w:t>授权</w:t>
      </w:r>
      <w:r>
        <w:rPr>
          <w:rFonts w:hint="eastAsia" w:ascii="宋体" w:hAnsi="宋体" w:eastAsia="宋体" w:cs="宋体"/>
          <w:b w:val="0"/>
          <w:bCs w:val="0"/>
          <w:color w:val="auto"/>
          <w:kern w:val="0"/>
          <w:sz w:val="24"/>
          <w:szCs w:val="24"/>
          <w:lang w:val="en-US" w:eastAsia="zh-CN"/>
        </w:rPr>
        <w:t>委托书上需注明授权委托人姓名及联系方式</w:t>
      </w:r>
      <w:r>
        <w:rPr>
          <w:rFonts w:hint="default" w:ascii="宋体" w:hAnsi="宋体"/>
          <w:b w:val="0"/>
          <w:bCs w:val="0"/>
          <w:color w:val="auto"/>
          <w:sz w:val="24"/>
          <w:szCs w:val="24"/>
          <w:lang w:val="en-US" w:eastAsia="zh-CN"/>
        </w:rPr>
        <w:t>。 </w:t>
      </w:r>
    </w:p>
    <w:p>
      <w:pPr>
        <w:keepNext w:val="0"/>
        <w:keepLines w:val="0"/>
        <w:pageBreakBefore w:val="0"/>
        <w:widowControl/>
        <w:kinsoku/>
        <w:wordWrap/>
        <w:overflowPunct/>
        <w:topLinePunct w:val="0"/>
        <w:autoSpaceDE/>
        <w:autoSpaceDN/>
        <w:bidi w:val="0"/>
        <w:adjustRightInd/>
        <w:snapToGrid/>
        <w:spacing w:line="440" w:lineRule="atLeast"/>
        <w:ind w:firstLine="480" w:firstLineChars="200"/>
        <w:textAlignment w:val="baseline"/>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olor w:val="auto"/>
          <w:sz w:val="24"/>
          <w:szCs w:val="24"/>
        </w:rPr>
        <w:t>招标文件领取地址：</w:t>
      </w:r>
      <w:r>
        <w:rPr>
          <w:rFonts w:hint="eastAsia" w:ascii="宋体" w:hAnsi="宋体"/>
          <w:color w:val="auto"/>
          <w:kern w:val="2"/>
          <w:sz w:val="24"/>
          <w:szCs w:val="24"/>
          <w:lang w:val="en-US" w:eastAsia="zh-CN" w:bidi="ar-SA"/>
        </w:rPr>
        <w:t>昌吉市建国西路199号和谐国际广场K座1517室（友好商场北侧）</w:t>
      </w:r>
    </w:p>
    <w:p>
      <w:pPr>
        <w:keepNext w:val="0"/>
        <w:keepLines w:val="0"/>
        <w:pageBreakBefore w:val="0"/>
        <w:kinsoku/>
        <w:wordWrap/>
        <w:overflowPunct/>
        <w:topLinePunct w:val="0"/>
        <w:autoSpaceDE/>
        <w:autoSpaceDN/>
        <w:bidi w:val="0"/>
        <w:adjustRightInd/>
        <w:snapToGrid/>
        <w:spacing w:line="440" w:lineRule="atLeast"/>
        <w:ind w:firstLine="480" w:firstLineChars="200"/>
        <w:rPr>
          <w:rFonts w:hint="eastAsia" w:ascii="宋体" w:hAnsi="宋体"/>
          <w:color w:val="auto"/>
          <w:sz w:val="24"/>
          <w:szCs w:val="24"/>
          <w:lang w:eastAsia="zh-CN"/>
        </w:rPr>
      </w:pPr>
      <w:r>
        <w:rPr>
          <w:rFonts w:hint="eastAsia" w:ascii="宋体" w:hAnsi="宋体"/>
          <w:color w:val="auto"/>
          <w:sz w:val="24"/>
          <w:szCs w:val="24"/>
        </w:rPr>
        <w:t>4、</w:t>
      </w:r>
      <w:r>
        <w:rPr>
          <w:rFonts w:hint="eastAsia" w:ascii="宋体" w:hAnsi="宋体" w:cs="宋体"/>
          <w:color w:val="auto"/>
          <w:sz w:val="24"/>
          <w:szCs w:val="24"/>
        </w:rPr>
        <w:t>招标文件售价：</w:t>
      </w:r>
      <w:r>
        <w:rPr>
          <w:rFonts w:hint="eastAsia" w:ascii="宋体" w:hAnsi="宋体"/>
          <w:color w:val="auto"/>
          <w:sz w:val="24"/>
          <w:szCs w:val="24"/>
          <w:lang w:val="en-US" w:eastAsia="zh-CN"/>
        </w:rPr>
        <w:t>2</w:t>
      </w:r>
      <w:r>
        <w:rPr>
          <w:rFonts w:hint="eastAsia" w:ascii="宋体" w:hAnsi="宋体"/>
          <w:color w:val="auto"/>
          <w:sz w:val="24"/>
          <w:szCs w:val="24"/>
        </w:rPr>
        <w:t>00元/份</w:t>
      </w:r>
      <w:r>
        <w:rPr>
          <w:rFonts w:hint="eastAsia" w:ascii="宋体" w:hAnsi="宋体"/>
          <w:color w:val="auto"/>
          <w:sz w:val="24"/>
          <w:szCs w:val="24"/>
          <w:lang w:eastAsia="zh-CN"/>
        </w:rPr>
        <w:t>（电汇或网银转账形式缴纳）</w:t>
      </w:r>
    </w:p>
    <w:p>
      <w:pPr>
        <w:pStyle w:val="39"/>
        <w:keepNext w:val="0"/>
        <w:keepLines w:val="0"/>
        <w:pageBreakBefore w:val="0"/>
        <w:kinsoku/>
        <w:wordWrap/>
        <w:overflowPunct/>
        <w:topLinePunct w:val="0"/>
        <w:autoSpaceDE/>
        <w:autoSpaceDN/>
        <w:bidi w:val="0"/>
        <w:adjustRightInd/>
        <w:snapToGrid/>
        <w:spacing w:line="440" w:lineRule="atLeast"/>
        <w:ind w:right="0" w:rightChars="0" w:firstLine="480" w:firstLineChars="200"/>
        <w:jc w:val="both"/>
        <w:textAlignment w:val="auto"/>
        <w:outlineLvl w:val="9"/>
        <w:rPr>
          <w:rFonts w:hint="eastAsia" w:ascii="宋体" w:hAnsi="宋体"/>
          <w:color w:val="auto"/>
          <w:kern w:val="2"/>
          <w:sz w:val="24"/>
          <w:szCs w:val="24"/>
          <w:lang w:val="en-US" w:eastAsia="zh-CN" w:bidi="ar-SA"/>
        </w:rPr>
      </w:pPr>
      <w:r>
        <w:rPr>
          <w:rFonts w:hint="eastAsia" w:ascii="宋体" w:hAnsi="宋体"/>
          <w:color w:val="auto"/>
          <w:sz w:val="24"/>
          <w:szCs w:val="24"/>
          <w:lang w:eastAsia="zh-CN"/>
        </w:rPr>
        <w:t>四、</w:t>
      </w:r>
      <w:r>
        <w:rPr>
          <w:rFonts w:hint="eastAsia" w:ascii="宋体" w:hAnsi="宋体"/>
          <w:color w:val="auto"/>
          <w:sz w:val="24"/>
          <w:szCs w:val="24"/>
        </w:rPr>
        <w:t>投标保证金的缴纳</w:t>
      </w:r>
      <w:r>
        <w:rPr>
          <w:rFonts w:hint="eastAsia" w:ascii="宋体" w:hAnsi="宋体"/>
          <w:color w:val="auto"/>
          <w:kern w:val="2"/>
          <w:sz w:val="24"/>
          <w:szCs w:val="24"/>
          <w:lang w:val="en-US" w:eastAsia="zh-CN" w:bidi="ar-SA"/>
        </w:rPr>
        <w:t>：</w:t>
      </w:r>
    </w:p>
    <w:p>
      <w:pPr>
        <w:pStyle w:val="39"/>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both"/>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投标保证金伍万元整人民币（￥50000.00元）；投标保证金的缴纳时间为（</w:t>
      </w:r>
      <w:r>
        <w:rPr>
          <w:rFonts w:hint="eastAsia" w:ascii="宋体" w:hAnsi="宋体"/>
          <w:color w:val="auto"/>
          <w:sz w:val="24"/>
          <w:szCs w:val="24"/>
          <w:lang w:eastAsia="zh-CN"/>
        </w:rPr>
        <w:t>202</w:t>
      </w:r>
      <w:r>
        <w:rPr>
          <w:rFonts w:hint="eastAsia" w:ascii="宋体" w:hAnsi="宋体"/>
          <w:color w:val="auto"/>
          <w:sz w:val="24"/>
          <w:szCs w:val="24"/>
          <w:lang w:val="en-US" w:eastAsia="zh-CN"/>
        </w:rPr>
        <w:t>2</w:t>
      </w:r>
      <w:r>
        <w:rPr>
          <w:rFonts w:hint="eastAsia" w:ascii="宋体" w:hAnsi="宋体"/>
          <w:color w:val="auto"/>
          <w:sz w:val="24"/>
          <w:szCs w:val="24"/>
          <w:lang w:eastAsia="zh-CN"/>
        </w:rPr>
        <w:t>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日10:00时－</w:t>
      </w:r>
      <w:r>
        <w:rPr>
          <w:rFonts w:hint="eastAsia" w:ascii="宋体" w:hAnsi="宋体"/>
          <w:color w:val="auto"/>
          <w:sz w:val="24"/>
          <w:szCs w:val="24"/>
          <w:lang w:eastAsia="zh-CN"/>
        </w:rPr>
        <w:t>20</w:t>
      </w:r>
      <w:r>
        <w:rPr>
          <w:rFonts w:hint="eastAsia" w:ascii="宋体" w:hAnsi="宋体"/>
          <w:color w:val="auto"/>
          <w:sz w:val="24"/>
          <w:szCs w:val="24"/>
          <w:lang w:val="en-US" w:eastAsia="zh-CN"/>
        </w:rPr>
        <w:t>22</w:t>
      </w:r>
      <w:r>
        <w:rPr>
          <w:rFonts w:hint="eastAsia" w:ascii="宋体" w:hAnsi="宋体"/>
          <w:color w:val="auto"/>
          <w:sz w:val="24"/>
          <w:szCs w:val="24"/>
          <w:lang w:eastAsia="zh-CN"/>
        </w:rPr>
        <w:t>年</w:t>
      </w:r>
      <w:r>
        <w:rPr>
          <w:rFonts w:hint="eastAsia" w:ascii="宋体" w:hAnsi="宋体"/>
          <w:color w:val="auto"/>
          <w:sz w:val="24"/>
          <w:szCs w:val="24"/>
          <w:lang w:val="en-US" w:eastAsia="zh-CN"/>
        </w:rPr>
        <w:t>9</w:t>
      </w:r>
      <w:r>
        <w:rPr>
          <w:rFonts w:hint="eastAsia" w:ascii="宋体" w:hAnsi="宋体"/>
          <w:color w:val="auto"/>
          <w:sz w:val="24"/>
          <w:szCs w:val="24"/>
        </w:rPr>
        <w:t>月</w:t>
      </w:r>
      <w:r>
        <w:rPr>
          <w:rFonts w:hint="eastAsia" w:ascii="宋体" w:hAnsi="宋体"/>
          <w:color w:val="auto"/>
          <w:sz w:val="24"/>
          <w:szCs w:val="24"/>
          <w:lang w:val="en-US" w:eastAsia="zh-CN"/>
        </w:rPr>
        <w:t>7</w:t>
      </w:r>
      <w:r>
        <w:rPr>
          <w:rFonts w:hint="eastAsia" w:ascii="宋体" w:hAnsi="宋体"/>
          <w:color w:val="auto"/>
          <w:sz w:val="24"/>
          <w:szCs w:val="24"/>
        </w:rPr>
        <w:t>日</w:t>
      </w:r>
      <w:r>
        <w:rPr>
          <w:rFonts w:hint="eastAsia" w:ascii="宋体" w:hAnsi="宋体"/>
          <w:color w:val="auto"/>
          <w:sz w:val="24"/>
          <w:szCs w:val="24"/>
          <w:lang w:val="en-US" w:eastAsia="zh-CN"/>
        </w:rPr>
        <w:t>20</w:t>
      </w:r>
      <w:r>
        <w:rPr>
          <w:rFonts w:hint="eastAsia" w:ascii="宋体" w:hAnsi="宋体"/>
          <w:color w:val="auto"/>
          <w:sz w:val="24"/>
          <w:szCs w:val="24"/>
        </w:rPr>
        <w:t>:</w:t>
      </w:r>
      <w:r>
        <w:rPr>
          <w:rFonts w:hint="eastAsia" w:ascii="宋体" w:hAnsi="宋体"/>
          <w:color w:val="auto"/>
          <w:sz w:val="24"/>
          <w:szCs w:val="24"/>
          <w:lang w:val="en-US" w:eastAsia="zh-CN"/>
        </w:rPr>
        <w:t>00</w:t>
      </w:r>
      <w:r>
        <w:rPr>
          <w:rFonts w:hint="eastAsia" w:ascii="宋体" w:hAnsi="宋体"/>
          <w:color w:val="auto"/>
          <w:sz w:val="24"/>
          <w:szCs w:val="24"/>
        </w:rPr>
        <w:t>时（北京时间）</w:t>
      </w:r>
      <w:r>
        <w:rPr>
          <w:rFonts w:hint="eastAsia" w:ascii="宋体" w:hAnsi="宋体"/>
          <w:color w:val="auto"/>
          <w:kern w:val="2"/>
          <w:sz w:val="24"/>
          <w:szCs w:val="24"/>
          <w:lang w:val="en-US" w:eastAsia="zh-CN" w:bidi="ar-SA"/>
        </w:rPr>
        <w:t>），</w:t>
      </w:r>
      <w:r>
        <w:rPr>
          <w:rFonts w:hint="eastAsia" w:ascii="宋体" w:hAnsi="宋体" w:eastAsia="宋体" w:cs="宋体"/>
          <w:color w:val="auto"/>
          <w:kern w:val="2"/>
          <w:sz w:val="24"/>
          <w:szCs w:val="24"/>
          <w:highlight w:val="none"/>
          <w:lang w:val="en-US" w:eastAsia="zh-CN"/>
        </w:rPr>
        <w:t>投标保证金（电汇或网银转账形式缴纳，不得以办事处或其他机构名义缴纳，投标人在电汇方式缴纳投标保证金时，需在进帐凭证上明确资金用途、投标项目名称，以便查对核实。投标人需在保证金截止时间前由投标人基本帐户一次性汇入）。投标人应充分考虑资金到帐时间，在规定的时限前自行办妥投标保证金缴纳手续，投标保证金的缴付时间以电汇凭证和网银对帐单上的时间为准，超过缴纳时限的投标保证金视为无效。</w:t>
      </w:r>
      <w:r>
        <w:rPr>
          <w:rFonts w:hint="eastAsia" w:ascii="宋体" w:hAnsi="宋体"/>
          <w:color w:val="auto"/>
          <w:kern w:val="2"/>
          <w:sz w:val="24"/>
          <w:szCs w:val="24"/>
          <w:lang w:val="en-US" w:eastAsia="zh-CN" w:bidi="ar-SA"/>
        </w:rPr>
        <w:t xml:space="preserve"> </w:t>
      </w:r>
    </w:p>
    <w:p>
      <w:pPr>
        <w:pStyle w:val="39"/>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账户名称：</w:t>
      </w:r>
      <w:r>
        <w:rPr>
          <w:rFonts w:hint="eastAsia" w:ascii="宋体" w:hAnsi="宋体" w:eastAsia="宋体" w:cs="宋体"/>
          <w:color w:val="auto"/>
          <w:kern w:val="2"/>
          <w:sz w:val="24"/>
          <w:szCs w:val="24"/>
          <w:highlight w:val="none"/>
          <w:lang w:eastAsia="zh-CN"/>
        </w:rPr>
        <w:t>新疆金裕诚项目管理有限公司</w:t>
      </w:r>
    </w:p>
    <w:p>
      <w:pPr>
        <w:pStyle w:val="39"/>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开户行名称：</w:t>
      </w:r>
      <w:r>
        <w:rPr>
          <w:rFonts w:hint="eastAsia" w:ascii="宋体" w:hAnsi="宋体" w:eastAsia="宋体" w:cs="宋体"/>
          <w:color w:val="auto"/>
          <w:kern w:val="2"/>
          <w:sz w:val="24"/>
          <w:szCs w:val="24"/>
          <w:highlight w:val="none"/>
          <w:lang w:val="en-US" w:eastAsia="zh-CN" w:bidi="ar-SA"/>
        </w:rPr>
        <w:t>中国建设银行股份有限公司昌吉中山路支行</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账号：</w:t>
      </w:r>
      <w:r>
        <w:rPr>
          <w:rFonts w:hint="eastAsia" w:ascii="宋体" w:hAnsi="宋体" w:eastAsia="宋体" w:cs="宋体"/>
          <w:color w:val="auto"/>
          <w:kern w:val="2"/>
          <w:sz w:val="24"/>
          <w:szCs w:val="24"/>
          <w:highlight w:val="none"/>
          <w:lang w:val="en-US" w:eastAsia="zh-CN"/>
        </w:rPr>
        <w:t>6505 0162 6052 0000 0430</w:t>
      </w:r>
    </w:p>
    <w:p>
      <w:pPr>
        <w:keepNext w:val="0"/>
        <w:keepLines w:val="0"/>
        <w:pageBreakBefore w:val="0"/>
        <w:kinsoku/>
        <w:wordWrap/>
        <w:overflowPunct/>
        <w:topLinePunct w:val="0"/>
        <w:autoSpaceDE/>
        <w:autoSpaceDN/>
        <w:bidi w:val="0"/>
        <w:adjustRightInd/>
        <w:snapToGrid/>
        <w:spacing w:line="440" w:lineRule="atLeas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注意：请投标人在投标保证金截止前的任何工作日携带银行进账单复印件加盖公章到</w:t>
      </w:r>
      <w:r>
        <w:rPr>
          <w:rFonts w:hint="eastAsia" w:ascii="宋体" w:hAnsi="宋体" w:eastAsia="宋体" w:cs="宋体"/>
          <w:color w:val="auto"/>
          <w:sz w:val="24"/>
          <w:szCs w:val="24"/>
          <w:highlight w:val="none"/>
          <w:lang w:eastAsia="zh-CN"/>
        </w:rPr>
        <w:t>新疆金裕诚项目管理有限公司</w:t>
      </w:r>
      <w:r>
        <w:rPr>
          <w:rFonts w:hint="eastAsia" w:ascii="宋体" w:hAnsi="宋体" w:eastAsia="宋体" w:cs="宋体"/>
          <w:color w:val="auto"/>
          <w:sz w:val="24"/>
          <w:szCs w:val="24"/>
          <w:highlight w:val="none"/>
        </w:rPr>
        <w:t>换取投标保证金收据，并以此收据复印件作为投标保证金交讫凭据放入投标文件中。</w:t>
      </w:r>
    </w:p>
    <w:p>
      <w:pPr>
        <w:pStyle w:val="39"/>
        <w:keepNext w:val="0"/>
        <w:keepLines w:val="0"/>
        <w:pageBreakBefore w:val="0"/>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rPr>
      </w:pPr>
      <w:r>
        <w:rPr>
          <w:rFonts w:hint="eastAsia" w:ascii="宋体" w:hAnsi="宋体"/>
          <w:color w:val="auto"/>
          <w:sz w:val="24"/>
          <w:szCs w:val="24"/>
          <w:lang w:eastAsia="zh-CN"/>
        </w:rPr>
        <w:t>五</w:t>
      </w:r>
      <w:r>
        <w:rPr>
          <w:rFonts w:hint="eastAsia" w:ascii="宋体" w:hAnsi="宋体"/>
          <w:color w:val="auto"/>
          <w:sz w:val="24"/>
          <w:szCs w:val="24"/>
        </w:rPr>
        <w:t>、发布公告的媒介</w:t>
      </w:r>
    </w:p>
    <w:p>
      <w:pPr>
        <w:pStyle w:val="39"/>
        <w:keepNext w:val="0"/>
        <w:keepLines w:val="0"/>
        <w:pageBreakBefore w:val="0"/>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本次招标公告在</w:t>
      </w:r>
      <w:r>
        <w:rPr>
          <w:rFonts w:hint="eastAsia" w:ascii="宋体" w:hAnsi="宋体"/>
          <w:color w:val="auto"/>
          <w:sz w:val="24"/>
          <w:szCs w:val="24"/>
          <w:lang w:eastAsia="zh-CN"/>
        </w:rPr>
        <w:t>新疆政府采购网站</w:t>
      </w:r>
      <w:r>
        <w:rPr>
          <w:rFonts w:hint="eastAsia" w:ascii="宋体" w:hAnsi="宋体"/>
          <w:color w:val="auto"/>
          <w:sz w:val="24"/>
          <w:szCs w:val="24"/>
        </w:rPr>
        <w:t>上发布。</w:t>
      </w:r>
    </w:p>
    <w:p>
      <w:pPr>
        <w:pStyle w:val="39"/>
        <w:keepNext w:val="0"/>
        <w:keepLines w:val="0"/>
        <w:pageBreakBefore w:val="0"/>
        <w:kinsoku/>
        <w:wordWrap/>
        <w:overflowPunct/>
        <w:topLinePunct w:val="0"/>
        <w:autoSpaceDE/>
        <w:autoSpaceDN/>
        <w:bidi w:val="0"/>
        <w:adjustRightInd/>
        <w:snapToGrid/>
        <w:spacing w:line="440" w:lineRule="atLeast"/>
        <w:ind w:right="0" w:rightChars="0" w:firstLine="480" w:firstLineChars="200"/>
        <w:textAlignment w:val="auto"/>
        <w:outlineLvl w:val="9"/>
        <w:rPr>
          <w:rFonts w:hint="eastAsia" w:ascii="宋体" w:hAnsi="宋体"/>
          <w:color w:val="auto"/>
          <w:sz w:val="24"/>
          <w:szCs w:val="24"/>
        </w:rPr>
      </w:pPr>
      <w:r>
        <w:rPr>
          <w:rFonts w:hint="eastAsia" w:ascii="宋体" w:hAnsi="宋体"/>
          <w:color w:val="auto"/>
          <w:sz w:val="24"/>
          <w:szCs w:val="24"/>
          <w:lang w:eastAsia="zh-CN"/>
        </w:rPr>
        <w:t>六</w:t>
      </w:r>
      <w:r>
        <w:rPr>
          <w:rFonts w:hint="eastAsia" w:ascii="宋体" w:hAnsi="宋体"/>
          <w:color w:val="auto"/>
          <w:sz w:val="24"/>
          <w:szCs w:val="24"/>
        </w:rPr>
        <w:t>、联系方式</w:t>
      </w:r>
    </w:p>
    <w:p>
      <w:pPr>
        <w:pStyle w:val="63"/>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招标人：</w:t>
      </w:r>
      <w:r>
        <w:rPr>
          <w:rFonts w:hint="eastAsia" w:ascii="宋体" w:hAnsi="宋体"/>
          <w:color w:val="auto"/>
          <w:sz w:val="24"/>
          <w:szCs w:val="24"/>
          <w:lang w:eastAsia="zh-CN"/>
        </w:rPr>
        <w:t>玛纳斯中等职业技术学校</w:t>
      </w:r>
    </w:p>
    <w:p>
      <w:pPr>
        <w:pStyle w:val="63"/>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zh-TW" w:eastAsia="zh-TW"/>
        </w:rPr>
        <w:t>联系人：李福东</w:t>
      </w:r>
      <w:r>
        <w:rPr>
          <w:rFonts w:hint="eastAsia" w:ascii="宋体" w:hAnsi="宋体"/>
          <w:color w:val="auto"/>
          <w:sz w:val="24"/>
          <w:szCs w:val="24"/>
          <w:lang w:val="en-US" w:eastAsia="zh-CN"/>
        </w:rPr>
        <w:t xml:space="preserve">    电话：18909940662</w:t>
      </w:r>
    </w:p>
    <w:p>
      <w:pPr>
        <w:pStyle w:val="63"/>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lang w:val="en-US" w:eastAsia="zh-CN"/>
        </w:rPr>
        <w:t xml:space="preserve">地址：玛纳斯县双景路95号。 </w:t>
      </w:r>
      <w:r>
        <w:rPr>
          <w:rFonts w:hint="eastAsia" w:ascii="宋体" w:hAnsi="宋体"/>
          <w:color w:val="auto"/>
          <w:sz w:val="24"/>
          <w:szCs w:val="24"/>
        </w:rPr>
        <w:t xml:space="preserve">      </w:t>
      </w:r>
    </w:p>
    <w:p>
      <w:pPr>
        <w:pStyle w:val="63"/>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招标代理机构：</w:t>
      </w:r>
      <w:r>
        <w:rPr>
          <w:rFonts w:hint="eastAsia" w:ascii="宋体" w:hAnsi="宋体"/>
          <w:color w:val="auto"/>
          <w:sz w:val="24"/>
          <w:szCs w:val="24"/>
          <w:lang w:eastAsia="zh-CN"/>
        </w:rPr>
        <w:t>新疆金裕诚项目管理有限公司</w:t>
      </w:r>
      <w:r>
        <w:rPr>
          <w:rFonts w:hint="eastAsia" w:ascii="宋体" w:hAnsi="宋体"/>
          <w:color w:val="auto"/>
          <w:sz w:val="24"/>
          <w:szCs w:val="24"/>
        </w:rPr>
        <w:t xml:space="preserve"> </w:t>
      </w:r>
    </w:p>
    <w:p>
      <w:pPr>
        <w:pStyle w:val="63"/>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color w:val="auto"/>
          <w:sz w:val="24"/>
          <w:szCs w:val="24"/>
          <w:lang w:eastAsia="zh-CN"/>
        </w:rPr>
      </w:pPr>
      <w:r>
        <w:rPr>
          <w:rFonts w:hint="eastAsia" w:ascii="宋体" w:hAnsi="宋体"/>
          <w:color w:val="auto"/>
          <w:sz w:val="24"/>
          <w:szCs w:val="24"/>
          <w:lang w:eastAsia="zh-CN"/>
        </w:rPr>
        <w:t>地址：</w:t>
      </w:r>
      <w:r>
        <w:rPr>
          <w:rFonts w:hint="eastAsia" w:ascii="宋体" w:hAnsi="宋体"/>
          <w:color w:val="auto"/>
          <w:sz w:val="24"/>
          <w:szCs w:val="24"/>
          <w:lang w:val="en-US" w:eastAsia="zh-CN"/>
        </w:rPr>
        <w:t>昌吉市建国西路199号和谐国际广场K座1517室（友好商场北侧）。</w:t>
      </w:r>
    </w:p>
    <w:p>
      <w:pPr>
        <w:pStyle w:val="63"/>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rPr>
        <w:t>联系人及联系电话：</w:t>
      </w:r>
      <w:r>
        <w:rPr>
          <w:rFonts w:hint="eastAsia" w:ascii="宋体" w:hAnsi="宋体"/>
          <w:color w:val="auto"/>
          <w:sz w:val="24"/>
          <w:szCs w:val="24"/>
          <w:lang w:eastAsia="zh-CN"/>
        </w:rPr>
        <w:t>孙国梅、</w:t>
      </w:r>
      <w:r>
        <w:rPr>
          <w:rFonts w:hint="eastAsia" w:ascii="宋体" w:hAnsi="宋体"/>
          <w:color w:val="auto"/>
          <w:sz w:val="24"/>
          <w:szCs w:val="24"/>
          <w:lang w:val="en-US" w:eastAsia="zh-CN"/>
        </w:rPr>
        <w:t xml:space="preserve">王凤   </w:t>
      </w:r>
      <w:r>
        <w:rPr>
          <w:rFonts w:hint="eastAsia" w:ascii="宋体" w:hAnsi="宋体"/>
          <w:color w:val="auto"/>
          <w:sz w:val="24"/>
          <w:szCs w:val="24"/>
        </w:rPr>
        <w:t>电话：0994-</w:t>
      </w:r>
      <w:r>
        <w:rPr>
          <w:rFonts w:hint="eastAsia" w:ascii="宋体" w:hAnsi="宋体"/>
          <w:color w:val="auto"/>
          <w:sz w:val="24"/>
          <w:szCs w:val="24"/>
          <w:lang w:val="en-US" w:eastAsia="zh-CN"/>
        </w:rPr>
        <w:t>2209128</w:t>
      </w:r>
      <w:r>
        <w:rPr>
          <w:rFonts w:hint="eastAsia" w:ascii="宋体" w:hAnsi="宋体"/>
          <w:color w:val="auto"/>
          <w:sz w:val="24"/>
          <w:szCs w:val="24"/>
        </w:rPr>
        <w:t xml:space="preserve"> </w:t>
      </w:r>
    </w:p>
    <w:p>
      <w:pPr>
        <w:pStyle w:val="63"/>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七、投标文件的递交</w:t>
      </w:r>
    </w:p>
    <w:p>
      <w:pPr>
        <w:pStyle w:val="63"/>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1、</w:t>
      </w:r>
      <w:r>
        <w:rPr>
          <w:rFonts w:hint="eastAsia" w:ascii="宋体" w:hAnsi="宋体" w:eastAsia="宋体"/>
          <w:color w:val="auto"/>
          <w:sz w:val="24"/>
          <w:szCs w:val="24"/>
          <w:lang w:eastAsia="zh-CN"/>
        </w:rPr>
        <w:t>投标文件递交的截止时间（投标截止时间</w:t>
      </w:r>
      <w:r>
        <w:rPr>
          <w:rFonts w:hint="eastAsia" w:ascii="宋体" w:hAnsi="宋体" w:eastAsia="宋体"/>
          <w:color w:val="auto"/>
          <w:sz w:val="24"/>
          <w:szCs w:val="24"/>
          <w:lang w:val="en-US" w:eastAsia="zh-CN"/>
        </w:rPr>
        <w:t>,</w:t>
      </w:r>
      <w:r>
        <w:rPr>
          <w:rFonts w:hint="eastAsia" w:ascii="宋体" w:hAnsi="宋体" w:eastAsia="宋体"/>
          <w:color w:val="auto"/>
          <w:sz w:val="24"/>
          <w:szCs w:val="24"/>
          <w:lang w:eastAsia="zh-CN"/>
        </w:rPr>
        <w:t>下同）为</w:t>
      </w:r>
      <w:r>
        <w:rPr>
          <w:rFonts w:hint="eastAsia" w:ascii="宋体" w:hAnsi="宋体" w:eastAsia="宋体"/>
          <w:color w:val="auto"/>
          <w:sz w:val="24"/>
          <w:szCs w:val="24"/>
          <w:lang w:val="en-US" w:eastAsia="zh-CN"/>
        </w:rPr>
        <w:t>2022</w:t>
      </w:r>
      <w:r>
        <w:rPr>
          <w:rFonts w:hint="eastAsia" w:ascii="宋体" w:hAnsi="宋体" w:eastAsia="宋体"/>
          <w:color w:val="auto"/>
          <w:sz w:val="24"/>
          <w:szCs w:val="24"/>
          <w:lang w:eastAsia="zh-CN"/>
        </w:rPr>
        <w:t>年</w:t>
      </w:r>
      <w:r>
        <w:rPr>
          <w:rFonts w:hint="eastAsia" w:ascii="宋体" w:hAnsi="宋体" w:eastAsia="宋体"/>
          <w:color w:val="auto"/>
          <w:sz w:val="24"/>
          <w:szCs w:val="24"/>
          <w:lang w:val="en-US" w:eastAsia="zh-CN"/>
        </w:rPr>
        <w:t>9</w:t>
      </w:r>
      <w:r>
        <w:rPr>
          <w:rFonts w:hint="eastAsia" w:ascii="宋体" w:hAnsi="宋体" w:eastAsia="宋体"/>
          <w:color w:val="auto"/>
          <w:sz w:val="24"/>
          <w:szCs w:val="24"/>
          <w:lang w:eastAsia="zh-CN"/>
        </w:rPr>
        <w:t>月</w:t>
      </w:r>
      <w:r>
        <w:rPr>
          <w:rFonts w:hint="eastAsia" w:ascii="宋体" w:hAnsi="宋体" w:eastAsia="宋体"/>
          <w:color w:val="auto"/>
          <w:sz w:val="24"/>
          <w:szCs w:val="24"/>
          <w:lang w:val="en-US" w:eastAsia="zh-CN"/>
        </w:rPr>
        <w:t>8</w:t>
      </w:r>
      <w:r>
        <w:rPr>
          <w:rFonts w:hint="eastAsia" w:ascii="宋体" w:hAnsi="宋体" w:eastAsia="宋体"/>
          <w:color w:val="auto"/>
          <w:sz w:val="24"/>
          <w:szCs w:val="24"/>
          <w:lang w:eastAsia="zh-CN"/>
        </w:rPr>
        <w:t>日</w:t>
      </w:r>
      <w:r>
        <w:rPr>
          <w:rFonts w:hint="eastAsia" w:ascii="宋体" w:hAnsi="宋体" w:eastAsia="宋体"/>
          <w:color w:val="auto"/>
          <w:sz w:val="24"/>
          <w:szCs w:val="24"/>
          <w:lang w:val="en-US" w:eastAsia="zh-CN"/>
        </w:rPr>
        <w:t>11:30</w:t>
      </w:r>
      <w:r>
        <w:rPr>
          <w:rFonts w:hint="eastAsia" w:ascii="宋体" w:hAnsi="宋体" w:eastAsia="宋体"/>
          <w:color w:val="auto"/>
          <w:sz w:val="24"/>
          <w:szCs w:val="24"/>
          <w:lang w:eastAsia="zh-CN"/>
        </w:rPr>
        <w:t>时，地点为：</w:t>
      </w:r>
      <w:r>
        <w:rPr>
          <w:rFonts w:hint="eastAsia" w:ascii="宋体" w:hAnsi="宋体" w:eastAsia="宋体"/>
          <w:color w:val="auto"/>
          <w:sz w:val="24"/>
          <w:szCs w:val="24"/>
          <w:lang w:val="en-US" w:eastAsia="zh-CN"/>
        </w:rPr>
        <w:t>昌吉州公共资源交易大厅（昌吉市宁边西路与世纪大道交叉口东北角）负一层</w:t>
      </w:r>
      <w:r>
        <w:rPr>
          <w:rFonts w:hint="eastAsia" w:ascii="宋体" w:hAnsi="宋体" w:eastAsia="宋体"/>
          <w:color w:val="auto"/>
          <w:sz w:val="24"/>
          <w:szCs w:val="24"/>
          <w:lang w:eastAsia="zh-CN"/>
        </w:rPr>
        <w:t>。</w:t>
      </w:r>
    </w:p>
    <w:p>
      <w:pPr>
        <w:pStyle w:val="63"/>
        <w:keepNext w:val="0"/>
        <w:keepLines w:val="0"/>
        <w:pageBreakBefore w:val="0"/>
        <w:widowControl/>
        <w:kinsoku/>
        <w:wordWrap/>
        <w:overflowPunct/>
        <w:topLinePunct w:val="0"/>
        <w:autoSpaceDE/>
        <w:autoSpaceDN/>
        <w:bidi w:val="0"/>
        <w:adjustRightInd/>
        <w:snapToGrid/>
        <w:spacing w:line="440" w:lineRule="atLeast"/>
        <w:ind w:right="0" w:rightChars="0" w:firstLine="480" w:firstLineChars="200"/>
        <w:jc w:val="left"/>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2、</w:t>
      </w:r>
      <w:r>
        <w:rPr>
          <w:rFonts w:hint="eastAsia" w:ascii="宋体" w:hAnsi="宋体" w:eastAsia="宋体"/>
          <w:color w:val="auto"/>
          <w:sz w:val="24"/>
          <w:szCs w:val="24"/>
          <w:lang w:eastAsia="zh-CN"/>
        </w:rPr>
        <w:t>逾期送达的、未送达指定地点的或者不按照招标文件要求密封的投标文件，招标人将予以拒收。</w:t>
      </w:r>
    </w:p>
    <w:p>
      <w:pPr>
        <w:rPr>
          <w:rFonts w:hint="eastAsia" w:ascii="宋体" w:hAnsi="宋体" w:eastAsia="宋体" w:cs="宋体"/>
          <w:color w:val="auto"/>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widowControl/>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第二章  投标人须知</w:t>
      </w:r>
      <w:bookmarkEnd w:id="9"/>
      <w:bookmarkEnd w:id="10"/>
    </w:p>
    <w:p>
      <w:pPr>
        <w:pStyle w:val="6"/>
        <w:spacing w:before="0" w:after="0" w:line="360" w:lineRule="exact"/>
        <w:jc w:val="center"/>
        <w:rPr>
          <w:rFonts w:hint="eastAsia" w:ascii="宋体" w:hAnsi="宋体" w:eastAsia="宋体" w:cs="宋体"/>
          <w:bCs w:val="0"/>
          <w:color w:val="auto"/>
          <w:sz w:val="28"/>
          <w:szCs w:val="28"/>
          <w:highlight w:val="none"/>
        </w:rPr>
      </w:pPr>
      <w:bookmarkStart w:id="19" w:name="_Toc9682"/>
      <w:bookmarkStart w:id="20" w:name="_Toc13326"/>
      <w:r>
        <w:rPr>
          <w:rFonts w:hint="eastAsia" w:ascii="宋体" w:hAnsi="宋体" w:eastAsia="宋体" w:cs="宋体"/>
          <w:bCs w:val="0"/>
          <w:color w:val="auto"/>
          <w:sz w:val="28"/>
          <w:szCs w:val="28"/>
          <w:highlight w:val="none"/>
        </w:rPr>
        <w:t>投标人须知前附表</w:t>
      </w:r>
      <w:bookmarkEnd w:id="11"/>
      <w:bookmarkEnd w:id="12"/>
      <w:bookmarkEnd w:id="13"/>
      <w:bookmarkEnd w:id="14"/>
      <w:bookmarkEnd w:id="19"/>
      <w:bookmarkEnd w:id="20"/>
    </w:p>
    <w:tbl>
      <w:tblPr>
        <w:tblStyle w:val="29"/>
        <w:tblW w:w="92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848"/>
        <w:gridCol w:w="1828"/>
        <w:gridCol w:w="5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noWrap w:val="0"/>
            <w:vAlign w:val="center"/>
          </w:tcPr>
          <w:p>
            <w:pPr>
              <w:spacing w:line="320" w:lineRule="exact"/>
              <w:jc w:val="center"/>
              <w:textAlignment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条款号</w:t>
            </w:r>
          </w:p>
        </w:tc>
        <w:tc>
          <w:tcPr>
            <w:tcW w:w="2676" w:type="dxa"/>
            <w:gridSpan w:val="2"/>
            <w:noWrap w:val="0"/>
            <w:vAlign w:val="center"/>
          </w:tcPr>
          <w:p>
            <w:pPr>
              <w:spacing w:line="320" w:lineRule="exact"/>
              <w:jc w:val="center"/>
              <w:textAlignment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条  款  名  称</w:t>
            </w:r>
          </w:p>
        </w:tc>
        <w:tc>
          <w:tcPr>
            <w:tcW w:w="5619" w:type="dxa"/>
            <w:noWrap w:val="0"/>
            <w:vAlign w:val="center"/>
          </w:tcPr>
          <w:p>
            <w:pPr>
              <w:spacing w:line="320" w:lineRule="exact"/>
              <w:jc w:val="center"/>
              <w:textAlignment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p>
        </w:tc>
        <w:tc>
          <w:tcPr>
            <w:tcW w:w="5619" w:type="dxa"/>
            <w:noWrap w:val="0"/>
            <w:vAlign w:val="center"/>
          </w:tcPr>
          <w:p>
            <w:pPr>
              <w:adjustRightInd w:val="0"/>
              <w:snapToGrid w:val="0"/>
              <w:spacing w:line="30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cs="宋体"/>
                <w:color w:val="auto"/>
                <w:sz w:val="28"/>
                <w:szCs w:val="28"/>
                <w:highlight w:val="none"/>
                <w:lang w:eastAsia="zh-CN"/>
              </w:rPr>
              <w:t>玛纳斯中等职业技术学校</w:t>
            </w:r>
            <w:r>
              <w:rPr>
                <w:rFonts w:hint="eastAsia" w:ascii="宋体" w:hAnsi="宋体" w:eastAsia="宋体" w:cs="宋体"/>
                <w:color w:val="auto"/>
                <w:sz w:val="28"/>
                <w:szCs w:val="28"/>
                <w:highlight w:val="none"/>
              </w:rPr>
              <w:t xml:space="preserve">           </w:t>
            </w:r>
          </w:p>
          <w:p>
            <w:pPr>
              <w:adjustRightInd w:val="0"/>
              <w:snapToGrid w:val="0"/>
              <w:spacing w:line="300" w:lineRule="exact"/>
              <w:jc w:val="left"/>
              <w:textAlignment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zh-TW" w:eastAsia="zh-CN"/>
              </w:rPr>
              <w:t>李福东</w:t>
            </w:r>
          </w:p>
          <w:p>
            <w:pPr>
              <w:adjustRightInd w:val="0"/>
              <w:snapToGrid w:val="0"/>
              <w:spacing w:line="30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cs="宋体"/>
                <w:color w:val="auto"/>
                <w:sz w:val="28"/>
                <w:szCs w:val="28"/>
                <w:highlight w:val="none"/>
                <w:lang w:val="en-US" w:eastAsia="zh-CN"/>
              </w:rPr>
              <w:t>18909940662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w:t>
            </w:r>
          </w:p>
        </w:tc>
        <w:tc>
          <w:tcPr>
            <w:tcW w:w="5619" w:type="dxa"/>
            <w:noWrap w:val="0"/>
            <w:vAlign w:val="center"/>
          </w:tcPr>
          <w:p>
            <w:pPr>
              <w:spacing w:line="30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名  称：新疆金裕诚项目管理有限公司         </w:t>
            </w:r>
          </w:p>
          <w:p>
            <w:pPr>
              <w:spacing w:line="30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址：昌吉市建国西路199号和谐国际广场K座1517室（友好商场北侧）</w:t>
            </w:r>
          </w:p>
          <w:p>
            <w:pPr>
              <w:spacing w:line="30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联系人：孙国梅、王凤   </w:t>
            </w:r>
          </w:p>
          <w:p>
            <w:pPr>
              <w:spacing w:line="30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联系电话：0994-2209128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5619" w:type="dxa"/>
            <w:noWrap w:val="0"/>
            <w:vAlign w:val="center"/>
          </w:tcPr>
          <w:p>
            <w:pPr>
              <w:spacing w:line="300" w:lineRule="exact"/>
              <w:jc w:val="left"/>
              <w:textAlignment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2022年职业教育质量提升-实训基地建设项目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地点</w:t>
            </w:r>
          </w:p>
        </w:tc>
        <w:tc>
          <w:tcPr>
            <w:tcW w:w="5619" w:type="dxa"/>
            <w:noWrap w:val="0"/>
            <w:vAlign w:val="center"/>
          </w:tcPr>
          <w:p>
            <w:pPr>
              <w:spacing w:line="280" w:lineRule="exact"/>
              <w:jc w:val="left"/>
              <w:textAlignment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玛纳斯中等职业技术学校。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投资额及</w:t>
            </w:r>
            <w:r>
              <w:rPr>
                <w:rFonts w:hint="eastAsia" w:ascii="宋体" w:hAnsi="宋体" w:eastAsia="宋体" w:cs="宋体"/>
                <w:color w:val="auto"/>
                <w:sz w:val="28"/>
                <w:szCs w:val="28"/>
                <w:highlight w:val="none"/>
              </w:rPr>
              <w:t>资金来源</w:t>
            </w:r>
          </w:p>
        </w:tc>
        <w:tc>
          <w:tcPr>
            <w:tcW w:w="5619" w:type="dxa"/>
            <w:noWrap w:val="0"/>
            <w:vAlign w:val="center"/>
          </w:tcPr>
          <w:p>
            <w:pPr>
              <w:pStyle w:val="33"/>
              <w:ind w:left="0" w:leftChars="0" w:firstLine="0" w:firstLineChars="0"/>
              <w:rPr>
                <w:rFonts w:hint="default" w:ascii="宋体" w:hAnsi="宋体" w:eastAsia="宋体" w:cs="宋体"/>
                <w:b/>
                <w:bCs/>
                <w:color w:val="auto"/>
                <w:sz w:val="28"/>
                <w:szCs w:val="28"/>
                <w:lang w:val="en-US" w:eastAsia="zh-CN"/>
              </w:rPr>
            </w:pPr>
            <w:r>
              <w:rPr>
                <w:rFonts w:hint="eastAsia" w:cs="宋体"/>
                <w:b/>
                <w:bCs/>
                <w:color w:val="auto"/>
                <w:sz w:val="28"/>
                <w:szCs w:val="28"/>
                <w:lang w:val="en-US" w:eastAsia="zh-CN"/>
              </w:rPr>
              <w:t>资金来源：财政资金</w:t>
            </w:r>
          </w:p>
          <w:p>
            <w:pPr>
              <w:pStyle w:val="33"/>
              <w:ind w:left="0" w:leftChars="0" w:firstLine="0" w:firstLineChars="0"/>
              <w:rPr>
                <w:rFonts w:hint="default" w:ascii="宋体" w:hAnsi="宋体" w:eastAsia="宋体" w:cs="宋体"/>
                <w:b/>
                <w:bCs/>
                <w:color w:val="auto"/>
                <w:sz w:val="28"/>
                <w:szCs w:val="28"/>
                <w:lang w:val="en-US"/>
              </w:rPr>
            </w:pPr>
            <w:r>
              <w:rPr>
                <w:rFonts w:hint="eastAsia" w:ascii="宋体" w:hAnsi="宋体" w:eastAsia="宋体" w:cs="宋体"/>
                <w:b/>
                <w:bCs/>
                <w:color w:val="auto"/>
                <w:sz w:val="28"/>
                <w:szCs w:val="28"/>
                <w:lang w:val="zh-CN" w:eastAsia="zh-CN"/>
              </w:rPr>
              <w:t>投资额</w:t>
            </w:r>
            <w:r>
              <w:rPr>
                <w:rFonts w:hint="eastAsia" w:ascii="宋体" w:hAnsi="宋体" w:eastAsia="宋体" w:cs="宋体"/>
                <w:b/>
                <w:bCs/>
                <w:color w:val="auto"/>
                <w:sz w:val="28"/>
                <w:szCs w:val="28"/>
                <w:lang w:val="zh-CN"/>
              </w:rPr>
              <w:t>：</w:t>
            </w:r>
            <w:r>
              <w:rPr>
                <w:rFonts w:hint="eastAsia" w:cs="宋体"/>
                <w:b/>
                <w:bCs/>
                <w:color w:val="auto"/>
                <w:sz w:val="28"/>
                <w:szCs w:val="28"/>
                <w:lang w:val="en-US" w:eastAsia="zh-CN"/>
              </w:rPr>
              <w:t>500</w:t>
            </w:r>
            <w:r>
              <w:rPr>
                <w:rFonts w:hint="eastAsia" w:cs="宋体"/>
                <w:b/>
                <w:bCs/>
                <w:color w:val="auto"/>
                <w:sz w:val="28"/>
                <w:szCs w:val="28"/>
                <w:lang w:val="zh-CN" w:eastAsia="zh-CN"/>
              </w:rPr>
              <w:t>万元</w:t>
            </w:r>
          </w:p>
          <w:p>
            <w:pPr>
              <w:spacing w:line="320" w:lineRule="exact"/>
              <w:jc w:val="left"/>
              <w:textAlignment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lang w:val="en-US" w:eastAsia="zh-CN"/>
              </w:rPr>
              <w:t>注：</w:t>
            </w:r>
            <w:r>
              <w:rPr>
                <w:rFonts w:hint="eastAsia" w:ascii="宋体" w:hAnsi="宋体" w:cs="宋体"/>
                <w:b/>
                <w:bCs/>
                <w:color w:val="auto"/>
                <w:sz w:val="28"/>
                <w:szCs w:val="28"/>
                <w:lang w:eastAsia="zh-CN"/>
              </w:rPr>
              <w:t>投标人</w:t>
            </w:r>
            <w:r>
              <w:rPr>
                <w:rFonts w:hint="eastAsia" w:ascii="宋体" w:hAnsi="宋体" w:eastAsia="宋体" w:cs="宋体"/>
                <w:b/>
                <w:bCs/>
                <w:color w:val="auto"/>
                <w:sz w:val="28"/>
                <w:szCs w:val="28"/>
                <w:lang w:eastAsia="zh-CN"/>
              </w:rPr>
              <w:t>投标报价超过</w:t>
            </w:r>
            <w:r>
              <w:rPr>
                <w:rFonts w:hint="eastAsia" w:ascii="宋体" w:hAnsi="宋体" w:eastAsia="宋体" w:cs="宋体"/>
                <w:b/>
                <w:bCs/>
                <w:color w:val="auto"/>
                <w:sz w:val="28"/>
                <w:szCs w:val="28"/>
                <w:lang w:val="zh-CN" w:eastAsia="zh-CN"/>
              </w:rPr>
              <w:t>投资额</w:t>
            </w:r>
            <w:r>
              <w:rPr>
                <w:rFonts w:hint="eastAsia" w:ascii="宋体" w:hAnsi="宋体" w:eastAsia="宋体" w:cs="宋体"/>
                <w:b/>
                <w:bCs/>
                <w:color w:val="auto"/>
                <w:sz w:val="28"/>
                <w:szCs w:val="28"/>
                <w:lang w:eastAsia="zh-CN"/>
              </w:rPr>
              <w:t>的按</w:t>
            </w:r>
            <w:r>
              <w:rPr>
                <w:rFonts w:hint="eastAsia" w:ascii="宋体" w:hAnsi="宋体" w:eastAsia="宋体" w:cs="宋体"/>
                <w:b/>
                <w:bCs/>
                <w:color w:val="auto"/>
                <w:sz w:val="28"/>
                <w:szCs w:val="28"/>
                <w:lang w:val="en-US" w:eastAsia="zh-CN"/>
              </w:rPr>
              <w:t>废标</w:t>
            </w:r>
            <w:r>
              <w:rPr>
                <w:rFonts w:hint="eastAsia" w:ascii="宋体" w:hAnsi="宋体" w:eastAsia="宋体" w:cs="宋体"/>
                <w:b/>
                <w:bCs/>
                <w:color w:val="auto"/>
                <w:sz w:val="28"/>
                <w:szCs w:val="28"/>
                <w:lang w:eastAsia="zh-CN"/>
              </w:rPr>
              <w:t>处理</w:t>
            </w:r>
            <w:r>
              <w:rPr>
                <w:rFonts w:hint="eastAsia" w:ascii="宋体" w:hAnsi="宋体" w:cs="宋体"/>
                <w:b/>
                <w:bCs/>
                <w:color w:val="auto"/>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出资比例</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财政资金</w:t>
            </w:r>
            <w:r>
              <w:rPr>
                <w:rFonts w:hint="eastAsia" w:ascii="宋体" w:hAnsi="宋体" w:eastAsia="宋体" w:cs="宋体"/>
                <w:color w:val="auto"/>
                <w:sz w:val="28"/>
                <w:szCs w:val="28"/>
                <w:highlight w:val="none"/>
              </w:rPr>
              <w:t>占100%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资金落实情况</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676" w:type="dxa"/>
            <w:gridSpan w:val="2"/>
            <w:noWrap w:val="0"/>
            <w:vAlign w:val="center"/>
          </w:tcPr>
          <w:p>
            <w:pPr>
              <w:spacing w:line="280" w:lineRule="exact"/>
              <w:jc w:val="center"/>
              <w:textAlignment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采购内容</w:t>
            </w:r>
          </w:p>
        </w:tc>
        <w:tc>
          <w:tcPr>
            <w:tcW w:w="56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工业机器人操作与运维工作站4台；工业机器人离线编程软件；仿真实训系统1套；3D打印机2台；工业传感器应用平台8台；智能家居安装与维护系统；虚拟焊机培训平台2套；电工技能仿真实训软件；</w:t>
            </w:r>
            <w:r>
              <w:rPr>
                <w:rFonts w:hint="eastAsia" w:ascii="宋体" w:hAnsi="宋体" w:cs="宋体"/>
                <w:color w:val="auto"/>
                <w:sz w:val="28"/>
                <w:szCs w:val="28"/>
                <w:highlight w:val="none"/>
                <w:lang w:val="en-US" w:eastAsia="zh-CN"/>
              </w:rPr>
              <w:t>工业机器视觉编程与应用技术平台4台</w:t>
            </w:r>
            <w:r>
              <w:rPr>
                <w:rFonts w:hint="eastAsia" w:ascii="宋体" w:hAnsi="宋体" w:eastAsia="宋体" w:cs="宋体"/>
                <w:color w:val="auto"/>
                <w:sz w:val="28"/>
                <w:szCs w:val="28"/>
                <w:highlight w:val="none"/>
                <w:lang w:val="en-US" w:eastAsia="zh-CN"/>
              </w:rPr>
              <w:t>，具体内容详见招标文件。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676" w:type="dxa"/>
            <w:gridSpan w:val="2"/>
            <w:noWrap w:val="0"/>
            <w:vAlign w:val="center"/>
          </w:tcPr>
          <w:p>
            <w:pPr>
              <w:spacing w:line="320" w:lineRule="exact"/>
              <w:jc w:val="center"/>
              <w:textAlignment w:val="center"/>
              <w:rPr>
                <w:rFonts w:hint="default" w:ascii="宋体" w:hAnsi="宋体" w:eastAsia="宋体" w:cs="宋体"/>
                <w:color w:val="auto"/>
                <w:sz w:val="28"/>
                <w:szCs w:val="28"/>
                <w:highlight w:val="none"/>
                <w:lang w:val="en-US"/>
              </w:rPr>
            </w:pPr>
            <w:r>
              <w:rPr>
                <w:rFonts w:hint="eastAsia" w:ascii="宋体" w:hAnsi="宋体" w:cs="宋体"/>
                <w:color w:val="auto"/>
                <w:sz w:val="28"/>
                <w:szCs w:val="28"/>
                <w:highlight w:val="none"/>
                <w:lang w:eastAsia="zh-CN"/>
              </w:rPr>
              <w:t>供货期限</w:t>
            </w:r>
          </w:p>
        </w:tc>
        <w:tc>
          <w:tcPr>
            <w:tcW w:w="56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default"/>
                <w:color w:val="auto"/>
                <w:lang w:val="en-US"/>
              </w:rPr>
            </w:pPr>
            <w:r>
              <w:rPr>
                <w:rFonts w:hint="eastAsia" w:ascii="宋体" w:hAnsi="宋体" w:cs="宋体"/>
                <w:color w:val="auto"/>
                <w:sz w:val="28"/>
                <w:szCs w:val="28"/>
                <w:highlight w:val="none"/>
                <w:lang w:val="en-US" w:eastAsia="zh-CN"/>
              </w:rPr>
              <w:t>合同签订后30天内供货并安装完毕。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质量要求</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lang w:val="en-US" w:eastAsia="zh-CN"/>
              </w:rPr>
              <w:t>资格</w:t>
            </w:r>
            <w:r>
              <w:rPr>
                <w:rFonts w:hint="eastAsia" w:ascii="宋体" w:hAnsi="宋体" w:eastAsia="宋体" w:cs="宋体"/>
                <w:color w:val="auto"/>
                <w:sz w:val="28"/>
                <w:szCs w:val="28"/>
                <w:highlight w:val="none"/>
              </w:rPr>
              <w:t>条件</w:t>
            </w:r>
          </w:p>
        </w:tc>
        <w:tc>
          <w:tcPr>
            <w:tcW w:w="56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满足《中华人民共和国政府采购法》第二十二条要求相关规定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供应商参加政府采购活动应当具备下列条件：（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2、落实政府采购政策需满足的资格要求：(1)《政府采购促进中小企业发展管理办法》（财库〔2020〕46号）；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(3)《财政部 民政部 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3、本项目的特定资格要求：（1）投标人须在中华人民共和国合法注册并具有独立法人资格，营业执照经年检有效且须有相应经营范围。</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根据《财政部关于在政府采购活动中查询及使用信用记录有关问题的通知》（财库﹝2016﹞125号）的要求，凡拟参加本次招标项目的投标人，如在“信用中国”网（www.creditchina.gov.cn）、中国政府采购网（www.ccgp.gov.cn）列入失信被执行人、重大税收违法案件当事人名单、政府采购严重违法失信行为记录名单的（尚在处罚期内的），将拒绝其参加本次政府采购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（3）单位负责人为同一人或者存在直接控股、管理关系的不同投标人，不得参加同一合同项下的政府采购活动。否则，皆取消投标资格。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是否接受联合体投标</w:t>
            </w:r>
          </w:p>
        </w:tc>
        <w:tc>
          <w:tcPr>
            <w:tcW w:w="5619" w:type="dxa"/>
            <w:noWrap w:val="0"/>
            <w:vAlign w:val="center"/>
          </w:tcPr>
          <w:p>
            <w:pPr>
              <w:pStyle w:val="14"/>
              <w:topLinePunct/>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踏勘现场</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投标预备会</w:t>
            </w:r>
          </w:p>
        </w:tc>
        <w:tc>
          <w:tcPr>
            <w:tcW w:w="5619" w:type="dxa"/>
            <w:noWrap w:val="0"/>
            <w:vAlign w:val="center"/>
          </w:tcPr>
          <w:p>
            <w:pPr>
              <w:pStyle w:val="14"/>
              <w:topLinePunct/>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投标人提出问题的截止时间</w:t>
            </w:r>
          </w:p>
        </w:tc>
        <w:tc>
          <w:tcPr>
            <w:tcW w:w="5619" w:type="dxa"/>
            <w:noWrap w:val="0"/>
            <w:vAlign w:val="center"/>
          </w:tcPr>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在投标截止时间15日前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招标人书面澄清的时间</w:t>
            </w:r>
          </w:p>
        </w:tc>
        <w:tc>
          <w:tcPr>
            <w:tcW w:w="5619" w:type="dxa"/>
            <w:noWrap w:val="0"/>
            <w:vAlign w:val="center"/>
          </w:tcPr>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在投标截止时间15日前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分包</w:t>
            </w:r>
          </w:p>
        </w:tc>
        <w:tc>
          <w:tcPr>
            <w:tcW w:w="5619" w:type="dxa"/>
            <w:noWrap w:val="0"/>
            <w:vAlign w:val="center"/>
          </w:tcPr>
          <w:p>
            <w:pPr>
              <w:pStyle w:val="14"/>
              <w:topLinePunct/>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5619" w:type="dxa"/>
            <w:noWrap w:val="0"/>
            <w:vAlign w:val="center"/>
          </w:tcPr>
          <w:p>
            <w:pPr>
              <w:pStyle w:val="14"/>
              <w:topLinePunct/>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构成招标文件的其他材料</w:t>
            </w:r>
          </w:p>
        </w:tc>
        <w:tc>
          <w:tcPr>
            <w:tcW w:w="5619" w:type="dxa"/>
            <w:noWrap w:val="0"/>
            <w:vAlign w:val="center"/>
          </w:tcPr>
          <w:p>
            <w:pPr>
              <w:spacing w:line="320" w:lineRule="exact"/>
              <w:jc w:val="left"/>
              <w:textAlignment w:val="center"/>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详见招标文件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676" w:type="dxa"/>
            <w:gridSpan w:val="2"/>
            <w:noWrap w:val="0"/>
            <w:vAlign w:val="center"/>
          </w:tcPr>
          <w:p>
            <w:pPr>
              <w:spacing w:line="30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投标人要求澄清招标文件的截止时间</w:t>
            </w:r>
          </w:p>
        </w:tc>
        <w:tc>
          <w:tcPr>
            <w:tcW w:w="5619" w:type="dxa"/>
            <w:noWrap w:val="0"/>
            <w:vAlign w:val="center"/>
          </w:tcPr>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在投标截止时间15日前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投标截止时间</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lang w:val="en-US" w:eastAsia="zh-CN"/>
              </w:rPr>
              <w:t>2022</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eastAsia="zh-CN"/>
              </w:rPr>
              <w:t>月</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eastAsia="zh-CN"/>
              </w:rPr>
              <w:t>日</w:t>
            </w:r>
            <w:r>
              <w:rPr>
                <w:rFonts w:hint="eastAsia" w:ascii="宋体" w:hAnsi="宋体" w:cs="宋体"/>
                <w:color w:val="auto"/>
                <w:sz w:val="28"/>
                <w:szCs w:val="28"/>
                <w:lang w:val="en-US" w:eastAsia="zh-CN"/>
              </w:rPr>
              <w:t>11:30</w:t>
            </w:r>
            <w:r>
              <w:rPr>
                <w:rFonts w:hint="eastAsia" w:ascii="宋体" w:hAnsi="宋体" w:eastAsia="宋体" w:cs="宋体"/>
                <w:color w:val="auto"/>
                <w:sz w:val="28"/>
                <w:szCs w:val="28"/>
                <w:lang w:eastAsia="zh-CN"/>
              </w:rPr>
              <w:t>时</w:t>
            </w:r>
            <w:r>
              <w:rPr>
                <w:rFonts w:hint="eastAsia" w:ascii="宋体" w:hAnsi="宋体" w:eastAsia="宋体" w:cs="宋体"/>
                <w:color w:val="auto"/>
                <w:sz w:val="28"/>
                <w:szCs w:val="28"/>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676" w:type="dxa"/>
            <w:gridSpan w:val="2"/>
            <w:noWrap w:val="0"/>
            <w:vAlign w:val="center"/>
          </w:tcPr>
          <w:p>
            <w:pPr>
              <w:spacing w:line="30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投标人确认收到招标文件澄清的时间</w:t>
            </w:r>
          </w:p>
        </w:tc>
        <w:tc>
          <w:tcPr>
            <w:tcW w:w="5619" w:type="dxa"/>
            <w:noWrap w:val="0"/>
            <w:vAlign w:val="center"/>
          </w:tcPr>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收到招标文件澄清后24小时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676" w:type="dxa"/>
            <w:gridSpan w:val="2"/>
            <w:noWrap w:val="0"/>
            <w:vAlign w:val="center"/>
          </w:tcPr>
          <w:p>
            <w:pPr>
              <w:spacing w:line="30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投标人确认收到招标文件修改的时间</w:t>
            </w:r>
          </w:p>
        </w:tc>
        <w:tc>
          <w:tcPr>
            <w:tcW w:w="5619" w:type="dxa"/>
            <w:noWrap w:val="0"/>
            <w:vAlign w:val="center"/>
          </w:tcPr>
          <w:p>
            <w:pPr>
              <w:spacing w:line="3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收到招标文件修改后24小时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构成投标文件的其他材料</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投标人自行考虑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投标有效期</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90日历天（从投标截止之日算起）。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w:t>
            </w:r>
          </w:p>
        </w:tc>
        <w:tc>
          <w:tcPr>
            <w:tcW w:w="5619" w:type="dxa"/>
            <w:noWrap w:val="0"/>
            <w:vAlign w:val="center"/>
          </w:tcPr>
          <w:p>
            <w:pPr>
              <w:pStyle w:val="7"/>
              <w:spacing w:before="0" w:after="0" w:line="300" w:lineRule="exact"/>
              <w:jc w:val="left"/>
              <w:rPr>
                <w:rFonts w:hint="eastAsia" w:ascii="宋体" w:hAnsi="宋体" w:eastAsia="宋体" w:cs="宋体"/>
                <w:b w:val="0"/>
                <w:bCs w:val="0"/>
                <w:color w:val="auto"/>
                <w:sz w:val="28"/>
                <w:szCs w:val="28"/>
              </w:rPr>
            </w:pPr>
          </w:p>
          <w:p>
            <w:pPr>
              <w:pStyle w:val="7"/>
              <w:spacing w:before="0" w:after="0" w:line="300" w:lineRule="exact"/>
              <w:jc w:val="left"/>
              <w:rPr>
                <w:rFonts w:hint="eastAsia"/>
                <w:color w:val="auto"/>
              </w:rPr>
            </w:pPr>
            <w:r>
              <w:rPr>
                <w:rFonts w:hint="eastAsia" w:ascii="宋体" w:hAnsi="宋体" w:eastAsia="宋体" w:cs="宋体"/>
                <w:b w:val="0"/>
                <w:bCs w:val="0"/>
                <w:color w:val="auto"/>
                <w:sz w:val="28"/>
                <w:szCs w:val="28"/>
              </w:rPr>
              <w:t>缴纳方式：</w:t>
            </w:r>
            <w:r>
              <w:rPr>
                <w:rFonts w:hint="eastAsia" w:ascii="宋体" w:hAnsi="宋体" w:eastAsia="宋体" w:cs="宋体"/>
                <w:b w:val="0"/>
                <w:bCs w:val="0"/>
                <w:color w:val="auto"/>
                <w:sz w:val="28"/>
                <w:szCs w:val="28"/>
                <w:lang w:val="en-US" w:eastAsia="zh-CN"/>
              </w:rPr>
              <w:t>（电汇或网银转账形式缴纳，不得以办事处或其他机构名义缴纳，投标人在电汇方式缴纳投标保证金时，需在进帐凭证上明确资金用途、投标项目名称，以便查对核实。投标人需在保证金截止时间前由投标人基本帐户一次性汇入）</w:t>
            </w:r>
          </w:p>
          <w:p>
            <w:pPr>
              <w:rPr>
                <w:rFonts w:hint="eastAsia"/>
                <w:color w:val="auto"/>
              </w:rPr>
            </w:pPr>
          </w:p>
          <w:p>
            <w:pPr>
              <w:rPr>
                <w:rFonts w:hint="eastAsia" w:ascii="宋体" w:hAnsi="宋体" w:eastAsia="宋体" w:cs="宋体"/>
                <w:color w:val="auto"/>
                <w:sz w:val="28"/>
                <w:szCs w:val="28"/>
              </w:rPr>
            </w:pPr>
            <w:r>
              <w:rPr>
                <w:rFonts w:hint="eastAsia" w:ascii="宋体" w:hAnsi="宋体" w:eastAsia="宋体" w:cs="宋体"/>
                <w:color w:val="auto"/>
                <w:sz w:val="28"/>
                <w:szCs w:val="28"/>
              </w:rPr>
              <w:t>金额（小写）：</w:t>
            </w:r>
            <w:r>
              <w:rPr>
                <w:rFonts w:hint="eastAsia" w:ascii="宋体" w:hAnsi="宋体" w:cs="宋体"/>
                <w:color w:val="auto"/>
                <w:sz w:val="28"/>
                <w:szCs w:val="28"/>
                <w:lang w:val="en-US" w:eastAsia="zh-CN"/>
              </w:rPr>
              <w:t>50000</w:t>
            </w:r>
            <w:r>
              <w:rPr>
                <w:rFonts w:hint="eastAsia" w:ascii="宋体" w:hAnsi="宋体" w:eastAsia="宋体" w:cs="宋体"/>
                <w:color w:val="auto"/>
                <w:sz w:val="28"/>
                <w:szCs w:val="28"/>
              </w:rPr>
              <w:t xml:space="preserve">.00元                                    </w:t>
            </w:r>
          </w:p>
          <w:p>
            <w:pPr>
              <w:rPr>
                <w:rFonts w:hint="eastAsia" w:ascii="宋体" w:hAnsi="宋体" w:eastAsia="宋体" w:cs="宋体"/>
                <w:color w:val="auto"/>
                <w:sz w:val="28"/>
                <w:szCs w:val="28"/>
              </w:rPr>
            </w:pPr>
            <w:r>
              <w:rPr>
                <w:rFonts w:hint="eastAsia" w:ascii="宋体" w:hAnsi="宋体" w:eastAsia="宋体" w:cs="宋体"/>
                <w:color w:val="auto"/>
                <w:sz w:val="28"/>
                <w:szCs w:val="28"/>
              </w:rPr>
              <w:t>金额（大写）：</w:t>
            </w:r>
            <w:r>
              <w:rPr>
                <w:rFonts w:hint="eastAsia" w:ascii="宋体" w:hAnsi="宋体" w:cs="宋体"/>
                <w:color w:val="auto"/>
                <w:sz w:val="28"/>
                <w:szCs w:val="28"/>
                <w:lang w:val="en-US" w:eastAsia="zh-CN"/>
              </w:rPr>
              <w:t>伍万元整</w:t>
            </w:r>
            <w:r>
              <w:rPr>
                <w:rFonts w:hint="eastAsia" w:ascii="宋体" w:hAnsi="宋体" w:eastAsia="宋体" w:cs="宋体"/>
                <w:color w:val="auto"/>
                <w:sz w:val="28"/>
                <w:szCs w:val="28"/>
              </w:rPr>
              <w:t xml:space="preserve"> </w:t>
            </w:r>
          </w:p>
          <w:p>
            <w:pPr>
              <w:pStyle w:val="33"/>
              <w:rPr>
                <w:rFonts w:hint="eastAsia"/>
                <w:color w:val="auto"/>
              </w:rPr>
            </w:pPr>
          </w:p>
          <w:p>
            <w:pPr>
              <w:pStyle w:val="33"/>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收款单位：新疆金裕诚项目管理有限公司</w:t>
            </w:r>
          </w:p>
          <w:p>
            <w:pPr>
              <w:pStyle w:val="33"/>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开户银行：中国建设银行股份有限公司昌吉中山路支行                          </w:t>
            </w:r>
          </w:p>
          <w:p>
            <w:pPr>
              <w:pStyle w:val="33"/>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账号：6505 0162 6052 0000 0430</w:t>
            </w:r>
          </w:p>
          <w:p>
            <w:pPr>
              <w:pStyle w:val="33"/>
              <w:ind w:left="0" w:leftChars="0" w:firstLine="0" w:firstLineChars="0"/>
              <w:rPr>
                <w:rFonts w:hint="eastAsia" w:ascii="宋体" w:hAnsi="宋体" w:eastAsia="宋体" w:cs="宋体"/>
                <w:color w:val="auto"/>
                <w:sz w:val="28"/>
                <w:szCs w:val="28"/>
              </w:rPr>
            </w:pPr>
          </w:p>
          <w:p>
            <w:pPr>
              <w:pStyle w:val="33"/>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到账截止时间：</w:t>
            </w:r>
            <w:r>
              <w:rPr>
                <w:rFonts w:hint="eastAsia" w:ascii="宋体" w:hAnsi="宋体" w:eastAsia="宋体" w:cs="宋体"/>
                <w:color w:val="auto"/>
                <w:sz w:val="28"/>
                <w:szCs w:val="28"/>
                <w:lang w:val="en-US" w:eastAsia="zh-CN"/>
              </w:rPr>
              <w:t>2022</w:t>
            </w:r>
            <w:r>
              <w:rPr>
                <w:rFonts w:hint="eastAsia" w:ascii="宋体" w:hAnsi="宋体" w:eastAsia="宋体" w:cs="宋体"/>
                <w:color w:val="auto"/>
                <w:sz w:val="28"/>
                <w:szCs w:val="28"/>
                <w:lang w:eastAsia="zh-CN"/>
              </w:rPr>
              <w:t>年</w:t>
            </w:r>
            <w:r>
              <w:rPr>
                <w:rFonts w:hint="eastAsia" w:cs="宋体"/>
                <w:color w:val="auto"/>
                <w:sz w:val="28"/>
                <w:szCs w:val="28"/>
                <w:lang w:val="en-US" w:eastAsia="zh-CN"/>
              </w:rPr>
              <w:t>9</w:t>
            </w:r>
            <w:r>
              <w:rPr>
                <w:rFonts w:hint="eastAsia" w:ascii="宋体" w:hAnsi="宋体" w:eastAsia="宋体" w:cs="宋体"/>
                <w:color w:val="auto"/>
                <w:sz w:val="28"/>
                <w:szCs w:val="28"/>
                <w:lang w:eastAsia="zh-CN"/>
              </w:rPr>
              <w:t>月</w:t>
            </w:r>
            <w:r>
              <w:rPr>
                <w:rFonts w:hint="eastAsia" w:cs="宋体"/>
                <w:color w:val="auto"/>
                <w:sz w:val="28"/>
                <w:szCs w:val="28"/>
                <w:lang w:val="en-US" w:eastAsia="zh-CN"/>
              </w:rPr>
              <w:t>7</w:t>
            </w:r>
            <w:r>
              <w:rPr>
                <w:rFonts w:hint="eastAsia" w:ascii="宋体" w:hAnsi="宋体" w:eastAsia="宋体" w:cs="宋体"/>
                <w:color w:val="auto"/>
                <w:sz w:val="28"/>
                <w:szCs w:val="28"/>
                <w:lang w:eastAsia="zh-CN"/>
              </w:rPr>
              <w:t>日</w:t>
            </w:r>
            <w:r>
              <w:rPr>
                <w:rFonts w:hint="eastAsia" w:cs="宋体"/>
                <w:color w:val="auto"/>
                <w:sz w:val="28"/>
                <w:szCs w:val="28"/>
                <w:lang w:val="en-US" w:eastAsia="zh-CN"/>
              </w:rPr>
              <w:t>20:00</w:t>
            </w:r>
            <w:r>
              <w:rPr>
                <w:rFonts w:hint="eastAsia" w:ascii="宋体" w:hAnsi="宋体" w:eastAsia="宋体" w:cs="宋体"/>
                <w:color w:val="auto"/>
                <w:sz w:val="28"/>
                <w:szCs w:val="28"/>
                <w:lang w:eastAsia="zh-CN"/>
              </w:rPr>
              <w:t>时</w:t>
            </w:r>
            <w:r>
              <w:rPr>
                <w:rFonts w:hint="eastAsia" w:ascii="宋体" w:hAnsi="宋体" w:eastAsia="宋体" w:cs="宋体"/>
                <w:color w:val="auto"/>
                <w:sz w:val="28"/>
                <w:szCs w:val="28"/>
              </w:rPr>
              <w:t>（北京时间）</w:t>
            </w:r>
          </w:p>
          <w:p>
            <w:pPr>
              <w:pStyle w:val="33"/>
              <w:ind w:left="0" w:leftChars="0" w:firstLine="0" w:firstLineChars="0"/>
              <w:rPr>
                <w:rFonts w:hint="eastAsia" w:ascii="宋体" w:hAnsi="宋体" w:eastAsia="宋体" w:cs="宋体"/>
                <w:color w:val="auto"/>
                <w:sz w:val="28"/>
                <w:szCs w:val="28"/>
              </w:rPr>
            </w:pPr>
          </w:p>
          <w:p>
            <w:pPr>
              <w:pStyle w:val="33"/>
              <w:ind w:left="0" w:leftChars="0" w:firstLine="0" w:firstLineChars="0"/>
              <w:rPr>
                <w:rFonts w:hint="eastAsia" w:ascii="宋体" w:hAnsi="宋体" w:eastAsia="宋体" w:cs="宋体"/>
                <w:b/>
                <w:bCs/>
                <w:color w:val="auto"/>
                <w:sz w:val="28"/>
                <w:szCs w:val="28"/>
              </w:rPr>
            </w:pPr>
            <w:r>
              <w:rPr>
                <w:rFonts w:hint="eastAsia" w:ascii="宋体" w:hAnsi="宋体" w:eastAsia="宋体" w:cs="宋体"/>
                <w:color w:val="auto"/>
                <w:sz w:val="28"/>
                <w:szCs w:val="28"/>
              </w:rPr>
              <w:t>注：（1）用转账或银行电汇提交保证金的，应当从其基本账户转入招标代理机构银行账户；未按招标要求缴纳投标保证金的，视为非实质性响应。</w:t>
            </w:r>
            <w:r>
              <w:rPr>
                <w:rFonts w:hint="eastAsia" w:ascii="宋体" w:hAnsi="宋体" w:eastAsia="宋体" w:cs="宋体"/>
                <w:b/>
                <w:bCs/>
                <w:color w:val="auto"/>
                <w:sz w:val="28"/>
                <w:szCs w:val="28"/>
              </w:rPr>
              <w:t>（请各投标人在缴纳保证金时注明项目名称（若字数超标，可自行简写项目名称），如未注明，造成保证金无法查明的，责任由投标人承担）</w:t>
            </w:r>
          </w:p>
          <w:p>
            <w:pPr>
              <w:pStyle w:val="33"/>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（2）投标人以转账或银行电汇形式提交保证金的应充分考虑资金在途时间，保证金应于投标保证金递交截止时间前到账。</w:t>
            </w:r>
          </w:p>
          <w:p>
            <w:pPr>
              <w:rPr>
                <w:rFonts w:hint="eastAsia"/>
                <w:color w:val="auto"/>
              </w:rPr>
            </w:pPr>
          </w:p>
          <w:p>
            <w:pPr>
              <w:pStyle w:val="33"/>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近年财务状况的年份要求</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0"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近年完成的类似项目的年份要求</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近</w:t>
            </w: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近年发生的诉讼及仲裁情况的要求</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8"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是否允许递交备选投标方案</w:t>
            </w:r>
          </w:p>
        </w:tc>
        <w:tc>
          <w:tcPr>
            <w:tcW w:w="5619" w:type="dxa"/>
            <w:noWrap w:val="0"/>
            <w:vAlign w:val="center"/>
          </w:tcPr>
          <w:p>
            <w:pPr>
              <w:pStyle w:val="14"/>
              <w:topLinePunct/>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2"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签字或盖章要求</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lang w:val="en-US" w:eastAsia="zh-CN"/>
              </w:rPr>
              <w:t>严格按照“</w:t>
            </w:r>
            <w:r>
              <w:rPr>
                <w:rFonts w:hint="eastAsia" w:ascii="宋体" w:hAnsi="宋体" w:eastAsia="宋体" w:cs="宋体"/>
                <w:color w:val="auto"/>
                <w:sz w:val="28"/>
                <w:szCs w:val="28"/>
                <w:highlight w:val="none"/>
                <w:lang w:eastAsia="zh-CN"/>
              </w:rPr>
              <w:t>投标文件格式</w:t>
            </w:r>
            <w:r>
              <w:rPr>
                <w:rFonts w:hint="eastAsia" w:ascii="宋体" w:hAnsi="宋体" w:eastAsia="宋体" w:cs="宋体"/>
                <w:color w:val="auto"/>
                <w:sz w:val="28"/>
                <w:szCs w:val="28"/>
                <w:highlight w:val="none"/>
                <w:lang w:val="en-US" w:eastAsia="zh-CN"/>
              </w:rPr>
              <w:t>”要求签字或盖章</w:t>
            </w:r>
            <w:r>
              <w:rPr>
                <w:rFonts w:hint="eastAsia" w:ascii="宋体" w:hAnsi="宋体" w:eastAsia="宋体" w:cs="宋体"/>
                <w:color w:val="auto"/>
                <w:sz w:val="28"/>
                <w:szCs w:val="28"/>
                <w:highlight w:val="none"/>
              </w:rPr>
              <w:t>；</w:t>
            </w:r>
          </w:p>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)本文件中明确要求盖章或签字的，须盖章或签字。</w:t>
            </w:r>
          </w:p>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2、投标人提供的投标文件应当使用招标文件所提供投标文件格式（表格可按照同样格式扩展）。未提供格式的，需要时由投标人用文字或者表格、图片等其它形式提供。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投标文件份数</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正本壹份，副本贰份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电子版U盘壹份</w:t>
            </w:r>
            <w:r>
              <w:rPr>
                <w:rFonts w:hint="eastAsia" w:ascii="宋体" w:hAnsi="宋体" w:cs="宋体"/>
                <w:color w:val="auto"/>
                <w:sz w:val="28"/>
                <w:szCs w:val="2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2"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装订要求</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A4纸胶装</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厚度不得超过4cm，若超过时请分册胶装</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1"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封套上写明</w:t>
            </w:r>
          </w:p>
        </w:tc>
        <w:tc>
          <w:tcPr>
            <w:tcW w:w="5619" w:type="dxa"/>
            <w:noWrap w:val="0"/>
            <w:vAlign w:val="center"/>
          </w:tcPr>
          <w:p>
            <w:pPr>
              <w:rPr>
                <w:rFonts w:hint="eastAsia" w:ascii="宋体" w:hAnsi="宋体" w:cs="宋体"/>
                <w:bCs/>
                <w:color w:val="auto"/>
                <w:sz w:val="28"/>
                <w:szCs w:val="28"/>
              </w:rPr>
            </w:pPr>
            <w:r>
              <w:rPr>
                <w:rFonts w:hint="eastAsia" w:ascii="宋体" w:hAnsi="宋体" w:cs="宋体"/>
                <w:bCs/>
                <w:color w:val="auto"/>
                <w:sz w:val="28"/>
                <w:szCs w:val="28"/>
              </w:rPr>
              <w:t>项目名称：</w:t>
            </w:r>
            <w:r>
              <w:rPr>
                <w:rFonts w:hint="eastAsia" w:ascii="宋体" w:hAnsi="宋体" w:cs="宋体"/>
                <w:bCs/>
                <w:color w:val="auto"/>
                <w:sz w:val="28"/>
                <w:szCs w:val="28"/>
                <w:u w:val="single"/>
              </w:rPr>
              <w:t xml:space="preserve">                                 </w:t>
            </w:r>
          </w:p>
          <w:p>
            <w:pPr>
              <w:rPr>
                <w:rFonts w:hint="eastAsia" w:ascii="宋体" w:hAnsi="宋体" w:cs="宋体"/>
                <w:bCs/>
                <w:color w:val="auto"/>
                <w:sz w:val="28"/>
                <w:szCs w:val="28"/>
              </w:rPr>
            </w:pPr>
            <w:r>
              <w:rPr>
                <w:rFonts w:hint="eastAsia" w:ascii="宋体" w:hAnsi="宋体" w:cs="宋体"/>
                <w:bCs/>
                <w:color w:val="auto"/>
                <w:sz w:val="28"/>
                <w:szCs w:val="28"/>
              </w:rPr>
              <w:t>项目编号：</w:t>
            </w:r>
            <w:r>
              <w:rPr>
                <w:rFonts w:hint="eastAsia" w:ascii="宋体" w:hAnsi="宋体" w:cs="宋体"/>
                <w:bCs/>
                <w:color w:val="auto"/>
                <w:sz w:val="28"/>
                <w:szCs w:val="28"/>
                <w:u w:val="single"/>
              </w:rPr>
              <w:t xml:space="preserve">                                 </w:t>
            </w:r>
          </w:p>
          <w:p>
            <w:pPr>
              <w:rPr>
                <w:rFonts w:hint="eastAsia" w:ascii="宋体" w:hAnsi="宋体" w:cs="宋体"/>
                <w:bCs/>
                <w:color w:val="auto"/>
                <w:sz w:val="28"/>
                <w:szCs w:val="28"/>
              </w:rPr>
            </w:pPr>
            <w:r>
              <w:rPr>
                <w:rFonts w:hint="eastAsia" w:ascii="宋体" w:hAnsi="宋体" w:cs="宋体"/>
                <w:bCs/>
                <w:color w:val="auto"/>
                <w:sz w:val="28"/>
                <w:szCs w:val="28"/>
              </w:rPr>
              <w:t>采购</w:t>
            </w:r>
            <w:r>
              <w:rPr>
                <w:rFonts w:hint="eastAsia" w:ascii="宋体" w:hAnsi="宋体" w:cs="宋体"/>
                <w:bCs/>
                <w:color w:val="auto"/>
                <w:sz w:val="28"/>
                <w:szCs w:val="28"/>
                <w:lang w:val="en-US" w:eastAsia="zh-CN"/>
              </w:rPr>
              <w:t>单位</w:t>
            </w:r>
            <w:r>
              <w:rPr>
                <w:rFonts w:hint="eastAsia" w:ascii="宋体" w:hAnsi="宋体" w:cs="宋体"/>
                <w:bCs/>
                <w:color w:val="auto"/>
                <w:sz w:val="28"/>
                <w:szCs w:val="28"/>
              </w:rPr>
              <w:t>：</w:t>
            </w:r>
            <w:r>
              <w:rPr>
                <w:rFonts w:hint="eastAsia" w:ascii="宋体" w:hAnsi="宋体" w:cs="宋体"/>
                <w:bCs/>
                <w:color w:val="auto"/>
                <w:sz w:val="28"/>
                <w:szCs w:val="28"/>
                <w:u w:val="single"/>
              </w:rPr>
              <w:t xml:space="preserve">                               </w:t>
            </w:r>
          </w:p>
          <w:p>
            <w:pPr>
              <w:rPr>
                <w:rFonts w:hint="eastAsia" w:ascii="宋体" w:hAnsi="宋体" w:cs="宋体"/>
                <w:bCs/>
                <w:color w:val="auto"/>
                <w:sz w:val="28"/>
                <w:szCs w:val="28"/>
              </w:rPr>
            </w:pPr>
            <w:r>
              <w:rPr>
                <w:rFonts w:hint="eastAsia" w:ascii="宋体" w:hAnsi="宋体" w:cs="宋体"/>
                <w:bCs/>
                <w:color w:val="auto"/>
                <w:sz w:val="28"/>
                <w:szCs w:val="28"/>
                <w:lang w:eastAsia="zh-CN"/>
              </w:rPr>
              <w:t>投标人</w:t>
            </w:r>
            <w:r>
              <w:rPr>
                <w:rFonts w:hint="eastAsia" w:ascii="宋体" w:hAnsi="宋体" w:cs="宋体"/>
                <w:bCs/>
                <w:color w:val="auto"/>
                <w:sz w:val="28"/>
                <w:szCs w:val="28"/>
              </w:rPr>
              <w:t>名称：</w:t>
            </w:r>
            <w:r>
              <w:rPr>
                <w:rFonts w:hint="eastAsia" w:ascii="宋体" w:hAnsi="宋体" w:cs="宋体"/>
                <w:bCs/>
                <w:color w:val="auto"/>
                <w:sz w:val="28"/>
                <w:szCs w:val="28"/>
                <w:u w:val="single"/>
              </w:rPr>
              <w:t xml:space="preserve">                               </w:t>
            </w:r>
          </w:p>
          <w:p>
            <w:pPr>
              <w:rPr>
                <w:rFonts w:hint="eastAsia" w:ascii="宋体" w:hAnsi="宋体" w:cs="宋体"/>
                <w:bCs/>
                <w:color w:val="auto"/>
                <w:sz w:val="28"/>
                <w:szCs w:val="28"/>
              </w:rPr>
            </w:pPr>
            <w:r>
              <w:rPr>
                <w:rFonts w:hint="eastAsia" w:ascii="宋体" w:hAnsi="宋体" w:cs="宋体"/>
                <w:bCs/>
                <w:color w:val="auto"/>
                <w:sz w:val="28"/>
                <w:szCs w:val="28"/>
                <w:lang w:eastAsia="zh-CN"/>
              </w:rPr>
              <w:t>投标人</w:t>
            </w:r>
            <w:r>
              <w:rPr>
                <w:rFonts w:hint="eastAsia" w:ascii="宋体" w:hAnsi="宋体" w:cs="宋体"/>
                <w:bCs/>
                <w:color w:val="auto"/>
                <w:sz w:val="28"/>
                <w:szCs w:val="28"/>
              </w:rPr>
              <w:t>地址：</w:t>
            </w:r>
            <w:r>
              <w:rPr>
                <w:rFonts w:hint="eastAsia" w:ascii="宋体" w:hAnsi="宋体" w:cs="宋体"/>
                <w:bCs/>
                <w:color w:val="auto"/>
                <w:sz w:val="28"/>
                <w:szCs w:val="28"/>
                <w:u w:val="single"/>
              </w:rPr>
              <w:t xml:space="preserve">                               </w:t>
            </w:r>
          </w:p>
          <w:p>
            <w:pPr>
              <w:pStyle w:val="12"/>
              <w:ind w:firstLine="0" w:firstLineChars="0"/>
              <w:rPr>
                <w:rFonts w:hint="eastAsia" w:ascii="宋体" w:hAnsi="宋体" w:cs="宋体"/>
                <w:bCs/>
                <w:color w:val="auto"/>
                <w:sz w:val="28"/>
                <w:szCs w:val="28"/>
                <w:u w:val="single"/>
              </w:rPr>
            </w:pPr>
            <w:r>
              <w:rPr>
                <w:rFonts w:hint="eastAsia" w:ascii="宋体" w:hAnsi="宋体" w:cs="宋体"/>
                <w:bCs/>
                <w:color w:val="auto"/>
                <w:sz w:val="28"/>
                <w:szCs w:val="28"/>
              </w:rPr>
              <w:t>联系人：</w:t>
            </w:r>
            <w:r>
              <w:rPr>
                <w:rFonts w:hint="eastAsia" w:ascii="宋体" w:hAnsi="宋体" w:cs="宋体"/>
                <w:bCs/>
                <w:color w:val="auto"/>
                <w:sz w:val="28"/>
                <w:szCs w:val="28"/>
                <w:u w:val="single"/>
              </w:rPr>
              <w:t xml:space="preserve">                                   </w:t>
            </w:r>
          </w:p>
          <w:p>
            <w:pPr>
              <w:pStyle w:val="12"/>
              <w:ind w:firstLine="0" w:firstLineChars="0"/>
              <w:rPr>
                <w:rFonts w:hint="eastAsia" w:ascii="Times New Roman" w:hAnsi="Times New Roman"/>
                <w:bCs/>
                <w:color w:val="auto"/>
                <w:sz w:val="28"/>
                <w:szCs w:val="28"/>
              </w:rPr>
            </w:pPr>
            <w:r>
              <w:rPr>
                <w:rFonts w:hint="eastAsia" w:ascii="宋体" w:hAnsi="宋体" w:cs="宋体"/>
                <w:bCs/>
                <w:color w:val="auto"/>
                <w:sz w:val="28"/>
                <w:szCs w:val="28"/>
              </w:rPr>
              <w:t>联系电话：</w:t>
            </w:r>
            <w:r>
              <w:rPr>
                <w:rFonts w:hint="eastAsia" w:ascii="宋体" w:hAnsi="宋体" w:cs="宋体"/>
                <w:bCs/>
                <w:color w:val="auto"/>
                <w:sz w:val="28"/>
                <w:szCs w:val="28"/>
                <w:u w:val="single"/>
              </w:rPr>
              <w:t xml:space="preserve">                                 </w:t>
            </w:r>
          </w:p>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cs="宋体"/>
                <w:bCs/>
                <w:color w:val="auto"/>
                <w:sz w:val="28"/>
                <w:szCs w:val="28"/>
              </w:rPr>
              <w:t>在</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时</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分前不得开启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递交投标文件地点</w:t>
            </w:r>
          </w:p>
        </w:tc>
        <w:tc>
          <w:tcPr>
            <w:tcW w:w="5619" w:type="dxa"/>
            <w:noWrap w:val="0"/>
            <w:vAlign w:val="center"/>
          </w:tcPr>
          <w:p>
            <w:pPr>
              <w:widowControl/>
              <w:spacing w:line="300" w:lineRule="exact"/>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昌吉州公共资源交易大厅（昌吉市宁边西路与世纪大道交叉口东北角）负一层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是否退还投标文件</w:t>
            </w:r>
          </w:p>
        </w:tc>
        <w:tc>
          <w:tcPr>
            <w:tcW w:w="5619" w:type="dxa"/>
            <w:noWrap w:val="0"/>
            <w:vAlign w:val="center"/>
          </w:tcPr>
          <w:p>
            <w:pPr>
              <w:pStyle w:val="14"/>
              <w:topLinePunct/>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开标时间和地点</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开标时间：同投标截止时间</w:t>
            </w:r>
          </w:p>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开标程序</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密封情况检查：各投标代表相互检查</w:t>
            </w:r>
          </w:p>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开标顺序：按照投标文件送达时间的逆顺序。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评标委员会的组建</w:t>
            </w:r>
          </w:p>
        </w:tc>
        <w:tc>
          <w:tcPr>
            <w:tcW w:w="5619" w:type="dxa"/>
            <w:noWrap w:val="0"/>
            <w:vAlign w:val="center"/>
          </w:tcPr>
          <w:p>
            <w:pPr>
              <w:spacing w:line="320" w:lineRule="exact"/>
              <w:jc w:val="left"/>
              <w:textAlignment w:val="center"/>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rPr>
              <w:t>评标委员会构成：</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人</w:t>
            </w:r>
            <w:r>
              <w:rPr>
                <w:rFonts w:hint="eastAsia" w:ascii="宋体" w:hAnsi="宋体" w:cs="宋体"/>
                <w:color w:val="auto"/>
                <w:sz w:val="28"/>
                <w:szCs w:val="28"/>
                <w:highlight w:val="none"/>
                <w:lang w:eastAsia="zh-CN"/>
              </w:rPr>
              <w:t>，其中采购人代表0人，专家评委</w:t>
            </w:r>
            <w:r>
              <w:rPr>
                <w:rFonts w:hint="eastAsia" w:ascii="宋体" w:hAnsi="宋体" w:cs="宋体"/>
                <w:color w:val="auto"/>
                <w:sz w:val="28"/>
                <w:szCs w:val="28"/>
                <w:highlight w:val="none"/>
                <w:lang w:val="en-US" w:eastAsia="zh-CN"/>
              </w:rPr>
              <w:t xml:space="preserve"> 5 </w:t>
            </w:r>
            <w:r>
              <w:rPr>
                <w:rFonts w:hint="eastAsia" w:ascii="宋体" w:hAnsi="宋体" w:cs="宋体"/>
                <w:color w:val="auto"/>
                <w:sz w:val="28"/>
                <w:szCs w:val="28"/>
                <w:highlight w:val="none"/>
                <w:lang w:eastAsia="zh-CN"/>
              </w:rPr>
              <w:t>人。</w:t>
            </w:r>
          </w:p>
          <w:p>
            <w:pPr>
              <w:pStyle w:val="33"/>
              <w:rPr>
                <w:rFonts w:hint="eastAsia"/>
                <w:color w:val="auto"/>
                <w:lang w:eastAsia="zh-CN"/>
              </w:rPr>
            </w:pPr>
          </w:p>
          <w:p>
            <w:pPr>
              <w:spacing w:line="300" w:lineRule="exact"/>
              <w:jc w:val="left"/>
              <w:textAlignment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评标专家确定方式：从评标专家库中随机</w:t>
            </w:r>
            <w:r>
              <w:rPr>
                <w:rFonts w:hint="eastAsia" w:ascii="宋体" w:hAnsi="宋体" w:cs="宋体"/>
                <w:color w:val="auto"/>
                <w:sz w:val="28"/>
                <w:szCs w:val="28"/>
                <w:highlight w:val="none"/>
                <w:lang w:val="en-US" w:eastAsia="zh-CN"/>
              </w:rPr>
              <w:t>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4" w:hRule="exac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676" w:type="dxa"/>
            <w:gridSpan w:val="2"/>
            <w:noWrap w:val="0"/>
            <w:vAlign w:val="center"/>
          </w:tcPr>
          <w:p>
            <w:pPr>
              <w:spacing w:line="30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是否授权评标委员会确定中标人</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授权委员会确定中标候选人，推荐排名第一的投标人为中标人。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000" w:type="dxa"/>
            <w:noWrap w:val="0"/>
            <w:vAlign w:val="center"/>
          </w:tcPr>
          <w:p>
            <w:pPr>
              <w:spacing w:line="32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w:t>
            </w:r>
          </w:p>
        </w:tc>
        <w:tc>
          <w:tcPr>
            <w:tcW w:w="2676"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履约担保</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履约担保的形式：网银转账/电汇</w:t>
            </w:r>
          </w:p>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履约担保的金额：中标金额的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7" w:hRule="exact"/>
          <w:jc w:val="center"/>
        </w:trPr>
        <w:tc>
          <w:tcPr>
            <w:tcW w:w="3676" w:type="dxa"/>
            <w:gridSpan w:val="3"/>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评标方法及标准</w:t>
            </w:r>
          </w:p>
        </w:tc>
        <w:tc>
          <w:tcPr>
            <w:tcW w:w="5619" w:type="dxa"/>
            <w:noWrap w:val="0"/>
            <w:vAlign w:val="center"/>
          </w:tcPr>
          <w:p>
            <w:pPr>
              <w:spacing w:line="32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具体详见</w:t>
            </w:r>
            <w:r>
              <w:rPr>
                <w:rFonts w:hint="eastAsia" w:ascii="宋体" w:hAnsi="宋体" w:cs="宋体"/>
                <w:color w:val="auto"/>
                <w:sz w:val="28"/>
                <w:szCs w:val="28"/>
                <w:highlight w:val="none"/>
                <w:lang w:val="en-US" w:eastAsia="zh-CN"/>
              </w:rPr>
              <w:t>招标文件</w:t>
            </w:r>
            <w:r>
              <w:rPr>
                <w:rFonts w:hint="eastAsia" w:ascii="宋体" w:hAnsi="宋体" w:eastAsia="宋体" w:cs="宋体"/>
                <w:color w:val="auto"/>
                <w:sz w:val="28"/>
                <w:szCs w:val="28"/>
                <w:highlight w:val="none"/>
              </w:rPr>
              <w:t>第三章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95" w:type="dxa"/>
            <w:gridSpan w:val="4"/>
            <w:noWrap w:val="0"/>
            <w:vAlign w:val="center"/>
          </w:tcPr>
          <w:p>
            <w:pPr>
              <w:spacing w:line="32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其        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9" w:hRule="exact"/>
          <w:jc w:val="center"/>
        </w:trPr>
        <w:tc>
          <w:tcPr>
            <w:tcW w:w="1848" w:type="dxa"/>
            <w:gridSpan w:val="2"/>
            <w:noWrap w:val="0"/>
            <w:vAlign w:val="center"/>
          </w:tcPr>
          <w:p>
            <w:pPr>
              <w:spacing w:line="320" w:lineRule="exact"/>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开标资格审查</w:t>
            </w:r>
            <w:r>
              <w:rPr>
                <w:rFonts w:hint="eastAsia" w:ascii="宋体" w:hAnsi="宋体" w:cs="宋体"/>
                <w:color w:val="auto"/>
                <w:sz w:val="28"/>
                <w:szCs w:val="28"/>
                <w:highlight w:val="none"/>
                <w:lang w:val="en-US" w:eastAsia="zh-CN"/>
              </w:rPr>
              <w:t>资料</w:t>
            </w:r>
          </w:p>
        </w:tc>
        <w:tc>
          <w:tcPr>
            <w:tcW w:w="7447"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宋体" w:hAnsi="宋体" w:cs="宋体"/>
                <w:b/>
                <w:color w:val="auto"/>
                <w:kern w:val="0"/>
                <w:sz w:val="28"/>
                <w:szCs w:val="28"/>
                <w:lang w:val="zh-CN"/>
              </w:rPr>
            </w:pPr>
            <w:r>
              <w:rPr>
                <w:rFonts w:hint="eastAsia" w:ascii="宋体" w:hAnsi="宋体" w:cs="宋体"/>
                <w:b/>
                <w:color w:val="auto"/>
                <w:kern w:val="0"/>
                <w:sz w:val="28"/>
                <w:szCs w:val="28"/>
                <w:lang w:val="zh-CN"/>
              </w:rPr>
              <w:t>投标人应指派法定代表人或其授权委托代理人参加开标会，并携带法定代表人本人身份证</w:t>
            </w:r>
            <w:r>
              <w:rPr>
                <w:rFonts w:hint="eastAsia" w:ascii="宋体" w:hAnsi="宋体" w:cs="宋体"/>
                <w:b/>
                <w:color w:val="auto"/>
                <w:kern w:val="0"/>
                <w:sz w:val="28"/>
                <w:szCs w:val="28"/>
              </w:rPr>
              <w:t>原件及身份证正反面复印件加盖公章</w:t>
            </w:r>
            <w:r>
              <w:rPr>
                <w:rFonts w:hint="eastAsia" w:ascii="宋体" w:hAnsi="宋体" w:cs="宋体"/>
                <w:b/>
                <w:color w:val="auto"/>
                <w:kern w:val="0"/>
                <w:sz w:val="28"/>
                <w:szCs w:val="28"/>
                <w:lang w:val="zh-CN"/>
              </w:rPr>
              <w:t>、</w:t>
            </w:r>
            <w:r>
              <w:rPr>
                <w:rFonts w:hint="eastAsia" w:ascii="宋体" w:hAnsi="宋体" w:cs="宋体"/>
                <w:b/>
                <w:color w:val="auto"/>
                <w:kern w:val="0"/>
                <w:sz w:val="28"/>
                <w:szCs w:val="28"/>
                <w:lang w:val="zh-TW"/>
              </w:rPr>
              <w:t>有效的营业执照复印件加盖公章</w:t>
            </w:r>
            <w:r>
              <w:rPr>
                <w:rFonts w:hint="eastAsia" w:ascii="宋体" w:hAnsi="宋体" w:cs="宋体"/>
                <w:b/>
                <w:color w:val="auto"/>
                <w:kern w:val="0"/>
                <w:sz w:val="28"/>
                <w:szCs w:val="28"/>
              </w:rPr>
              <w:t>、</w:t>
            </w:r>
            <w:r>
              <w:rPr>
                <w:rFonts w:hint="eastAsia" w:ascii="宋体" w:hAnsi="宋体" w:cs="宋体"/>
                <w:b/>
                <w:color w:val="auto"/>
                <w:kern w:val="0"/>
                <w:sz w:val="28"/>
                <w:szCs w:val="28"/>
                <w:lang w:val="zh-CN"/>
              </w:rPr>
              <w:t>投标保证金交款收据原件（法定代表人参加开标会时提供）；</w:t>
            </w:r>
          </w:p>
          <w:p>
            <w:pPr>
              <w:pStyle w:val="33"/>
              <w:keepNext w:val="0"/>
              <w:keepLines w:val="0"/>
              <w:pageBreakBefore w:val="0"/>
              <w:widowControl w:val="0"/>
              <w:kinsoku/>
              <w:wordWrap/>
              <w:overflowPunct/>
              <w:topLinePunct w:val="0"/>
              <w:bidi w:val="0"/>
              <w:snapToGrid/>
              <w:spacing w:line="520" w:lineRule="exact"/>
              <w:textAlignment w:val="auto"/>
              <w:rPr>
                <w:rFonts w:hint="eastAsia"/>
                <w:color w:val="auto"/>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宋体" w:hAnsi="宋体" w:cs="宋体"/>
                <w:b/>
                <w:color w:val="auto"/>
                <w:kern w:val="0"/>
                <w:sz w:val="28"/>
                <w:szCs w:val="28"/>
              </w:rPr>
            </w:pPr>
            <w:r>
              <w:rPr>
                <w:rFonts w:hint="eastAsia" w:ascii="宋体" w:hAnsi="宋体" w:cs="宋体"/>
                <w:b/>
                <w:color w:val="auto"/>
                <w:kern w:val="0"/>
                <w:sz w:val="28"/>
                <w:szCs w:val="28"/>
                <w:lang w:val="zh-CN"/>
              </w:rPr>
              <w:t>法定代表人</w:t>
            </w:r>
            <w:r>
              <w:rPr>
                <w:rFonts w:hint="eastAsia" w:ascii="宋体" w:hAnsi="宋体" w:cs="宋体"/>
                <w:b/>
                <w:color w:val="auto"/>
                <w:kern w:val="0"/>
                <w:sz w:val="28"/>
                <w:szCs w:val="28"/>
              </w:rPr>
              <w:t>授权</w:t>
            </w:r>
            <w:r>
              <w:rPr>
                <w:rFonts w:hint="eastAsia" w:ascii="宋体" w:hAnsi="宋体" w:cs="宋体"/>
                <w:b/>
                <w:color w:val="auto"/>
                <w:kern w:val="0"/>
                <w:sz w:val="28"/>
                <w:szCs w:val="28"/>
                <w:lang w:val="zh-CN"/>
              </w:rPr>
              <w:t>委托书原件（法定代表人授权委托书</w:t>
            </w:r>
            <w:r>
              <w:rPr>
                <w:rFonts w:hint="eastAsia" w:ascii="宋体" w:hAnsi="宋体" w:cs="宋体"/>
                <w:b/>
                <w:color w:val="auto"/>
                <w:kern w:val="0"/>
                <w:sz w:val="28"/>
                <w:szCs w:val="28"/>
              </w:rPr>
              <w:t>需附</w:t>
            </w:r>
            <w:r>
              <w:rPr>
                <w:rFonts w:hint="eastAsia" w:ascii="宋体" w:hAnsi="宋体" w:cs="宋体"/>
                <w:b/>
                <w:color w:val="auto"/>
                <w:kern w:val="0"/>
                <w:sz w:val="28"/>
                <w:szCs w:val="28"/>
                <w:lang w:val="zh-CN"/>
              </w:rPr>
              <w:t>法定代表人</w:t>
            </w:r>
            <w:r>
              <w:rPr>
                <w:rFonts w:hint="eastAsia" w:ascii="宋体" w:hAnsi="宋体" w:cs="宋体"/>
                <w:b/>
                <w:color w:val="auto"/>
                <w:kern w:val="0"/>
                <w:sz w:val="28"/>
                <w:szCs w:val="28"/>
              </w:rPr>
              <w:t>身份证正反面复印件及授权委托人身份证正反面复印件</w:t>
            </w:r>
            <w:r>
              <w:rPr>
                <w:rFonts w:hint="eastAsia" w:ascii="宋体" w:hAnsi="宋体" w:cs="宋体"/>
                <w:b/>
                <w:color w:val="auto"/>
                <w:kern w:val="0"/>
                <w:sz w:val="28"/>
                <w:szCs w:val="28"/>
                <w:lang w:val="zh-CN"/>
              </w:rPr>
              <w:t>）和被委托人身份证原件、投标保证金交款收据原件（授权委托代理人参加开标会时提供）</w:t>
            </w:r>
            <w:r>
              <w:rPr>
                <w:rFonts w:hint="eastAsia" w:ascii="宋体" w:hAnsi="宋体" w:cs="宋体"/>
                <w:b/>
                <w:color w:val="auto"/>
                <w:kern w:val="0"/>
                <w:sz w:val="28"/>
                <w:szCs w:val="28"/>
              </w:rPr>
              <w:t>。</w:t>
            </w:r>
          </w:p>
          <w:p>
            <w:pPr>
              <w:pStyle w:val="33"/>
              <w:keepNext w:val="0"/>
              <w:keepLines w:val="0"/>
              <w:pageBreakBefore w:val="0"/>
              <w:widowControl w:val="0"/>
              <w:kinsoku/>
              <w:wordWrap/>
              <w:overflowPunct/>
              <w:topLinePunct w:val="0"/>
              <w:bidi w:val="0"/>
              <w:snapToGrid/>
              <w:spacing w:line="520" w:lineRule="exact"/>
              <w:textAlignment w:val="auto"/>
              <w:rPr>
                <w:rFonts w:hint="eastAsia"/>
                <w:color w:val="auto"/>
                <w:sz w:val="28"/>
                <w:szCs w:val="28"/>
              </w:rPr>
            </w:pPr>
          </w:p>
          <w:p>
            <w:pPr>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color w:val="auto"/>
                <w:sz w:val="28"/>
                <w:szCs w:val="28"/>
                <w:highlight w:val="none"/>
              </w:rPr>
            </w:pPr>
            <w:r>
              <w:rPr>
                <w:rFonts w:hint="eastAsia" w:ascii="宋体" w:hAnsi="宋体" w:cs="宋体"/>
                <w:b/>
                <w:color w:val="auto"/>
                <w:kern w:val="0"/>
                <w:sz w:val="28"/>
                <w:szCs w:val="28"/>
                <w:lang w:val="zh-CN"/>
              </w:rPr>
              <w:t>由于投标人不参加开标会议而造成的后果完全由投标人自行承担，开标会现场资格审查不合格者，不得进入下一环节。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0" w:hRule="atLeast"/>
          <w:jc w:val="center"/>
        </w:trPr>
        <w:tc>
          <w:tcPr>
            <w:tcW w:w="1848" w:type="dxa"/>
            <w:gridSpan w:val="2"/>
            <w:noWrap w:val="0"/>
            <w:vAlign w:val="center"/>
          </w:tcPr>
          <w:p>
            <w:pPr>
              <w:spacing w:line="32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其它相关事项</w:t>
            </w:r>
          </w:p>
        </w:tc>
        <w:tc>
          <w:tcPr>
            <w:tcW w:w="7447" w:type="dxa"/>
            <w:gridSpan w:val="2"/>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招标代理服务费收费标准：本项目</w:t>
            </w:r>
            <w:r>
              <w:rPr>
                <w:rFonts w:hint="eastAsia" w:ascii="宋体" w:hAnsi="宋体" w:eastAsia="宋体" w:cs="宋体"/>
                <w:b w:val="0"/>
                <w:bCs w:val="0"/>
                <w:color w:val="auto"/>
                <w:sz w:val="28"/>
                <w:szCs w:val="28"/>
                <w:lang w:val="en-US" w:eastAsia="zh-CN"/>
              </w:rPr>
              <w:t>招标代理费</w:t>
            </w:r>
            <w:r>
              <w:rPr>
                <w:rFonts w:hint="eastAsia" w:ascii="宋体" w:hAnsi="宋体" w:eastAsia="宋体" w:cs="宋体"/>
                <w:b w:val="0"/>
                <w:bCs w:val="0"/>
                <w:color w:val="auto"/>
                <w:sz w:val="28"/>
                <w:szCs w:val="28"/>
              </w:rPr>
              <w:t>由</w:t>
            </w:r>
            <w:r>
              <w:rPr>
                <w:rFonts w:hint="eastAsia" w:ascii="宋体" w:hAnsi="宋体" w:eastAsia="宋体" w:cs="宋体"/>
                <w:b w:val="0"/>
                <w:bCs w:val="0"/>
                <w:color w:val="auto"/>
                <w:sz w:val="28"/>
                <w:szCs w:val="28"/>
                <w:lang w:eastAsia="zh-CN"/>
              </w:rPr>
              <w:t>中标人</w:t>
            </w:r>
            <w:r>
              <w:rPr>
                <w:rFonts w:hint="eastAsia" w:ascii="宋体" w:hAnsi="宋体" w:eastAsia="宋体" w:cs="宋体"/>
                <w:b w:val="0"/>
                <w:bCs w:val="0"/>
                <w:color w:val="auto"/>
                <w:sz w:val="28"/>
                <w:szCs w:val="28"/>
              </w:rPr>
              <w:t>支付</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以中标人的中标金额作为计算基数，请各投标人考虑该费用，招标人不再另行支付</w:t>
            </w:r>
            <w:r>
              <w:rPr>
                <w:rFonts w:hint="eastAsia" w:ascii="宋体" w:hAnsi="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具体参照</w:t>
            </w:r>
            <w:r>
              <w:rPr>
                <w:rFonts w:hint="eastAsia" w:ascii="宋体" w:hAnsi="宋体" w:eastAsia="宋体" w:cs="宋体"/>
                <w:b w:val="0"/>
                <w:bCs w:val="0"/>
                <w:color w:val="auto"/>
                <w:sz w:val="28"/>
                <w:szCs w:val="28"/>
              </w:rPr>
              <w:t>国家计委计价格【</w:t>
            </w:r>
            <w:r>
              <w:rPr>
                <w:rFonts w:hint="eastAsia" w:ascii="宋体" w:hAnsi="宋体" w:eastAsia="宋体" w:cs="宋体"/>
                <w:b w:val="0"/>
                <w:bCs w:val="0"/>
                <w:color w:val="auto"/>
                <w:sz w:val="28"/>
                <w:szCs w:val="28"/>
                <w:lang w:val="en-US" w:eastAsia="zh-CN"/>
              </w:rPr>
              <w:t>2002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1980</w:t>
            </w:r>
            <w:r>
              <w:rPr>
                <w:rFonts w:hint="eastAsia" w:ascii="宋体" w:hAnsi="宋体" w:eastAsia="宋体" w:cs="宋体"/>
                <w:b w:val="0"/>
                <w:bCs w:val="0"/>
                <w:color w:val="auto"/>
                <w:sz w:val="28"/>
                <w:szCs w:val="28"/>
              </w:rPr>
              <w:t>号文</w:t>
            </w:r>
            <w:r>
              <w:rPr>
                <w:rFonts w:hint="eastAsia" w:ascii="宋体" w:hAnsi="宋体" w:eastAsia="宋体" w:cs="宋体"/>
                <w:b w:val="0"/>
                <w:bCs w:val="0"/>
                <w:color w:val="auto"/>
                <w:sz w:val="28"/>
                <w:szCs w:val="28"/>
                <w:lang w:val="en-US" w:eastAsia="zh-CN"/>
              </w:rPr>
              <w:t>、国家发改办价格</w:t>
            </w:r>
            <w:r>
              <w:rPr>
                <w:rFonts w:hint="eastAsia" w:ascii="宋体" w:hAnsi="宋体" w:eastAsia="宋体" w:cs="宋体"/>
                <w:b w:val="0"/>
                <w:bCs w:val="0"/>
                <w:color w:val="auto"/>
                <w:sz w:val="28"/>
                <w:szCs w:val="28"/>
              </w:rPr>
              <w:t>【20</w:t>
            </w:r>
            <w:r>
              <w:rPr>
                <w:rFonts w:hint="eastAsia" w:ascii="宋体" w:hAnsi="宋体" w:eastAsia="宋体" w:cs="宋体"/>
                <w:b w:val="0"/>
                <w:bCs w:val="0"/>
                <w:color w:val="auto"/>
                <w:sz w:val="28"/>
                <w:szCs w:val="28"/>
                <w:lang w:val="en-US" w:eastAsia="zh-CN"/>
              </w:rPr>
              <w:t>03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857</w:t>
            </w:r>
            <w:r>
              <w:rPr>
                <w:rFonts w:hint="eastAsia" w:ascii="宋体" w:hAnsi="宋体" w:eastAsia="宋体" w:cs="宋体"/>
                <w:b w:val="0"/>
                <w:bCs w:val="0"/>
                <w:color w:val="auto"/>
                <w:sz w:val="28"/>
                <w:szCs w:val="28"/>
              </w:rPr>
              <w:t>号文</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发改价格【2015】299号《国家发展改革委关于进一步放开建设项目专业服务价格的通知》文件执行。</w:t>
            </w:r>
          </w:p>
          <w:p>
            <w:pPr>
              <w:pStyle w:val="2"/>
              <w:numPr>
                <w:ilvl w:val="0"/>
                <w:numId w:val="0"/>
              </w:numPr>
              <w:rPr>
                <w:rFonts w:hint="eastAsia"/>
              </w:rPr>
            </w:pPr>
          </w:p>
          <w:p>
            <w:pPr>
              <w:pStyle w:val="33"/>
              <w:keepNext w:val="0"/>
              <w:keepLines w:val="0"/>
              <w:pageBreakBefore w:val="0"/>
              <w:widowControl w:val="0"/>
              <w:numPr>
                <w:ilvl w:val="0"/>
                <w:numId w:val="0"/>
              </w:numPr>
              <w:kinsoku/>
              <w:wordWrap/>
              <w:overflowPunct/>
              <w:topLinePunct w:val="0"/>
              <w:bidi w:val="0"/>
              <w:adjustRightInd/>
              <w:snapToGrid/>
              <w:spacing w:line="520" w:lineRule="exact"/>
              <w:rPr>
                <w:rFonts w:hint="eastAsia"/>
                <w:sz w:val="28"/>
                <w:szCs w:val="21"/>
                <w:lang w:val="en-US" w:eastAsia="zh-CN"/>
              </w:rPr>
            </w:pPr>
            <w:r>
              <w:rPr>
                <w:rFonts w:hint="eastAsia"/>
                <w:sz w:val="28"/>
                <w:szCs w:val="21"/>
                <w:lang w:val="en-US" w:eastAsia="zh-CN"/>
              </w:rPr>
              <w:t>2、场地服务费：依据《关于规范和调整建设工程交易服务中心收费项目和标准的通知》（新发改医价）[2012]832号）规定，投标人进入招标投标交易场所投标，应当向提供场地、设施及服务的交易场所经营机构交纳场地及设施服务费，收费标准为单个招投标项目最高不超过6000元，投标企业少于6家（含6家）的按每个投标企业每次1000元收取；投标企业超过6家的，按单个招投标项目6000元由投标企业平均分摊。</w:t>
            </w:r>
          </w:p>
          <w:p>
            <w:pPr>
              <w:pStyle w:val="33"/>
              <w:keepNext w:val="0"/>
              <w:keepLines w:val="0"/>
              <w:pageBreakBefore w:val="0"/>
              <w:widowControl w:val="0"/>
              <w:numPr>
                <w:ilvl w:val="0"/>
                <w:numId w:val="0"/>
              </w:numPr>
              <w:kinsoku/>
              <w:wordWrap/>
              <w:overflowPunct/>
              <w:topLinePunct w:val="0"/>
              <w:bidi w:val="0"/>
              <w:adjustRightInd/>
              <w:snapToGrid/>
              <w:spacing w:line="520" w:lineRule="exact"/>
              <w:rPr>
                <w:rFonts w:hint="eastAsia"/>
                <w:sz w:val="28"/>
                <w:szCs w:val="21"/>
                <w:lang w:val="en-US" w:eastAsia="zh-CN"/>
              </w:rPr>
            </w:pPr>
            <w:r>
              <w:rPr>
                <w:rFonts w:hint="eastAsia"/>
                <w:sz w:val="28"/>
                <w:szCs w:val="21"/>
                <w:lang w:val="en-US" w:eastAsia="zh-CN"/>
              </w:rPr>
              <w:t>注：凡是递交了投标文件的投标人无论开标现场出现任何状况均须缴纳场地及设施服务费。</w:t>
            </w:r>
          </w:p>
          <w:p>
            <w:pPr>
              <w:pStyle w:val="33"/>
              <w:keepNext w:val="0"/>
              <w:keepLines w:val="0"/>
              <w:pageBreakBefore w:val="0"/>
              <w:widowControl w:val="0"/>
              <w:numPr>
                <w:ilvl w:val="0"/>
                <w:numId w:val="0"/>
              </w:numPr>
              <w:kinsoku/>
              <w:wordWrap/>
              <w:overflowPunct/>
              <w:topLinePunct w:val="0"/>
              <w:bidi w:val="0"/>
              <w:adjustRightInd/>
              <w:snapToGrid/>
              <w:spacing w:line="520" w:lineRule="exact"/>
              <w:rPr>
                <w:rFonts w:hint="eastAsia"/>
                <w:sz w:val="28"/>
                <w:szCs w:val="21"/>
                <w:lang w:val="en-US" w:eastAsia="zh-CN"/>
              </w:rPr>
            </w:pPr>
            <w:r>
              <w:rPr>
                <w:rFonts w:hint="eastAsia"/>
                <w:sz w:val="28"/>
                <w:szCs w:val="21"/>
                <w:lang w:val="en-US" w:eastAsia="zh-CN"/>
              </w:rPr>
              <w:t>（1）投标人应在整个项目实施期间做好疫情防控，并承担疫情防控所产生的所有费用，招标人不支付任何费用。</w:t>
            </w:r>
          </w:p>
          <w:p>
            <w:pPr>
              <w:pStyle w:val="33"/>
              <w:keepNext w:val="0"/>
              <w:keepLines w:val="0"/>
              <w:pageBreakBefore w:val="0"/>
              <w:widowControl w:val="0"/>
              <w:numPr>
                <w:ilvl w:val="0"/>
                <w:numId w:val="0"/>
              </w:numPr>
              <w:kinsoku/>
              <w:wordWrap/>
              <w:overflowPunct/>
              <w:topLinePunct w:val="0"/>
              <w:bidi w:val="0"/>
              <w:adjustRightInd/>
              <w:snapToGrid/>
              <w:spacing w:line="520" w:lineRule="exact"/>
              <w:rPr>
                <w:rFonts w:hint="eastAsia"/>
                <w:sz w:val="28"/>
                <w:szCs w:val="21"/>
                <w:lang w:val="en-US" w:eastAsia="zh-CN"/>
              </w:rPr>
            </w:pPr>
            <w:r>
              <w:rPr>
                <w:rFonts w:hint="eastAsia"/>
                <w:sz w:val="28"/>
                <w:szCs w:val="21"/>
                <w:lang w:val="en-US" w:eastAsia="zh-CN"/>
              </w:rPr>
              <w:t>（2）新型冠状病毒肺炎防控期间每个投标人只能委托一人到场参加投标活动。</w:t>
            </w:r>
          </w:p>
          <w:p>
            <w:pPr>
              <w:pStyle w:val="33"/>
              <w:keepNext w:val="0"/>
              <w:keepLines w:val="0"/>
              <w:pageBreakBefore w:val="0"/>
              <w:widowControl w:val="0"/>
              <w:numPr>
                <w:ilvl w:val="0"/>
                <w:numId w:val="0"/>
              </w:numPr>
              <w:kinsoku/>
              <w:wordWrap/>
              <w:overflowPunct/>
              <w:topLinePunct w:val="0"/>
              <w:bidi w:val="0"/>
              <w:adjustRightInd/>
              <w:snapToGrid/>
              <w:spacing w:line="520" w:lineRule="exact"/>
              <w:rPr>
                <w:rFonts w:hint="eastAsia"/>
                <w:sz w:val="28"/>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center"/>
              <w:rPr>
                <w:rFonts w:hint="eastAsia" w:ascii="宋体" w:hAnsi="宋体" w:eastAsia="宋体" w:cs="宋体"/>
                <w:b w:val="0"/>
                <w:bCs w:val="0"/>
                <w:color w:val="auto"/>
                <w:sz w:val="28"/>
                <w:szCs w:val="28"/>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招标文件其他内容与投标人须知前附表不一致的以投标人须知前附表为准。</w:t>
            </w:r>
          </w:p>
          <w:p>
            <w:pPr>
              <w:pStyle w:val="33"/>
              <w:keepNext w:val="0"/>
              <w:keepLines w:val="0"/>
              <w:pageBreakBefore w:val="0"/>
              <w:widowControl w:val="0"/>
              <w:numPr>
                <w:ilvl w:val="0"/>
                <w:numId w:val="0"/>
              </w:numPr>
              <w:kinsoku/>
              <w:wordWrap/>
              <w:overflowPunct/>
              <w:topLinePunct w:val="0"/>
              <w:bidi w:val="0"/>
              <w:adjustRightInd/>
              <w:snapToGrid/>
              <w:spacing w:line="520" w:lineRule="exact"/>
              <w:ind w:leftChars="0"/>
              <w:rPr>
                <w:rFonts w:hint="eastAsia" w:ascii="宋体" w:hAnsi="宋体" w:eastAsia="宋体" w:cs="宋体"/>
                <w:b w:val="0"/>
                <w:bCs w:val="0"/>
                <w:color w:val="auto"/>
                <w:sz w:val="28"/>
                <w:szCs w:val="28"/>
                <w:highlight w:val="none"/>
                <w:lang w:val="en-US" w:eastAsia="zh-CN"/>
              </w:rPr>
            </w:pPr>
          </w:p>
          <w:p>
            <w:pPr>
              <w:pStyle w:val="33"/>
              <w:keepNext w:val="0"/>
              <w:keepLines w:val="0"/>
              <w:pageBreakBefore w:val="0"/>
              <w:widowControl w:val="0"/>
              <w:numPr>
                <w:ilvl w:val="0"/>
                <w:numId w:val="0"/>
              </w:numPr>
              <w:kinsoku/>
              <w:wordWrap/>
              <w:overflowPunct/>
              <w:topLinePunct w:val="0"/>
              <w:bidi w:val="0"/>
              <w:adjustRightInd/>
              <w:snapToGrid/>
              <w:spacing w:line="520" w:lineRule="exact"/>
              <w:ind w:leftChars="0"/>
              <w:rPr>
                <w:rFonts w:hint="eastAsia" w:ascii="宋体" w:hAnsi="宋体" w:eastAsia="宋体" w:cs="宋体"/>
                <w:b w:val="0"/>
                <w:bCs w:val="0"/>
                <w:color w:val="auto"/>
                <w:sz w:val="28"/>
                <w:szCs w:val="28"/>
                <w:highlight w:val="none"/>
                <w:lang w:val="en-US" w:eastAsia="zh-CN"/>
              </w:rPr>
            </w:pPr>
            <w:r>
              <w:rPr>
                <w:rFonts w:hint="eastAsia"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自购买招标文件之日起，投标人应保证其提供的联系方式(电话、电子邮件)一直有效，以保证往来函件(招标文件的澄清、修改等)能及时通知投标人，并能及时反馈信息，否则招标人不承担由此引起的一切后果。</w:t>
            </w:r>
          </w:p>
          <w:p>
            <w:pPr>
              <w:pStyle w:val="33"/>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jc w:val="left"/>
              <w:rPr>
                <w:rFonts w:hint="eastAsia" w:ascii="宋体" w:hAnsi="宋体" w:eastAsia="宋体" w:cs="宋体"/>
                <w:b w:val="0"/>
                <w:bCs w:val="0"/>
                <w:color w:val="auto"/>
                <w:sz w:val="28"/>
                <w:szCs w:val="28"/>
                <w:highlight w:val="none"/>
                <w:lang w:val="en-US" w:eastAsia="zh-CN"/>
              </w:rPr>
            </w:pPr>
          </w:p>
          <w:p>
            <w:pPr>
              <w:pStyle w:val="33"/>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jc w:val="left"/>
              <w:rPr>
                <w:rFonts w:hint="eastAsia" w:cs="宋体"/>
                <w:b w:val="0"/>
                <w:bCs w:val="0"/>
                <w:color w:val="auto"/>
                <w:sz w:val="28"/>
                <w:szCs w:val="28"/>
                <w:highlight w:val="none"/>
                <w:lang w:val="en-US" w:eastAsia="zh-CN"/>
              </w:rPr>
            </w:pPr>
            <w:r>
              <w:rPr>
                <w:rFonts w:hint="eastAsia" w:cs="宋体"/>
                <w:b w:val="0"/>
                <w:bCs w:val="0"/>
                <w:color w:val="auto"/>
                <w:sz w:val="28"/>
                <w:szCs w:val="28"/>
                <w:highlight w:val="none"/>
                <w:lang w:val="en-US" w:eastAsia="zh-CN"/>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33"/>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jc w:val="left"/>
              <w:rPr>
                <w:rFonts w:hint="default" w:cs="宋体"/>
                <w:b w:val="0"/>
                <w:bCs w:val="0"/>
                <w:color w:val="auto"/>
                <w:sz w:val="28"/>
                <w:szCs w:val="28"/>
                <w:highlight w:val="none"/>
                <w:lang w:val="en-US" w:eastAsia="zh-CN"/>
              </w:rPr>
            </w:pPr>
          </w:p>
          <w:p>
            <w:pPr>
              <w:pStyle w:val="33"/>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jc w:val="left"/>
              <w:rPr>
                <w:rFonts w:hint="default" w:cs="宋体"/>
                <w:b w:val="0"/>
                <w:bCs w:val="0"/>
                <w:color w:val="auto"/>
                <w:sz w:val="28"/>
                <w:szCs w:val="28"/>
                <w:highlight w:val="none"/>
                <w:lang w:val="en-US" w:eastAsia="zh-CN"/>
              </w:rPr>
            </w:pPr>
            <w:r>
              <w:rPr>
                <w:rFonts w:hint="eastAsia" w:cs="宋体"/>
                <w:b w:val="0"/>
                <w:bCs w:val="0"/>
                <w:color w:val="auto"/>
                <w:sz w:val="28"/>
                <w:szCs w:val="28"/>
                <w:highlight w:val="none"/>
                <w:lang w:val="en-US" w:eastAsia="zh-CN"/>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spacing w:line="200" w:lineRule="exact"/>
        <w:rPr>
          <w:rFonts w:hint="eastAsia" w:ascii="宋体" w:hAnsi="宋体" w:eastAsia="宋体" w:cs="宋体"/>
          <w:color w:val="auto"/>
          <w:sz w:val="28"/>
          <w:szCs w:val="28"/>
          <w:highlight w:val="none"/>
        </w:rPr>
      </w:pPr>
    </w:p>
    <w:p>
      <w:pPr>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br w:type="page"/>
      </w:r>
      <w:bookmarkStart w:id="21" w:name="_Toc152045529"/>
      <w:bookmarkStart w:id="22" w:name="_Toc152042305"/>
      <w:bookmarkStart w:id="23" w:name="_Toc144974497"/>
      <w:bookmarkStart w:id="24" w:name="_Toc3736"/>
      <w:bookmarkStart w:id="25" w:name="_Toc152045587"/>
      <w:bookmarkStart w:id="26" w:name="_Toc12357"/>
      <w:bookmarkStart w:id="27" w:name="_Toc144974554"/>
      <w:bookmarkStart w:id="28" w:name="_Toc152042364"/>
      <w:bookmarkStart w:id="29" w:name="_Toc224966839"/>
      <w:r>
        <w:rPr>
          <w:rFonts w:hint="eastAsia" w:ascii="宋体" w:hAnsi="宋体" w:eastAsia="宋体" w:cs="宋体"/>
          <w:b/>
          <w:color w:val="auto"/>
          <w:sz w:val="28"/>
          <w:szCs w:val="28"/>
          <w:highlight w:val="none"/>
        </w:rPr>
        <w:t>1. 总  则</w:t>
      </w:r>
      <w:bookmarkEnd w:id="21"/>
      <w:bookmarkEnd w:id="22"/>
      <w:bookmarkEnd w:id="23"/>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30" w:name="_Toc144974498"/>
      <w:bookmarkStart w:id="31" w:name="_Toc152045530"/>
      <w:bookmarkStart w:id="32" w:name="_Toc152042306"/>
      <w:bookmarkStart w:id="33" w:name="_Toc1653"/>
      <w:bookmarkStart w:id="34" w:name="_Toc3010"/>
      <w:r>
        <w:rPr>
          <w:rFonts w:hint="eastAsia" w:ascii="宋体" w:hAnsi="宋体" w:eastAsia="宋体" w:cs="宋体"/>
          <w:color w:val="auto"/>
          <w:sz w:val="28"/>
          <w:szCs w:val="28"/>
          <w:highlight w:val="none"/>
        </w:rPr>
        <w:t>1.1 项目概况</w:t>
      </w:r>
      <w:bookmarkEnd w:id="30"/>
      <w:bookmarkEnd w:id="31"/>
      <w:bookmarkEnd w:id="32"/>
      <w:bookmarkEnd w:id="33"/>
      <w:bookmarkEnd w:id="34"/>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1.1.1根据《中华人民共和国</w:t>
      </w:r>
      <w:r>
        <w:rPr>
          <w:rFonts w:hint="eastAsia" w:ascii="宋体" w:hAnsi="宋体" w:cs="宋体"/>
          <w:color w:val="auto"/>
          <w:sz w:val="28"/>
          <w:szCs w:val="28"/>
          <w:highlight w:val="none"/>
          <w:lang w:val="en-US" w:eastAsia="zh-CN"/>
        </w:rPr>
        <w:t>政府采购法</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《中华人民共和国</w:t>
      </w:r>
      <w:r>
        <w:rPr>
          <w:rFonts w:hint="eastAsia" w:ascii="宋体" w:hAnsi="宋体" w:cs="宋体"/>
          <w:color w:val="auto"/>
          <w:sz w:val="28"/>
          <w:szCs w:val="28"/>
          <w:highlight w:val="none"/>
          <w:lang w:val="en-US" w:eastAsia="zh-CN"/>
        </w:rPr>
        <w:t>政府采购法实施条例</w:t>
      </w:r>
      <w:r>
        <w:rPr>
          <w:rFonts w:hint="eastAsia" w:ascii="宋体" w:hAnsi="宋体" w:eastAsia="宋体" w:cs="宋体"/>
          <w:color w:val="auto"/>
          <w:sz w:val="28"/>
          <w:szCs w:val="28"/>
          <w:highlight w:val="none"/>
        </w:rPr>
        <w:t>》等有关法律、法规和规章的规定，本招标项目已具备招标条件，现对本</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进行招标。</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 本招标项目招标人：见投标人须知前附表。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 本标段招标代理机构：见投标人须知前附表。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1.1.4 本招标项目名称：见投标人须知前附表。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1.1.5 本</w:t>
      </w:r>
      <w:r>
        <w:rPr>
          <w:rFonts w:hint="eastAsia" w:ascii="宋体" w:hAnsi="宋体" w:cs="宋体"/>
          <w:color w:val="auto"/>
          <w:sz w:val="28"/>
          <w:szCs w:val="28"/>
          <w:highlight w:val="none"/>
          <w:lang w:val="en-US" w:eastAsia="zh-CN"/>
        </w:rPr>
        <w:t>招标项目</w:t>
      </w:r>
      <w:r>
        <w:rPr>
          <w:rFonts w:hint="eastAsia" w:ascii="宋体" w:hAnsi="宋体" w:eastAsia="宋体" w:cs="宋体"/>
          <w:color w:val="auto"/>
          <w:sz w:val="28"/>
          <w:szCs w:val="28"/>
          <w:highlight w:val="none"/>
        </w:rPr>
        <w:t>地点：见投标人须知前附表。</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35" w:name="_Toc152042307"/>
      <w:bookmarkStart w:id="36" w:name="_Toc144974499"/>
      <w:bookmarkStart w:id="37" w:name="_Toc17243"/>
      <w:bookmarkStart w:id="38" w:name="_Toc152045531"/>
      <w:bookmarkStart w:id="39" w:name="_Toc5988"/>
      <w:r>
        <w:rPr>
          <w:rFonts w:hint="eastAsia" w:ascii="宋体" w:hAnsi="宋体" w:eastAsia="宋体" w:cs="宋体"/>
          <w:color w:val="auto"/>
          <w:sz w:val="28"/>
          <w:szCs w:val="28"/>
          <w:highlight w:val="none"/>
        </w:rPr>
        <w:t>1.2 资金来源和落实情况</w:t>
      </w:r>
      <w:bookmarkEnd w:id="35"/>
      <w:bookmarkEnd w:id="36"/>
      <w:bookmarkEnd w:id="37"/>
      <w:bookmarkEnd w:id="38"/>
      <w:bookmarkEnd w:id="39"/>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 本招标项目的资金来源：见投标人须知前附表。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 本招标项目的出资比例：见投标人须知前附表。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 本招标项目的资金落实情况：见投标人须知前附表。</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40" w:name="_Toc19749"/>
      <w:bookmarkStart w:id="41" w:name="_Toc144974500"/>
      <w:bookmarkStart w:id="42" w:name="_Toc152042308"/>
      <w:bookmarkStart w:id="43" w:name="_Toc152045532"/>
      <w:bookmarkStart w:id="44" w:name="_Toc26684"/>
      <w:r>
        <w:rPr>
          <w:rFonts w:hint="eastAsia" w:ascii="宋体" w:hAnsi="宋体" w:eastAsia="宋体" w:cs="宋体"/>
          <w:color w:val="auto"/>
          <w:sz w:val="28"/>
          <w:szCs w:val="28"/>
          <w:highlight w:val="none"/>
        </w:rPr>
        <w:t>1.3 招标范围、</w:t>
      </w:r>
      <w:r>
        <w:rPr>
          <w:rFonts w:hint="eastAsia" w:ascii="宋体" w:hAnsi="宋体" w:eastAsia="宋体" w:cs="宋体"/>
          <w:color w:val="auto"/>
          <w:sz w:val="28"/>
          <w:szCs w:val="28"/>
          <w:highlight w:val="none"/>
          <w:lang w:eastAsia="zh-CN"/>
        </w:rPr>
        <w:t>供货期限</w:t>
      </w:r>
      <w:r>
        <w:rPr>
          <w:rFonts w:hint="eastAsia" w:ascii="宋体" w:hAnsi="宋体" w:eastAsia="宋体" w:cs="宋体"/>
          <w:color w:val="auto"/>
          <w:sz w:val="28"/>
          <w:szCs w:val="28"/>
          <w:highlight w:val="none"/>
        </w:rPr>
        <w:t>和质量要求</w:t>
      </w:r>
      <w:bookmarkEnd w:id="40"/>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 本次招标范围：见投标人须知前附表。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 本标段的</w:t>
      </w:r>
      <w:r>
        <w:rPr>
          <w:rFonts w:hint="eastAsia" w:ascii="宋体" w:hAnsi="宋体" w:cs="宋体"/>
          <w:color w:val="auto"/>
          <w:sz w:val="28"/>
          <w:szCs w:val="28"/>
          <w:highlight w:val="none"/>
          <w:lang w:eastAsia="zh-CN"/>
        </w:rPr>
        <w:t>供货期限</w:t>
      </w:r>
      <w:r>
        <w:rPr>
          <w:rFonts w:hint="eastAsia" w:ascii="宋体" w:hAnsi="宋体" w:eastAsia="宋体" w:cs="宋体"/>
          <w:color w:val="auto"/>
          <w:sz w:val="28"/>
          <w:szCs w:val="28"/>
          <w:highlight w:val="none"/>
        </w:rPr>
        <w:t>：见投标人须知前附表。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 本标段的质量要求：见投标人须知前附表。</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bookmarkStart w:id="45" w:name="_Toc6134"/>
      <w:bookmarkStart w:id="46" w:name="_Toc22074"/>
      <w:bookmarkStart w:id="47" w:name="_Toc144974502"/>
      <w:bookmarkStart w:id="48" w:name="_Toc152045534"/>
      <w:bookmarkStart w:id="49" w:name="_Toc152042310"/>
      <w:r>
        <w:rPr>
          <w:rFonts w:hint="eastAsia" w:ascii="宋体" w:hAnsi="宋体" w:eastAsia="宋体" w:cs="宋体"/>
          <w:color w:val="auto"/>
          <w:sz w:val="28"/>
          <w:szCs w:val="28"/>
          <w:highlight w:val="none"/>
        </w:rPr>
        <w:t xml:space="preserve">1.4 </w:t>
      </w:r>
      <w:bookmarkEnd w:id="45"/>
      <w:bookmarkEnd w:id="46"/>
      <w:bookmarkEnd w:id="47"/>
      <w:bookmarkEnd w:id="48"/>
      <w:bookmarkEnd w:id="49"/>
      <w:r>
        <w:rPr>
          <w:rFonts w:hint="eastAsia" w:ascii="宋体" w:hAnsi="宋体" w:eastAsia="宋体" w:cs="宋体"/>
          <w:color w:val="auto"/>
          <w:sz w:val="28"/>
          <w:szCs w:val="28"/>
          <w:highlight w:val="none"/>
          <w:lang w:eastAsia="zh-CN"/>
        </w:rPr>
        <w:t>投标人资格条件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1.4.1投标人应具备承担本</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施工的资质条件、能力。</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资格</w:t>
      </w:r>
      <w:r>
        <w:rPr>
          <w:rFonts w:hint="eastAsia" w:ascii="宋体" w:hAnsi="宋体" w:eastAsia="宋体" w:cs="宋体"/>
          <w:color w:val="auto"/>
          <w:sz w:val="28"/>
          <w:szCs w:val="28"/>
          <w:highlight w:val="none"/>
        </w:rPr>
        <w:t>条件：见投标人须知前附表；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（2）财务要求：见投标人须知前附表；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（3）业绩要求：见投标人须知前附表；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）其他要求：见投标人须知前附表。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1.4.2 投标人须知前附表规定接受联合体投标的，除应符合本章第1.4.1项和投标人须知前附表的要求外，还应遵守以下规定：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（1）联合体各方应按招标文件提供的格式签订联合体协议书，明确联合体牵头人和各方权利义务；</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（2）由同一专业的单位组成的联合体，按照资质等级较低的单位确定资质等级；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（3）联合体各方不得再以自己名义单独或参加其他联合体在同一标段中投标。</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1.4.3 投标人不得存在下列情形之一：</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（1）为招标人不具有独立法人资格的附属机构（单位）；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（2）为本标段前期准备提供设计或咨询服务的，但设计施工总承包的除外；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（3）为本标段的监理人；</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（4）为本标段的代建人；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（5）为本标段提供招标代理服务的；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（6）与本标段的监理人或代建人或招标代理机构同为一个法定代表人的；</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（7）与本标段的监理人或代建人或招标代理机构相互控股或参股的；</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（8）与本标段的监理人或代建人或招标代理机构相互任职或工作的；</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（9）被责令停业的；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（10）被暂停或取消投标资格的；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（11）财产被接管或冻结的；</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（12）在最近三年内有骗取中标或严重违约或重大工程质量问题的。</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50" w:name="_Toc20773"/>
      <w:bookmarkStart w:id="51" w:name="_Toc26724"/>
      <w:bookmarkStart w:id="52" w:name="_Toc152045535"/>
      <w:bookmarkStart w:id="53" w:name="_Toc152042311"/>
      <w:bookmarkStart w:id="54" w:name="_Toc144974503"/>
      <w:r>
        <w:rPr>
          <w:rFonts w:hint="eastAsia" w:ascii="宋体" w:hAnsi="宋体" w:eastAsia="宋体" w:cs="宋体"/>
          <w:color w:val="auto"/>
          <w:sz w:val="28"/>
          <w:szCs w:val="28"/>
          <w:highlight w:val="none"/>
        </w:rPr>
        <w:t>1.5 费用承担</w:t>
      </w:r>
      <w:bookmarkEnd w:id="50"/>
      <w:bookmarkEnd w:id="51"/>
      <w:bookmarkEnd w:id="52"/>
      <w:bookmarkEnd w:id="53"/>
      <w:bookmarkEnd w:id="54"/>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投标人准备和参加投标活动发生的费用自理。</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55" w:name="_Toc144974504"/>
      <w:bookmarkStart w:id="56" w:name="_Toc152042312"/>
      <w:bookmarkStart w:id="57" w:name="_Toc152045536"/>
      <w:bookmarkStart w:id="58" w:name="_Toc8733"/>
      <w:bookmarkStart w:id="59" w:name="_Toc25704"/>
      <w:r>
        <w:rPr>
          <w:rFonts w:hint="eastAsia" w:ascii="宋体" w:hAnsi="宋体" w:eastAsia="宋体" w:cs="宋体"/>
          <w:color w:val="auto"/>
          <w:sz w:val="28"/>
          <w:szCs w:val="28"/>
          <w:highlight w:val="none"/>
        </w:rPr>
        <w:t>1.6 保密</w:t>
      </w:r>
      <w:bookmarkEnd w:id="55"/>
      <w:bookmarkEnd w:id="56"/>
      <w:bookmarkEnd w:id="57"/>
      <w:bookmarkEnd w:id="58"/>
      <w:bookmarkEnd w:id="59"/>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参与招标投标活动的各方应对招标文件和投标文件中的商业和技术等秘密保密，违者应对由此造成的后果承担法律责任。 </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60" w:name="_Toc144974505"/>
      <w:bookmarkStart w:id="61" w:name="_Toc152045537"/>
      <w:bookmarkStart w:id="62" w:name="_Toc17417"/>
      <w:bookmarkStart w:id="63" w:name="_Toc152042313"/>
      <w:bookmarkStart w:id="64" w:name="_Toc7511"/>
      <w:r>
        <w:rPr>
          <w:rFonts w:hint="eastAsia" w:ascii="宋体" w:hAnsi="宋体" w:eastAsia="宋体" w:cs="宋体"/>
          <w:color w:val="auto"/>
          <w:sz w:val="28"/>
          <w:szCs w:val="28"/>
          <w:highlight w:val="none"/>
        </w:rPr>
        <w:t>1.7 语言</w:t>
      </w:r>
      <w:bookmarkEnd w:id="60"/>
      <w:r>
        <w:rPr>
          <w:rFonts w:hint="eastAsia" w:ascii="宋体" w:hAnsi="宋体" w:eastAsia="宋体" w:cs="宋体"/>
          <w:color w:val="auto"/>
          <w:sz w:val="28"/>
          <w:szCs w:val="28"/>
          <w:highlight w:val="none"/>
        </w:rPr>
        <w:t>文字</w:t>
      </w:r>
      <w:bookmarkEnd w:id="61"/>
      <w:bookmarkEnd w:id="62"/>
      <w:bookmarkEnd w:id="63"/>
      <w:bookmarkEnd w:id="64"/>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除专用术语外，与招标投标有关的语言均使用中文。必要时专用术语应附有中文注释。</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65" w:name="_Toc10383"/>
      <w:bookmarkStart w:id="66" w:name="_Toc152045538"/>
      <w:bookmarkStart w:id="67" w:name="_Toc30265"/>
      <w:bookmarkStart w:id="68" w:name="_Toc144974506"/>
      <w:bookmarkStart w:id="69" w:name="_Toc152042314"/>
      <w:r>
        <w:rPr>
          <w:rFonts w:hint="eastAsia" w:ascii="宋体" w:hAnsi="宋体" w:eastAsia="宋体" w:cs="宋体"/>
          <w:color w:val="auto"/>
          <w:sz w:val="28"/>
          <w:szCs w:val="28"/>
          <w:highlight w:val="none"/>
        </w:rPr>
        <w:t>1.8 计量单位</w:t>
      </w:r>
      <w:bookmarkEnd w:id="65"/>
      <w:bookmarkEnd w:id="66"/>
      <w:bookmarkEnd w:id="67"/>
      <w:bookmarkEnd w:id="68"/>
      <w:bookmarkEnd w:id="69"/>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所有计量均采用中华人民共和国法定计量单位。</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70" w:name="_Toc3350"/>
      <w:bookmarkStart w:id="71" w:name="_Toc152045539"/>
      <w:bookmarkStart w:id="72" w:name="_Toc13680"/>
      <w:bookmarkStart w:id="73" w:name="_Toc152042315"/>
      <w:bookmarkStart w:id="74" w:name="_Toc144974507"/>
      <w:r>
        <w:rPr>
          <w:rFonts w:hint="eastAsia" w:ascii="宋体" w:hAnsi="宋体" w:eastAsia="宋体" w:cs="宋体"/>
          <w:color w:val="auto"/>
          <w:sz w:val="28"/>
          <w:szCs w:val="28"/>
          <w:highlight w:val="none"/>
        </w:rPr>
        <w:t>1.9 踏勘现场</w:t>
      </w:r>
      <w:bookmarkEnd w:id="70"/>
      <w:bookmarkEnd w:id="71"/>
      <w:bookmarkEnd w:id="72"/>
      <w:bookmarkEnd w:id="73"/>
      <w:bookmarkEnd w:id="74"/>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1.9.1 投标人须知前附表规定组织踏勘现场的，招标人按投标人须知前附表规定的时间、地点组织投标人踏勘项目现场。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1.9.2 投标人踏勘现场发生的费用自理。</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1.9.3 除招标人的原因外，投标人自行负责在踏勘现场中所发生的人员伤亡和财产损失。</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1.9.4 招标人在踏勘现场中介绍的工程场地和相关的周边环境情况，供投标人在编制投标文件时参考，招标人不对投标人据此作出的判断和决策负责。</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75" w:name="_Toc8290"/>
      <w:bookmarkStart w:id="76" w:name="_Toc152042316"/>
      <w:bookmarkStart w:id="77" w:name="_Toc152045540"/>
      <w:bookmarkStart w:id="78" w:name="_Toc20833"/>
      <w:bookmarkStart w:id="79" w:name="_Toc144974508"/>
      <w:r>
        <w:rPr>
          <w:rFonts w:hint="eastAsia" w:ascii="宋体" w:hAnsi="宋体" w:eastAsia="宋体" w:cs="宋体"/>
          <w:color w:val="auto"/>
          <w:sz w:val="28"/>
          <w:szCs w:val="28"/>
          <w:highlight w:val="none"/>
        </w:rPr>
        <w:t>1.10 投标预备会</w:t>
      </w:r>
      <w:bookmarkEnd w:id="75"/>
      <w:bookmarkEnd w:id="76"/>
      <w:bookmarkEnd w:id="77"/>
      <w:bookmarkEnd w:id="78"/>
      <w:bookmarkEnd w:id="79"/>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1.10.1 投标人须知前附表规定召开投标预备会的，招标人按投标人须知前附表规定的时间和地点召开投标预备会，澄清投标人提出的问题。</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1.10.2 投标人应在投标人须知前附表规定的时间前，以书面形式将提出的问题送达招标人，以便招标人在会议期间澄清。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1.10.3 投标预备会后，招标人在投标人须知前附表规定的时间内，将对投标人所提问题的澄清，以书面方式通知所有购买招标文件的投标人。该澄清内容为招标文件的组成部分。</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80" w:name="_Toc152042317"/>
      <w:bookmarkStart w:id="81" w:name="_Toc152045541"/>
      <w:bookmarkStart w:id="82" w:name="_Toc8191"/>
      <w:bookmarkStart w:id="83" w:name="_Toc27013"/>
      <w:bookmarkStart w:id="84" w:name="_Toc144974509"/>
      <w:r>
        <w:rPr>
          <w:rFonts w:hint="eastAsia" w:ascii="宋体" w:hAnsi="宋体" w:eastAsia="宋体" w:cs="宋体"/>
          <w:color w:val="auto"/>
          <w:sz w:val="28"/>
          <w:szCs w:val="28"/>
          <w:highlight w:val="none"/>
        </w:rPr>
        <w:t>1.11 分包</w:t>
      </w:r>
      <w:bookmarkEnd w:id="80"/>
      <w:bookmarkEnd w:id="81"/>
      <w:bookmarkEnd w:id="82"/>
      <w:bookmarkEnd w:id="83"/>
      <w:bookmarkEnd w:id="84"/>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投标人拟在中标后将中标项目的部分非主体、非关键性工作进行分包的，应符合投标人须知前附表规定的分包内容、分包金额和接受分包的第三人资质要求等限制性条件。</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85" w:name="_Toc9464"/>
      <w:bookmarkStart w:id="86" w:name="_Toc20033"/>
      <w:r>
        <w:rPr>
          <w:rFonts w:hint="eastAsia" w:ascii="宋体" w:hAnsi="宋体" w:eastAsia="宋体" w:cs="宋体"/>
          <w:color w:val="auto"/>
          <w:sz w:val="28"/>
          <w:szCs w:val="28"/>
          <w:highlight w:val="none"/>
        </w:rPr>
        <w:t>1.12 偏离</w:t>
      </w:r>
      <w:bookmarkEnd w:id="85"/>
      <w:bookmarkEnd w:id="8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投标人须知前附表允许投标文件偏离招标文件某些要求的，偏离应当符合招标文件规定的偏离范围和幅度。</w:t>
      </w: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bookmarkStart w:id="87" w:name="_Toc144974510"/>
      <w:bookmarkStart w:id="88" w:name="_Toc152045542"/>
      <w:bookmarkStart w:id="89" w:name="_Toc12505"/>
      <w:bookmarkStart w:id="90" w:name="_Toc152042318"/>
      <w:bookmarkStart w:id="91" w:name="_Toc3648"/>
      <w:r>
        <w:rPr>
          <w:rFonts w:hint="eastAsia" w:ascii="宋体" w:hAnsi="宋体" w:eastAsia="宋体" w:cs="宋体"/>
          <w:b/>
          <w:bCs/>
          <w:color w:val="auto"/>
          <w:sz w:val="28"/>
          <w:szCs w:val="28"/>
          <w:highlight w:val="none"/>
        </w:rPr>
        <w:t>2.</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招标文件</w:t>
      </w:r>
      <w:bookmarkEnd w:id="87"/>
      <w:bookmarkEnd w:id="88"/>
      <w:bookmarkEnd w:id="89"/>
      <w:bookmarkEnd w:id="90"/>
      <w:bookmarkEnd w:id="91"/>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92" w:name="_Toc152042319"/>
      <w:bookmarkStart w:id="93" w:name="_Toc19944"/>
      <w:bookmarkStart w:id="94" w:name="_Toc144974511"/>
      <w:bookmarkStart w:id="95" w:name="_Toc152045543"/>
      <w:bookmarkStart w:id="96" w:name="_Toc7923"/>
      <w:r>
        <w:rPr>
          <w:rFonts w:hint="eastAsia" w:ascii="宋体" w:hAnsi="宋体" w:eastAsia="宋体" w:cs="宋体"/>
          <w:color w:val="auto"/>
          <w:sz w:val="28"/>
          <w:szCs w:val="28"/>
          <w:highlight w:val="none"/>
        </w:rPr>
        <w:t>2.1 招标文件的组成</w:t>
      </w:r>
      <w:bookmarkEnd w:id="92"/>
      <w:bookmarkEnd w:id="93"/>
      <w:bookmarkEnd w:id="94"/>
      <w:bookmarkEnd w:id="95"/>
      <w:bookmarkEnd w:id="9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本招标文件包括：</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招标公告</w:t>
      </w:r>
    </w:p>
    <w:p>
      <w:pPr>
        <w:pageBreakBefore w:val="0"/>
        <w:widowControl w:val="0"/>
        <w:tabs>
          <w:tab w:val="left" w:pos="5521"/>
        </w:tabs>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（2）投标人须知</w:t>
      </w:r>
      <w:r>
        <w:rPr>
          <w:rFonts w:hint="eastAsia" w:ascii="宋体" w:hAnsi="宋体" w:cs="宋体"/>
          <w:color w:val="auto"/>
          <w:sz w:val="28"/>
          <w:szCs w:val="28"/>
          <w:highlight w:val="none"/>
          <w:lang w:eastAsia="zh-CN"/>
        </w:rPr>
        <w:tab/>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）评标办法</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cs="宋体"/>
          <w:b w:val="0"/>
          <w:bCs w:val="0"/>
          <w:color w:val="auto"/>
          <w:sz w:val="28"/>
          <w:szCs w:val="28"/>
          <w:highlight w:val="none"/>
          <w:lang w:val="en-US" w:eastAsia="zh-CN"/>
        </w:rPr>
        <w:t>技术标准和要求</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b w:val="0"/>
          <w:bCs w:val="0"/>
          <w:color w:val="auto"/>
          <w:sz w:val="28"/>
          <w:szCs w:val="28"/>
          <w:highlight w:val="none"/>
          <w:lang w:val="en-US" w:eastAsia="zh-CN"/>
        </w:rPr>
        <w:t>合同条款及格式</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b w:val="0"/>
          <w:bCs w:val="0"/>
          <w:color w:val="auto"/>
          <w:sz w:val="28"/>
          <w:szCs w:val="28"/>
          <w:highlight w:val="none"/>
          <w:lang w:val="en-US" w:eastAsia="zh-CN"/>
        </w:rPr>
        <w:t>投标文件格式</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根据本章第1.10款、第2.2款和第2.3款对招标文件所作的澄清、修改，构成招标文件的组成部分。</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97" w:name="_Toc152045544"/>
      <w:bookmarkStart w:id="98" w:name="_Toc152042320"/>
      <w:bookmarkStart w:id="99" w:name="_Toc26852"/>
      <w:bookmarkStart w:id="100" w:name="_Toc16749"/>
      <w:bookmarkStart w:id="101" w:name="_Toc144974512"/>
      <w:r>
        <w:rPr>
          <w:rFonts w:hint="eastAsia" w:ascii="宋体" w:hAnsi="宋体" w:eastAsia="宋体" w:cs="宋体"/>
          <w:color w:val="auto"/>
          <w:sz w:val="28"/>
          <w:szCs w:val="28"/>
          <w:highlight w:val="none"/>
        </w:rPr>
        <w:t>2.2 招标文件的澄清</w:t>
      </w:r>
      <w:bookmarkEnd w:id="97"/>
      <w:bookmarkEnd w:id="98"/>
      <w:bookmarkEnd w:id="99"/>
      <w:bookmarkEnd w:id="100"/>
      <w:bookmarkEnd w:id="10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2.2.3 投标人在收到澄清后，应在投标人须知前附表规定的时间内以书面形式通知招标人，确认已收到该澄清。</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02" w:name="_Toc31541"/>
      <w:bookmarkStart w:id="103" w:name="_Toc152042321"/>
      <w:bookmarkStart w:id="104" w:name="_Toc144974513"/>
      <w:bookmarkStart w:id="105" w:name="_Toc12772"/>
      <w:bookmarkStart w:id="106" w:name="_Toc152045545"/>
      <w:r>
        <w:rPr>
          <w:rFonts w:hint="eastAsia" w:ascii="宋体" w:hAnsi="宋体" w:eastAsia="宋体" w:cs="宋体"/>
          <w:color w:val="auto"/>
          <w:sz w:val="28"/>
          <w:szCs w:val="28"/>
          <w:highlight w:val="none"/>
        </w:rPr>
        <w:t>2.3 招标文件的修改</w:t>
      </w:r>
      <w:bookmarkEnd w:id="102"/>
      <w:bookmarkEnd w:id="103"/>
      <w:bookmarkEnd w:id="104"/>
      <w:bookmarkEnd w:id="105"/>
      <w:bookmarkEnd w:id="10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2.3.1 在投标截止时间15天前，招标人可以书面形式修改招标文件，并通知所有已购买招标文件的投标人。如果修改招标文件的时间距投标截止时间不足15天，相应延长投标截止时间。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2.3.2 投标人收到修改内容后，应在投标人须知前附表规定的时间内以书面形式通知招标人，确认已收到该修改。</w:t>
      </w: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color w:val="auto"/>
          <w:sz w:val="28"/>
          <w:szCs w:val="28"/>
          <w:highlight w:val="none"/>
        </w:rPr>
      </w:pPr>
      <w:bookmarkStart w:id="107" w:name="_Toc20893"/>
      <w:bookmarkStart w:id="108" w:name="_Toc152045546"/>
      <w:bookmarkStart w:id="109" w:name="_Toc29570"/>
      <w:bookmarkStart w:id="110" w:name="_Toc152042322"/>
      <w:bookmarkStart w:id="111" w:name="_Toc144974514"/>
      <w:r>
        <w:rPr>
          <w:rFonts w:hint="eastAsia" w:ascii="宋体" w:hAnsi="宋体" w:eastAsia="宋体" w:cs="宋体"/>
          <w:b/>
          <w:bCs/>
          <w:color w:val="auto"/>
          <w:sz w:val="28"/>
          <w:szCs w:val="28"/>
          <w:highlight w:val="none"/>
        </w:rPr>
        <w:t>3. 投标文件</w:t>
      </w:r>
      <w:bookmarkEnd w:id="107"/>
      <w:bookmarkEnd w:id="108"/>
      <w:bookmarkEnd w:id="109"/>
      <w:bookmarkEnd w:id="110"/>
      <w:bookmarkEnd w:id="111"/>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12" w:name="_Toc12701"/>
      <w:bookmarkStart w:id="113" w:name="_Toc152042323"/>
      <w:bookmarkStart w:id="114" w:name="_Toc144974515"/>
      <w:bookmarkStart w:id="115" w:name="_Toc152045547"/>
      <w:bookmarkStart w:id="116" w:name="_Toc29877"/>
      <w:r>
        <w:rPr>
          <w:rFonts w:hint="eastAsia" w:ascii="宋体" w:hAnsi="宋体" w:eastAsia="宋体" w:cs="宋体"/>
          <w:color w:val="auto"/>
          <w:sz w:val="28"/>
          <w:szCs w:val="28"/>
          <w:highlight w:val="none"/>
        </w:rPr>
        <w:t>3.1 投标文件的组成</w:t>
      </w:r>
      <w:bookmarkEnd w:id="112"/>
      <w:bookmarkEnd w:id="113"/>
      <w:bookmarkEnd w:id="114"/>
      <w:bookmarkEnd w:id="115"/>
      <w:bookmarkEnd w:id="11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3.1.1投标文件应包括下列内容：</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具体内容详见“投标文件格式”</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3.1.2 投标人须知前附表规定不接受联合体投标的。 </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17" w:name="_Toc31354"/>
      <w:bookmarkStart w:id="118" w:name="_Toc144974516"/>
      <w:bookmarkStart w:id="119" w:name="_Toc152045548"/>
      <w:bookmarkStart w:id="120" w:name="_Toc27991"/>
      <w:bookmarkStart w:id="121" w:name="_Toc152042324"/>
      <w:r>
        <w:rPr>
          <w:rFonts w:hint="eastAsia" w:ascii="宋体" w:hAnsi="宋体" w:eastAsia="宋体" w:cs="宋体"/>
          <w:color w:val="auto"/>
          <w:sz w:val="28"/>
          <w:szCs w:val="28"/>
          <w:highlight w:val="none"/>
        </w:rPr>
        <w:t>3.2 投标报价</w:t>
      </w:r>
      <w:bookmarkEnd w:id="117"/>
      <w:bookmarkEnd w:id="118"/>
      <w:bookmarkEnd w:id="119"/>
      <w:bookmarkEnd w:id="120"/>
      <w:bookmarkEnd w:id="121"/>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3.2.1 投</w:t>
      </w:r>
      <w:r>
        <w:rPr>
          <w:rFonts w:hint="eastAsia" w:ascii="宋体" w:hAnsi="宋体" w:eastAsia="宋体" w:cs="宋体"/>
          <w:color w:val="auto"/>
          <w:sz w:val="28"/>
          <w:szCs w:val="28"/>
          <w:highlight w:val="none"/>
          <w:lang w:val="en-US" w:eastAsia="zh-CN"/>
        </w:rPr>
        <w:t xml:space="preserve">投标人不得相互串通投标报价，不得妨碍其他投标人的公平竞争，不得损害采购人或其他投标人的合法权益，投标人不得以向采购人、评标委员会成员行贿或者采取其他不正当手段谋取中标。                    </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22" w:name="_Toc28102"/>
      <w:bookmarkStart w:id="123" w:name="_Toc144974517"/>
      <w:bookmarkStart w:id="124" w:name="_Toc152042325"/>
      <w:bookmarkStart w:id="125" w:name="_Toc25510"/>
      <w:bookmarkStart w:id="126" w:name="_Toc152045549"/>
      <w:r>
        <w:rPr>
          <w:rFonts w:hint="eastAsia" w:ascii="宋体" w:hAnsi="宋体" w:eastAsia="宋体" w:cs="宋体"/>
          <w:color w:val="auto"/>
          <w:sz w:val="28"/>
          <w:szCs w:val="28"/>
          <w:highlight w:val="none"/>
        </w:rPr>
        <w:t>3.3 投标有效期</w:t>
      </w:r>
      <w:bookmarkEnd w:id="122"/>
      <w:bookmarkEnd w:id="123"/>
      <w:bookmarkEnd w:id="124"/>
      <w:bookmarkEnd w:id="125"/>
      <w:bookmarkEnd w:id="12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 在投标人须知前附表规定的投标有效期内，投标人不得要求撤销或修改其投标文件。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27" w:name="_Toc3654"/>
      <w:bookmarkStart w:id="128" w:name="_Toc144974518"/>
      <w:bookmarkStart w:id="129" w:name="_Toc152042326"/>
      <w:bookmarkStart w:id="130" w:name="_Toc152045550"/>
      <w:bookmarkStart w:id="131" w:name="_Toc25578"/>
      <w:r>
        <w:rPr>
          <w:rFonts w:hint="eastAsia" w:ascii="宋体" w:hAnsi="宋体" w:eastAsia="宋体" w:cs="宋体"/>
          <w:color w:val="auto"/>
          <w:sz w:val="28"/>
          <w:szCs w:val="28"/>
          <w:highlight w:val="none"/>
        </w:rPr>
        <w:t>3.4 投标保证金</w:t>
      </w:r>
      <w:bookmarkEnd w:id="127"/>
      <w:bookmarkEnd w:id="128"/>
      <w:bookmarkEnd w:id="129"/>
      <w:bookmarkEnd w:id="130"/>
      <w:bookmarkEnd w:id="13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3.4.1 投标人在递交投标文件的同时，应按投标人须知前附表规定的金额和“投标文件格式”规定的投标保证金格式递交投标保证金，并作为其投标文件的组成部分。联合体投标的，其投标保证金由牵头人递交，并应符合投标人须知前附表的规定。</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3.4.2 投标人不按本章第3.4.1项要求提交投标保证金的，其投标文件作废标处理。</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3.4.3 </w:t>
      </w:r>
      <w:r>
        <w:rPr>
          <w:rFonts w:hint="eastAsia" w:ascii="宋体" w:hAnsi="宋体" w:cs="宋体"/>
          <w:color w:val="auto"/>
          <w:sz w:val="28"/>
          <w:szCs w:val="28"/>
          <w:highlight w:val="none"/>
          <w:lang w:val="en-US" w:eastAsia="zh-CN"/>
        </w:rPr>
        <w:t>中标通知书发出</w:t>
      </w:r>
      <w:r>
        <w:rPr>
          <w:rFonts w:hint="eastAsia" w:ascii="宋体" w:hAnsi="宋体" w:eastAsia="宋体" w:cs="宋体"/>
          <w:color w:val="auto"/>
          <w:sz w:val="28"/>
          <w:szCs w:val="28"/>
          <w:highlight w:val="none"/>
        </w:rPr>
        <w:t>5个工作日内，向未中标的投标人退还投标保证金</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招标人与中标人签订合同后5个工作日内，向中标人退还投标保证金。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3.4.4 </w:t>
      </w:r>
      <w:bookmarkStart w:id="132" w:name="_Toc144974520"/>
      <w:bookmarkStart w:id="133" w:name="_Toc9302"/>
      <w:bookmarkStart w:id="134" w:name="_Toc152042328"/>
      <w:bookmarkStart w:id="135" w:name="_Toc152045552"/>
      <w:bookmarkStart w:id="136" w:name="_Toc6954"/>
      <w:r>
        <w:rPr>
          <w:rFonts w:hint="eastAsia" w:ascii="宋体" w:hAnsi="宋体" w:eastAsia="宋体" w:cs="宋体"/>
          <w:color w:val="auto"/>
          <w:sz w:val="28"/>
          <w:szCs w:val="28"/>
          <w:highlight w:val="none"/>
        </w:rPr>
        <w:t>有下列情形之一的，保证金将不予退还：</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（1）投标人在投标文件中提供虚假资料的；</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（2）除因不可抗力或招标文件认可的情形以外，成交投标人不与招标人签订合同的；</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（3）投标人与招标人、其他投标人或者采购代理机构恶意串通的；</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（4）招标文件规定的其他情形。</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 资格审查资料</w:t>
      </w:r>
      <w:bookmarkEnd w:id="132"/>
      <w:bookmarkEnd w:id="133"/>
      <w:bookmarkEnd w:id="134"/>
      <w:bookmarkEnd w:id="135"/>
      <w:bookmarkEnd w:id="13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3.5.1 “投标人基本情况表”见投标人须知前附表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 “近年财务状况表”见投标人须知前附表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3.5.3 “近年完成的类似项目情况表”见投标人须知前附表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“近年发生的诉讼及仲裁情况”见投标人须知前附表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3.5.6 投标人须知前附表规定接受联合体投标的，本章第3.5.1项至第3.5.</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项规定的表格和资料应包括联合体各方相关情况。</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37" w:name="_Toc28130"/>
      <w:bookmarkStart w:id="138" w:name="_Toc441"/>
      <w:bookmarkStart w:id="139" w:name="_Toc144974521"/>
      <w:bookmarkStart w:id="140" w:name="_Toc152042329"/>
      <w:bookmarkStart w:id="141" w:name="_Toc152045553"/>
      <w:r>
        <w:rPr>
          <w:rFonts w:hint="eastAsia" w:ascii="宋体" w:hAnsi="宋体" w:eastAsia="宋体" w:cs="宋体"/>
          <w:color w:val="auto"/>
          <w:sz w:val="28"/>
          <w:szCs w:val="28"/>
          <w:highlight w:val="none"/>
        </w:rPr>
        <w:t>3.6 备选投标方案</w:t>
      </w:r>
      <w:bookmarkEnd w:id="137"/>
      <w:bookmarkEnd w:id="138"/>
      <w:bookmarkEnd w:id="139"/>
      <w:bookmarkEnd w:id="140"/>
      <w:bookmarkEnd w:id="14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42" w:name="_Toc144974522"/>
      <w:bookmarkStart w:id="143" w:name="_Toc152042330"/>
      <w:bookmarkStart w:id="144" w:name="_Toc14346"/>
      <w:bookmarkStart w:id="145" w:name="_Toc27263"/>
      <w:bookmarkStart w:id="146" w:name="_Toc152045554"/>
      <w:r>
        <w:rPr>
          <w:rFonts w:hint="eastAsia" w:ascii="宋体" w:hAnsi="宋体" w:eastAsia="宋体" w:cs="宋体"/>
          <w:color w:val="auto"/>
          <w:sz w:val="28"/>
          <w:szCs w:val="28"/>
          <w:highlight w:val="none"/>
        </w:rPr>
        <w:t>3.7 投标文件的编制</w:t>
      </w:r>
      <w:bookmarkEnd w:id="142"/>
      <w:bookmarkEnd w:id="143"/>
      <w:bookmarkEnd w:id="144"/>
      <w:bookmarkEnd w:id="145"/>
      <w:bookmarkEnd w:id="14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3.7.1投标文件应按“投标文件格式”进行编写，如有必要，可以增加附页，作为投标文件的组成部分。其中，投标函附录在满足招标文件实质性要求的基础上，可以提出比招标文件要求更有利于招标人的承诺。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3.7.2 投标文件应当对招标文件有关</w:t>
      </w:r>
      <w:r>
        <w:rPr>
          <w:rFonts w:hint="eastAsia" w:ascii="宋体" w:hAnsi="宋体" w:cs="宋体"/>
          <w:color w:val="auto"/>
          <w:sz w:val="28"/>
          <w:szCs w:val="28"/>
          <w:highlight w:val="none"/>
          <w:lang w:eastAsia="zh-CN"/>
        </w:rPr>
        <w:t>供货期限</w:t>
      </w:r>
      <w:r>
        <w:rPr>
          <w:rFonts w:hint="eastAsia" w:ascii="宋体" w:hAnsi="宋体" w:eastAsia="宋体" w:cs="宋体"/>
          <w:color w:val="auto"/>
          <w:sz w:val="28"/>
          <w:szCs w:val="28"/>
          <w:highlight w:val="none"/>
        </w:rPr>
        <w:t>、投标有效期、质量要求、技术标准和要求、招标范围等实质性内容作出响应。</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3.7.4 投标文件份数见投标人须知前附表。正本</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副本的封面上应清楚地标记“正本”或“副本”的字样。当副本和正本不一致时，以正本为准。</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3.7.5 投标文件的正本</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副本应分别装订成册，并编制目录，具体装订要求见投标人须知前附表规定。</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3.7.6</w:t>
      </w:r>
      <w:r>
        <w:rPr>
          <w:rStyle w:val="37"/>
          <w:rFonts w:hint="eastAsia" w:ascii="宋体" w:hAnsi="宋体" w:eastAsia="宋体" w:cs="宋体"/>
          <w:color w:val="auto"/>
          <w:sz w:val="28"/>
          <w:szCs w:val="28"/>
          <w:highlight w:val="none"/>
        </w:rPr>
        <w:t>投标单位必须按招标文件约定的</w:t>
      </w:r>
      <w:r>
        <w:rPr>
          <w:rStyle w:val="37"/>
          <w:rFonts w:hint="eastAsia" w:ascii="宋体" w:hAnsi="宋体" w:cs="宋体"/>
          <w:color w:val="auto"/>
          <w:sz w:val="28"/>
          <w:szCs w:val="28"/>
          <w:highlight w:val="none"/>
          <w:lang w:eastAsia="zh-CN"/>
        </w:rPr>
        <w:t>供货期限</w:t>
      </w:r>
      <w:r>
        <w:rPr>
          <w:rStyle w:val="37"/>
          <w:rFonts w:hint="eastAsia" w:ascii="宋体" w:hAnsi="宋体" w:eastAsia="宋体" w:cs="宋体"/>
          <w:color w:val="auto"/>
          <w:sz w:val="28"/>
          <w:szCs w:val="28"/>
          <w:highlight w:val="none"/>
        </w:rPr>
        <w:t>制定切合实际的施工组织</w:t>
      </w:r>
      <w:r>
        <w:rPr>
          <w:rStyle w:val="37"/>
          <w:rFonts w:hint="eastAsia" w:ascii="宋体" w:hAnsi="宋体" w:cs="宋体"/>
          <w:color w:val="auto"/>
          <w:sz w:val="28"/>
          <w:szCs w:val="28"/>
          <w:highlight w:val="none"/>
          <w:lang w:val="en-US" w:eastAsia="zh-CN"/>
        </w:rPr>
        <w:t>方案</w:t>
      </w:r>
      <w:r>
        <w:rPr>
          <w:rStyle w:val="37"/>
          <w:rFonts w:hint="eastAsia" w:ascii="宋体" w:hAnsi="宋体" w:eastAsia="宋体" w:cs="宋体"/>
          <w:color w:val="auto"/>
          <w:sz w:val="28"/>
          <w:szCs w:val="28"/>
          <w:highlight w:val="none"/>
        </w:rPr>
        <w:t>，双方约定</w:t>
      </w:r>
      <w:r>
        <w:rPr>
          <w:rStyle w:val="37"/>
          <w:rFonts w:hint="eastAsia" w:ascii="宋体" w:hAnsi="宋体" w:cs="宋体"/>
          <w:color w:val="auto"/>
          <w:sz w:val="28"/>
          <w:szCs w:val="28"/>
          <w:highlight w:val="none"/>
          <w:lang w:eastAsia="zh-CN"/>
        </w:rPr>
        <w:t>供货期限</w:t>
      </w:r>
      <w:r>
        <w:rPr>
          <w:rStyle w:val="37"/>
          <w:rFonts w:hint="eastAsia" w:ascii="宋体" w:hAnsi="宋体" w:eastAsia="宋体" w:cs="宋体"/>
          <w:color w:val="auto"/>
          <w:sz w:val="28"/>
          <w:szCs w:val="28"/>
          <w:highlight w:val="none"/>
        </w:rPr>
        <w:t>顺延或延误的其他情况在签订合同时商议。</w:t>
      </w: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bookmarkStart w:id="147" w:name="_Toc152045555"/>
      <w:bookmarkStart w:id="148" w:name="_Toc13194"/>
      <w:bookmarkStart w:id="149" w:name="_Toc144974523"/>
      <w:bookmarkStart w:id="150" w:name="_Toc27230"/>
      <w:bookmarkStart w:id="151" w:name="_Toc152042331"/>
      <w:r>
        <w:rPr>
          <w:rFonts w:hint="eastAsia" w:ascii="宋体" w:hAnsi="宋体" w:eastAsia="宋体" w:cs="宋体"/>
          <w:b/>
          <w:bCs/>
          <w:color w:val="auto"/>
          <w:sz w:val="28"/>
          <w:szCs w:val="28"/>
          <w:highlight w:val="none"/>
        </w:rPr>
        <w:t>4. 投  标</w:t>
      </w:r>
      <w:bookmarkEnd w:id="147"/>
      <w:bookmarkEnd w:id="148"/>
      <w:bookmarkEnd w:id="149"/>
      <w:bookmarkEnd w:id="150"/>
      <w:bookmarkEnd w:id="151"/>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52" w:name="_Toc1082"/>
      <w:bookmarkStart w:id="153" w:name="_Toc152042332"/>
      <w:bookmarkStart w:id="154" w:name="_Toc144974524"/>
      <w:bookmarkStart w:id="155" w:name="_Toc20861"/>
      <w:bookmarkStart w:id="156" w:name="_Toc152045556"/>
      <w:r>
        <w:rPr>
          <w:rFonts w:hint="eastAsia" w:ascii="宋体" w:hAnsi="宋体" w:eastAsia="宋体" w:cs="宋体"/>
          <w:color w:val="auto"/>
          <w:sz w:val="28"/>
          <w:szCs w:val="28"/>
          <w:highlight w:val="none"/>
        </w:rPr>
        <w:t>4.1 投标文件的密封和标记</w:t>
      </w:r>
      <w:bookmarkEnd w:id="152"/>
      <w:bookmarkEnd w:id="153"/>
      <w:bookmarkEnd w:id="154"/>
      <w:bookmarkEnd w:id="155"/>
      <w:bookmarkEnd w:id="15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4.1.1投标文件的正本</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副本</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电子版U盘</w:t>
      </w:r>
      <w:r>
        <w:rPr>
          <w:rFonts w:hint="eastAsia" w:ascii="宋体" w:hAnsi="宋体" w:eastAsia="宋体" w:cs="宋体"/>
          <w:color w:val="auto"/>
          <w:sz w:val="28"/>
          <w:szCs w:val="28"/>
          <w:highlight w:val="none"/>
        </w:rPr>
        <w:t>装入</w:t>
      </w:r>
      <w:r>
        <w:rPr>
          <w:rFonts w:hint="eastAsia" w:ascii="宋体" w:hAnsi="宋体" w:eastAsia="宋体" w:cs="宋体"/>
          <w:color w:val="auto"/>
          <w:sz w:val="28"/>
          <w:szCs w:val="28"/>
          <w:highlight w:val="none"/>
          <w:lang w:val="en-US" w:eastAsia="zh-CN"/>
        </w:rPr>
        <w:t>一个</w:t>
      </w:r>
      <w:r>
        <w:rPr>
          <w:rFonts w:hint="eastAsia" w:ascii="宋体" w:hAnsi="宋体" w:eastAsia="宋体" w:cs="宋体"/>
          <w:color w:val="auto"/>
          <w:sz w:val="28"/>
          <w:szCs w:val="28"/>
          <w:highlight w:val="none"/>
        </w:rPr>
        <w:t>密封袋内加以密封。封袋必须在开启处加贴封条，同时加盖供</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公章和法定代表人或授权代理人印章。</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4.1.2 投标文件的封套上应写明的其他内容见投标人须知前附表。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4.1.3 未按本章第4.1.1项或第4.1.2项要求密封和加写标记的投标文件，招标人不予受理。</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57" w:name="_Toc152042333"/>
      <w:bookmarkStart w:id="158" w:name="_Toc26621"/>
      <w:bookmarkStart w:id="159" w:name="_Toc5474"/>
      <w:bookmarkStart w:id="160" w:name="_Toc152045557"/>
      <w:bookmarkStart w:id="161" w:name="_Toc144974525"/>
      <w:r>
        <w:rPr>
          <w:rFonts w:hint="eastAsia" w:ascii="宋体" w:hAnsi="宋体" w:eastAsia="宋体" w:cs="宋体"/>
          <w:color w:val="auto"/>
          <w:sz w:val="28"/>
          <w:szCs w:val="28"/>
          <w:highlight w:val="none"/>
        </w:rPr>
        <w:t>4.2 投标文件的递交</w:t>
      </w:r>
      <w:bookmarkEnd w:id="157"/>
      <w:bookmarkEnd w:id="158"/>
      <w:bookmarkEnd w:id="159"/>
      <w:bookmarkEnd w:id="160"/>
      <w:bookmarkEnd w:id="16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4.2.1 投标人应在投标人须知前附表规定的投标截止时间前递交投标文件。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4.2.2 投标人递交投标文件的地点：见投标人须知前附表。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4.2.3 除投标人须知前附表另有规定外，投标人所递交的投标文件不予退还。</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4.2.4 招标人收到投标文件后，向投标人出具签收凭证。</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4.2.5 逾期送达的或者未送达指定地点的投标文件，招标人不予受理。</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62" w:name="_Toc1067"/>
      <w:bookmarkStart w:id="163" w:name="_Toc152042334"/>
      <w:bookmarkStart w:id="164" w:name="_Toc152045558"/>
      <w:bookmarkStart w:id="165" w:name="_Toc11862"/>
      <w:bookmarkStart w:id="166" w:name="_Toc144974526"/>
      <w:r>
        <w:rPr>
          <w:rFonts w:hint="eastAsia" w:ascii="宋体" w:hAnsi="宋体" w:eastAsia="宋体" w:cs="宋体"/>
          <w:color w:val="auto"/>
          <w:sz w:val="28"/>
          <w:szCs w:val="28"/>
          <w:highlight w:val="none"/>
        </w:rPr>
        <w:t>4.3 投标文件的修改与撤回</w:t>
      </w:r>
      <w:bookmarkEnd w:id="162"/>
      <w:bookmarkEnd w:id="163"/>
      <w:bookmarkEnd w:id="164"/>
      <w:bookmarkEnd w:id="165"/>
      <w:bookmarkEnd w:id="16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4.3.1 在本章第2.2.2项规定的投标截止时间前，投标人可以修改或撤回已递交的投标文件，但应以书面形式通知招标人。</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4.3.2 投标人修改或撤回已递交投标文件的书面通知应按照本章第3.7.3项的要求签字或盖章。招标人收到书面通知后，向投标人出具签收凭证。</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4.3.3 修改的内容为投标文件的组成部分。修改的投标文件应按照本章第3条、第4条规定进行编制、密封、标记和递交，并标明“修改”字样。</w:t>
      </w: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bookmarkStart w:id="167" w:name="_Toc3389"/>
      <w:bookmarkStart w:id="168" w:name="_Toc152042335"/>
      <w:bookmarkStart w:id="169" w:name="_Toc13677"/>
      <w:bookmarkStart w:id="170" w:name="_Toc152045559"/>
      <w:bookmarkStart w:id="171" w:name="_Toc144974527"/>
      <w:r>
        <w:rPr>
          <w:rFonts w:hint="eastAsia" w:ascii="宋体" w:hAnsi="宋体" w:eastAsia="宋体" w:cs="宋体"/>
          <w:b/>
          <w:bCs/>
          <w:color w:val="auto"/>
          <w:sz w:val="28"/>
          <w:szCs w:val="28"/>
          <w:highlight w:val="none"/>
        </w:rPr>
        <w:t>5. 开  标</w:t>
      </w:r>
      <w:bookmarkEnd w:id="167"/>
      <w:bookmarkEnd w:id="168"/>
      <w:bookmarkEnd w:id="169"/>
      <w:bookmarkEnd w:id="170"/>
      <w:bookmarkEnd w:id="171"/>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72" w:name="_Toc27315"/>
      <w:bookmarkStart w:id="173" w:name="_Toc152042336"/>
      <w:bookmarkStart w:id="174" w:name="_Toc152045560"/>
      <w:bookmarkStart w:id="175" w:name="_Toc32052"/>
      <w:bookmarkStart w:id="176" w:name="_Toc144974528"/>
      <w:r>
        <w:rPr>
          <w:rFonts w:hint="eastAsia" w:ascii="宋体" w:hAnsi="宋体" w:eastAsia="宋体" w:cs="宋体"/>
          <w:color w:val="auto"/>
          <w:sz w:val="28"/>
          <w:szCs w:val="28"/>
          <w:highlight w:val="none"/>
        </w:rPr>
        <w:t>5.1 开标时间和地点</w:t>
      </w:r>
      <w:bookmarkEnd w:id="172"/>
      <w:bookmarkEnd w:id="173"/>
      <w:bookmarkEnd w:id="174"/>
      <w:bookmarkEnd w:id="175"/>
      <w:bookmarkEnd w:id="17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招标人在本章第2.2.2项规定的投标截止时间（开标时间）和投标人须知前附表规定的地点公开开标，并邀请所有投标人的法定代表人或其委托代理人准时参加。</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77" w:name="_Toc152042337"/>
      <w:bookmarkStart w:id="178" w:name="_Toc10620"/>
      <w:bookmarkStart w:id="179" w:name="_Toc144974529"/>
      <w:bookmarkStart w:id="180" w:name="_Toc152045561"/>
      <w:bookmarkStart w:id="181" w:name="_Toc8303"/>
      <w:r>
        <w:rPr>
          <w:rFonts w:hint="eastAsia" w:ascii="宋体" w:hAnsi="宋体" w:eastAsia="宋体" w:cs="宋体"/>
          <w:color w:val="auto"/>
          <w:sz w:val="28"/>
          <w:szCs w:val="28"/>
          <w:highlight w:val="none"/>
        </w:rPr>
        <w:t>5.2 开标程序</w:t>
      </w:r>
      <w:bookmarkEnd w:id="177"/>
      <w:bookmarkEnd w:id="178"/>
      <w:bookmarkEnd w:id="179"/>
      <w:bookmarkEnd w:id="180"/>
      <w:bookmarkEnd w:id="18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主持人按下列程序进行开标：</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（1）宣布开标纪律；</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（2）公布在投标截止时间前递交投标文件的投标人名称，并点名确认投标人是否派人到场；</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（3）宣布开标人、唱标人、记录人、监标人等有关人员姓名；</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（4）按照投标人须知前附表规定检查投标文件的密封情况；</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（5）按照投标人须知前附表的规定确定并宣布投标文件开标顺序；</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（6）设有标底的，公布标底； </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（7）按照宣布的开标顺序当众开标，公布投标人名称、标段名称、投标报价、</w:t>
      </w:r>
      <w:r>
        <w:rPr>
          <w:rFonts w:hint="eastAsia" w:ascii="宋体" w:hAnsi="宋体" w:cs="宋体"/>
          <w:color w:val="auto"/>
          <w:sz w:val="28"/>
          <w:szCs w:val="28"/>
          <w:highlight w:val="none"/>
          <w:lang w:eastAsia="zh-CN"/>
        </w:rPr>
        <w:t>供货期限</w:t>
      </w:r>
      <w:r>
        <w:rPr>
          <w:rFonts w:hint="eastAsia" w:ascii="宋体" w:hAnsi="宋体" w:eastAsia="宋体" w:cs="宋体"/>
          <w:color w:val="auto"/>
          <w:sz w:val="28"/>
          <w:szCs w:val="28"/>
          <w:highlight w:val="none"/>
        </w:rPr>
        <w:t>及其他内容，并记录在案；</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（8）投标人代表、招标人代表、监标人、记录人等有关人员在开标记录上签字确认；</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（9）开标结束。</w:t>
      </w: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bookmarkStart w:id="182" w:name="_Toc7940"/>
      <w:bookmarkStart w:id="183" w:name="_Toc152045562"/>
      <w:bookmarkStart w:id="184" w:name="_Toc144974530"/>
      <w:bookmarkStart w:id="185" w:name="_Toc152042338"/>
      <w:bookmarkStart w:id="186" w:name="_Toc5900"/>
      <w:r>
        <w:rPr>
          <w:rFonts w:hint="eastAsia" w:ascii="宋体" w:hAnsi="宋体" w:eastAsia="宋体" w:cs="宋体"/>
          <w:b/>
          <w:bCs/>
          <w:color w:val="auto"/>
          <w:sz w:val="28"/>
          <w:szCs w:val="28"/>
          <w:highlight w:val="none"/>
        </w:rPr>
        <w:t>6. 评  标</w:t>
      </w:r>
      <w:bookmarkEnd w:id="182"/>
      <w:bookmarkEnd w:id="183"/>
      <w:bookmarkEnd w:id="184"/>
      <w:bookmarkEnd w:id="185"/>
      <w:bookmarkEnd w:id="186"/>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87" w:name="_Toc8861"/>
      <w:bookmarkStart w:id="188" w:name="_Toc152045563"/>
      <w:bookmarkStart w:id="189" w:name="_Toc594"/>
      <w:bookmarkStart w:id="190" w:name="_Toc152042339"/>
      <w:bookmarkStart w:id="191" w:name="_Toc144974531"/>
      <w:r>
        <w:rPr>
          <w:rFonts w:hint="eastAsia" w:ascii="宋体" w:hAnsi="宋体" w:eastAsia="宋体" w:cs="宋体"/>
          <w:color w:val="auto"/>
          <w:sz w:val="28"/>
          <w:szCs w:val="28"/>
          <w:highlight w:val="none"/>
        </w:rPr>
        <w:t>6.1 评标委员会</w:t>
      </w:r>
      <w:bookmarkEnd w:id="187"/>
      <w:bookmarkEnd w:id="188"/>
      <w:bookmarkEnd w:id="189"/>
      <w:bookmarkEnd w:id="190"/>
      <w:bookmarkEnd w:id="19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6.1.2 评标委员会成员有下列情形之一的，应当回避：</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（1）招标人或投标人的主要负责人的近亲属；</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（2）项目主管部门或者行政监督部门的人员；</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（3）与投标人有经济利益关系，可能影响对投标公正评审的；</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（4）曾因在招标、评标以及其他与招标投标有关活动中从事违法行为而受过行政处罚或刑事处罚的。</w:t>
      </w:r>
    </w:p>
    <w:p>
      <w:pPr>
        <w:pStyle w:val="35"/>
        <w:pageBreakBefore w:val="0"/>
        <w:widowControl w:val="0"/>
        <w:tabs>
          <w:tab w:val="left" w:pos="2620"/>
        </w:tabs>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92" w:name="_Toc152045564"/>
      <w:bookmarkStart w:id="193" w:name="_Toc152042340"/>
      <w:bookmarkStart w:id="194" w:name="_Toc15801"/>
      <w:bookmarkStart w:id="195" w:name="_Toc144974532"/>
      <w:bookmarkStart w:id="196" w:name="_Toc17168"/>
      <w:r>
        <w:rPr>
          <w:rFonts w:hint="eastAsia" w:ascii="宋体" w:hAnsi="宋体" w:eastAsia="宋体" w:cs="宋体"/>
          <w:color w:val="auto"/>
          <w:sz w:val="28"/>
          <w:szCs w:val="28"/>
          <w:highlight w:val="none"/>
        </w:rPr>
        <w:t>6.2 评标原则</w:t>
      </w:r>
      <w:bookmarkEnd w:id="192"/>
      <w:bookmarkEnd w:id="193"/>
      <w:bookmarkEnd w:id="194"/>
      <w:bookmarkEnd w:id="195"/>
      <w:bookmarkEnd w:id="196"/>
      <w:r>
        <w:rPr>
          <w:rFonts w:hint="eastAsia" w:ascii="宋体" w:hAnsi="宋体" w:eastAsia="宋体" w:cs="宋体"/>
          <w:color w:val="auto"/>
          <w:sz w:val="28"/>
          <w:szCs w:val="28"/>
          <w:highlight w:val="none"/>
        </w:rPr>
        <w:tab/>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评标活动遵循公平、公正、科学和择优的原则。</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197" w:name="_Toc152045565"/>
      <w:bookmarkStart w:id="198" w:name="_Toc24020"/>
      <w:bookmarkStart w:id="199" w:name="_Toc144974533"/>
      <w:bookmarkStart w:id="200" w:name="_Toc20189"/>
      <w:bookmarkStart w:id="201" w:name="_Toc152042341"/>
      <w:r>
        <w:rPr>
          <w:rFonts w:hint="eastAsia" w:ascii="宋体" w:hAnsi="宋体" w:eastAsia="宋体" w:cs="宋体"/>
          <w:color w:val="auto"/>
          <w:sz w:val="28"/>
          <w:szCs w:val="28"/>
          <w:highlight w:val="none"/>
        </w:rPr>
        <w:t>6.3 评标</w:t>
      </w:r>
      <w:bookmarkEnd w:id="197"/>
      <w:bookmarkEnd w:id="198"/>
      <w:bookmarkEnd w:id="199"/>
      <w:bookmarkEnd w:id="200"/>
      <w:bookmarkEnd w:id="20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评标委员会按照第三章“评标办法”规定的方法、评审因素、标准和程序对投标文件进行评审。第三章“评标办法”没有规定的方法、评审因素和标准，不作为评标依据。</w:t>
      </w: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bookmarkStart w:id="202" w:name="_Toc152045566"/>
      <w:bookmarkStart w:id="203" w:name="_Toc144974534"/>
      <w:bookmarkStart w:id="204" w:name="_Toc152042342"/>
      <w:bookmarkStart w:id="205" w:name="_Toc14195"/>
      <w:bookmarkStart w:id="206" w:name="_Toc2180"/>
      <w:r>
        <w:rPr>
          <w:rFonts w:hint="eastAsia" w:ascii="宋体" w:hAnsi="宋体" w:eastAsia="宋体" w:cs="宋体"/>
          <w:b/>
          <w:bCs/>
          <w:color w:val="auto"/>
          <w:sz w:val="28"/>
          <w:szCs w:val="28"/>
          <w:highlight w:val="none"/>
        </w:rPr>
        <w:t>7. 合同授予</w:t>
      </w:r>
      <w:bookmarkEnd w:id="202"/>
      <w:bookmarkEnd w:id="203"/>
      <w:bookmarkEnd w:id="204"/>
      <w:bookmarkEnd w:id="205"/>
      <w:bookmarkEnd w:id="206"/>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07" w:name="_Toc144974535"/>
      <w:bookmarkStart w:id="208" w:name="_Toc152045567"/>
      <w:bookmarkStart w:id="209" w:name="_Toc8621"/>
      <w:bookmarkStart w:id="210" w:name="_Toc8028"/>
      <w:bookmarkStart w:id="211" w:name="_Toc152042343"/>
      <w:r>
        <w:rPr>
          <w:rFonts w:hint="eastAsia" w:ascii="宋体" w:hAnsi="宋体" w:eastAsia="宋体" w:cs="宋体"/>
          <w:color w:val="auto"/>
          <w:sz w:val="28"/>
          <w:szCs w:val="28"/>
          <w:highlight w:val="none"/>
        </w:rPr>
        <w:t>7.1 定标方式</w:t>
      </w:r>
      <w:bookmarkEnd w:id="207"/>
      <w:bookmarkEnd w:id="208"/>
      <w:bookmarkEnd w:id="209"/>
      <w:bookmarkEnd w:id="210"/>
      <w:bookmarkEnd w:id="21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除投标人须知前附表规定评标委员会直接确定中标人外，招标人依据评标委员会推荐的中标候选人确定中标人，评标委员会推荐中标候选人的人数见投标人须知前附表。</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12" w:name="_Toc144974536"/>
      <w:bookmarkStart w:id="213" w:name="_Toc152045568"/>
      <w:bookmarkStart w:id="214" w:name="_Toc24977"/>
      <w:bookmarkStart w:id="215" w:name="_Toc152042344"/>
      <w:bookmarkStart w:id="216" w:name="_Toc11255"/>
      <w:r>
        <w:rPr>
          <w:rFonts w:hint="eastAsia" w:ascii="宋体" w:hAnsi="宋体" w:eastAsia="宋体" w:cs="宋体"/>
          <w:color w:val="auto"/>
          <w:sz w:val="28"/>
          <w:szCs w:val="28"/>
          <w:highlight w:val="none"/>
        </w:rPr>
        <w:t>7.2 中标通知</w:t>
      </w:r>
      <w:bookmarkEnd w:id="212"/>
      <w:bookmarkEnd w:id="213"/>
      <w:bookmarkEnd w:id="214"/>
      <w:bookmarkEnd w:id="215"/>
      <w:bookmarkEnd w:id="21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在本章第3.3款规定的投标有效期内，招标人以书面形式向中标人发出中标通知书，同时将中标结果通知未中标的投标人。</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17" w:name="_Toc152042345"/>
      <w:bookmarkStart w:id="218" w:name="_Toc152045569"/>
      <w:bookmarkStart w:id="219" w:name="_Toc26495"/>
      <w:bookmarkStart w:id="220" w:name="_Toc144974537"/>
      <w:bookmarkStart w:id="221" w:name="_Toc20565"/>
      <w:r>
        <w:rPr>
          <w:rFonts w:hint="eastAsia" w:ascii="宋体" w:hAnsi="宋体" w:eastAsia="宋体" w:cs="宋体"/>
          <w:color w:val="auto"/>
          <w:sz w:val="28"/>
          <w:szCs w:val="28"/>
          <w:highlight w:val="none"/>
        </w:rPr>
        <w:t>7.3 履约担保</w:t>
      </w:r>
      <w:bookmarkEnd w:id="217"/>
      <w:bookmarkEnd w:id="218"/>
      <w:bookmarkEnd w:id="219"/>
      <w:bookmarkEnd w:id="220"/>
      <w:bookmarkEnd w:id="22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7.3.2 中标人不能按本章第7.3.1项要求提交履约担保的，视为放弃中标，其投标保证金不予退还，给招标人造成的损失超过投标保证金数额的，中标人还应当对超过部分予以赔偿。</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22" w:name="_Toc21155"/>
      <w:bookmarkStart w:id="223" w:name="_Toc144974538"/>
      <w:bookmarkStart w:id="224" w:name="_Toc14928"/>
      <w:bookmarkStart w:id="225" w:name="_Toc152042346"/>
      <w:bookmarkStart w:id="226" w:name="_Toc152045570"/>
      <w:r>
        <w:rPr>
          <w:rFonts w:hint="eastAsia" w:ascii="宋体" w:hAnsi="宋体" w:eastAsia="宋体" w:cs="宋体"/>
          <w:color w:val="auto"/>
          <w:sz w:val="28"/>
          <w:szCs w:val="28"/>
          <w:highlight w:val="none"/>
        </w:rPr>
        <w:t>7.4 签订合同</w:t>
      </w:r>
      <w:bookmarkEnd w:id="222"/>
      <w:bookmarkEnd w:id="223"/>
      <w:bookmarkEnd w:id="224"/>
      <w:bookmarkEnd w:id="225"/>
      <w:bookmarkEnd w:id="22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7.4.1投标人在被确定为中标人后应向招标代理机构缴纳技术服务费，收费标准</w:t>
      </w:r>
      <w:r>
        <w:rPr>
          <w:rFonts w:hint="eastAsia" w:ascii="宋体" w:hAnsi="宋体" w:eastAsia="宋体" w:cs="宋体"/>
          <w:b w:val="0"/>
          <w:bCs w:val="0"/>
          <w:color w:val="auto"/>
          <w:sz w:val="28"/>
          <w:szCs w:val="28"/>
          <w:lang w:val="en-US" w:eastAsia="zh-CN"/>
        </w:rPr>
        <w:t>参照</w:t>
      </w:r>
      <w:r>
        <w:rPr>
          <w:rFonts w:hint="eastAsia" w:ascii="宋体" w:hAnsi="宋体" w:eastAsia="宋体" w:cs="宋体"/>
          <w:b w:val="0"/>
          <w:bCs w:val="0"/>
          <w:color w:val="auto"/>
          <w:sz w:val="28"/>
          <w:szCs w:val="28"/>
        </w:rPr>
        <w:t>国家计委计价格【</w:t>
      </w:r>
      <w:r>
        <w:rPr>
          <w:rFonts w:hint="eastAsia" w:ascii="宋体" w:hAnsi="宋体" w:eastAsia="宋体" w:cs="宋体"/>
          <w:b w:val="0"/>
          <w:bCs w:val="0"/>
          <w:color w:val="auto"/>
          <w:sz w:val="28"/>
          <w:szCs w:val="28"/>
          <w:lang w:val="en-US" w:eastAsia="zh-CN"/>
        </w:rPr>
        <w:t>2002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1980</w:t>
      </w:r>
      <w:r>
        <w:rPr>
          <w:rFonts w:hint="eastAsia" w:ascii="宋体" w:hAnsi="宋体" w:eastAsia="宋体" w:cs="宋体"/>
          <w:b w:val="0"/>
          <w:bCs w:val="0"/>
          <w:color w:val="auto"/>
          <w:sz w:val="28"/>
          <w:szCs w:val="28"/>
        </w:rPr>
        <w:t>号文</w:t>
      </w:r>
      <w:r>
        <w:rPr>
          <w:rFonts w:hint="eastAsia" w:ascii="宋体" w:hAnsi="宋体" w:eastAsia="宋体" w:cs="宋体"/>
          <w:b w:val="0"/>
          <w:bCs w:val="0"/>
          <w:color w:val="auto"/>
          <w:sz w:val="28"/>
          <w:szCs w:val="28"/>
          <w:lang w:val="en-US" w:eastAsia="zh-CN"/>
        </w:rPr>
        <w:t>、国家发改办价格</w:t>
      </w:r>
      <w:r>
        <w:rPr>
          <w:rFonts w:hint="eastAsia" w:ascii="宋体" w:hAnsi="宋体" w:eastAsia="宋体" w:cs="宋体"/>
          <w:b w:val="0"/>
          <w:bCs w:val="0"/>
          <w:color w:val="auto"/>
          <w:sz w:val="28"/>
          <w:szCs w:val="28"/>
        </w:rPr>
        <w:t>【20</w:t>
      </w:r>
      <w:r>
        <w:rPr>
          <w:rFonts w:hint="eastAsia" w:ascii="宋体" w:hAnsi="宋体" w:eastAsia="宋体" w:cs="宋体"/>
          <w:b w:val="0"/>
          <w:bCs w:val="0"/>
          <w:color w:val="auto"/>
          <w:sz w:val="28"/>
          <w:szCs w:val="28"/>
          <w:lang w:val="en-US" w:eastAsia="zh-CN"/>
        </w:rPr>
        <w:t>03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857</w:t>
      </w:r>
      <w:r>
        <w:rPr>
          <w:rFonts w:hint="eastAsia" w:ascii="宋体" w:hAnsi="宋体" w:eastAsia="宋体" w:cs="宋体"/>
          <w:b w:val="0"/>
          <w:bCs w:val="0"/>
          <w:color w:val="auto"/>
          <w:sz w:val="28"/>
          <w:szCs w:val="28"/>
        </w:rPr>
        <w:t>号文</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发改价格【2015】299号《国家发展改革委关于进一步放开建设项目专业服务价格的通知》文件执行</w:t>
      </w:r>
      <w:r>
        <w:rPr>
          <w:rFonts w:hint="eastAsia" w:ascii="宋体" w:hAnsi="宋体" w:eastAsia="宋体" w:cs="宋体"/>
          <w:color w:val="auto"/>
          <w:sz w:val="28"/>
          <w:szCs w:val="28"/>
          <w:highlight w:val="none"/>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7.4.2 发出中标通知书后，招标人无正当理由拒签合同的，招标人向中标人退还投标保证金；给中标人造成损失的，还应当赔偿损失。</w:t>
      </w:r>
    </w:p>
    <w:p>
      <w:pPr>
        <w:pStyle w:val="12"/>
        <w:rPr>
          <w:rFonts w:hint="eastAsia"/>
          <w:color w:val="auto"/>
        </w:rPr>
      </w:pPr>
    </w:p>
    <w:p>
      <w:pPr>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bookmarkStart w:id="227" w:name="_Toc152045571"/>
      <w:bookmarkStart w:id="228" w:name="_Toc144974539"/>
      <w:bookmarkStart w:id="229" w:name="_Toc152042347"/>
      <w:bookmarkStart w:id="230" w:name="_Toc2565"/>
      <w:bookmarkStart w:id="231" w:name="_Toc16096"/>
      <w:r>
        <w:rPr>
          <w:rFonts w:hint="eastAsia" w:ascii="宋体" w:hAnsi="宋体" w:eastAsia="宋体" w:cs="宋体"/>
          <w:b/>
          <w:bCs/>
          <w:color w:val="auto"/>
          <w:sz w:val="28"/>
          <w:szCs w:val="28"/>
          <w:highlight w:val="none"/>
        </w:rPr>
        <w:t>8. 重新招标和不再招标</w:t>
      </w:r>
      <w:bookmarkEnd w:id="227"/>
      <w:bookmarkEnd w:id="228"/>
      <w:bookmarkEnd w:id="229"/>
      <w:bookmarkEnd w:id="230"/>
      <w:bookmarkEnd w:id="231"/>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32" w:name="_Toc12787"/>
      <w:bookmarkStart w:id="233" w:name="_Toc25786"/>
      <w:bookmarkStart w:id="234" w:name="_Toc152042348"/>
      <w:bookmarkStart w:id="235" w:name="_Toc144974540"/>
      <w:bookmarkStart w:id="236" w:name="_Toc152045572"/>
      <w:r>
        <w:rPr>
          <w:rFonts w:hint="eastAsia" w:ascii="宋体" w:hAnsi="宋体" w:eastAsia="宋体" w:cs="宋体"/>
          <w:color w:val="auto"/>
          <w:sz w:val="28"/>
          <w:szCs w:val="28"/>
          <w:highlight w:val="none"/>
        </w:rPr>
        <w:t>8.1 重新招标</w:t>
      </w:r>
      <w:bookmarkEnd w:id="232"/>
      <w:bookmarkEnd w:id="233"/>
      <w:bookmarkEnd w:id="234"/>
      <w:bookmarkEnd w:id="235"/>
      <w:bookmarkEnd w:id="23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有下列情形之一的，招标人将重新招标：</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（1）投标截止时间止，投标人少于3个的；</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（2）经评标委员会评审后否决所有投标的。</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37" w:name="_Toc152042349"/>
      <w:bookmarkStart w:id="238" w:name="_Toc144974541"/>
      <w:bookmarkStart w:id="239" w:name="_Toc7426"/>
      <w:bookmarkStart w:id="240" w:name="_Toc152045573"/>
      <w:bookmarkStart w:id="241" w:name="_Toc27412"/>
      <w:r>
        <w:rPr>
          <w:rFonts w:hint="eastAsia" w:ascii="宋体" w:hAnsi="宋体" w:eastAsia="宋体" w:cs="宋体"/>
          <w:color w:val="auto"/>
          <w:sz w:val="28"/>
          <w:szCs w:val="28"/>
          <w:highlight w:val="none"/>
        </w:rPr>
        <w:t>8.2 不再招标</w:t>
      </w:r>
      <w:bookmarkEnd w:id="237"/>
      <w:bookmarkEnd w:id="238"/>
      <w:bookmarkEnd w:id="239"/>
      <w:bookmarkEnd w:id="240"/>
      <w:bookmarkEnd w:id="24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重新招标后投标人仍少于3个或者所有投标被否决的，属于必须审批或核准的工程建设项目，经原审批或核准部门批准后不再进行招标。</w:t>
      </w: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bookmarkStart w:id="242" w:name="_Toc13090"/>
      <w:bookmarkStart w:id="243" w:name="_Toc144974542"/>
      <w:bookmarkStart w:id="244" w:name="_Toc152042350"/>
      <w:bookmarkStart w:id="245" w:name="_Toc15444"/>
      <w:bookmarkStart w:id="246" w:name="_Toc152045574"/>
      <w:r>
        <w:rPr>
          <w:rFonts w:hint="eastAsia" w:ascii="宋体" w:hAnsi="宋体" w:eastAsia="宋体" w:cs="宋体"/>
          <w:b/>
          <w:bCs/>
          <w:color w:val="auto"/>
          <w:sz w:val="28"/>
          <w:szCs w:val="28"/>
          <w:highlight w:val="none"/>
        </w:rPr>
        <w:t>9. 纪律和监督</w:t>
      </w:r>
      <w:bookmarkEnd w:id="242"/>
      <w:bookmarkEnd w:id="243"/>
      <w:bookmarkEnd w:id="244"/>
      <w:bookmarkEnd w:id="245"/>
      <w:bookmarkEnd w:id="246"/>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47" w:name="_Toc152042351"/>
      <w:bookmarkStart w:id="248" w:name="_Toc11085"/>
      <w:bookmarkStart w:id="249" w:name="_Toc30615"/>
      <w:bookmarkStart w:id="250" w:name="_Toc152045575"/>
      <w:bookmarkStart w:id="251" w:name="_Toc144974543"/>
      <w:r>
        <w:rPr>
          <w:rFonts w:hint="eastAsia" w:ascii="宋体" w:hAnsi="宋体" w:eastAsia="宋体" w:cs="宋体"/>
          <w:color w:val="auto"/>
          <w:sz w:val="28"/>
          <w:szCs w:val="28"/>
          <w:highlight w:val="none"/>
        </w:rPr>
        <w:t>9.1 对招标人的纪律要求</w:t>
      </w:r>
      <w:bookmarkEnd w:id="247"/>
      <w:bookmarkEnd w:id="248"/>
      <w:bookmarkEnd w:id="249"/>
      <w:bookmarkEnd w:id="250"/>
      <w:bookmarkEnd w:id="25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招标人不得泄漏招标投标活动中应当保密的情况和资料，不得与投标人串通损害国家利益、社会公共利益或者他人合法权益。</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52" w:name="_Toc152042352"/>
      <w:bookmarkStart w:id="253" w:name="_Toc27868"/>
      <w:bookmarkStart w:id="254" w:name="_Toc152045576"/>
      <w:bookmarkStart w:id="255" w:name="_Toc144974544"/>
      <w:bookmarkStart w:id="256" w:name="_Toc2551"/>
      <w:r>
        <w:rPr>
          <w:rFonts w:hint="eastAsia" w:ascii="宋体" w:hAnsi="宋体" w:eastAsia="宋体" w:cs="宋体"/>
          <w:color w:val="auto"/>
          <w:sz w:val="28"/>
          <w:szCs w:val="28"/>
          <w:highlight w:val="none"/>
        </w:rPr>
        <w:t>9.2 对投标人的纪律要求</w:t>
      </w:r>
      <w:bookmarkEnd w:id="252"/>
      <w:bookmarkEnd w:id="253"/>
      <w:bookmarkEnd w:id="254"/>
      <w:bookmarkEnd w:id="255"/>
      <w:bookmarkEnd w:id="25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57" w:name="_Toc144974545"/>
      <w:bookmarkStart w:id="258" w:name="_Toc21198"/>
      <w:bookmarkStart w:id="259" w:name="_Toc152042353"/>
      <w:bookmarkStart w:id="260" w:name="_Toc23790"/>
      <w:bookmarkStart w:id="261" w:name="_Toc152045577"/>
      <w:r>
        <w:rPr>
          <w:rFonts w:hint="eastAsia" w:ascii="宋体" w:hAnsi="宋体" w:eastAsia="宋体" w:cs="宋体"/>
          <w:color w:val="auto"/>
          <w:sz w:val="28"/>
          <w:szCs w:val="28"/>
          <w:highlight w:val="none"/>
        </w:rPr>
        <w:t>9.3 对评标委员会成员的纪律要求</w:t>
      </w:r>
      <w:bookmarkEnd w:id="257"/>
      <w:bookmarkEnd w:id="258"/>
      <w:bookmarkEnd w:id="259"/>
      <w:bookmarkEnd w:id="260"/>
      <w:bookmarkEnd w:id="26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62" w:name="_Toc21267"/>
      <w:bookmarkStart w:id="263" w:name="_Toc152042354"/>
      <w:bookmarkStart w:id="264" w:name="_Toc5543"/>
      <w:bookmarkStart w:id="265" w:name="_Toc152045578"/>
      <w:bookmarkStart w:id="266" w:name="_Toc144974546"/>
      <w:r>
        <w:rPr>
          <w:rFonts w:hint="eastAsia" w:ascii="宋体" w:hAnsi="宋体" w:eastAsia="宋体" w:cs="宋体"/>
          <w:color w:val="auto"/>
          <w:sz w:val="28"/>
          <w:szCs w:val="28"/>
          <w:highlight w:val="none"/>
        </w:rPr>
        <w:t>9.4 对与评标活动有关的工作人员的纪律要求</w:t>
      </w:r>
      <w:bookmarkEnd w:id="262"/>
      <w:bookmarkEnd w:id="263"/>
      <w:bookmarkEnd w:id="264"/>
      <w:bookmarkEnd w:id="265"/>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67" w:name="_Toc152042355"/>
      <w:r>
        <w:rPr>
          <w:rFonts w:hint="eastAsia" w:ascii="宋体" w:hAnsi="宋体" w:eastAsia="宋体" w:cs="宋体"/>
          <w:color w:val="auto"/>
          <w:sz w:val="28"/>
          <w:szCs w:val="28"/>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67"/>
    </w:p>
    <w:p>
      <w:pPr>
        <w:pStyle w:val="35"/>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bookmarkStart w:id="268" w:name="_Toc6941"/>
      <w:bookmarkStart w:id="269" w:name="_Toc152042356"/>
      <w:bookmarkStart w:id="270" w:name="_Toc152045579"/>
      <w:bookmarkStart w:id="271" w:name="_Toc29138"/>
      <w:r>
        <w:rPr>
          <w:rFonts w:hint="eastAsia" w:ascii="宋体" w:hAnsi="宋体" w:eastAsia="宋体" w:cs="宋体"/>
          <w:color w:val="auto"/>
          <w:sz w:val="28"/>
          <w:szCs w:val="28"/>
          <w:highlight w:val="none"/>
        </w:rPr>
        <w:t>9.5 投诉</w:t>
      </w:r>
      <w:bookmarkEnd w:id="266"/>
      <w:bookmarkEnd w:id="268"/>
      <w:bookmarkEnd w:id="269"/>
      <w:bookmarkEnd w:id="270"/>
      <w:bookmarkEnd w:id="271"/>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投标人和其他利害关系人认为本次招标活动违反法律、法规和规章规定的，有权向有关行政监督部门投诉。</w:t>
      </w:r>
    </w:p>
    <w:p>
      <w:pPr>
        <w:pStyle w:val="33"/>
        <w:rPr>
          <w:rFonts w:hint="eastAsia"/>
          <w:color w:val="auto"/>
        </w:rPr>
      </w:pPr>
    </w:p>
    <w:p>
      <w:pPr>
        <w:pStyle w:val="7"/>
        <w:spacing w:line="520" w:lineRule="exact"/>
        <w:jc w:val="center"/>
        <w:rPr>
          <w:rFonts w:hint="eastAsia" w:ascii="宋体" w:hAnsi="宋体" w:eastAsia="宋体" w:cs="宋体"/>
          <w:color w:val="auto"/>
          <w:sz w:val="28"/>
          <w:szCs w:val="28"/>
          <w:highlight w:val="yellow"/>
        </w:rPr>
      </w:pPr>
      <w:bookmarkStart w:id="272" w:name="_Toc28310"/>
      <w:bookmarkStart w:id="273" w:name="_Toc21328"/>
      <w:bookmarkStart w:id="274" w:name="_Toc23689"/>
      <w:bookmarkStart w:id="275" w:name="_Toc152042357"/>
      <w:bookmarkStart w:id="276" w:name="_Toc152045580"/>
      <w:bookmarkStart w:id="277" w:name="_Toc144974547"/>
      <w:bookmarkStart w:id="278" w:name="_Toc26394"/>
      <w:r>
        <w:rPr>
          <w:rFonts w:hint="eastAsia" w:ascii="宋体" w:hAnsi="宋体" w:eastAsia="宋体" w:cs="宋体"/>
          <w:b/>
          <w:bCs/>
          <w:color w:val="auto"/>
          <w:kern w:val="2"/>
          <w:sz w:val="28"/>
          <w:szCs w:val="28"/>
          <w:highlight w:val="none"/>
          <w:lang w:val="en-US" w:eastAsia="zh-CN" w:bidi="ar-SA"/>
        </w:rPr>
        <w:t>10.询问、质疑、投诉</w:t>
      </w:r>
    </w:p>
    <w:p>
      <w:pPr>
        <w:snapToGrid w:val="0"/>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10.1</w:t>
      </w:r>
      <w:r>
        <w:rPr>
          <w:rFonts w:hint="eastAsia" w:ascii="宋体" w:hAnsi="宋体" w:eastAsia="宋体" w:cs="宋体"/>
          <w:b/>
          <w:bCs/>
          <w:color w:val="auto"/>
          <w:sz w:val="28"/>
          <w:szCs w:val="28"/>
        </w:rPr>
        <w:t>、询问</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10.1.1</w:t>
      </w:r>
      <w:r>
        <w:rPr>
          <w:rFonts w:hint="eastAsia" w:ascii="宋体" w:hAnsi="宋体" w:eastAsia="宋体" w:cs="宋体"/>
          <w:color w:val="auto"/>
          <w:sz w:val="28"/>
          <w:szCs w:val="28"/>
        </w:rPr>
        <w:t>供应商对采购活动事项有疑问的，可以向采购人或采购代理机构提出询问，采购人或采购代理机构应当在三个工作日内对供应商依法提出的询问作出答复，但答复的内容不得涉及商业秘密。</w:t>
      </w:r>
    </w:p>
    <w:p>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10.2</w:t>
      </w:r>
      <w:r>
        <w:rPr>
          <w:rFonts w:hint="eastAsia" w:ascii="宋体" w:hAnsi="宋体" w:eastAsia="宋体" w:cs="宋体"/>
          <w:b/>
          <w:color w:val="auto"/>
          <w:sz w:val="28"/>
          <w:szCs w:val="28"/>
        </w:rPr>
        <w:t>质疑</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10.2.1</w:t>
      </w:r>
      <w:r>
        <w:rPr>
          <w:rFonts w:hint="eastAsia" w:ascii="宋体" w:hAnsi="宋体" w:eastAsia="宋体" w:cs="宋体"/>
          <w:color w:val="auto"/>
          <w:sz w:val="28"/>
          <w:szCs w:val="28"/>
        </w:rPr>
        <w:t xml:space="preserve"> 供应商认为采购文件、采购过程和中标、成交结果使自己的合法权益受到损害的，可以在知道或者应知其权益受到损害之日起七个工作日内，将质疑</w:t>
      </w:r>
      <w:r>
        <w:rPr>
          <w:rFonts w:hint="eastAsia" w:ascii="宋体" w:hAnsi="宋体" w:eastAsia="宋体" w:cs="宋体"/>
          <w:color w:val="auto"/>
          <w:sz w:val="28"/>
          <w:szCs w:val="28"/>
          <w:lang w:val="en-US" w:eastAsia="zh-CN"/>
        </w:rPr>
        <w:t>书面</w:t>
      </w:r>
      <w:r>
        <w:rPr>
          <w:rFonts w:hint="eastAsia" w:ascii="宋体" w:hAnsi="宋体" w:eastAsia="宋体" w:cs="宋体"/>
          <w:color w:val="auto"/>
          <w:sz w:val="28"/>
          <w:szCs w:val="28"/>
        </w:rPr>
        <w:t>文件原件和必要的证明材料送达</w:t>
      </w:r>
      <w:r>
        <w:rPr>
          <w:rFonts w:hint="eastAsia" w:ascii="宋体" w:hAnsi="宋体" w:eastAsia="宋体" w:cs="宋体"/>
          <w:color w:val="auto"/>
          <w:sz w:val="28"/>
          <w:szCs w:val="28"/>
          <w:lang w:val="en-US" w:eastAsia="zh-CN"/>
        </w:rPr>
        <w:t>采购人或</w:t>
      </w:r>
      <w:r>
        <w:rPr>
          <w:rFonts w:hint="eastAsia" w:ascii="宋体" w:hAnsi="宋体" w:eastAsia="宋体" w:cs="宋体"/>
          <w:color w:val="auto"/>
          <w:sz w:val="28"/>
          <w:szCs w:val="28"/>
        </w:rPr>
        <w:t>采购代理机构。</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10.2.2</w:t>
      </w:r>
      <w:r>
        <w:rPr>
          <w:rFonts w:hint="eastAsia" w:ascii="宋体" w:hAnsi="宋体" w:eastAsia="宋体" w:cs="宋体"/>
          <w:color w:val="auto"/>
          <w:sz w:val="28"/>
          <w:szCs w:val="28"/>
        </w:rPr>
        <w:t xml:space="preserve">上述应知其权益受到损害之日是指：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（1）对采购文件提出质疑的，为采购文件公告期限届满之日起计算；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（2）对采购过程提出质疑的，自采购程序环节结束之日起计算；</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（3）对中标或者成交结果提出质疑的，自中标或者成交结果公告期限届满之日起计算。</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10.2.</w:t>
      </w:r>
      <w:r>
        <w:rPr>
          <w:rFonts w:hint="eastAsia" w:ascii="宋体" w:hAnsi="宋体" w:eastAsia="宋体" w:cs="宋体"/>
          <w:color w:val="auto"/>
          <w:sz w:val="28"/>
          <w:szCs w:val="28"/>
        </w:rPr>
        <w:t>3质疑供应商在法定质疑期内应当一次性提出针对同一采购环节提出质疑。</w:t>
      </w:r>
    </w:p>
    <w:p>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10.2.4</w:t>
      </w:r>
      <w:r>
        <w:rPr>
          <w:rFonts w:hint="eastAsia" w:ascii="宋体" w:hAnsi="宋体" w:eastAsia="宋体" w:cs="宋体"/>
          <w:b/>
          <w:color w:val="auto"/>
          <w:sz w:val="28"/>
          <w:szCs w:val="28"/>
        </w:rPr>
        <w:t>质疑文件应包括以下主要内容，并按照“谁主张、谁举证”的原则，附上相关证明材料。否则，</w:t>
      </w:r>
      <w:r>
        <w:rPr>
          <w:rFonts w:hint="eastAsia" w:ascii="宋体" w:hAnsi="宋体" w:eastAsia="宋体" w:cs="宋体"/>
          <w:b/>
          <w:color w:val="auto"/>
          <w:sz w:val="28"/>
          <w:szCs w:val="28"/>
          <w:lang w:val="en-US" w:eastAsia="zh-CN"/>
        </w:rPr>
        <w:t>采购人或</w:t>
      </w:r>
      <w:r>
        <w:rPr>
          <w:rFonts w:hint="eastAsia" w:ascii="宋体" w:hAnsi="宋体" w:eastAsia="宋体" w:cs="宋体"/>
          <w:b/>
          <w:color w:val="auto"/>
          <w:sz w:val="28"/>
          <w:szCs w:val="28"/>
        </w:rPr>
        <w:t>采购代理机构不予受理</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（1）供应商的姓名或者名称、地址、邮编、联系人及联系电话；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（2）质疑项目的名称、项目编号；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（3）具体、明确的质疑事项和与质疑事项相关的请求；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（4）事实依据（具体条款，认为自己合法权益受到损害或可能受到损害的相关证据材料）；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（5）必要的法律依据； </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（6）提</w:t>
      </w:r>
      <w:r>
        <w:rPr>
          <w:rFonts w:hint="eastAsia" w:ascii="宋体" w:hAnsi="宋体" w:eastAsia="宋体" w:cs="宋体"/>
          <w:color w:val="auto"/>
          <w:sz w:val="28"/>
          <w:szCs w:val="28"/>
          <w:lang w:val="en-US" w:eastAsia="zh-CN"/>
        </w:rPr>
        <w:t>出</w:t>
      </w:r>
      <w:r>
        <w:rPr>
          <w:rFonts w:hint="eastAsia" w:ascii="宋体" w:hAnsi="宋体" w:eastAsia="宋体" w:cs="宋体"/>
          <w:color w:val="auto"/>
          <w:sz w:val="28"/>
          <w:szCs w:val="28"/>
        </w:rPr>
        <w:t>质疑的日期；</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（7）质疑文件应当署名，</w:t>
      </w:r>
      <w:r>
        <w:rPr>
          <w:rFonts w:hint="eastAsia" w:ascii="宋体" w:hAnsi="宋体" w:eastAsia="宋体" w:cs="宋体"/>
          <w:bCs/>
          <w:color w:val="auto"/>
          <w:sz w:val="28"/>
          <w:szCs w:val="28"/>
        </w:rPr>
        <w:t>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w:t>
      </w:r>
      <w:r>
        <w:rPr>
          <w:rFonts w:hint="eastAsia" w:ascii="宋体" w:hAnsi="宋体" w:eastAsia="宋体" w:cs="宋体"/>
          <w:bCs/>
          <w:color w:val="auto"/>
          <w:sz w:val="28"/>
          <w:szCs w:val="28"/>
        </w:rPr>
        <w:t>质疑人可以委托代理人办理质疑事项，代理人办理质疑事项时，除提交质疑书外，还应当提交质疑人的授权委托书及代理人的有效身份证明，授权委托书应当载明委托代理的具体权限和事项</w:t>
      </w:r>
      <w:r>
        <w:rPr>
          <w:rFonts w:hint="eastAsia" w:ascii="宋体" w:hAnsi="宋体" w:eastAsia="宋体" w:cs="宋体"/>
          <w:color w:val="auto"/>
          <w:sz w:val="28"/>
          <w:szCs w:val="28"/>
        </w:rPr>
        <w:t>。</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10.2.</w:t>
      </w:r>
      <w:r>
        <w:rPr>
          <w:rFonts w:hint="eastAsia" w:ascii="宋体" w:hAnsi="宋体" w:eastAsia="宋体" w:cs="宋体"/>
          <w:color w:val="auto"/>
          <w:sz w:val="28"/>
          <w:szCs w:val="28"/>
        </w:rPr>
        <w:t>5质疑供应商是指直接参加本项目采购活动的供应商，未参加政府采购活动的供应商或在采购活动中自身权益未受到损害的供应商所提出的质疑不予受理。</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10.2.</w:t>
      </w:r>
      <w:r>
        <w:rPr>
          <w:rFonts w:hint="eastAsia" w:ascii="宋体" w:hAnsi="宋体" w:eastAsia="宋体" w:cs="宋体"/>
          <w:color w:val="auto"/>
          <w:sz w:val="28"/>
          <w:szCs w:val="28"/>
        </w:rPr>
        <w:t>6采购人、采购代理机构在收到供应商的书面质疑后将及时组织调查核实，在七个工作日内作出答复，并以书面形式通知质疑供应商和其他有关供应商，答复的内容不涉及商业秘密。</w:t>
      </w:r>
    </w:p>
    <w:p>
      <w:pPr>
        <w:spacing w:line="360" w:lineRule="auto"/>
        <w:ind w:firstLine="562" w:firstLineChars="200"/>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10.3</w:t>
      </w:r>
      <w:r>
        <w:rPr>
          <w:rFonts w:hint="eastAsia" w:ascii="宋体" w:hAnsi="宋体" w:eastAsia="宋体" w:cs="宋体"/>
          <w:b/>
          <w:bCs w:val="0"/>
          <w:color w:val="auto"/>
          <w:sz w:val="28"/>
          <w:szCs w:val="28"/>
        </w:rPr>
        <w:t>投诉</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10.3.1质疑人如对被质疑人的质疑回复不满意或在规定时间内未做出回复的，可在答复期满后15个工作日内向本项目管辖内的政府采购监督部门提起投诉。供应商投诉应当有明确的请求和必要的证明材料。</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10.3.2投诉人提起投诉应符合以下条件：</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(1)投诉人应是参与项目的供应商；</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(2)投诉前已依法进行质疑；</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(3)投诉书内容符合中华人民共和国财政部20号令《政府采购供应商投诉处理办法》的规定；</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(4)在投诉有效期内；</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(5)同一投诉事项未经处理的；</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(6)相关法律、法规和省级以上人民政府财政部门规定的其他条件。</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10.3.3供应商投诉时，应当当面提交投诉书，投诉书应当包括下列主要内容：</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(1)投诉人和被投诉人的姓名或者名称、通讯地址、邮编、联系人及联系电话；</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(2)质疑和质疑答复情况说明及相关证明材料；</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(3)具体、明确的投诉事项和与投诉事项相关的投诉请求；</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(4)事实依据；</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lang w:val="en-US" w:eastAsia="zh-CN"/>
        </w:rPr>
        <w:t>(5)法律依据；</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(5)提起投诉的日期。</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投诉人为自然人的，应当由本人签字。投诉人为法人或其他组织的，应当由其法定代表人、主要负责人，或者其授权代表签字或者盖章，并加盖单位公章。</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10.3.4投诉人可以授权代理人办理投诉事务。代理人办理投诉事务时，除提交投诉书外，还应当向监督部门提交投诉人的授权委托书，授权委托书应当载明委托代理的具体权限和事项。</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10.3.5投诉人不符合上述规定提起的投诉，政府采购监督部门不予受理。</w:t>
      </w:r>
    </w:p>
    <w:p>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10.4</w:t>
      </w:r>
      <w:r>
        <w:rPr>
          <w:rFonts w:hint="eastAsia" w:ascii="宋体" w:hAnsi="宋体" w:eastAsia="宋体" w:cs="宋体"/>
          <w:b/>
          <w:color w:val="auto"/>
          <w:sz w:val="28"/>
          <w:szCs w:val="28"/>
        </w:rPr>
        <w:t>诚实信用</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10.4.1</w:t>
      </w:r>
      <w:r>
        <w:rPr>
          <w:rFonts w:hint="eastAsia" w:ascii="宋体" w:hAnsi="宋体" w:eastAsia="宋体" w:cs="宋体"/>
          <w:color w:val="auto"/>
          <w:sz w:val="28"/>
          <w:szCs w:val="28"/>
        </w:rPr>
        <w:t>供应商不得虚假质疑和恶意质疑，并对质疑内容的真实性承担责任。</w:t>
      </w:r>
    </w:p>
    <w:p>
      <w:pPr>
        <w:pStyle w:val="36"/>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宋体" w:hAnsi="宋体" w:eastAsia="宋体" w:cs="宋体"/>
          <w:color w:val="auto"/>
          <w:sz w:val="24"/>
        </w:rPr>
      </w:pPr>
      <w:r>
        <w:rPr>
          <w:rFonts w:hint="eastAsia" w:ascii="宋体" w:hAnsi="宋体" w:eastAsia="宋体" w:cs="宋体"/>
          <w:color w:val="auto"/>
          <w:sz w:val="28"/>
          <w:szCs w:val="28"/>
          <w:lang w:val="en-US" w:eastAsia="zh-CN"/>
        </w:rPr>
        <w:t>10.4.2</w:t>
      </w:r>
      <w:r>
        <w:rPr>
          <w:rFonts w:hint="eastAsia" w:ascii="宋体" w:hAnsi="宋体" w:eastAsia="宋体" w:cs="宋体"/>
          <w:color w:val="auto"/>
          <w:sz w:val="28"/>
          <w:szCs w:val="28"/>
        </w:rPr>
        <w:t>供应商不得虚假承诺，否则，按照提供虚假材料谋取中标或成交处理</w:t>
      </w:r>
      <w:r>
        <w:rPr>
          <w:rFonts w:hint="eastAsia" w:ascii="宋体" w:hAnsi="宋体" w:eastAsia="宋体" w:cs="宋体"/>
          <w:color w:val="auto"/>
          <w:sz w:val="24"/>
        </w:rPr>
        <w:t>。</w:t>
      </w: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项目验收</w:t>
      </w:r>
      <w:bookmarkEnd w:id="272"/>
      <w:bookmarkEnd w:id="273"/>
    </w:p>
    <w:p>
      <w:pPr>
        <w:pStyle w:val="36"/>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rPr>
        <w:t>.1采购单位按照合同规定的技术、服务、安全标准对供应商履约情况进行验收，并出具验收书。验收书包括每一项技术、服务、安全标准的履约情况。</w:t>
      </w:r>
    </w:p>
    <w:p>
      <w:pPr>
        <w:pStyle w:val="36"/>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rPr>
        <w:t>.2验收标准:</w:t>
      </w:r>
      <w:r>
        <w:rPr>
          <w:rFonts w:hint="eastAsia" w:ascii="宋体" w:hAnsi="宋体" w:eastAsia="宋体" w:cs="宋体"/>
          <w:b w:val="0"/>
          <w:bCs w:val="0"/>
          <w:color w:val="auto"/>
          <w:sz w:val="28"/>
          <w:szCs w:val="28"/>
          <w:highlight w:val="none"/>
          <w:lang w:val="en-US" w:eastAsia="zh-CN"/>
        </w:rPr>
        <w:t>招标</w:t>
      </w:r>
      <w:r>
        <w:rPr>
          <w:rFonts w:hint="eastAsia" w:ascii="宋体" w:hAnsi="宋体" w:eastAsia="宋体" w:cs="宋体"/>
          <w:b w:val="0"/>
          <w:bCs w:val="0"/>
          <w:color w:val="auto"/>
          <w:sz w:val="28"/>
          <w:szCs w:val="28"/>
          <w:highlight w:val="none"/>
        </w:rPr>
        <w:t>文件、响应文件、合同规定的标准。</w:t>
      </w: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p>
    <w:p>
      <w:pPr>
        <w:pStyle w:val="36"/>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需要补充的其他内容</w:t>
      </w:r>
      <w:bookmarkEnd w:id="274"/>
      <w:bookmarkEnd w:id="275"/>
      <w:bookmarkEnd w:id="276"/>
      <w:bookmarkEnd w:id="277"/>
      <w:bookmarkEnd w:id="278"/>
    </w:p>
    <w:p>
      <w:pPr>
        <w:pStyle w:val="6"/>
        <w:keepNext/>
        <w:keepLines/>
        <w:pageBreakBefore w:val="0"/>
        <w:widowControl w:val="0"/>
        <w:kinsoku/>
        <w:wordWrap/>
        <w:overflowPunct/>
        <w:topLinePunct w:val="0"/>
        <w:autoSpaceDE/>
        <w:autoSpaceDN/>
        <w:bidi w:val="0"/>
        <w:adjustRightInd/>
        <w:snapToGrid/>
        <w:spacing w:before="0" w:after="0" w:line="360" w:lineRule="exact"/>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需要补充的其他内容：见投标人须知前附表。</w:t>
      </w:r>
    </w:p>
    <w:p>
      <w:pPr>
        <w:rPr>
          <w:rFonts w:hint="eastAsia" w:ascii="宋体" w:hAnsi="宋体" w:eastAsia="宋体" w:cs="宋体"/>
          <w:b w:val="0"/>
          <w:bCs w:val="0"/>
          <w:color w:val="auto"/>
          <w:sz w:val="28"/>
          <w:szCs w:val="28"/>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6"/>
        <w:keepNext/>
        <w:keepLines/>
        <w:pageBreakBefore w:val="0"/>
        <w:widowControl w:val="0"/>
        <w:kinsoku/>
        <w:wordWrap/>
        <w:overflowPunct/>
        <w:topLinePunct w:val="0"/>
        <w:autoSpaceDE/>
        <w:autoSpaceDN/>
        <w:bidi w:val="0"/>
        <w:adjustRightInd/>
        <w:snapToGrid/>
        <w:spacing w:before="0" w:after="0" w:line="360" w:lineRule="exact"/>
        <w:ind w:firstLine="643" w:firstLineChars="20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第三章  评标办法</w:t>
      </w:r>
      <w:bookmarkEnd w:id="24"/>
      <w:bookmarkEnd w:id="25"/>
      <w:bookmarkEnd w:id="26"/>
      <w:bookmarkEnd w:id="27"/>
      <w:bookmarkEnd w:id="28"/>
      <w:bookmarkEnd w:id="29"/>
    </w:p>
    <w:p>
      <w:pPr>
        <w:spacing w:line="360" w:lineRule="exact"/>
        <w:ind w:firstLine="560" w:firstLineChars="200"/>
        <w:rPr>
          <w:rFonts w:hint="eastAsia" w:ascii="宋体" w:hAnsi="宋体" w:eastAsia="宋体" w:cs="宋体"/>
          <w:color w:val="auto"/>
          <w:sz w:val="28"/>
          <w:szCs w:val="28"/>
          <w:highlight w:val="none"/>
        </w:rPr>
      </w:pPr>
      <w:bookmarkStart w:id="279" w:name="_Toc6365"/>
      <w:bookmarkStart w:id="280" w:name="_Toc152045609"/>
      <w:bookmarkStart w:id="281" w:name="_Toc144974577"/>
      <w:bookmarkStart w:id="282" w:name="_Toc3062"/>
      <w:bookmarkStart w:id="283" w:name="_Toc152042387"/>
      <w:r>
        <w:rPr>
          <w:rFonts w:hint="eastAsia" w:ascii="宋体" w:hAnsi="宋体" w:eastAsia="宋体" w:cs="宋体"/>
          <w:color w:val="auto"/>
          <w:sz w:val="28"/>
          <w:szCs w:val="28"/>
          <w:highlight w:val="none"/>
        </w:rPr>
        <w:t>1、评标办法：综合评</w:t>
      </w:r>
      <w:r>
        <w:rPr>
          <w:rFonts w:hint="eastAsia" w:ascii="宋体" w:hAnsi="宋体" w:eastAsia="宋体" w:cs="宋体"/>
          <w:color w:val="auto"/>
          <w:sz w:val="28"/>
          <w:szCs w:val="28"/>
          <w:highlight w:val="none"/>
          <w:lang w:eastAsia="zh-CN"/>
        </w:rPr>
        <w:t>分</w:t>
      </w:r>
      <w:r>
        <w:rPr>
          <w:rFonts w:hint="eastAsia" w:ascii="宋体" w:hAnsi="宋体" w:eastAsia="宋体" w:cs="宋体"/>
          <w:color w:val="auto"/>
          <w:sz w:val="28"/>
          <w:szCs w:val="28"/>
          <w:highlight w:val="none"/>
        </w:rPr>
        <w:t>法</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2、评标的原则</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2.1评标工作遵循的原则：公平、公正、科学、择优、禁止不正当竞争。</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2.2投标文件应是符合招标文件所有实质性要求且投标报价合理，且不低于成本价。投标质量符合国家各项验收规范标准。投标</w:t>
      </w:r>
      <w:r>
        <w:rPr>
          <w:rFonts w:hint="eastAsia" w:ascii="宋体" w:hAnsi="宋体" w:cs="宋体"/>
          <w:color w:val="auto"/>
          <w:sz w:val="28"/>
          <w:szCs w:val="28"/>
          <w:highlight w:val="none"/>
          <w:lang w:eastAsia="zh-CN"/>
        </w:rPr>
        <w:t>供货期限</w:t>
      </w:r>
      <w:r>
        <w:rPr>
          <w:rFonts w:hint="eastAsia" w:ascii="宋体" w:hAnsi="宋体" w:eastAsia="宋体" w:cs="宋体"/>
          <w:color w:val="auto"/>
          <w:sz w:val="28"/>
          <w:szCs w:val="28"/>
          <w:highlight w:val="none"/>
        </w:rPr>
        <w:t>低于或等于招标文件要求。</w:t>
      </w:r>
      <w:r>
        <w:rPr>
          <w:rFonts w:hint="eastAsia" w:ascii="宋体" w:hAnsi="宋体" w:eastAsia="宋体" w:cs="宋体"/>
          <w:color w:val="auto"/>
          <w:sz w:val="28"/>
          <w:szCs w:val="28"/>
          <w:highlight w:val="none"/>
          <w:lang w:eastAsia="zh-CN"/>
        </w:rPr>
        <w:t>安装</w:t>
      </w:r>
      <w:r>
        <w:rPr>
          <w:rFonts w:hint="eastAsia" w:ascii="宋体" w:hAnsi="宋体" w:eastAsia="宋体" w:cs="宋体"/>
          <w:color w:val="auto"/>
          <w:sz w:val="28"/>
          <w:szCs w:val="28"/>
          <w:highlight w:val="none"/>
        </w:rPr>
        <w:t>方案合理可行。招标人不保证最低报价中标。</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2.3评委会依据招标文件规定的评标办法对投标文件进行评审。不得采用招标文件没有规定的评标办法，也不得在评标时对招标文件规定的评标办法进行修改。评委会对所采取的评标办法无义务对投标人解释。</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评标委员会：</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本次评标由招标人依法组成的评标委员会进行评标，评标委员会由</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名专家</w:t>
      </w:r>
      <w:r>
        <w:rPr>
          <w:rFonts w:hint="eastAsia" w:ascii="宋体" w:hAnsi="宋体" w:eastAsia="宋体" w:cs="宋体"/>
          <w:color w:val="auto"/>
          <w:sz w:val="28"/>
          <w:szCs w:val="28"/>
          <w:highlight w:val="none"/>
        </w:rPr>
        <w:t>组成，负责本次招标的评审工作。</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4、评标的程序                                                                                                                                                                                            </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4.1评标委员会首先对投标文件进行初步评审（即</w:t>
      </w:r>
      <w:r>
        <w:rPr>
          <w:rFonts w:hint="eastAsia" w:ascii="宋体" w:hAnsi="宋体" w:eastAsia="宋体" w:cs="宋体"/>
          <w:color w:val="auto"/>
          <w:sz w:val="28"/>
          <w:szCs w:val="28"/>
          <w:highlight w:val="none"/>
          <w:lang w:val="en-US" w:eastAsia="zh-CN"/>
        </w:rPr>
        <w:t>资格审查、符合性审查</w:t>
      </w:r>
      <w:r>
        <w:rPr>
          <w:rFonts w:hint="eastAsia" w:ascii="宋体" w:hAnsi="宋体" w:eastAsia="宋体" w:cs="宋体"/>
          <w:color w:val="auto"/>
          <w:sz w:val="28"/>
          <w:szCs w:val="28"/>
          <w:highlight w:val="none"/>
        </w:rPr>
        <w:t>评审），初步评审合格的投标人才能进入详细评审阶段。</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4.2初步评审（即</w:t>
      </w:r>
      <w:r>
        <w:rPr>
          <w:rFonts w:hint="eastAsia" w:ascii="宋体" w:hAnsi="宋体" w:eastAsia="宋体" w:cs="宋体"/>
          <w:color w:val="auto"/>
          <w:sz w:val="28"/>
          <w:szCs w:val="28"/>
          <w:highlight w:val="none"/>
          <w:lang w:val="en-US" w:eastAsia="zh-CN"/>
        </w:rPr>
        <w:t>资格审查、符合性审查</w:t>
      </w:r>
      <w:r>
        <w:rPr>
          <w:rFonts w:hint="eastAsia" w:ascii="宋体" w:hAnsi="宋体" w:eastAsia="宋体" w:cs="宋体"/>
          <w:color w:val="auto"/>
          <w:sz w:val="28"/>
          <w:szCs w:val="28"/>
          <w:highlight w:val="none"/>
        </w:rPr>
        <w:t>评审）</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4.2.1</w:t>
      </w:r>
      <w:r>
        <w:rPr>
          <w:rFonts w:hint="eastAsia" w:ascii="宋体" w:hAnsi="宋体" w:eastAsia="宋体" w:cs="宋体"/>
          <w:color w:val="auto"/>
          <w:sz w:val="28"/>
          <w:szCs w:val="28"/>
          <w:highlight w:val="none"/>
        </w:rPr>
        <w:t>凡被评标委员会界定为</w:t>
      </w:r>
      <w:r>
        <w:rPr>
          <w:rFonts w:hint="eastAsia" w:ascii="宋体" w:hAnsi="宋体" w:eastAsia="宋体" w:cs="宋体"/>
          <w:color w:val="auto"/>
          <w:sz w:val="28"/>
          <w:szCs w:val="28"/>
          <w:highlight w:val="none"/>
          <w:lang w:val="en-US" w:eastAsia="zh-CN"/>
        </w:rPr>
        <w:t>资格审查、符合性审查不通过</w:t>
      </w:r>
      <w:r>
        <w:rPr>
          <w:rFonts w:hint="eastAsia" w:ascii="宋体" w:hAnsi="宋体" w:eastAsia="宋体" w:cs="宋体"/>
          <w:color w:val="auto"/>
          <w:sz w:val="28"/>
          <w:szCs w:val="28"/>
          <w:highlight w:val="none"/>
        </w:rPr>
        <w:t>的投标文件，将作废标处理。并且不允许投标人通过修改或撤消其不符合要求的差异或保留，使之成为具有响应性的投标。</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4.2.2投标文件出现下列情况属于细微偏差：</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投标文件在实质上响应招标文件要求，但：</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（1）个别地方存在漏项；</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（2）提供的技术信息和数据不完整；</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且补正投标文件的遗漏或者不完整不会对其他投标人造成不公平的结果。</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在评标过程中,评标委员会可以书面形式要求存在细微偏差的投标人在评标结束前予以补正。拒不补正的，在详细评审时可以按照招标文件规定的标准和方式，对细微偏差做不利于该投标人的量化。</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4.3详细评审</w:t>
      </w:r>
    </w:p>
    <w:p>
      <w:pPr>
        <w:spacing w:line="3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评标委员会将对下述评审因素进行量化，并根据评委会每个成员对投标文件的评审和理解进行打分，满分为100分。报价权重占</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%，满分为</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商务</w:t>
      </w:r>
      <w:r>
        <w:rPr>
          <w:rFonts w:hint="eastAsia" w:ascii="宋体" w:hAnsi="宋体" w:eastAsia="宋体" w:cs="宋体"/>
          <w:color w:val="auto"/>
          <w:sz w:val="28"/>
          <w:szCs w:val="28"/>
          <w:highlight w:val="none"/>
        </w:rPr>
        <w:t>权重占</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满分为</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技术部分权重占</w:t>
      </w:r>
      <w:r>
        <w:rPr>
          <w:rFonts w:hint="eastAsia" w:ascii="宋体" w:hAnsi="宋体" w:eastAsia="宋体" w:cs="宋体"/>
          <w:color w:val="auto"/>
          <w:sz w:val="28"/>
          <w:szCs w:val="28"/>
          <w:highlight w:val="none"/>
          <w:lang w:val="en-US" w:eastAsia="zh-CN"/>
        </w:rPr>
        <w:t>50</w:t>
      </w:r>
      <w:r>
        <w:rPr>
          <w:rFonts w:hint="eastAsia" w:ascii="宋体" w:hAnsi="宋体" w:eastAsia="宋体" w:cs="宋体"/>
          <w:color w:val="auto"/>
          <w:sz w:val="28"/>
          <w:szCs w:val="28"/>
          <w:highlight w:val="none"/>
        </w:rPr>
        <w:t>%，满分为</w:t>
      </w:r>
      <w:r>
        <w:rPr>
          <w:rFonts w:hint="eastAsia" w:ascii="宋体" w:hAnsi="宋体" w:eastAsia="宋体" w:cs="宋体"/>
          <w:color w:val="auto"/>
          <w:sz w:val="28"/>
          <w:szCs w:val="28"/>
          <w:highlight w:val="none"/>
          <w:lang w:val="en-US" w:eastAsia="zh-CN"/>
        </w:rPr>
        <w:t>50</w:t>
      </w:r>
      <w:r>
        <w:rPr>
          <w:rFonts w:hint="eastAsia" w:ascii="宋体" w:hAnsi="宋体" w:eastAsia="宋体" w:cs="宋体"/>
          <w:color w:val="auto"/>
          <w:sz w:val="28"/>
          <w:szCs w:val="28"/>
          <w:highlight w:val="none"/>
        </w:rPr>
        <w:t>分。投标人</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部分的分值相加，即为该投标人的综合评估分。具体</w:t>
      </w:r>
      <w:r>
        <w:rPr>
          <w:rFonts w:hint="eastAsia" w:ascii="宋体" w:hAnsi="宋体" w:eastAsia="宋体" w:cs="宋体"/>
          <w:color w:val="auto"/>
          <w:sz w:val="28"/>
          <w:szCs w:val="28"/>
          <w:highlight w:val="none"/>
          <w:lang w:val="en-US" w:eastAsia="zh-CN"/>
        </w:rPr>
        <w:t>评审细则见下</w:t>
      </w:r>
      <w:r>
        <w:rPr>
          <w:rFonts w:hint="eastAsia" w:ascii="宋体" w:hAnsi="宋体" w:eastAsia="宋体" w:cs="宋体"/>
          <w:color w:val="auto"/>
          <w:sz w:val="28"/>
          <w:szCs w:val="28"/>
          <w:highlight w:val="none"/>
        </w:rPr>
        <w:t>表：</w:t>
      </w:r>
    </w:p>
    <w:p>
      <w:pPr>
        <w:pStyle w:val="12"/>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8"/>
          <w:szCs w:val="28"/>
          <w:highlight w:val="none"/>
          <w:lang w:val="en-US" w:eastAsia="zh-CN"/>
        </w:rPr>
        <w:t>4.3.1</w:t>
      </w:r>
      <w:r>
        <w:rPr>
          <w:rFonts w:hint="eastAsia" w:ascii="宋体" w:hAnsi="宋体" w:eastAsia="宋体" w:cs="宋体"/>
          <w:b/>
          <w:bCs/>
          <w:color w:val="auto"/>
          <w:sz w:val="28"/>
          <w:szCs w:val="28"/>
          <w:highlight w:val="none"/>
        </w:rPr>
        <w:t>初步评审表</w:t>
      </w:r>
    </w:p>
    <w:tbl>
      <w:tblPr>
        <w:tblStyle w:val="29"/>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
        <w:gridCol w:w="1279"/>
        <w:gridCol w:w="1866"/>
        <w:gridCol w:w="4035"/>
        <w:gridCol w:w="66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 w:hRule="atLeast"/>
          <w:jc w:val="center"/>
        </w:trPr>
        <w:tc>
          <w:tcPr>
            <w:tcW w:w="1750" w:type="dxa"/>
            <w:gridSpan w:val="2"/>
            <w:vMerge w:val="restart"/>
            <w:noWrap w:val="0"/>
            <w:vAlign w:val="center"/>
          </w:tcPr>
          <w:p>
            <w:pPr>
              <w:jc w:val="center"/>
              <w:rPr>
                <w:rFonts w:hint="eastAsia" w:ascii="宋体" w:hAnsi="宋体" w:eastAsia="宋体" w:cs="宋体"/>
                <w:b/>
                <w:color w:val="auto"/>
                <w:sz w:val="24"/>
                <w:szCs w:val="24"/>
                <w:highlight w:val="none"/>
              </w:rPr>
            </w:pPr>
            <w:bookmarkStart w:id="284" w:name="EBf97f626d7f2349dc98726a51f37130cf"/>
            <w:r>
              <w:rPr>
                <w:rFonts w:hint="eastAsia" w:ascii="宋体" w:hAnsi="宋体" w:eastAsia="宋体" w:cs="宋体"/>
                <w:b/>
                <w:color w:val="auto"/>
                <w:sz w:val="24"/>
                <w:szCs w:val="24"/>
                <w:highlight w:val="none"/>
              </w:rPr>
              <w:t>评分因素</w:t>
            </w:r>
          </w:p>
        </w:tc>
        <w:tc>
          <w:tcPr>
            <w:tcW w:w="1866" w:type="dxa"/>
            <w:vMerge w:val="restart"/>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评分点</w:t>
            </w:r>
          </w:p>
        </w:tc>
        <w:tc>
          <w:tcPr>
            <w:tcW w:w="4035" w:type="dxa"/>
            <w:vMerge w:val="restart"/>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464" w:type="dxa"/>
            <w:gridSpan w:val="2"/>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atLeast"/>
          <w:jc w:val="center"/>
        </w:trPr>
        <w:tc>
          <w:tcPr>
            <w:tcW w:w="1750" w:type="dxa"/>
            <w:gridSpan w:val="2"/>
            <w:vMerge w:val="continue"/>
            <w:noWrap w:val="0"/>
            <w:vAlign w:val="center"/>
          </w:tcPr>
          <w:p>
            <w:pPr>
              <w:jc w:val="center"/>
              <w:rPr>
                <w:rFonts w:hint="eastAsia" w:ascii="宋体" w:hAnsi="宋体" w:eastAsia="宋体" w:cs="宋体"/>
                <w:b/>
                <w:color w:val="auto"/>
                <w:sz w:val="24"/>
                <w:szCs w:val="24"/>
                <w:highlight w:val="none"/>
              </w:rPr>
            </w:pPr>
          </w:p>
        </w:tc>
        <w:tc>
          <w:tcPr>
            <w:tcW w:w="1866" w:type="dxa"/>
            <w:vMerge w:val="continue"/>
            <w:noWrap w:val="0"/>
            <w:vAlign w:val="center"/>
          </w:tcPr>
          <w:p>
            <w:pPr>
              <w:jc w:val="center"/>
              <w:rPr>
                <w:rFonts w:hint="eastAsia" w:ascii="宋体" w:hAnsi="宋体" w:eastAsia="宋体" w:cs="宋体"/>
                <w:b/>
                <w:color w:val="auto"/>
                <w:sz w:val="24"/>
                <w:szCs w:val="24"/>
                <w:highlight w:val="none"/>
              </w:rPr>
            </w:pPr>
          </w:p>
        </w:tc>
        <w:tc>
          <w:tcPr>
            <w:tcW w:w="4035" w:type="dxa"/>
            <w:vMerge w:val="continue"/>
            <w:noWrap w:val="0"/>
            <w:vAlign w:val="center"/>
          </w:tcPr>
          <w:p>
            <w:pPr>
              <w:jc w:val="center"/>
              <w:rPr>
                <w:rFonts w:hint="eastAsia" w:ascii="宋体" w:hAnsi="宋体" w:eastAsia="宋体" w:cs="宋体"/>
                <w:b/>
                <w:color w:val="auto"/>
                <w:sz w:val="24"/>
                <w:szCs w:val="24"/>
                <w:highlight w:val="none"/>
              </w:rPr>
            </w:pPr>
          </w:p>
        </w:tc>
        <w:tc>
          <w:tcPr>
            <w:tcW w:w="660"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w:t>
            </w:r>
            <w:r>
              <w:rPr>
                <w:rFonts w:hint="eastAsia" w:ascii="宋体" w:hAnsi="宋体" w:eastAsia="宋体" w:cs="宋体"/>
                <w:bCs/>
                <w:color w:val="auto"/>
                <w:sz w:val="24"/>
                <w:szCs w:val="24"/>
                <w:highlight w:val="none"/>
              </w:rPr>
              <w:t>（√）</w:t>
            </w:r>
          </w:p>
        </w:tc>
        <w:tc>
          <w:tcPr>
            <w:tcW w:w="804"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否</w:t>
            </w:r>
          </w:p>
          <w:p>
            <w:pPr>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4" w:hRule="atLeast"/>
          <w:jc w:val="center"/>
        </w:trPr>
        <w:tc>
          <w:tcPr>
            <w:tcW w:w="471" w:type="dxa"/>
            <w:vMerge w:val="restart"/>
            <w:noWrap w:val="0"/>
            <w:vAlign w:val="top"/>
          </w:tcPr>
          <w:p>
            <w:pPr>
              <w:spacing w:line="460" w:lineRule="exact"/>
              <w:jc w:val="both"/>
              <w:rPr>
                <w:rFonts w:hint="eastAsia" w:ascii="宋体" w:hAnsi="宋体" w:eastAsia="宋体" w:cs="宋体"/>
                <w:color w:val="auto"/>
                <w:sz w:val="24"/>
                <w:szCs w:val="24"/>
                <w:highlight w:val="none"/>
              </w:rPr>
            </w:pPr>
          </w:p>
          <w:p>
            <w:pPr>
              <w:spacing w:line="460" w:lineRule="exact"/>
              <w:jc w:val="both"/>
              <w:rPr>
                <w:rFonts w:hint="eastAsia" w:ascii="宋体" w:hAnsi="宋体" w:eastAsia="宋体" w:cs="宋体"/>
                <w:color w:val="auto"/>
                <w:sz w:val="24"/>
                <w:szCs w:val="24"/>
                <w:highlight w:val="none"/>
              </w:rPr>
            </w:pPr>
          </w:p>
          <w:p>
            <w:pPr>
              <w:spacing w:line="460" w:lineRule="exact"/>
              <w:jc w:val="both"/>
              <w:rPr>
                <w:rFonts w:hint="eastAsia" w:ascii="宋体" w:hAnsi="宋体" w:eastAsia="宋体" w:cs="宋体"/>
                <w:color w:val="auto"/>
                <w:sz w:val="24"/>
                <w:szCs w:val="24"/>
                <w:highlight w:val="none"/>
              </w:rPr>
            </w:pPr>
          </w:p>
          <w:p>
            <w:pPr>
              <w:spacing w:line="460" w:lineRule="exact"/>
              <w:jc w:val="both"/>
              <w:rPr>
                <w:rFonts w:hint="eastAsia" w:ascii="宋体" w:hAnsi="宋体" w:eastAsia="宋体" w:cs="宋体"/>
                <w:color w:val="auto"/>
                <w:sz w:val="24"/>
                <w:szCs w:val="24"/>
                <w:highlight w:val="none"/>
              </w:rPr>
            </w:pPr>
          </w:p>
          <w:p>
            <w:pPr>
              <w:spacing w:line="460" w:lineRule="exact"/>
              <w:jc w:val="both"/>
              <w:rPr>
                <w:rFonts w:hint="eastAsia" w:ascii="宋体" w:hAnsi="宋体" w:eastAsia="宋体" w:cs="宋体"/>
                <w:color w:val="auto"/>
                <w:sz w:val="24"/>
                <w:szCs w:val="24"/>
                <w:highlight w:val="none"/>
              </w:rPr>
            </w:pPr>
          </w:p>
          <w:p>
            <w:pPr>
              <w:spacing w:line="460" w:lineRule="exact"/>
              <w:jc w:val="both"/>
              <w:rPr>
                <w:rFonts w:hint="eastAsia" w:ascii="宋体" w:hAnsi="宋体" w:eastAsia="宋体" w:cs="宋体"/>
                <w:color w:val="auto"/>
                <w:sz w:val="24"/>
                <w:szCs w:val="24"/>
                <w:highlight w:val="none"/>
              </w:rPr>
            </w:pPr>
          </w:p>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w:t>
            </w:r>
          </w:p>
        </w:tc>
        <w:tc>
          <w:tcPr>
            <w:tcW w:w="1279" w:type="dxa"/>
            <w:vMerge w:val="restart"/>
            <w:noWrap w:val="0"/>
            <w:vAlign w:val="center"/>
          </w:tcPr>
          <w:p>
            <w:pPr>
              <w:spacing w:line="46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资格审查</w:t>
            </w: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是否具备有效的营业执照</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90"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continue"/>
            <w:noWrap w:val="0"/>
            <w:vAlign w:val="center"/>
          </w:tcPr>
          <w:p>
            <w:pPr>
              <w:spacing w:line="460" w:lineRule="exact"/>
              <w:jc w:val="both"/>
              <w:rPr>
                <w:rFonts w:hint="eastAsia" w:ascii="宋体" w:hAnsi="宋体" w:eastAsia="宋体" w:cs="宋体"/>
                <w:color w:val="auto"/>
                <w:sz w:val="24"/>
                <w:szCs w:val="24"/>
                <w:highlight w:val="none"/>
              </w:rPr>
            </w:pP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法定代表人授权委托书</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是否提供法定代表人身份证明书</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法定代表人授权委托书</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0"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continue"/>
            <w:noWrap w:val="0"/>
            <w:vAlign w:val="center"/>
          </w:tcPr>
          <w:p>
            <w:pPr>
              <w:spacing w:line="460" w:lineRule="exact"/>
              <w:jc w:val="both"/>
              <w:rPr>
                <w:rFonts w:hint="eastAsia" w:ascii="宋体" w:hAnsi="宋体" w:eastAsia="宋体" w:cs="宋体"/>
                <w:color w:val="auto"/>
                <w:sz w:val="24"/>
                <w:szCs w:val="24"/>
                <w:highlight w:val="none"/>
              </w:rPr>
            </w:pP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投标保证金交纳情况</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是否缴纳</w:t>
            </w:r>
            <w:r>
              <w:rPr>
                <w:rFonts w:hint="eastAsia" w:ascii="宋体" w:hAnsi="宋体" w:eastAsia="宋体" w:cs="宋体"/>
                <w:color w:val="auto"/>
                <w:sz w:val="24"/>
                <w:szCs w:val="24"/>
                <w:highlight w:val="none"/>
              </w:rPr>
              <w:t>投标保证金</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30"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continue"/>
            <w:noWrap w:val="0"/>
            <w:vAlign w:val="center"/>
          </w:tcPr>
          <w:p>
            <w:pPr>
              <w:spacing w:line="460" w:lineRule="exact"/>
              <w:jc w:val="both"/>
              <w:rPr>
                <w:rFonts w:hint="eastAsia" w:ascii="宋体" w:hAnsi="宋体" w:eastAsia="宋体" w:cs="宋体"/>
                <w:color w:val="auto"/>
                <w:sz w:val="24"/>
                <w:szCs w:val="24"/>
                <w:highlight w:val="none"/>
              </w:rPr>
            </w:pP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信誉情况</w:t>
            </w:r>
          </w:p>
        </w:tc>
        <w:tc>
          <w:tcPr>
            <w:tcW w:w="4035" w:type="dxa"/>
            <w:noWrap w:val="0"/>
            <w:vAlign w:val="center"/>
          </w:tcPr>
          <w:p>
            <w:pPr>
              <w:spacing w:line="4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“信用中国”网（www.creditchina.gov.cn）、中国政府采购网（www.ccgp.gov.cn）列入失信被执行人、</w:t>
            </w:r>
            <w:r>
              <w:rPr>
                <w:rFonts w:hint="eastAsia" w:ascii="宋体" w:hAnsi="宋体"/>
                <w:color w:val="auto"/>
                <w:sz w:val="24"/>
                <w:szCs w:val="24"/>
                <w:lang w:val="en-US" w:eastAsia="zh-CN"/>
              </w:rPr>
              <w:t>重大税收违法案件当事人名单、</w:t>
            </w:r>
            <w:r>
              <w:rPr>
                <w:rFonts w:hint="eastAsia" w:ascii="宋体" w:hAnsi="宋体" w:eastAsia="宋体" w:cs="宋体"/>
                <w:color w:val="auto"/>
                <w:sz w:val="24"/>
                <w:szCs w:val="24"/>
                <w:lang w:eastAsia="zh-CN"/>
              </w:rPr>
              <w:t>政府采购严重违法失信行为记录名单的（尚在处罚期内的），将拒绝其参加本次政府采购活动</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5"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continue"/>
            <w:noWrap w:val="0"/>
            <w:vAlign w:val="center"/>
          </w:tcPr>
          <w:p>
            <w:pPr>
              <w:spacing w:line="460" w:lineRule="exact"/>
              <w:jc w:val="both"/>
              <w:rPr>
                <w:rFonts w:hint="eastAsia" w:ascii="宋体" w:hAnsi="宋体" w:eastAsia="宋体" w:cs="宋体"/>
                <w:color w:val="auto"/>
                <w:sz w:val="24"/>
                <w:szCs w:val="24"/>
                <w:highlight w:val="none"/>
              </w:rPr>
            </w:pP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投标人需提供具备履行合同所必需设备和专业技术能力的声明函</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1"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continue"/>
            <w:noWrap w:val="0"/>
            <w:vAlign w:val="center"/>
          </w:tcPr>
          <w:p>
            <w:pPr>
              <w:spacing w:line="460" w:lineRule="exact"/>
              <w:jc w:val="both"/>
              <w:rPr>
                <w:rFonts w:hint="eastAsia" w:ascii="宋体" w:hAnsi="宋体" w:eastAsia="宋体" w:cs="宋体"/>
                <w:color w:val="auto"/>
                <w:sz w:val="24"/>
                <w:szCs w:val="24"/>
                <w:highlight w:val="none"/>
              </w:rPr>
            </w:pP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无重大违法记录声明函</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招投标</w:t>
            </w:r>
            <w:r>
              <w:rPr>
                <w:rFonts w:hint="eastAsia"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val="en-US" w:eastAsia="zh-CN"/>
              </w:rPr>
              <w:t>近</w:t>
            </w:r>
            <w:r>
              <w:rPr>
                <w:rFonts w:hint="eastAsia" w:ascii="宋体" w:hAnsi="宋体" w:eastAsia="宋体" w:cs="宋体"/>
                <w:color w:val="auto"/>
                <w:sz w:val="24"/>
                <w:szCs w:val="24"/>
                <w:highlight w:val="none"/>
              </w:rPr>
              <w:t>三年内，在经营活动中没有重大违法记录声明函</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7"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restart"/>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w:t>
            </w: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名称是否与营业执照一致</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5"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continue"/>
            <w:noWrap w:val="0"/>
            <w:vAlign w:val="center"/>
          </w:tcPr>
          <w:p>
            <w:pPr>
              <w:spacing w:line="460" w:lineRule="exact"/>
              <w:jc w:val="both"/>
              <w:rPr>
                <w:rFonts w:hint="eastAsia" w:ascii="宋体" w:hAnsi="宋体" w:eastAsia="宋体" w:cs="宋体"/>
                <w:color w:val="auto"/>
                <w:sz w:val="24"/>
                <w:szCs w:val="24"/>
                <w:highlight w:val="none"/>
              </w:rPr>
            </w:pP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响应文件密封、签署、盖章</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响应文件是否按照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规定要求密封、签署、盖章</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0"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continue"/>
            <w:noWrap w:val="0"/>
            <w:vAlign w:val="center"/>
          </w:tcPr>
          <w:p>
            <w:pPr>
              <w:spacing w:line="460" w:lineRule="exact"/>
              <w:jc w:val="both"/>
              <w:rPr>
                <w:rFonts w:hint="eastAsia" w:ascii="宋体" w:hAnsi="宋体" w:eastAsia="宋体" w:cs="宋体"/>
                <w:color w:val="auto"/>
                <w:sz w:val="24"/>
                <w:szCs w:val="24"/>
                <w:highlight w:val="none"/>
              </w:rPr>
            </w:pP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投标报价是否按照招标文件格式填写，投标报价是否唯一</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1"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continue"/>
            <w:noWrap w:val="0"/>
            <w:vAlign w:val="center"/>
          </w:tcPr>
          <w:p>
            <w:pPr>
              <w:spacing w:line="460" w:lineRule="exact"/>
              <w:jc w:val="both"/>
              <w:rPr>
                <w:rFonts w:hint="eastAsia" w:ascii="宋体" w:hAnsi="宋体" w:eastAsia="宋体" w:cs="宋体"/>
                <w:color w:val="auto"/>
                <w:sz w:val="24"/>
                <w:szCs w:val="24"/>
                <w:highlight w:val="none"/>
              </w:rPr>
            </w:pP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5" w:hRule="atLeast"/>
          <w:jc w:val="center"/>
        </w:trPr>
        <w:tc>
          <w:tcPr>
            <w:tcW w:w="471" w:type="dxa"/>
            <w:vMerge w:val="continue"/>
            <w:noWrap w:val="0"/>
            <w:vAlign w:val="top"/>
          </w:tcPr>
          <w:p>
            <w:pPr>
              <w:spacing w:line="460" w:lineRule="exact"/>
              <w:jc w:val="both"/>
              <w:rPr>
                <w:rFonts w:hint="eastAsia" w:ascii="宋体" w:hAnsi="宋体" w:eastAsia="宋体" w:cs="宋体"/>
                <w:color w:val="auto"/>
                <w:sz w:val="24"/>
                <w:szCs w:val="24"/>
                <w:highlight w:val="none"/>
              </w:rPr>
            </w:pPr>
          </w:p>
        </w:tc>
        <w:tc>
          <w:tcPr>
            <w:tcW w:w="1279" w:type="dxa"/>
            <w:vMerge w:val="continue"/>
            <w:noWrap w:val="0"/>
            <w:vAlign w:val="center"/>
          </w:tcPr>
          <w:p>
            <w:pPr>
              <w:spacing w:line="460" w:lineRule="exact"/>
              <w:jc w:val="both"/>
              <w:rPr>
                <w:rFonts w:hint="eastAsia" w:ascii="宋体" w:hAnsi="宋体" w:eastAsia="宋体" w:cs="宋体"/>
                <w:color w:val="auto"/>
                <w:sz w:val="24"/>
                <w:szCs w:val="24"/>
                <w:highlight w:val="none"/>
              </w:rPr>
            </w:pPr>
          </w:p>
        </w:tc>
        <w:tc>
          <w:tcPr>
            <w:tcW w:w="1866" w:type="dxa"/>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响应文件完整性</w:t>
            </w:r>
          </w:p>
        </w:tc>
        <w:tc>
          <w:tcPr>
            <w:tcW w:w="4035" w:type="dxa"/>
            <w:noWrap w:val="0"/>
            <w:vAlign w:val="center"/>
          </w:tcPr>
          <w:p>
            <w:pPr>
              <w:spacing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响应文件的响应性、完整性是否符合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w:t>
            </w:r>
          </w:p>
        </w:tc>
        <w:tc>
          <w:tcPr>
            <w:tcW w:w="660" w:type="dxa"/>
            <w:noWrap w:val="0"/>
            <w:vAlign w:val="top"/>
          </w:tcPr>
          <w:p>
            <w:pPr>
              <w:jc w:val="center"/>
              <w:rPr>
                <w:rFonts w:hint="eastAsia" w:ascii="宋体" w:hAnsi="宋体" w:eastAsia="宋体" w:cs="宋体"/>
                <w:color w:val="auto"/>
                <w:sz w:val="24"/>
                <w:szCs w:val="24"/>
                <w:highlight w:val="none"/>
              </w:rPr>
            </w:pPr>
          </w:p>
        </w:tc>
        <w:tc>
          <w:tcPr>
            <w:tcW w:w="80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9115" w:type="dxa"/>
            <w:gridSpan w:val="6"/>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注：以上检查内容必须全部符合检查标准，否则为无效标。</w:t>
            </w:r>
          </w:p>
        </w:tc>
      </w:tr>
      <w:bookmarkEnd w:id="284"/>
    </w:tbl>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widowControl/>
        <w:adjustRightInd w:val="0"/>
        <w:snapToGrid w:val="0"/>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4.3.2</w:t>
      </w:r>
      <w:r>
        <w:rPr>
          <w:rFonts w:hint="eastAsia" w:ascii="宋体" w:hAnsi="宋体" w:eastAsia="宋体" w:cs="宋体"/>
          <w:b/>
          <w:color w:val="auto"/>
          <w:sz w:val="28"/>
          <w:szCs w:val="28"/>
          <w:highlight w:val="none"/>
          <w:lang w:eastAsia="zh-CN"/>
        </w:rPr>
        <w:t>报价</w:t>
      </w:r>
      <w:r>
        <w:rPr>
          <w:rFonts w:hint="eastAsia" w:ascii="宋体" w:hAnsi="宋体" w:eastAsia="宋体" w:cs="宋体"/>
          <w:b/>
          <w:color w:val="auto"/>
          <w:sz w:val="28"/>
          <w:szCs w:val="28"/>
          <w:highlight w:val="none"/>
        </w:rPr>
        <w:t>评审方法：</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30分</w:t>
      </w:r>
      <w:r>
        <w:rPr>
          <w:rFonts w:hint="eastAsia" w:ascii="宋体" w:hAnsi="宋体" w:cs="宋体"/>
          <w:b/>
          <w:color w:val="auto"/>
          <w:sz w:val="28"/>
          <w:szCs w:val="28"/>
          <w:highlight w:val="none"/>
          <w:lang w:eastAsia="zh-CN"/>
        </w:rPr>
        <w:t>）</w:t>
      </w:r>
    </w:p>
    <w:tbl>
      <w:tblPr>
        <w:tblStyle w:val="29"/>
        <w:tblpPr w:leftFromText="180" w:rightFromText="180" w:vertAnchor="text" w:horzAnchor="page" w:tblpX="1249" w:tblpY="118"/>
        <w:tblOverlap w:val="never"/>
        <w:tblW w:w="9400" w:type="dxa"/>
        <w:tblInd w:w="0" w:type="dxa"/>
        <w:tblLayout w:type="fixed"/>
        <w:tblCellMar>
          <w:top w:w="0" w:type="dxa"/>
          <w:left w:w="108" w:type="dxa"/>
          <w:bottom w:w="0" w:type="dxa"/>
          <w:right w:w="108" w:type="dxa"/>
        </w:tblCellMar>
      </w:tblPr>
      <w:tblGrid>
        <w:gridCol w:w="2345"/>
        <w:gridCol w:w="7055"/>
      </w:tblGrid>
      <w:tr>
        <w:tblPrEx>
          <w:tblCellMar>
            <w:top w:w="0" w:type="dxa"/>
            <w:left w:w="108" w:type="dxa"/>
            <w:bottom w:w="0" w:type="dxa"/>
            <w:right w:w="108" w:type="dxa"/>
          </w:tblCellMar>
        </w:tblPrEx>
        <w:trPr>
          <w:cantSplit/>
          <w:trHeight w:val="473" w:hRule="atLeast"/>
          <w:tblHeader/>
        </w:trPr>
        <w:tc>
          <w:tcPr>
            <w:tcW w:w="234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评分范围</w:t>
            </w:r>
          </w:p>
        </w:tc>
      </w:tr>
      <w:tr>
        <w:tblPrEx>
          <w:tblCellMar>
            <w:top w:w="0" w:type="dxa"/>
            <w:left w:w="108" w:type="dxa"/>
            <w:bottom w:w="0" w:type="dxa"/>
            <w:right w:w="108" w:type="dxa"/>
          </w:tblCellMar>
        </w:tblPrEx>
        <w:trPr>
          <w:cantSplit/>
          <w:trHeight w:val="4845" w:hRule="atLeast"/>
        </w:trPr>
        <w:tc>
          <w:tcPr>
            <w:tcW w:w="234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055" w:type="dxa"/>
            <w:tcBorders>
              <w:top w:val="single" w:color="000000" w:sz="4" w:space="0"/>
              <w:left w:val="single" w:color="000000" w:sz="4" w:space="0"/>
              <w:bottom w:val="single" w:color="000000" w:sz="4" w:space="0"/>
              <w:right w:val="single" w:color="000000" w:sz="4" w:space="0"/>
            </w:tcBorders>
            <w:noWrap w:val="0"/>
            <w:vAlign w:val="center"/>
          </w:tcPr>
          <w:p>
            <w:pPr>
              <w:pStyle w:val="17"/>
              <w:adjustRightInd w:val="0"/>
              <w:snapToGrid w:val="0"/>
              <w:spacing w:line="360" w:lineRule="auto"/>
              <w:ind w:left="972" w:hanging="972" w:hangingChars="405"/>
              <w:rPr>
                <w:rFonts w:hint="eastAsia" w:hAnsi="宋体" w:cs="宋体"/>
                <w:color w:val="auto"/>
                <w:sz w:val="24"/>
                <w:szCs w:val="24"/>
                <w:lang w:val="en-US" w:eastAsia="zh-CN"/>
              </w:rPr>
            </w:pPr>
            <w:r>
              <w:rPr>
                <w:rFonts w:hint="eastAsia" w:hAnsi="宋体" w:cs="宋体"/>
                <w:color w:val="auto"/>
                <w:sz w:val="24"/>
                <w:szCs w:val="24"/>
                <w:lang w:val="en-US" w:eastAsia="zh-CN"/>
              </w:rPr>
              <w:t>将所有满足招标文件要求且投标价格最低的投标报价为评标</w:t>
            </w:r>
          </w:p>
          <w:p>
            <w:pPr>
              <w:pStyle w:val="17"/>
              <w:adjustRightInd w:val="0"/>
              <w:snapToGrid w:val="0"/>
              <w:spacing w:line="360" w:lineRule="auto"/>
              <w:ind w:left="972" w:hanging="972" w:hangingChars="405"/>
              <w:rPr>
                <w:rFonts w:hint="eastAsia" w:hAnsi="宋体" w:cs="宋体"/>
                <w:color w:val="auto"/>
                <w:sz w:val="24"/>
                <w:szCs w:val="24"/>
                <w:lang w:val="en-US" w:eastAsia="zh-CN"/>
              </w:rPr>
            </w:pPr>
            <w:r>
              <w:rPr>
                <w:rFonts w:hint="eastAsia" w:hAnsi="宋体" w:cs="宋体"/>
                <w:color w:val="auto"/>
                <w:sz w:val="24"/>
                <w:szCs w:val="24"/>
                <w:lang w:val="en-US" w:eastAsia="zh-CN"/>
              </w:rPr>
              <w:t>基准价，投标人的价格分按照下列公式计算：投标报价得分</w:t>
            </w:r>
          </w:p>
          <w:p>
            <w:pPr>
              <w:pStyle w:val="17"/>
              <w:adjustRightInd w:val="0"/>
              <w:snapToGrid w:val="0"/>
              <w:spacing w:line="360" w:lineRule="auto"/>
              <w:ind w:left="972" w:hanging="972" w:hangingChars="405"/>
              <w:jc w:val="both"/>
              <w:rPr>
                <w:rFonts w:hint="eastAsia" w:hAnsi="宋体" w:cs="宋体"/>
                <w:color w:val="auto"/>
                <w:sz w:val="24"/>
                <w:szCs w:val="24"/>
                <w:lang w:val="en-US" w:eastAsia="zh-CN"/>
              </w:rPr>
            </w:pPr>
            <w:r>
              <w:rPr>
                <w:rFonts w:hint="eastAsia" w:hAnsi="宋体" w:cs="宋体"/>
                <w:color w:val="auto"/>
                <w:sz w:val="24"/>
                <w:szCs w:val="24"/>
                <w:lang w:val="en-US" w:eastAsia="zh-CN"/>
              </w:rPr>
              <w:t>=(评标基准价／投标报价)×30%×100</w:t>
            </w:r>
          </w:p>
          <w:p>
            <w:pPr>
              <w:pStyle w:val="17"/>
              <w:adjustRightInd w:val="0"/>
              <w:snapToGrid w:val="0"/>
              <w:spacing w:line="360" w:lineRule="auto"/>
              <w:ind w:left="972" w:hanging="850" w:hangingChars="405"/>
              <w:jc w:val="both"/>
              <w:rPr>
                <w:rFonts w:hint="eastAsia" w:hAnsi="宋体" w:cs="宋体"/>
                <w:color w:val="auto"/>
                <w:sz w:val="21"/>
                <w:szCs w:val="21"/>
                <w:lang w:val="en-US" w:eastAsia="zh-CN"/>
              </w:rPr>
            </w:pPr>
            <w:r>
              <w:rPr>
                <w:rFonts w:hint="eastAsia" w:hAnsi="宋体" w:cs="宋体"/>
                <w:color w:val="auto"/>
                <w:sz w:val="21"/>
                <w:szCs w:val="21"/>
                <w:lang w:val="en-US" w:eastAsia="zh-CN"/>
              </w:rPr>
              <w:t>计算公式的计算结果值在小数点后均保留两位小数，后余位数四舍五入</w:t>
            </w:r>
          </w:p>
          <w:p>
            <w:pPr>
              <w:pStyle w:val="17"/>
              <w:adjustRightInd w:val="0"/>
              <w:snapToGrid w:val="0"/>
              <w:spacing w:line="360" w:lineRule="auto"/>
              <w:ind w:left="972" w:hanging="850" w:hangingChars="405"/>
              <w:jc w:val="both"/>
              <w:rPr>
                <w:rFonts w:hint="eastAsia" w:hAnsi="宋体" w:cs="宋体"/>
                <w:color w:val="auto"/>
                <w:sz w:val="24"/>
                <w:szCs w:val="24"/>
                <w:lang w:val="en-US" w:eastAsia="zh-CN"/>
              </w:rPr>
            </w:pPr>
            <w:r>
              <w:rPr>
                <w:rFonts w:hint="eastAsia" w:hAnsi="宋体" w:cs="宋体"/>
                <w:color w:val="auto"/>
                <w:sz w:val="21"/>
                <w:szCs w:val="21"/>
                <w:lang w:val="en-US" w:eastAsia="zh-CN"/>
              </w:rPr>
              <w:t>计。</w:t>
            </w:r>
          </w:p>
          <w:p>
            <w:pPr>
              <w:pStyle w:val="17"/>
              <w:adjustRightInd w:val="0"/>
              <w:snapToGrid w:val="0"/>
              <w:spacing w:line="360" w:lineRule="auto"/>
              <w:ind w:left="972" w:hanging="976" w:hangingChars="405"/>
              <w:jc w:val="both"/>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rPr>
              <w:t>属于中小企业评标优惠内容及价格扣除幅度</w:t>
            </w:r>
            <w:r>
              <w:rPr>
                <w:rFonts w:hint="eastAsia" w:ascii="宋体" w:hAnsi="宋体" w:eastAsia="宋体" w:cs="宋体"/>
                <w:b/>
                <w:bCs/>
                <w:color w:val="auto"/>
                <w:sz w:val="24"/>
                <w:szCs w:val="24"/>
                <w:lang w:bidi="ar"/>
              </w:rPr>
              <w:t>，本项目的价格扣</w:t>
            </w:r>
          </w:p>
          <w:p>
            <w:pPr>
              <w:pStyle w:val="17"/>
              <w:adjustRightInd w:val="0"/>
              <w:snapToGrid w:val="0"/>
              <w:spacing w:line="360" w:lineRule="auto"/>
              <w:ind w:left="972" w:hanging="976" w:hangingChars="405"/>
              <w:jc w:val="both"/>
              <w:rPr>
                <w:rFonts w:hint="eastAsia" w:ascii="宋体" w:hAnsi="宋体" w:eastAsia="宋体" w:cs="宋体"/>
                <w:b/>
                <w:bCs/>
                <w:color w:val="auto"/>
                <w:sz w:val="24"/>
                <w:szCs w:val="24"/>
                <w:lang w:eastAsia="zh-CN" w:bidi="ar"/>
              </w:rPr>
            </w:pPr>
            <w:r>
              <w:rPr>
                <w:rFonts w:hint="eastAsia" w:ascii="宋体" w:hAnsi="宋体" w:eastAsia="宋体" w:cs="宋体"/>
                <w:b/>
                <w:bCs/>
                <w:color w:val="auto"/>
                <w:sz w:val="24"/>
                <w:szCs w:val="24"/>
                <w:lang w:bidi="ar"/>
              </w:rPr>
              <w:t>除为</w:t>
            </w:r>
            <w:r>
              <w:rPr>
                <w:rFonts w:hint="eastAsia" w:ascii="宋体" w:hAnsi="宋体" w:eastAsia="宋体" w:cs="宋体"/>
                <w:b/>
                <w:bCs/>
                <w:color w:val="auto"/>
                <w:sz w:val="24"/>
                <w:szCs w:val="24"/>
                <w:lang w:eastAsia="zh-CN" w:bidi="ar"/>
              </w:rPr>
              <w:t>10%</w:t>
            </w:r>
          </w:p>
          <w:p>
            <w:pPr>
              <w:pStyle w:val="6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根据中华人民共和国财政部、中华人民共和国工业和信息化部《政府采购促进中小企业发展管理办法》（财库〔2020〕46号）</w:t>
            </w:r>
            <w:r>
              <w:rPr>
                <w:rFonts w:hint="eastAsia" w:ascii="宋体" w:hAnsi="宋体" w:eastAsia="宋体" w:cs="宋体"/>
                <w:color w:val="auto"/>
                <w:sz w:val="24"/>
                <w:szCs w:val="24"/>
                <w:lang w:eastAsia="zh-CN"/>
              </w:rPr>
              <w:t>、财库〔2022〕19号</w:t>
            </w:r>
            <w:r>
              <w:rPr>
                <w:rFonts w:hint="eastAsia" w:ascii="宋体" w:hAnsi="宋体" w:eastAsia="宋体" w:cs="宋体"/>
                <w:color w:val="auto"/>
                <w:sz w:val="24"/>
                <w:szCs w:val="24"/>
              </w:rPr>
              <w:t>文件的规定，属于中小企业评标优惠内容及幅度如下：</w:t>
            </w:r>
          </w:p>
          <w:p>
            <w:pPr>
              <w:pStyle w:val="60"/>
              <w:spacing w:line="30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（一）中小企业（含中型、小型、微型企业）应当同时符合以下条件：</w:t>
            </w:r>
          </w:p>
          <w:p>
            <w:pPr>
              <w:pStyle w:val="6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①符合中小企业划分标准(按《关于印发中小企业划型标准规定的通知》（工信部联企业[2011]300号））执行）；</w:t>
            </w:r>
          </w:p>
          <w:p>
            <w:pPr>
              <w:pStyle w:val="6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②提供本企业制造的货物、承担的项目或者服务，或者提供其他中小企业制造的货物。本项所称货物不包括使用大型企业注册商标的货物；</w:t>
            </w:r>
          </w:p>
          <w:p>
            <w:pPr>
              <w:pStyle w:val="6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③小型、微型企业提供中型企业制造的货物的，视同为中型企业。</w:t>
            </w:r>
          </w:p>
          <w:p>
            <w:pPr>
              <w:pStyle w:val="60"/>
              <w:spacing w:line="3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（二）价格扣除办法：</w:t>
            </w:r>
          </w:p>
          <w:p>
            <w:pPr>
              <w:pStyle w:val="60"/>
              <w:spacing w:line="3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①对于非专门面向中小企业的项目，对小型和微型企业（或联合体各方均为小型、微型企业的）产品的价格给予</w:t>
            </w: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rPr>
              <w:t>的扣除，用扣除后的价格参与价格分的评标。</w:t>
            </w:r>
          </w:p>
          <w:p>
            <w:pPr>
              <w:pStyle w:val="60"/>
              <w:spacing w:line="3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②大中型企业和其他自然人、法人或者其他组织与小型、微型企业组成联合体，联合体协议中约定，小型、微型企业的协议合同金额占到联合体协议合同总金额30%以上的，可给予联合体</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的价格扣除。联合体各方均为小型、微型企业的，联合体视同为小型、微型企业享受扶持政策。组成联合体的大中型企业和其他自然人、法人或者其他组织，与小型、微型企业之间不得存在投资关系，并附协议书。  </w:t>
            </w:r>
          </w:p>
          <w:p>
            <w:pPr>
              <w:pStyle w:val="60"/>
              <w:spacing w:line="3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（三）小型和微型企业适用价格扣除办法时应提供的相关资料：</w:t>
            </w:r>
          </w:p>
          <w:p>
            <w:pPr>
              <w:pStyle w:val="17"/>
              <w:adjustRightInd w:val="0"/>
              <w:snapToGrid w:val="0"/>
              <w:spacing w:line="360" w:lineRule="auto"/>
              <w:ind w:left="972" w:hanging="972" w:hangingChars="405"/>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rPr>
              <w:t xml:space="preserve">    《中小企业声明函》</w:t>
            </w:r>
          </w:p>
        </w:tc>
      </w:tr>
    </w:tbl>
    <w:p>
      <w:pPr>
        <w:spacing w:line="460" w:lineRule="exact"/>
        <w:ind w:firstLine="559"/>
        <w:jc w:val="left"/>
        <w:rPr>
          <w:rFonts w:hint="eastAsia" w:ascii="宋体" w:hAnsi="宋体" w:eastAsia="宋体" w:cs="宋体"/>
          <w:color w:val="auto"/>
          <w:sz w:val="28"/>
          <w:szCs w:val="28"/>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widowControl/>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4.3.3</w:t>
      </w:r>
      <w:r>
        <w:rPr>
          <w:rFonts w:hint="eastAsia" w:ascii="宋体" w:hAnsi="宋体" w:eastAsia="宋体" w:cs="宋体"/>
          <w:b/>
          <w:bCs/>
          <w:color w:val="auto"/>
          <w:sz w:val="28"/>
          <w:szCs w:val="28"/>
          <w:highlight w:val="none"/>
          <w:lang w:eastAsia="zh-CN"/>
        </w:rPr>
        <w:t>商务标</w:t>
      </w:r>
      <w:r>
        <w:rPr>
          <w:rFonts w:hint="eastAsia" w:ascii="宋体" w:hAnsi="宋体" w:eastAsia="宋体" w:cs="宋体"/>
          <w:b/>
          <w:color w:val="auto"/>
          <w:sz w:val="28"/>
          <w:szCs w:val="28"/>
          <w:highlight w:val="none"/>
        </w:rPr>
        <w:t>评审方法</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20</w:t>
      </w:r>
      <w:r>
        <w:rPr>
          <w:rFonts w:hint="eastAsia" w:ascii="宋体" w:hAnsi="宋体" w:eastAsia="宋体" w:cs="宋体"/>
          <w:b/>
          <w:bCs/>
          <w:color w:val="auto"/>
          <w:sz w:val="28"/>
          <w:szCs w:val="28"/>
          <w:highlight w:val="none"/>
        </w:rPr>
        <w:t>分）</w:t>
      </w:r>
    </w:p>
    <w:tbl>
      <w:tblPr>
        <w:tblStyle w:val="29"/>
        <w:tblpPr w:leftFromText="180" w:rightFromText="180" w:vertAnchor="text" w:horzAnchor="margin" w:tblpXSpec="center" w:tblpY="96"/>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trPr>
        <w:tc>
          <w:tcPr>
            <w:tcW w:w="3227"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制作标书</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标函编制内容完整、齐全、叙述严谨；标书无涂改、错页、漏页现象</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分；否则</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trPr>
        <w:tc>
          <w:tcPr>
            <w:tcW w:w="3227"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（2019-2021年）</w:t>
            </w:r>
            <w:r>
              <w:rPr>
                <w:rFonts w:hint="eastAsia" w:ascii="宋体" w:hAnsi="宋体" w:eastAsia="宋体" w:cs="宋体"/>
                <w:color w:val="auto"/>
                <w:sz w:val="24"/>
                <w:szCs w:val="24"/>
                <w:highlight w:val="none"/>
                <w:lang w:val="en-US" w:eastAsia="zh-CN"/>
              </w:rPr>
              <w:t>类似项目业绩（</w:t>
            </w:r>
            <w:r>
              <w:rPr>
                <w:rFonts w:hint="eastAsia" w:ascii="宋体" w:hAnsi="宋体" w:cs="宋体"/>
                <w:color w:val="auto"/>
                <w:sz w:val="24"/>
                <w:szCs w:val="24"/>
                <w:highlight w:val="none"/>
                <w:lang w:val="en-US" w:eastAsia="zh-CN"/>
              </w:rPr>
              <w:t>中标通知书和合同</w:t>
            </w:r>
            <w:r>
              <w:rPr>
                <w:rFonts w:hint="eastAsia" w:ascii="宋体" w:hAnsi="宋体" w:eastAsia="宋体" w:cs="宋体"/>
                <w:color w:val="auto"/>
                <w:sz w:val="24"/>
                <w:szCs w:val="24"/>
                <w:highlight w:val="none"/>
                <w:lang w:val="en-US" w:eastAsia="zh-CN"/>
              </w:rPr>
              <w:t>）一项</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得2分，满分4分，无类似项目业绩的不得分。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trPr>
        <w:tc>
          <w:tcPr>
            <w:tcW w:w="3227"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供货期限</w:t>
            </w:r>
            <w:r>
              <w:rPr>
                <w:rFonts w:hint="eastAsia" w:ascii="宋体" w:hAnsi="宋体" w:eastAsia="宋体" w:cs="宋体"/>
                <w:color w:val="auto"/>
                <w:sz w:val="24"/>
                <w:szCs w:val="24"/>
                <w:highlight w:val="none"/>
                <w:lang w:eastAsia="zh-CN"/>
              </w:rPr>
              <w:t>要求（</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满足招标文件要求得</w:t>
            </w:r>
            <w:r>
              <w:rPr>
                <w:rFonts w:hint="eastAsia" w:ascii="宋体" w:hAnsi="宋体" w:cs="宋体"/>
                <w:color w:val="auto"/>
                <w:sz w:val="24"/>
                <w:szCs w:val="24"/>
                <w:highlight w:val="none"/>
                <w:lang w:val="en-US" w:eastAsia="zh-CN"/>
              </w:rPr>
              <w:t>的1</w:t>
            </w:r>
            <w:r>
              <w:rPr>
                <w:rFonts w:hint="eastAsia" w:ascii="宋体" w:hAnsi="宋体" w:eastAsia="宋体" w:cs="宋体"/>
                <w:color w:val="auto"/>
                <w:sz w:val="24"/>
                <w:szCs w:val="24"/>
                <w:highlight w:val="none"/>
                <w:lang w:val="en-US" w:eastAsia="zh-CN"/>
              </w:rPr>
              <w:t>分；优于招标文件要求且合理高效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企业实力（2分）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智能家居安装与维护系统满足全国职业技能大赛并提供竞赛证明文件，每提供1年得1分，最高得2分。（提供相关证明材料加盖公章，未提供或资料不全不得分）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培训方案（3分）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根据投标人提供的培训方案中是否具有专业的技术人员负责培训,是否能提供师资驻校授课等内容进行横向比较，优得3分，良得2分，差得1分</w:t>
            </w:r>
            <w:r>
              <w:rPr>
                <w:rFonts w:hint="eastAsia" w:ascii="宋体" w:hAnsi="宋体" w:cs="宋体"/>
                <w:color w:val="auto"/>
                <w:sz w:val="24"/>
                <w:szCs w:val="24"/>
                <w:highlight w:val="none"/>
                <w:lang w:val="en-US"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售后服务方案（5分）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w:t>
            </w:r>
            <w:r>
              <w:rPr>
                <w:rFonts w:hint="eastAsia" w:ascii="宋体" w:hAnsi="宋体" w:cs="宋体"/>
                <w:color w:val="auto"/>
                <w:sz w:val="24"/>
                <w:szCs w:val="24"/>
                <w:highlight w:val="none"/>
                <w:lang w:val="en-US" w:eastAsia="zh-CN"/>
              </w:rPr>
              <w:t>售后服务</w:t>
            </w:r>
            <w:r>
              <w:rPr>
                <w:rFonts w:hint="eastAsia" w:ascii="宋体" w:hAnsi="宋体" w:eastAsia="宋体" w:cs="宋体"/>
                <w:color w:val="auto"/>
                <w:sz w:val="24"/>
                <w:szCs w:val="24"/>
                <w:highlight w:val="none"/>
                <w:lang w:val="en-US" w:eastAsia="zh-CN"/>
              </w:rPr>
              <w:t>响应时间、维护方案、售后服务人员数量、服务技术水平、服务体系等，评委根据投标人提供的针对本项目的售后服务方案进行横向比较：优得</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 xml:space="preserve"> 分，良得</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分，差得1分</w:t>
            </w:r>
            <w:r>
              <w:rPr>
                <w:rFonts w:hint="eastAsia" w:ascii="宋体" w:hAnsi="宋体" w:cs="宋体"/>
                <w:color w:val="auto"/>
                <w:sz w:val="24"/>
                <w:szCs w:val="24"/>
                <w:highlight w:val="none"/>
                <w:lang w:val="en-US"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安装方案及能力（3分）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根据投标人提供的安装方案、进度安排、项目实施及安装人员的配备情况进行评分，优得3分，良得2分，差得1分，不提供不得分。</w:t>
            </w:r>
          </w:p>
        </w:tc>
      </w:tr>
    </w:tbl>
    <w:p>
      <w:pPr>
        <w:numPr>
          <w:ilvl w:val="0"/>
          <w:numId w:val="4"/>
        </w:numPr>
        <w:spacing w:line="460" w:lineRule="exact"/>
        <w:ind w:left="71" w:leftChars="0" w:firstLine="559"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widowControl/>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4.3.4</w:t>
      </w:r>
      <w:r>
        <w:rPr>
          <w:rFonts w:hint="eastAsia" w:ascii="宋体" w:hAnsi="宋体" w:eastAsia="宋体" w:cs="宋体"/>
          <w:b/>
          <w:bCs/>
          <w:color w:val="auto"/>
          <w:sz w:val="28"/>
          <w:szCs w:val="28"/>
          <w:highlight w:val="none"/>
          <w:lang w:eastAsia="zh-CN"/>
        </w:rPr>
        <w:t>技术标</w:t>
      </w:r>
      <w:r>
        <w:rPr>
          <w:rFonts w:hint="eastAsia" w:ascii="宋体" w:hAnsi="宋体" w:eastAsia="宋体" w:cs="宋体"/>
          <w:b/>
          <w:color w:val="auto"/>
          <w:sz w:val="28"/>
          <w:szCs w:val="28"/>
          <w:highlight w:val="none"/>
        </w:rPr>
        <w:t>评审方法</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50</w:t>
      </w:r>
      <w:r>
        <w:rPr>
          <w:rFonts w:hint="eastAsia" w:ascii="宋体" w:hAnsi="宋体" w:eastAsia="宋体" w:cs="宋体"/>
          <w:b/>
          <w:bCs/>
          <w:color w:val="auto"/>
          <w:sz w:val="28"/>
          <w:szCs w:val="28"/>
          <w:highlight w:val="none"/>
        </w:rPr>
        <w:t>分）</w:t>
      </w:r>
    </w:p>
    <w:tbl>
      <w:tblPr>
        <w:tblStyle w:val="29"/>
        <w:tblpPr w:leftFromText="180" w:rightFromText="180" w:vertAnchor="text" w:horzAnchor="margin" w:tblpXSpec="center" w:tblpY="96"/>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评分范围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trPr>
        <w:tc>
          <w:tcPr>
            <w:tcW w:w="3227"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技术参数</w:t>
            </w:r>
            <w:r>
              <w:rPr>
                <w:rFonts w:hint="eastAsia" w:ascii="宋体" w:hAnsi="宋体" w:eastAsia="宋体" w:cs="宋体"/>
                <w:color w:val="auto"/>
                <w:sz w:val="24"/>
                <w:szCs w:val="24"/>
                <w:highlight w:val="none"/>
                <w:lang w:val="en-US" w:eastAsia="zh-CN"/>
              </w:rPr>
              <w:t>（20分）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投标人满足招标文件要求的全部技术参数指标的得20分。</w:t>
            </w:r>
          </w:p>
          <w:p>
            <w:pPr>
              <w:spacing w:line="460" w:lineRule="exact"/>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标注▲技术指标，每有一项不满足扣2分，超过5项不得分。</w:t>
            </w:r>
          </w:p>
          <w:p>
            <w:pPr>
              <w:spacing w:line="460" w:lineRule="exact"/>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未标注▲技术指标，每有一项不满足扣1分， 扣完为止</w:t>
            </w:r>
            <w:r>
              <w:rPr>
                <w:rFonts w:hint="eastAsia" w:ascii="宋体" w:hAnsi="宋体" w:eastAsia="宋体" w:cs="宋体"/>
                <w:color w:val="auto"/>
                <w:sz w:val="24"/>
                <w:szCs w:val="24"/>
                <w:highlight w:val="none"/>
                <w:lang w:val="en-US" w:eastAsia="zh-CN"/>
              </w:rPr>
              <w:t>，不提供不得分。</w:t>
            </w:r>
          </w:p>
          <w:p>
            <w:pPr>
              <w:spacing w:line="460" w:lineRule="exact"/>
              <w:jc w:val="left"/>
              <w:rPr>
                <w:rFonts w:hint="default" w:ascii="宋体" w:hAnsi="宋体" w:eastAsia="宋体" w:cs="宋体"/>
                <w:bCs/>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exact"/>
        </w:trPr>
        <w:tc>
          <w:tcPr>
            <w:tcW w:w="3227"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技术方案</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投标人提供技术方案的合理性、科学性、针对性及可行性，可展示工业机器人操作与运维工作站设计效果，可通过三维模型或实体照片对设备组成进行详细介绍，可展示工作站各组件功能，各组件设计效果满足招标要求，设备组件选型品质优良，设计合理，功能完善等进行横向比较：优得5-10分，良得2-4分，差得1分</w:t>
            </w:r>
            <w:r>
              <w:rPr>
                <w:rFonts w:hint="eastAsia" w:ascii="宋体" w:hAnsi="宋体" w:eastAsia="宋体" w:cs="宋体"/>
                <w:color w:val="auto"/>
                <w:sz w:val="24"/>
                <w:szCs w:val="24"/>
                <w:highlight w:val="none"/>
                <w:lang w:val="en-US" w:eastAsia="zh-CN"/>
              </w:rPr>
              <w:t>，不提供不得分。</w:t>
            </w:r>
          </w:p>
          <w:p>
            <w:pPr>
              <w:spacing w:line="460" w:lineRule="exact"/>
              <w:jc w:val="left"/>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3227" w:type="dxa"/>
            <w:tcBorders>
              <w:top w:val="single" w:color="auto" w:sz="4" w:space="0"/>
              <w:left w:val="single" w:color="auto" w:sz="4" w:space="0"/>
              <w:right w:val="single" w:color="auto" w:sz="4" w:space="0"/>
            </w:tcBorders>
            <w:noWrap w:val="0"/>
            <w:vAlign w:val="center"/>
          </w:tcPr>
          <w:p>
            <w:pPr>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lang w:val="en-US" w:eastAsia="zh-CN"/>
              </w:rPr>
              <w:t>专业能力</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投标人或生产厂家积极参加国家“1+X”证书制度试点工作的，提供一项得1分，满分2分，不提供不得分。（提供教育部官网截图证明文件并加盖公章）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服务承诺（3分）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pStyle w:val="8"/>
              <w:rPr>
                <w:rFonts w:hint="eastAsia"/>
                <w:color w:val="auto"/>
                <w:lang w:val="en-US" w:eastAsia="zh-CN"/>
              </w:rPr>
            </w:pPr>
            <w:r>
              <w:rPr>
                <w:rFonts w:hint="eastAsia" w:ascii="宋体" w:hAnsi="宋体" w:eastAsia="宋体" w:cs="宋体"/>
                <w:b w:val="0"/>
                <w:bCs w:val="0"/>
                <w:color w:val="auto"/>
                <w:sz w:val="24"/>
                <w:szCs w:val="24"/>
                <w:highlight w:val="none"/>
                <w:lang w:val="en-US" w:eastAsia="zh-CN"/>
              </w:rPr>
              <w:t>根据投标人提供服务承诺内容的具体性、可操作性、满足项目需求等进行横向比较：优得3分，良得2分，差得1分，不提供不得分。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exact"/>
        </w:trPr>
        <w:tc>
          <w:tcPr>
            <w:tcW w:w="32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现场演示（15分）</w:t>
            </w:r>
          </w:p>
        </w:tc>
        <w:tc>
          <w:tcPr>
            <w:tcW w:w="66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招标文件要求提供现场演示部分，评标委员会根据招标文件要求并结合演示效果和讲解内容的先进性、实用性、合理性、可维护性进行综合评分：</w:t>
            </w:r>
          </w:p>
          <w:p>
            <w:pPr>
              <w:spacing w:line="460" w:lineRule="exact"/>
              <w:jc w:val="lef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演示内容完全满足招标文件要求的得15分，每有一项不满足扣1分，扣完为止，不演示不得分。</w:t>
            </w:r>
          </w:p>
          <w:p>
            <w:pPr>
              <w:spacing w:line="4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rPr>
              <w:t>（注：投标人需自备U盘，以视频的方式提供给评标专家进行演示，视频时间1</w:t>
            </w:r>
            <w:r>
              <w:rPr>
                <w:rFonts w:hint="eastAsia" w:ascii="宋体" w:hAnsi="宋体" w:cs="宋体"/>
                <w:b/>
                <w:bCs w:val="0"/>
                <w:color w:val="auto"/>
                <w:kern w:val="0"/>
                <w:sz w:val="24"/>
                <w:szCs w:val="24"/>
                <w:highlight w:val="none"/>
                <w:lang w:val="en-US" w:eastAsia="zh-CN"/>
              </w:rPr>
              <w:t>5</w:t>
            </w:r>
            <w:r>
              <w:rPr>
                <w:rFonts w:hint="eastAsia" w:ascii="宋体" w:hAnsi="宋体" w:eastAsia="宋体" w:cs="宋体"/>
                <w:b/>
                <w:bCs w:val="0"/>
                <w:color w:val="auto"/>
                <w:kern w:val="0"/>
                <w:sz w:val="24"/>
                <w:szCs w:val="24"/>
                <w:highlight w:val="none"/>
                <w:lang w:val="en-US" w:eastAsia="zh-CN"/>
              </w:rPr>
              <w:t>分钟以内。）（U盘上需注明投标人名称，并与投标文件一起密封在密封袋内）</w:t>
            </w:r>
          </w:p>
        </w:tc>
      </w:tr>
    </w:tbl>
    <w:p>
      <w:pPr>
        <w:pStyle w:val="2"/>
        <w:numPr>
          <w:ilvl w:val="0"/>
          <w:numId w:val="0"/>
        </w:numPr>
        <w:rPr>
          <w:rFonts w:hint="eastAsia" w:ascii="宋体" w:hAnsi="宋体" w:eastAsia="宋体" w:cs="宋体"/>
          <w:color w:val="auto"/>
          <w:sz w:val="28"/>
          <w:szCs w:val="28"/>
          <w:highlight w:val="none"/>
          <w:lang w:val="en-US" w:eastAsia="zh-CN"/>
        </w:rPr>
      </w:pPr>
    </w:p>
    <w:p>
      <w:pPr>
        <w:keepNext w:val="0"/>
        <w:keepLines w:val="0"/>
        <w:pageBreakBefore w:val="0"/>
        <w:widowControl w:val="0"/>
        <w:kinsoku/>
        <w:wordWrap/>
        <w:overflowPunct/>
        <w:topLinePunct w:val="0"/>
        <w:bidi w:val="0"/>
        <w:adjustRightInd/>
        <w:snapToGrid/>
        <w:spacing w:line="3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4.4对于投标报价的评分，按以下方法进行：</w:t>
      </w:r>
    </w:p>
    <w:p>
      <w:pPr>
        <w:keepNext w:val="0"/>
        <w:keepLines w:val="0"/>
        <w:pageBreakBefore w:val="0"/>
        <w:widowControl w:val="0"/>
        <w:kinsoku/>
        <w:wordWrap/>
        <w:overflowPunct/>
        <w:topLinePunct w:val="0"/>
        <w:bidi w:val="0"/>
        <w:adjustRightInd/>
        <w:snapToGrid/>
        <w:spacing w:line="360" w:lineRule="exact"/>
        <w:ind w:firstLine="559"/>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投标总报价得分=（评标基准价/总投标报价）×30%×100</w:t>
      </w:r>
    </w:p>
    <w:p>
      <w:pPr>
        <w:pStyle w:val="33"/>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4.4.1经评标委员会认可</w:t>
      </w:r>
      <w:r>
        <w:rPr>
          <w:color w:val="auto"/>
          <w:sz w:val="24"/>
        </w:rPr>
        <w:t>中小微企业（监狱企业、残疾人福利性单位）</w:t>
      </w:r>
      <w:r>
        <w:rPr>
          <w:rFonts w:hint="eastAsia" w:ascii="宋体" w:hAnsi="宋体" w:eastAsia="宋体" w:cs="宋体"/>
          <w:color w:val="auto"/>
          <w:kern w:val="2"/>
          <w:sz w:val="24"/>
          <w:szCs w:val="24"/>
          <w:highlight w:val="none"/>
          <w:lang w:val="en-US" w:eastAsia="zh-CN" w:bidi="ar-SA"/>
        </w:rPr>
        <w:t>产品和产品报价后，投标人相应产品政策计算公式如下：</w:t>
      </w:r>
    </w:p>
    <w:p>
      <w:pPr>
        <w:pStyle w:val="33"/>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color w:val="auto"/>
          <w:sz w:val="24"/>
        </w:rPr>
        <w:t>中小微企业（监狱企业、残疾人福利性单位）</w:t>
      </w:r>
      <w:r>
        <w:rPr>
          <w:rFonts w:hint="eastAsia" w:ascii="宋体" w:hAnsi="宋体" w:eastAsia="宋体" w:cs="宋体"/>
          <w:color w:val="auto"/>
          <w:kern w:val="2"/>
          <w:sz w:val="24"/>
          <w:szCs w:val="24"/>
          <w:highlight w:val="none"/>
          <w:lang w:val="en-US" w:eastAsia="zh-CN" w:bidi="ar-SA"/>
        </w:rPr>
        <w:t>产品价格扣除后的投标人报价=投标人总报价*（1-</w:t>
      </w:r>
      <w:r>
        <w:rPr>
          <w:rFonts w:hint="eastAsia"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%）（以价格扣除后的投标人报价作为评审依据）</w:t>
      </w:r>
    </w:p>
    <w:p>
      <w:pPr>
        <w:keepNext w:val="0"/>
        <w:keepLines w:val="0"/>
        <w:pageBreakBefore w:val="0"/>
        <w:widowControl w:val="0"/>
        <w:kinsoku/>
        <w:wordWrap/>
        <w:overflowPunct/>
        <w:topLinePunct w:val="0"/>
        <w:bidi w:val="0"/>
        <w:adjustRightInd/>
        <w:snapToGrid/>
        <w:spacing w:line="360" w:lineRule="exact"/>
        <w:ind w:firstLine="559"/>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4.5在价格评审中，若评标委员会发现投标人以明显低于市场或成本的价格投标，而投标人又未在投标文件中提供有力证据证明其报价合理的，评标委员会可以认定该投标以低于成本的价格投标。被认定为低于成本价格的投标文件将按废标处理。</w:t>
      </w:r>
    </w:p>
    <w:p>
      <w:pPr>
        <w:keepNext w:val="0"/>
        <w:keepLines w:val="0"/>
        <w:pageBreakBefore w:val="0"/>
        <w:widowControl w:val="0"/>
        <w:kinsoku/>
        <w:wordWrap/>
        <w:overflowPunct/>
        <w:topLinePunct w:val="0"/>
        <w:bidi w:val="0"/>
        <w:adjustRightInd/>
        <w:snapToGrid/>
        <w:spacing w:line="360" w:lineRule="exact"/>
        <w:ind w:firstLine="559"/>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5、投标文件的澄清</w:t>
      </w:r>
    </w:p>
    <w:p>
      <w:pPr>
        <w:keepNext w:val="0"/>
        <w:keepLines w:val="0"/>
        <w:pageBreakBefore w:val="0"/>
        <w:widowControl w:val="0"/>
        <w:kinsoku/>
        <w:wordWrap/>
        <w:overflowPunct/>
        <w:topLinePunct w:val="0"/>
        <w:bidi w:val="0"/>
        <w:adjustRightInd/>
        <w:snapToGrid/>
        <w:spacing w:line="360" w:lineRule="exact"/>
        <w:ind w:firstLine="559"/>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5.1评标委员会可以要求投标人就投标文件中含混不清和含义不明确之处作出书面澄清或说明，书面澄清或说明应由投标人法人代表或授权代表的签字（或签章）或盖章。</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5.2投标人澄清或说明的内容不得超出投标文件的范围和改变投标文件的实质性内容。投标人拒绝澄清或说明、澄清或说明的内容超出了投标文件的范围和改变了投标文件的实质性内容。投标书有可能会被拒绝。</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6、投标报价的算术性复核和调整修正</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6.1评标委员会在对实质上响应招标文件要求的投标报价进行评估时，应当按下述原则进行修正：</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6.1.1投标总报价如果小写数额与大写数额不一致时，应以大写数额为准。大写金额不能确认时，报价无效。</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6.1.2报价单价金额与项目量的乘积与合价（金额）不一致时，应同时修改单价和合价并修正总报价。</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6.1.3当单价与项目量的乘积与合价（金额）虽然一致，但单价有明显的小数点错位（有明显错误而投标单位不能提供正当的理由时），应同时修改单价和合价并调整修正总报价。</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6.1.4当各细目的合价累计不等于合计时，调整合计和修正总报价。上述各项调整和修正值均四舍五入保留两位小数。</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当投标人的总报价或在投标函中承诺的报价与投标人单价报价表中的单价或合价合计结果不一致时，如果投标人在投标报价单中明确了修正后的单价，且单价合计与投标总价是一致的，则以投标人修正后的单价为准；如果投标书中未予明确，评标委员会将确定该投标总价与报价表中的单价或合价的合计结果的下浮（或上浮）比率，并按确定的下浮（或上浮）比率对所有单价（或合价）按此比率下浮（或上浮），投标人应予以确认经评标委员会修正后的单价，如果投标人不接受经评标委员会修正后的单价者投标将被拒绝，且不影响评标工作。</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6.2按上述规定调整后的报价投标人必须确认，如果投标人不接受修正后的投标报价则其投标将被拒绝。且并不影响评标工作。</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6.3以上述方法修正后的报价将作为评分中评标价的计算依据。上述修正原则仍然适用于在发出中标通知书后到合同签订时对项目量进行核查所发现的错误。</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7、在评标过程中，凡投标被依法否定或被评标委员会界定为废标的投标文件后，有效投标人少于三个的，招标人将依法重新招标。</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8、参与评标的有关人员必须严格遵守招标投标的有关保密规定，不得泄露与评标有关的情况，不得索贿受贿，不得参加影响评标公正性的任何活动。如有违反将按国家有关法律及有关规定严肃处理。</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9、投标人不得采取任何方式干扰评标工作，一经发现，该投标人的投标文件作废标处理。</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10、确定中标单位：</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评标委员会根据投标人最终得分的高低顺序推荐三名中标候选人，原则上以投标人实质性响应招标文件要求，报价合理且排名第一的中标候选人中标，当排名第一的中标候选人放弃中标、因不可抗力提出不能履行合同，或者招标文件规定应当提交履约保证金而在规定的期限内未能提交的，招标人可以确定排名第二的中标候选人为中标人。</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10.2排名第二的中标候选人因前款规定的同样原因不能签订合同的，招标人可以确定排名第三的中标候选人为中标人。</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10.3如果中标候选人全部放弃中标时，招标人将重新招标。</w:t>
      </w:r>
    </w:p>
    <w:p>
      <w:pPr>
        <w:keepNext w:val="0"/>
        <w:keepLines w:val="0"/>
        <w:pageBreakBefore w:val="0"/>
        <w:widowControl w:val="0"/>
        <w:kinsoku/>
        <w:wordWrap/>
        <w:overflowPunct/>
        <w:topLinePunct w:val="0"/>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11、评标过程保密</w:t>
      </w:r>
    </w:p>
    <w:p>
      <w:pPr>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11.1开标之后，直到与中标人签署合同之前，凡是属于审查、评标的有关资料以</w:t>
      </w:r>
    </w:p>
    <w:p>
      <w:pPr>
        <w:keepNext w:val="0"/>
        <w:keepLines w:val="0"/>
        <w:pageBreakBefore w:val="0"/>
        <w:widowControl w:val="0"/>
        <w:kinsoku/>
        <w:wordWrap/>
        <w:overflowPunct/>
        <w:topLinePunct w:val="0"/>
        <w:bidi w:val="0"/>
        <w:adjustRightInd/>
        <w:snapToGrid/>
        <w:spacing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及决定中标人的信息等，任何人均不得向投标人或其他无关的人员透露，否则按有关规定追究责任。</w:t>
      </w:r>
    </w:p>
    <w:p>
      <w:pPr>
        <w:pStyle w:val="17"/>
        <w:keepNext w:val="0"/>
        <w:keepLines w:val="0"/>
        <w:pageBreakBefore w:val="0"/>
        <w:widowControl w:val="0"/>
        <w:kinsoku/>
        <w:wordWrap/>
        <w:overflowPunct/>
        <w:topLinePunct w:val="0"/>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12、如果出现得分相同的投标人，以报价低优先、若得分、报价均相同以技术优先。</w:t>
      </w:r>
    </w:p>
    <w:p>
      <w:pPr>
        <w:pStyle w:val="17"/>
        <w:rPr>
          <w:rFonts w:hint="eastAsia" w:ascii="宋体" w:hAnsi="宋体" w:eastAsia="宋体" w:cs="宋体"/>
          <w:color w:val="auto"/>
          <w:highlight w:val="none"/>
          <w:lang w:val="en-US" w:eastAsia="zh-CN"/>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bookmarkEnd w:id="279"/>
    <w:bookmarkEnd w:id="280"/>
    <w:bookmarkEnd w:id="281"/>
    <w:bookmarkEnd w:id="282"/>
    <w:bookmarkEnd w:id="283"/>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3" w:firstLineChars="200"/>
        <w:jc w:val="center"/>
        <w:textAlignment w:val="auto"/>
        <w:rPr>
          <w:rFonts w:hint="default" w:ascii="宋体" w:hAnsi="宋体" w:eastAsia="宋体" w:cs="宋体"/>
          <w:b/>
          <w:bCs/>
          <w:color w:val="auto"/>
          <w:kern w:val="44"/>
          <w:sz w:val="32"/>
          <w:szCs w:val="32"/>
          <w:highlight w:val="none"/>
          <w:lang w:val="en-US" w:eastAsia="zh-CN" w:bidi="ar-SA"/>
        </w:rPr>
      </w:pPr>
      <w:bookmarkStart w:id="285" w:name="_Toc152045785"/>
      <w:bookmarkStart w:id="286" w:name="_Toc19665"/>
      <w:bookmarkStart w:id="287" w:name="_Toc27488"/>
      <w:bookmarkStart w:id="288" w:name="_Toc144974854"/>
      <w:bookmarkStart w:id="289" w:name="_Toc152042574"/>
      <w:r>
        <w:rPr>
          <w:rFonts w:hint="eastAsia" w:ascii="宋体" w:hAnsi="宋体" w:eastAsia="宋体" w:cs="宋体"/>
          <w:b/>
          <w:bCs/>
          <w:color w:val="auto"/>
          <w:kern w:val="44"/>
          <w:sz w:val="32"/>
          <w:szCs w:val="32"/>
          <w:highlight w:val="none"/>
          <w:lang w:val="en-US" w:eastAsia="zh-CN" w:bidi="ar-SA"/>
        </w:rPr>
        <w:t>第四章 技术标准</w:t>
      </w:r>
      <w:r>
        <w:rPr>
          <w:rFonts w:hint="eastAsia" w:hAnsi="宋体" w:cs="宋体"/>
          <w:b/>
          <w:bCs/>
          <w:color w:val="auto"/>
          <w:kern w:val="44"/>
          <w:sz w:val="32"/>
          <w:szCs w:val="32"/>
          <w:highlight w:val="none"/>
          <w:lang w:val="en-US" w:eastAsia="zh-CN" w:bidi="ar-SA"/>
        </w:rPr>
        <w:t>和要求</w:t>
      </w:r>
    </w:p>
    <w:p>
      <w:pPr>
        <w:pStyle w:val="39"/>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项目概况</w:t>
      </w:r>
    </w:p>
    <w:p>
      <w:pPr>
        <w:pStyle w:val="39"/>
        <w:keepNext w:val="0"/>
        <w:keepLines w:val="0"/>
        <w:pageBreakBefore w:val="0"/>
        <w:widowControl/>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1、项目编号：2022JYCZB-CW031</w:t>
      </w:r>
    </w:p>
    <w:p>
      <w:pPr>
        <w:pStyle w:val="39"/>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eastAsia="宋体" w:cs="宋体"/>
          <w:color w:val="auto"/>
          <w:kern w:val="2"/>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项目名称：</w:t>
      </w:r>
      <w:r>
        <w:rPr>
          <w:rFonts w:hint="eastAsia" w:ascii="宋体" w:hAnsi="宋体" w:eastAsia="宋体" w:cs="宋体"/>
          <w:color w:val="auto"/>
          <w:kern w:val="2"/>
          <w:sz w:val="28"/>
          <w:szCs w:val="28"/>
          <w:lang w:eastAsia="zh-CN"/>
        </w:rPr>
        <w:t>2022年职业教育质量提升-实训基地建设项目</w:t>
      </w:r>
    </w:p>
    <w:p>
      <w:pPr>
        <w:pStyle w:val="39"/>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3、项目</w:t>
      </w:r>
      <w:r>
        <w:rPr>
          <w:rFonts w:hint="eastAsia" w:ascii="宋体" w:hAnsi="宋体" w:eastAsia="宋体" w:cs="宋体"/>
          <w:color w:val="auto"/>
          <w:sz w:val="28"/>
          <w:szCs w:val="28"/>
        </w:rPr>
        <w:t>地点：</w:t>
      </w:r>
      <w:r>
        <w:rPr>
          <w:rFonts w:hint="eastAsia" w:ascii="宋体" w:hAnsi="宋体" w:eastAsia="宋体" w:cs="宋体"/>
          <w:color w:val="auto"/>
          <w:kern w:val="2"/>
          <w:sz w:val="28"/>
          <w:szCs w:val="28"/>
          <w:lang w:eastAsia="zh-CN"/>
        </w:rPr>
        <w:t>玛纳斯中等职业技术学校</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lang w:val="en-US" w:eastAsia="zh-CN"/>
        </w:rPr>
        <w:t>4、采购内容</w:t>
      </w:r>
      <w:r>
        <w:rPr>
          <w:rFonts w:hint="eastAsia" w:ascii="宋体" w:hAnsi="宋体" w:eastAsia="宋体" w:cs="宋体"/>
          <w:color w:val="auto"/>
          <w:kern w:val="2"/>
          <w:sz w:val="28"/>
          <w:szCs w:val="28"/>
          <w:lang w:eastAsia="zh-CN"/>
        </w:rPr>
        <w:t>：工业机器人操作与运维工作站4台；工业机器人离线编程软件；仿真实训系统1套；3D打印机2台；工业传感器应用平台8台；智能家居安装与维护系统；虚拟焊机培训平台2套；电工技能仿真实训软件；</w:t>
      </w:r>
      <w:r>
        <w:rPr>
          <w:rFonts w:hint="eastAsia" w:ascii="宋体" w:hAnsi="宋体" w:cs="宋体"/>
          <w:color w:val="auto"/>
          <w:kern w:val="2"/>
          <w:sz w:val="28"/>
          <w:szCs w:val="28"/>
          <w:lang w:eastAsia="zh-CN"/>
        </w:rPr>
        <w:t>工业机器视觉编程与应用技术平台4台</w:t>
      </w:r>
      <w:r>
        <w:rPr>
          <w:rFonts w:hint="eastAsia" w:ascii="宋体" w:hAnsi="宋体" w:eastAsia="宋体" w:cs="宋体"/>
          <w:color w:val="auto"/>
          <w:kern w:val="2"/>
          <w:sz w:val="28"/>
          <w:szCs w:val="28"/>
          <w:highlight w:val="none"/>
          <w:lang w:val="en-US" w:eastAsia="zh-CN"/>
        </w:rPr>
        <w:t>，具体内容详见招标文件</w:t>
      </w:r>
      <w:r>
        <w:rPr>
          <w:rFonts w:hint="eastAsia" w:ascii="宋体" w:hAnsi="宋体" w:eastAsia="宋体" w:cs="宋体"/>
          <w:color w:val="auto"/>
          <w:kern w:val="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5、</w:t>
      </w:r>
      <w:r>
        <w:rPr>
          <w:rFonts w:hint="eastAsia" w:ascii="宋体" w:hAnsi="宋体" w:eastAsia="宋体" w:cs="宋体"/>
          <w:color w:val="auto"/>
          <w:sz w:val="28"/>
          <w:szCs w:val="28"/>
          <w:highlight w:val="none"/>
          <w:lang w:val="en-US" w:eastAsia="zh-CN"/>
        </w:rPr>
        <w:t>投资额：500万元。</w:t>
      </w:r>
    </w:p>
    <w:p>
      <w:pPr>
        <w:pStyle w:val="39"/>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6、资金来源：财政资金。</w:t>
      </w:r>
    </w:p>
    <w:p>
      <w:pPr>
        <w:pStyle w:val="39"/>
        <w:keepNext w:val="0"/>
        <w:keepLines w:val="0"/>
        <w:pageBreakBefore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本项目招标</w:t>
      </w:r>
      <w:r>
        <w:rPr>
          <w:rFonts w:hint="eastAsia" w:ascii="宋体" w:hAnsi="宋体" w:eastAsia="宋体" w:cs="宋体"/>
          <w:color w:val="auto"/>
          <w:sz w:val="28"/>
          <w:szCs w:val="28"/>
          <w:highlight w:val="none"/>
          <w:lang w:eastAsia="zh-CN"/>
        </w:rPr>
        <w:t>不分</w:t>
      </w:r>
      <w:r>
        <w:rPr>
          <w:rFonts w:hint="eastAsia" w:ascii="宋体" w:hAnsi="宋体" w:eastAsia="宋体" w:cs="宋体"/>
          <w:color w:val="auto"/>
          <w:sz w:val="28"/>
          <w:szCs w:val="28"/>
          <w:highlight w:val="none"/>
        </w:rPr>
        <w:t>标段。</w:t>
      </w:r>
    </w:p>
    <w:p>
      <w:pPr>
        <w:pStyle w:val="39"/>
        <w:keepNext w:val="0"/>
        <w:keepLines w:val="0"/>
        <w:pageBreakBefore w:val="0"/>
        <w:widowControl/>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8、本项目不接受联合体投标。</w:t>
      </w:r>
    </w:p>
    <w:p>
      <w:pPr>
        <w:pStyle w:val="39"/>
        <w:keepNext w:val="0"/>
        <w:keepLines w:val="0"/>
        <w:pageBreakBefore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9、资格审查方式：资格后审。</w:t>
      </w:r>
    </w:p>
    <w:p>
      <w:pPr>
        <w:pStyle w:val="39"/>
        <w:keepNext w:val="0"/>
        <w:keepLines w:val="0"/>
        <w:pageBreakBefore w:val="0"/>
        <w:kinsoku/>
        <w:wordWrap/>
        <w:overflowPunct/>
        <w:topLinePunct w:val="0"/>
        <w:autoSpaceDE/>
        <w:autoSpaceDN/>
        <w:bidi w:val="0"/>
        <w:adjustRightInd/>
        <w:snapToGrid/>
        <w:spacing w:line="520" w:lineRule="exact"/>
        <w:ind w:right="0" w:rightChars="0"/>
        <w:textAlignment w:val="auto"/>
        <w:outlineLvl w:val="9"/>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二、技术标准</w:t>
      </w:r>
    </w:p>
    <w:p>
      <w:pPr>
        <w:pStyle w:val="39"/>
        <w:keepNext w:val="0"/>
        <w:keepLines w:val="0"/>
        <w:pageBreakBefore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1、安全要求：符合国家及地区相关安全生产管理部各项管理要求。</w:t>
      </w:r>
    </w:p>
    <w:p>
      <w:pPr>
        <w:pStyle w:val="39"/>
        <w:keepNext w:val="0"/>
        <w:keepLines w:val="0"/>
        <w:pageBreakBefore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2、技术标准：符合国家验收规范的合格标准。</w:t>
      </w:r>
    </w:p>
    <w:p>
      <w:pPr>
        <w:pStyle w:val="39"/>
        <w:keepNext w:val="0"/>
        <w:keepLines w:val="0"/>
        <w:pageBreakBefore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3、质量标准：达到合格等级标准。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中标后与甲方签订合同后支付合同总额的30%预付款；安装、调试完成、验收合格后支付合同总额的95%，剩余5%做为质保金，在使用一年后正常运行且无质量问题支付余款</w:t>
      </w:r>
      <w:r>
        <w:rPr>
          <w:rFonts w:hint="eastAsia" w:ascii="宋体" w:hAnsi="宋体" w:cs="宋体"/>
          <w:b w:val="0"/>
          <w:bCs w:val="0"/>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四、其他要求</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pPr>
      <w:r>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t>1、中标单位领取中标通知书后与招标方签订合同，逾期不签者作自动弃权处理，招标方将按照评标时排定的顺序另行确定中标人。</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pPr>
      <w:r>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t>2、为有助于投标人选择投标产品，技术参数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pPr>
      <w:r>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t>3、报价要求（投标报价应包含完成招标文件规定的招标范围全部内容所需的全部费用）。</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pPr>
      <w:r>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t>3.1最终总报价（完税价）（出厂价＋货物到达最终目的地点的相关运输费、保险费、装卸费、安装费和伴随服务费等）不接受备选投标报价方案。</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pPr>
      <w:r>
        <w:rPr>
          <w:rFonts w:hint="eastAsia" w:ascii="宋体" w:hAnsi="宋体" w:eastAsia="宋体" w:cs="宋体"/>
          <w:b w:val="0"/>
          <w:bCs w:val="0"/>
          <w:i w:val="0"/>
          <w:caps w:val="0"/>
          <w:color w:val="auto"/>
          <w:spacing w:val="0"/>
          <w:kern w:val="0"/>
          <w:sz w:val="28"/>
          <w:szCs w:val="28"/>
          <w:highlight w:val="none"/>
          <w:shd w:val="clear" w:color="auto" w:fill="FFFFFF"/>
          <w:lang w:val="en-US" w:eastAsia="zh-CN" w:bidi="ar-SA"/>
        </w:rPr>
        <w:t>3.2本次报价须为人民币报价，报价包括但不限于产品的设计、制造（开发）、运输（含包装、运输和货到现场的二次装卸）、保险（交货验收前）、现场保管、仓储、通讯、安装（含安装人员现场住宿）、安装调试等所涉及到的软硬件费用、材料费用、施工费用、检验、验收（含第三方验收）、培训、税费、备品备件、技术资料、技术服务和保修期内的所有费用。因中标人自身原因造成漏报、少报皆由其自行承担责任，招标人不再补偿。</w:t>
      </w:r>
    </w:p>
    <w:p>
      <w:pPr>
        <w:keepNext w:val="0"/>
        <w:keepLines w:val="0"/>
        <w:pageBreakBefore w:val="0"/>
        <w:numPr>
          <w:ilvl w:val="0"/>
          <w:numId w:val="5"/>
        </w:numPr>
        <w:kinsoku/>
        <w:wordWrap/>
        <w:overflowPunct/>
        <w:topLinePunct w:val="0"/>
        <w:autoSpaceDE/>
        <w:autoSpaceDN/>
        <w:bidi w:val="0"/>
        <w:adjustRightInd/>
        <w:snapToGrid/>
        <w:spacing w:line="520" w:lineRule="exact"/>
        <w:textAlignment w:val="auto"/>
        <w:rPr>
          <w:rFonts w:hint="eastAsia" w:ascii="宋体" w:hAnsi="宋体" w:eastAsia="宋体" w:cs="宋体"/>
          <w:b/>
          <w:bCs/>
          <w:i w:val="0"/>
          <w:caps w:val="0"/>
          <w:color w:val="auto"/>
          <w:spacing w:val="0"/>
          <w:kern w:val="0"/>
          <w:sz w:val="28"/>
          <w:szCs w:val="28"/>
          <w:highlight w:val="none"/>
          <w:shd w:val="clear" w:color="auto" w:fill="FFFFFF"/>
          <w:lang w:val="en-US" w:eastAsia="zh-CN" w:bidi="ar-SA"/>
        </w:rPr>
      </w:pPr>
      <w:r>
        <w:rPr>
          <w:rFonts w:hint="eastAsia" w:ascii="宋体" w:hAnsi="宋体" w:eastAsia="宋体" w:cs="宋体"/>
          <w:b/>
          <w:bCs/>
          <w:i w:val="0"/>
          <w:caps w:val="0"/>
          <w:color w:val="auto"/>
          <w:spacing w:val="0"/>
          <w:kern w:val="0"/>
          <w:sz w:val="28"/>
          <w:szCs w:val="28"/>
          <w:highlight w:val="none"/>
          <w:shd w:val="clear" w:color="auto" w:fill="FFFFFF"/>
          <w:lang w:val="en-US" w:eastAsia="zh-CN" w:bidi="ar-SA"/>
        </w:rPr>
        <w:t>技术参数</w:t>
      </w:r>
    </w:p>
    <w:p>
      <w:pPr>
        <w:rPr>
          <w:rFonts w:hint="eastAsia" w:ascii="宋体" w:hAnsi="宋体" w:eastAsia="宋体" w:cs="宋体"/>
          <w:b/>
          <w:bCs/>
          <w:i w:val="0"/>
          <w:caps w:val="0"/>
          <w:color w:val="auto"/>
          <w:spacing w:val="0"/>
          <w:kern w:val="0"/>
          <w:sz w:val="28"/>
          <w:szCs w:val="28"/>
          <w:highlight w:val="none"/>
          <w:shd w:val="clear" w:color="auto" w:fill="FFFFFF"/>
          <w:lang w:val="en-US" w:eastAsia="zh-CN" w:bidi="ar-SA"/>
        </w:rPr>
      </w:pPr>
      <w:r>
        <w:rPr>
          <w:rFonts w:hint="eastAsia" w:ascii="宋体" w:hAnsi="宋体" w:eastAsia="宋体" w:cs="宋体"/>
          <w:b/>
          <w:bCs/>
          <w:i w:val="0"/>
          <w:caps w:val="0"/>
          <w:color w:val="auto"/>
          <w:spacing w:val="0"/>
          <w:kern w:val="0"/>
          <w:sz w:val="28"/>
          <w:szCs w:val="28"/>
          <w:highlight w:val="none"/>
          <w:shd w:val="clear" w:color="auto" w:fill="FFFFFF"/>
          <w:lang w:val="en-US" w:eastAsia="zh-CN" w:bidi="ar-SA"/>
        </w:rPr>
        <w:br w:type="page"/>
      </w:r>
    </w:p>
    <w:p>
      <w:pPr>
        <w:pStyle w:val="22"/>
        <w:rPr>
          <w:rFonts w:hint="eastAsia"/>
          <w:color w:val="auto"/>
          <w:lang w:val="en-US" w:eastAsia="zh-CN"/>
        </w:rPr>
      </w:pPr>
    </w:p>
    <w:p>
      <w:pPr>
        <w:numPr>
          <w:ilvl w:val="0"/>
          <w:numId w:val="0"/>
        </w:numPr>
        <w:snapToGrid/>
        <w:spacing w:before="0" w:beforeAutospacing="0" w:after="0" w:afterAutospacing="0" w:line="240" w:lineRule="auto"/>
        <w:ind w:leftChars="0" w:right="0" w:rightChars="0"/>
        <w:jc w:val="left"/>
        <w:textAlignment w:val="baseline"/>
        <w:rPr>
          <w:rFonts w:hint="eastAsia" w:ascii="宋体" w:hAnsi="宋体" w:eastAsia="宋体" w:cs="宋体"/>
          <w:b/>
          <w:bCs/>
          <w:i w:val="0"/>
          <w:caps w:val="0"/>
          <w:color w:val="auto"/>
          <w:spacing w:val="0"/>
          <w:w w:val="100"/>
          <w:sz w:val="21"/>
          <w:szCs w:val="21"/>
        </w:rPr>
      </w:pPr>
      <w:r>
        <w:rPr>
          <w:rFonts w:hint="eastAsia" w:ascii="宋体" w:hAnsi="宋体" w:eastAsia="宋体" w:cs="宋体"/>
          <w:b/>
          <w:bCs/>
          <w:i w:val="0"/>
          <w:caps w:val="0"/>
          <w:color w:val="auto"/>
          <w:spacing w:val="0"/>
          <w:w w:val="100"/>
          <w:sz w:val="21"/>
          <w:szCs w:val="21"/>
          <w:lang w:val="en-US" w:eastAsia="zh-CN"/>
        </w:rPr>
        <w:t>1、</w:t>
      </w:r>
      <w:r>
        <w:rPr>
          <w:rFonts w:hint="eastAsia" w:ascii="宋体" w:hAnsi="宋体" w:eastAsia="宋体" w:cs="宋体"/>
          <w:b/>
          <w:bCs/>
          <w:i w:val="0"/>
          <w:caps w:val="0"/>
          <w:color w:val="auto"/>
          <w:spacing w:val="0"/>
          <w:w w:val="100"/>
          <w:sz w:val="21"/>
          <w:szCs w:val="21"/>
        </w:rPr>
        <w:t>项目采购清单</w:t>
      </w:r>
    </w:p>
    <w:tbl>
      <w:tblPr>
        <w:tblStyle w:val="2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2"/>
        <w:gridCol w:w="5352"/>
        <w:gridCol w:w="115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2" w:hRule="atLeast"/>
          <w:jc w:val="center"/>
        </w:trPr>
        <w:tc>
          <w:tcPr>
            <w:tcW w:w="802" w:type="dxa"/>
            <w:shd w:val="clear" w:color="auto" w:fill="auto"/>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序号</w:t>
            </w:r>
          </w:p>
        </w:tc>
        <w:tc>
          <w:tcPr>
            <w:tcW w:w="5352" w:type="dxa"/>
            <w:shd w:val="clear" w:color="auto" w:fill="auto"/>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设备名称</w:t>
            </w:r>
          </w:p>
        </w:tc>
        <w:tc>
          <w:tcPr>
            <w:tcW w:w="1158" w:type="dxa"/>
            <w:shd w:val="clear" w:color="auto" w:fill="auto"/>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单位</w:t>
            </w:r>
          </w:p>
        </w:tc>
        <w:tc>
          <w:tcPr>
            <w:tcW w:w="1408" w:type="dxa"/>
            <w:shd w:val="clear" w:color="auto" w:fill="auto"/>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6" w:hRule="atLeast"/>
          <w:jc w:val="center"/>
        </w:trPr>
        <w:tc>
          <w:tcPr>
            <w:tcW w:w="80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1</w:t>
            </w:r>
          </w:p>
        </w:tc>
        <w:tc>
          <w:tcPr>
            <w:tcW w:w="535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工业机器人操作与运维工作站</w:t>
            </w:r>
          </w:p>
        </w:tc>
        <w:tc>
          <w:tcPr>
            <w:tcW w:w="115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台</w:t>
            </w:r>
          </w:p>
        </w:tc>
        <w:tc>
          <w:tcPr>
            <w:tcW w:w="140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6" w:hRule="atLeast"/>
          <w:jc w:val="center"/>
        </w:trPr>
        <w:tc>
          <w:tcPr>
            <w:tcW w:w="80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2</w:t>
            </w:r>
          </w:p>
        </w:tc>
        <w:tc>
          <w:tcPr>
            <w:tcW w:w="535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工业机器人离线编程软件</w:t>
            </w:r>
          </w:p>
        </w:tc>
        <w:tc>
          <w:tcPr>
            <w:tcW w:w="115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节点</w:t>
            </w:r>
          </w:p>
        </w:tc>
        <w:tc>
          <w:tcPr>
            <w:tcW w:w="140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6" w:hRule="atLeast"/>
          <w:jc w:val="center"/>
        </w:trPr>
        <w:tc>
          <w:tcPr>
            <w:tcW w:w="80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3</w:t>
            </w:r>
          </w:p>
        </w:tc>
        <w:tc>
          <w:tcPr>
            <w:tcW w:w="535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工业机器人操作与运维仿真实训系统</w:t>
            </w:r>
          </w:p>
        </w:tc>
        <w:tc>
          <w:tcPr>
            <w:tcW w:w="115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节点</w:t>
            </w:r>
          </w:p>
        </w:tc>
        <w:tc>
          <w:tcPr>
            <w:tcW w:w="140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80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4</w:t>
            </w:r>
          </w:p>
        </w:tc>
        <w:tc>
          <w:tcPr>
            <w:tcW w:w="535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FDM塑料3D打印机</w:t>
            </w:r>
          </w:p>
        </w:tc>
        <w:tc>
          <w:tcPr>
            <w:tcW w:w="1158" w:type="dxa"/>
            <w:shd w:val="clear" w:color="auto" w:fill="auto"/>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台</w:t>
            </w:r>
          </w:p>
        </w:tc>
        <w:tc>
          <w:tcPr>
            <w:tcW w:w="140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6" w:hRule="atLeast"/>
          <w:jc w:val="center"/>
        </w:trPr>
        <w:tc>
          <w:tcPr>
            <w:tcW w:w="80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5</w:t>
            </w:r>
          </w:p>
        </w:tc>
        <w:tc>
          <w:tcPr>
            <w:tcW w:w="535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cs="宋体"/>
                <w:b w:val="0"/>
                <w:i w:val="0"/>
                <w:caps w:val="0"/>
                <w:color w:val="auto"/>
                <w:spacing w:val="0"/>
                <w:w w:val="100"/>
                <w:kern w:val="0"/>
                <w:sz w:val="21"/>
                <w:szCs w:val="21"/>
                <w:highlight w:val="none"/>
                <w:lang w:val="en-US" w:eastAsia="zh-CN" w:bidi="ar"/>
              </w:rPr>
              <w:t>工业机器视觉编程与应用技术平台</w:t>
            </w:r>
          </w:p>
        </w:tc>
        <w:tc>
          <w:tcPr>
            <w:tcW w:w="1158" w:type="dxa"/>
            <w:shd w:val="clear" w:color="auto" w:fill="auto"/>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台</w:t>
            </w:r>
          </w:p>
        </w:tc>
        <w:tc>
          <w:tcPr>
            <w:tcW w:w="140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80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6</w:t>
            </w:r>
          </w:p>
        </w:tc>
        <w:tc>
          <w:tcPr>
            <w:tcW w:w="535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工业传感器集成应用平台</w:t>
            </w:r>
          </w:p>
        </w:tc>
        <w:tc>
          <w:tcPr>
            <w:tcW w:w="1158" w:type="dxa"/>
            <w:shd w:val="clear" w:color="auto" w:fill="auto"/>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台</w:t>
            </w:r>
          </w:p>
        </w:tc>
        <w:tc>
          <w:tcPr>
            <w:tcW w:w="140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80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7</w:t>
            </w:r>
          </w:p>
        </w:tc>
        <w:tc>
          <w:tcPr>
            <w:tcW w:w="535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智能家居安装与维护系统</w:t>
            </w:r>
          </w:p>
        </w:tc>
        <w:tc>
          <w:tcPr>
            <w:tcW w:w="115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套</w:t>
            </w:r>
          </w:p>
        </w:tc>
        <w:tc>
          <w:tcPr>
            <w:tcW w:w="140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80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8</w:t>
            </w:r>
          </w:p>
        </w:tc>
        <w:tc>
          <w:tcPr>
            <w:tcW w:w="535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虚拟焊接培训平台</w:t>
            </w:r>
          </w:p>
        </w:tc>
        <w:tc>
          <w:tcPr>
            <w:tcW w:w="115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cs="宋体"/>
                <w:b w:val="0"/>
                <w:i w:val="0"/>
                <w:caps w:val="0"/>
                <w:color w:val="auto"/>
                <w:spacing w:val="0"/>
                <w:w w:val="100"/>
                <w:kern w:val="0"/>
                <w:sz w:val="21"/>
                <w:szCs w:val="21"/>
                <w:lang w:val="en-US" w:eastAsia="zh-CN" w:bidi="ar"/>
              </w:rPr>
              <w:t>台</w:t>
            </w:r>
          </w:p>
        </w:tc>
        <w:tc>
          <w:tcPr>
            <w:tcW w:w="140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80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9</w:t>
            </w:r>
          </w:p>
        </w:tc>
        <w:tc>
          <w:tcPr>
            <w:tcW w:w="5352"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电工技能仿真实训软件</w:t>
            </w:r>
          </w:p>
        </w:tc>
        <w:tc>
          <w:tcPr>
            <w:tcW w:w="115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节点</w:t>
            </w:r>
          </w:p>
        </w:tc>
        <w:tc>
          <w:tcPr>
            <w:tcW w:w="1408" w:type="dxa"/>
            <w:shd w:val="clear" w:color="auto" w:fill="auto"/>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kern w:val="0"/>
                <w:sz w:val="21"/>
                <w:szCs w:val="21"/>
                <w:lang w:val="en-US" w:eastAsia="zh-CN" w:bidi="ar"/>
              </w:rPr>
              <w:t>50</w:t>
            </w:r>
          </w:p>
        </w:tc>
      </w:tr>
    </w:tbl>
    <w:p>
      <w:pPr>
        <w:snapToGrid/>
        <w:spacing w:before="0" w:beforeAutospacing="0" w:after="0" w:afterAutospacing="0" w:line="240" w:lineRule="auto"/>
        <w:ind w:left="0" w:leftChars="0" w:right="0" w:firstLine="0" w:firstLineChars="0"/>
        <w:jc w:val="left"/>
        <w:textAlignment w:val="baseline"/>
        <w:rPr>
          <w:rFonts w:hint="eastAsia" w:ascii="宋体" w:hAnsi="宋体" w:eastAsia="宋体" w:cs="宋体"/>
          <w:b w:val="0"/>
          <w:bCs w:val="0"/>
          <w:i w:val="0"/>
          <w:caps w:val="0"/>
          <w:color w:val="auto"/>
          <w:spacing w:val="0"/>
          <w:w w:val="100"/>
          <w:sz w:val="21"/>
          <w:szCs w:val="21"/>
        </w:rPr>
      </w:pPr>
    </w:p>
    <w:p>
      <w:pPr>
        <w:snapToGrid/>
        <w:spacing w:before="0" w:beforeAutospacing="0" w:after="0" w:afterAutospacing="0" w:line="240" w:lineRule="auto"/>
        <w:ind w:left="0" w:leftChars="0" w:right="0" w:firstLine="0" w:firstLineChars="0"/>
        <w:jc w:val="left"/>
        <w:textAlignment w:val="baseline"/>
        <w:rPr>
          <w:rFonts w:hint="eastAsia" w:ascii="宋体" w:hAnsi="宋体" w:eastAsia="宋体" w:cs="宋体"/>
          <w:b/>
          <w:bCs/>
          <w:i w:val="0"/>
          <w:caps w:val="0"/>
          <w:color w:val="auto"/>
          <w:spacing w:val="0"/>
          <w:w w:val="100"/>
          <w:sz w:val="21"/>
          <w:szCs w:val="21"/>
        </w:rPr>
      </w:pPr>
      <w:r>
        <w:rPr>
          <w:rFonts w:hint="eastAsia" w:ascii="宋体" w:hAnsi="宋体" w:eastAsia="宋体" w:cs="宋体"/>
          <w:b/>
          <w:bCs/>
          <w:i w:val="0"/>
          <w:caps w:val="0"/>
          <w:color w:val="auto"/>
          <w:spacing w:val="0"/>
          <w:w w:val="100"/>
          <w:sz w:val="21"/>
          <w:szCs w:val="21"/>
        </w:rPr>
        <w:t>2、项目采购内容详细技术参数要求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20" w:firstLineChars="200"/>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以下对设备的详细技术参数要求，仅是为明确表述产品的功能和关键技术能力，不代表任何唯一产品品牌或型号的指向性。投标人在投标中可以自由选择合适的产品品牌和型号代替，但产品功能和技术参数不得低于以下要求。</w:t>
      </w:r>
    </w:p>
    <w:tbl>
      <w:tblPr>
        <w:tblStyle w:val="29"/>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7"/>
        <w:gridCol w:w="1145"/>
        <w:gridCol w:w="5793"/>
        <w:gridCol w:w="111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27" w:type="dxa"/>
            <w:vMerge w:val="restart"/>
            <w:shd w:val="clear" w:color="auto" w:fill="auto"/>
            <w:noWrap/>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序号</w:t>
            </w:r>
          </w:p>
        </w:tc>
        <w:tc>
          <w:tcPr>
            <w:tcW w:w="1145" w:type="dxa"/>
            <w:vMerge w:val="restart"/>
            <w:shd w:val="clear" w:color="auto" w:fill="auto"/>
            <w:noWrap/>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仪器设备名称</w:t>
            </w:r>
          </w:p>
        </w:tc>
        <w:tc>
          <w:tcPr>
            <w:tcW w:w="5793" w:type="dxa"/>
            <w:vMerge w:val="restart"/>
            <w:shd w:val="clear" w:color="auto" w:fill="auto"/>
            <w:noWrap/>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val="en-US" w:eastAsia="zh-CN" w:bidi="ar"/>
              </w:rPr>
            </w:pPr>
            <w:r>
              <w:rPr>
                <w:rFonts w:hint="eastAsia" w:ascii="宋体" w:hAnsi="宋体" w:eastAsia="宋体" w:cs="宋体"/>
                <w:b w:val="0"/>
                <w:bCs w:val="0"/>
                <w:i w:val="0"/>
                <w:caps w:val="0"/>
                <w:color w:val="auto"/>
                <w:spacing w:val="0"/>
                <w:w w:val="100"/>
                <w:kern w:val="0"/>
                <w:sz w:val="21"/>
                <w:szCs w:val="21"/>
                <w:lang w:bidi="ar"/>
              </w:rPr>
              <w:t>技术参数与要求</w:t>
            </w:r>
          </w:p>
        </w:tc>
        <w:tc>
          <w:tcPr>
            <w:tcW w:w="1110" w:type="dxa"/>
            <w:shd w:val="clear" w:color="auto" w:fill="auto"/>
            <w:noWrap/>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数量</w:t>
            </w:r>
          </w:p>
        </w:tc>
        <w:tc>
          <w:tcPr>
            <w:tcW w:w="768" w:type="dxa"/>
            <w:vMerge w:val="restart"/>
            <w:shd w:val="clear" w:color="auto" w:fill="auto"/>
            <w:noWrap/>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val="en-US" w:eastAsia="zh-CN" w:bidi="ar"/>
              </w:rPr>
            </w:pPr>
            <w:r>
              <w:rPr>
                <w:rFonts w:hint="eastAsia" w:ascii="宋体" w:hAnsi="宋体" w:eastAsia="宋体" w:cs="宋体"/>
                <w:b w:val="0"/>
                <w:bCs w:val="0"/>
                <w:i w:val="0"/>
                <w:caps w:val="0"/>
                <w:color w:val="auto"/>
                <w:spacing w:val="0"/>
                <w:w w:val="10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727" w:type="dxa"/>
            <w:vMerge w:val="continue"/>
            <w:shd w:val="clear" w:color="auto" w:fill="auto"/>
            <w:noWrap/>
            <w:vAlign w:val="center"/>
          </w:tcPr>
          <w:p>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rPr>
            </w:pPr>
          </w:p>
        </w:tc>
        <w:tc>
          <w:tcPr>
            <w:tcW w:w="1145" w:type="dxa"/>
            <w:vMerge w:val="continue"/>
            <w:shd w:val="clear" w:color="auto" w:fill="auto"/>
            <w:noWrap/>
            <w:vAlign w:val="center"/>
          </w:tcPr>
          <w:p>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rPr>
            </w:pPr>
          </w:p>
        </w:tc>
        <w:tc>
          <w:tcPr>
            <w:tcW w:w="5793" w:type="dxa"/>
            <w:vMerge w:val="continue"/>
            <w:shd w:val="clear" w:color="auto" w:fill="auto"/>
            <w:noWrap/>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val="en-US" w:eastAsia="zh-CN" w:bidi="ar"/>
              </w:rPr>
            </w:pPr>
          </w:p>
        </w:tc>
        <w:tc>
          <w:tcPr>
            <w:tcW w:w="1110" w:type="dxa"/>
            <w:shd w:val="clear" w:color="auto" w:fill="auto"/>
            <w:noWrap/>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（台套）</w:t>
            </w:r>
          </w:p>
        </w:tc>
        <w:tc>
          <w:tcPr>
            <w:tcW w:w="768" w:type="dxa"/>
            <w:vMerge w:val="continue"/>
            <w:shd w:val="clear" w:color="auto" w:fill="auto"/>
            <w:noWrap/>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27"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1</w:t>
            </w:r>
          </w:p>
        </w:tc>
        <w:tc>
          <w:tcPr>
            <w:tcW w:w="1145"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工业机器人操作与运维工作站</w:t>
            </w:r>
          </w:p>
        </w:tc>
        <w:tc>
          <w:tcPr>
            <w:tcW w:w="5793" w:type="dxa"/>
            <w:shd w:val="clear" w:color="auto" w:fill="auto"/>
            <w:noWrap w:val="0"/>
            <w:vAlign w:val="center"/>
          </w:tcPr>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 xml:space="preserve">要求设备包含安全模块、轨迹规划模块、供料模块、运输模块、装配模块、抛光打磨模块、工装夹具模块、变位机焊接模块、工业机器人等模块。涵盖工业相机引导技术，工业机器人的操作与编程、工业机器人维护与保养、现场总线技术、可编程控制器技术。可根据任务需求，搭建不同模块，组建工业机器人搬运码垛工作站、装配工作站、 抛光打磨工作站、焊接工作站等机器人典型工作站。满足 </w:t>
            </w:r>
            <w:r>
              <w:rPr>
                <w:rFonts w:hint="eastAsia" w:ascii="宋体" w:hAnsi="宋体" w:eastAsia="宋体" w:cs="宋体"/>
                <w:b w:val="0"/>
                <w:bCs w:val="0"/>
                <w:i w:val="0"/>
                <w:caps w:val="0"/>
                <w:color w:val="auto"/>
                <w:spacing w:val="0"/>
                <w:w w:val="100"/>
                <w:kern w:val="0"/>
                <w:sz w:val="21"/>
                <w:szCs w:val="21"/>
                <w:lang w:val="en-US" w:eastAsia="zh-CN"/>
              </w:rPr>
              <w:t>1+</w:t>
            </w:r>
            <w:r>
              <w:rPr>
                <w:rFonts w:hint="eastAsia" w:ascii="宋体" w:hAnsi="宋体" w:eastAsia="宋体" w:cs="宋体"/>
                <w:b w:val="0"/>
                <w:bCs w:val="0"/>
                <w:i w:val="0"/>
                <w:caps w:val="0"/>
                <w:color w:val="auto"/>
                <w:spacing w:val="0"/>
                <w:w w:val="100"/>
                <w:kern w:val="0"/>
                <w:sz w:val="21"/>
                <w:szCs w:val="21"/>
              </w:rPr>
              <w:t>X 证书《工业机器人操作与运维职业技能等级标准》 的要求。</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工业机器人 1台</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本体：</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具有6个自由度，串联关节型工业机器人</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工作范围580mm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额定负载3kg</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4)</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重复定位精度0.01mm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5)</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安全性包括安全停、紧急停、2通道安全回路监测、3位启动装置</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6)</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集成信号源为手腕设10路信号</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7)</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集成气源为手腕设4路空气（5bar）</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控制器：</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采用先进的工业机器人控制软件</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采用高级工业机器人编程语言</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内置16路输入/16路输出的数字量I/O模块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示教器：</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图形化彩色触摸屏</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操纵杆</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热插拔，运行时可插拔</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底座：</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材料铝合金</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尺寸260mm×260mm×15mm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快换工具单元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▲工具快换系统：机器人手臂安装有法兰端快换模块，可实现不同工具间自动切换，6路气动信号，额定负载3kg，厚度38mm，重量125g</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胶枪工具：含有工具端快换模块与法兰端快换模块配套，总长140mm，外壳为铝合金材质，可以配合轨迹图纸实现模拟零件外壳涂胶的轨迹编程实训，可更换笔芯设计且笔芯可10mm窜动防止碰撞损坏</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夹爪工具：含有工具端快换模块与法兰端快换模块配套，可稳固抓取搬运码垛物料，总长138mm，夹头为铝合金材质，采用气动驱动，内径20mm，重复精度±0.01mm，闭合夹持力45N，开闭行程10mm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4)</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吸盘工具：含有工具端快换模块与法兰端快换模块配套，4mm直径吸盘1个，20mm直径吸盘4个，两组吸盘采用90度安装，可稳固抓取各种形状的芯片零件及盖板</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5)</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打磨工具：含有工具端快换模块与法兰端快换模块配套，含有电动打磨工具，配有打磨头，可对零件表面进行打磨加工</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6)</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焊枪工具：含有工具端快换模块与法兰端快换模块配套，含有一个内置激光头的模拟焊枪工具，用于焊接动作模拟</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涂胶单元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3D轨迹图板尺寸448mm×252mm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轨迹路径包含圆形、三角形、复杂轮廓和样条曲线，以及不同位置、不同指向的基准坐标系</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提供工具TCP参数标定用尖锥，材质不锈钢，可以随意固定在轨迹图板的任何位置</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4)</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包含带有把手的安装底板一块，尺寸500mm×260mm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码垛单元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原料台由铝型材配合不锈钢导槽构成，利用高度差实现物料自动排列，可满足最多6个物料的存储</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码垛台由台面和支撑构成，台面为POM，尺寸150mm×115mm×15mm，采用铝合金型材支撑，高度160mm，可满足多种形式的码垛</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包含模拟物料，材质PVC，尺寸65mm×32.5mm×15mm，数量6个，采用工形设计方便夹爪夹持，可实现在两个码垛台间的搬运、码垛实训</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4)</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包含带有把手的安装底板一块，尺寸325mm×190mm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视觉检测单元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视觉检测采用CCD拍照检测，有效像素数1600×1200，彩色检测，摄像面积7.1mm×5.4mm，场景数128个，可存储图像数43张，可利用流程编辑功能制作处理流程，支持串行RS-232C和网络Ethernet通讯，提供高速输入1点、高速输出4点、通用输入9点和通用输出23点的并行通信，提供DVI-I监控输出</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提供环形光源，内圆直径90mm，外圆直径120mm，供电电压24V，供电电流440mA</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视觉检测结果和采集图像信息通过显示器即时显示，方便视觉检测参数调整和状态监控</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4)</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包含带有把手的安装底板一块，尺寸530mm×340mm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装配及检测单元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安装检测单元内含2个功能相同的装配检测工位，可与工业机器人配合完成PCB异形芯片的安装及检测功能，2个工位的安装由铝型材搭建的框架支撑</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安装检测工位整体尺寸为410mm×190mm×180mm，结构为铝合金材质，分为底板、安装平台和检测支架</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安装平台安装在双列线性滑轨上，宽度9mm，长度335mm，采用气动驱动，内径16mm，有效行程200mm，安全保持力140N</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4)</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检测支架升降由气动驱动，内径16mm，有效行程20mm，安装有LED导光板，尺寸为100mm×100mm×1.5mm，可在检测过程中亮起</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5)</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安装有红、绿两色指示灯，用于在检测完成后提示安装是否有误、芯片是否有缺陷</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6)</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包含带有把手的安装底板一块，尺寸520mm×395mm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7) 单元配备有与气电快插单元连接的24芯航空插头和气路控制电磁阀</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PCB及芯片料库单元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单层共2个料区，可分别用于存放异形芯片零件、盖板</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整体弧形设计，内圆半径500mm，方便机器人抓取物料</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电子产品PCB电路板由异形芯片零件、PCB电路板和盖板组成，PCB电路板和盖板由螺丝紧固</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4)</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异形芯片零件，包括圆形、小矩形、大矩形、方形等不同形状和不同颜色的芯片，用以代表CPU、集成电路、电阻、电容、三极管等元件</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5)</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PCB电路板，尺寸112mm×112mm，厚1.5mm，上绘制了模拟电路线路图，留有不同异形芯片零件的安装位置，每个PCB电路板的线路图和芯片零件安装位置都不相同，代表不同电子产品，四角提供螺钉孔</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6)</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盖板，尺寸120mm×120mm，厚8mm，外壳雕刻文字代表不同电子产品，四角提供螺钉孔</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7)</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包含带有把手的安装底板一块，尺寸400mm×220mm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焊接打磨去毛刺单元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分别包含三个模块：去毛刺模块、带变位机的焊接平台、带力控打磨平台</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去毛刺模块：包含一个去毛刺工具，去毛刺工具为电动打磨头，直径40mm，供电电源5V，供电电流2A，采用轴承，可用于多种材料的切削打磨</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带变位机的焊接平台：包含一个伺服变位机和减速器，通过同步带传动，可实现不同角度对零件的焊接。伺服输入电源：单/三相200V-240V 50/60HZ；控制电路电源：DC24V（±10%）；控制方式：正弦波PWM控制、电流控制方式；伺服电机功率为：200W；保护功能：过电流断路、再生过电流断路、过负载断路、电机过热保护、编码器异常保护、再生异常保护、欠电压保护、瞬时停电保护、过速保护、误差过大保护；支持控制模式：位置控制、速度控制、转矩控制等，支持Profinet协议。平台上集成有用于夹紧零件的气缸，缸径10mm，行程10mm。槽型光电用于零位检测。减速器减速比为1:8</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打磨模块：包含有一个力传感器，用于检测打磨过程中对打磨工件的正压力，压力数据通过数显仪实时显示。力传感器外径尺寸58mm，高30mm，量程为0~10KG，综合测量精度0.3%F*S。平台上集成有用于夹紧零件的气缸，缸径10mm，行程10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三个模块均安装在倾斜20度的安装板上，安装板尺寸为400mm x260mm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包含带有把手的安装底板一块，尺寸420mm×240mm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焊接打磨去毛刺对象均为1:2.5的仿型铁轨，材质为Q235</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单元配备有与气电快插单元连接的24芯航空插头和气路控制电磁阀</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智能料库单元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智能料库单元由上下两层弧形板组成，上层弧形板可放置6个矩形码垛块，下层弧形板可放置6个铁轨毛坯料件，且下层每个料位均带有光电传感器进行缺料检测</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弧形料库单元安装在双列线性滑轨上，宽度20mm，长度310mm，采用无杆气缸驱动，内径16mm，有效行程200mm，安全保持力140N；气缸两端安装有接近传感器，用于检测气缸运动是否到位</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包含带有把手的安装底板一块，尺寸315mm×710mm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单元配备有与气电快插单元连接的24芯航空插头和气路控制电磁阀</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气电快插单元  3套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气电快插单元由一个电路通道和一个气路通道组成。</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电路通道配有24孔位的航空插座，可配合接触件直径1mm的航空插头，最大通过电流5A，最大电压400V，焊接方式接线</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气路通道配有气动手滑阀和8mm管接头，用于控制气路的通断</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气电快插组件安装在斜上45°方向的连接钣金上</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操控面板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提供工作站启动、停止、模式控制和急停按钮，可实现对设备运行操作</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提供故障及设备运行状态指示灯</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提供多个故障设置点，可模拟不同情况下的故障</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4)</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提供多个电路信号及气路信号的快接插口，可以方便完成电气接线及调试训练</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5)</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 xml:space="preserve">▲包含工业HMI触摸屏作为人机交互接口，屏幕尺寸9寸带按键，显示屏为TFT 真彩液晶屏 64K色  </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分辨率为800 x 480，支持接口PROFINET（以太网）</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总控系统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控制系统对标工业安全标准，采用故障安全型PLC和故障安全数字量输入模块，构建故障安全型控制系统，确保操作安全。</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采用高性能故障安全型CPU作为控制核心，提供PROFINET通信接口，工作存储器125KB，负载存储器4MB，CPU板载14点数字量输入、10点数字量输出和2点模拟量输入接口，布尔运算执行速度0.08μs/指令，移动字执行速度1.7μs/指令，实数数学运算执行速度2.3μs/指令。附带3个16点数字量输入16点数字量输出模块，另附带一个故障安全数字量输入模块，用于安全光栅、急停等安全传感器信号采集</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电气控制元件采用</w:t>
            </w:r>
            <w:r>
              <w:rPr>
                <w:rFonts w:hint="eastAsia" w:ascii="宋体" w:hAnsi="宋体" w:eastAsia="宋体" w:cs="宋体"/>
                <w:b w:val="0"/>
                <w:bCs w:val="0"/>
                <w:i w:val="0"/>
                <w:caps w:val="0"/>
                <w:color w:val="auto"/>
                <w:spacing w:val="0"/>
                <w:w w:val="100"/>
                <w:kern w:val="0"/>
                <w:sz w:val="21"/>
                <w:szCs w:val="21"/>
                <w:lang w:val="en-US" w:eastAsia="zh-CN"/>
              </w:rPr>
              <w:t>等同于或优于</w:t>
            </w:r>
            <w:r>
              <w:rPr>
                <w:rFonts w:hint="eastAsia" w:ascii="宋体" w:hAnsi="宋体" w:eastAsia="宋体" w:cs="宋体"/>
                <w:b w:val="0"/>
                <w:bCs w:val="0"/>
                <w:i w:val="0"/>
                <w:caps w:val="0"/>
                <w:color w:val="auto"/>
                <w:spacing w:val="0"/>
                <w:w w:val="100"/>
                <w:kern w:val="0"/>
                <w:sz w:val="21"/>
                <w:szCs w:val="21"/>
              </w:rPr>
              <w:t>知名品牌优质产品，包含滤波、短路保险等安全机制</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工作台正面提供运行安全装置，采用光栅传感器，光轴数量8，光轴间距40mm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操作过程可通过摄像头采集记录，焦距2.8mm，焦段广角，清晰度720p，感光面积1/3英寸，IP66防水防尘，可通过WiFi连接云端监控，监控信息可存储在扩展存储卡中</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供气系统功率600W，排气量118L/min，最大压力8bar，储气罐24L，噪音52db，静音无油，配套</w:t>
            </w:r>
            <w:r>
              <w:rPr>
                <w:rFonts w:hint="eastAsia" w:ascii="宋体" w:hAnsi="宋体" w:eastAsia="宋体" w:cs="宋体"/>
                <w:b w:val="0"/>
                <w:bCs w:val="0"/>
                <w:i w:val="0"/>
                <w:caps w:val="0"/>
                <w:color w:val="auto"/>
                <w:spacing w:val="0"/>
                <w:w w:val="100"/>
                <w:kern w:val="0"/>
                <w:sz w:val="21"/>
                <w:szCs w:val="21"/>
                <w:lang w:val="en-US" w:eastAsia="zh-CN"/>
              </w:rPr>
              <w:t>等同于或优于</w:t>
            </w:r>
            <w:r>
              <w:rPr>
                <w:rFonts w:hint="eastAsia" w:ascii="宋体" w:hAnsi="宋体" w:eastAsia="宋体" w:cs="宋体"/>
                <w:b w:val="0"/>
                <w:bCs w:val="0"/>
                <w:i w:val="0"/>
                <w:caps w:val="0"/>
                <w:color w:val="auto"/>
                <w:spacing w:val="0"/>
                <w:w w:val="100"/>
                <w:kern w:val="0"/>
                <w:sz w:val="21"/>
                <w:szCs w:val="21"/>
              </w:rPr>
              <w:t>知名品牌气路控制元件和真空元件</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工作台架  1台</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1)</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铝合金框架，有机玻璃门，碳钢钣金侧板及底板，正面和背面可打开存放设备及物品</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2)</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整体尺寸2240mm×1380mm×800mm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3)</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安装台面为铝合金T型槽，台面尺寸2240mm×1200mm，厚度20mm</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4)</w:t>
            </w:r>
            <w:r>
              <w:rPr>
                <w:rFonts w:hint="eastAsia" w:ascii="宋体" w:hAnsi="宋体" w:eastAsia="宋体" w:cs="宋体"/>
                <w:b w:val="0"/>
                <w:bCs w:val="0"/>
                <w:i w:val="0"/>
                <w:caps w:val="0"/>
                <w:color w:val="auto"/>
                <w:spacing w:val="0"/>
                <w:w w:val="100"/>
                <w:kern w:val="0"/>
                <w:sz w:val="21"/>
                <w:szCs w:val="21"/>
              </w:rPr>
              <w:tab/>
            </w:r>
            <w:r>
              <w:rPr>
                <w:rFonts w:hint="eastAsia" w:ascii="宋体" w:hAnsi="宋体" w:eastAsia="宋体" w:cs="宋体"/>
                <w:b w:val="0"/>
                <w:bCs w:val="0"/>
                <w:i w:val="0"/>
                <w:caps w:val="0"/>
                <w:color w:val="auto"/>
                <w:spacing w:val="0"/>
                <w:w w:val="100"/>
                <w:kern w:val="0"/>
                <w:sz w:val="21"/>
                <w:szCs w:val="21"/>
              </w:rPr>
              <w:t>底部安装有万向脚轮和固定支撑，方便移动和固定</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rPr>
            </w:pPr>
            <w:r>
              <w:rPr>
                <w:rFonts w:hint="eastAsia" w:ascii="宋体" w:hAnsi="宋体" w:eastAsia="宋体" w:cs="宋体"/>
                <w:b w:val="0"/>
                <w:bCs w:val="0"/>
                <w:i w:val="0"/>
                <w:caps w:val="0"/>
                <w:color w:val="auto"/>
                <w:spacing w:val="0"/>
                <w:w w:val="100"/>
                <w:kern w:val="0"/>
                <w:sz w:val="21"/>
                <w:szCs w:val="21"/>
              </w:rPr>
              <w:t>配套工具  1套</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kern w:val="0"/>
                <w:sz w:val="21"/>
                <w:szCs w:val="21"/>
                <w:highlight w:val="none"/>
              </w:rPr>
            </w:pPr>
            <w:r>
              <w:rPr>
                <w:rFonts w:hint="eastAsia" w:ascii="宋体" w:hAnsi="宋体" w:eastAsia="宋体" w:cs="宋体"/>
                <w:b w:val="0"/>
                <w:bCs w:val="0"/>
                <w:i w:val="0"/>
                <w:caps w:val="0"/>
                <w:color w:val="auto"/>
                <w:spacing w:val="0"/>
                <w:w w:val="100"/>
                <w:kern w:val="0"/>
                <w:sz w:val="21"/>
                <w:szCs w:val="21"/>
              </w:rPr>
              <w:t>提供安装、调试工作站所需工具一套，包括：工具箱1个、内六角扳手1</w:t>
            </w:r>
            <w:r>
              <w:rPr>
                <w:rFonts w:hint="eastAsia" w:ascii="宋体" w:hAnsi="宋体" w:eastAsia="宋体" w:cs="宋体"/>
                <w:b w:val="0"/>
                <w:bCs w:val="0"/>
                <w:i w:val="0"/>
                <w:caps w:val="0"/>
                <w:color w:val="auto"/>
                <w:spacing w:val="0"/>
                <w:w w:val="100"/>
                <w:kern w:val="0"/>
                <w:sz w:val="21"/>
                <w:szCs w:val="21"/>
                <w:highlight w:val="none"/>
              </w:rPr>
              <w:t>套、250mm活动扳手1把、17mm/19mm开口扳手1把、13mm开口扳手1把、5.5mm开口扳手1把、螺丝刀1套、5米卷尺1个、斜口钳1把、Y型端子钳1把、裸端型端子钳1把、剥线钳1把、美工刀1把、万用表1个、PLC编程线1根、触摸屏编程线1根、程序拷贝U盘1个</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auto"/>
                <w:spacing w:val="0"/>
                <w:w w:val="100"/>
                <w:kern w:val="0"/>
                <w:sz w:val="21"/>
                <w:szCs w:val="21"/>
                <w:lang w:val="en-US" w:eastAsia="zh-CN" w:bidi="ar"/>
              </w:rPr>
            </w:pPr>
            <w:r>
              <w:rPr>
                <w:rFonts w:hint="eastAsia" w:ascii="宋体" w:hAnsi="宋体" w:cs="宋体"/>
                <w:b w:val="0"/>
                <w:i w:val="0"/>
                <w:caps w:val="0"/>
                <w:color w:val="auto"/>
                <w:spacing w:val="0"/>
                <w:w w:val="100"/>
                <w:sz w:val="21"/>
                <w:szCs w:val="21"/>
                <w:highlight w:val="none"/>
                <w:lang w:eastAsia="zh-CN"/>
              </w:rPr>
              <w:t>投标商须提供生产厂家出具针对本项目的售后服务承诺加盖公章。</w:t>
            </w:r>
          </w:p>
        </w:tc>
        <w:tc>
          <w:tcPr>
            <w:tcW w:w="1110"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4</w:t>
            </w:r>
            <w:r>
              <w:rPr>
                <w:rFonts w:hint="eastAsia" w:ascii="宋体" w:hAnsi="宋体" w:eastAsia="宋体" w:cs="宋体"/>
                <w:b w:val="0"/>
                <w:bCs w:val="0"/>
                <w:i w:val="0"/>
                <w:caps w:val="0"/>
                <w:color w:val="auto"/>
                <w:spacing w:val="0"/>
                <w:w w:val="100"/>
                <w:kern w:val="0"/>
                <w:sz w:val="21"/>
                <w:szCs w:val="21"/>
                <w:lang w:val="en-US" w:eastAsia="zh-CN" w:bidi="ar"/>
              </w:rPr>
              <w:t>台</w:t>
            </w:r>
          </w:p>
        </w:tc>
        <w:tc>
          <w:tcPr>
            <w:tcW w:w="768"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27"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2</w:t>
            </w:r>
          </w:p>
        </w:tc>
        <w:tc>
          <w:tcPr>
            <w:tcW w:w="1145"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工业机器人离线编程软件</w:t>
            </w:r>
          </w:p>
        </w:tc>
        <w:tc>
          <w:tcPr>
            <w:tcW w:w="5793" w:type="dxa"/>
            <w:shd w:val="clear" w:color="auto" w:fill="auto"/>
            <w:noWrap w:val="0"/>
            <w:vAlign w:val="center"/>
          </w:tcPr>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配套工业机器人</w:t>
            </w:r>
            <w:r>
              <w:rPr>
                <w:rFonts w:hint="eastAsia" w:ascii="宋体" w:hAnsi="宋体" w:eastAsia="宋体" w:cs="宋体"/>
                <w:b w:val="0"/>
                <w:i w:val="0"/>
                <w:caps w:val="0"/>
                <w:color w:val="auto"/>
                <w:spacing w:val="0"/>
                <w:w w:val="100"/>
                <w:sz w:val="21"/>
                <w:szCs w:val="21"/>
                <w:lang w:val="en-US" w:eastAsia="zh-CN"/>
              </w:rPr>
              <w:t>操作与运维工作站</w:t>
            </w:r>
            <w:r>
              <w:rPr>
                <w:rFonts w:hint="eastAsia" w:ascii="宋体" w:hAnsi="宋体" w:eastAsia="宋体" w:cs="宋体"/>
                <w:b w:val="0"/>
                <w:i w:val="0"/>
                <w:caps w:val="0"/>
                <w:color w:val="auto"/>
                <w:spacing w:val="0"/>
                <w:w w:val="100"/>
                <w:sz w:val="21"/>
                <w:szCs w:val="21"/>
              </w:rPr>
              <w:t>平台使用，离线编程软件中包含与“工业机器人</w:t>
            </w:r>
            <w:r>
              <w:rPr>
                <w:rFonts w:hint="eastAsia" w:ascii="宋体" w:hAnsi="宋体" w:eastAsia="宋体" w:cs="宋体"/>
                <w:b w:val="0"/>
                <w:i w:val="0"/>
                <w:caps w:val="0"/>
                <w:color w:val="auto"/>
                <w:spacing w:val="0"/>
                <w:w w:val="100"/>
                <w:sz w:val="21"/>
                <w:szCs w:val="21"/>
                <w:lang w:val="en-US" w:eastAsia="zh-CN"/>
              </w:rPr>
              <w:t>操作与运维工作站</w:t>
            </w:r>
            <w:r>
              <w:rPr>
                <w:rFonts w:hint="eastAsia" w:ascii="宋体" w:hAnsi="宋体" w:eastAsia="宋体" w:cs="宋体"/>
                <w:b w:val="0"/>
                <w:i w:val="0"/>
                <w:caps w:val="0"/>
                <w:color w:val="auto"/>
                <w:spacing w:val="0"/>
                <w:w w:val="100"/>
                <w:sz w:val="21"/>
                <w:szCs w:val="21"/>
              </w:rPr>
              <w:t>”硬件平台一致的三维模型环境，可直接从离线编程软件中调用，方便教学、训练；（提供软件著作权证书，可现场演示软件功能）</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 正版软件，中文界面，可提供持续的中文技术支持服务，软件可使用所有功能模块，界面无“试用版”字样；</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 xml:space="preserve">2） </w:t>
            </w:r>
            <w:r>
              <w:rPr>
                <w:rFonts w:hint="eastAsia" w:ascii="宋体" w:hAnsi="宋体" w:eastAsia="宋体" w:cs="宋体"/>
                <w:b w:val="0"/>
                <w:i w:val="0"/>
                <w:caps w:val="0"/>
                <w:color w:val="auto"/>
                <w:spacing w:val="0"/>
                <w:w w:val="100"/>
                <w:kern w:val="0"/>
                <w:sz w:val="21"/>
                <w:szCs w:val="21"/>
                <w:lang w:val="en-US" w:eastAsia="zh-CN"/>
              </w:rPr>
              <w:t>软件提供了90个以上品牌、多种不同型号的工业机器人进行场景搭建、轨迹规划、运动仿真和程序代码生成等操作（参考品牌ABB、KUKA、Staubli、珞石、遨博等）</w:t>
            </w:r>
            <w:r>
              <w:rPr>
                <w:rFonts w:hint="eastAsia" w:ascii="宋体" w:hAnsi="宋体" w:eastAsia="宋体" w:cs="宋体"/>
                <w:b w:val="0"/>
                <w:bCs w:val="0"/>
                <w:i w:val="0"/>
                <w:caps w:val="0"/>
                <w:color w:val="auto"/>
                <w:spacing w:val="0"/>
                <w:w w:val="100"/>
                <w:sz w:val="21"/>
                <w:szCs w:val="21"/>
              </w:rPr>
              <w:t>；</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 xml:space="preserve">3） </w:t>
            </w:r>
            <w:r>
              <w:rPr>
                <w:rFonts w:hint="eastAsia" w:ascii="宋体" w:hAnsi="宋体" w:eastAsia="宋体" w:cs="宋体"/>
                <w:b w:val="0"/>
                <w:i w:val="0"/>
                <w:caps w:val="0"/>
                <w:color w:val="auto"/>
                <w:spacing w:val="0"/>
                <w:w w:val="100"/>
                <w:kern w:val="0"/>
                <w:sz w:val="21"/>
                <w:szCs w:val="21"/>
                <w:lang w:val="en-US" w:eastAsia="zh-CN"/>
              </w:rPr>
              <w:t>轨迹生成基于CAD数据、可通过拾取实体模型、曲面或曲线等模型特征快速生成设备运动轨迹，简化了轨迹生成过程，大大提高轨迹生成精度和效率</w:t>
            </w:r>
            <w:r>
              <w:rPr>
                <w:rFonts w:hint="eastAsia" w:ascii="宋体" w:hAnsi="宋体" w:eastAsia="宋体" w:cs="宋体"/>
                <w:b w:val="0"/>
                <w:bCs w:val="0"/>
                <w:i w:val="0"/>
                <w:caps w:val="0"/>
                <w:color w:val="auto"/>
                <w:spacing w:val="0"/>
                <w:w w:val="100"/>
                <w:sz w:val="21"/>
                <w:szCs w:val="21"/>
              </w:rPr>
              <w:t>；</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4）</w:t>
            </w:r>
            <w:r>
              <w:rPr>
                <w:rFonts w:hint="eastAsia" w:ascii="宋体" w:hAnsi="宋体" w:eastAsia="宋体" w:cs="宋体"/>
                <w:b w:val="0"/>
                <w:i w:val="0"/>
                <w:caps w:val="0"/>
                <w:color w:val="auto"/>
                <w:spacing w:val="0"/>
                <w:w w:val="100"/>
                <w:kern w:val="0"/>
                <w:sz w:val="21"/>
                <w:szCs w:val="21"/>
                <w:lang w:val="en-US" w:eastAsia="zh-CN"/>
              </w:rPr>
              <w:t>软件可实现对工业机器人本体、导轨及变位机设备的自定义，同时支持多轴机器人的定义、轨迹生成及仿真，如4轴、8轴、10轴等</w:t>
            </w:r>
            <w:r>
              <w:rPr>
                <w:rFonts w:hint="eastAsia" w:ascii="宋体" w:hAnsi="宋体" w:eastAsia="宋体" w:cs="宋体"/>
                <w:b w:val="0"/>
                <w:bCs w:val="0"/>
                <w:i w:val="0"/>
                <w:caps w:val="0"/>
                <w:color w:val="auto"/>
                <w:spacing w:val="0"/>
                <w:w w:val="100"/>
                <w:sz w:val="21"/>
                <w:szCs w:val="21"/>
              </w:rPr>
              <w:t>；</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5）</w:t>
            </w:r>
            <w:r>
              <w:rPr>
                <w:rFonts w:hint="eastAsia" w:ascii="宋体" w:hAnsi="宋体" w:eastAsia="宋体" w:cs="宋体"/>
                <w:b w:val="0"/>
                <w:i w:val="0"/>
                <w:caps w:val="0"/>
                <w:color w:val="auto"/>
                <w:spacing w:val="0"/>
                <w:w w:val="100"/>
                <w:kern w:val="0"/>
                <w:sz w:val="21"/>
                <w:szCs w:val="21"/>
                <w:lang w:val="en-US" w:eastAsia="zh-CN"/>
              </w:rPr>
              <w:t>软件支持对工业机器人法兰工具、快换机构、外部工具的自定义，并且</w:t>
            </w:r>
            <w:r>
              <w:rPr>
                <w:rFonts w:hint="eastAsia" w:ascii="宋体" w:hAnsi="宋体" w:eastAsia="宋体" w:cs="宋体"/>
                <w:b w:val="0"/>
                <w:i w:val="0"/>
                <w:caps w:val="0"/>
                <w:color w:val="auto"/>
                <w:spacing w:val="0"/>
                <w:w w:val="100"/>
                <w:kern w:val="0"/>
                <w:sz w:val="21"/>
                <w:szCs w:val="21"/>
              </w:rPr>
              <w:t>支持变位夹具设定多种姿态</w:t>
            </w:r>
            <w:r>
              <w:rPr>
                <w:rFonts w:hint="eastAsia" w:ascii="宋体" w:hAnsi="宋体" w:eastAsia="宋体" w:cs="宋体"/>
                <w:b w:val="0"/>
                <w:i w:val="0"/>
                <w:caps w:val="0"/>
                <w:color w:val="auto"/>
                <w:spacing w:val="0"/>
                <w:w w:val="100"/>
                <w:kern w:val="0"/>
                <w:sz w:val="21"/>
                <w:szCs w:val="21"/>
                <w:lang w:eastAsia="zh-CN"/>
              </w:rPr>
              <w:t>，</w:t>
            </w:r>
            <w:r>
              <w:rPr>
                <w:rFonts w:hint="eastAsia" w:ascii="宋体" w:hAnsi="宋体" w:eastAsia="宋体" w:cs="宋体"/>
                <w:b w:val="0"/>
                <w:i w:val="0"/>
                <w:caps w:val="0"/>
                <w:color w:val="auto"/>
                <w:spacing w:val="0"/>
                <w:w w:val="100"/>
                <w:kern w:val="0"/>
                <w:sz w:val="21"/>
                <w:szCs w:val="21"/>
              </w:rPr>
              <w:t>如可以将一个变位夹具定义成直、弯两种状态</w:t>
            </w:r>
            <w:r>
              <w:rPr>
                <w:rFonts w:hint="eastAsia" w:ascii="宋体" w:hAnsi="宋体" w:eastAsia="宋体" w:cs="宋体"/>
                <w:b w:val="0"/>
                <w:bCs w:val="0"/>
                <w:i w:val="0"/>
                <w:caps w:val="0"/>
                <w:color w:val="auto"/>
                <w:spacing w:val="0"/>
                <w:w w:val="100"/>
                <w:sz w:val="21"/>
                <w:szCs w:val="21"/>
              </w:rPr>
              <w:t>。</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6）生成的轨迹可进行分组管理。分组后，可对轨迹组进行注释、删除等，实现对相似轨迹的统一操作；</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7）可实现将编程结果仿真运行并输出3D仿真，上传云端自动生成二维码及链接，可用手机扫描二维码后缩放、平移查看该动画。或复制链接后，通过浏览器直接播放，并可以自由切换观看视角和放大缩小；（须现场演示，录屏无效）</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8）</w:t>
            </w:r>
            <w:r>
              <w:rPr>
                <w:rFonts w:hint="eastAsia" w:ascii="宋体" w:hAnsi="宋体" w:eastAsia="宋体" w:cs="宋体"/>
                <w:b w:val="0"/>
                <w:i w:val="0"/>
                <w:caps w:val="0"/>
                <w:color w:val="auto"/>
                <w:spacing w:val="0"/>
                <w:w w:val="100"/>
                <w:kern w:val="0"/>
                <w:sz w:val="21"/>
                <w:szCs w:val="21"/>
                <w:lang w:val="en-US" w:eastAsia="zh-CN"/>
              </w:rPr>
              <w:t>支持机器人后置模板自定义，在定义后置时可通过拖拽的方式定义模板格式，并实现程序代码的实时预显；支持根据机器品牌选择相应的后置模板，如ABB、KUKA、Staubli、珞石、遨博等</w:t>
            </w:r>
            <w:r>
              <w:rPr>
                <w:rFonts w:hint="eastAsia" w:ascii="宋体" w:hAnsi="宋体" w:eastAsia="宋体" w:cs="宋体"/>
                <w:b w:val="0"/>
                <w:bCs w:val="0"/>
                <w:i w:val="0"/>
                <w:caps w:val="0"/>
                <w:color w:val="auto"/>
                <w:spacing w:val="0"/>
                <w:w w:val="100"/>
                <w:sz w:val="21"/>
                <w:szCs w:val="21"/>
              </w:rPr>
              <w:t>；</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9）</w:t>
            </w:r>
            <w:r>
              <w:rPr>
                <w:rFonts w:hint="eastAsia" w:ascii="宋体" w:hAnsi="宋体" w:eastAsia="宋体" w:cs="宋体"/>
                <w:b w:val="0"/>
                <w:i w:val="0"/>
                <w:caps w:val="0"/>
                <w:color w:val="auto"/>
                <w:spacing w:val="0"/>
                <w:w w:val="100"/>
                <w:kern w:val="0"/>
                <w:sz w:val="21"/>
                <w:szCs w:val="21"/>
                <w:lang w:val="en-US" w:eastAsia="zh-CN"/>
              </w:rPr>
              <w:t>提供机器人运动节拍分析功能，可在性能分析界面查看机器人平均速度、总距离、总轨迹点数、总时间、节拍以及单条轨迹的长度、时间、平均速度、轨迹点数等信息，方便用户查看机器人工作效率</w:t>
            </w:r>
            <w:r>
              <w:rPr>
                <w:rFonts w:hint="eastAsia" w:ascii="宋体" w:hAnsi="宋体" w:eastAsia="宋体" w:cs="宋体"/>
                <w:b w:val="0"/>
                <w:bCs w:val="0"/>
                <w:i w:val="0"/>
                <w:caps w:val="0"/>
                <w:color w:val="auto"/>
                <w:spacing w:val="0"/>
                <w:w w:val="100"/>
                <w:sz w:val="21"/>
                <w:szCs w:val="21"/>
              </w:rPr>
              <w:t>；</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10）</w:t>
            </w:r>
            <w:r>
              <w:rPr>
                <w:rFonts w:hint="eastAsia" w:ascii="宋体" w:hAnsi="宋体" w:eastAsia="宋体" w:cs="宋体"/>
                <w:b w:val="0"/>
                <w:i w:val="0"/>
                <w:caps w:val="0"/>
                <w:color w:val="auto"/>
                <w:spacing w:val="0"/>
                <w:w w:val="100"/>
                <w:kern w:val="0"/>
                <w:sz w:val="21"/>
                <w:szCs w:val="21"/>
                <w:lang w:val="en-US" w:eastAsia="zh-CN"/>
              </w:rPr>
              <w:t>可实现机器人运行仿真和程序代码分屏同步调试运行，显示程序代码的行号、数字、注释、指令等信息，程序指针可实现实时查看机器人运行点位</w:t>
            </w:r>
            <w:r>
              <w:rPr>
                <w:rFonts w:hint="eastAsia" w:ascii="宋体" w:hAnsi="宋体" w:eastAsia="宋体" w:cs="宋体"/>
                <w:b w:val="0"/>
                <w:bCs w:val="0"/>
                <w:i w:val="0"/>
                <w:caps w:val="0"/>
                <w:color w:val="auto"/>
                <w:spacing w:val="0"/>
                <w:w w:val="100"/>
                <w:sz w:val="21"/>
                <w:szCs w:val="21"/>
              </w:rPr>
              <w:t>；</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▲11）具备轨迹优化功能，通过图形化方式展示机器人工作的最优区域，并通过调整曲线让机器人处于工作最优区内，解决不可达、轴超限和奇异点的问题；（须现场演示，录屏无效）</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12）支持轨迹编辑功能，以图形化方式通过拖动参数曲线，来编辑一条轨迹中指定个数的点，达到让整条轨迹光滑过渡的效果；</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▲13）</w:t>
            </w:r>
            <w:r>
              <w:rPr>
                <w:rFonts w:hint="eastAsia" w:ascii="宋体" w:hAnsi="宋体" w:eastAsia="宋体" w:cs="宋体"/>
                <w:b w:val="0"/>
                <w:i w:val="0"/>
                <w:caps w:val="0"/>
                <w:color w:val="auto"/>
                <w:spacing w:val="0"/>
                <w:w w:val="100"/>
                <w:kern w:val="0"/>
                <w:sz w:val="21"/>
                <w:szCs w:val="21"/>
                <w:lang w:val="en-US" w:eastAsia="zh-CN"/>
              </w:rPr>
              <w:t>仿真面板支持以时间轴的方式呈现，拖动时间轴可以控制仿真进度，通过时间轴的方式同时展示多个机器人和运动机构的运动时序，并体现相互等待关系和轨迹起始时间、运行进度等</w:t>
            </w:r>
            <w:r>
              <w:rPr>
                <w:rFonts w:hint="eastAsia" w:ascii="宋体" w:hAnsi="宋体" w:eastAsia="宋体" w:cs="宋体"/>
                <w:b w:val="0"/>
                <w:bCs w:val="0"/>
                <w:i w:val="0"/>
                <w:caps w:val="0"/>
                <w:color w:val="auto"/>
                <w:spacing w:val="0"/>
                <w:w w:val="100"/>
                <w:sz w:val="21"/>
                <w:szCs w:val="21"/>
              </w:rPr>
              <w:t>；（须现场演示，录屏无效）</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14）</w:t>
            </w:r>
            <w:r>
              <w:rPr>
                <w:rFonts w:hint="eastAsia" w:ascii="宋体" w:hAnsi="宋体" w:eastAsia="宋体" w:cs="宋体"/>
                <w:b w:val="0"/>
                <w:i w:val="0"/>
                <w:caps w:val="0"/>
                <w:color w:val="auto"/>
                <w:spacing w:val="0"/>
                <w:w w:val="100"/>
                <w:kern w:val="0"/>
                <w:sz w:val="21"/>
                <w:szCs w:val="21"/>
                <w:lang w:val="en-US" w:eastAsia="zh-CN"/>
              </w:rPr>
              <w:t>具备全屏显示功能并支持屏幕选择，在程序编辑和仿真调试模块中，可通过F11键将绘图区的仿真过程全屏突出显示</w:t>
            </w:r>
            <w:r>
              <w:rPr>
                <w:rFonts w:hint="eastAsia" w:ascii="宋体" w:hAnsi="宋体" w:eastAsia="宋体" w:cs="宋体"/>
                <w:b w:val="0"/>
                <w:bCs w:val="0"/>
                <w:i w:val="0"/>
                <w:caps w:val="0"/>
                <w:color w:val="auto"/>
                <w:spacing w:val="0"/>
                <w:w w:val="100"/>
                <w:sz w:val="21"/>
                <w:szCs w:val="21"/>
              </w:rPr>
              <w:t xml:space="preserve">； </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▲15）支持机器人在线查找。可以直接从云端机器人库中选择机器人进行离线编程，选择过程中支持搜索、筛选和排序，并推荐相似参数的机器人供用户选择；（须现场演示，录屏无效）</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16）具备专业的后置代码编辑器。后置代码编辑器可以显示代码的行号，数字、注释和指令等关键字以不同颜色显示；函数在编辑过程中有参数提示；函数和注释可折叠隐藏。</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▲17）具有贴图功能，可通过贴图代替或简化离线编程软件虚拟场景中复杂的模型搭建，最大限度减小模型的大小；可极大加快绘图区的刷新帧速率，使绘图区操作响应更加灵敏。（须现场演示，录屏无效）</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18）软件集成多类型、多行业在线工作站；集成部分全国职业院校技能大赛的工作站，方便在线模拟训练；</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19）可实现软件问题交流在线化；作品分享展示在线化；软件在线资源更新实时化</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20）可利用3D点云数据，使设计环境和真机环境内机器人、工具、被加工零部件之间的空间位置关系保持一致，实现高精度校准。</w:t>
            </w:r>
          </w:p>
          <w:p>
            <w:pPr>
              <w:snapToGrid w:val="0"/>
              <w:spacing w:before="0" w:beforeAutospacing="0" w:after="0" w:afterAutospacing="0" w:line="240" w:lineRule="auto"/>
              <w:ind w:left="0" w:leftChars="0" w:right="0"/>
              <w:jc w:val="left"/>
              <w:textAlignment w:val="baseline"/>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21）利用云服务平台，实时把控前端软件考试活动进度；考试结果通过云端智能算法自动进行打分评判；考试全程远程、自动化运行；</w:t>
            </w:r>
          </w:p>
          <w:p>
            <w:pPr>
              <w:keepLines w:val="0"/>
              <w:widowControl/>
              <w:suppressLineNumbers w:val="0"/>
              <w:snapToGrid/>
              <w:spacing w:before="0" w:beforeAutospacing="0" w:after="0" w:afterAutospacing="0" w:line="240" w:lineRule="auto"/>
              <w:ind w:left="0" w:leftChars="0" w:right="0"/>
              <w:jc w:val="left"/>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sz w:val="21"/>
                <w:szCs w:val="21"/>
              </w:rPr>
              <w:t>22）支持仿真时显示逼真的加工效果。</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auto"/>
                <w:spacing w:val="0"/>
                <w:w w:val="100"/>
                <w:kern w:val="2"/>
                <w:sz w:val="21"/>
                <w:szCs w:val="21"/>
                <w:lang w:val="en-US" w:eastAsia="zh-CN" w:bidi="ar-SA"/>
              </w:rPr>
            </w:pPr>
            <w:r>
              <w:rPr>
                <w:rFonts w:hint="eastAsia" w:ascii="宋体" w:hAnsi="宋体" w:eastAsia="宋体" w:cs="宋体"/>
                <w:b w:val="0"/>
                <w:bCs w:val="0"/>
                <w:i w:val="0"/>
                <w:caps w:val="0"/>
                <w:color w:val="auto"/>
                <w:spacing w:val="0"/>
                <w:w w:val="100"/>
                <w:kern w:val="2"/>
                <w:sz w:val="21"/>
                <w:szCs w:val="21"/>
                <w:lang w:val="en-US" w:eastAsia="zh-CN" w:bidi="ar-SA"/>
              </w:rPr>
              <w:t>23）软件可实现通过调用编写的Python脚本导入零件模型，生成机器人轨迹；</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auto"/>
                <w:spacing w:val="0"/>
                <w:w w:val="100"/>
                <w:kern w:val="2"/>
                <w:sz w:val="21"/>
                <w:szCs w:val="21"/>
                <w:lang w:val="en-US" w:eastAsia="zh-CN" w:bidi="ar-SA"/>
              </w:rPr>
            </w:pPr>
            <w:r>
              <w:rPr>
                <w:rFonts w:hint="eastAsia" w:ascii="宋体" w:hAnsi="宋体" w:eastAsia="宋体" w:cs="宋体"/>
                <w:b w:val="0"/>
                <w:bCs w:val="0"/>
                <w:i w:val="0"/>
                <w:caps w:val="0"/>
                <w:color w:val="auto"/>
                <w:spacing w:val="0"/>
                <w:w w:val="100"/>
                <w:kern w:val="2"/>
                <w:sz w:val="21"/>
                <w:szCs w:val="21"/>
                <w:lang w:val="en-US" w:eastAsia="zh-CN" w:bidi="ar-SA"/>
              </w:rPr>
              <w:t>24）支持开放的拓展指令功能，用户可根据机器人指令自行配置工艺参数模板，再通过给轨迹点添加相关的参数内容即可实现工艺指令参数化控制；</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auto"/>
                <w:spacing w:val="0"/>
                <w:w w:val="100"/>
                <w:kern w:val="2"/>
                <w:sz w:val="21"/>
                <w:szCs w:val="21"/>
                <w:lang w:val="en-US" w:eastAsia="zh-CN" w:bidi="ar-SA"/>
              </w:rPr>
            </w:pPr>
            <w:r>
              <w:rPr>
                <w:rFonts w:hint="eastAsia" w:ascii="宋体" w:hAnsi="宋体" w:eastAsia="宋体" w:cs="宋体"/>
                <w:b w:val="0"/>
                <w:bCs w:val="0"/>
                <w:i w:val="0"/>
                <w:caps w:val="0"/>
                <w:color w:val="auto"/>
                <w:spacing w:val="0"/>
                <w:w w:val="100"/>
                <w:kern w:val="2"/>
                <w:sz w:val="21"/>
                <w:szCs w:val="21"/>
                <w:lang w:val="en-US" w:eastAsia="zh-CN" w:bidi="ar-SA"/>
              </w:rPr>
              <w:t>25）支持对三维模型中的曲面网格部分进行裁剪，可通过设置的裁剪范围，对区域内或外的部分进行裁剪；</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lang w:val="en-US" w:eastAsia="zh-CN" w:bidi="ar-SA"/>
              </w:rPr>
              <w:t>26）支持三维模型中的曲面网格部分进行平滑处理，对网格出现棱形的</w:t>
            </w:r>
            <w:r>
              <w:rPr>
                <w:rFonts w:hint="eastAsia" w:ascii="宋体" w:hAnsi="宋体" w:eastAsia="宋体" w:cs="宋体"/>
                <w:b w:val="0"/>
                <w:bCs w:val="0"/>
                <w:i w:val="0"/>
                <w:caps w:val="0"/>
                <w:color w:val="auto"/>
                <w:spacing w:val="0"/>
                <w:w w:val="100"/>
                <w:kern w:val="2"/>
                <w:sz w:val="21"/>
                <w:szCs w:val="21"/>
                <w:highlight w:val="none"/>
                <w:lang w:val="en-US" w:eastAsia="zh-CN" w:bidi="ar-SA"/>
              </w:rPr>
              <w:t>交接处进行平滑过渡；</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highlight w:val="none"/>
                <w:lang w:val="en-US" w:eastAsia="zh-CN" w:bidi="ar-SA"/>
              </w:rPr>
              <w:t>28）软件具备输出视频功能，可将绘图区的仿真效果通过参数控制，输出为MP4、avi、mkv等格式的视频文件并保存在本地磁盘；</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b w:val="0"/>
                <w:bCs w:val="0"/>
                <w:i w:val="0"/>
                <w:caps w:val="0"/>
                <w:color w:val="auto"/>
                <w:spacing w:val="0"/>
                <w:w w:val="100"/>
                <w:kern w:val="2"/>
                <w:sz w:val="21"/>
                <w:szCs w:val="21"/>
                <w:highlight w:val="none"/>
                <w:lang w:val="en-US" w:eastAsia="zh-CN" w:bidi="ar-SA"/>
              </w:rPr>
              <w:t>29）支持视向动画，通过对仿真流程不同时间节点添加视图，可实现在仿真过程中自定切换设置的不同视角查看仿真流程；</w:t>
            </w:r>
          </w:p>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bCs w:val="0"/>
                <w:i w:val="0"/>
                <w:caps w:val="0"/>
                <w:color w:val="auto"/>
                <w:spacing w:val="0"/>
                <w:w w:val="100"/>
                <w:kern w:val="0"/>
                <w:sz w:val="21"/>
                <w:szCs w:val="21"/>
                <w:lang w:bidi="ar"/>
              </w:rPr>
            </w:pPr>
            <w:r>
              <w:rPr>
                <w:rFonts w:hint="eastAsia" w:ascii="宋体" w:hAnsi="宋体" w:cs="宋体"/>
                <w:b w:val="0"/>
                <w:i w:val="0"/>
                <w:caps w:val="0"/>
                <w:color w:val="auto"/>
                <w:spacing w:val="0"/>
                <w:w w:val="100"/>
                <w:sz w:val="21"/>
                <w:szCs w:val="21"/>
                <w:highlight w:val="none"/>
                <w:lang w:eastAsia="zh-CN"/>
              </w:rPr>
              <w:t>投标商须提供生产厂家出具针对本项目的售后服务承诺加盖公章。</w:t>
            </w:r>
          </w:p>
        </w:tc>
        <w:tc>
          <w:tcPr>
            <w:tcW w:w="1110"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kern w:val="0"/>
                <w:sz w:val="21"/>
                <w:szCs w:val="21"/>
                <w:lang w:bidi="ar"/>
              </w:rPr>
              <w:t>20</w:t>
            </w:r>
            <w:r>
              <w:rPr>
                <w:rFonts w:hint="eastAsia" w:ascii="宋体" w:hAnsi="宋体" w:eastAsia="宋体" w:cs="宋体"/>
                <w:b w:val="0"/>
                <w:bCs w:val="0"/>
                <w:i w:val="0"/>
                <w:caps w:val="0"/>
                <w:color w:val="auto"/>
                <w:spacing w:val="0"/>
                <w:w w:val="100"/>
                <w:kern w:val="0"/>
                <w:sz w:val="21"/>
                <w:szCs w:val="21"/>
                <w:lang w:val="en-US" w:eastAsia="zh-CN" w:bidi="ar"/>
              </w:rPr>
              <w:t>节点</w:t>
            </w:r>
          </w:p>
        </w:tc>
        <w:tc>
          <w:tcPr>
            <w:tcW w:w="768"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27"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3</w:t>
            </w:r>
          </w:p>
        </w:tc>
        <w:tc>
          <w:tcPr>
            <w:tcW w:w="1145"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工业机器人操作与运维仿真实训系统</w:t>
            </w:r>
          </w:p>
        </w:tc>
        <w:tc>
          <w:tcPr>
            <w:tcW w:w="5793" w:type="dxa"/>
            <w:shd w:val="clear" w:color="auto" w:fill="auto"/>
            <w:noWrap w:val="0"/>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1、软件对操作系统要求：软件需兼容win10操作系统；</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2、软件操作界面要求：软件操作界面简单直观，交互性能好，结构清晰。</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3、系统需提供主菜单页，在主菜单页面中用户可自由选择项目进行练习。</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4、系统需提供帮助菜单：软件中在固定区域设置帮助提示按钮，提供基本的功能介绍和操作引导。</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5、工业机器人操作安全保护：</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5.1 软件系统需采用三维虚拟交互方式，以第一人称视角进行操作安全保护的训练。</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5.2 软件系统需提供工业安全操作规程和工业机器人的安全风险说明文件，并能够进行查阅。</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5.3 软件支持控制人物在相应的工作台获取工装，点击工装会有高亮显示和工具介绍提示，可以添加到背包中，并且能主动穿戴工业机器人安全作业服、安全帽、绝缘手套、劳保鞋。</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5.4 软件支持控制人物选择各种规格拆装工具和测量工具，点击工具会有高亮显示和工具介绍提示，添加到背包中完成任务。</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5.5 软件能够识读机器人安全标识、了解机器人潜在致命危险、能确认工业机器人手动操作模式的安全、能确认工业机器人示教操作的安全环境、能确认机器人周边物理环境安全。</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w:t>
            </w:r>
            <w:r>
              <w:rPr>
                <w:rFonts w:hint="eastAsia" w:ascii="宋体" w:hAnsi="宋体" w:eastAsia="宋体" w:cs="宋体"/>
                <w:b w:val="0"/>
                <w:i w:val="0"/>
                <w:caps w:val="0"/>
                <w:color w:val="auto"/>
                <w:spacing w:val="0"/>
                <w:w w:val="100"/>
                <w:sz w:val="21"/>
                <w:szCs w:val="21"/>
                <w:lang w:eastAsia="zh-CN"/>
              </w:rPr>
              <w:t>▲（</w:t>
            </w:r>
            <w:r>
              <w:rPr>
                <w:rFonts w:hint="eastAsia" w:ascii="宋体" w:hAnsi="宋体" w:eastAsia="宋体" w:cs="宋体"/>
                <w:b w:val="0"/>
                <w:i w:val="0"/>
                <w:caps w:val="0"/>
                <w:color w:val="auto"/>
                <w:spacing w:val="0"/>
                <w:w w:val="100"/>
                <w:sz w:val="21"/>
                <w:szCs w:val="21"/>
              </w:rPr>
              <w:t>须提供现场演示）工业机器人安装：</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6.1 软件系统需采用三维虚拟交互方式，以第一人称视角进行操作。</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6.2 能够识读机械装配图和电气线路图，能根据机器人工艺指导文件完成装配。</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6.3 能够安装基座，并能对基座进行属性编辑，通过编辑窗口能设置位置和角度。</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6.4 能完成工业机器人吊装操作，包括机器人吊装前的固定支架安装、厚布摆放、起重机需通过遥控面板动作到机器人上方、绳索安装、机器人起吊到工作台上对齐、固定螺丝安装。</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6.5 能够完成机器人快换夹具、机器人控制系统安装，能进行属性编辑，通过编辑窗口能设置位置和角度。</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6.6 能进行工业机器人电气控制柜线路连接。</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6.7 能完成工业机器人调试、辨识机器人各关节转动正负方向示意。</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w:t>
            </w:r>
            <w:r>
              <w:rPr>
                <w:rFonts w:hint="eastAsia" w:ascii="宋体" w:hAnsi="宋体" w:eastAsia="宋体" w:cs="宋体"/>
                <w:b w:val="0"/>
                <w:i w:val="0"/>
                <w:caps w:val="0"/>
                <w:color w:val="auto"/>
                <w:spacing w:val="0"/>
                <w:w w:val="100"/>
                <w:sz w:val="21"/>
                <w:szCs w:val="21"/>
                <w:lang w:eastAsia="zh-CN"/>
              </w:rPr>
              <w:t>▲（</w:t>
            </w:r>
            <w:r>
              <w:rPr>
                <w:rFonts w:hint="eastAsia" w:ascii="宋体" w:hAnsi="宋体" w:eastAsia="宋体" w:cs="宋体"/>
                <w:b w:val="0"/>
                <w:i w:val="0"/>
                <w:caps w:val="0"/>
                <w:color w:val="auto"/>
                <w:spacing w:val="0"/>
                <w:w w:val="100"/>
                <w:sz w:val="21"/>
                <w:szCs w:val="21"/>
              </w:rPr>
              <w:t>须提供现场演示）工业机器人操作与编程：</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7.1 软件系统需采用三维虚拟交互方式，以第上帝视角进行操作，鼠标右键进行旋转视角、中键平移视角、滑轮缩放视角。</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7.2 软件包含ABB虚拟示教面板，显示关节值和IO信息，能训练示教操作的正确手持方式、能设置示教器显示语言、能操作各功能菜单键按钮功能、能操作示教器使能按键、能设定机器人系统时间、能设定工业机器人运行模式 。</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7.3 能手动操作工业机器人的单轴运动、线性运动和重定位运动，能设定工业机器人运动速度。</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7.4 能新建作业、示教目标点、添加修改指令、能控制快换选取抓手实现物块的抓取搬运、作业的自动运行。</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7.5 能建立工业机器人工具坐标系，通过操作示教器面板移动机器人抓手、完成坐标系示教建立流程、最后生成坐标系结果。</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7.6 能建立工业机器人工件坐标系，通过操作示教器面板移动机器人、通过三点法选取空间任意三点，将自动生成工件坐标系。</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w:t>
            </w:r>
            <w:r>
              <w:rPr>
                <w:rFonts w:hint="eastAsia" w:ascii="宋体" w:hAnsi="宋体" w:eastAsia="宋体" w:cs="宋体"/>
                <w:b w:val="0"/>
                <w:i w:val="0"/>
                <w:caps w:val="0"/>
                <w:color w:val="auto"/>
                <w:spacing w:val="0"/>
                <w:w w:val="100"/>
                <w:sz w:val="21"/>
                <w:szCs w:val="21"/>
                <w:lang w:eastAsia="zh-CN"/>
              </w:rPr>
              <w:t>▲（</w:t>
            </w:r>
            <w:r>
              <w:rPr>
                <w:rFonts w:hint="eastAsia" w:ascii="宋体" w:hAnsi="宋体" w:eastAsia="宋体" w:cs="宋体"/>
                <w:b w:val="0"/>
                <w:i w:val="0"/>
                <w:caps w:val="0"/>
                <w:color w:val="auto"/>
                <w:spacing w:val="0"/>
                <w:w w:val="100"/>
                <w:sz w:val="21"/>
                <w:szCs w:val="21"/>
              </w:rPr>
              <w:t>须提供现场演示）工业机器人系统维护：</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8.1本体维护模块需包含如下步骤：</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（1）本体清洁部分，根据文字提示在工具栏中获取占有少量酒精的抹布对机器人进行擦拭；</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（2）工具栏中获取干抹布进一步擦拭，擦拭完毕检查机器人抓手固定螺栓是否松动，使用内六角扳手紧固螺栓；</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（3）检查机器人底座固定螺栓是否松动，使用内扳手紧固螺栓；</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（4）检查机器人动力线缆固定螺栓是否松动，使用螺丝刀紧固螺栓；</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8.2限位及线缆检查模块维护保养步骤：</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（1）第一步进行阻尼器检查，检查所有阻尼器是否出现裂纹，如果检测到有损坏，需要更换新的阻尼器；</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（2）第二步检查机械停止，检查所有机械停止是否出现弯曲或松动。最后检查线缆是否损坏；</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8.3 同步带检查模块检测步骤：</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（1）检查外壳是否损坏，如有损坏需更换；</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（2）使用内六角扳手拆卸手腕侧盖内六角螺丝，拆下侧盖；</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（3）检查五轴同步带是否涨紧，如损坏需更换;</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（4）检查完毕将侧盖安装回原位，使用内六角螺丝固定;</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8.4 更换码盘电池模块步骤：</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（1）根据提示将机器人的六轴恢复到机械原点位置；</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（2）将机器人所有电力、及气压供给关闭；</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（3）使用一字螺丝刀将动力线缆航插固定螺丝拆下；</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（4）取下动力线缆和码盘线缆；</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（5）使用内六角扳手将底座盖固定螺栓拆下，并拆下底座盖；</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（6）拔下电池电缆与编码器接口电路板的连接器。</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（7）切断电池组扎带，拿出码盘电池，装上新的码盘电池组；</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（8）插上电池电缆与编码器接口电路板的连接器，固定码盘电池组；</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（9）安装底座盖，安装码盘线缆，安装动力线缆。</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（10）最后打开控制柜电源，使用示教器更新转数计数器。</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8.5触摸屏及摇杆校正模块操作步骤：</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（1）开启控制柜，设备启动中同时按住预设按键与程序停止按钮激活校正页面；</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（2）按照屏幕上的提示依次点击界面四个角，进行触摸区域校正；</w:t>
            </w:r>
          </w:p>
          <w:p>
            <w:pPr>
              <w:tabs>
                <w:tab w:val="left" w:pos="312"/>
              </w:tabs>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（3）之后进行摇杆校正，根据界面提示依次向各个方向操作摇杆，完成摇杆校正，校正完毕启动示教器。</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w:t>
            </w:r>
            <w:r>
              <w:rPr>
                <w:rFonts w:hint="eastAsia" w:ascii="宋体" w:hAnsi="宋体" w:eastAsia="宋体" w:cs="宋体"/>
                <w:b w:val="0"/>
                <w:i w:val="0"/>
                <w:caps w:val="0"/>
                <w:color w:val="auto"/>
                <w:spacing w:val="0"/>
                <w:w w:val="100"/>
                <w:sz w:val="21"/>
                <w:szCs w:val="21"/>
                <w:lang w:eastAsia="zh-CN"/>
              </w:rPr>
              <w:t>▲（</w:t>
            </w:r>
            <w:r>
              <w:rPr>
                <w:rFonts w:hint="eastAsia" w:ascii="宋体" w:hAnsi="宋体" w:eastAsia="宋体" w:cs="宋体"/>
                <w:b w:val="0"/>
                <w:i w:val="0"/>
                <w:caps w:val="0"/>
                <w:color w:val="auto"/>
                <w:spacing w:val="0"/>
                <w:w w:val="100"/>
                <w:sz w:val="21"/>
                <w:szCs w:val="21"/>
              </w:rPr>
              <w:t>须提供现场演示）大赛模拟训练：</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9.1 软件系统需采用三维虚拟交互方式，并能进行第一人称视角和上帝视角的双切换。</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9.2 大赛考核前必须填写考生信息，包括考生姓名、组别和设备编号。</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9.3 考试时间为2小时、考试时能随时查阅任务书、能够手动提交试卷。</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9.4 任务书考点需包括工业机器人操作规范：安装着装要求和操作规范要求。</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9.5 任务书考点需包括搬运码垛模块安装，需将码垛模块A和码垛模块B安装到工作台上，能对码垛模块进行属性编辑，通过编辑窗口能设置位置和角度，能对码垛模块安装角码和螺丝，并符合实际的安装逻辑。</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9.6 任务书考点需包含转数计数器更新，机器人初始状态随机，用户需操作虚拟示教器界面调整机器人位姿，打开导航，进入校准界面选择需要校准的机械单元，选择更新转数计数器，依次勾选需要更新转数计数器的轴，之后点击更新按钮完成转数计数器更新的操作。</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9.7 任务书考点需包含工业机器人 I/O 信号配置，能配置 DSQC652 板卡和任务书所规定的IO信号。</w:t>
            </w:r>
          </w:p>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rPr>
              <w:t>9.8 任务书考点需包含工业机器人操作与编程，能够正确新建码垛程序，示</w:t>
            </w:r>
            <w:r>
              <w:rPr>
                <w:rFonts w:hint="eastAsia" w:ascii="宋体" w:hAnsi="宋体" w:eastAsia="宋体" w:cs="宋体"/>
                <w:b w:val="0"/>
                <w:i w:val="0"/>
                <w:caps w:val="0"/>
                <w:color w:val="auto"/>
                <w:spacing w:val="0"/>
                <w:w w:val="100"/>
                <w:sz w:val="21"/>
                <w:szCs w:val="21"/>
                <w:highlight w:val="none"/>
              </w:rPr>
              <w:t>教编写工业机器人程序并分别在手动和自动模式下调试运行，实现工业机器人可以根据IO信号值选择对应工位，依次执行夹爪工具拾取、码垛块的拾取与码放、夹爪工具释放的操作，运行完成后，考生将调试好的机器人程序重新命名。命名规则为姓名+设备号。</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i w:val="0"/>
                <w:caps w:val="0"/>
                <w:color w:val="auto"/>
                <w:spacing w:val="0"/>
                <w:w w:val="100"/>
                <w:sz w:val="21"/>
                <w:szCs w:val="21"/>
                <w:highlight w:val="none"/>
              </w:rPr>
              <w:t>10.</w:t>
            </w:r>
            <w:r>
              <w:rPr>
                <w:rFonts w:hint="eastAsia" w:ascii="宋体" w:hAnsi="宋体" w:cs="宋体"/>
                <w:b w:val="0"/>
                <w:i w:val="0"/>
                <w:caps w:val="0"/>
                <w:color w:val="auto"/>
                <w:spacing w:val="0"/>
                <w:w w:val="100"/>
                <w:sz w:val="21"/>
                <w:szCs w:val="21"/>
                <w:highlight w:val="none"/>
                <w:lang w:eastAsia="zh-CN"/>
              </w:rPr>
              <w:t>投标商须提供生产厂家出具针对本项目的售后服务承诺加盖公章。</w:t>
            </w:r>
          </w:p>
        </w:tc>
        <w:tc>
          <w:tcPr>
            <w:tcW w:w="1110"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kern w:val="0"/>
                <w:sz w:val="21"/>
                <w:szCs w:val="21"/>
                <w:lang w:bidi="ar"/>
              </w:rPr>
              <w:t>50</w:t>
            </w:r>
            <w:r>
              <w:rPr>
                <w:rFonts w:hint="eastAsia" w:ascii="宋体" w:hAnsi="宋体" w:eastAsia="宋体" w:cs="宋体"/>
                <w:b w:val="0"/>
                <w:bCs w:val="0"/>
                <w:i w:val="0"/>
                <w:caps w:val="0"/>
                <w:color w:val="auto"/>
                <w:spacing w:val="0"/>
                <w:w w:val="100"/>
                <w:kern w:val="0"/>
                <w:sz w:val="21"/>
                <w:szCs w:val="21"/>
                <w:lang w:val="en-US" w:eastAsia="zh-CN" w:bidi="ar"/>
              </w:rPr>
              <w:t>节点</w:t>
            </w:r>
          </w:p>
        </w:tc>
        <w:tc>
          <w:tcPr>
            <w:tcW w:w="768"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27"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4</w:t>
            </w:r>
          </w:p>
        </w:tc>
        <w:tc>
          <w:tcPr>
            <w:tcW w:w="1145"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FDM塑料3D打印机</w:t>
            </w:r>
          </w:p>
        </w:tc>
        <w:tc>
          <w:tcPr>
            <w:tcW w:w="5793" w:type="dxa"/>
            <w:shd w:val="clear" w:color="auto" w:fill="auto"/>
            <w:noWrap w:val="0"/>
            <w:vAlign w:val="center"/>
          </w:tcPr>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1、打印技术：熔融堆积（FDM）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2、平台温度：100℃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3、平台材质：pcb 软板</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4、喷嘴直径：0.4mm（0.2-0.5mm 任意可选）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5、喷嘴最高温度可达到 240℃</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6、支持喷头数量：  1 个。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7、3.5 寸中英文智能全彩触摸屏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8、支持语言：中/英</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9、环境要求：5-50℃，湿度 5-50%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eastAsia="zh-CN" w:bidi="ar"/>
              </w:rPr>
              <w:t>▲</w:t>
            </w:r>
            <w:r>
              <w:rPr>
                <w:rFonts w:hint="eastAsia" w:ascii="宋体" w:hAnsi="宋体" w:eastAsia="宋体" w:cs="宋体"/>
                <w:b w:val="0"/>
                <w:bCs w:val="0"/>
                <w:i w:val="0"/>
                <w:caps w:val="0"/>
                <w:color w:val="auto"/>
                <w:spacing w:val="0"/>
                <w:w w:val="100"/>
                <w:kern w:val="0"/>
                <w:sz w:val="21"/>
                <w:szCs w:val="21"/>
                <w:lang w:val="en-US" w:bidi="ar"/>
              </w:rPr>
              <w:t>10、打印尺寸≥210x210x200mm</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11、精度：层高：0.05-0.4mm 可选；XY 轴定位：0.01mm；Z 轴定位：0.0025mm，并具有抱死功能，保证平台绝对位置。</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12、打印方式：支持 USB 连接或 SD 卡脱机打印</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13、打印速度：10-150mm/s；XY 轴运动速度：18000；Z 轴运动速度：1700</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14、耗材类型：PLA,ABS 等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15、耗材直径：1.75mm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16、机器净毛重：21KG/25KG</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17、机器硬件、软件、主板为同一公司自主研发。</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eastAsia="zh-CN" w:bidi="ar"/>
              </w:rPr>
              <w:t>▲</w:t>
            </w:r>
            <w:r>
              <w:rPr>
                <w:rFonts w:hint="eastAsia" w:ascii="宋体" w:hAnsi="宋体" w:eastAsia="宋体" w:cs="宋体"/>
                <w:b w:val="0"/>
                <w:bCs w:val="0"/>
                <w:i w:val="0"/>
                <w:caps w:val="0"/>
                <w:color w:val="auto"/>
                <w:spacing w:val="0"/>
                <w:w w:val="100"/>
                <w:kern w:val="0"/>
                <w:sz w:val="21"/>
                <w:szCs w:val="21"/>
                <w:lang w:val="en-US" w:bidi="ar"/>
              </w:rPr>
              <w:t>18、具备暂停换料功能，一键进料、一键退料功能；</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eastAsia="zh-CN" w:bidi="ar"/>
              </w:rPr>
              <w:t>▲</w:t>
            </w:r>
            <w:r>
              <w:rPr>
                <w:rFonts w:hint="eastAsia" w:ascii="宋体" w:hAnsi="宋体" w:eastAsia="宋体" w:cs="宋体"/>
                <w:b w:val="0"/>
                <w:bCs w:val="0"/>
                <w:i w:val="0"/>
                <w:caps w:val="0"/>
                <w:color w:val="auto"/>
                <w:spacing w:val="0"/>
                <w:w w:val="100"/>
                <w:kern w:val="0"/>
                <w:sz w:val="21"/>
                <w:szCs w:val="21"/>
                <w:lang w:val="en-US" w:bidi="ar"/>
              </w:rPr>
              <w:t>19.断电续打功能；双路供电，自动保存打印进度。</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20.断料检测功能，并带有报警保护系统。</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21.料盘架：后挂式，配有 led 炫彩照明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22、3D 模型数据处理软件功能要求：（1）软件可以查询观察打印轨迹；（2）3D 模型数据处理软件具备固件升级的功能；（3）可缩放 3D 模型至所需的尺寸；软件有自动摆放和分角度调节功能；（4）分配多个作业的打印队列，以及预计打印时可在切片前一键预览打印支撑       </w:t>
            </w:r>
          </w:p>
          <w:p>
            <w:pPr>
              <w:keepLines w:val="0"/>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23、上敞开式打印，安全可靠。</w:t>
            </w:r>
          </w:p>
        </w:tc>
        <w:tc>
          <w:tcPr>
            <w:tcW w:w="1110"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kern w:val="0"/>
                <w:sz w:val="21"/>
                <w:szCs w:val="21"/>
                <w:lang w:bidi="ar"/>
              </w:rPr>
              <w:t>2</w:t>
            </w:r>
            <w:r>
              <w:rPr>
                <w:rFonts w:hint="eastAsia" w:ascii="宋体" w:hAnsi="宋体" w:eastAsia="宋体" w:cs="宋体"/>
                <w:b w:val="0"/>
                <w:bCs w:val="0"/>
                <w:i w:val="0"/>
                <w:caps w:val="0"/>
                <w:color w:val="auto"/>
                <w:spacing w:val="0"/>
                <w:w w:val="100"/>
                <w:kern w:val="0"/>
                <w:sz w:val="21"/>
                <w:szCs w:val="21"/>
                <w:lang w:val="en-US" w:eastAsia="zh-CN" w:bidi="ar"/>
              </w:rPr>
              <w:t>台</w:t>
            </w:r>
          </w:p>
        </w:tc>
        <w:tc>
          <w:tcPr>
            <w:tcW w:w="768"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27"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sz w:val="21"/>
                <w:szCs w:val="21"/>
                <w:lang w:val="en-US" w:eastAsia="zh-CN"/>
              </w:rPr>
              <w:t>5</w:t>
            </w:r>
          </w:p>
        </w:tc>
        <w:tc>
          <w:tcPr>
            <w:tcW w:w="1145"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cs="宋体"/>
                <w:b w:val="0"/>
                <w:i w:val="0"/>
                <w:caps w:val="0"/>
                <w:color w:val="auto"/>
                <w:spacing w:val="0"/>
                <w:w w:val="100"/>
                <w:kern w:val="0"/>
                <w:sz w:val="21"/>
                <w:szCs w:val="21"/>
                <w:lang w:val="en-US" w:eastAsia="zh-CN" w:bidi="ar"/>
              </w:rPr>
              <w:t>工业机器视觉编程与应用技术平台</w:t>
            </w:r>
          </w:p>
        </w:tc>
        <w:tc>
          <w:tcPr>
            <w:tcW w:w="5793" w:type="dxa"/>
            <w:shd w:val="clear" w:color="auto" w:fill="auto"/>
            <w:noWrap w:val="0"/>
            <w:vAlign w:val="center"/>
          </w:tcPr>
          <w:p>
            <w:pPr>
              <w:pStyle w:val="15"/>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一、总体要求：</w:t>
            </w:r>
          </w:p>
          <w:p>
            <w:pPr>
              <w:pStyle w:val="26"/>
              <w:numPr>
                <w:ilvl w:val="0"/>
                <w:numId w:val="6"/>
              </w:numPr>
              <w:shd w:val="clear" w:color="auto" w:fill="FFFFFF"/>
              <w:snapToGrid w:val="0"/>
              <w:spacing w:before="0" w:beforeAutospacing="0" w:after="0" w:afterAutospacing="0" w:line="240" w:lineRule="auto"/>
              <w:ind w:firstLine="405"/>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生产线能够开展机器视觉、工业机器人、运动控制、工业互联网和PLC控制等相关实训，能够满足“工业机器人应用技术”、“机器视觉系统应用”、“PLC技术及应用”等课程实验实训教学的需要。</w:t>
            </w:r>
          </w:p>
          <w:p>
            <w:pPr>
              <w:pStyle w:val="26"/>
              <w:numPr>
                <w:ilvl w:val="0"/>
                <w:numId w:val="6"/>
              </w:numPr>
              <w:shd w:val="clear" w:color="auto" w:fill="FFFFFF"/>
              <w:snapToGrid w:val="0"/>
              <w:spacing w:before="0" w:beforeAutospacing="0" w:after="0" w:afterAutospacing="0" w:line="240" w:lineRule="auto"/>
              <w:ind w:firstLine="405"/>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生产线采用多重安全保护，电控柜必须具有接地保护、漏电保护、急停按钮等保护措施；设备具有设有内、外电压型漏电保护装置和电流型漏电保护装置；各电源和信号源输出均有监示及短路保护等功能；有效的避免由于学生的误操作带来的设备损坏。</w:t>
            </w:r>
          </w:p>
          <w:p>
            <w:pPr>
              <w:pStyle w:val="26"/>
              <w:numPr>
                <w:ilvl w:val="0"/>
                <w:numId w:val="6"/>
              </w:numPr>
              <w:shd w:val="clear" w:color="auto" w:fill="FFFFFF"/>
              <w:snapToGrid w:val="0"/>
              <w:spacing w:before="0" w:beforeAutospacing="0" w:after="0" w:afterAutospacing="0" w:line="240" w:lineRule="auto"/>
              <w:ind w:firstLine="405"/>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高柔性和高精度结构设计，可用于3C、汽车、机械、生物、食品等行业的物品装配、智能检测、性能测试、包装等连续性生产，采用分段式设计，每个工站可以独立工作，方便进行教学和研发，工站之间采用协议通讯，支持托盘或物品直接传送，适合多样随机的小型产品生产，工站的数量可以裁剪和扩充，适合不同的应用场景和预算。 </w:t>
            </w:r>
          </w:p>
          <w:p>
            <w:pPr>
              <w:pStyle w:val="26"/>
              <w:numPr>
                <w:ilvl w:val="0"/>
                <w:numId w:val="6"/>
              </w:numPr>
              <w:shd w:val="clear" w:color="auto" w:fill="FFFFFF"/>
              <w:snapToGrid w:val="0"/>
              <w:spacing w:before="0" w:beforeAutospacing="0" w:after="0" w:afterAutospacing="0" w:line="240" w:lineRule="auto"/>
              <w:ind w:firstLine="405"/>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每个工站宽度不大于800mm，深度不大于850mm，台面高度不大于920mm，总高不大于1600mm， 所有的工站的端面尺寸一致，有机械对接和电气对接的功能模块。</w:t>
            </w:r>
          </w:p>
          <w:p>
            <w:pPr>
              <w:pStyle w:val="26"/>
              <w:numPr>
                <w:ilvl w:val="0"/>
                <w:numId w:val="6"/>
              </w:numPr>
              <w:shd w:val="clear" w:color="auto" w:fill="FFFFFF"/>
              <w:snapToGrid w:val="0"/>
              <w:spacing w:before="0" w:beforeAutospacing="0" w:after="0" w:afterAutospacing="0" w:line="240" w:lineRule="auto"/>
              <w:ind w:firstLine="405"/>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可方便安装各种2D和3D工业相机，也可方便安装背光、同轴光、环形光等多种常见光源。工具端采用小型快换工装，保证产线可适应多种产品生产，同时采用视觉定位保证产品装配精度。 </w:t>
            </w:r>
          </w:p>
          <w:p>
            <w:pPr>
              <w:pStyle w:val="26"/>
              <w:numPr>
                <w:ilvl w:val="0"/>
                <w:numId w:val="6"/>
              </w:numPr>
              <w:shd w:val="clear" w:color="auto" w:fill="FFFFFF"/>
              <w:snapToGrid w:val="0"/>
              <w:spacing w:before="0" w:beforeAutospacing="0" w:after="0" w:afterAutospacing="0" w:line="240" w:lineRule="auto"/>
              <w:ind w:firstLine="405"/>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设备支持无线通讯模块，可以远程实时控制，同时设备可以选配监控模块，可以方便进行比赛录频和远程监控。  </w:t>
            </w:r>
          </w:p>
          <w:p>
            <w:pPr>
              <w:pStyle w:val="26"/>
              <w:numPr>
                <w:ilvl w:val="0"/>
                <w:numId w:val="6"/>
              </w:numPr>
              <w:shd w:val="clear" w:color="auto" w:fill="FFFFFF"/>
              <w:snapToGrid w:val="0"/>
              <w:spacing w:before="0" w:beforeAutospacing="0" w:after="0" w:afterAutospacing="0" w:line="240" w:lineRule="auto"/>
              <w:ind w:firstLine="405"/>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前后端可以对接AGV（视觉或激光导航），能够完成循环连线生产或演示。</w:t>
            </w:r>
          </w:p>
          <w:p>
            <w:pPr>
              <w:pStyle w:val="26"/>
              <w:numPr>
                <w:ilvl w:val="0"/>
                <w:numId w:val="6"/>
              </w:numPr>
              <w:shd w:val="clear" w:color="auto" w:fill="FFFFFF"/>
              <w:snapToGrid w:val="0"/>
              <w:spacing w:before="0" w:beforeAutospacing="0" w:after="0" w:afterAutospacing="0" w:line="240" w:lineRule="auto"/>
              <w:ind w:firstLine="405"/>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为了保证本采购项目所列实验实训功能顺利实施开展，必需配齐配全各种样品、线缆、工具、软硬件说明书和实训指导书等，并配套一定数量的易损品备件，丰富的功能模块和应用展示，可以完成不少于10个项目机器视觉综合应用。</w:t>
            </w:r>
          </w:p>
          <w:p>
            <w:pPr>
              <w:pStyle w:val="26"/>
              <w:numPr>
                <w:ilvl w:val="0"/>
                <w:numId w:val="0"/>
              </w:numPr>
              <w:shd w:val="clear" w:color="auto" w:fill="FFFFFF"/>
              <w:snapToGrid w:val="0"/>
              <w:spacing w:before="0" w:beforeAutospacing="0" w:after="0" w:afterAutospacing="0" w:line="240" w:lineRule="auto"/>
              <w:ind w:firstLine="420" w:firstLineChars="200"/>
              <w:jc w:val="left"/>
              <w:textAlignment w:val="baseline"/>
              <w:rPr>
                <w:rFonts w:hint="eastAsia" w:ascii="宋体" w:hAnsi="宋体" w:eastAsia="宋体" w:cs="宋体"/>
                <w:b w:val="0"/>
                <w:i w:val="0"/>
                <w:caps w:val="0"/>
                <w:color w:val="auto"/>
                <w:spacing w:val="0"/>
                <w:w w:val="100"/>
                <w:sz w:val="21"/>
                <w:szCs w:val="21"/>
                <w:highlight w:val="red"/>
              </w:rPr>
            </w:pPr>
            <w:r>
              <w:rPr>
                <w:rFonts w:hint="eastAsia" w:ascii="宋体" w:hAnsi="宋体" w:eastAsia="宋体" w:cs="宋体"/>
                <w:b w:val="0"/>
                <w:i w:val="0"/>
                <w:caps w:val="0"/>
                <w:color w:val="auto"/>
                <w:spacing w:val="0"/>
                <w:w w:val="100"/>
                <w:sz w:val="21"/>
                <w:szCs w:val="21"/>
                <w:highlight w:val="white"/>
                <w:lang w:val="en-US" w:eastAsia="zh-CN"/>
              </w:rPr>
              <w:t>9.</w:t>
            </w:r>
            <w:r>
              <w:rPr>
                <w:rFonts w:hint="eastAsia" w:ascii="宋体" w:hAnsi="宋体" w:eastAsia="宋体" w:cs="宋体"/>
                <w:b w:val="0"/>
                <w:i w:val="0"/>
                <w:caps w:val="0"/>
                <w:color w:val="auto"/>
                <w:spacing w:val="0"/>
                <w:w w:val="100"/>
                <w:sz w:val="21"/>
                <w:szCs w:val="21"/>
                <w:highlight w:val="white"/>
              </w:rPr>
              <w:t>满足世界机器人大赛工业视觉编程与应用赛项要求（提供证明文件）。</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p>
          <w:p>
            <w:pPr>
              <w:widowControl/>
              <w:shd w:val="clear" w:color="auto" w:fill="FFFFFF"/>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二、产线组成：</w:t>
            </w:r>
          </w:p>
          <w:p>
            <w:pPr>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产线由两个工站组成，一个工站为传送带视觉检测工站，另一个工站为四轴机器人操作工站。用户可以根据应用需要增加检测和机器人工站。</w:t>
            </w:r>
          </w:p>
          <w:p>
            <w:pPr>
              <w:pStyle w:val="15"/>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传送带视觉检测工站主要用于产品上料和在线视觉检测，主要包含上料模块（默认为气动上料模块，可选配直角机器人上料模块）、传送带模块、在线视觉检测模块、视觉控制器模块、电控模块和实训机台等组成。该单元基本动作流程为：①上料模块推送透明托盘（托盘内载入随机摆放的工件）到传送线上。②托盘途径皮带线上的视觉检测区域，到位传感器会触发相机拍照或直接控制皮带停止。③完成图像处理后皮带线会继续往前传输，托盘触发传输线末端的到位传感器，夹紧气缸会固定托盘的位置，并传递检测的结果给下一个工站。</w:t>
            </w:r>
          </w:p>
          <w:p>
            <w:pPr>
              <w:pStyle w:val="15"/>
              <w:snapToGrid w:val="0"/>
              <w:spacing w:before="0" w:beforeAutospacing="0" w:after="0" w:afterAutospacing="0" w:line="240" w:lineRule="auto"/>
              <w:ind w:firstLine="420" w:firstLineChars="200"/>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四轴机器人操作工站主要用于产品的复检、装配、加工以及托盘下料码垛等工序。主要包含四轴机器人模块、手眼视觉模块、鲁班锁装配模块、料盒收集模块、静态试验台、机器人操作台、电控模块和实训机台等组成。该单元基本动作流程为：①收到上个工站托盘到位的信号后四轴机器人带着手眼视觉系统进行二次定位和处理。②引导四轴机器人对物料进行抓取，根据处理的结果将不同的鲁班锁配件放置在对应的位置，同时将空的托盘抓取放置到料盒收集模块。③鲁班锁装配模块上有两组翻转气缸，可以根据装配需要的位姿完成鲁班锁的位姿调整。④按一定的装配顺序完成鲁班锁装配。</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三、传送带视觉检测工站主要技术参数：</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3.1 输入电源</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（1）单相三线AC 220V±10% (50Hz),总功率不大于1KW。</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（2）具有电源供电指示。</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（3）设有接地保护、漏电保护、声光报警，安全特性符合有关国家标准。</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（4）实训台配有交流220V二孔、三孔电源插座，均由独立的断路器控制，漏电自动保护。</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3.2  上料模块</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（1）默认配置为气动上料模块，可选配直角机器人机器人上料模块。</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 能够单次储料不少于10个托盘，托盘为透明材料，尺寸不小于120x120mm，厚度不小于15mm。</w:t>
            </w:r>
          </w:p>
          <w:p>
            <w:pPr>
              <w:pStyle w:val="26"/>
              <w:shd w:val="clear" w:color="auto" w:fill="FFFFFF"/>
              <w:snapToGrid w:val="0"/>
              <w:spacing w:before="0" w:beforeAutospacing="0" w:after="0" w:afterAutospacing="0" w:line="240" w:lineRule="auto"/>
              <w:ind w:firstLine="39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（3）具备料盒缺料传感器。</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3.3传送带模块 </w:t>
            </w:r>
          </w:p>
          <w:p>
            <w:pPr>
              <w:pStyle w:val="26"/>
              <w:numPr>
                <w:ilvl w:val="0"/>
                <w:numId w:val="7"/>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传送带模块采用模块化设计，方便固定在型材实训台面上，长度不小于600mm，宽度不小于130mm，采用步进电机控制，并安装每转不小于2000分辨率的编码器。</w:t>
            </w:r>
          </w:p>
          <w:p>
            <w:pPr>
              <w:pStyle w:val="26"/>
              <w:numPr>
                <w:ilvl w:val="0"/>
                <w:numId w:val="7"/>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皮带采用白色PVC材料，内部安装位置可调节的背光源，发光面积不小于170x120mm；</w:t>
            </w:r>
          </w:p>
          <w:p>
            <w:pPr>
              <w:pStyle w:val="26"/>
              <w:numPr>
                <w:ilvl w:val="0"/>
                <w:numId w:val="7"/>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皮带上安装两组到位传感器，一组用于触发视觉检测，一组用于末端触发托盘夹紧，夹紧气缸的夹紧力需可调。</w:t>
            </w:r>
          </w:p>
          <w:p>
            <w:pPr>
              <w:pStyle w:val="26"/>
              <w:numPr>
                <w:ilvl w:val="0"/>
                <w:numId w:val="7"/>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模块的所有电、气走线美观，以内部走线为主，对位采用快接连接器。</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3.4在线视觉检测模块 </w:t>
            </w:r>
          </w:p>
          <w:p>
            <w:pPr>
              <w:pStyle w:val="26"/>
              <w:numPr>
                <w:ilvl w:val="0"/>
                <w:numId w:val="8"/>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采用模块上设计，上面采用蜂窝板结构，可方便安装各种2D和3D工业相机，也可安装同轴光、环形光、碗状无影光等多种常见光源。</w:t>
            </w:r>
          </w:p>
          <w:p>
            <w:pPr>
              <w:pStyle w:val="26"/>
              <w:numPr>
                <w:ilvl w:val="0"/>
                <w:numId w:val="8"/>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蜂窝板上下滑动采用按压弹簧和手拧螺丝固定，无需要工具可以方便调节高度，粗调高度范围不小于300mm，并配置有精调手动滑台，调节范围±15mm，调节精度1mm。</w:t>
            </w:r>
          </w:p>
          <w:p>
            <w:pPr>
              <w:pStyle w:val="26"/>
              <w:numPr>
                <w:ilvl w:val="0"/>
                <w:numId w:val="8"/>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整个相机采集区域采用钣金加亚克力嵌套的外罩，前侧外罩向上提拉即可轻松取下，为视觉器件调节及更换提供开阔的视野和操作空间，反向操作即可将外罩复原，操作简单便捷。立柱的上端和侧面均可以安装显示器，并可以锁定位置。</w:t>
            </w:r>
          </w:p>
          <w:p>
            <w:pPr>
              <w:pStyle w:val="26"/>
              <w:numPr>
                <w:ilvl w:val="0"/>
                <w:numId w:val="8"/>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配套160万像素彩色2D相机一台，分辨率不低于3000×2000像素，采用滚动快门CMOS芯片，芯片尺寸不小于1/1.8”,帧率不低于15fps，自带GPIO，支持GigE VISION协议和GenlCam标准，支持POE供电，符合CE，FCC,UL,ROHS认证。</w:t>
            </w:r>
          </w:p>
          <w:p>
            <w:pPr>
              <w:pStyle w:val="26"/>
              <w:numPr>
                <w:ilvl w:val="0"/>
                <w:numId w:val="8"/>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配套600万像素彩色2D相机一台，分辨率不低于1440× 1080像素，采用滚动快门CMOS芯片，芯片尺寸不小于1/3”,帧率不低于60fps，自带GPIO，支持GigE VISION协议和GenlCam标准，支持POE供电，符合CE，FCC,UL,ROHS认证。</w:t>
            </w:r>
          </w:p>
          <w:p>
            <w:pPr>
              <w:pStyle w:val="26"/>
              <w:numPr>
                <w:ilvl w:val="0"/>
                <w:numId w:val="8"/>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提供定焦镜头一组，焦距至少包含8mm、12和16mm，光圈不小于F2.8，均支持500万及以上像素，支持2/3英寸及以上相机成像芯片；配套一组镜头接圈，包含1、2、5、10、20、40mm各1个，并配套镜头清洁布等。</w:t>
            </w:r>
          </w:p>
          <w:p>
            <w:pPr>
              <w:pStyle w:val="26"/>
              <w:numPr>
                <w:ilvl w:val="0"/>
                <w:numId w:val="8"/>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配套白色漫射四面条形光源一个，发光区域大于120x120mm，带漫射板。</w:t>
            </w:r>
          </w:p>
          <w:p>
            <w:pPr>
              <w:pStyle w:val="26"/>
              <w:numPr>
                <w:ilvl w:val="0"/>
                <w:numId w:val="8"/>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配套白色漫射环形光源一个，发光直径不大于100mm，带漫射板。</w:t>
            </w:r>
          </w:p>
          <w:p>
            <w:pPr>
              <w:pStyle w:val="26"/>
              <w:numPr>
                <w:ilvl w:val="0"/>
                <w:numId w:val="8"/>
              </w:numPr>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配套轨道安装四通道独立控制光源控制器一台，软件进行通道选择和亮度调节，支持外触发和频闪控制，支持RS232和TCP/IP通讯协议，输出电压：0~26V。                                           </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3.5视觉控制器模块 </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（1）立式安装方便接线，直接安装在型材台面之上。</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（2）采用高性能i5八代多核处理器，8G内存，120G SSD硬盘，可同时支持两路USB3.0相机和四路PoE GigE相机同时采集。</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（3）自带光耦隔离GPIO（8IN、8OUT）、两路RS232/485接口。</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（4）支持TCP/IP、EtherCAT等网络协议，支持运动控制及分布式IO扩展。</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（5）支持四路光源控制，可以外触发。</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（6）全铝合金外壳设计，强度高，散热性能好，尺寸不大于210x90x195mm。</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（7）支持HDMI和DVI显示器，配套显示器不小于19寸，配套工业小尺寸键鼠。</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（8）输入电源DC 24V，最大功率240W。</w:t>
            </w:r>
          </w:p>
          <w:p>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（9）配套通用软件平台：</w:t>
            </w:r>
          </w:p>
          <w:p>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①采用软硬件控制处理一体化集成设计，在一个通用软件平台中实现统一标准化的设备硬件控制、图像处理和数据统计应用方式。设备硬件控制包括相机应用控制、PLC应用控制、运动控制卡应用控制、光源应用控制、机器人应用控制等。</w:t>
            </w:r>
          </w:p>
          <w:p>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②提供图形化编程和代码编程两种编程模式：图形化编程简单易用，采用拖拽式操作配置的方式实现参数的设置、数据的编辑、变最的引用和赋值、显示窗口布局显示、图像和ROI任意绑定显示、流程图定义任务流程，流程图模块包括顺序执行模块、判断模块、分支模块、循环模块、并行模块、工具组模块、流程块模块和定时器模块；代码编程支持基于VB.net、C#多种语言的编程和开发；包括提供SDK底层算法开发包、算法工具开发模块、功能插件开发模块、硬件资源开发模块、用户界面开发模块等。</w:t>
            </w:r>
          </w:p>
          <w:p>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③提供分布式多服务器服务管理模块：支持软件平台、工具、资源、配置的版本在线网络备份、升级和校验管理；支持TCP/IP、串口、PLC控制等操作仿真。</w:t>
            </w:r>
          </w:p>
          <w:p>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④软件平台包含至少包含常用图像处理、运动控制和外部通讯工具，包括3D标定、3D定位、3D测量、AOI检测、红外相机检测、深度学习、传送带跟踪计数等多种高级算子，提供API函数，支持二次开发。</w:t>
            </w:r>
          </w:p>
          <w:p>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⑤软件平台2D相机的处理软件工具至少包含有无/正反检测、颜色/位置判断、定位、尺寸测量、ID识别、字符识别、缺陷检测等工具。</w:t>
            </w:r>
          </w:p>
          <w:p>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⑥软件平台3D相机的处理软件工具支持多种不同类型3D相机（包含TOF、线激光、双目结构光、扫描振镜等），软件工具包含3D标定、3D定位、3D测量等，可实现三维测量和三维点云计算并配套相应的教学程序。</w:t>
            </w:r>
          </w:p>
          <w:p>
            <w:pPr>
              <w:pStyle w:val="26"/>
              <w:shd w:val="clear" w:color="auto" w:fill="FFFFFF"/>
              <w:snapToGrid w:val="0"/>
              <w:spacing w:before="0" w:beforeAutospacing="0" w:after="0" w:afterAutospacing="0" w:line="240" w:lineRule="auto"/>
              <w:ind w:firstLine="39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3.6电控模块</w:t>
            </w:r>
          </w:p>
          <w:p>
            <w:pPr>
              <w:pStyle w:val="26"/>
              <w:numPr>
                <w:ilvl w:val="0"/>
                <w:numId w:val="9"/>
              </w:numPr>
              <w:shd w:val="clear" w:color="auto" w:fill="FFFFFF"/>
              <w:snapToGrid w:val="0"/>
              <w:spacing w:before="0" w:beforeAutospacing="0" w:after="0" w:afterAutospacing="0" w:line="240" w:lineRule="auto"/>
              <w:ind w:firstLine="24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电控模块包含空开、电源、PLC、触摸屏、驱动器、电磁阀等，所有的电气组件放置在下方的电控柜，同时需要接线的输入输出和气阀控制点均布置在桌面上，并带接错保护。</w:t>
            </w:r>
          </w:p>
          <w:p>
            <w:pPr>
              <w:pStyle w:val="26"/>
              <w:numPr>
                <w:ilvl w:val="0"/>
                <w:numId w:val="9"/>
              </w:numPr>
              <w:shd w:val="clear" w:color="auto" w:fill="FFFFFF"/>
              <w:snapToGrid w:val="0"/>
              <w:spacing w:before="0" w:beforeAutospacing="0" w:after="0" w:afterAutospacing="0" w:line="240" w:lineRule="auto"/>
              <w:ind w:firstLine="24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PLC支持EtherCAT通信总线，具备强大的运动控制和分布式I/O控制能力，符合PLCopen规范，可实现最大8轴的运动控制，支持EtherCAT、以太网（MODBUS-TCP、TCP/IP、UDP）、CAN和RS485（MODBUS、自由协议）接口，可实现多层次网络通信，能够满足多场景的应用需求；自带4路200K高速输入和4路200K高速输出，可实现4轴脉冲输出和4路编码器计数（支持4倍频，CW/CCW，脉冲+方向和单相计数），含16个输入点和14个输出点。</w:t>
            </w:r>
          </w:p>
          <w:p>
            <w:pPr>
              <w:pStyle w:val="26"/>
              <w:numPr>
                <w:ilvl w:val="0"/>
                <w:numId w:val="9"/>
              </w:numPr>
              <w:shd w:val="clear" w:color="auto" w:fill="FFFFFF"/>
              <w:snapToGrid w:val="0"/>
              <w:spacing w:before="0" w:beforeAutospacing="0" w:after="0" w:afterAutospacing="0" w:line="240" w:lineRule="auto"/>
              <w:ind w:firstLine="24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触摸屏不小于7英寸。TFT液晶显示LED背光，分辨率不低于1024*768像素，独立通讯，支持RS232、RS485、以太网等通讯方式，可实现多屏一机，支持U盘下载程序。带斜卧式安装盒。</w:t>
            </w:r>
          </w:p>
          <w:p>
            <w:pPr>
              <w:pStyle w:val="26"/>
              <w:shd w:val="clear" w:color="auto" w:fill="FFFFFF"/>
              <w:snapToGrid w:val="0"/>
              <w:spacing w:before="0" w:beforeAutospacing="0" w:after="0" w:afterAutospacing="0" w:line="240" w:lineRule="auto"/>
              <w:ind w:firstLine="39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3.7实训机台</w:t>
            </w:r>
          </w:p>
          <w:p>
            <w:pPr>
              <w:pStyle w:val="26"/>
              <w:numPr>
                <w:ilvl w:val="0"/>
                <w:numId w:val="10"/>
              </w:numPr>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宽度不大于700mm，深度不大于850mm，台面高度不大于920mm，总高不大于1600mm，采用型材框架和台面，钣金和亚克力封边，每个工站具有4个带刹车的脚轮。</w:t>
            </w:r>
          </w:p>
          <w:p>
            <w:pPr>
              <w:pStyle w:val="26"/>
              <w:numPr>
                <w:ilvl w:val="0"/>
                <w:numId w:val="10"/>
              </w:numPr>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电控柜位于实训台下方，采用电控板网板式，并倾斜式安装和带滑轨，可以拉到实训台外方便接线和调试。</w:t>
            </w:r>
          </w:p>
          <w:p>
            <w:pPr>
              <w:pStyle w:val="26"/>
              <w:numPr>
                <w:ilvl w:val="0"/>
                <w:numId w:val="10"/>
              </w:numPr>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实训机台之间带快接固定机械装置和电机对接连接器，能够方便的脱离独立工作。</w:t>
            </w:r>
          </w:p>
          <w:p>
            <w:pPr>
              <w:pStyle w:val="26"/>
              <w:numPr>
                <w:ilvl w:val="0"/>
                <w:numId w:val="10"/>
              </w:numPr>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机台下方柜体配备模组收纳区，闲置模组可收纳其中，防止干扰其他实验以及防止部件缺失；</w:t>
            </w:r>
          </w:p>
          <w:p>
            <w:pPr>
              <w:pStyle w:val="26"/>
              <w:numPr>
                <w:ilvl w:val="0"/>
                <w:numId w:val="10"/>
              </w:numPr>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配备常用工具及易损耗材收纳箱，方便人员操作。</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四、四轴机器人操作工站主要技术参数：</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4.1 输入电源</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（1）单相三线AC 220V±10% (50Hz),总功率不大于1KW。</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（2）具有电源供电指示。</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（3）设有接地保护、漏电保护、声光报警，安全特性符合有关国家标准。</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（4）实训台配有交流220V二孔、三孔电源插座，均由独立的断路器控制，漏电自动保护。</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4.2. 四轴工业机器人</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（1）运动范围：</w:t>
            </w:r>
          </w:p>
          <w:p>
            <w:pPr>
              <w:widowControl/>
              <w:snapToGrid w:val="0"/>
              <w:spacing w:before="0" w:beforeAutospacing="0" w:after="0" w:afterAutospacing="0" w:line="240" w:lineRule="auto"/>
              <w:ind w:firstLine="4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 1轴臂长 160mm、旋转角度：-90°~ +90°；</w:t>
            </w:r>
          </w:p>
          <w:p>
            <w:pPr>
              <w:widowControl/>
              <w:snapToGrid w:val="0"/>
              <w:spacing w:before="0" w:beforeAutospacing="0" w:after="0" w:afterAutospacing="0" w:line="240" w:lineRule="auto"/>
              <w:ind w:firstLine="4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 2轴臂长160mm、旋转角度-143°~ +143°°；</w:t>
            </w:r>
          </w:p>
          <w:p>
            <w:pPr>
              <w:widowControl/>
              <w:snapToGrid w:val="0"/>
              <w:spacing w:before="0" w:beforeAutospacing="0" w:after="0" w:afterAutospacing="0" w:line="240" w:lineRule="auto"/>
              <w:ind w:firstLine="4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 Z轴行程0~160mm；</w:t>
            </w:r>
          </w:p>
          <w:p>
            <w:pPr>
              <w:widowControl/>
              <w:snapToGrid w:val="0"/>
              <w:spacing w:before="0" w:beforeAutospacing="0" w:after="0" w:afterAutospacing="0" w:line="240" w:lineRule="auto"/>
              <w:ind w:firstLine="4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 R轴旋转范围±1080°。</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（2）最大负载：1kg，重复定位精度：±0.02mm。</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（3）通信方式：TCP/IP。</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（4）IO数量：24个。</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（5）电源输入：24V/10ADC，功率：240W max。</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（6）净重：不大于11KG。</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（7）材料：铝合金、3D打印材料。</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（8）控制器：集成控制器，置于机械臂内部。</w:t>
            </w:r>
          </w:p>
          <w:p>
            <w:pPr>
              <w:pStyle w:val="26"/>
              <w:shd w:val="clear" w:color="auto" w:fill="FFFFFF"/>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4.3 手眼视觉模块</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（1）采用彩色2D相机，分辨率不低于2500x1940像素，采用滚动快门CMOS芯片，芯片尺寸不小于1/2.5”,帧率不低于14fps，自带GPIO，支持GigE VISION协议和GenlCam标准，支持POE供电，符合CE，FCC,UL,ROHS认证。</w:t>
            </w:r>
          </w:p>
          <w:p>
            <w:pPr>
              <w:pStyle w:val="58"/>
              <w:widowControl/>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（2）配套直射环形光源，带漫射板，发光面外径不小于80mm，内径不小于40mm，采用RGB LED灯珠，同时光源配有外螺纹，能够直径拧在配套的定焦镜头上</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4.4 鲁班锁装配模块 </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（1）带零件姿态辅助调整功能（水平翻转、竖直翻转），实现零件水平和竖直方向90度翻转；</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（2）配有零件缓存功能，针对零件非正常顺序来料，零件暂置于缓存区，使零件能按序组装，缓存区最多能收纳所有鲁班锁部件；</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（3）模块相对整体的布局位置可根据实际需求调整，模块整体拆装方便。</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4.5料盒收集模块</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（1）能够收纳不小于10个料盒；</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（2）料盒人工回收便捷；</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（3）料盒布局位置可根据具体实验调整，拆装方便。</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4.6机器人操作台等组成</w:t>
            </w:r>
          </w:p>
          <w:p>
            <w:pPr>
              <w:pStyle w:val="26"/>
              <w:numPr>
                <w:ilvl w:val="0"/>
                <w:numId w:val="11"/>
              </w:numPr>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平台尺寸不小于200x150mm，主要用于样品的摆放、码垛或中转；</w:t>
            </w:r>
          </w:p>
          <w:p>
            <w:pPr>
              <w:pStyle w:val="26"/>
              <w:numPr>
                <w:ilvl w:val="0"/>
                <w:numId w:val="11"/>
              </w:numPr>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方便拆装和移动位置。</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rPr>
              <w:t>4.7 静态试验台</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（1）试验台尺寸不小于220x200mm，主要用于静态试验样品载台；</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（2）配置背光源，可配合搭建更加丰富的光学实验环境；</w:t>
            </w:r>
          </w:p>
          <w:p>
            <w:pPr>
              <w:pStyle w:val="26"/>
              <w:shd w:val="clear" w:color="auto" w:fill="FFFFFF"/>
              <w:snapToGrid w:val="0"/>
              <w:spacing w:before="0" w:beforeAutospacing="0" w:after="0" w:afterAutospacing="0" w:line="240" w:lineRule="auto"/>
              <w:ind w:firstLine="210" w:firstLineChars="10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（3）配置限位装置，方便样品取放定位；</w:t>
            </w:r>
          </w:p>
          <w:p>
            <w:pPr>
              <w:widowControl/>
              <w:snapToGrid/>
              <w:spacing w:before="0" w:beforeAutospacing="0" w:after="0" w:afterAutospacing="0" w:line="240" w:lineRule="auto"/>
              <w:jc w:val="left"/>
              <w:textAlignment w:val="center"/>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（4）模块化设计，布局拆装方便。</w:t>
            </w:r>
          </w:p>
          <w:p>
            <w:pPr>
              <w:pStyle w:val="22"/>
              <w:pBdr>
                <w:bottom w:val="single" w:color="auto" w:sz="6" w:space="1"/>
              </w:pBd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rPr>
            </w:pPr>
            <w:r>
              <w:rPr>
                <w:rFonts w:hint="eastAsia" w:ascii="宋体" w:hAnsi="宋体" w:cs="宋体"/>
                <w:b w:val="0"/>
                <w:i w:val="0"/>
                <w:caps w:val="0"/>
                <w:color w:val="auto"/>
                <w:spacing w:val="0"/>
                <w:w w:val="100"/>
                <w:sz w:val="21"/>
                <w:szCs w:val="21"/>
                <w:highlight w:val="none"/>
                <w:lang w:eastAsia="zh-CN"/>
              </w:rPr>
              <w:t>投标商须提供生产厂家出具针对本项目的售后服务承诺加盖公章。</w:t>
            </w:r>
          </w:p>
        </w:tc>
        <w:tc>
          <w:tcPr>
            <w:tcW w:w="1110"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kern w:val="0"/>
                <w:sz w:val="21"/>
                <w:szCs w:val="21"/>
                <w:lang w:bidi="ar"/>
              </w:rPr>
              <w:t>4</w:t>
            </w:r>
            <w:r>
              <w:rPr>
                <w:rFonts w:hint="eastAsia" w:ascii="宋体" w:hAnsi="宋体" w:eastAsia="宋体" w:cs="宋体"/>
                <w:b w:val="0"/>
                <w:bCs w:val="0"/>
                <w:i w:val="0"/>
                <w:caps w:val="0"/>
                <w:color w:val="auto"/>
                <w:spacing w:val="0"/>
                <w:w w:val="100"/>
                <w:kern w:val="0"/>
                <w:sz w:val="21"/>
                <w:szCs w:val="21"/>
                <w:lang w:val="en-US" w:eastAsia="zh-CN" w:bidi="ar"/>
              </w:rPr>
              <w:t>台</w:t>
            </w:r>
          </w:p>
        </w:tc>
        <w:tc>
          <w:tcPr>
            <w:tcW w:w="768"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27"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sz w:val="21"/>
                <w:szCs w:val="21"/>
                <w:lang w:val="en-US" w:eastAsia="zh-CN"/>
              </w:rPr>
              <w:t>6</w:t>
            </w:r>
          </w:p>
        </w:tc>
        <w:tc>
          <w:tcPr>
            <w:tcW w:w="1145"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工业传感器集成应用平台</w:t>
            </w:r>
          </w:p>
        </w:tc>
        <w:tc>
          <w:tcPr>
            <w:tcW w:w="5793" w:type="dxa"/>
            <w:shd w:val="clear" w:color="auto" w:fill="auto"/>
            <w:noWrap w:val="0"/>
            <w:vAlign w:val="center"/>
          </w:tcPr>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（一）▲系统总体要求：工业传感器集成应用平台由各类工业级传感器、工业物联网网关、工业触摸屏、工业PLC编程控制器和工业传感器集成应用平台职业技能等级认证1+X教学实训考证资源库等</w:t>
            </w:r>
            <w:r>
              <w:rPr>
                <w:rFonts w:hint="eastAsia" w:ascii="宋体" w:hAnsi="宋体" w:eastAsia="宋体" w:cs="宋体"/>
                <w:b w:val="0"/>
                <w:i w:val="0"/>
                <w:caps w:val="0"/>
                <w:color w:val="auto"/>
                <w:spacing w:val="0"/>
                <w:w w:val="100"/>
                <w:sz w:val="21"/>
                <w:szCs w:val="21"/>
                <w:lang w:val="en-US" w:eastAsia="zh-CN"/>
              </w:rPr>
              <w:t>各单元</w:t>
            </w:r>
            <w:r>
              <w:rPr>
                <w:rFonts w:hint="eastAsia" w:ascii="宋体" w:hAnsi="宋体" w:eastAsia="宋体" w:cs="宋体"/>
                <w:b w:val="0"/>
                <w:i w:val="0"/>
                <w:caps w:val="0"/>
                <w:color w:val="auto"/>
                <w:spacing w:val="0"/>
                <w:w w:val="100"/>
                <w:sz w:val="21"/>
                <w:szCs w:val="21"/>
              </w:rPr>
              <w:t>组成。</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（二）工业传感器集成应用平台电气性能要求</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（2.1）输入电源：单相AC220V±10%50Hz。</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（2.2）工作环境：湿度20%～90%RH，温度0～40℃海拔＜4000m。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（2.3）安装条件：具备有线或无线网络，具备云平台广域网上网条件，制造商提供工业传感器云平台空间及权限。</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（2.4）工业级传感器性能要求：采用低功耗级工业传感器，宽电压供电，支持Modbus协议/数字量/模拟量输出，高防护等级外壳，精度高，稳定性强。</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2.5）▲工业互联网网关：采用CorteX-A9系列架构核心处理器，具备PLC控制功能，带网口、ZEGBEE无线传感网络网关模块、串口等标准通用接口，可即时与各类工控设备连接通讯；可编程逻辑器件：小型的可编程序控制器，适用性强，无论独立运行，或相连成网络皆能实现复杂控制功能。集成≥24输入/16输出数字量I/O 点。可连接≥6个扩展模块。≥12K字节程序和数据存储空间。≥5个独立高速计数器，独立高速脉冲输出，具有PID控制器。RS485通讯/编程口，具有PPI通讯协议、MPI通讯协议和自由方式通讯能力。支持PLC控制；支持触摸屏组态控制；支持可视化数据分析和展示；支持生产数据数字化分析和预警；生产制造商配套工业网关及云服务，可远程操作和实时查看数据。配备工业传感器集成应用平台云端教学实训项目案例。</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（2.6）声光报警器：高亮、高分贝报警器，≥20mm孔径螺纹式安装，IP56高等级防护，电木保护外壳， DC24V电压供电，可直接连接PLC，不需要添加额外电路。2Hz固定报警频率，无需外部振荡源，直接由电平触发。带高亮度指示灯，触发报警后指示灯一并触发。可通过设置触发时间改变报警频率（常开、10Hz）。</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2.7）按钮盒：配备多功能按钮盒，ABS保护外壳，≥20mm孔径螺纹式安装，IP56高等级防护，电木保护外壳。带有防水防震部件，防止内部按钮零件受机械损伤。包含：动断按钮（常态下，触点接通）；动合按钮（常态下，触点断开）；动合/动断按钮（常态下，触点既能接通又能断开）；带灯按钮（触点和指示灯）；动作点击按钮（限位、点动操作）；急停按钮（内部带自锁，需人工解锁）；旋钮式按钮（内部有多组动断/动合触点，外部带旋钮，可手动选择挡位）。</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2.8）信号指示灯：高亮信号指示灯，内置式高亮LED光源，≥20mm孔径螺纹式安装，IP56高等级防护，电木保护外壳，DC24V电压供电，直连PLC，无需额外电路。包含：系统运行状态指示灯、错误状态指示灯、复位状态指示灯、传感器运行状态指示灯、输入/输出状态指示灯。</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2.9）霍尔式接近开关：在霍尔效应原理的基础上，利用集成封装和组装工艺制作而成，可方便的把磁输入信号转换成实际应用中的电信号，同时又具备工业场合实际应用易操作和可靠性的要求。IP67防护等级外壳，检测距离≥10mm±10%，可检测带磁性的金属或非金属，检测物体大小≥12*12mm，1KHz响应频率，采用DC10～30V宽电压范围输入。可承受AC1000V 50/60Hz 1Min，带逆连接、浪涌吸收、负载短路保护，在-30～+65℃内稳定工作。</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2.10）电感式接近开关：利用内部固定频率的振荡电路，当靠近金属时，其振荡频率大幅改变。检测电路检测到这个变化，经放大后推动显示电路或执行机构动作。IP67防护等级外壳，检测距离≥4mm±10%，可检测铁或带磁性的金属或非金属，检测物体大小不小于15*15*1mm，DC0.5KHz AC25Hz响应频率，采用DC10～30V宽电压范围输入。可承受AC1000V 50/60Hz 1Min，带逆连接、浪涌吸收、负载短路保护，在-30～+65℃内稳定工作。</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2.11）漫反射光电开关：利用被检测物对光束的遮挡或反射，由同步回路接通电路，从而检测物体的有无。物体不限于金属，所有能反射光线（或者对光线有遮挡作用）的物体均可以被检测，可用它来计数机械臂的运动次数。IP67防护等级外壳，检测距离10～30cm±10%，可调节的检测灵敏度，660nm红光，可检测透明/不透明的物体，检测物体大小不限，1ms响应时间，采用DC10～30V宽电压范围输入。可承受AC1000V 50/60Hz 1Min，带逆连接、浪涌吸收、负载短路保护，在-30～+65℃，35～95%RH内稳定工作。</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2.12）U型光电门：由红外发射管和红外接收管,和坡口宽度决定了接收信号感应接收模型和距离，在光的强度为中等，由红外线光与光体之间的接收和转换,探测物体的位置。检测体的限制少，且检测距离长，可对小物体进行远距离检测(数十米)的检测精度高能检测，应用非常广泛。ABS外壳，检测距离≤30cm，可通过旋钮调节检测灵敏度，检测不透明的物体，检测物体大小不限，1ms以下响应时间，3～5°投光角度：采用DC6～36V宽电压范围输入。可承受AC1000V 50/60Hz 1Min，带逆连接、浪涌吸收、负载短路保护，在-30～+65℃，35～95%RH内稳定工作。</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2.13）光纤放大器：光纤放大器将输入讯号的功率放大，可以实现多途径的应用。用于区分特定材质、大小、颜色的物料，筛选特种物料、残次物料、废料。DC6～24V宽电压输入，1～500mm可调检测距离，三线输出，简化控制电路。≥200us反应速度，物料表面检测值与阈值对比检测，提高物料检测效率和准确率。检测结果可显示在数码显示器上，可调节的灵敏度，常开/常闭触发方式选择，带自动维护、抗粉尘干扰、抗衰减功能。</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2.14）行程开关：额定电压5A、250VAC；操作速度0.5mm～50cm/s；操作频率≥100次/分、电气≥28次/分；绝缘电阻≥100Ω；不连续端子间耐电压≥1000VAC，50、60Hz持续一分钟、端子和接地间≥1500VAC，50、60Hz，持续一分钟、端子和无载电流金属之间≥1500VAC，50/60Hz持续一分钟；振动10～55Hz；误动作耐久≥480m/s以上(约30G以上)；使用周温-5～+65℃；湿度95%RH；使用寿命：机械1000万次以上、电气50万次以上；防护等级IEC:IP65。</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2.15）限位开关：利用机械运动部件的碰撞使其触头动作来实现接通或分断控制电路，达到一定的控制目的。开关用来限制机械运动的位置或行程，使运动机械按一定位置或行程自动停止、反向运动、变速运动或自动往返运动等。常开类型；额定电压120～380V；额定电流≥5A；工作行程≥95mm；超行程≥140mm。双电路双断型触点排列（1a1b）；15mΩ以下触点阻抗（起始在6至8V电压，额定电流下）；镀金银合金触点材料（不含镉）。100mΩ以上绝缘电阻（起始，在DC500V绝缘电阻时测得）；非连续端子之间（起始）≥900/1分钟、无电压金属件与各端子之间≥1800V/1分钟、接地与各端子之间≥1800V/1分钟抗电压性能；自由状态下98m/s²以下抗冲击性 ，满负荷状态下294m/s²以下抗冲击性；55Hz以下抗振动能力；1000万次以上寿命机械寿命（通断频率120次/分钟）30万次以上电气寿命（阻性负载、额定负载）；环境温度/环境湿度－20℃～＋60℃/95%RH以下（在20℃）。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2.16）温湿度变送器：低功耗级工业传感器，采用DC10～30V宽电压供电，IP65高防护外壳，在粉尘、雨雪、潮湿等恶劣环境下也能正常工作，采集精度≥±3%RH(60%,25℃)、±0.5℃，采集量程0%RH～100%RH、-40℃～+120℃，模拟（0～10V输出。</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2.17）噪声传感器：低功耗级工业传感器，采用DC10～30V宽电压供电，IP65高防护外壳，在粉尘、雨雪、潮湿等恶劣环境下也能正常工作。最大功耗≤0.4W；输出信号RS485；响应时间≤2S；测量范围30dB～120dB；分辨率≤0.1dB；测量误差≤±0.5dB；频率加权特性A加权；频率响应20Hz～12.5kHz；工作温度-20～6℃；工作湿度0%RH～80%RH；耗电≤0.15W(@12VDC,25℃)；工作压力范围0.9～1.1at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2.18）雨雪变送器：低功耗级工业传感器，采用DC10～30V宽电压供电，IP65高防护外壳，在粉尘、雨雪、潮湿等恶劣环境下也能正常工作。输出信号RS485输出；开关类型常开触点；雨雪等降水天气检测对象；耗电≤0.4W(常态)≤2.4W(加热状态)；工作环境-20°C～60°C ；温度0～80%RH；加热功能开启温度≤15°C。</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（2.19）二氧化碳变送器：低功耗级工业传感器，采用DC10～30V宽电压供电，IP65高防护外壳，在粉尘、雨雪、潮湿等恶劣环境下也能正常工作。 CO2测量范围400～5000ppm（可定制）；CO2精度±(40ppm+ 3%F·S)(25℃)；稳定性≤2%F·S；非线性≤1%F·S；平均电流≤85mA；自带温度补偿，输出信号RS485；90%阶跃变化时响应时间≤90S；工作环境-10～+50°C、0～80%RH(无凝结)；整体尺寸≤115*85*45m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2.20）一氧化碳变送器：低功耗级工业传感器，采用DC10～30V宽电压供电，IP65高防护外壳，在粉尘、雨雪、潮湿等恶劣环境下也能正常工作。平均功耗≤0.18W；输出信号RS485；CO分辨率≤1ppm；CO精度≤±3%FS；零点漂移≤±3ppm；工作温度-20～50℃；工作湿度15～90%RH无冷凝；稳定性≤2%信号值/月；响应时间≤30S；重复性≤2%；压力范围90～110Kpa。</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2.21）旋转编码器：≤Φ50通用型旋转增量编码器，集电极开路输出型，支持线性驱动输出。5～24V宽电压供电，2000P/R的分辨率，具有使Z相对简单化的原点位置显示功能，带有轴负重，径向≥28N，推力向≥18N。备有逆接、负载短路保护回路。</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2.22）有刷直流电机：24V/30W永磁直流电机，≥6mm轴径，空载≥7000rpm/Min，最大2Kg.cm，可调速，可调正反转。3000小时以上寿命，可换式碳刷，≤30dB噪音。具有高速静音、持久耐用、寿命长特点，可连续工作≥3000小时，高转速，寿命长，纯铜线阻值精度高，稳定可靠，转速更快，温度系数小，能承受高温，银铜合金换向器硬度高耐磨性更强，双滚珠轴承，高速静音，采用静音钢球工艺，声音小，硬度高，减少摩擦，≥2000GS磁瓦，提高转子工作性能，机身内设两块扇形磁铁，具有高磁性，高矫顽力，高磁能积特性；12V/24V工作电压、额定2～3.7A工作电流、额定功率30W、轻型电机（500g）、8mm光轴，可适配多种夹头；可调速及正反转；空载转数（RPM/MIN）12V≥3000、24V≥6000；空载电流12V≤0.35A、24V≤0.4；额定转数（RPM/MIN）12V≥2000、24V≥5000；额定电流12V≤2.5A、4V≤2.8A；堵转电流12V≤3.5A、24V≤4.0A。</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（2.23）42步进电机：二相四线引出线，≥6mm轴径，预留编码器接口轴，最大3A电流。多种驱动方式，可外挂减速箱。</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（2.24）电机驱动器：两相步进电机驱动器，可实现正反转控制。通过S1\S2\S3 3位拨码开关选择≥6档细分控制(1、2、4、8、16)，通过S4\S5\S6 3位拨码开关选择≥4档电流控制（0.5A，1A，1.5A，2.0A，2.5A，3.0A,3.5A,4.0A）。适合驱动86,57,42,39型两相、四相混合式步进电机。支持多种电平驱动信号，支持PWM\PPM等常用驱动方式，兼容驱动有刷电机，发热量小。9～24V宽电压供电，最大72W功率，最大输出电流4.0A，-10～45℃下稳定工作。</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（2.25）电磁阀：水流\气流控制阀门，采用黄铜阀体。额定电压DC24V；线圈功率常规8W；压力范围：0～0.7Mpa；接管口径1/4DN08；流量孔径≥2.0mm；常闭（通电打开）；耐压力≥8Kgf/cm²；工作温度-5～80°C。</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2.26）变频器：单项220V工作电压，可直接驱动三相鼠笼式异步电机。可实现即速度、转距、PID或其他方式控制。正弦波PWM控制方式/(V/F控制&amp;无感测器向量控制)；频率投定解析度0.1Hz；输出频率解析度0.1Hz；转矩特性：具自动转矩补偿、自动转差补偿，起动转矩在5.0Hz时可达150%的额定转矩；加速减速时间0.1～600秒(2段加/减速时间可分別独立设定)；负载特性以驱动器额定电流的20～200%设定失速防止位置；停止時可自0.01～60Hz操作直流制动，制动电流0～100%的额定电流；启动时间0～5秒，停止时间0～25秒；任意VIF曲线设定；自动稳压输出调速，加速/减速S曲线设定，过电压，过电流失速防止3相异常记录，禁止反转，瞬时停电在启动，直流制动，自动转矩补偿、转差补偿，自动调速，载波频率调整，输出频率上下限设定，向量控制，PID回授控制，外部计数，可程序控制，MODBUS通讯.异常重置、异常在启动、数位频率信号输出；保护等极IP20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（2.27）小型继电器：直流24V线圈电压，机械触点均可用于控制直流(DC)或交流(AC)，DC12/24V AC220V/380V触点电压，DC10A AC10A触点额定电流。可设置单刀单掷(SPST)/单刀双掷(SPDT)/双刀单掷(DPST)/双刀双掷(DPDT)触点数量和模式，触点状态分为常开(NO)和常闭(NC)触点。触点间加交流500V/1min不击穿，可接220V交流电。继电器线圈直流电阻24V/1600Ω，最大触点负载10A。</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2.28）交直流接触器：辅助接通电路和导通控制回路，3组常开主触点，1组常开1组常闭辅助触点。银钨合金触点，具有良好的导电性和耐高温烧蚀性。接触器内部设置灭弧罩，防止接触时打火，1000万次以上机械寿命，690VA绝缘电压，12mA动作电流，最大可带动7.5KW负载。电木绝缘外壳，3.5cm导轨式安装方式。在-5～+40℃下稳定工作。支持自锁、互锁、联动控制，可配合PLC、按钮盒、网关实现冶金流程中对送料电机、传输带电机、搅拌电机的启停、正反装控制。</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2.29）时间继电器：机械定时器，实现对控制电路的定时控制，此产品具有多种时间选型，可满足多样需求，高品质继电器，功能强大，可抗干扰。最大发热电流5A、电位器设定时间、断电延时工作方式、延时范围0.5S/5S/30S/3min可选、延时2转换\延时1转换\瞬时1转换触点、电木外壳、导轨式安装方式、宽电压工作范围、电压规格DC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（2.30）空气开关：230/400AC 32A 2P小型漏电保护器，10000小时以上电气寿命，20000小时以上机械寿命。3.5cm导轨式安装方式。具有短路/过载/漏电保护功能，最大6000A浪涌电流，30mA动作电流，带动负载不低于5KW。</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2.31）工业触摸屏：支持Modbus、PPI、TCP/IP等协议。≥7.0寸电阻式触摸屏，抗干扰性强，采用LED背光光源，PPI通讯协议确保精彩系列面板与S7-1200系列PLC建立高速无缝的连接。开孔尺寸(mm)≥190×120×200；LCD-TFT显示类型；分辨率≥600×480颜色256亮度250cd/m&amp;sup2；背光寿命( 25°C)≥30,000小时；允许范围19.2 V～28.8 V DC；环境条件操作温度0～ 50°C。</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（2.32）工业PLC编程控制器：采用高性能PLC专用控制器，提供≥125kbyte工作储存器和≥4Mbyte预装载储存器，≥0.0</w:t>
            </w:r>
            <w:r>
              <w:rPr>
                <w:rFonts w:hint="eastAsia" w:ascii="宋体" w:hAnsi="宋体" w:eastAsia="宋体" w:cs="宋体"/>
                <w:b w:val="0"/>
                <w:i w:val="0"/>
                <w:caps w:val="0"/>
                <w:color w:val="auto"/>
                <w:spacing w:val="0"/>
                <w:w w:val="100"/>
                <w:sz w:val="21"/>
                <w:szCs w:val="21"/>
                <w:lang w:val="en-US" w:eastAsia="zh-CN"/>
              </w:rPr>
              <w:t>6</w:t>
            </w:r>
            <w:r>
              <w:rPr>
                <w:rFonts w:hint="eastAsia" w:ascii="宋体" w:hAnsi="宋体" w:eastAsia="宋体" w:cs="宋体"/>
                <w:b w:val="0"/>
                <w:i w:val="0"/>
                <w:caps w:val="0"/>
                <w:color w:val="auto"/>
                <w:spacing w:val="0"/>
                <w:w w:val="100"/>
                <w:sz w:val="21"/>
                <w:szCs w:val="21"/>
              </w:rPr>
              <w:t>us位运算周期、≥1.</w:t>
            </w:r>
            <w:r>
              <w:rPr>
                <w:rFonts w:hint="eastAsia" w:ascii="宋体" w:hAnsi="宋体" w:eastAsia="宋体" w:cs="宋体"/>
                <w:b w:val="0"/>
                <w:i w:val="0"/>
                <w:caps w:val="0"/>
                <w:color w:val="auto"/>
                <w:spacing w:val="0"/>
                <w:w w:val="100"/>
                <w:sz w:val="21"/>
                <w:szCs w:val="21"/>
                <w:lang w:val="en-US" w:eastAsia="zh-CN"/>
              </w:rPr>
              <w:t>5</w:t>
            </w:r>
            <w:r>
              <w:rPr>
                <w:rFonts w:hint="eastAsia" w:ascii="宋体" w:hAnsi="宋体" w:eastAsia="宋体" w:cs="宋体"/>
                <w:b w:val="0"/>
                <w:i w:val="0"/>
                <w:caps w:val="0"/>
                <w:color w:val="auto"/>
                <w:spacing w:val="0"/>
                <w:w w:val="100"/>
                <w:sz w:val="21"/>
                <w:szCs w:val="21"/>
              </w:rPr>
              <w:t>us字运算周期和≥2.</w:t>
            </w:r>
            <w:r>
              <w:rPr>
                <w:rFonts w:hint="eastAsia" w:ascii="宋体" w:hAnsi="宋体" w:eastAsia="宋体" w:cs="宋体"/>
                <w:b w:val="0"/>
                <w:i w:val="0"/>
                <w:caps w:val="0"/>
                <w:color w:val="auto"/>
                <w:spacing w:val="0"/>
                <w:w w:val="100"/>
                <w:sz w:val="21"/>
                <w:szCs w:val="21"/>
                <w:lang w:val="en-US" w:eastAsia="zh-CN"/>
              </w:rPr>
              <w:t>0</w:t>
            </w:r>
            <w:r>
              <w:rPr>
                <w:rFonts w:hint="eastAsia" w:ascii="宋体" w:hAnsi="宋体" w:eastAsia="宋体" w:cs="宋体"/>
                <w:b w:val="0"/>
                <w:i w:val="0"/>
                <w:caps w:val="0"/>
                <w:color w:val="auto"/>
                <w:spacing w:val="0"/>
                <w:w w:val="100"/>
                <w:sz w:val="21"/>
                <w:szCs w:val="21"/>
              </w:rPr>
              <w:t>us浮点数运算周期。模块化编程，支持LAD、FBD、SCL编程语言，提供DB、FC、FB、计数器和定时器模块，模块数量最大可分配65535个。整机采用24V DC供电，集成24V编码器/负载电流源。≥1</w:t>
            </w:r>
            <w:r>
              <w:rPr>
                <w:rFonts w:hint="eastAsia" w:ascii="宋体" w:hAnsi="宋体" w:eastAsia="宋体" w:cs="宋体"/>
                <w:b w:val="0"/>
                <w:i w:val="0"/>
                <w:caps w:val="0"/>
                <w:color w:val="auto"/>
                <w:spacing w:val="0"/>
                <w:w w:val="100"/>
                <w:sz w:val="21"/>
                <w:szCs w:val="21"/>
                <w:lang w:val="en-US" w:eastAsia="zh-CN"/>
              </w:rPr>
              <w:t>2</w:t>
            </w:r>
            <w:r>
              <w:rPr>
                <w:rFonts w:hint="eastAsia" w:ascii="宋体" w:hAnsi="宋体" w:eastAsia="宋体" w:cs="宋体"/>
                <w:b w:val="0"/>
                <w:i w:val="0"/>
                <w:caps w:val="0"/>
                <w:color w:val="auto"/>
                <w:spacing w:val="0"/>
                <w:w w:val="100"/>
                <w:sz w:val="21"/>
                <w:szCs w:val="21"/>
              </w:rPr>
              <w:t>点集成24V直流数字量输入(漏电流/源电流(IEC1型漏电流))。≥</w:t>
            </w:r>
            <w:r>
              <w:rPr>
                <w:rFonts w:hint="eastAsia" w:ascii="宋体" w:hAnsi="宋体" w:eastAsia="宋体" w:cs="宋体"/>
                <w:b w:val="0"/>
                <w:i w:val="0"/>
                <w:caps w:val="0"/>
                <w:color w:val="auto"/>
                <w:spacing w:val="0"/>
                <w:w w:val="100"/>
                <w:sz w:val="21"/>
                <w:szCs w:val="21"/>
                <w:lang w:val="en-US" w:eastAsia="zh-CN"/>
              </w:rPr>
              <w:t>8</w:t>
            </w:r>
            <w:r>
              <w:rPr>
                <w:rFonts w:hint="eastAsia" w:ascii="宋体" w:hAnsi="宋体" w:eastAsia="宋体" w:cs="宋体"/>
                <w:b w:val="0"/>
                <w:i w:val="0"/>
                <w:caps w:val="0"/>
                <w:color w:val="auto"/>
                <w:spacing w:val="0"/>
                <w:w w:val="100"/>
                <w:sz w:val="21"/>
                <w:szCs w:val="21"/>
              </w:rPr>
              <w:t>点集成数字量输出，24V直流。2点集成模拟量输入0~10 V。2点集成模拟量输出0~20 mA。4点脉冲输出(PTO)，频率高100 kHz。脉冲宽度调制输出(PWM)，频率高100 kHz。集成以太网接口(TCP/IP native、ISO-on-TCP)。</w:t>
            </w:r>
            <w:r>
              <w:rPr>
                <w:rFonts w:hint="eastAsia" w:ascii="宋体" w:hAnsi="宋体" w:eastAsia="宋体" w:cs="宋体"/>
                <w:b w:val="0"/>
                <w:i w:val="0"/>
                <w:caps w:val="0"/>
                <w:color w:val="auto"/>
                <w:spacing w:val="0"/>
                <w:w w:val="100"/>
                <w:sz w:val="21"/>
                <w:szCs w:val="21"/>
                <w:lang w:val="en-US" w:eastAsia="zh-CN"/>
              </w:rPr>
              <w:t>带有多个</w:t>
            </w:r>
            <w:r>
              <w:rPr>
                <w:rFonts w:hint="eastAsia" w:ascii="宋体" w:hAnsi="宋体" w:eastAsia="宋体" w:cs="宋体"/>
                <w:b w:val="0"/>
                <w:i w:val="0"/>
                <w:caps w:val="0"/>
                <w:color w:val="auto"/>
                <w:spacing w:val="0"/>
                <w:w w:val="100"/>
                <w:sz w:val="21"/>
                <w:szCs w:val="21"/>
              </w:rPr>
              <w:t>快速计数器(3个大频率为100 kHz;3个大频率为30 kHz)，带有可参数化的使能和复位输入可以同时用作带有2点单独输入的加减计数器，或用于连接增量型编码器通过附加通信接口扩展。通过信号板使用模拟或数字信号直接在CPU上扩展（保持CPU 安装尺寸)，通过信号模块使用各种模拟量和数字量输入和输出信号扩展。PID控制器，具有自动调谐功能。集成实时时钟和中断输入，可对过程信号的上升沿或下降沿作出极高速响应，模块上均为可拆卸的端子。PROFINET接口，用于编程、HMI通信和PLC间的通信。此外开放的以太网协议支持与第三方设备的通信。该接口带具有自动交叉网线（auto-crossover）功能的RJ45连接器，提供 10/100Mbit/s的数据传输速率，支持TCP/IP native、ISO-on-TCP、 S7、UDP、Modbus TCP、Profinet IO、OPC UA等通信协议。</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（2.33）485集线器：接口标准符合EIA/TIA RS-232和RS485标准；RS485接线端子；通信速率300～460800BPS波特率(自适应)；支持点数每个RS485口支持≤32个节点；通讯距离≤1200米(9600bps时)；RS485两线(A,B）；半双工透明传输；供电电压DC9～DC30V；工作温度-45℃～+85C；环境湿度&lt;95%RH；传输介质普通平行线/双绞线。</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（2.34）三相鼠笼式异步电动机：额定功率≤180W（kW），额定电压380（V），额定转速≤1400（rpm）。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（2.35）工具箱：配备常用电气安装工具箱。</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（三）配套工业传感器集成应用平台职业技能等级认证1+X教学实训考证资源</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（3.1）理论考核采用在线考核模式，将单选题、多选题、判断题、填空题、简答题添加在试卷上；实践测评考核模式是以实验操作过程为考核点。</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（3.2）考试题目类型包括单选、多选、填空、判断、简答、实操；</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（3.3）考试界面包括考场名称、题卡、考试倒计时、题目信息等，题卡题目显示状态分为未做、已做，考试截止后自动提交试卷；支持手动、自动两种评分方式；</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3.4）▲考试结束后学生可以查看自己成绩；成绩单包括试卷名称、考试时间、考试评价、基本信息、错题分布、答题分析等信息；基本信息包括姓名、学号、所属组织、成绩、考场排名、用时；错题分布以柱状图形式直观展示错误题型分布及错误知识点TOP5；答题分析包括答错、答对、未答、全部等类型，显示各类型题目分布数量，对应类型下显示题目信息、学生答案、正确答案、得分情况、答案解析等内容；</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（3.5）▲支持在后台设置考题、考卷、考场，并能够以可视化的形式查看成绩。</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rPr>
              <w:t>（3.6）▲工业传感器集成应用平台职业技能等级认证1+X教学实训考证资源</w:t>
            </w:r>
            <w:r>
              <w:rPr>
                <w:rFonts w:hint="eastAsia" w:ascii="宋体" w:hAnsi="宋体" w:eastAsia="宋体" w:cs="宋体"/>
                <w:b w:val="0"/>
                <w:i w:val="0"/>
                <w:caps w:val="0"/>
                <w:color w:val="auto"/>
                <w:spacing w:val="0"/>
                <w:w w:val="100"/>
                <w:sz w:val="21"/>
                <w:szCs w:val="21"/>
                <w:lang w:eastAsia="zh-CN"/>
              </w:rPr>
              <w:t>：</w:t>
            </w:r>
            <w:r>
              <w:rPr>
                <w:rFonts w:hint="eastAsia" w:ascii="宋体" w:hAnsi="宋体" w:eastAsia="宋体" w:cs="宋体"/>
                <w:b w:val="0"/>
                <w:i w:val="0"/>
                <w:caps w:val="0"/>
                <w:color w:val="auto"/>
                <w:spacing w:val="0"/>
                <w:w w:val="100"/>
                <w:sz w:val="21"/>
                <w:szCs w:val="21"/>
              </w:rPr>
              <w:t>提供本系统对应的在线课程、教程、实验，提供在线更新。辅助采购人建立《工业传感器集成应用》</w:t>
            </w:r>
            <w:r>
              <w:rPr>
                <w:rFonts w:hint="eastAsia" w:ascii="宋体" w:hAnsi="宋体" w:eastAsia="宋体" w:cs="宋体"/>
                <w:b w:val="0"/>
                <w:i w:val="0"/>
                <w:caps w:val="0"/>
                <w:color w:val="auto"/>
                <w:spacing w:val="0"/>
                <w:w w:val="100"/>
                <w:sz w:val="21"/>
                <w:szCs w:val="21"/>
                <w:lang w:val="en-US" w:eastAsia="zh-CN"/>
              </w:rPr>
              <w:t>实训教学</w:t>
            </w:r>
            <w:r>
              <w:rPr>
                <w:rFonts w:hint="eastAsia" w:ascii="宋体" w:hAnsi="宋体" w:eastAsia="宋体" w:cs="宋体"/>
                <w:b w:val="0"/>
                <w:i w:val="0"/>
                <w:caps w:val="0"/>
                <w:color w:val="auto"/>
                <w:spacing w:val="0"/>
                <w:w w:val="100"/>
                <w:sz w:val="21"/>
                <w:szCs w:val="21"/>
              </w:rPr>
              <w:t>课证融通</w:t>
            </w:r>
            <w:r>
              <w:rPr>
                <w:rFonts w:hint="eastAsia" w:ascii="宋体" w:hAnsi="宋体" w:eastAsia="宋体" w:cs="宋体"/>
                <w:b w:val="0"/>
                <w:i w:val="0"/>
                <w:caps w:val="0"/>
                <w:color w:val="auto"/>
                <w:spacing w:val="0"/>
                <w:w w:val="100"/>
                <w:sz w:val="21"/>
                <w:szCs w:val="21"/>
                <w:lang w:val="en-US" w:eastAsia="zh-CN"/>
              </w:rPr>
              <w:t>课程</w:t>
            </w:r>
            <w:r>
              <w:rPr>
                <w:rFonts w:hint="eastAsia" w:ascii="宋体" w:hAnsi="宋体" w:eastAsia="宋体" w:cs="宋体"/>
                <w:b w:val="0"/>
                <w:i w:val="0"/>
                <w:caps w:val="0"/>
                <w:color w:val="auto"/>
                <w:spacing w:val="0"/>
                <w:w w:val="100"/>
                <w:sz w:val="21"/>
                <w:szCs w:val="21"/>
                <w:highlight w:val="none"/>
                <w:lang w:val="en-US" w:eastAsia="zh-CN"/>
              </w:rPr>
              <w:t>标准</w:t>
            </w:r>
            <w:r>
              <w:rPr>
                <w:rFonts w:hint="eastAsia" w:ascii="宋体" w:hAnsi="宋体" w:eastAsia="宋体" w:cs="宋体"/>
                <w:b w:val="0"/>
                <w:i w:val="0"/>
                <w:caps w:val="0"/>
                <w:color w:val="auto"/>
                <w:spacing w:val="0"/>
                <w:w w:val="100"/>
                <w:sz w:val="21"/>
                <w:szCs w:val="21"/>
                <w:highlight w:val="none"/>
              </w:rPr>
              <w:t>。</w:t>
            </w:r>
          </w:p>
          <w:p>
            <w:pPr>
              <w:widowControl/>
              <w:snapToGrid/>
              <w:spacing w:before="0" w:beforeAutospacing="0" w:after="0" w:afterAutospacing="0" w:line="240" w:lineRule="auto"/>
              <w:jc w:val="left"/>
              <w:textAlignment w:val="center"/>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3.7）▲工业传感器集成应用平台职业技能等级认证1+X教学实训考证资源库：提供理论与实操在线课程管理系统，教师及学生通过自己的账号登陆系统，可实现在线课程学习及在线考证，提供考证资源库的在线更新。</w:t>
            </w:r>
          </w:p>
          <w:p>
            <w:pPr>
              <w:pStyle w:val="22"/>
              <w:pBdr>
                <w:bottom w:val="single" w:color="auto" w:sz="6" w:space="1"/>
              </w:pBd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rPr>
            </w:pPr>
            <w:r>
              <w:rPr>
                <w:rFonts w:hint="eastAsia" w:ascii="宋体" w:hAnsi="宋体" w:cs="宋体"/>
                <w:b w:val="0"/>
                <w:i w:val="0"/>
                <w:caps w:val="0"/>
                <w:color w:val="auto"/>
                <w:spacing w:val="0"/>
                <w:w w:val="100"/>
                <w:sz w:val="21"/>
                <w:szCs w:val="21"/>
                <w:highlight w:val="none"/>
                <w:lang w:eastAsia="zh-CN"/>
              </w:rPr>
              <w:t>投标商须提供生产厂家出具针对本项目的售后服务承诺加盖公章。</w:t>
            </w:r>
          </w:p>
        </w:tc>
        <w:tc>
          <w:tcPr>
            <w:tcW w:w="1110"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kern w:val="0"/>
                <w:sz w:val="21"/>
                <w:szCs w:val="21"/>
                <w:lang w:bidi="ar"/>
              </w:rPr>
              <w:t>8</w:t>
            </w:r>
            <w:r>
              <w:rPr>
                <w:rFonts w:hint="eastAsia" w:ascii="宋体" w:hAnsi="宋体" w:eastAsia="宋体" w:cs="宋体"/>
                <w:b w:val="0"/>
                <w:bCs w:val="0"/>
                <w:i w:val="0"/>
                <w:caps w:val="0"/>
                <w:color w:val="auto"/>
                <w:spacing w:val="0"/>
                <w:w w:val="100"/>
                <w:kern w:val="0"/>
                <w:sz w:val="21"/>
                <w:szCs w:val="21"/>
                <w:lang w:val="en-US" w:eastAsia="zh-CN" w:bidi="ar"/>
              </w:rPr>
              <w:t>台</w:t>
            </w:r>
          </w:p>
        </w:tc>
        <w:tc>
          <w:tcPr>
            <w:tcW w:w="768"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5" w:hRule="atLeast"/>
          <w:jc w:val="center"/>
        </w:trPr>
        <w:tc>
          <w:tcPr>
            <w:tcW w:w="727"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sz w:val="21"/>
                <w:szCs w:val="21"/>
                <w:lang w:val="en-US" w:eastAsia="zh-CN"/>
              </w:rPr>
              <w:t>7</w:t>
            </w:r>
          </w:p>
        </w:tc>
        <w:tc>
          <w:tcPr>
            <w:tcW w:w="1145"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智能家居安装与维护系统</w:t>
            </w:r>
          </w:p>
        </w:tc>
        <w:tc>
          <w:tcPr>
            <w:tcW w:w="5793" w:type="dxa"/>
            <w:shd w:val="clear" w:color="auto" w:fill="auto"/>
            <w:noWrap w:val="0"/>
            <w:vAlign w:val="center"/>
          </w:tcPr>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一．智能家居样板操作间</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1.整套设备采用钢结构及铝合金型材承重支架，组成半封闭实训环境，模拟真实家居环境；尺寸</w:t>
            </w:r>
            <w:r>
              <w:rPr>
                <w:rFonts w:hint="eastAsia" w:ascii="宋体" w:hAnsi="宋体" w:eastAsia="宋体" w:cs="宋体"/>
                <w:b w:val="0"/>
                <w:i w:val="0"/>
                <w:caps w:val="0"/>
                <w:color w:val="auto"/>
                <w:spacing w:val="0"/>
                <w:w w:val="100"/>
                <w:sz w:val="21"/>
                <w:szCs w:val="21"/>
                <w:lang w:eastAsia="zh-CN"/>
              </w:rPr>
              <w:t>：</w:t>
            </w:r>
            <w:r>
              <w:rPr>
                <w:rFonts w:hint="eastAsia" w:ascii="宋体" w:hAnsi="宋体" w:eastAsia="宋体" w:cs="宋体"/>
                <w:b w:val="0"/>
                <w:i w:val="0"/>
                <w:caps w:val="0"/>
                <w:color w:val="auto"/>
                <w:spacing w:val="0"/>
                <w:w w:val="100"/>
                <w:sz w:val="21"/>
                <w:szCs w:val="21"/>
              </w:rPr>
              <w:t>2520×2450×1280mm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2.钣金采用1.5mm加厚型钢板，数控冲铣网孔、便于学生组装设备及布线实习</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3.实训工位整体色调一致、整个系统采用烤漆工艺，确保产品不易生锈、易维护和保养</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4.模块化设计，标准连接件，积木式架构，可随意组装成各种结构，便于维护、拆卸和运输</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5.样板间顶部钢板采用滑块式前置型固定法。侧板采用挡片式后置式固定法；侧面靠下装有活动桌面，采用前置式固定法，牢固可靠，保证安全</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6.样板间上固定线槽，线槽内布置实训专用的电源线；支持每一个实训所用部件的供电</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7.样板间满足国家用电安全相关标准，带有漏电保护装置，以保证用电安全</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8.同时支持通过用平板电脑、手机和网关来控制以上样板间设备</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9.电子门禁(1套)：需安装在每个工位的侧面，学生通过刷卡和集中控制方式可控制门禁通行；（强制门状态为常开或者常闭功能）</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1)电插锁：①可用电控开启、远程开启和手动开启，关门自动上锁；②适用于左门、右门、内开门与外开门等各种扇门；③锁舌伸出长度＞20mm，符合GA/T73-94 5.1.6B级标准；④ 与门禁等系统配套使用；⑤ 电压:DC12V,开锁电流＜300mA,静态20mA，开锁灵敏度1s；⑥使用寿命长（50万次以上）</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2)门铃：①电压：DC12V；有线单实用</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3)门禁电源：①36W大功率变压器，220V输入，12V输出；②可满足一个（刷卡机或指纹机），1把（电插锁或单门磁力锁）同时正常工作</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10.换气扇（ 1个）；可支持正反转，AC 220V供电</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11.旋转式警示灯（1个）；DC 12V供电</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12.LED射灯 （</w:t>
            </w:r>
            <w:r>
              <w:rPr>
                <w:rFonts w:hint="eastAsia" w:ascii="宋体" w:hAnsi="宋体" w:eastAsia="宋体" w:cs="宋体"/>
                <w:b w:val="0"/>
                <w:i w:val="0"/>
                <w:caps w:val="0"/>
                <w:color w:val="auto"/>
                <w:spacing w:val="0"/>
                <w:w w:val="100"/>
                <w:sz w:val="21"/>
                <w:szCs w:val="21"/>
                <w:lang w:val="en-US" w:eastAsia="zh-CN"/>
              </w:rPr>
              <w:t>6</w:t>
            </w:r>
            <w:r>
              <w:rPr>
                <w:rFonts w:hint="eastAsia" w:ascii="宋体" w:hAnsi="宋体" w:eastAsia="宋体" w:cs="宋体"/>
                <w:b w:val="0"/>
                <w:i w:val="0"/>
                <w:caps w:val="0"/>
                <w:color w:val="auto"/>
                <w:spacing w:val="0"/>
                <w:w w:val="100"/>
                <w:sz w:val="21"/>
                <w:szCs w:val="21"/>
              </w:rPr>
              <w:t>个）；DC 12V供电，纯铝底座，高透亚克力灯罩</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13.梯子 （1个）；合金材质，1.8米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14.万用表 （1只）；电子式，具有测量电压、电流、电阻等功能</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15.32英寸壁挂式LED液晶电视 （1台）；AC 220V供电，带USB、VGA、HDMI、RGB等接口</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16.壁挂式暖风机 （1台）；AC 220V供电，功率2000W</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17.电动窗帘 （1套）；AC 220V供电，窗帘电机自带多种模式</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w:t>
            </w:r>
            <w:r>
              <w:rPr>
                <w:rFonts w:hint="eastAsia" w:ascii="宋体" w:hAnsi="宋体" w:eastAsia="宋体" w:cs="宋体"/>
                <w:b w:val="0"/>
                <w:i w:val="0"/>
                <w:caps w:val="0"/>
                <w:color w:val="auto"/>
                <w:spacing w:val="0"/>
                <w:w w:val="100"/>
                <w:sz w:val="21"/>
                <w:szCs w:val="21"/>
                <w:lang w:val="en-US" w:eastAsia="zh-CN"/>
              </w:rPr>
              <w:t>8</w:t>
            </w:r>
            <w:r>
              <w:rPr>
                <w:rFonts w:hint="eastAsia" w:ascii="宋体" w:hAnsi="宋体" w:eastAsia="宋体" w:cs="宋体"/>
                <w:b w:val="0"/>
                <w:i w:val="0"/>
                <w:caps w:val="0"/>
                <w:color w:val="auto"/>
                <w:spacing w:val="0"/>
                <w:w w:val="100"/>
                <w:sz w:val="21"/>
                <w:szCs w:val="21"/>
              </w:rPr>
              <w:t>.路由器（1台）：无线标准：IEEE 802.11n、IEEE 802.11g、IEEE 802.11b ，网络接口：1个10/100Mbps WAN口 4个10/100Mbps LAN口</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19</w:t>
            </w:r>
            <w:r>
              <w:rPr>
                <w:rFonts w:hint="eastAsia" w:ascii="宋体" w:hAnsi="宋体" w:eastAsia="宋体" w:cs="宋体"/>
                <w:b w:val="0"/>
                <w:i w:val="0"/>
                <w:caps w:val="0"/>
                <w:color w:val="auto"/>
                <w:spacing w:val="0"/>
                <w:w w:val="100"/>
                <w:sz w:val="21"/>
                <w:szCs w:val="21"/>
              </w:rPr>
              <w:t>.智能家居控制终端（A8）（1个）：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CPU 处理器：Samsung S5PV210，基于CortexTM-A8；运行主频1GHzDDR2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RAM：512MB：32bit数据总线，单通道；运行频率200MHz FLASH 闪存</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SLC NAND Flash: 512MB</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操作系统支持：Superboot-210 Android 2.3+ Linux-2.6.35 Android 4.0(基于Linux-3.0.8 内核) Linux-3.0.8 + Qt2/4.8.5 WindowsCE 6.0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w:t>
            </w:r>
            <w:r>
              <w:rPr>
                <w:rFonts w:hint="eastAsia" w:ascii="宋体" w:hAnsi="宋体" w:eastAsia="宋体" w:cs="宋体"/>
                <w:b w:val="0"/>
                <w:i w:val="0"/>
                <w:caps w:val="0"/>
                <w:color w:val="auto"/>
                <w:spacing w:val="0"/>
                <w:w w:val="100"/>
                <w:sz w:val="21"/>
                <w:szCs w:val="21"/>
                <w:lang w:val="en-US" w:eastAsia="zh-CN"/>
              </w:rPr>
              <w:t>0</w:t>
            </w:r>
            <w:r>
              <w:rPr>
                <w:rFonts w:hint="eastAsia" w:ascii="宋体" w:hAnsi="宋体" w:eastAsia="宋体" w:cs="宋体"/>
                <w:b w:val="0"/>
                <w:i w:val="0"/>
                <w:caps w:val="0"/>
                <w:color w:val="auto"/>
                <w:spacing w:val="0"/>
                <w:w w:val="100"/>
                <w:sz w:val="21"/>
                <w:szCs w:val="21"/>
              </w:rPr>
              <w:t>.工具包：智能家居工具包，包含多种智能家居常用工具，方便实训操作</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、样板间正面主干由1根开有3个8mm孔位的垂直轴与6根水平轴，通过3根8mm双头螺栓固定组成“丰”字形，结构稳固。</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w:t>
            </w:r>
            <w:r>
              <w:rPr>
                <w:rFonts w:hint="eastAsia" w:ascii="宋体" w:hAnsi="宋体" w:eastAsia="宋体" w:cs="宋体"/>
                <w:b w:val="0"/>
                <w:i w:val="0"/>
                <w:caps w:val="0"/>
                <w:color w:val="auto"/>
                <w:spacing w:val="0"/>
                <w:w w:val="100"/>
                <w:sz w:val="21"/>
                <w:szCs w:val="21"/>
                <w:lang w:val="en-US" w:eastAsia="zh-CN"/>
              </w:rPr>
              <w:t>2</w:t>
            </w:r>
            <w:r>
              <w:rPr>
                <w:rFonts w:hint="eastAsia" w:ascii="宋体" w:hAnsi="宋体" w:eastAsia="宋体" w:cs="宋体"/>
                <w:b w:val="0"/>
                <w:i w:val="0"/>
                <w:caps w:val="0"/>
                <w:color w:val="auto"/>
                <w:spacing w:val="0"/>
                <w:w w:val="100"/>
                <w:sz w:val="21"/>
                <w:szCs w:val="21"/>
              </w:rPr>
              <w:t>、网孔板外形尺寸大小可根据实际情况定制，网孔板均匀分布50mm*6mm的网孔，可适用Φ3、Φ4、Φ6自攻螺丝和Φ3、Φ4、Φ6螺丝螺母安装。</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w:t>
            </w:r>
            <w:r>
              <w:rPr>
                <w:rFonts w:hint="eastAsia" w:ascii="宋体" w:hAnsi="宋体" w:eastAsia="宋体" w:cs="宋体"/>
                <w:b w:val="0"/>
                <w:i w:val="0"/>
                <w:caps w:val="0"/>
                <w:color w:val="auto"/>
                <w:spacing w:val="0"/>
                <w:w w:val="100"/>
                <w:sz w:val="21"/>
                <w:szCs w:val="21"/>
                <w:lang w:val="en-US" w:eastAsia="zh-CN"/>
              </w:rPr>
              <w:t>3</w:t>
            </w:r>
            <w:r>
              <w:rPr>
                <w:rFonts w:hint="eastAsia" w:ascii="宋体" w:hAnsi="宋体" w:eastAsia="宋体" w:cs="宋体"/>
                <w:b w:val="0"/>
                <w:i w:val="0"/>
                <w:caps w:val="0"/>
                <w:color w:val="auto"/>
                <w:spacing w:val="0"/>
                <w:w w:val="100"/>
                <w:sz w:val="21"/>
                <w:szCs w:val="21"/>
              </w:rPr>
              <w:t>、样板间上固定40线槽，40线槽内部走线8根一拖三连接头和8根1m或2m的连接线，为样板间内8个接线端供电，每个接线端都提供5V和12V两种电压。</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二．智能网关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包含智能网关及网关支架，满足智能家居等实训场景的组网需要。</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1.智能网关（1个）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输入电压:需支持外部电源适配器DC5V或板载电池DC3V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传输芯片处理器:TI CC2530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通讯协议标准:IEEE 802.15.4、Zigbee 2007Pro</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FLASH存储:256KB</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工作电流: &lt;40mA</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工作频率: 2.4GHz-2.4835GHz</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传输速率:250 kbps</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传输距离:室内50m，室外100m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通讯接口:支持通过JTAG接口进行嵌入式程序的写入、调试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支持串口通讯</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支持外置SD卡</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支持外置SD卡启动与内置NANO启动</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天线接口: 板载天线</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工作湿度: 5%RH～90%RH</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工作温度: -20℃～+70℃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CPU 处理器：Samsung S5PV210，基于CortexTM-A8；运行主频1GHzDDR2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RAM：512MB；32bit数据总线，单通道</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运行频率：200MHz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FLASH 闪存：SLC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NAND Flash: 512MB</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操作系统支持：Superboot-210 Android 2.3+ Linux-2.6.35 Android 4.0(基于Linux-3.0.8 内核) Linux-3.0.8 + Qt2/4.8.5 WindowsCE 6.0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2.A8网关支架（1个）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A8支架，用于安装智能网关，方便实训操作。</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三．智能家居应用套件</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智能家居应用套件是基于ZigBee无线传输技术、传感器网络节点技术等多学科高新技术而设计的创新综合开发教学实用套件。</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安装更便捷，支持多种安装方式。</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1.可支持SDK二次开发，支持通过JTAG接口进行嵌入式程序的写入、调试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2.为保障实训的安全性，电路设计需要采用安全电压设计，免螺丝弹簧式快接端子提供供电，防接反保护设计。</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3.温湿度监测器（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可实时监测显示环境温湿度数据并上传至网关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设备自带液晶显示，能实时显示温湿度数据，准确直观</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 外部电源适配器DC 5V或12V或24V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板载电池：DC3.7V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CPU处理器：TI CC2530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测温范围：-40℃～+123.8℃</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测温精度：±0.5℃</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测湿范围：0%RH～100%RH</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测湿精度：±4.5%RH</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4.照度监测器（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可实时监测显示环境光照度数据并上传至网关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设备自带液晶显示，能实时显示照度数据，准确直观</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输入电压：外部电源适配器DC 5V或12V或24V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板载电池：DC3.7V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CPU处理器：TI CC2530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测量范围：0～9999LUX</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测量精度：±20LUX</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5.气压监测器（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可实时监测显示大气压、气象预报数据并上传至网关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可同时显示环境温度数据并上传至网关，具备双探测功能</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设备自带液晶显示，能实时显示气压与环境温度数据，准确直观</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输入电压：外部电源适配器DC 5V或12V或24V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CPU处理器：TI CC2530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测量范围：300～1100hpm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6.烟雾探测器（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可实时监测显示环境烟雾数据并上传至网关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输入电压：外部电源适配器DC 5V或12V或24V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CPU处理器 zigbee协议通讯接口</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测量范围：0～2000PPM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测量精度：±50PPM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7.燃气探测器（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可实时监测显示环境燃气数据并上传至网关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输入电压：外部电源适配器DC 5V或12V或24V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CPU处理器：TI CC2530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工作波长：6～14μm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灵敏度：3300W/V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输出信号：&gt;2.2V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8.二氧化碳监测器（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可实时监测CO2数据并上传至网关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输入电压：外部电源适配器DC 5V或12V或24V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CPU处理器：TI CC2530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9.PM2.5监测器（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可实时监测PM2.5数据并上传至网关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输入电压：外部电源适配器DC 5V或12V或24V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CPU处理器 ：TI CC2530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10.人体红外探测器（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可实时监测人体活动状态并上传至网关</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具备指示灯显示监测状态</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输入电压：外部电源适配器DC 5V或12V或24V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CPU处理器：TI CC2530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11.红外转发器（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可360度无死角放射红外信号</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具备红外学习功能</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支持至少48个频道</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输入电压：外部电源适配器DC 5V或12V或24V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 CPU处理器：TI CC2530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12.电压型继电器（</w:t>
            </w:r>
            <w:r>
              <w:rPr>
                <w:rFonts w:hint="eastAsia" w:ascii="宋体" w:hAnsi="宋体" w:eastAsia="宋体" w:cs="宋体"/>
                <w:b w:val="0"/>
                <w:i w:val="0"/>
                <w:caps w:val="0"/>
                <w:color w:val="auto"/>
                <w:spacing w:val="0"/>
                <w:w w:val="100"/>
                <w:sz w:val="21"/>
                <w:szCs w:val="21"/>
                <w:lang w:val="en-US" w:eastAsia="zh-CN"/>
              </w:rPr>
              <w:t>3</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支持双控模式，即可手动控制也可以通过ZigBee无线控制</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支持电压范围0V-250V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CPU处理器：TI CC2530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13.节点型继电器（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支持双控模式，即可手动控制也可以通过ZigBee无线控制</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支持电压范围0V-250V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CPU处理器：TI CC2530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14.RFID门禁（</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可进行高频RFID标签的读写实验,考勤系统</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输入电压：外部电源适配器DC</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5V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CPU处理器：TI CC2530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通讯接口：支持通过CC Debug接口进行嵌入式程序的写入、调试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15.ZigBee协调器（</w:t>
            </w:r>
            <w:r>
              <w:rPr>
                <w:rFonts w:hint="eastAsia" w:ascii="宋体" w:hAnsi="宋体" w:eastAsia="宋体" w:cs="宋体"/>
                <w:b w:val="0"/>
                <w:i w:val="0"/>
                <w:caps w:val="0"/>
                <w:color w:val="auto"/>
                <w:spacing w:val="0"/>
                <w:w w:val="100"/>
                <w:sz w:val="21"/>
                <w:szCs w:val="21"/>
                <w:lang w:val="en-US" w:eastAsia="zh-CN"/>
              </w:rPr>
              <w:t>1</w:t>
            </w:r>
            <w:r>
              <w:rPr>
                <w:rFonts w:hint="eastAsia" w:ascii="宋体" w:hAnsi="宋体" w:eastAsia="宋体" w:cs="宋体"/>
                <w:b w:val="0"/>
                <w:i w:val="0"/>
                <w:caps w:val="0"/>
                <w:color w:val="auto"/>
                <w:spacing w:val="0"/>
                <w:w w:val="100"/>
                <w:sz w:val="21"/>
                <w:szCs w:val="21"/>
              </w:rPr>
              <w:t>个）</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支持通过JTAG接口进行嵌入式程序的写入、调试</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通讯接口：ZigBee协调器支持USB串口通讯，可选网络接口</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射频芯片：TI CC2530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Flash容量：</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256KB</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工作频率：2.4GHz-2.4835GHz</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传输速率：</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250 kbps</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通讯协议标准：IEEE 802.15.4，Zigbee 2007Pro</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传输距离：室内</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30m，室外</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100m</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天线接口：板载天线</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工作电压：电池DC 3.7V</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外部电源适配器DC</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 xml:space="preserve"> 5V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具备板载充电电路</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工作电流：&lt;40mA</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供电方式：外部电源适配器、板载电池</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温度：-20℃～+70℃</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工作湿度：5%RH～90%RH</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键盘接口：五向键</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显示接口:</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128*64 LCD显示屏</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四．嵌入式移动教学套件</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1.GPRS</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双频GSM 900/1800 MHz；输出功率：</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2W（900MHz）/1W（1800MHz）；标准AT控制命令；串行端口多路复用 ；8个I/O口接口；支持TCP/ IP协议栈的访问；工作电压：DC 3.22 V- 4.5 V ；灵敏度：</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- 108 dBm （900 MHz）；</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107 dBm  (1800 MHz)；DARP/ SAIC支持；尺寸：24.4mm *24.4mm *2.7mm；工作温度：-40℃ — 85℃；双音多频 DTMF；半速率，全速率，增强型全速率和自适应多速率语音编解码器；高级回声消除和降噪；多种音效配置文件预编程可配置；国家无线电管理委员会SRRC认证；SMS和PDU短信的支持；高达9.6 kbps的异步非透明CSD； 支持PBCCH；GERAN功能包1的支持（GSM补充业务）；网络LED支持IRA，GSM，8859-1和UCS2字符集；嵌入式TCP/ IP协议栈，包括TCP，IP，UDP，SMTP，ICMP和FTP协议；EASY SCAN®在GSM频率自动扫描Python的*应用程序资源；Python的*脚本解释器</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2.ZigBee</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QFN40 封装；低功耗；射频芯片：TI CC2530 ；工作频率：2.4GHz-2.4835GHz；传输速率：250 kbps；通讯协议标准：IEEE 802.15.4；传输距离：室内30m，室外100m；天线接口：2.4G SMA天线；工作电压：电池DC 3.3V；工作温度：-20℃～+70℃；工作湿度：5%RH～90%RH；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3.蓝牙</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HC-05-D蓝牙模块；高灵敏度、低功耗；高性能无线收发系统；带EDR的蓝牙2.0，2Mbps-3Mbps 调制度；内置2.4GHz天线, 用户无需调试天线；工作电压：3.3V；CSR BC04蓝牙芯片技术；自适应跳频技术；标准UART端口</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4.WIFI</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支持802.11b/g/n 无线标准；支持TCP/IP/UDP 网络协议栈；支持UART/GPIO/以太网数据通讯接口；支持无线工作在STA/AP/AP+STA 模式；支持路由/桥接模式网络构架；可选内置板载或者外置天线；支持透明/协议数据传输模式；提供AT+指令集配置；提供友好的Web 配置页面；支持心跳信号，WIFI 连接指示；支持串口自由/自动成帧功能；3.3V 单电源供电；尺寸</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25x40mm；产品通过FCC /CE 标准认证；灵活的软件平台，提供定制化服务；支持出厂参数定制化设置</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5.GPS</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采用VK1513 GPS模块；大容量内存，可以储存多条用户信息；有外接天线接口；灵活的硬件设计为不同的应用需要；安全PCB表贴工艺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五．AIOT融合应用套件</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1.人脸识别实训系统（1套）:</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 xml:space="preserve">人脸信息库 </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300条,记录容量</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20万条,摄像头：双摄像头模块，不受阳光和墨镜影响,显示方式：</w:t>
            </w: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2.8 TFT 彩色液晶,通讯方式： TCP网络,唯一ID号的人脸辨别方式，不会串脸，支持人脸识别系统教学,支持移动端身份识别通知</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2.智能加湿器（1台）：</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红外遥控式,加湿方式：有雾,加湿模式：标准、睡眠,缺水断电保护；</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3.可视对讲实训系统（1套）:</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5寸彩色TFT LCD屏,分辨率800*480,1/4"CMOS 摄像头,视频帧率PAL：25fps,内置全指向麦克风,支持噪声抑制和回声消除处理,支持可视对讲系统教学,支持远程打开及门禁系统教学；</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4.视频监控实训系统（1套）:</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lang w:val="en-US" w:eastAsia="zh-CN"/>
              </w:rPr>
              <w:t xml:space="preserve"> </w:t>
            </w:r>
            <w:r>
              <w:rPr>
                <w:rFonts w:hint="eastAsia" w:ascii="宋体" w:hAnsi="宋体" w:eastAsia="宋体" w:cs="宋体"/>
                <w:b w:val="0"/>
                <w:i w:val="0"/>
                <w:caps w:val="0"/>
                <w:color w:val="auto"/>
                <w:spacing w:val="0"/>
                <w:w w:val="100"/>
                <w:sz w:val="21"/>
                <w:szCs w:val="21"/>
              </w:rPr>
              <w:t>100万像素 1/2.7" CMOS 支持ICR切换,镜头：4mm 水平试场角84°,支持背光补偿,支持3D数字降噪,支持背光补偿,支持移动入侵侦测,支持智能家居视频监控布线系统教学</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5.交换机（1台）:</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网络标准：IEEE 802.3, IEEE 802.3u, IEEE 802.3x, IEEE 802.3ab; 端口：5*10/100/1000M auto-negotiation RJ45 ports</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六．物联网智能家居演示平台软件</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1.智能家居应用配置软件：</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1）、开发平台：windows操作系统，Framework 4.0框架环境</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2）、开发工具：C#</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3）、协议：Zigbee 2530通讯协议</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4）、利用ZigBee2530协调器或ZigeBee2530设备配置顶板网络和功能参数，实现在复杂网络环境中可快速组网，抗干扰性强。</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5）、可修改网关和套件设备的mac地址、Panid、通道号，实现灵活组网，未配置同一Panid和通道号设备不会形成干扰。</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6）、可通过串口连接ZigBee协调器，实现节点设备数据采集、数据显示以及终端设备的控制功能。</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7）、可通过TCP/IP连接网关，对网关进行设备参数配置，实现灵活选择设备进行项目设计。</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2.智能家居网关应用控制平台软件：</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1）、开发平台：嵌入式Linux操作系统</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2）、开发工具：Qt Creator</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3）、协议：Zigbee 2530通讯协议、Scoket网络通讯Json协议</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4）、协议接口：标准动态链接库</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5）、提供SDK，方便用户二次开发</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6）、将CPU（ARM）通过RS-232与协调器连接，采用25协议进行通讯，用于接收采集数据和发送控制命令。协议接口开放,兼容智能家居行业标准。</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 xml:space="preserve">7）、通过网络用socket与服务器连接，与服务进行通讯。 </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功能列表:</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1）、采集节点数据；</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2）、可以对房间的家电包括灯、窗帘、空调、电视等进行控制；</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3）、配置网关信息；</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4）、将环境数据上传给服务器；</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5）、接收服务发来的控制命令；</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6）、显示房间环境状态，包括温湿度、光照度、烟雾、燃气、PM2.5、Co2等；</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7）、支持场景模式灵活配置；</w:t>
            </w:r>
          </w:p>
          <w:p>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8）、提供SDK开发接口，支持软件二次开发。</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3.云端服务器软件：</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 xml:space="preserve">1）、开发平台：windows </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2）、开发工具：Eclipse</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3）、开发语言：java</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4）、 运行平台：Linux、Mac OS X、Solaris、windows</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5）、采用Socket标准协议；</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6）、MySql 数据库；</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7）、SHA+DES+AES多重加密；</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8）、智能网关与手持移动端的数据交互；</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9）、智能网关与Web端的数据交互；</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10）、手持移动端的界面数据获取；</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11）、传感器数据的记录；</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12）、提供服务器日志信息反馈，便于智能家居系统维护。</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4.智能家居移动端软件：</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1）、开发平台：安卓系统移动端</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 xml:space="preserve">2）、开发工具: Android Studio </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3）、协议：Socket标准协议</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4）、数据格式：Json</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5）、通过Socket与服务器通信，获取环境信息，发送控制命令。</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功能列表:</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1）、显示房间环境状态，包括温湿度、光照度、烟雾、燃气、PM2.5、Co2等；</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2）、可以对房间的家电包括灯、窗帘、空调、电视等进行控制；</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3）、支持场景模式灵活配置；</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4）、提供SDK开发接口，支持与智能家居系统相关功能的二次开发。</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5）、支持项目创建</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6）、支持与服务器通讯软件的配置</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7）、支持主界面数据采集及控制的设计</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8）、支持与设计方案实现“自动功能”。</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5.流媒体服务器软件</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1）、开发平台：windows</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2）、开发语言: C</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3）、运行平台：Linux，Solaris,Mac,Windows</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4）、协议:http 标准协议</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5）、数据格式：rtmp,rtsp,flv</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6）、通过高性能的 web 反向代理服务处理数据流</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的高并发处理</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功能列表:</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1）、接收视频流</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2）、视频流的解码，转码功能</w:t>
            </w:r>
          </w:p>
          <w:p>
            <w:pPr>
              <w:pStyle w:val="13"/>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3）、实现视频流的推流功能</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6.智能分析软件</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1）、开发平台：windows</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2）、开发语言: python</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3）、运行平台：Linux，Solaris,Mac,Windows</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4）、协议: MIT 标准协议</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lang w:val="en-US" w:eastAsia="zh-CN" w:bidi="ar-SA"/>
              </w:rPr>
              <w:t>5）、数据格式</w:t>
            </w:r>
            <w:r>
              <w:rPr>
                <w:rFonts w:hint="eastAsia" w:ascii="宋体" w:hAnsi="宋体" w:eastAsia="宋体" w:cs="宋体"/>
                <w:b w:val="0"/>
                <w:i w:val="0"/>
                <w:caps w:val="0"/>
                <w:color w:val="auto"/>
                <w:spacing w:val="0"/>
                <w:w w:val="100"/>
                <w:kern w:val="2"/>
                <w:sz w:val="21"/>
                <w:szCs w:val="21"/>
                <w:highlight w:val="none"/>
                <w:lang w:val="en-US" w:eastAsia="zh-CN" w:bidi="ar-SA"/>
              </w:rPr>
              <w:t>：rtmp,rtsp,json</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6）、通过人工智能深度学习架构处理数据流并推</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送至流媒体服务器</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kern w:val="2"/>
                <w:sz w:val="21"/>
                <w:szCs w:val="21"/>
                <w:highlight w:val="none"/>
                <w:lang w:val="en-US" w:eastAsia="zh-CN" w:bidi="ar-SA"/>
              </w:rPr>
            </w:pPr>
            <w:r>
              <w:rPr>
                <w:rFonts w:hint="eastAsia" w:ascii="宋体" w:hAnsi="宋体" w:eastAsia="宋体" w:cs="宋体"/>
                <w:b w:val="0"/>
                <w:i w:val="0"/>
                <w:caps w:val="0"/>
                <w:color w:val="auto"/>
                <w:spacing w:val="0"/>
                <w:w w:val="100"/>
                <w:kern w:val="2"/>
                <w:sz w:val="21"/>
                <w:szCs w:val="21"/>
                <w:highlight w:val="none"/>
                <w:lang w:val="en-US" w:eastAsia="zh-CN" w:bidi="ar-SA"/>
              </w:rPr>
              <w:t>功能列表:</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kern w:val="2"/>
                <w:sz w:val="21"/>
                <w:szCs w:val="21"/>
                <w:highlight w:val="none"/>
                <w:lang w:val="en-US" w:eastAsia="zh-CN" w:bidi="ar-SA"/>
              </w:rPr>
              <w:t>1）、视频流中火焰检测</w:t>
            </w:r>
            <w:r>
              <w:rPr>
                <w:rFonts w:hint="eastAsia" w:ascii="宋体" w:hAnsi="宋体" w:eastAsia="宋体" w:cs="宋体"/>
                <w:b w:val="0"/>
                <w:i w:val="0"/>
                <w:caps w:val="0"/>
                <w:color w:val="auto"/>
                <w:spacing w:val="0"/>
                <w:w w:val="100"/>
                <w:sz w:val="21"/>
                <w:szCs w:val="21"/>
                <w:highlight w:val="none"/>
                <w:lang w:val="en-US" w:eastAsia="zh-CN"/>
              </w:rPr>
              <w:t>分析</w:t>
            </w:r>
          </w:p>
          <w:p>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2）、视频流中人脸检测分析</w:t>
            </w:r>
          </w:p>
          <w:p>
            <w:pPr>
              <w:widowControl/>
              <w:snapToGrid/>
              <w:spacing w:before="0" w:beforeAutospacing="0" w:after="0" w:afterAutospacing="0" w:line="240" w:lineRule="auto"/>
              <w:jc w:val="left"/>
              <w:textAlignment w:val="center"/>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rPr>
              <w:t>3）、识别人脸身份，数据入库</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cs="宋体"/>
                <w:b w:val="0"/>
                <w:i w:val="0"/>
                <w:caps w:val="0"/>
                <w:color w:val="auto"/>
                <w:spacing w:val="0"/>
                <w:w w:val="100"/>
                <w:sz w:val="21"/>
                <w:szCs w:val="21"/>
                <w:highlight w:val="none"/>
                <w:lang w:eastAsia="zh-CN"/>
              </w:rPr>
              <w:t>投标商须提供生产厂家出具针对本项目的售后服务承诺加盖公章。</w:t>
            </w:r>
          </w:p>
        </w:tc>
        <w:tc>
          <w:tcPr>
            <w:tcW w:w="1110"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kern w:val="0"/>
                <w:sz w:val="21"/>
                <w:szCs w:val="21"/>
                <w:lang w:bidi="ar"/>
              </w:rPr>
              <w:t>1</w:t>
            </w:r>
            <w:r>
              <w:rPr>
                <w:rFonts w:hint="eastAsia" w:ascii="宋体" w:hAnsi="宋体" w:eastAsia="宋体" w:cs="宋体"/>
                <w:b w:val="0"/>
                <w:bCs w:val="0"/>
                <w:i w:val="0"/>
                <w:caps w:val="0"/>
                <w:color w:val="auto"/>
                <w:spacing w:val="0"/>
                <w:w w:val="100"/>
                <w:kern w:val="0"/>
                <w:sz w:val="21"/>
                <w:szCs w:val="21"/>
                <w:lang w:val="en-US" w:eastAsia="zh-CN" w:bidi="ar"/>
              </w:rPr>
              <w:t>台</w:t>
            </w:r>
          </w:p>
        </w:tc>
        <w:tc>
          <w:tcPr>
            <w:tcW w:w="768"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27"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sz w:val="21"/>
                <w:szCs w:val="21"/>
                <w:lang w:val="en-US" w:eastAsia="zh-CN"/>
              </w:rPr>
              <w:t>8</w:t>
            </w:r>
          </w:p>
        </w:tc>
        <w:tc>
          <w:tcPr>
            <w:tcW w:w="1145"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虚拟焊接培训平台</w:t>
            </w:r>
          </w:p>
        </w:tc>
        <w:tc>
          <w:tcPr>
            <w:tcW w:w="5793" w:type="dxa"/>
            <w:shd w:val="clear" w:color="auto" w:fill="auto"/>
            <w:noWrap w:val="0"/>
            <w:vAlign w:val="center"/>
          </w:tcPr>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硬件参数：</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由一套虚拟现实显示装置、一台实训操作台、一台控制系统平台、4个焊接工具及3个焊件组成。</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1.1 虚拟现实显示装置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说明：采用光学定位系统，配备VR虚拟现实视景眼镜，由成像系统、定位追踪系统、视景系统等组成，支持立体视频采集和立体影像显示功能，动态追踪，高清成像，高精准的定位可以体验到焊枪与焊件的碰触。</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（1）分辨率 2160*1200 单眼分辨率1080*1200；</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（2）视场角 ≥110°；</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（3）刷新率 ≥90fps；</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（4）定位延时 &lt;20ms；</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（5）追踪位置 ≥3.5*3.5m。</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1.2 实训操作台</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操作工位由6系铝型材、碳素钢、工程塑胶等材质制成后再经氧化、喷涂等工艺，外表面平整、光洁。</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（1）方便实现焊件位置的高度、角度调整；</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（2）满足学员多角度、全位置焊接操作训练，如平焊、横焊、立焊、仰焊、管管垂直固定焊和管管水平固定焊等；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（3）可收纳焊接工具及VR眼镜。</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1.3 控制系统平台</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内置音箱及焊件收纳空间，并含一键启动电源开关、虚拟焊枪接口、虚拟焊钳接口、触摸屏显示器。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（1）处理器≥intel i5-8500处理器；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（2）内存≥DDR4 2400 8G；</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（3）显卡：VR专业图形卡显卡显存≥6G 256bit；</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（4）硬盘：固态硬盘 容量 ≥256GB；</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（5）操作系统：64位 Win10系统；</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（6）电源：≥300W电源 单相AC 220V±10%，50-60Hz；</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（7）I/O接口：电源接口、USB接口，网络接口，快插防水接头；</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（8）显示屏≥21.5英寸，多点触控电容屏，分辨率≥1920*1080，触摸寿命≥5000万次</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1.4 焊接工具</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数量：4个，与操作台通过线缆连接，可用于模拟CO2焊、MIG焊、MAG焊、TIG焊、手工电弧焊等操作，在虚拟场景操作时用于菜单选择。</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（1）包含CO2焊枪（同时支持MIG焊、MAG焊）、TIG焊枪、焊丝、手工电弧焊焊钳等配件；</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（2）焊枪焊钳与真实焊接工具手感和重量接近。</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1.5 焊件</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数量：3个，包含管道、平板对接和T型板三种焊接接头类型的焊件。</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（1）管管对接焊件尺寸≥φ140*200mm</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（2）平板对接焊件尺寸≥10*200*300mm</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（3）T型板焊件尺寸≥60*200*300mm</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软件参数：</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采用虚拟现实技术与真实焊接设备相结合来实现焊接教学，具备CO2焊、MIG焊、MAG焊、手工电弧焊和TIG焊等焊接工艺的模拟。首先应满足能让学员在高度仿真的虚拟环境下进行焊接技能的高效训练，可以让学员感受到真实的场景及焊接过程。并与场景内的虚拟环境和元素进行互动操作，让学员沉浸于当前焊接任务中；还能精确测量各种操作信息，并提供全套焊接教学视频资料，帮助学员从中学到基础知识、安全规程、技术要领等焊接技能，并最终转化到实际的焊接工作中。需要满足以下功能：</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1、训练中心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（1）5种焊接工艺模拟： CO2焊、MIG焊、MAG焊、手工电弧焊和TIG焊；</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（2）3种焊接接头类型：平板对接接头、T型角接接头、管管对接接头；</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（3）6种焊接位置：平焊（PA）、横焊（PC）、立焊（PF）、仰焊（PE）、管管对接水平固定焊和管管对接垂直固定焊；</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（4）3种母材：低碳钢、不锈钢和铝合金；</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（5）5种焊件厚度： 3mm、6mm、8mm（直径140mm的管道）、10mm、12mm；</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（6）3种焊接难度水平：初级、中级和高级；</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（7）虚拟焊接物理场景组成：焊缝（鱼鳞纹）、熔池（液态）、飞溅、弧光、烟尘、焊接声音、焊渣、热影响区；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（8）焊缝成型</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——焊条融化和焊缝成形随焊接参数的变化而变化；</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——单面焊双面成形，模拟正反面焊缝成形过程；</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——模拟焊缝堆积成形过程；</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（9）多视角、全方位查看焊接过程：可选择不同厚度、不同母材、不同焊接接头类型，如平板对接接头、T型角接接头、大直径管对接接头、小直径管对接接头、管板嵌入式接头、管板骑坐式接头；</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（10）3种焊接评价：</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——焊接操作评价：焊接速度、工作角度、行进角度和电弧长度；</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——焊接形貌评价：余宽、余高、余宽差和余高差等；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——焊缝质量评级：Ⅰ级焊缝、Ⅱ级焊缝、Ⅲ级焊缝和Ⅳ级焊缝；</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（11）5种焊接操作参数的实时提醒：焊接速度、工作角度、行进角度、电弧长度和运条轨迹；</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（12）缺陷预测：可模拟无损检测（NDT）对焊接训练后的焊缝进行扫描，并预测出是否存在夹渣、裂纹、气孔等缺陷；</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13）专项训练：针对不同焊接参数及其组合（焊接速度、电弧长度、行进角度以及工作角度）的专项训练，借鉴网络游戏中的升级模式，焊接训练项目达到一定的得分才能开启下一关卡，增加练习的针对性、挑战性和趣味性；</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——适用于手工电弧焊、MIG焊和TIG焊；</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——15组焊接操作参数（焊接速度、电弧长度、行进角度以及工作角度）及其组合；</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——3种难度等级：初级、中级和高级；</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（14）焊接场景虚拟显示屏：提供焊接参数的设置以及操作报告；</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（15）训练成本：统计焊件、焊丝、气体、电等各项成本，并对总成本进行累积；</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（16）温度场模拟：可模拟焊接过程中母材、焊缝、熔池的温度变化情况；</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（17）清晰模式：除了模拟实际焊接过程中透过面罩观察熔池外，提供清晰模式同时观察母材、焊缝、熔池；</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（18）劳动保护：模拟焊接前准备工作，穿戴防护服装、护具；</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（19）安全检查：模拟检查焊接场地中的危险源，并给出说明。</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2、娱乐体验中心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焊接涂鸦：为了培养学习焊接的兴趣，提供焊接涂鸦功能，即学生可在焊件上随意绘制图形，也可在提供的图形上进行绘制。</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3、个人中心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（1）查看用户基本信息，如姓名、班级、焊接时长、节约成本、积分和等级；</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（2）修改登录密码；</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（3）视频回放：学生能够上传并保存自己的焊接录像，能随时用360度任意视角查看以前的个人或老师的焊接三维录像，录像中能够显示焊枪移动的空间轨迹。</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能模拟X射线探伤的工作环境、工作步骤和各种知识要点，包括：</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一、仿真下列设备或仪器：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1、X射线探伤控制器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（1）匹配与实机一致的操作面板；</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 xml:space="preserve">（2）可动态调节胶片类型、曝光电压、曝光时间等参数，能展示曝光时间的计算规律；  </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2、X射线探伤发射器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（1）可调节发射器高度，发射角度；</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（2）以可见光模拟X射线透照；</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3、胶片裁切机；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4、黑度计；</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5、观片机；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6、其他设备或仪器：暗盒、标记盒、诺模图、黑度密度片、射线剂量报警仪等；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 xml:space="preserve">二、模拟X射线焊缝检测的工作环境、工作步骤和各种知识要点。 </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 xml:space="preserve">1、工作环境 </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（1）干、湿区分离；</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（2）胶片裁切、胶片冲洗等操作在暗室里进行；</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（3）有安全警示标识；</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2、包含下列工作步骤</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eastAsia="zh-CN" w:bidi="ar"/>
              </w:rPr>
              <w:t>（1）</w:t>
            </w:r>
            <w:r>
              <w:rPr>
                <w:rFonts w:hint="eastAsia" w:ascii="宋体" w:hAnsi="宋体" w:eastAsia="宋体" w:cs="宋体"/>
                <w:b w:val="0"/>
                <w:bCs w:val="0"/>
                <w:i w:val="0"/>
                <w:caps w:val="0"/>
                <w:color w:val="auto"/>
                <w:spacing w:val="0"/>
                <w:w w:val="100"/>
                <w:kern w:val="0"/>
                <w:sz w:val="21"/>
                <w:szCs w:val="21"/>
                <w:lang w:val="en-US" w:bidi="ar"/>
              </w:rPr>
              <w:t>胶片裁切，可以控制裁切的长度和宽度；</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eastAsia="zh-CN" w:bidi="ar"/>
              </w:rPr>
              <w:t>（2）</w:t>
            </w:r>
            <w:r>
              <w:rPr>
                <w:rFonts w:hint="eastAsia" w:ascii="宋体" w:hAnsi="宋体" w:eastAsia="宋体" w:cs="宋体"/>
                <w:b w:val="0"/>
                <w:bCs w:val="0"/>
                <w:i w:val="0"/>
                <w:caps w:val="0"/>
                <w:color w:val="auto"/>
                <w:spacing w:val="0"/>
                <w:w w:val="100"/>
                <w:kern w:val="0"/>
                <w:sz w:val="21"/>
                <w:szCs w:val="21"/>
                <w:lang w:val="en-US" w:bidi="ar"/>
              </w:rPr>
              <w:t>胶片标记，可以在胶片指定位置用字母、数字标出日期、编号、位置等信息；</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eastAsia="zh-CN" w:bidi="ar"/>
              </w:rPr>
            </w:pPr>
            <w:r>
              <w:rPr>
                <w:rFonts w:hint="eastAsia" w:ascii="宋体" w:hAnsi="宋体" w:eastAsia="宋体" w:cs="宋体"/>
                <w:b w:val="0"/>
                <w:bCs w:val="0"/>
                <w:i w:val="0"/>
                <w:caps w:val="0"/>
                <w:color w:val="auto"/>
                <w:spacing w:val="0"/>
                <w:w w:val="100"/>
                <w:kern w:val="0"/>
                <w:sz w:val="21"/>
                <w:szCs w:val="21"/>
                <w:lang w:val="en-US" w:bidi="ar"/>
              </w:rPr>
              <w:t>（</w:t>
            </w:r>
            <w:r>
              <w:rPr>
                <w:rFonts w:hint="eastAsia" w:ascii="宋体" w:hAnsi="宋体" w:eastAsia="宋体" w:cs="宋体"/>
                <w:b w:val="0"/>
                <w:bCs w:val="0"/>
                <w:i w:val="0"/>
                <w:caps w:val="0"/>
                <w:color w:val="auto"/>
                <w:spacing w:val="0"/>
                <w:w w:val="100"/>
                <w:kern w:val="0"/>
                <w:sz w:val="21"/>
                <w:szCs w:val="21"/>
                <w:lang w:val="en-US" w:eastAsia="zh-CN" w:bidi="ar"/>
              </w:rPr>
              <w:t>3</w:t>
            </w:r>
            <w:r>
              <w:rPr>
                <w:rFonts w:hint="eastAsia" w:ascii="宋体" w:hAnsi="宋体" w:eastAsia="宋体" w:cs="宋体"/>
                <w:b w:val="0"/>
                <w:bCs w:val="0"/>
                <w:i w:val="0"/>
                <w:caps w:val="0"/>
                <w:color w:val="auto"/>
                <w:spacing w:val="0"/>
                <w:w w:val="100"/>
                <w:kern w:val="0"/>
                <w:sz w:val="21"/>
                <w:szCs w:val="21"/>
                <w:lang w:val="en-US" w:bidi="ar"/>
              </w:rPr>
              <w:t>）查询诺模图，确定X射线曝光参数；</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w:t>
            </w:r>
            <w:r>
              <w:rPr>
                <w:rFonts w:hint="eastAsia" w:ascii="宋体" w:hAnsi="宋体" w:eastAsia="宋体" w:cs="宋体"/>
                <w:b w:val="0"/>
                <w:bCs w:val="0"/>
                <w:i w:val="0"/>
                <w:caps w:val="0"/>
                <w:color w:val="auto"/>
                <w:spacing w:val="0"/>
                <w:w w:val="100"/>
                <w:kern w:val="0"/>
                <w:sz w:val="21"/>
                <w:szCs w:val="21"/>
                <w:lang w:val="en-US" w:eastAsia="zh-CN" w:bidi="ar"/>
              </w:rPr>
              <w:t>4</w:t>
            </w:r>
            <w:r>
              <w:rPr>
                <w:rFonts w:hint="eastAsia" w:ascii="宋体" w:hAnsi="宋体" w:eastAsia="宋体" w:cs="宋体"/>
                <w:b w:val="0"/>
                <w:bCs w:val="0"/>
                <w:i w:val="0"/>
                <w:caps w:val="0"/>
                <w:color w:val="auto"/>
                <w:spacing w:val="0"/>
                <w:w w:val="100"/>
                <w:kern w:val="0"/>
                <w:sz w:val="21"/>
                <w:szCs w:val="21"/>
                <w:lang w:val="en-US" w:bidi="ar"/>
              </w:rPr>
              <w:t>）▲调整X射线探伤机发射器高度和角度，设置X射线探伤机控制器参数；</w:t>
            </w:r>
            <w:r>
              <w:rPr>
                <w:rFonts w:hint="eastAsia" w:ascii="宋体" w:hAnsi="宋体" w:eastAsia="宋体" w:cs="宋体"/>
                <w:b/>
                <w:bCs/>
                <w:i w:val="0"/>
                <w:caps w:val="0"/>
                <w:color w:val="auto"/>
                <w:spacing w:val="0"/>
                <w:w w:val="100"/>
                <w:kern w:val="0"/>
                <w:sz w:val="21"/>
                <w:szCs w:val="21"/>
                <w:lang w:val="en-US" w:eastAsia="zh-CN" w:bidi="ar"/>
              </w:rPr>
              <w:t>（投标人现场演示网络浏览器版）</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w:t>
            </w:r>
            <w:r>
              <w:rPr>
                <w:rFonts w:hint="eastAsia" w:ascii="宋体" w:hAnsi="宋体" w:eastAsia="宋体" w:cs="宋体"/>
                <w:b w:val="0"/>
                <w:bCs w:val="0"/>
                <w:i w:val="0"/>
                <w:caps w:val="0"/>
                <w:color w:val="auto"/>
                <w:spacing w:val="0"/>
                <w:w w:val="100"/>
                <w:kern w:val="0"/>
                <w:sz w:val="21"/>
                <w:szCs w:val="21"/>
                <w:lang w:val="en-US" w:eastAsia="zh-CN" w:bidi="ar"/>
              </w:rPr>
              <w:t>5</w:t>
            </w:r>
            <w:r>
              <w:rPr>
                <w:rFonts w:hint="eastAsia" w:ascii="宋体" w:hAnsi="宋体" w:eastAsia="宋体" w:cs="宋体"/>
                <w:b w:val="0"/>
                <w:bCs w:val="0"/>
                <w:i w:val="0"/>
                <w:caps w:val="0"/>
                <w:color w:val="auto"/>
                <w:spacing w:val="0"/>
                <w:w w:val="100"/>
                <w:kern w:val="0"/>
                <w:sz w:val="21"/>
                <w:szCs w:val="21"/>
                <w:lang w:val="en-US" w:bidi="ar"/>
              </w:rPr>
              <w:t>）▲配制胶片冲洗溶液，包括配制显影液、停影液和定影液所需各种化学药品的先后顺序和比例；</w:t>
            </w:r>
            <w:r>
              <w:rPr>
                <w:rFonts w:hint="eastAsia" w:ascii="宋体" w:hAnsi="宋体" w:eastAsia="宋体" w:cs="宋体"/>
                <w:b/>
                <w:bCs/>
                <w:i w:val="0"/>
                <w:caps w:val="0"/>
                <w:color w:val="auto"/>
                <w:spacing w:val="0"/>
                <w:w w:val="100"/>
                <w:kern w:val="0"/>
                <w:sz w:val="21"/>
                <w:szCs w:val="21"/>
                <w:lang w:val="en-US" w:eastAsia="zh-CN" w:bidi="ar"/>
              </w:rPr>
              <w:t>（投标人现场演示网络浏览器版）</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w:t>
            </w:r>
            <w:r>
              <w:rPr>
                <w:rFonts w:hint="eastAsia" w:ascii="宋体" w:hAnsi="宋体" w:eastAsia="宋体" w:cs="宋体"/>
                <w:b w:val="0"/>
                <w:bCs w:val="0"/>
                <w:i w:val="0"/>
                <w:caps w:val="0"/>
                <w:color w:val="auto"/>
                <w:spacing w:val="0"/>
                <w:w w:val="100"/>
                <w:kern w:val="0"/>
                <w:sz w:val="21"/>
                <w:szCs w:val="21"/>
                <w:lang w:val="en-US" w:eastAsia="zh-CN" w:bidi="ar"/>
              </w:rPr>
              <w:t>6</w:t>
            </w:r>
            <w:r>
              <w:rPr>
                <w:rFonts w:hint="eastAsia" w:ascii="宋体" w:hAnsi="宋体" w:eastAsia="宋体" w:cs="宋体"/>
                <w:b w:val="0"/>
                <w:bCs w:val="0"/>
                <w:i w:val="0"/>
                <w:caps w:val="0"/>
                <w:color w:val="auto"/>
                <w:spacing w:val="0"/>
                <w:w w:val="100"/>
                <w:kern w:val="0"/>
                <w:sz w:val="21"/>
                <w:szCs w:val="21"/>
                <w:lang w:val="en-US" w:bidi="ar"/>
              </w:rPr>
              <w:t>）胶片冲洗，包括显影、停影和定影的过程；</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w:t>
            </w:r>
            <w:r>
              <w:rPr>
                <w:rFonts w:hint="eastAsia" w:ascii="宋体" w:hAnsi="宋体" w:eastAsia="宋体" w:cs="宋体"/>
                <w:b w:val="0"/>
                <w:bCs w:val="0"/>
                <w:i w:val="0"/>
                <w:caps w:val="0"/>
                <w:color w:val="auto"/>
                <w:spacing w:val="0"/>
                <w:w w:val="100"/>
                <w:kern w:val="0"/>
                <w:sz w:val="21"/>
                <w:szCs w:val="21"/>
                <w:lang w:val="en-US" w:eastAsia="zh-CN" w:bidi="ar"/>
              </w:rPr>
              <w:t>7</w:t>
            </w:r>
            <w:r>
              <w:rPr>
                <w:rFonts w:hint="eastAsia" w:ascii="宋体" w:hAnsi="宋体" w:eastAsia="宋体" w:cs="宋体"/>
                <w:b w:val="0"/>
                <w:bCs w:val="0"/>
                <w:i w:val="0"/>
                <w:caps w:val="0"/>
                <w:color w:val="auto"/>
                <w:spacing w:val="0"/>
                <w:w w:val="100"/>
                <w:kern w:val="0"/>
                <w:sz w:val="21"/>
                <w:szCs w:val="21"/>
                <w:lang w:val="en-US" w:bidi="ar"/>
              </w:rPr>
              <w:t>）测量胶片黑度值；</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w:t>
            </w:r>
            <w:r>
              <w:rPr>
                <w:rFonts w:hint="eastAsia" w:ascii="宋体" w:hAnsi="宋体" w:eastAsia="宋体" w:cs="宋体"/>
                <w:b w:val="0"/>
                <w:bCs w:val="0"/>
                <w:i w:val="0"/>
                <w:caps w:val="0"/>
                <w:color w:val="auto"/>
                <w:spacing w:val="0"/>
                <w:w w:val="100"/>
                <w:kern w:val="0"/>
                <w:sz w:val="21"/>
                <w:szCs w:val="21"/>
                <w:lang w:val="en-US" w:eastAsia="zh-CN" w:bidi="ar"/>
              </w:rPr>
              <w:t>8</w:t>
            </w:r>
            <w:r>
              <w:rPr>
                <w:rFonts w:hint="eastAsia" w:ascii="宋体" w:hAnsi="宋体" w:eastAsia="宋体" w:cs="宋体"/>
                <w:b w:val="0"/>
                <w:bCs w:val="0"/>
                <w:i w:val="0"/>
                <w:caps w:val="0"/>
                <w:color w:val="auto"/>
                <w:spacing w:val="0"/>
                <w:w w:val="100"/>
                <w:kern w:val="0"/>
                <w:sz w:val="21"/>
                <w:szCs w:val="21"/>
                <w:lang w:val="en-US" w:bidi="ar"/>
              </w:rPr>
              <w:t>）使用观片灯观察底片，对典型胶片进行缺陷评定和原因分析；</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3、知识点</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（1）房间周围挂有文化墙，包括各类资质证书和安全、法律法规、操作说明等知识；</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（2）文化墙带语音播报功能；</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（3）带操作流程指引，每个流程都有操作说明。</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1、认证考试中心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（1）日常实操考试：教师发布实操考试任务，学生在规定时间内完成；</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（2）模拟认证模块，提供国内初级、中级和高级焊工的模拟认证，要求至少每个认证提供2-3个技能考试试题，学生通过评分表能清楚掌握评分标准及了解具体得分情况；</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2、竞赛中心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 xml:space="preserve">（1）自由竞赛：不同学生之间可以自主发起一对一、一对多的竞赛模式； </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（2）模拟大赛：与国赛的操作程序、内容和评分标准保持一致，比赛后提供比赛结果评分表。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为了更加切合实际工业应用训练，提供13个模拟场景的焊接训练，如港口工况场景、工程机械维修焊接、</w:t>
            </w:r>
            <w:r>
              <w:rPr>
                <w:rFonts w:hint="eastAsia" w:ascii="宋体" w:hAnsi="宋体" w:eastAsia="宋体" w:cs="宋体"/>
                <w:b w:val="0"/>
                <w:bCs w:val="0"/>
                <w:i w:val="0"/>
                <w:caps w:val="0"/>
                <w:color w:val="auto"/>
                <w:spacing w:val="0"/>
                <w:w w:val="100"/>
                <w:kern w:val="0"/>
                <w:sz w:val="21"/>
                <w:szCs w:val="21"/>
                <w:lang w:val="en-US" w:eastAsia="zh-CN" w:bidi="ar"/>
              </w:rPr>
              <w:t>船</w:t>
            </w:r>
            <w:r>
              <w:rPr>
                <w:rFonts w:hint="eastAsia" w:ascii="宋体" w:hAnsi="宋体" w:eastAsia="宋体" w:cs="宋体"/>
                <w:b w:val="0"/>
                <w:bCs w:val="0"/>
                <w:i w:val="0"/>
                <w:caps w:val="0"/>
                <w:color w:val="auto"/>
                <w:spacing w:val="0"/>
                <w:w w:val="100"/>
                <w:kern w:val="0"/>
                <w:sz w:val="21"/>
                <w:szCs w:val="21"/>
                <w:lang w:val="en-US" w:bidi="ar"/>
              </w:rPr>
              <w:t>厂、野外铁轨、工厂工况、石油管道焊接、</w:t>
            </w:r>
            <w:r>
              <w:rPr>
                <w:rFonts w:hint="eastAsia" w:ascii="宋体" w:hAnsi="宋体" w:eastAsia="宋体" w:cs="宋体"/>
                <w:b w:val="0"/>
                <w:bCs w:val="0"/>
                <w:i w:val="0"/>
                <w:caps w:val="0"/>
                <w:color w:val="auto"/>
                <w:spacing w:val="0"/>
                <w:w w:val="100"/>
                <w:kern w:val="0"/>
                <w:sz w:val="21"/>
                <w:szCs w:val="21"/>
                <w:lang w:val="en-US" w:eastAsia="zh-CN" w:bidi="ar"/>
              </w:rPr>
              <w:t>船舱</w:t>
            </w:r>
            <w:r>
              <w:rPr>
                <w:rFonts w:hint="eastAsia" w:ascii="宋体" w:hAnsi="宋体" w:eastAsia="宋体" w:cs="宋体"/>
                <w:b w:val="0"/>
                <w:bCs w:val="0"/>
                <w:i w:val="0"/>
                <w:caps w:val="0"/>
                <w:color w:val="auto"/>
                <w:spacing w:val="0"/>
                <w:w w:val="100"/>
                <w:kern w:val="0"/>
                <w:sz w:val="21"/>
                <w:szCs w:val="21"/>
                <w:lang w:val="en-US" w:bidi="ar"/>
              </w:rPr>
              <w:t>焊接、电网铁塔焊接、建筑工地焊接、航空机库焊接、货场仓储集装箱焊接、国赛焊接(二保焊)场景、世赛焊接(二保焊)场景等。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一、铝热焊仿真下列设备或物品：</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1、锯轨机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（1）与真实设备外观相似；</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（2）可控制锯轨机在场景里移动或固定；</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（3）锯轨机底座固定，可控制锯片前进后退、升降和旋转；</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（4）锯轨机底座固定，可控制锯片沿铁轨方向移动；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2、A型对正架</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（1）与真实设备外观相似；</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（2）一对A型对正架，可分别控制其中一个对正架在场景里移动或固定；</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3、推瘤机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（1）与真实设备外观相似；</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（2）可控制推瘤机在场景里移动或固定；</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（3）操作杆可旋转90度，来区分设备开启或关闭；</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（4）推瘤机固定在铁轨上，刀头可移动；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4、打磨机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（1）与真实设备外观相似；</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（2）可控制打磨机在场景里移动或固定；</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（3）可控制打磨机沿铁轨方向移动；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（4）可控制打磨机绕着铁轨旋转，打磨铁轨的顶部和侧面；</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5、砂模和砂模夹具</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（1）与真实砂模、砂模夹具外观相似；</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（2）可控制砂模、夹具在场景里移动或固定；</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6、坩埚</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（1）与真实坩埚外观相似，坩埚与坩埚盖分离；</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（2）可控制坩埚在场景里移动或固定；</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（3）可在坩埚里放入焊剂和高温火柴；</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7、预热枪和预热器支架</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（1）与真实预热枪和支架外观相似；</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（2）可控制预热枪和支架在场景里移动或固定；</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（3）可展示预热枪及支架的放置要求；</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8、其他设备或物品：坩埚叉、氧气、丙烷、焊工直尺、扳手等；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二、虚拟场景里显示一段需要用铝热焊技术来修复的钢轨，系统里模拟铝热焊修复钢轨的下列工作步骤，每个步骤都包含作业时间和操作要点指导。</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1、焊前准备：检查铝热焊所需的设备和物品是否齐全，钢轨缺陷处两侧各卸掉3~6根轨枕上的扣件；</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 xml:space="preserve">2、切割作业：操纵锯轨机，按照铝热焊技术要求，切掉有缺陷的钢轨，切割时会有火花飞溅效果； </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3、对轨作业：在指定位置放置一对A字型对正架，在焊工直尺的辅助下调整轨缝的尖点值；</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4、▲砂模具安装：在轨缝处安装砂模夹具和砂模，抹上封箱泥，放置灰渣盘；</w:t>
            </w:r>
            <w:r>
              <w:rPr>
                <w:rFonts w:hint="eastAsia" w:ascii="宋体" w:hAnsi="宋体" w:eastAsia="宋体" w:cs="宋体"/>
                <w:b/>
                <w:bCs/>
                <w:i w:val="0"/>
                <w:caps w:val="0"/>
                <w:color w:val="auto"/>
                <w:spacing w:val="0"/>
                <w:w w:val="100"/>
                <w:kern w:val="0"/>
                <w:sz w:val="21"/>
                <w:szCs w:val="21"/>
                <w:lang w:val="en-US" w:eastAsia="zh-CN" w:bidi="ar"/>
              </w:rPr>
              <w:t>（投标人提供视频演示）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 xml:space="preserve">5、预热作业：按照铝热焊技术要求，在指定位置放置预热支架和预热枪，对砂模进行预热，预热枪点火时有火焰效果； </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6、焊剂准备：在坩埚里倒入焊剂，插上高温火柴，放置在砂模上；</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 xml:space="preserve">7、浇注反应：点燃火柴，坩埚内进行浇注反应，能看到火焰效果，钢水注入砂模，灰渣流入灰渣盘； </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8、拆模作业：用坩埚叉移走坩埚，拿走废渣盘，拆除砂模夹具；</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9、推瘤作业：用锤子除去砂模多余部分，能看到浇注的钢水为熔融状态，控制推瘤机在钢轨上移动，将多余的焊料推掉；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10、打磨作业：控制打磨机在钢轨上移动，对钢轨内外侧进行打磨，打磨处会有火花飞溅效果。</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手机APP端</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1、视频</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（1）视频列表：显示视频信息概览，包括视频标题、所属课程分类、标签和等级等；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（2）视频播放：视频可暂停、恢复、停止，能显示总时长、播放时间，支持全屏和小窗口两种显示方式；</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（3）查询和筛选：可通过关键字查询视频，也可以通过课程分类来筛选视频列表；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（4）留言：可以对任何视频进行留言，留言可删除，也可回复别人的留言。</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2、课件</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（1）课件列表：能显示课件信息概览，包括课件标题、文件大小、所属课程分类、标签和等级等；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（2）课件播放：可以直接在软件中播放课件，系统会记录课件学习进度；</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（3）查询和筛选：可通过关键字查询课件，也可以通过课程分类来筛选课件列表；</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（4）留言：可以对任何课件进行留言，留言可删除，也可回复别人的留言。</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3、考试</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（1）考试模式：提供作业、题库练习、考试三种不同的测验模式；</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（2）作业：学生可以在手机上完成老师布置的课后作业，不计成绩，不计时；</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（3）题库练习：由老师开放题库练习权限，只有老师指定的学生才能对指定的题库进行模拟练习。老师也可以收回学生题库练习的权限；</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（4）考试：考试设置有效时间、时长和次数限制，学生可以在手机上完成考试，考试结束后自动生成分数并进行试卷分析，系统记录学生历次考试的最高分。</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4、个人信息</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（1）基本信息：用户登录成功后，可以查看用户基本信息，如姓名、班级、焊接时长、节约成本、积分和等级；</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（2）历史记录：可以查看参加过的考试和成绩、课件学习进度、视频观看记录；</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（3）修改密码：修改登录密码；</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（4）密码找回：有两种方式找回密码，一种是根据账户激活时设置的问题和答案，一种是通知管理员重置密码。</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电脑端： 兼具手机APP功能，排版上符合PC端使用习惯，能够同移动端的手机APP实现数据共享。电脑能够通过互联网连接到虚拟焊接系统数据库，对接学生的学习账号和学习信息。学生在电脑能够登陆账户，进行理论学习，观看学习视频，能够进行理论知识考试，考试结束后自动生成分数并进行试卷分析，分数会上传到数据库记录下来。</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1、基本信息</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（1）基本信息：教师姓名、行政班级、专业等；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（2）学生管理：关联组别、学生列表（显示学生姓名、训练时长、节约成本、学生积分、焊接水平和学生状态等信息）；</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（3）组别管理：创建组别（自定义创建组别）、编辑组别（名称、学生）和删除组别；</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（4）设备管理：新增设备（学生机或焊接设备）、编辑设备和删除设备；</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（5）系统设置：学生信息导入、导出、教学资源下载、设置公差、修改密码等；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（6）系统分析：对教学系统资源进行统计分析，由图表来直观展示。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2、训练任务</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任务管理：教师可以新增任务、查看任务参数、修改任务参数、复制任务参数、删除任务。任务参数包括：任务名称、焊接类型、接头类型、焊接位置、坡口类型、母材厚度、公差等级和达标次数等，可以选择任务发布给指定学生；</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（2）成绩查询：任务成绩会进行汇总，并提供3种查询方式：按学生查询、按组别查询和按班级查询；</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3、理论教学</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（1）题库管理：教师可以上传理论考试题库，题库用来布置作业或生成试卷，题库可以新增、修改和删除，也可以给选定的学生开放题库练习的权限。题库的题目可以手动逐个新增、修改和删除；</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（2）作业管理：教师从题库里选择题目，从学生列表里选择人员来布置作业，作业可以新增、修改和删除；</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试卷管理：教师从题库里选择题目来生成试卷，从学生列表里选择人员来参加考试，试卷可以新增、修改和删除。可以设置试卷的题型、题数、分数、考试时间、考试时长，可以自动生成试卷。试卷成绩有汇总表展示，并提供3种查询方式：按学生查询、按组别查询和按班级查询；</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（4）视频库：教师可以上传视频、下载视频、修改视频信息、删除视频，可以指定视频所属课程分类、等级。可以查看学生留言，可以对留言进行回复。</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课件库：包含焊接理论知识、焊接视频教程以及焊者讲坛，根据学员学习基础，提供相应理论知识。课程包含初级焊工理论课程、中级焊工理论课程、高级焊工理论课程等进阶课程学习以及多门焊接核心课程、试题库等。教师可以上传课件、下载课件、修改课件信息、删除课件，可以指定课件所属课程分类、等级。可以查看学生留言，可以对留言进行回复。</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4、大赛认证</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（1）理论题库：包含初、中、高级焊工认证理论试题库，提供单选题、多选题、判断题等题库题型；</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（2）技能考试：包含初、中、高级焊工认证技能试题库，每个认证等级至少提供2-3个技能考试试题，技能考试学生通过评分表能够清楚掌握评分标准及了解具体得分情况；</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（3）通过发证：理论考试和技能考试两者相结合，各项达标的学生获得焊接等级证书。</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 xml:space="preserve">5、竞赛中心 </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（1）竞赛管理：竞赛分为教师发起和学生发起两种方式。教师可以设置竞赛参数，选择学生参加竞赛，不同学生之间可以有一对一、一对多、多对多的竞赛模式；</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（2）历史竞赛：显示历史竞赛的参数和竞赛结果；</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（3）当前竞赛：显示当前正在参加竞赛的学生焊接情况，可以查看操作画面，监控画面可以放大缩小。</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6、录像回放：教师可以随时调取学生上传的训练记录进行重现、查看。</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 xml:space="preserve">（1）提供2款工业机器人焊接场景的模拟，机器人品牌参考或者优于ABB/YASKAWA/FANUC/KUKA品牌； </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（2）提供CO2焊的焊接工业机器人模拟；</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（3）虚拟焊接工作站包括：焊接机器人、焊件、焊枪、变位机械、焊机、气瓶、排风系统、安全栅栏等；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（4）虚拟示教器：虚拟示教器形状、按键布局以及功能与真实示教器一致。显示屏界面、内容与实际保持一致；</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（5）机器人基础训练：包括开机、关机训练，三点法工件坐标系标定训练，六点法工具坐标系标定训练，程序创建训练，I/O信号配置训练，转数计数器更新训练等（不同品牌机器人会有所调整）；</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（6）实现机器臂运动操作训练，包括单轴移动训练、线性运动训练；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（7）实现简单编程训练，涵盖关节插补、直线插补以及圆弧插补等操作指令训练，同时可以对操作指令进行增加、更改和删除等操作；</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（8）2种焊接接头类型：平板对接接头和T型角接接头；</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（9）4种焊接位置：平焊（PA）、横焊（PC）、立焊（PF）和仰焊（PE）；</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（10）3种母材：低碳钢、不锈钢和铝合金；</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（11）4种焊件厚度： 3mm、6mm、8mm（直径140mm的管道）、10mm；</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（12）虚拟焊接物理场景组成：焊缝（鱼鳞纹）、熔池（液态）、飞溅、弧光、烟尘、焊接声音、焊渣、热影响区；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（13）3种焊接评价：</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——焊接操作评价：焊接速度、工作角度、行进角度和电弧长度；</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——焊接形貌评价：余宽、余高、余宽差和余高差等；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——焊缝质量评级：Ⅰ级焊缝、Ⅱ级焊缝、Ⅲ级焊缝和Ⅳ级焊缝。</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（14）5种焊接操作参数的实时提醒：焊接速度、工作角度、行进角度、电弧长度和运条轨迹；</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（15）多种缺陷的预测：气孔、夹渣、裂纹等；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（16）无损检测（NDT）模拟：X射线检测，检测出气孔、夹渣、裂纹等缺陷；</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（17）2种训练模式：焊接模式/教学模式；</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（18）焊接场景虚拟显示屏：提供焊接参数的设置及操作报告；</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w:t>
            </w:r>
            <w:r>
              <w:rPr>
                <w:rFonts w:hint="eastAsia" w:ascii="宋体" w:hAnsi="宋体" w:eastAsia="宋体" w:cs="宋体"/>
                <w:b w:val="0"/>
                <w:bCs w:val="0"/>
                <w:i w:val="0"/>
                <w:caps w:val="0"/>
                <w:color w:val="auto"/>
                <w:spacing w:val="0"/>
                <w:w w:val="100"/>
                <w:kern w:val="0"/>
                <w:sz w:val="21"/>
                <w:szCs w:val="21"/>
                <w:lang w:val="en-US" w:eastAsia="zh-CN" w:bidi="ar"/>
              </w:rPr>
              <w:t>19</w:t>
            </w:r>
            <w:r>
              <w:rPr>
                <w:rFonts w:hint="eastAsia" w:ascii="宋体" w:hAnsi="宋体" w:eastAsia="宋体" w:cs="宋体"/>
                <w:b w:val="0"/>
                <w:bCs w:val="0"/>
                <w:i w:val="0"/>
                <w:caps w:val="0"/>
                <w:color w:val="auto"/>
                <w:spacing w:val="0"/>
                <w:w w:val="100"/>
                <w:kern w:val="0"/>
                <w:sz w:val="21"/>
                <w:szCs w:val="21"/>
                <w:lang w:val="en-US" w:bidi="ar"/>
              </w:rPr>
              <w:t>）提供某主流机器人产品的拆装训练，包括整机拆卸、底座拆卸、前臂拆卸、腕部拆卸、底装配、前臂装配、腕部装配和总装配；</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w:t>
            </w:r>
            <w:r>
              <w:rPr>
                <w:rFonts w:hint="eastAsia" w:ascii="宋体" w:hAnsi="宋体" w:eastAsia="宋体" w:cs="宋体"/>
                <w:b w:val="0"/>
                <w:bCs w:val="0"/>
                <w:i w:val="0"/>
                <w:caps w:val="0"/>
                <w:color w:val="auto"/>
                <w:spacing w:val="0"/>
                <w:w w:val="100"/>
                <w:kern w:val="0"/>
                <w:sz w:val="21"/>
                <w:szCs w:val="21"/>
                <w:lang w:val="en-US" w:eastAsia="zh-CN" w:bidi="ar"/>
              </w:rPr>
              <w:t>0</w:t>
            </w:r>
            <w:r>
              <w:rPr>
                <w:rFonts w:hint="eastAsia" w:ascii="宋体" w:hAnsi="宋体" w:eastAsia="宋体" w:cs="宋体"/>
                <w:b w:val="0"/>
                <w:bCs w:val="0"/>
                <w:i w:val="0"/>
                <w:caps w:val="0"/>
                <w:color w:val="auto"/>
                <w:spacing w:val="0"/>
                <w:w w:val="100"/>
                <w:kern w:val="0"/>
                <w:sz w:val="21"/>
                <w:szCs w:val="21"/>
                <w:lang w:val="en-US" w:bidi="ar"/>
              </w:rPr>
              <w:t>）提供谐波减速机、RV减速机的动画原理；</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w:t>
            </w:r>
            <w:r>
              <w:rPr>
                <w:rFonts w:hint="eastAsia" w:ascii="宋体" w:hAnsi="宋体" w:eastAsia="宋体" w:cs="宋体"/>
                <w:b w:val="0"/>
                <w:bCs w:val="0"/>
                <w:i w:val="0"/>
                <w:caps w:val="0"/>
                <w:color w:val="auto"/>
                <w:spacing w:val="0"/>
                <w:w w:val="100"/>
                <w:kern w:val="0"/>
                <w:sz w:val="21"/>
                <w:szCs w:val="21"/>
                <w:lang w:val="en-US" w:eastAsia="zh-CN" w:bidi="ar"/>
              </w:rPr>
              <w:t>1</w:t>
            </w:r>
            <w:r>
              <w:rPr>
                <w:rFonts w:hint="eastAsia" w:ascii="宋体" w:hAnsi="宋体" w:eastAsia="宋体" w:cs="宋体"/>
                <w:b w:val="0"/>
                <w:bCs w:val="0"/>
                <w:i w:val="0"/>
                <w:caps w:val="0"/>
                <w:color w:val="auto"/>
                <w:spacing w:val="0"/>
                <w:w w:val="100"/>
                <w:kern w:val="0"/>
                <w:sz w:val="21"/>
                <w:szCs w:val="21"/>
                <w:lang w:val="en-US" w:bidi="ar"/>
              </w:rPr>
              <w:t>）提供机器人结构的爆炸图模式；</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eastAsia="zh-CN" w:bidi="ar"/>
              </w:rPr>
            </w:pPr>
            <w:r>
              <w:rPr>
                <w:rFonts w:hint="eastAsia" w:ascii="宋体" w:hAnsi="宋体" w:eastAsia="宋体" w:cs="宋体"/>
                <w:b w:val="0"/>
                <w:bCs w:val="0"/>
                <w:i w:val="0"/>
                <w:caps w:val="0"/>
                <w:color w:val="auto"/>
                <w:spacing w:val="0"/>
                <w:w w:val="100"/>
                <w:kern w:val="0"/>
                <w:sz w:val="21"/>
                <w:szCs w:val="21"/>
                <w:lang w:val="en-US" w:bidi="ar"/>
              </w:rPr>
              <w:t>（2</w:t>
            </w:r>
            <w:r>
              <w:rPr>
                <w:rFonts w:hint="eastAsia" w:ascii="宋体" w:hAnsi="宋体" w:eastAsia="宋体" w:cs="宋体"/>
                <w:b w:val="0"/>
                <w:bCs w:val="0"/>
                <w:i w:val="0"/>
                <w:caps w:val="0"/>
                <w:color w:val="auto"/>
                <w:spacing w:val="0"/>
                <w:w w:val="100"/>
                <w:kern w:val="0"/>
                <w:sz w:val="21"/>
                <w:szCs w:val="21"/>
                <w:lang w:val="en-US" w:eastAsia="zh-CN" w:bidi="ar"/>
              </w:rPr>
              <w:t>2</w:t>
            </w:r>
            <w:r>
              <w:rPr>
                <w:rFonts w:hint="eastAsia" w:ascii="宋体" w:hAnsi="宋体" w:eastAsia="宋体" w:cs="宋体"/>
                <w:b w:val="0"/>
                <w:bCs w:val="0"/>
                <w:i w:val="0"/>
                <w:caps w:val="0"/>
                <w:color w:val="auto"/>
                <w:spacing w:val="0"/>
                <w:w w:val="100"/>
                <w:kern w:val="0"/>
                <w:sz w:val="21"/>
                <w:szCs w:val="21"/>
                <w:lang w:val="en-US" w:bidi="ar"/>
              </w:rPr>
              <w:t>）▲为了更加切合实际工业应用训练，提供如煤机液压支架底座、船舶等行业焊接机器人训练场景。</w:t>
            </w:r>
            <w:r>
              <w:rPr>
                <w:rFonts w:hint="eastAsia" w:ascii="宋体" w:hAnsi="宋体" w:eastAsia="宋体" w:cs="宋体"/>
                <w:b/>
                <w:bCs/>
                <w:i w:val="0"/>
                <w:caps w:val="0"/>
                <w:color w:val="auto"/>
                <w:spacing w:val="0"/>
                <w:w w:val="100"/>
                <w:kern w:val="0"/>
                <w:sz w:val="21"/>
                <w:szCs w:val="21"/>
                <w:lang w:val="en-US" w:eastAsia="zh-CN" w:bidi="ar"/>
              </w:rPr>
              <w:t>（投标人提供视频演示）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（1）课件资源：涵盖精品课件资源PPT课件不少于35套，不少于8页/套，整体效果应风格统一、色彩协调、美观大方；</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动画视频：手动电弧焊SMAW\TIG\MIG\MAG\CO2焊接操作视频，以及提供大管道TIG焊的操作动画视频，要求有夹装固定、预热、设备调试、定位焊、打底焊、抛光、填充焊、盖面焊等步骤；提供MIG焊原理视频，内容包括MIG焊原理，焊丝进给原理及动画，焊枪中焊丝进给及动画，至少三种送滴过渡原理动画；</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highlight w:val="none"/>
                <w:lang w:val="en-US" w:bidi="ar"/>
              </w:rPr>
            </w:pPr>
            <w:r>
              <w:rPr>
                <w:rFonts w:hint="eastAsia" w:ascii="宋体" w:hAnsi="宋体" w:eastAsia="宋体" w:cs="宋体"/>
                <w:b w:val="0"/>
                <w:bCs w:val="0"/>
                <w:i w:val="0"/>
                <w:caps w:val="0"/>
                <w:color w:val="auto"/>
                <w:spacing w:val="0"/>
                <w:w w:val="100"/>
                <w:kern w:val="0"/>
                <w:sz w:val="21"/>
                <w:szCs w:val="21"/>
                <w:lang w:val="en-US" w:bidi="ar"/>
              </w:rPr>
              <w:t>（3）焊接</w:t>
            </w:r>
            <w:r>
              <w:rPr>
                <w:rFonts w:hint="eastAsia" w:ascii="宋体" w:hAnsi="宋体" w:eastAsia="宋体" w:cs="宋体"/>
                <w:b w:val="0"/>
                <w:bCs w:val="0"/>
                <w:i w:val="0"/>
                <w:caps w:val="0"/>
                <w:color w:val="auto"/>
                <w:spacing w:val="0"/>
                <w:w w:val="100"/>
                <w:kern w:val="0"/>
                <w:sz w:val="21"/>
                <w:szCs w:val="21"/>
                <w:highlight w:val="none"/>
                <w:lang w:val="en-US" w:bidi="ar"/>
              </w:rPr>
              <w:t>视频课程教学资源：以“弘扬工匠精神，塑造大国”为宗旨，涵盖但不限于高铁，核电，船舶，汽车，坦克，飞机航天，集装箱，风力发电等等焊接应用以及大国工匠精神内涵解读视频等，培养学生自主认知、正确感悟工匠精神的能力，使之具有理解、践行、弘扬工匠精神的积极情感和自觉意识，进而为全面提升职业素质奠定坚实的思想基础。</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cs="宋体"/>
                <w:b w:val="0"/>
                <w:i w:val="0"/>
                <w:caps w:val="0"/>
                <w:color w:val="auto"/>
                <w:spacing w:val="0"/>
                <w:w w:val="100"/>
                <w:sz w:val="21"/>
                <w:szCs w:val="21"/>
                <w:highlight w:val="none"/>
                <w:lang w:eastAsia="zh-CN"/>
              </w:rPr>
              <w:t>投标商须提供生产厂家出具针对本项目的售后服务承诺加盖公章。</w:t>
            </w:r>
          </w:p>
        </w:tc>
        <w:tc>
          <w:tcPr>
            <w:tcW w:w="1110"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kern w:val="0"/>
                <w:sz w:val="21"/>
                <w:szCs w:val="21"/>
                <w:lang w:bidi="ar"/>
              </w:rPr>
              <w:t>2</w:t>
            </w:r>
            <w:r>
              <w:rPr>
                <w:rFonts w:hint="eastAsia" w:ascii="宋体" w:hAnsi="宋体" w:eastAsia="宋体" w:cs="宋体"/>
                <w:b w:val="0"/>
                <w:bCs w:val="0"/>
                <w:i w:val="0"/>
                <w:caps w:val="0"/>
                <w:color w:val="auto"/>
                <w:spacing w:val="0"/>
                <w:w w:val="100"/>
                <w:kern w:val="0"/>
                <w:sz w:val="21"/>
                <w:szCs w:val="21"/>
                <w:lang w:val="en-US" w:eastAsia="zh-CN" w:bidi="ar"/>
              </w:rPr>
              <w:t>台</w:t>
            </w:r>
          </w:p>
        </w:tc>
        <w:tc>
          <w:tcPr>
            <w:tcW w:w="768"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27"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sz w:val="21"/>
                <w:szCs w:val="21"/>
                <w:lang w:val="en-US" w:eastAsia="zh-CN"/>
              </w:rPr>
              <w:t>9</w:t>
            </w:r>
          </w:p>
        </w:tc>
        <w:tc>
          <w:tcPr>
            <w:tcW w:w="1145"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rPr>
            </w:pPr>
            <w:r>
              <w:rPr>
                <w:rFonts w:hint="eastAsia" w:ascii="宋体" w:hAnsi="宋体" w:eastAsia="宋体" w:cs="宋体"/>
                <w:b w:val="0"/>
                <w:bCs w:val="0"/>
                <w:i w:val="0"/>
                <w:caps w:val="0"/>
                <w:color w:val="auto"/>
                <w:spacing w:val="0"/>
                <w:w w:val="100"/>
                <w:kern w:val="0"/>
                <w:sz w:val="21"/>
                <w:szCs w:val="21"/>
                <w:lang w:bidi="ar"/>
              </w:rPr>
              <w:t>电工技能仿真实训软件</w:t>
            </w:r>
          </w:p>
        </w:tc>
        <w:tc>
          <w:tcPr>
            <w:tcW w:w="5793" w:type="dxa"/>
            <w:shd w:val="clear" w:color="auto" w:fill="auto"/>
            <w:noWrap w:val="0"/>
            <w:vAlign w:val="center"/>
          </w:tcPr>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一、软件内容</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软件包含电工基本技能、电工初级实训、电工中级实训、电工高级实训、电工技师综合实训五个级别，内容涉及电气测量、内外线、电力拖动、电子技术、单片机、PLC控制、变配电和电力保护等共117个项目。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1、电工基本技能</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电工基本技能主要包括电气测量、内外线、电子技术、电力拖动等至少4个实训单元。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气测量主要内容是仪表使用，根据教学大纲要求，包括实训目的、实训器件、仪表种类、仪表使用、仪表测量、仪表面板等6个实任务；其中仪表使用包括指针万用表和数字万用表，内容包括测电阻、测交流电压、测直流电流、测直流电压、兆欧表、钳形电流表等。</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内外线包括供配电基础、工具使用、导线连接、人工急救、照明线路1、照明线路2、照明线路3等至少7个实训项目，根据教学大纲要求，供配电基础包括系统概述、系统原理、基本要求、接线方式、低压配电柜、低压配电线路等6个实训任务；工具使用包括验电笔、电工刀、钳子类、螺丝刀、活络扳手、冲击钻、安全带、喷灯等8个实训任务；导线连接包括常用导线、导线选用、导线连接等3个实训任务；人工急救包括实训目的、单位操作、双人操作、口对口准备、口对口方法、胸外压准备、胸外压方法等7个实训任务；照明线路包括实训目的、实训器件、实训电路、器件布局、仿真运行、电路接线、通电测试等7个实训任务；</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子技术包括延时电路、稳压电源电路、整流滤波电路、单管放大电路、可控硅调光电路至少5个实训项目，根据教学大纲要求，延时电路须包括实训目的、实训电路、电路原理、实训器件、通电测试等至少5个实训任务；稳压电源电路包括实训目的、实训电路、电路原理、实训器件、通电测试等至少5个实训任务；整流滤波电路包括实训目的、实训电路、电路原理、实训器件、通电测试等至少5个实训任务；单管放大电路包括实训目的、实训电路、电路原理、实训器件、器件布局、通电测试、故障检查等7个实训任务；可控硅调光电路包括实训目的、实训电路、电路原理、实训器件、线路检查、器件布局、通电测试、故障检查等7个实训任务，要求学生在操作实训任务时有相应考核问题回答。</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力拖动包括三相异步机单向转动控制、三相异步机正反转控制、三相异步机两地控制3个实训项目，根据教学大纲要求，三相异步机单向转动控制包括实训目的、电路原理、实训器件、器件布局、电路连接、通电运行等6个实训任务；三相异步机正反转控制包括实训目的、实训电路、电路原理、实训器件、器件检查、器件布局、电路连接、线路检查、通电运行、故障排除等10个实训任务；三相异步机两地控制包括实训目的、实训器件、电路原理、器件布局、电路连接、通电运行等6个实训任务。</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2、电工初级实训</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电工初级实训主要包括电力拖动和电子技术两个实训单元。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力拖动主要包括手动顺序控制与测量、能耗制动控制与测量、星—三角启动控制与测量、行程控制与测量、自动顺序控制与测量、单向转动控制与测量、双限位控制与测量、两地控制与测量、三相五线供电系统、照明电路及单相电动机的控制等10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子技术主要包括二极管整流电路、串联型稳压电源、延时开关电路等3个实训项目。每个实训项目根据教学大纲的要求，又包含实训目的、实训电路、电路原理、实训器件、器件检查、器件布局、电路连接、线路检查、通电运行、故障排除等若干个实训任务。</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3、电工中级</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电工中级主要包括电力拖动、电子技术、电气测量、PLC控制等4个实训单元；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eastAsia="zh-CN" w:bidi="ar"/>
              </w:rPr>
              <w:t>▲</w:t>
            </w:r>
            <w:r>
              <w:rPr>
                <w:rFonts w:hint="eastAsia" w:ascii="宋体" w:hAnsi="宋体" w:eastAsia="宋体" w:cs="宋体"/>
                <w:b w:val="0"/>
                <w:bCs w:val="0"/>
                <w:i w:val="0"/>
                <w:caps w:val="0"/>
                <w:color w:val="auto"/>
                <w:spacing w:val="0"/>
                <w:w w:val="100"/>
                <w:kern w:val="0"/>
                <w:sz w:val="21"/>
                <w:szCs w:val="21"/>
                <w:lang w:val="en-US" w:bidi="ar"/>
              </w:rPr>
              <w:t>电力拖动包括电动机正反转能耗制动与无功计量、双速电动机控制、电动机Y/△启动及顺序控制、三速电动机控制、直流电动机正反转调速与制动控制、直流电动机反接制动控制、点动功能的正反转控制、多台电动机联动控制、电动机控制与功计量、顺序启动控制等10个实训项目。</w:t>
            </w:r>
            <w:r>
              <w:rPr>
                <w:rFonts w:hint="eastAsia" w:ascii="宋体" w:hAnsi="宋体" w:eastAsia="宋体" w:cs="宋体"/>
                <w:b/>
                <w:bCs/>
                <w:i w:val="0"/>
                <w:caps w:val="0"/>
                <w:color w:val="auto"/>
                <w:spacing w:val="0"/>
                <w:w w:val="100"/>
                <w:kern w:val="0"/>
                <w:sz w:val="21"/>
                <w:szCs w:val="21"/>
                <w:lang w:val="en-US" w:eastAsia="zh-CN" w:bidi="ar"/>
              </w:rPr>
              <w:t>（投标人提供视频演示）</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电子技术包括电流负反馈电路、电压负反馈电路、单相可控硅整流电路、差分放大可调稳压电路、运算放大电路、与非门电路等6个实训项目。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电气测量包括电感线圈参数的测量、配电部分三相负载的测量、变压器组别测定与验证等3个实训项目。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PLC控制主要包括PLC的工作原理、程序的执行过程、电动机的起停控制、电动机的正反控制、电动机的循环正反转控制、三速电动机控制等6个实训项目。每个实训项目根据教学大纲的要求，又包含实训目的、实训电路、电路原理、实训器件、器件检查、器件布局、电路连接、线路检查、通电运行、故障排除等若干个实训任务。</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4、高级电工</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高级电工主要包括单片机、电子技术、PLC控制等3个实训单元。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单片机主要包括查找大小数、航标灯控制、计数报警器、数码管显示、循环灯点亮、霓虹灯控制、算术运算器、继电器控制、倒计时音乐报警器、数据传送等10个实训项目。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PLC控制主要包括PLC控制包括星/角起动控制、电动机的正反转能耗制动控制、彩灯循环控制、数码管的点亮控制、大小球传送装置的控制、简易机械手的控制等6个实训项目；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电子技术包括运算放大器的应用电路、异步计数器的级联、定时交流开关电路、脉冲式隔镍电池充电电路、计数调光开关电路、多地单键控制开关电路、同步计数器电路等7个实训项目；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根据教学大纲要求，每个实训项目包含实训目的、实训电路、电路原理、实训器件、器件布局、线路检查、通电测试、故障排除等若干个实训任务。</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5、电工技师</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电工技师综合实训包括PLC控制、电子技术、电力拖动、变配电和电力保护等4个实训单元。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PLC控制包括电镀生产线的控制、自动交通灯的控制、皮带运输线的控制、工业洗衣机的控制、恒压供水系统的控制、工业刨床的控制、中央空调冷却水泵的控制、小推车的控制、停车场车位控制、变频器的PU操作、变频器的EXT操作、变频器的组合操作、手持编程器的操作、传感器的使用、气缸的使用、变频运输三维分选装置、步进运输坐标式四维分选装置、单相调速运输龙门式分选装置、X62W 铣床、Z3050摇臂钻床、CA6140型车床至少21个实训项目；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电子技术包括整流电源电路、光敏传感器检测电路、温度传感器电路、信号比较输出报警检测电路至少4个实训项目；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eastAsia="宋体" w:cs="宋体"/>
                <w:b w:val="0"/>
                <w:bCs w:val="0"/>
                <w:i w:val="0"/>
                <w:caps w:val="0"/>
                <w:color w:val="auto"/>
                <w:spacing w:val="0"/>
                <w:w w:val="100"/>
                <w:kern w:val="0"/>
                <w:sz w:val="21"/>
                <w:szCs w:val="21"/>
                <w:lang w:val="en-US" w:bidi="ar"/>
              </w:rPr>
              <w:t>电力拖动包括车床电气控制系统、钻床电气控制系统至少2个实训项目；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highlight w:val="none"/>
                <w:lang w:val="en-US" w:bidi="ar"/>
              </w:rPr>
            </w:pPr>
            <w:r>
              <w:rPr>
                <w:rFonts w:hint="eastAsia" w:ascii="宋体" w:hAnsi="宋体" w:eastAsia="宋体" w:cs="宋体"/>
                <w:b w:val="0"/>
                <w:bCs w:val="0"/>
                <w:i w:val="0"/>
                <w:caps w:val="0"/>
                <w:color w:val="auto"/>
                <w:spacing w:val="0"/>
                <w:w w:val="100"/>
                <w:kern w:val="0"/>
                <w:sz w:val="21"/>
                <w:szCs w:val="21"/>
                <w:lang w:val="en-US" w:bidi="ar"/>
              </w:rPr>
              <w:t>变配电和电力保护包括ZB50使用、10KV小电流接地系统的漏电选线保护、10KV线路微机保护单元性能测试1、10KV线路微机保护单元性能测试2、04KV低压线路微机保护单元性能测试、电动机低电压保护、电动机负序过电流保护、电动机过负荷保护、变压器带载自动调压运行、泄漏电流试验、直流耐压试验、交流耐压试验、变压器微机保护单元测试等至少13个实训项目；</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highlight w:val="none"/>
                <w:lang w:val="en-US" w:bidi="ar"/>
              </w:rPr>
            </w:pPr>
            <w:r>
              <w:rPr>
                <w:rFonts w:hint="eastAsia" w:ascii="宋体" w:hAnsi="宋体" w:eastAsia="宋体" w:cs="宋体"/>
                <w:b w:val="0"/>
                <w:bCs w:val="0"/>
                <w:i w:val="0"/>
                <w:caps w:val="0"/>
                <w:color w:val="auto"/>
                <w:spacing w:val="0"/>
                <w:w w:val="100"/>
                <w:kern w:val="0"/>
                <w:sz w:val="21"/>
                <w:szCs w:val="21"/>
                <w:highlight w:val="none"/>
                <w:lang w:val="en-US" w:bidi="ar"/>
              </w:rPr>
              <w:t>根据教学大纲要求，每个实训项目包含实训目的、实训电路、电路原理、实训器件、器件布局、线路检查、通电测试、故障排除等若干个实训任务。</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highlight w:val="none"/>
                <w:lang w:val="en-US" w:bidi="ar"/>
              </w:rPr>
            </w:pPr>
            <w:r>
              <w:rPr>
                <w:rFonts w:hint="eastAsia" w:ascii="宋体" w:hAnsi="宋体" w:eastAsia="宋体" w:cs="宋体"/>
                <w:b w:val="0"/>
                <w:bCs w:val="0"/>
                <w:i w:val="0"/>
                <w:caps w:val="0"/>
                <w:color w:val="auto"/>
                <w:spacing w:val="0"/>
                <w:w w:val="100"/>
                <w:kern w:val="0"/>
                <w:sz w:val="21"/>
                <w:szCs w:val="21"/>
                <w:highlight w:val="none"/>
                <w:lang w:val="en-US" w:bidi="ar"/>
              </w:rPr>
              <w:t>软件操作简单，导航明确，每个模块均设有操作提</w:t>
            </w:r>
            <w:r>
              <w:rPr>
                <w:rFonts w:hint="eastAsia" w:ascii="宋体" w:hAnsi="宋体" w:eastAsia="宋体" w:cs="宋体"/>
                <w:b w:val="0"/>
                <w:i w:val="0"/>
                <w:caps w:val="0"/>
                <w:color w:val="auto"/>
                <w:spacing w:val="0"/>
                <w:w w:val="100"/>
                <w:sz w:val="21"/>
                <w:szCs w:val="21"/>
                <w:highlight w:val="none"/>
              </w:rPr>
              <w:t>示，并配套提供语音讲解视频，学生可以自行进行上机训练。</w:t>
            </w:r>
          </w:p>
          <w:p>
            <w:pPr>
              <w:widowControl/>
              <w:snapToGrid/>
              <w:spacing w:before="0" w:beforeAutospacing="0" w:after="0" w:afterAutospacing="0" w:line="240" w:lineRule="auto"/>
              <w:jc w:val="left"/>
              <w:textAlignment w:val="center"/>
              <w:rPr>
                <w:rFonts w:hint="eastAsia" w:ascii="宋体" w:hAnsi="宋体" w:eastAsia="宋体" w:cs="宋体"/>
                <w:b w:val="0"/>
                <w:bCs w:val="0"/>
                <w:i w:val="0"/>
                <w:caps w:val="0"/>
                <w:color w:val="auto"/>
                <w:spacing w:val="0"/>
                <w:w w:val="100"/>
                <w:kern w:val="0"/>
                <w:sz w:val="21"/>
                <w:szCs w:val="21"/>
                <w:lang w:val="en-US" w:bidi="ar"/>
              </w:rPr>
            </w:pPr>
            <w:r>
              <w:rPr>
                <w:rFonts w:hint="eastAsia" w:ascii="宋体" w:hAnsi="宋体" w:cs="宋体"/>
                <w:b w:val="0"/>
                <w:i w:val="0"/>
                <w:caps w:val="0"/>
                <w:color w:val="auto"/>
                <w:spacing w:val="0"/>
                <w:w w:val="100"/>
                <w:sz w:val="21"/>
                <w:szCs w:val="21"/>
                <w:highlight w:val="none"/>
                <w:lang w:eastAsia="zh-CN"/>
              </w:rPr>
              <w:t>投标商须提供生产厂家出具针对本项目的售后服务承诺加盖公章。</w:t>
            </w:r>
          </w:p>
        </w:tc>
        <w:tc>
          <w:tcPr>
            <w:tcW w:w="1110"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lang w:val="en-US" w:eastAsia="zh-CN"/>
              </w:rPr>
            </w:pPr>
            <w:r>
              <w:rPr>
                <w:rFonts w:hint="eastAsia" w:ascii="宋体" w:hAnsi="宋体" w:eastAsia="宋体" w:cs="宋体"/>
                <w:b w:val="0"/>
                <w:bCs w:val="0"/>
                <w:i w:val="0"/>
                <w:caps w:val="0"/>
                <w:color w:val="auto"/>
                <w:spacing w:val="0"/>
                <w:w w:val="100"/>
                <w:kern w:val="0"/>
                <w:sz w:val="21"/>
                <w:szCs w:val="21"/>
                <w:lang w:bidi="ar"/>
              </w:rPr>
              <w:t>50</w:t>
            </w:r>
            <w:r>
              <w:rPr>
                <w:rFonts w:hint="eastAsia" w:ascii="宋体" w:hAnsi="宋体" w:eastAsia="宋体" w:cs="宋体"/>
                <w:b w:val="0"/>
                <w:bCs w:val="0"/>
                <w:i w:val="0"/>
                <w:caps w:val="0"/>
                <w:color w:val="auto"/>
                <w:spacing w:val="0"/>
                <w:w w:val="100"/>
                <w:kern w:val="0"/>
                <w:sz w:val="21"/>
                <w:szCs w:val="21"/>
                <w:lang w:val="en-US" w:eastAsia="zh-CN" w:bidi="ar"/>
              </w:rPr>
              <w:t>节点</w:t>
            </w:r>
          </w:p>
        </w:tc>
        <w:tc>
          <w:tcPr>
            <w:tcW w:w="768" w:type="dxa"/>
            <w:shd w:val="clear" w:color="auto" w:fill="auto"/>
            <w:noWrap w:val="0"/>
            <w:vAlign w:val="center"/>
          </w:tcPr>
          <w:p>
            <w:pPr>
              <w:widowControl/>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kern w:val="0"/>
                <w:sz w:val="21"/>
                <w:szCs w:val="21"/>
                <w:lang w:bidi="ar"/>
              </w:rPr>
            </w:pPr>
          </w:p>
        </w:tc>
      </w:tr>
    </w:tbl>
    <w:p>
      <w:pPr>
        <w:keepNext w:val="0"/>
        <w:keepLines w:val="0"/>
        <w:pageBreakBefore w:val="0"/>
        <w:numPr>
          <w:ilvl w:val="0"/>
          <w:numId w:val="5"/>
        </w:numPr>
        <w:kinsoku/>
        <w:wordWrap/>
        <w:overflowPunct/>
        <w:topLinePunct w:val="0"/>
        <w:autoSpaceDE/>
        <w:autoSpaceDN/>
        <w:bidi w:val="0"/>
        <w:adjustRightInd/>
        <w:snapToGrid/>
        <w:spacing w:line="520" w:lineRule="exact"/>
        <w:textAlignment w:val="auto"/>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br w:type="page"/>
      </w:r>
    </w:p>
    <w:bookmarkEnd w:id="285"/>
    <w:bookmarkEnd w:id="286"/>
    <w:bookmarkEnd w:id="287"/>
    <w:bookmarkEnd w:id="288"/>
    <w:bookmarkEnd w:id="289"/>
    <w:p>
      <w:pPr>
        <w:rPr>
          <w:rFonts w:hint="eastAsia" w:ascii="宋体" w:hAnsi="宋体" w:eastAsia="宋体" w:cs="宋体"/>
          <w:b/>
          <w:bCs/>
          <w:color w:val="auto"/>
          <w:sz w:val="32"/>
          <w:szCs w:val="32"/>
          <w:highlight w:val="none"/>
        </w:rPr>
      </w:pPr>
      <w:bookmarkStart w:id="290" w:name="_Toc3007"/>
      <w:bookmarkStart w:id="291" w:name="_Toc144974855"/>
      <w:bookmarkStart w:id="292" w:name="_Toc152045786"/>
      <w:bookmarkStart w:id="293" w:name="_Toc5885"/>
      <w:bookmarkStart w:id="294" w:name="_Toc152042575"/>
    </w:p>
    <w:p>
      <w:pPr>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合同条款及格式</w:t>
      </w:r>
    </w:p>
    <w:p>
      <w:pPr>
        <w:pStyle w:val="33"/>
        <w:rPr>
          <w:rFonts w:hint="eastAsia"/>
          <w:color w:val="auto"/>
        </w:rPr>
      </w:pPr>
    </w:p>
    <w:p>
      <w:pPr>
        <w:autoSpaceDE w:val="0"/>
        <w:autoSpaceDN w:val="0"/>
        <w:adjustRightInd w:val="0"/>
        <w:snapToGrid w:val="0"/>
        <w:spacing w:line="440" w:lineRule="exact"/>
        <w:ind w:firstLine="562" w:firstLineChars="200"/>
        <w:jc w:val="center"/>
        <w:rPr>
          <w:rFonts w:hint="eastAsia" w:ascii="宋体" w:hAnsi="宋体" w:cs="宋体"/>
          <w:b/>
          <w:color w:val="auto"/>
          <w:sz w:val="28"/>
          <w:szCs w:val="28"/>
        </w:rPr>
      </w:pPr>
      <w:r>
        <w:rPr>
          <w:rFonts w:hint="eastAsia" w:ascii="宋体" w:hAnsi="宋体" w:cs="宋体"/>
          <w:b/>
          <w:bCs/>
          <w:color w:val="auto"/>
          <w:sz w:val="28"/>
          <w:szCs w:val="28"/>
          <w:lang w:val="en-US" w:eastAsia="zh-CN"/>
        </w:rPr>
        <w:t>（此合同模板仅供参考，具体以实际签订为准）</w:t>
      </w:r>
    </w:p>
    <w:p>
      <w:pPr>
        <w:pStyle w:val="15"/>
        <w:spacing w:before="72"/>
        <w:ind w:left="1034" w:right="1300"/>
        <w:jc w:val="center"/>
        <w:rPr>
          <w:rFonts w:ascii="Arial" w:hAnsi="Arial" w:eastAsia="黑体" w:cs="Times New Roman"/>
          <w:b/>
          <w:bCs/>
          <w:color w:val="auto"/>
          <w:kern w:val="2"/>
          <w:sz w:val="28"/>
          <w:szCs w:val="28"/>
          <w:lang w:val="en-US" w:eastAsia="zh-CN" w:bidi="ar-SA"/>
        </w:rPr>
      </w:pPr>
      <w:bookmarkStart w:id="295" w:name="第一部分_合同协议书"/>
      <w:bookmarkEnd w:id="295"/>
      <w:bookmarkStart w:id="296" w:name="_bookmark24"/>
      <w:bookmarkEnd w:id="296"/>
    </w:p>
    <w:p>
      <w:pPr>
        <w:pStyle w:val="64"/>
        <w:keepNext w:val="0"/>
        <w:keepLines w:val="0"/>
        <w:pageBreakBefore w:val="0"/>
        <w:widowControl w:val="0"/>
        <w:kinsoku/>
        <w:wordWrap/>
        <w:overflowPunct/>
        <w:topLinePunct w:val="0"/>
        <w:autoSpaceDE/>
        <w:autoSpaceDN/>
        <w:bidi w:val="0"/>
        <w:adjustRightInd/>
        <w:snapToGrid/>
        <w:spacing w:before="312" w:beforeLines="100" w:line="440" w:lineRule="exact"/>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（甲方）所需        (项目名称)经                 以                 （项目编号）招标文件在国内以公开招标方式进行采购。经评标委员会确定         （乙方）为中标人。甲、乙双方根据《中华人民共和国政府采购法》、《中华人民共和国民法典》等相关法律以及本项目招标文件的规定，经平等协商达成合同如下：</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一、合同文件</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本合同所附下列文件是构成本合同不可分割的部分：</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（一）本项目招标文件</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（二）中标人投标文件</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（三）合同格式、合同条款</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（四）中标人在评标过程中做出的有关澄清、说明或者补正文件</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（五）中标通知书</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（六）本合同附件</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二、合同的范围和条件</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本合同的范围和条件应与上述合同文件的规定相一致。</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三、货物、数量及规格</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本合同所提供的货物、数量及规格详见合同货物清单（附件一）（同投标文件中报价明细表，下同）。</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四、合同金额</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根据上述合同文件要求，合同金额为人民币         元，大写：         。（分项价格详见合同货物清单）。</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乙方开户单位：</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开户银行：                           帐号：</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五、付款途径</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 国库集中支付   □甲方支付    □ 国库与甲方共同支付</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 财政性资金       元          □ 自筹性资金         元</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六、付款方式</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付款方式：</w:t>
      </w:r>
      <w:r>
        <w:rPr>
          <w:rFonts w:hint="eastAsia" w:ascii="宋体" w:hAnsi="宋体" w:cs="宋体"/>
          <w:color w:val="auto"/>
          <w:sz w:val="28"/>
          <w:szCs w:val="28"/>
          <w:highlight w:val="none"/>
          <w:lang w:val="en-US" w:eastAsia="zh-CN"/>
        </w:rPr>
        <w:t>按照招标文件第四章规定</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七、交付日期、地点</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1、交付日期：</w:t>
      </w:r>
      <w:r>
        <w:rPr>
          <w:rFonts w:hint="eastAsia" w:ascii="宋体" w:hAnsi="宋体" w:cs="宋体"/>
          <w:color w:val="auto"/>
          <w:sz w:val="28"/>
          <w:szCs w:val="28"/>
          <w:highlight w:val="none"/>
          <w:lang w:val="en-US" w:eastAsia="zh-CN"/>
        </w:rPr>
        <w:t>按照招标文件投标人须知前附表规定</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2、交付地点：招标人指定地点；</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八、履约保证金</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履约保证金在项目交付验收合格无质量问题后，填写《履约保证金退付表》、《政府采购项目验收单》和资金往来收款收据交招标人后20个工作日内无息退还。（本项目不涉及）</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九、合同生效</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本合同经甲乙双方签字盖章，乙方提交履约保证金后，经同级财政部门备案后生效。</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十、合同保存</w:t>
      </w:r>
    </w:p>
    <w:p>
      <w:pPr>
        <w:pStyle w:val="65"/>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本合同一式</w:t>
      </w:r>
      <w:r>
        <w:rPr>
          <w:rFonts w:hint="eastAsia" w:ascii="宋体" w:hAnsi="宋体" w:eastAsia="宋体" w:cs="宋体"/>
          <w:color w:val="auto"/>
          <w:sz w:val="28"/>
          <w:szCs w:val="28"/>
          <w:highlight w:val="white"/>
          <w:lang w:val="en-US" w:eastAsia="zh-CN"/>
        </w:rPr>
        <w:t xml:space="preserve">  </w:t>
      </w:r>
      <w:r>
        <w:rPr>
          <w:rFonts w:hint="eastAsia" w:ascii="宋体" w:hAnsi="宋体" w:eastAsia="宋体" w:cs="宋体"/>
          <w:color w:val="auto"/>
          <w:sz w:val="28"/>
          <w:szCs w:val="28"/>
          <w:highlight w:val="white"/>
        </w:rPr>
        <w:t>份，甲方</w:t>
      </w:r>
      <w:r>
        <w:rPr>
          <w:rFonts w:hint="eastAsia" w:ascii="宋体" w:hAnsi="宋体" w:eastAsia="宋体" w:cs="宋体"/>
          <w:color w:val="auto"/>
          <w:sz w:val="28"/>
          <w:szCs w:val="28"/>
          <w:highlight w:val="white"/>
          <w:lang w:val="en-US" w:eastAsia="zh-CN"/>
        </w:rPr>
        <w:t xml:space="preserve">  </w:t>
      </w:r>
      <w:r>
        <w:rPr>
          <w:rFonts w:hint="eastAsia" w:ascii="宋体" w:hAnsi="宋体" w:eastAsia="宋体" w:cs="宋体"/>
          <w:color w:val="auto"/>
          <w:sz w:val="28"/>
          <w:szCs w:val="28"/>
          <w:highlight w:val="white"/>
        </w:rPr>
        <w:t>份，乙方</w:t>
      </w:r>
      <w:r>
        <w:rPr>
          <w:rFonts w:hint="eastAsia" w:ascii="宋体" w:hAnsi="宋体" w:eastAsia="宋体" w:cs="宋体"/>
          <w:color w:val="auto"/>
          <w:sz w:val="28"/>
          <w:szCs w:val="28"/>
          <w:highlight w:val="white"/>
          <w:lang w:val="en-US" w:eastAsia="zh-CN"/>
        </w:rPr>
        <w:t xml:space="preserve">  </w:t>
      </w:r>
      <w:r>
        <w:rPr>
          <w:rFonts w:hint="eastAsia" w:ascii="宋体" w:hAnsi="宋体" w:eastAsia="宋体" w:cs="宋体"/>
          <w:color w:val="auto"/>
          <w:sz w:val="28"/>
          <w:szCs w:val="28"/>
          <w:highlight w:val="white"/>
        </w:rPr>
        <w:t>份。</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p>
    <w:p>
      <w:pPr>
        <w:pStyle w:val="6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white"/>
        </w:rPr>
      </w:pP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297" w:name="_Toc25449"/>
      <w:bookmarkStart w:id="298" w:name="_Toc1894"/>
      <w:bookmarkStart w:id="299" w:name="_Toc23214"/>
      <w:bookmarkStart w:id="300" w:name="_Toc25383"/>
      <w:bookmarkStart w:id="301" w:name="_Toc20220"/>
      <w:r>
        <w:rPr>
          <w:rFonts w:hint="eastAsia" w:ascii="宋体" w:hAnsi="宋体" w:eastAsia="宋体" w:cs="宋体"/>
          <w:color w:val="auto"/>
          <w:sz w:val="28"/>
          <w:szCs w:val="28"/>
          <w:highlight w:val="white"/>
        </w:rPr>
        <w:t>甲    方：                            乙    方：</w:t>
      </w:r>
      <w:bookmarkEnd w:id="297"/>
      <w:bookmarkEnd w:id="298"/>
      <w:bookmarkEnd w:id="299"/>
      <w:bookmarkEnd w:id="300"/>
      <w:bookmarkEnd w:id="301"/>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单位名称(公章)：                      单位名称(公章)：</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法定代表人或授权代理人：（签字）       法定代表人或授权代理人：（签字）</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电    话：                            电    话：</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签订日期：                            签订日期：</w:t>
      </w:r>
    </w:p>
    <w:p>
      <w:pPr>
        <w:pStyle w:val="6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color w:val="auto"/>
          <w:sz w:val="28"/>
          <w:szCs w:val="28"/>
          <w:highlight w:val="white"/>
        </w:rPr>
      </w:pPr>
      <w:r>
        <w:rPr>
          <w:rFonts w:hint="eastAsia" w:ascii="宋体" w:hAnsi="宋体" w:eastAsia="宋体" w:cs="宋体"/>
          <w:b/>
          <w:color w:val="auto"/>
          <w:kern w:val="0"/>
          <w:sz w:val="28"/>
          <w:szCs w:val="28"/>
        </w:rPr>
        <w:br w:type="page"/>
      </w:r>
      <w:r>
        <w:rPr>
          <w:rFonts w:hint="eastAsia" w:ascii="宋体" w:hAnsi="宋体" w:eastAsia="宋体" w:cs="宋体"/>
          <w:color w:val="auto"/>
          <w:sz w:val="28"/>
          <w:szCs w:val="28"/>
          <w:highlight w:val="white"/>
        </w:rPr>
        <w:t>二、合同条款</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甲方在本项目中所需货物和服务由</w:t>
      </w:r>
      <w:r>
        <w:rPr>
          <w:rFonts w:hint="eastAsia" w:ascii="宋体" w:hAnsi="宋体" w:eastAsia="宋体" w:cs="宋体"/>
          <w:color w:val="auto"/>
          <w:sz w:val="28"/>
          <w:szCs w:val="28"/>
          <w:highlight w:val="white"/>
          <w:lang w:eastAsia="zh-CN"/>
        </w:rPr>
        <w:t>新疆金裕诚项目管理有限公司</w:t>
      </w:r>
      <w:r>
        <w:rPr>
          <w:rFonts w:hint="eastAsia" w:ascii="宋体" w:hAnsi="宋体" w:eastAsia="宋体" w:cs="宋体"/>
          <w:color w:val="auto"/>
          <w:sz w:val="28"/>
          <w:szCs w:val="28"/>
          <w:highlight w:val="white"/>
        </w:rPr>
        <w:t xml:space="preserve">在国内进行公开招标，经评标委员会评定，确定乙方为中标人。甲乙双方根据《中华人民共和国政府采购法》、《中华人民共和国民法典》等相关法律法规以及本项目招标文件的规定，经平等协商达成合同如下： </w:t>
      </w:r>
      <w:bookmarkStart w:id="302" w:name="_Toc86202594"/>
      <w:bookmarkStart w:id="303" w:name="_Toc175644041"/>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一、定义</w:t>
      </w:r>
      <w:bookmarkEnd w:id="302"/>
      <w:bookmarkEnd w:id="303"/>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除非另有特别解释或说明，在本合同及与本合同相关的，双方另行签署的其他文件（包括但不限于本合同的附件）中，下述词语均依如下定义进行解释：</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1、“合同”指甲乙双方签署的，与本项目相关的协议、附件、附录和其他一切文件，还包括招标文件、投标文件中的相关内容及其有效补充文件。</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2、“附件”是指与本合同的订立、履行有关的，经甲乙双方认可的，对本合同约定的内容进行细化、补充、修改、变更的文件、图纸、音像制品等资料。</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3、“货物”指合同货物清单（附件1）（同投标文件中货物明细表，下同）中所规定的硬件、软件、安装材料、备件及专用器具、文件资料等内容。</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5、“检验”指按照本合同约定的标准对合同货物进行的检测与查验。</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6、“政府采购项目验收单”指甲、乙双方验收完成后由合同双方签署的最终验收确认书。</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7、“技术资料”指安装、调试、使用、维修合同货物所应具备的产品使用说明书和／或使用指南、操作手册、维修指南、服务手册、电路图、产品演示等文件。</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8、“保修期”指自验收单签署之日起，乙方免费对所卖给甲方货物更换整件或零部件，维修、保养及技术支持、产品升级并以自担费用方式保证项目正常运行的时期。</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9、“第三人”是指本合同双方以外的任何中国境内、外的自然人、法人或其他经济组织。</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10、“法律、法规”是指由中国有关部门制定的法律、行政法规、地方性法规、规章及其他规范性文件以及经全国人民代表大会常务委员会批准的中国缔结、参加的国际条（公）约的有关规定。</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11、“招标文件”指采购代理机构发布的本项目招标文件。</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12、“投标文件”指乙方按照本项目招标文件的要求编制和投递，并最终经采购代理机构接收的投标文件。</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04" w:name="_Toc86202595"/>
      <w:bookmarkStart w:id="305" w:name="_Toc175644043"/>
      <w:r>
        <w:rPr>
          <w:rFonts w:hint="eastAsia" w:ascii="宋体" w:hAnsi="宋体" w:eastAsia="宋体" w:cs="宋体"/>
          <w:color w:val="auto"/>
          <w:sz w:val="28"/>
          <w:szCs w:val="28"/>
          <w:highlight w:val="white"/>
        </w:rPr>
        <w:t>二、货物、数量及规格</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本合同所提供的货物、数量及规格详见合同货物清单（附件一）（同投标文件中报价明细表）。</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三、合同价格</w:t>
      </w:r>
      <w:bookmarkEnd w:id="304"/>
      <w:bookmarkEnd w:id="305"/>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1、合同金额详见合同格式。</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3、合同货物详细目录及销售价格详见合同格式附件1合同货物清单（同投标文件中报价明细表）。</w:t>
      </w:r>
      <w:bookmarkStart w:id="306" w:name="_Toc86202596"/>
      <w:bookmarkStart w:id="307" w:name="_Toc175644044"/>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四、</w:t>
      </w:r>
      <w:bookmarkEnd w:id="306"/>
      <w:bookmarkEnd w:id="307"/>
      <w:r>
        <w:rPr>
          <w:rFonts w:hint="eastAsia" w:ascii="宋体" w:hAnsi="宋体" w:eastAsia="宋体" w:cs="宋体"/>
          <w:color w:val="auto"/>
          <w:sz w:val="28"/>
          <w:szCs w:val="28"/>
          <w:highlight w:val="white"/>
        </w:rPr>
        <w:t>付款</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1、双方因本合同发生的一切费用均以人民币结算及支付。</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2、双方的帐户名称、开户银行及帐号以本合同提供的为准。</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3、付款途径：</w:t>
      </w:r>
      <w:r>
        <w:rPr>
          <w:rFonts w:hint="eastAsia" w:ascii="宋体" w:hAnsi="宋体" w:cs="宋体"/>
          <w:color w:val="auto"/>
          <w:sz w:val="28"/>
          <w:szCs w:val="28"/>
          <w:highlight w:val="none"/>
          <w:lang w:val="en-US" w:eastAsia="zh-CN"/>
        </w:rPr>
        <w:t>按照招标文件第四章规定</w:t>
      </w:r>
      <w:r>
        <w:rPr>
          <w:rFonts w:hint="eastAsia" w:ascii="宋体" w:hAnsi="宋体" w:eastAsia="宋体" w:cs="宋体"/>
          <w:color w:val="auto"/>
          <w:sz w:val="28"/>
          <w:szCs w:val="28"/>
          <w:highlight w:val="none"/>
        </w:rPr>
        <w:t>。</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4、付款方式：</w:t>
      </w:r>
      <w:r>
        <w:rPr>
          <w:rFonts w:hint="eastAsia" w:ascii="宋体" w:hAnsi="宋体" w:cs="宋体"/>
          <w:color w:val="auto"/>
          <w:sz w:val="28"/>
          <w:szCs w:val="28"/>
          <w:highlight w:val="none"/>
          <w:lang w:val="en-US" w:eastAsia="zh-CN"/>
        </w:rPr>
        <w:t>按照招标文件第四章规定</w:t>
      </w:r>
      <w:r>
        <w:rPr>
          <w:rFonts w:hint="eastAsia" w:ascii="宋体" w:hAnsi="宋体" w:eastAsia="宋体" w:cs="宋体"/>
          <w:color w:val="auto"/>
          <w:sz w:val="28"/>
          <w:szCs w:val="28"/>
          <w:highlight w:val="none"/>
        </w:rPr>
        <w:t>。</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08" w:name="_Toc86202597"/>
      <w:r>
        <w:rPr>
          <w:rFonts w:hint="eastAsia" w:ascii="宋体" w:hAnsi="宋体" w:eastAsia="宋体" w:cs="宋体"/>
          <w:color w:val="auto"/>
          <w:sz w:val="28"/>
          <w:szCs w:val="28"/>
          <w:highlight w:val="none"/>
        </w:rPr>
        <w:t>5、如乙方根据本合同约定有责任向甲方支付违约金、赔偿金时</w:t>
      </w:r>
      <w:r>
        <w:rPr>
          <w:rFonts w:hint="eastAsia" w:ascii="宋体" w:hAnsi="宋体" w:eastAsia="宋体" w:cs="宋体"/>
          <w:color w:val="auto"/>
          <w:sz w:val="28"/>
          <w:szCs w:val="28"/>
          <w:highlight w:val="white"/>
        </w:rPr>
        <w:t>，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6、甲方直接与乙方付款结算，采购代理机构不对其付款承担连带责任或任何其它责任，在任何情形下乙方亦只能直接向甲方追索而不应当向采购代理机构追索。</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09" w:name="_Toc175644045"/>
      <w:r>
        <w:rPr>
          <w:rFonts w:hint="eastAsia" w:ascii="宋体" w:hAnsi="宋体" w:eastAsia="宋体" w:cs="宋体"/>
          <w:color w:val="auto"/>
          <w:sz w:val="28"/>
          <w:szCs w:val="28"/>
          <w:highlight w:val="white"/>
        </w:rPr>
        <w:t>五、</w:t>
      </w:r>
      <w:bookmarkEnd w:id="308"/>
      <w:bookmarkEnd w:id="309"/>
      <w:r>
        <w:rPr>
          <w:rFonts w:hint="eastAsia" w:ascii="宋体" w:hAnsi="宋体" w:eastAsia="宋体" w:cs="宋体"/>
          <w:color w:val="auto"/>
          <w:sz w:val="28"/>
          <w:szCs w:val="28"/>
          <w:highlight w:val="white"/>
        </w:rPr>
        <w:t>交付</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1、乙方负责办理运输和保险，将货物运抵交货地点。有关运输、保险和装卸等一切相关的费用由乙方承担。</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white"/>
        </w:rPr>
        <w:t>2、货物应运至甲方指定地点，并卸至甲方指定位置，开箱清点及初步检验时双方</w:t>
      </w:r>
      <w:r>
        <w:rPr>
          <w:rFonts w:hint="eastAsia" w:ascii="宋体" w:hAnsi="宋体" w:eastAsia="宋体" w:cs="宋体"/>
          <w:color w:val="auto"/>
          <w:sz w:val="28"/>
          <w:szCs w:val="28"/>
          <w:highlight w:val="none"/>
        </w:rPr>
        <w:t>应派人员参加。</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3、所有货物运抵现场并且安装完毕经检验合格交付甲方，该日期为交付日期。双方签署交付收货单后为交付完毕。交付完毕货物所有权发生转移，此前货物毁坏的风险由乙方承担。</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4、交付日期：</w:t>
      </w:r>
      <w:r>
        <w:rPr>
          <w:rFonts w:hint="eastAsia" w:ascii="宋体" w:hAnsi="宋体" w:cs="宋体"/>
          <w:color w:val="auto"/>
          <w:sz w:val="28"/>
          <w:szCs w:val="28"/>
          <w:highlight w:val="none"/>
          <w:lang w:val="en-US" w:eastAsia="zh-CN"/>
        </w:rPr>
        <w:t>按照招标文件投标人须知前附表规定</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5、交付地点</w:t>
      </w:r>
      <w:bookmarkStart w:id="310" w:name="_Toc175644046"/>
      <w:bookmarkStart w:id="311" w:name="_Toc86202598"/>
      <w:r>
        <w:rPr>
          <w:rFonts w:hint="eastAsia" w:ascii="宋体" w:hAnsi="宋体" w:eastAsia="宋体" w:cs="宋体"/>
          <w:color w:val="auto"/>
          <w:sz w:val="28"/>
          <w:szCs w:val="28"/>
          <w:highlight w:val="none"/>
        </w:rPr>
        <w:t>：招标人指定地点。</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六、包装和标记</w:t>
      </w:r>
      <w:bookmarkEnd w:id="310"/>
      <w:bookmarkEnd w:id="311"/>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1、乙方交付的所有合同货物应具有适于运输的坚固包装，并且乙方应根据合同货物的不同特性和要求采取防潮、防雨、防锈、防震、防腐等保护措施，以确保合同货物安全无损地送达交货地点。</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2、凡由于乙方对合同货物包装不善、标记不明、防护措施不当或在合同货物装箱前保管不良，致使合同货物遭到损坏或丢失，乙方应负责免费修理或更换，并承担由此给甲方造成的一切损失。</w:t>
      </w:r>
      <w:bookmarkStart w:id="312" w:name="_Toc86202599"/>
      <w:bookmarkStart w:id="313" w:name="_Toc175644047"/>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七、质量标准和检验</w:t>
      </w:r>
      <w:bookmarkEnd w:id="312"/>
      <w:r>
        <w:rPr>
          <w:rFonts w:hint="eastAsia" w:ascii="宋体" w:hAnsi="宋体" w:eastAsia="宋体" w:cs="宋体"/>
          <w:color w:val="auto"/>
          <w:sz w:val="28"/>
          <w:szCs w:val="28"/>
          <w:highlight w:val="white"/>
        </w:rPr>
        <w:t>方式</w:t>
      </w:r>
      <w:bookmarkEnd w:id="313"/>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1、乙方应保证提供给甲方的合同货物是货物生产厂商原造的，全新、未使用过的，是用一流的工艺和优质材料制造而成的，并完全符合本项目招标文件规定的质量、性能和规格的要求。</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招标人接受) 相一致，同时，乙方提供的货物质量应符合中华人民共和国相关标准及相应的技术规范、本次采购相关文件中的全部相关要求及相关标准及相应的技术规范中之较高者。</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4、乙方应保证所提供的货物经正确安装、合理操作和维护保养在其使用寿命期内具有令甲方满意的性能，并对由于合同货物的设计、工艺或材料的缺陷而发生的任何故障负责。</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6、甲方对合同货物的数量、规格和质量的检验，应依据本项目招标文件中的有关规定进行。</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7、若检验时发现货物数量不足、规格与合同要求不符或开箱时虽然货物外包装完好无损，但箱内货物短缺或损伤，双方应签署书面形式证明，乙方应根据该证明及时补足或更换。</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14" w:name="_Toc175644048"/>
      <w:bookmarkStart w:id="315" w:name="_Toc86202601"/>
      <w:r>
        <w:rPr>
          <w:rFonts w:hint="eastAsia" w:ascii="宋体" w:hAnsi="宋体" w:eastAsia="宋体" w:cs="宋体"/>
          <w:color w:val="auto"/>
          <w:sz w:val="28"/>
          <w:szCs w:val="28"/>
          <w:highlight w:val="white"/>
        </w:rPr>
        <w:t>八、技术服务和保修责任</w:t>
      </w:r>
      <w:bookmarkEnd w:id="314"/>
      <w:bookmarkEnd w:id="315"/>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4、在免费保修期内，如果由于乙方更换、修理和续补货物或更换服务，而造成本合同不得不停止运行，保修期应依照停止运行的实际时间加以延长，如因此给甲方造成损失，乙方应负责赔偿。</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7、若由于甲方提出增加并不涉及安全性的新功能而引起的软件升级，相关成本费由甲方承担，乙方不得赚取利润或拒绝、拖延。</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8、若由于乙方增加并不涉及安全性的新功能引起软件升级，而且甲方愿意增加该新功能时，由双方协商解决。</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16" w:name="_Toc175644049"/>
      <w:bookmarkStart w:id="317" w:name="_Toc86202602"/>
      <w:r>
        <w:rPr>
          <w:rFonts w:hint="eastAsia" w:ascii="宋体" w:hAnsi="宋体" w:eastAsia="宋体" w:cs="宋体"/>
          <w:color w:val="auto"/>
          <w:sz w:val="28"/>
          <w:szCs w:val="28"/>
          <w:highlight w:val="white"/>
        </w:rPr>
        <w:t>九、违约责任</w:t>
      </w:r>
      <w:bookmarkEnd w:id="316"/>
      <w:bookmarkEnd w:id="317"/>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1）在甲方同意延长的期限内交付全部货物、提供服务并承担由此给甲方造成的直接损失及甲方因此产生的对第三方的责任。</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3）根据货物、服务低劣程度、损坏程度以及使甲方所遭受的损失及甲方因此产生的对第三方的责任，经双方商定降低货物、服务的价格或赔偿甲方所遭受的损失及甲方因此产生的对第三方的责任。</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4）按合同规定的同种货币将甲方所退货物已支付的货款全部退还给甲方，并承担由此发生的直接损失和相关费用及甲方因此产生的对第三方的责任。</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5）甲方有权部分或全部解除合同并要求乙方赔偿由此造成的损失及甲方因此产生的对第三方的责任。此时甲方可采取必要的补救措施，相关费用由乙方承担。</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6）此外，上述情形下甲方为采取必要的补救措施或因防止损失扩大而支出的合理费用应由乙方承担。</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4、除有另行约定外，甲方如延期付款，每逾期1日，按应付金额0.3‰支付违约金；乙方如延期交付，每延迟1日，按应交付货物总额0.3‰支付违约金。</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18" w:name="_Toc86202603"/>
      <w:r>
        <w:rPr>
          <w:rFonts w:hint="eastAsia" w:ascii="宋体" w:hAnsi="宋体" w:eastAsia="宋体" w:cs="宋体"/>
          <w:color w:val="auto"/>
          <w:sz w:val="28"/>
          <w:szCs w:val="28"/>
          <w:highlight w:val="whit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7、以上各项交付的违约金并不影响违约方履行合同的各项义务。</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19" w:name="_Toc175644050"/>
      <w:r>
        <w:rPr>
          <w:rFonts w:hint="eastAsia" w:ascii="宋体" w:hAnsi="宋体" w:eastAsia="宋体" w:cs="宋体"/>
          <w:color w:val="auto"/>
          <w:sz w:val="28"/>
          <w:szCs w:val="28"/>
          <w:highlight w:val="white"/>
        </w:rPr>
        <w:t>十、不可抗力</w:t>
      </w:r>
      <w:bookmarkEnd w:id="318"/>
      <w:bookmarkEnd w:id="319"/>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1、不可抗力指下列事件：战争、动乱、瘟疫、严重火灾、洪水、地震、风暴或其他自然灾害，以及本合同各方不可预见、不可防止并不能避免或克服的一切其他因素及事件。</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4、合同各方应根据不可抗力对本合同履行的影响程度，协商确定是否终止本合同，或是继续履行本合同。</w:t>
      </w:r>
      <w:bookmarkStart w:id="320" w:name="_Toc175644051"/>
      <w:bookmarkStart w:id="321" w:name="_Toc86202604"/>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十一、联系方式</w:t>
      </w:r>
      <w:bookmarkEnd w:id="320"/>
      <w:bookmarkEnd w:id="321"/>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3、上述发出通知、回复的费用由发出一方承担。</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22" w:name="_Toc86202605"/>
      <w:bookmarkStart w:id="323" w:name="_Toc175644052"/>
      <w:r>
        <w:rPr>
          <w:rFonts w:hint="eastAsia" w:ascii="宋体" w:hAnsi="宋体" w:eastAsia="宋体" w:cs="宋体"/>
          <w:color w:val="auto"/>
          <w:sz w:val="28"/>
          <w:szCs w:val="28"/>
          <w:highlight w:val="white"/>
        </w:rPr>
        <w:t>十二、保密条款</w:t>
      </w:r>
      <w:bookmarkEnd w:id="322"/>
      <w:bookmarkEnd w:id="323"/>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1、任何一方对其获知的本合同及附件中其他各方的商业秘密和国家秘密负有保密义务。</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24" w:name="_Toc86202606"/>
      <w:r>
        <w:rPr>
          <w:rFonts w:hint="eastAsia" w:ascii="宋体" w:hAnsi="宋体" w:eastAsia="宋体" w:cs="宋体"/>
          <w:color w:val="auto"/>
          <w:sz w:val="28"/>
          <w:szCs w:val="28"/>
          <w:highlight w:val="whit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25" w:name="_Toc175644053"/>
      <w:r>
        <w:rPr>
          <w:rFonts w:hint="eastAsia" w:ascii="宋体" w:hAnsi="宋体" w:eastAsia="宋体" w:cs="宋体"/>
          <w:color w:val="auto"/>
          <w:sz w:val="28"/>
          <w:szCs w:val="28"/>
          <w:highlight w:val="white"/>
        </w:rPr>
        <w:t>十三、合同的解释</w:t>
      </w:r>
      <w:bookmarkEnd w:id="324"/>
      <w:bookmarkEnd w:id="325"/>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1、任何一方对本合同及其附件的解释均应遵循诚实信用原则,依照本合同签订时有效的中国法律、法规以及通常的理解进行。</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2、本合同标题仅供查阅方便，并非对本合同的诠释或解释；本合同中以日表述的时间期限均指自然日。</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3、对本合同的任何解释均应以书面做出。</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26" w:name="_Toc175644054"/>
      <w:bookmarkStart w:id="327" w:name="_Toc86202607"/>
      <w:r>
        <w:rPr>
          <w:rFonts w:hint="eastAsia" w:ascii="宋体" w:hAnsi="宋体" w:eastAsia="宋体" w:cs="宋体"/>
          <w:color w:val="auto"/>
          <w:sz w:val="28"/>
          <w:szCs w:val="28"/>
          <w:highlight w:val="white"/>
        </w:rPr>
        <w:t>十四、合同的终止</w:t>
      </w:r>
      <w:bookmarkEnd w:id="326"/>
      <w:bookmarkEnd w:id="327"/>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1、本合同因下列原因而终止：</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1）本合同正常履行完毕；</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2）合同双方协议终止本合同的履行；</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3）不可抗力事件导致本合同无法履行或履行不必要；</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4）任何一方行使解除权，解除本合同。</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2、对本合同终止有过错的一方应赔偿另一方因合同终止而受到的损失。对合同终止双方均无过错的，则各自承担所受到的损失。</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28" w:name="_Toc175644055"/>
      <w:bookmarkStart w:id="329" w:name="_Toc86202608"/>
      <w:r>
        <w:rPr>
          <w:rFonts w:hint="eastAsia" w:ascii="宋体" w:hAnsi="宋体" w:eastAsia="宋体" w:cs="宋体"/>
          <w:color w:val="auto"/>
          <w:sz w:val="28"/>
          <w:szCs w:val="28"/>
          <w:highlight w:val="white"/>
        </w:rPr>
        <w:t>十五、法律适用</w:t>
      </w:r>
      <w:bookmarkEnd w:id="328"/>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1、本合同及附件的订立、效力、解释、履行、争议的解决等适用本合同签订时有效的中华人民共和国法律、法规的有关规定。</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30" w:name="_Toc175644056"/>
      <w:r>
        <w:rPr>
          <w:rFonts w:hint="eastAsia" w:ascii="宋体" w:hAnsi="宋体" w:eastAsia="宋体" w:cs="宋体"/>
          <w:color w:val="auto"/>
          <w:sz w:val="28"/>
          <w:szCs w:val="28"/>
          <w:highlight w:val="white"/>
        </w:rPr>
        <w:t>十六、权利的保留</w:t>
      </w:r>
      <w:bookmarkEnd w:id="329"/>
      <w:bookmarkEnd w:id="330"/>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31" w:name="_Toc175644057"/>
      <w:bookmarkStart w:id="332" w:name="_Toc86202609"/>
      <w:r>
        <w:rPr>
          <w:rFonts w:hint="eastAsia" w:ascii="宋体" w:hAnsi="宋体" w:eastAsia="宋体" w:cs="宋体"/>
          <w:color w:val="auto"/>
          <w:sz w:val="28"/>
          <w:szCs w:val="28"/>
          <w:highlight w:val="white"/>
        </w:rPr>
        <w:t>十七、争议的解决</w:t>
      </w:r>
      <w:bookmarkEnd w:id="331"/>
      <w:bookmarkEnd w:id="332"/>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1、合同双方应通过友好协商解决因解释﹑执行本合同所发生的和本合同有关的一切争议。如果经协商不能达成协议，可以采用以下方式解决：（1）提交兵团仲裁委员会仲裁；（2）向甲方所在地人民法院起诉。</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3、在争议解决期间，除了诉讼或仲裁进行过程中正在解决的那部分问题外，合同其余部分应继续履行。</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33" w:name="_Toc175644059"/>
      <w:bookmarkStart w:id="334" w:name="_Toc86202611"/>
      <w:r>
        <w:rPr>
          <w:rFonts w:hint="eastAsia" w:ascii="宋体" w:hAnsi="宋体" w:eastAsia="宋体" w:cs="宋体"/>
          <w:color w:val="auto"/>
          <w:sz w:val="28"/>
          <w:szCs w:val="28"/>
          <w:highlight w:val="white"/>
        </w:rPr>
        <w:t>十八、合同的生效</w:t>
      </w:r>
      <w:bookmarkEnd w:id="333"/>
      <w:bookmarkEnd w:id="334"/>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本合同经甲乙双方法定代表人或授权代理人签字加盖单位公章，乙方按时、足额提交履约保证金，同级财政部门备案后生效。</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bookmarkStart w:id="335" w:name="_Toc175644060"/>
      <w:bookmarkStart w:id="336" w:name="_Toc86202612"/>
      <w:r>
        <w:rPr>
          <w:rFonts w:hint="eastAsia" w:ascii="宋体" w:hAnsi="宋体" w:eastAsia="宋体" w:cs="宋体"/>
          <w:color w:val="auto"/>
          <w:sz w:val="28"/>
          <w:szCs w:val="28"/>
          <w:highlight w:val="white"/>
        </w:rPr>
        <w:t>十九、其他约定事项</w:t>
      </w:r>
      <w:bookmarkEnd w:id="335"/>
      <w:bookmarkEnd w:id="336"/>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1、本合同中的附件均为本合同不可分割的部分，与本合同具有相同的法律效力。</w:t>
      </w:r>
    </w:p>
    <w:p>
      <w:pPr>
        <w:pStyle w:val="65"/>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white"/>
        </w:rPr>
      </w:pPr>
      <w:r>
        <w:rPr>
          <w:rFonts w:hint="eastAsia" w:ascii="宋体" w:hAnsi="宋体" w:eastAsia="宋体" w:cs="宋体"/>
          <w:color w:val="auto"/>
          <w:sz w:val="28"/>
          <w:szCs w:val="28"/>
          <w:highlight w:val="white"/>
        </w:rPr>
        <w:t>2、不得将合同转让给第三人，有关分包事项或服务委托等须事先取得甲方和采购代理机构书面同意并且须遵守相关法律、法规；有关联合投标须在本次招标允许的情况下并须符合本次招标的全部规定。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white"/>
        </w:rPr>
        <w:t>3、本合同一式五份，具有同等法律效力。</w:t>
      </w:r>
      <w:r>
        <w:rPr>
          <w:rFonts w:hint="eastAsia" w:ascii="宋体" w:hAnsi="宋体" w:eastAsia="宋体" w:cs="宋体"/>
          <w:b/>
          <w:bCs/>
          <w:color w:val="auto"/>
          <w:sz w:val="28"/>
          <w:szCs w:val="28"/>
          <w:highlight w:val="none"/>
        </w:rPr>
        <w:br w:type="page"/>
      </w:r>
    </w:p>
    <w:p>
      <w:pPr>
        <w:pStyle w:val="6"/>
        <w:spacing w:before="120" w:after="12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章  投标文件格式</w:t>
      </w:r>
      <w:bookmarkEnd w:id="290"/>
      <w:bookmarkEnd w:id="291"/>
      <w:bookmarkEnd w:id="292"/>
      <w:bookmarkEnd w:id="293"/>
      <w:bookmarkEnd w:id="294"/>
    </w:p>
    <w:p>
      <w:pPr>
        <w:ind w:firstLine="560" w:firstLineChars="200"/>
        <w:rPr>
          <w:rFonts w:hint="eastAsia" w:ascii="宋体" w:hAnsi="宋体" w:eastAsia="宋体" w:cs="宋体"/>
          <w:color w:val="auto"/>
          <w:sz w:val="28"/>
          <w:szCs w:val="28"/>
          <w:highlight w:val="none"/>
        </w:rPr>
      </w:pPr>
    </w:p>
    <w:p>
      <w:pPr>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注：投标人在编制投标文件时，须严格按照此格式编制</w:t>
      </w:r>
      <w:r>
        <w:rPr>
          <w:rFonts w:hint="eastAsia" w:ascii="宋体" w:hAnsi="宋体" w:cs="宋体"/>
          <w:color w:val="auto"/>
          <w:sz w:val="28"/>
          <w:szCs w:val="28"/>
          <w:highlight w:val="none"/>
          <w:lang w:eastAsia="zh-CN"/>
        </w:rPr>
        <w:t>。</w:t>
      </w:r>
    </w:p>
    <w:p>
      <w:pPr>
        <w:spacing w:line="400" w:lineRule="exact"/>
        <w:rPr>
          <w:rFonts w:hint="eastAsia" w:ascii="宋体" w:hAnsi="宋体" w:eastAsia="宋体" w:cs="宋体"/>
          <w:color w:val="auto"/>
          <w:sz w:val="28"/>
          <w:szCs w:val="28"/>
          <w:highlight w:val="none"/>
        </w:rPr>
      </w:pPr>
    </w:p>
    <w:p>
      <w:pPr>
        <w:spacing w:line="400" w:lineRule="exact"/>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bdr w:val="single" w:color="auto" w:sz="4" w:space="0"/>
        </w:rPr>
        <w:t>正本</w:t>
      </w:r>
      <w:r>
        <w:rPr>
          <w:rFonts w:hint="eastAsia" w:ascii="宋体" w:hAnsi="宋体" w:eastAsia="宋体" w:cs="宋体"/>
          <w:color w:val="auto"/>
          <w:sz w:val="28"/>
          <w:szCs w:val="28"/>
          <w:highlight w:val="none"/>
        </w:rPr>
        <w:t xml:space="preserve"> / </w:t>
      </w:r>
      <w:r>
        <w:rPr>
          <w:rFonts w:hint="eastAsia" w:ascii="宋体" w:hAnsi="宋体" w:eastAsia="宋体" w:cs="宋体"/>
          <w:color w:val="auto"/>
          <w:sz w:val="28"/>
          <w:szCs w:val="28"/>
          <w:highlight w:val="none"/>
          <w:bdr w:val="single" w:color="auto" w:sz="4" w:space="0"/>
        </w:rPr>
        <w:t>副本</w:t>
      </w:r>
    </w:p>
    <w:p>
      <w:pPr>
        <w:spacing w:line="400" w:lineRule="exact"/>
        <w:rPr>
          <w:rFonts w:hint="eastAsia" w:ascii="宋体" w:hAnsi="宋体" w:eastAsia="宋体" w:cs="宋体"/>
          <w:color w:val="auto"/>
          <w:sz w:val="28"/>
          <w:szCs w:val="28"/>
          <w:highlight w:val="none"/>
        </w:rPr>
      </w:pPr>
    </w:p>
    <w:p>
      <w:pPr>
        <w:spacing w:line="400" w:lineRule="exact"/>
        <w:rPr>
          <w:rFonts w:hint="eastAsia" w:ascii="宋体" w:hAnsi="宋体" w:eastAsia="宋体" w:cs="宋体"/>
          <w:color w:val="auto"/>
          <w:sz w:val="28"/>
          <w:szCs w:val="28"/>
          <w:highlight w:val="none"/>
        </w:rPr>
      </w:pPr>
    </w:p>
    <w:p>
      <w:pPr>
        <w:spacing w:line="400" w:lineRule="exact"/>
        <w:rPr>
          <w:rFonts w:hint="eastAsia" w:ascii="宋体" w:hAnsi="宋体" w:eastAsia="宋体" w:cs="宋体"/>
          <w:color w:val="auto"/>
          <w:sz w:val="28"/>
          <w:szCs w:val="28"/>
          <w:highlight w:val="none"/>
        </w:rPr>
      </w:pPr>
    </w:p>
    <w:p>
      <w:pPr>
        <w:spacing w:line="400" w:lineRule="exact"/>
        <w:rPr>
          <w:rFonts w:hint="eastAsia" w:ascii="宋体" w:hAnsi="宋体" w:eastAsia="宋体" w:cs="宋体"/>
          <w:color w:val="auto"/>
          <w:sz w:val="28"/>
          <w:szCs w:val="28"/>
          <w:highlight w:val="none"/>
        </w:rPr>
      </w:pPr>
    </w:p>
    <w:p>
      <w:pPr>
        <w:spacing w:line="400" w:lineRule="exact"/>
        <w:rPr>
          <w:rFonts w:hint="eastAsia" w:ascii="宋体" w:hAnsi="宋体" w:eastAsia="宋体" w:cs="宋体"/>
          <w:color w:val="auto"/>
          <w:sz w:val="28"/>
          <w:szCs w:val="28"/>
          <w:highlight w:val="none"/>
        </w:rPr>
      </w:pPr>
    </w:p>
    <w:p>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（项目名称）</w:t>
      </w:r>
    </w:p>
    <w:p>
      <w:pPr>
        <w:spacing w:line="360" w:lineRule="auto"/>
        <w:jc w:val="center"/>
        <w:rPr>
          <w:rFonts w:hint="eastAsia" w:ascii="宋体" w:hAnsi="宋体" w:cs="宋体"/>
          <w:color w:val="auto"/>
          <w:sz w:val="28"/>
          <w:szCs w:val="28"/>
        </w:rPr>
      </w:pPr>
    </w:p>
    <w:p>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（项目编号）</w:t>
      </w:r>
    </w:p>
    <w:p>
      <w:pPr>
        <w:spacing w:line="360" w:lineRule="auto"/>
        <w:rPr>
          <w:rFonts w:hint="eastAsia" w:ascii="宋体" w:hAnsi="宋体" w:cs="宋体"/>
          <w:color w:val="auto"/>
          <w:sz w:val="28"/>
          <w:szCs w:val="28"/>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b/>
          <w:color w:val="auto"/>
          <w:sz w:val="44"/>
          <w:szCs w:val="44"/>
        </w:rPr>
      </w:pPr>
      <w:r>
        <w:rPr>
          <w:rFonts w:hint="eastAsia" w:ascii="宋体" w:hAnsi="宋体" w:cs="宋体"/>
          <w:b/>
          <w:color w:val="auto"/>
          <w:sz w:val="44"/>
          <w:szCs w:val="44"/>
          <w:lang w:val="en-US" w:eastAsia="zh-CN"/>
        </w:rPr>
        <w:t xml:space="preserve">投 标 </w:t>
      </w:r>
      <w:r>
        <w:rPr>
          <w:rFonts w:hint="eastAsia" w:ascii="宋体" w:hAnsi="宋体" w:cs="宋体"/>
          <w:b/>
          <w:color w:val="auto"/>
          <w:sz w:val="44"/>
          <w:szCs w:val="44"/>
        </w:rPr>
        <w:t>文</w:t>
      </w:r>
      <w:r>
        <w:rPr>
          <w:rFonts w:hint="eastAsia" w:ascii="宋体" w:hAnsi="宋体" w:cs="宋体"/>
          <w:b/>
          <w:color w:val="auto"/>
          <w:sz w:val="44"/>
          <w:szCs w:val="44"/>
          <w:lang w:val="en-US" w:eastAsia="zh-CN"/>
        </w:rPr>
        <w:t xml:space="preserve"> </w:t>
      </w:r>
      <w:r>
        <w:rPr>
          <w:rFonts w:hint="eastAsia" w:ascii="宋体" w:hAnsi="宋体" w:cs="宋体"/>
          <w:b/>
          <w:color w:val="auto"/>
          <w:sz w:val="44"/>
          <w:szCs w:val="44"/>
        </w:rPr>
        <w:t>件</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 xml:space="preserve">  </w:t>
      </w:r>
    </w:p>
    <w:p>
      <w:pPr>
        <w:pStyle w:val="12"/>
        <w:spacing w:line="360" w:lineRule="auto"/>
        <w:ind w:firstLine="1680" w:firstLineChars="600"/>
        <w:rPr>
          <w:rFonts w:hint="eastAsia" w:ascii="宋体" w:hAnsi="宋体" w:cs="宋体"/>
          <w:color w:val="auto"/>
          <w:sz w:val="28"/>
          <w:szCs w:val="28"/>
          <w:u w:val="single"/>
        </w:rPr>
      </w:pPr>
      <w:r>
        <w:rPr>
          <w:rFonts w:hint="eastAsia"/>
          <w:color w:val="auto"/>
          <w:sz w:val="28"/>
          <w:szCs w:val="28"/>
        </w:rPr>
        <w:t>采购人：</w:t>
      </w:r>
      <w:r>
        <w:rPr>
          <w:rFonts w:hint="eastAsia" w:ascii="宋体" w:hAnsi="宋体" w:cs="宋体"/>
          <w:color w:val="auto"/>
          <w:sz w:val="28"/>
          <w:szCs w:val="28"/>
          <w:u w:val="single"/>
        </w:rPr>
        <w:t xml:space="preserve">                      </w:t>
      </w:r>
    </w:p>
    <w:p>
      <w:pPr>
        <w:pStyle w:val="12"/>
        <w:spacing w:line="360" w:lineRule="auto"/>
        <w:ind w:firstLine="1680" w:firstLineChars="600"/>
        <w:rPr>
          <w:color w:val="auto"/>
          <w:sz w:val="28"/>
          <w:szCs w:val="28"/>
        </w:rPr>
      </w:pPr>
      <w:r>
        <w:rPr>
          <w:rFonts w:hint="eastAsia"/>
          <w:color w:val="auto"/>
          <w:sz w:val="28"/>
          <w:szCs w:val="28"/>
        </w:rPr>
        <w:t>供应商：</w:t>
      </w:r>
      <w:r>
        <w:rPr>
          <w:rFonts w:hint="eastAsia" w:ascii="宋体" w:hAnsi="宋体" w:cs="宋体"/>
          <w:color w:val="auto"/>
          <w:sz w:val="28"/>
          <w:szCs w:val="28"/>
          <w:u w:val="single"/>
        </w:rPr>
        <w:t xml:space="preserve">                      </w:t>
      </w:r>
      <w:r>
        <w:rPr>
          <w:rFonts w:hint="eastAsia" w:ascii="宋体" w:hAnsi="宋体" w:cs="宋体"/>
          <w:color w:val="auto"/>
          <w:sz w:val="28"/>
          <w:szCs w:val="28"/>
        </w:rPr>
        <w:t>（盖章）</w:t>
      </w:r>
    </w:p>
    <w:p>
      <w:pPr>
        <w:pStyle w:val="12"/>
        <w:spacing w:line="360" w:lineRule="auto"/>
        <w:ind w:firstLine="1680" w:firstLineChars="600"/>
        <w:rPr>
          <w:rFonts w:hint="eastAsia" w:ascii="宋体" w:hAnsi="宋体" w:cs="宋体"/>
          <w:color w:val="auto"/>
          <w:sz w:val="28"/>
          <w:szCs w:val="28"/>
          <w:u w:val="single"/>
        </w:rPr>
      </w:pPr>
      <w:r>
        <w:rPr>
          <w:rFonts w:hint="eastAsia"/>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pPr>
        <w:pStyle w:val="12"/>
        <w:spacing w:line="360" w:lineRule="auto"/>
        <w:ind w:firstLine="1680" w:firstLineChars="600"/>
        <w:rPr>
          <w:rFonts w:hint="eastAsia" w:ascii="宋体" w:hAnsi="宋体" w:cs="宋体"/>
          <w:color w:val="auto"/>
          <w:sz w:val="28"/>
          <w:szCs w:val="28"/>
        </w:rPr>
      </w:pPr>
      <w:r>
        <w:rPr>
          <w:rFonts w:hint="eastAsia"/>
          <w:color w:val="auto"/>
          <w:sz w:val="28"/>
          <w:szCs w:val="28"/>
        </w:rPr>
        <w:t>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w:t>
      </w:r>
    </w:p>
    <w:p>
      <w:pPr>
        <w:pStyle w:val="12"/>
        <w:spacing w:line="360" w:lineRule="auto"/>
        <w:ind w:firstLine="1680" w:firstLineChars="600"/>
        <w:rPr>
          <w:rFonts w:hint="eastAsia"/>
          <w:color w:val="auto"/>
          <w:sz w:val="28"/>
          <w:szCs w:val="28"/>
        </w:rPr>
      </w:pPr>
      <w:r>
        <w:rPr>
          <w:rFonts w:hint="eastAsia"/>
          <w:color w:val="auto"/>
          <w:sz w:val="28"/>
          <w:szCs w:val="28"/>
        </w:rPr>
        <w:t>联系方式：</w:t>
      </w:r>
      <w:r>
        <w:rPr>
          <w:rFonts w:hint="eastAsia" w:ascii="宋体" w:hAnsi="宋体" w:cs="宋体"/>
          <w:color w:val="auto"/>
          <w:sz w:val="28"/>
          <w:szCs w:val="28"/>
          <w:u w:val="single"/>
        </w:rPr>
        <w:t xml:space="preserve">                     </w:t>
      </w:r>
    </w:p>
    <w:p>
      <w:pPr>
        <w:pStyle w:val="12"/>
        <w:spacing w:line="360" w:lineRule="auto"/>
        <w:ind w:firstLine="1680" w:firstLineChars="600"/>
        <w:rPr>
          <w:rFonts w:hint="eastAsia"/>
          <w:color w:val="auto"/>
          <w:sz w:val="28"/>
          <w:szCs w:val="28"/>
        </w:rPr>
      </w:pPr>
      <w:r>
        <w:rPr>
          <w:rFonts w:hint="eastAsia"/>
          <w:color w:val="auto"/>
          <w:sz w:val="28"/>
          <w:szCs w:val="28"/>
        </w:rPr>
        <w:t>联系地址：</w:t>
      </w:r>
      <w:r>
        <w:rPr>
          <w:rFonts w:hint="eastAsia" w:ascii="宋体" w:hAnsi="宋体" w:cs="宋体"/>
          <w:color w:val="auto"/>
          <w:sz w:val="28"/>
          <w:szCs w:val="28"/>
          <w:u w:val="single"/>
        </w:rPr>
        <w:t xml:space="preserve">                     </w:t>
      </w:r>
    </w:p>
    <w:p>
      <w:pPr>
        <w:pStyle w:val="12"/>
        <w:spacing w:line="360" w:lineRule="auto"/>
        <w:ind w:firstLine="1680" w:firstLineChars="600"/>
        <w:rPr>
          <w:color w:val="auto"/>
          <w:sz w:val="28"/>
          <w:szCs w:val="28"/>
        </w:rPr>
      </w:pPr>
      <w:r>
        <w:rPr>
          <w:rFonts w:hint="eastAsia"/>
          <w:color w:val="auto"/>
          <w:sz w:val="28"/>
          <w:szCs w:val="28"/>
        </w:rPr>
        <w:t>日期：   年    月    日</w:t>
      </w:r>
    </w:p>
    <w:p>
      <w:pPr>
        <w:jc w:val="center"/>
        <w:rPr>
          <w:rFonts w:hint="eastAsia" w:ascii="宋体" w:hAnsi="宋体" w:eastAsia="宋体" w:cs="宋体"/>
          <w:color w:val="auto"/>
          <w:sz w:val="28"/>
          <w:szCs w:val="28"/>
          <w:highlight w:val="none"/>
        </w:rPr>
      </w:pPr>
    </w:p>
    <w:p>
      <w:pPr>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36"/>
        <w:jc w:val="center"/>
        <w:rPr>
          <w:rFonts w:hint="eastAsia" w:ascii="宋体" w:hAnsi="宋体" w:eastAsia="宋体" w:cs="宋体"/>
          <w:b/>
          <w:bCs/>
          <w:color w:val="auto"/>
          <w:sz w:val="28"/>
          <w:szCs w:val="28"/>
          <w:highlight w:val="none"/>
        </w:rPr>
      </w:pPr>
      <w:bookmarkStart w:id="337" w:name="_Toc152045787"/>
      <w:bookmarkStart w:id="338" w:name="_Toc25034"/>
      <w:bookmarkStart w:id="339" w:name="_Toc152042576"/>
      <w:bookmarkStart w:id="340" w:name="_Toc144974856"/>
      <w:bookmarkStart w:id="341" w:name="_Toc11006"/>
      <w:r>
        <w:rPr>
          <w:rFonts w:hint="eastAsia" w:ascii="宋体" w:hAnsi="宋体" w:eastAsia="宋体" w:cs="宋体"/>
          <w:b/>
          <w:bCs/>
          <w:color w:val="auto"/>
          <w:sz w:val="28"/>
          <w:szCs w:val="28"/>
          <w:highlight w:val="none"/>
        </w:rPr>
        <w:t>目    录</w:t>
      </w:r>
      <w:bookmarkEnd w:id="337"/>
      <w:bookmarkEnd w:id="338"/>
      <w:bookmarkEnd w:id="339"/>
      <w:bookmarkEnd w:id="340"/>
      <w:bookmarkEnd w:id="341"/>
    </w:p>
    <w:p>
      <w:pPr>
        <w:pStyle w:val="36"/>
        <w:jc w:val="both"/>
        <w:rPr>
          <w:rFonts w:hint="eastAsia" w:ascii="宋体" w:hAnsi="宋体" w:eastAsia="宋体" w:cs="宋体"/>
          <w:b/>
          <w:bCs/>
          <w:color w:val="auto"/>
          <w:sz w:val="28"/>
          <w:szCs w:val="28"/>
          <w:highlight w:val="none"/>
        </w:rPr>
      </w:pP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1、投标函</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2、法定代表人身份证明书</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2.1、法定代表人授权委托书</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3、营业执照</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4、未被信用中国网站（www.creditchina.gov.cn）、中国政府采购网站（www.ccgp.gov.cn）列入失信被执行人、重大税收违法案件当事人名单、政府采购严重违法失信行为记录名单的相关证明材料</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5、投标保证金凭据</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6、具备履行合同所必需设备和专业技术能力的声明函</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7、参加政府采购活动前三年内，在经营活动中没有重大违法记录声明函</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8、业绩证明材料</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9、企业实力</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10、培训方案</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11、售后服务方案</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12、安装方案及能力</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13、技术参数</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14、技术参数偏离表</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15、技术方案</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16、专业能力</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17、服务承诺</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18、中小微企业声明函（如有）</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19、残疾人福利性单位声明函（如有）</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20、监狱企业证明文件（如有）</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21、投标单位反商业贿赂承诺书</w:t>
      </w:r>
    </w:p>
    <w:p>
      <w:pPr>
        <w:pStyle w:val="41"/>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b w:val="0"/>
          <w:bCs/>
          <w:color w:val="auto"/>
          <w:sz w:val="28"/>
          <w:szCs w:val="22"/>
          <w:highlight w:val="none"/>
          <w:lang w:val="en-US" w:eastAsia="zh-CN"/>
        </w:rPr>
      </w:pPr>
      <w:r>
        <w:rPr>
          <w:rFonts w:hint="eastAsia" w:ascii="宋体" w:hAnsi="宋体" w:eastAsia="宋体" w:cs="宋体"/>
          <w:b w:val="0"/>
          <w:bCs/>
          <w:color w:val="auto"/>
          <w:sz w:val="28"/>
          <w:szCs w:val="22"/>
          <w:highlight w:val="none"/>
          <w:lang w:val="en-US" w:eastAsia="zh-CN"/>
        </w:rPr>
        <w:t>22、其他材料</w:t>
      </w:r>
    </w:p>
    <w:p>
      <w:pPr>
        <w:spacing w:line="460" w:lineRule="exact"/>
        <w:rPr>
          <w:rFonts w:hint="eastAsia" w:ascii="宋体" w:hAnsi="宋体" w:eastAsia="宋体" w:cs="宋体"/>
          <w:color w:val="auto"/>
          <w:sz w:val="24"/>
          <w:highlight w:val="none"/>
        </w:rPr>
      </w:pPr>
    </w:p>
    <w:p>
      <w:pPr>
        <w:spacing w:line="46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注：1、</w:t>
      </w:r>
      <w:r>
        <w:rPr>
          <w:rFonts w:hint="eastAsia" w:ascii="宋体" w:hAnsi="宋体" w:eastAsia="宋体" w:cs="宋体"/>
          <w:b w:val="0"/>
          <w:bCs w:val="0"/>
          <w:color w:val="auto"/>
          <w:sz w:val="24"/>
          <w:szCs w:val="24"/>
          <w:highlight w:val="none"/>
        </w:rPr>
        <w:t>投标人可按</w:t>
      </w:r>
      <w:r>
        <w:rPr>
          <w:rFonts w:hint="eastAsia" w:ascii="宋体" w:hAnsi="宋体" w:eastAsia="宋体" w:cs="宋体"/>
          <w:b w:val="0"/>
          <w:bCs w:val="0"/>
          <w:color w:val="auto"/>
          <w:sz w:val="24"/>
          <w:szCs w:val="24"/>
          <w:highlight w:val="none"/>
          <w:lang w:val="en-US" w:eastAsia="zh-CN"/>
        </w:rPr>
        <w:t>上</w:t>
      </w:r>
      <w:r>
        <w:rPr>
          <w:rFonts w:hint="eastAsia" w:ascii="宋体" w:hAnsi="宋体" w:eastAsia="宋体" w:cs="宋体"/>
          <w:b w:val="0"/>
          <w:bCs w:val="0"/>
          <w:color w:val="auto"/>
          <w:sz w:val="24"/>
          <w:szCs w:val="24"/>
          <w:highlight w:val="none"/>
        </w:rPr>
        <w:t>列顺序排列和装订投标文件并标注页码</w:t>
      </w:r>
      <w:r>
        <w:rPr>
          <w:rFonts w:hint="eastAsia" w:ascii="宋体" w:hAnsi="宋体" w:eastAsia="宋体" w:cs="宋体"/>
          <w:b w:val="0"/>
          <w:bCs w:val="0"/>
          <w:color w:val="auto"/>
          <w:sz w:val="24"/>
          <w:szCs w:val="24"/>
          <w:highlight w:val="none"/>
          <w:lang w:eastAsia="zh-CN"/>
        </w:rPr>
        <w:t>。</w:t>
      </w:r>
    </w:p>
    <w:p>
      <w:pPr>
        <w:pStyle w:val="2"/>
        <w:numPr>
          <w:ilvl w:val="0"/>
          <w:numId w:val="0"/>
        </w:num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投标文件包括但不仅限于上述内容，如有不足，请自行补充提供</w:t>
      </w:r>
      <w:r>
        <w:rPr>
          <w:rFonts w:hint="eastAsia" w:ascii="宋体" w:hAnsi="宋体" w:eastAsia="宋体" w:cs="宋体"/>
          <w:b w:val="0"/>
          <w:bCs w:val="0"/>
          <w:color w:val="auto"/>
          <w:sz w:val="24"/>
          <w:szCs w:val="24"/>
          <w:highlight w:val="none"/>
          <w:lang w:eastAsia="zh-CN"/>
        </w:rPr>
        <w:t>。</w:t>
      </w:r>
    </w:p>
    <w:p>
      <w:pPr>
        <w:pStyle w:val="2"/>
        <w:numPr>
          <w:ilvl w:val="0"/>
          <w:numId w:val="0"/>
        </w:num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为了便于查找，请按上述顺序编排投标文件内容，并在目录中标明每项内容的起始页码。</w:t>
      </w:r>
    </w:p>
    <w:p>
      <w:pPr>
        <w:pStyle w:val="41"/>
        <w:keepNext w:val="0"/>
        <w:keepLines w:val="0"/>
        <w:pageBreakBefore w:val="0"/>
        <w:widowControl/>
        <w:numPr>
          <w:ilvl w:val="0"/>
          <w:numId w:val="0"/>
        </w:numPr>
        <w:kinsoku/>
        <w:wordWrap/>
        <w:overflowPunct/>
        <w:topLinePunct w:val="0"/>
        <w:autoSpaceDE/>
        <w:autoSpaceDN/>
        <w:bidi w:val="0"/>
        <w:adjustRightInd/>
        <w:snapToGrid/>
        <w:spacing w:line="520" w:lineRule="exact"/>
        <w:jc w:val="left"/>
        <w:textAlignment w:val="auto"/>
        <w:outlineLvl w:val="2"/>
        <w:rPr>
          <w:rFonts w:hint="eastAsia" w:ascii="宋体" w:hAnsi="宋体" w:eastAsia="宋体" w:cs="宋体"/>
          <w:b w:val="0"/>
          <w:bCs/>
          <w:color w:val="auto"/>
          <w:sz w:val="28"/>
          <w:szCs w:val="22"/>
          <w:highlight w:val="none"/>
          <w:lang w:val="en-US" w:eastAsia="zh-CN"/>
        </w:rPr>
      </w:pPr>
    </w:p>
    <w:p>
      <w:pPr>
        <w:pStyle w:val="41"/>
        <w:numPr>
          <w:ilvl w:val="0"/>
          <w:numId w:val="0"/>
        </w:numPr>
        <w:jc w:val="center"/>
        <w:outlineLvl w:val="2"/>
        <w:rPr>
          <w:rFonts w:hint="eastAsia" w:ascii="宋体" w:hAnsi="宋体" w:eastAsia="宋体" w:cs="宋体"/>
          <w:b/>
          <w:bCs w:val="0"/>
          <w:color w:val="auto"/>
          <w:sz w:val="28"/>
          <w:szCs w:val="22"/>
          <w:highlight w:val="none"/>
        </w:rPr>
      </w:pPr>
      <w:r>
        <w:rPr>
          <w:rFonts w:hint="eastAsia" w:ascii="宋体" w:hAnsi="宋体" w:eastAsia="宋体" w:cs="宋体"/>
          <w:b/>
          <w:bCs w:val="0"/>
          <w:color w:val="auto"/>
          <w:sz w:val="28"/>
          <w:szCs w:val="22"/>
          <w:highlight w:val="none"/>
          <w:lang w:val="en-US" w:eastAsia="zh-CN"/>
        </w:rPr>
        <w:t>1、</w:t>
      </w:r>
      <w:r>
        <w:rPr>
          <w:rFonts w:hint="eastAsia" w:ascii="宋体" w:hAnsi="宋体" w:eastAsia="宋体" w:cs="宋体"/>
          <w:b/>
          <w:bCs w:val="0"/>
          <w:color w:val="auto"/>
          <w:sz w:val="28"/>
          <w:szCs w:val="22"/>
          <w:highlight w:val="none"/>
        </w:rPr>
        <w:t>投标函</w:t>
      </w:r>
    </w:p>
    <w:p>
      <w:pPr>
        <w:pStyle w:val="41"/>
        <w:numPr>
          <w:ilvl w:val="0"/>
          <w:numId w:val="0"/>
        </w:numPr>
        <w:jc w:val="both"/>
        <w:outlineLvl w:val="2"/>
        <w:rPr>
          <w:rFonts w:hint="eastAsia" w:ascii="宋体" w:hAnsi="宋体" w:eastAsia="宋体" w:cs="宋体"/>
          <w:b w:val="0"/>
          <w:bCs/>
          <w:color w:val="auto"/>
          <w:highlight w:val="none"/>
        </w:rPr>
      </w:pPr>
    </w:p>
    <w:p>
      <w:pPr>
        <w:pStyle w:val="42"/>
        <w:widowControl/>
        <w:spacing w:line="360" w:lineRule="auto"/>
        <w:ind w:left="0" w:leftChars="0"/>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招标人名称</w:t>
      </w:r>
      <w:r>
        <w:rPr>
          <w:rFonts w:hint="eastAsia" w:ascii="宋体" w:hAnsi="宋体" w:eastAsia="宋体" w:cs="宋体"/>
          <w:color w:val="auto"/>
          <w:sz w:val="28"/>
          <w:szCs w:val="28"/>
          <w:highlight w:val="none"/>
          <w:u w:val="none"/>
          <w:lang w:eastAsia="zh-CN"/>
        </w:rPr>
        <w:t>）</w:t>
      </w:r>
    </w:p>
    <w:p>
      <w:pPr>
        <w:pStyle w:val="42"/>
        <w:widowControl/>
        <w:spacing w:line="360" w:lineRule="auto"/>
        <w:ind w:left="0" w:left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(投标人名称)</w:t>
      </w:r>
    </w:p>
    <w:p>
      <w:pPr>
        <w:pStyle w:val="42"/>
        <w:widowControl/>
        <w:spacing w:line="360" w:lineRule="auto"/>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(投标人授权代理人姓名)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(职务、职称)为我方代表，参加贵方组织的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(项目名称、项目编号)招标的有关活动，并对此项目进行投标。为此：</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1、我方同意在本项目招标文件中规定的投标有效期内遵守本投标文件中的承诺且在此期限期满之前均具有约束力。</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2、我方同意在本项目招标文件中规定的投标有效期内遵守本投标文件中的承诺且在此期限期满之前均具有约束力。如果在开标后规定的投标有效期内撤回投标，我方的投标保证金可被贵方没收。</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3、按照招标文件规定提供全部投标文件。</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4、我方承诺：按照招标文件要求提供相关服务，我方投标报价为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（小写）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后附详细报价清单</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投标有效期</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天</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供货期限</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5、保证忠实地执行双方所签订的合同，并承担合同规定的责任和义务。</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6、我方承诺完全满足和响应招标文件中的各项技术和服务要求，若有偏差，已在投标文件偏离表中予以明确特别说明。</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7、我方承诺：完全理解投标报价若超过项目</w:t>
      </w:r>
      <w:r>
        <w:rPr>
          <w:rFonts w:hint="eastAsia" w:ascii="宋体" w:hAnsi="宋体" w:cs="宋体"/>
          <w:color w:val="auto"/>
          <w:sz w:val="28"/>
          <w:szCs w:val="28"/>
          <w:highlight w:val="none"/>
          <w:lang w:val="en-US" w:eastAsia="zh-CN"/>
        </w:rPr>
        <w:t>投资额</w:t>
      </w:r>
      <w:r>
        <w:rPr>
          <w:rFonts w:hint="eastAsia" w:ascii="宋体" w:hAnsi="宋体" w:eastAsia="宋体" w:cs="宋体"/>
          <w:color w:val="auto"/>
          <w:sz w:val="28"/>
          <w:szCs w:val="28"/>
          <w:highlight w:val="none"/>
        </w:rPr>
        <w:t>时，投标将被拒绝。</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8、我方承诺：与在本项目中设计编制技术规格的机构及其附属机构无任何直接隶属关系和利益关联。</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9、如果在开标后规定的投标有效期内撤回投标，我方的投标保证金可被贵方没收。</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10、我方完全理解贵方不一定接受最低价的投标。</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12、我方已详细审核全部投标文件，包括投标文件修改书（如有的话）、参考资料及有关附件，确认无误。</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13、我方承诺：接受招标文件中的全部条款且无任何异议，保证遵守招标文件的规定。</w:t>
      </w:r>
    </w:p>
    <w:p>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kern w:val="2"/>
          <w:sz w:val="28"/>
          <w:szCs w:val="28"/>
          <w:highlight w:val="none"/>
          <w:lang w:val="en-US" w:eastAsia="zh-CN" w:bidi="ar-SA"/>
        </w:rPr>
        <w:t xml:space="preserve"> 14、我方承诺：接受招标文件及澄清修改部分（如有）的全部条款（包括响应文件递交截止时间、保证金、资格条件、评审成交标准以及采购需求等其他所有条款）且无任何异议，现向贵单位</w:t>
      </w:r>
      <w:r>
        <w:rPr>
          <w:rFonts w:hint="eastAsia" w:ascii="宋体" w:hAnsi="宋体" w:cs="宋体"/>
          <w:color w:val="auto"/>
          <w:kern w:val="2"/>
          <w:sz w:val="28"/>
          <w:szCs w:val="28"/>
          <w:highlight w:val="none"/>
          <w:lang w:val="en-US" w:eastAsia="zh-CN" w:bidi="ar-SA"/>
        </w:rPr>
        <w:t>做出</w:t>
      </w:r>
      <w:r>
        <w:rPr>
          <w:rFonts w:hint="eastAsia" w:ascii="宋体" w:hAnsi="宋体" w:eastAsia="宋体" w:cs="宋体"/>
          <w:color w:val="auto"/>
          <w:kern w:val="2"/>
          <w:sz w:val="28"/>
          <w:szCs w:val="28"/>
          <w:highlight w:val="none"/>
          <w:lang w:val="en-US" w:eastAsia="zh-CN" w:bidi="ar-SA"/>
        </w:rPr>
        <w:t>承诺</w:t>
      </w:r>
      <w:r>
        <w:rPr>
          <w:rFonts w:hint="eastAsia" w:ascii="宋体" w:hAnsi="宋体" w:cs="宋体"/>
          <w:color w:val="auto"/>
          <w:kern w:val="2"/>
          <w:sz w:val="28"/>
          <w:szCs w:val="28"/>
          <w:highlight w:val="none"/>
          <w:lang w:val="en-US" w:eastAsia="zh-CN" w:bidi="ar-SA"/>
        </w:rPr>
        <w:t>并</w:t>
      </w:r>
      <w:r>
        <w:rPr>
          <w:rFonts w:hint="eastAsia" w:ascii="宋体" w:hAnsi="宋体" w:eastAsia="宋体" w:cs="宋体"/>
          <w:color w:val="auto"/>
          <w:kern w:val="2"/>
          <w:sz w:val="28"/>
          <w:szCs w:val="28"/>
          <w:highlight w:val="none"/>
          <w:lang w:val="en-US" w:eastAsia="zh-CN" w:bidi="ar-SA"/>
        </w:rPr>
        <w:t>报价。</w:t>
      </w:r>
    </w:p>
    <w:p>
      <w:pPr>
        <w:pStyle w:val="43"/>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1</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、与本投标有关的一切往来通讯请寄：</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地</w:t>
      </w:r>
      <w:r>
        <w:rPr>
          <w:rFonts w:hint="eastAsia" w:ascii="宋体" w:hAnsi="宋体" w:eastAsia="宋体" w:cs="宋体"/>
          <w:color w:val="auto"/>
          <w:sz w:val="28"/>
          <w:szCs w:val="28"/>
          <w:highlight w:val="none"/>
        </w:rPr>
        <w:t>址：____________</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邮编：____________　</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电话：____________　</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传真：____________</w:t>
      </w:r>
    </w:p>
    <w:p>
      <w:pPr>
        <w:pStyle w:val="42"/>
        <w:keepNext w:val="0"/>
        <w:keepLines w:val="0"/>
        <w:pageBreakBefore w:val="0"/>
        <w:widowControl/>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投标人法定代表人或授权代理人联系电话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pStyle w:val="44"/>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投标人法定代表人（</w:t>
      </w:r>
      <w:r>
        <w:rPr>
          <w:rFonts w:hint="eastAsia" w:ascii="宋体" w:hAnsi="宋体" w:eastAsia="宋体" w:cs="宋体"/>
          <w:color w:val="auto"/>
          <w:sz w:val="28"/>
          <w:szCs w:val="28"/>
          <w:highlight w:val="none"/>
          <w:lang w:val="en-US" w:eastAsia="zh-CN"/>
        </w:rPr>
        <w:t>签字或盖章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Style w:val="44"/>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val="en-US" w:eastAsia="zh-CN"/>
        </w:rPr>
        <w:t>盖单位章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Style w:val="44"/>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42"/>
        <w:widowControl/>
        <w:spacing w:line="360" w:lineRule="auto"/>
        <w:ind w:left="0" w:leftChars="0"/>
        <w:rPr>
          <w:rFonts w:hint="eastAsia" w:ascii="宋体" w:hAnsi="宋体" w:eastAsia="宋体" w:cs="宋体"/>
          <w:color w:val="auto"/>
          <w:sz w:val="24"/>
          <w:highlight w:val="none"/>
        </w:rPr>
      </w:pPr>
    </w:p>
    <w:p>
      <w:pPr>
        <w:pStyle w:val="42"/>
        <w:widowControl/>
        <w:spacing w:line="360" w:lineRule="auto"/>
        <w:ind w:left="0" w:lef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说明：除可填报项目外，对本投标函的任何修改将被视为非实质性响应投标，从而导致该投标被拒绝。</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43"/>
        <w:rPr>
          <w:rFonts w:hint="eastAsia" w:eastAsia="宋体"/>
          <w:color w:val="auto"/>
          <w:sz w:val="28"/>
          <w:szCs w:val="36"/>
          <w:lang w:val="en-US" w:eastAsia="zh-CN"/>
        </w:rPr>
      </w:pPr>
      <w:r>
        <w:rPr>
          <w:rFonts w:hint="eastAsia"/>
          <w:color w:val="auto"/>
          <w:sz w:val="28"/>
          <w:szCs w:val="36"/>
          <w:lang w:val="en-US" w:eastAsia="zh-CN"/>
        </w:rPr>
        <w:t>附件：详细报价清单（格式投标人自拟，</w:t>
      </w:r>
      <w:r>
        <w:rPr>
          <w:rFonts w:hint="eastAsia" w:ascii="宋体" w:hAnsi="宋体" w:eastAsia="宋体" w:cs="宋体"/>
          <w:color w:val="auto"/>
          <w:sz w:val="28"/>
          <w:szCs w:val="28"/>
        </w:rPr>
        <w:t>应清晰可辨认并加盖单位公章</w:t>
      </w:r>
      <w:r>
        <w:rPr>
          <w:rFonts w:hint="eastAsia"/>
          <w:color w:val="auto"/>
          <w:sz w:val="28"/>
          <w:szCs w:val="36"/>
          <w:lang w:val="en-US" w:eastAsia="zh-CN"/>
        </w:rPr>
        <w:t>）</w:t>
      </w:r>
    </w:p>
    <w:p>
      <w:pPr>
        <w:spacing w:line="440" w:lineRule="exact"/>
        <w:rPr>
          <w:rFonts w:hint="eastAsia" w:ascii="宋体" w:hAnsi="宋体" w:eastAsia="宋体" w:cs="宋体"/>
          <w:color w:val="auto"/>
          <w:sz w:val="28"/>
          <w:szCs w:val="28"/>
          <w:highlight w:val="none"/>
        </w:rPr>
      </w:pPr>
    </w:p>
    <w:p>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8"/>
        <w:outlineLvl w:val="9"/>
        <w:rPr>
          <w:rFonts w:hint="eastAsia"/>
          <w:bCs w:val="0"/>
          <w:color w:val="auto"/>
          <w:sz w:val="28"/>
          <w:szCs w:val="28"/>
        </w:rPr>
      </w:pPr>
      <w:bookmarkStart w:id="342" w:name="_Toc23900"/>
      <w:bookmarkStart w:id="343" w:name="_Toc18836"/>
      <w:bookmarkStart w:id="344" w:name="_Toc152045794"/>
      <w:bookmarkStart w:id="345" w:name="_Toc26731"/>
      <w:bookmarkStart w:id="346" w:name="_Toc144974862"/>
      <w:bookmarkStart w:id="347" w:name="_Toc152042583"/>
      <w:bookmarkStart w:id="348" w:name="_Toc13188"/>
      <w:r>
        <w:rPr>
          <w:rFonts w:hint="eastAsia"/>
          <w:bCs w:val="0"/>
          <w:color w:val="auto"/>
          <w:sz w:val="28"/>
          <w:szCs w:val="28"/>
          <w:lang w:val="en-US" w:eastAsia="zh-CN"/>
        </w:rPr>
        <w:t>2、</w:t>
      </w:r>
      <w:r>
        <w:rPr>
          <w:rFonts w:hint="eastAsia"/>
          <w:bCs w:val="0"/>
          <w:color w:val="auto"/>
          <w:sz w:val="28"/>
          <w:szCs w:val="28"/>
        </w:rPr>
        <w:t>法定代表人身份证明书</w:t>
      </w:r>
      <w:bookmarkEnd w:id="342"/>
      <w:bookmarkEnd w:id="343"/>
    </w:p>
    <w:p>
      <w:pPr>
        <w:pStyle w:val="49"/>
        <w:rPr>
          <w:rFonts w:hint="eastAsia"/>
          <w:color w:val="auto"/>
        </w:rPr>
      </w:pPr>
    </w:p>
    <w:p>
      <w:pPr>
        <w:pStyle w:val="49"/>
        <w:adjustRightInd w:val="0"/>
        <w:snapToGrid w:val="0"/>
        <w:spacing w:line="360" w:lineRule="auto"/>
        <w:ind w:firstLine="560" w:firstLineChars="200"/>
        <w:rPr>
          <w:rFonts w:hint="eastAsia" w:ascii="宋体" w:hAnsi="宋体"/>
          <w:color w:val="auto"/>
          <w:sz w:val="28"/>
          <w:szCs w:val="28"/>
        </w:rPr>
      </w:pPr>
      <w:r>
        <w:rPr>
          <w:rFonts w:hint="eastAsia" w:ascii="宋体" w:hAnsi="宋体"/>
          <w:color w:val="auto"/>
          <w:sz w:val="28"/>
          <w:szCs w:val="28"/>
        </w:rPr>
        <w:t>兹有</w:t>
      </w:r>
      <w:r>
        <w:rPr>
          <w:rFonts w:hint="eastAsia" w:ascii="宋体" w:hAnsi="宋体"/>
          <w:color w:val="auto"/>
          <w:sz w:val="28"/>
          <w:szCs w:val="28"/>
          <w:u w:val="single"/>
        </w:rPr>
        <w:t xml:space="preserve">         </w:t>
      </w:r>
      <w:r>
        <w:rPr>
          <w:rFonts w:hint="eastAsia" w:ascii="宋体" w:hAnsi="宋体"/>
          <w:color w:val="auto"/>
          <w:sz w:val="28"/>
          <w:szCs w:val="28"/>
        </w:rPr>
        <w:t>为</w:t>
      </w:r>
      <w:r>
        <w:rPr>
          <w:rFonts w:hint="eastAsia" w:ascii="宋体" w:hAnsi="宋体"/>
          <w:color w:val="auto"/>
          <w:sz w:val="28"/>
          <w:szCs w:val="28"/>
          <w:u w:val="single"/>
        </w:rPr>
        <w:t xml:space="preserve">           </w:t>
      </w:r>
      <w:r>
        <w:rPr>
          <w:rFonts w:hint="eastAsia" w:ascii="宋体" w:hAnsi="宋体"/>
          <w:color w:val="auto"/>
          <w:sz w:val="28"/>
          <w:szCs w:val="28"/>
        </w:rPr>
        <w:t>公司法定代表人，代表我公司全权处理项目投标的事宜。</w:t>
      </w:r>
    </w:p>
    <w:p>
      <w:pPr>
        <w:pStyle w:val="49"/>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 xml:space="preserve">附法定代表人基本情况： </w:t>
      </w:r>
    </w:p>
    <w:p>
      <w:pPr>
        <w:pStyle w:val="49"/>
        <w:adjustRightInd w:val="0"/>
        <w:snapToGrid w:val="0"/>
        <w:spacing w:line="360" w:lineRule="auto"/>
        <w:ind w:firstLine="560" w:firstLineChars="200"/>
        <w:rPr>
          <w:rFonts w:ascii="宋体" w:hAnsi="宋体"/>
          <w:color w:val="auto"/>
          <w:sz w:val="28"/>
          <w:szCs w:val="28"/>
          <w:u w:val="single"/>
        </w:rPr>
      </w:pPr>
      <w:r>
        <w:rPr>
          <w:rFonts w:hint="eastAsia" w:ascii="宋体" w:hAnsi="宋体"/>
          <w:color w:val="auto"/>
          <w:sz w:val="28"/>
          <w:szCs w:val="28"/>
        </w:rPr>
        <w:t>姓名：</w:t>
      </w:r>
      <w:r>
        <w:rPr>
          <w:rFonts w:hint="eastAsia" w:ascii="宋体" w:hAnsi="宋体"/>
          <w:color w:val="auto"/>
          <w:sz w:val="28"/>
          <w:szCs w:val="28"/>
          <w:u w:val="single"/>
        </w:rPr>
        <w:t xml:space="preserve">          </w:t>
      </w:r>
      <w:r>
        <w:rPr>
          <w:rFonts w:hint="eastAsia" w:ascii="宋体" w:hAnsi="宋体"/>
          <w:color w:val="auto"/>
          <w:sz w:val="28"/>
          <w:szCs w:val="28"/>
        </w:rPr>
        <w:t>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职务：</w:t>
      </w:r>
      <w:r>
        <w:rPr>
          <w:rFonts w:hint="eastAsia" w:ascii="宋体" w:hAnsi="宋体"/>
          <w:color w:val="auto"/>
          <w:sz w:val="28"/>
          <w:szCs w:val="28"/>
          <w:u w:val="single"/>
        </w:rPr>
        <w:t xml:space="preserve">         </w:t>
      </w:r>
    </w:p>
    <w:p>
      <w:pPr>
        <w:pStyle w:val="49"/>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身份证号码：</w:t>
      </w:r>
      <w:r>
        <w:rPr>
          <w:rFonts w:hint="eastAsia" w:ascii="宋体" w:hAnsi="宋体"/>
          <w:color w:val="auto"/>
          <w:sz w:val="28"/>
          <w:szCs w:val="28"/>
          <w:u w:val="single"/>
        </w:rPr>
        <w:t xml:space="preserve">                     </w:t>
      </w:r>
    </w:p>
    <w:p>
      <w:pPr>
        <w:pStyle w:val="49"/>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通讯地址：</w:t>
      </w:r>
      <w:r>
        <w:rPr>
          <w:rFonts w:hint="eastAsia" w:ascii="宋体" w:hAnsi="宋体"/>
          <w:color w:val="auto"/>
          <w:sz w:val="28"/>
          <w:szCs w:val="28"/>
          <w:u w:val="single"/>
        </w:rPr>
        <w:t xml:space="preserve">                       </w:t>
      </w:r>
    </w:p>
    <w:p>
      <w:pPr>
        <w:pStyle w:val="49"/>
        <w:adjustRightInd w:val="0"/>
        <w:snapToGrid w:val="0"/>
        <w:spacing w:line="360" w:lineRule="auto"/>
        <w:ind w:firstLine="560" w:firstLineChars="200"/>
        <w:rPr>
          <w:rFonts w:ascii="宋体" w:hAnsi="宋体"/>
          <w:color w:val="auto"/>
          <w:sz w:val="28"/>
          <w:szCs w:val="28"/>
        </w:rPr>
      </w:pPr>
      <w:r>
        <w:rPr>
          <w:rFonts w:hint="eastAsia" w:ascii="宋体" w:hAnsi="宋体"/>
          <w:color w:val="auto"/>
          <w:sz w:val="28"/>
          <w:szCs w:val="28"/>
        </w:rPr>
        <w:t>电话号码：</w:t>
      </w:r>
      <w:r>
        <w:rPr>
          <w:rFonts w:hint="eastAsia" w:ascii="宋体" w:hAnsi="宋体"/>
          <w:color w:val="auto"/>
          <w:sz w:val="28"/>
          <w:szCs w:val="28"/>
          <w:u w:val="single"/>
        </w:rPr>
        <w:t xml:space="preserve">                   </w:t>
      </w:r>
      <w:r>
        <w:rPr>
          <w:rFonts w:hint="eastAsia" w:ascii="宋体" w:hAnsi="宋体"/>
          <w:color w:val="auto"/>
          <w:sz w:val="28"/>
          <w:szCs w:val="28"/>
        </w:rPr>
        <w:t>邮政编码：</w:t>
      </w:r>
      <w:r>
        <w:rPr>
          <w:rFonts w:hint="eastAsia" w:ascii="宋体" w:hAnsi="宋体"/>
          <w:color w:val="auto"/>
          <w:sz w:val="28"/>
          <w:szCs w:val="28"/>
          <w:u w:val="single"/>
        </w:rPr>
        <w:t xml:space="preserve">               </w:t>
      </w:r>
    </w:p>
    <w:p>
      <w:pPr>
        <w:pStyle w:val="49"/>
        <w:adjustRightInd w:val="0"/>
        <w:snapToGrid w:val="0"/>
        <w:spacing w:line="500" w:lineRule="exact"/>
        <w:rPr>
          <w:rFonts w:ascii="宋体" w:hAnsi="宋体"/>
          <w:color w:val="auto"/>
          <w:sz w:val="24"/>
          <w:szCs w:val="24"/>
        </w:rPr>
      </w:pPr>
      <w:r>
        <w:rPr>
          <w:rFonts w:hint="eastAsia" w:ascii="宋体" w:hAnsi="宋体"/>
          <w:color w:val="auto"/>
          <w:sz w:val="24"/>
          <w:szCs w:val="24"/>
        </w:rPr>
        <w:t xml:space="preserve"> </w:t>
      </w:r>
    </w:p>
    <w:tbl>
      <w:tblPr>
        <w:tblStyle w:val="29"/>
        <w:tblW w:w="7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jc w:val="center"/>
        </w:trPr>
        <w:tc>
          <w:tcPr>
            <w:tcW w:w="7886" w:type="dxa"/>
            <w:tcBorders>
              <w:top w:val="single" w:color="auto" w:sz="4" w:space="0"/>
              <w:left w:val="single" w:color="auto" w:sz="4" w:space="0"/>
              <w:bottom w:val="single" w:color="auto" w:sz="4" w:space="0"/>
              <w:right w:val="single" w:color="auto" w:sz="4" w:space="0"/>
            </w:tcBorders>
            <w:noWrap w:val="0"/>
            <w:vAlign w:val="top"/>
          </w:tcPr>
          <w:p>
            <w:pPr>
              <w:pStyle w:val="49"/>
              <w:adjustRightInd w:val="0"/>
              <w:snapToGrid w:val="0"/>
              <w:spacing w:line="500" w:lineRule="exact"/>
              <w:jc w:val="center"/>
              <w:rPr>
                <w:rFonts w:ascii="宋体" w:hAnsi="宋体"/>
                <w:color w:val="auto"/>
                <w:sz w:val="24"/>
                <w:szCs w:val="24"/>
              </w:rPr>
            </w:pPr>
          </w:p>
          <w:p>
            <w:pPr>
              <w:pStyle w:val="49"/>
              <w:adjustRightInd w:val="0"/>
              <w:snapToGrid w:val="0"/>
              <w:spacing w:line="500" w:lineRule="exact"/>
              <w:jc w:val="center"/>
              <w:rPr>
                <w:rFonts w:ascii="宋体" w:hAnsi="宋体"/>
                <w:color w:val="auto"/>
                <w:sz w:val="24"/>
                <w:szCs w:val="24"/>
              </w:rPr>
            </w:pPr>
          </w:p>
          <w:p>
            <w:pPr>
              <w:pStyle w:val="49"/>
              <w:adjustRightInd w:val="0"/>
              <w:snapToGrid w:val="0"/>
              <w:spacing w:line="500" w:lineRule="exact"/>
              <w:jc w:val="center"/>
              <w:rPr>
                <w:rFonts w:hint="eastAsia" w:ascii="宋体" w:hAnsi="宋体"/>
                <w:color w:val="auto"/>
                <w:sz w:val="24"/>
                <w:szCs w:val="24"/>
              </w:rPr>
            </w:pPr>
            <w:r>
              <w:rPr>
                <w:rFonts w:hint="eastAsia" w:ascii="宋体" w:hAnsi="宋体"/>
                <w:color w:val="auto"/>
                <w:sz w:val="28"/>
                <w:szCs w:val="28"/>
              </w:rPr>
              <w:t>法定代表人身份证正反面复印件</w:t>
            </w:r>
          </w:p>
        </w:tc>
      </w:tr>
    </w:tbl>
    <w:p>
      <w:pPr>
        <w:pStyle w:val="49"/>
        <w:adjustRightInd w:val="0"/>
        <w:snapToGrid w:val="0"/>
        <w:spacing w:line="500" w:lineRule="exact"/>
        <w:rPr>
          <w:rFonts w:ascii="宋体" w:hAnsi="宋体"/>
          <w:color w:val="auto"/>
          <w:sz w:val="24"/>
          <w:szCs w:val="24"/>
        </w:rPr>
      </w:pPr>
    </w:p>
    <w:p>
      <w:pPr>
        <w:pStyle w:val="49"/>
        <w:tabs>
          <w:tab w:val="left" w:pos="750"/>
        </w:tabs>
        <w:adjustRightInd w:val="0"/>
        <w:snapToGrid w:val="0"/>
        <w:spacing w:line="500" w:lineRule="exact"/>
        <w:rPr>
          <w:rFonts w:ascii="宋体" w:hAnsi="宋体"/>
          <w:color w:val="auto"/>
          <w:sz w:val="28"/>
          <w:szCs w:val="28"/>
        </w:rPr>
      </w:pPr>
      <w:r>
        <w:rPr>
          <w:rFonts w:hint="eastAsia" w:ascii="宋体" w:hAnsi="宋体"/>
          <w:color w:val="auto"/>
          <w:sz w:val="24"/>
          <w:szCs w:val="24"/>
        </w:rPr>
        <w:t xml:space="preserve"> </w:t>
      </w:r>
      <w:r>
        <w:rPr>
          <w:rFonts w:hint="eastAsia" w:ascii="宋体" w:hAnsi="宋体"/>
          <w:color w:val="auto"/>
          <w:sz w:val="24"/>
          <w:szCs w:val="24"/>
        </w:rPr>
        <w:tab/>
      </w:r>
      <w:r>
        <w:rPr>
          <w:rFonts w:hint="eastAsia" w:ascii="宋体" w:hAnsi="宋体"/>
          <w:color w:val="auto"/>
          <w:sz w:val="28"/>
          <w:szCs w:val="28"/>
        </w:rPr>
        <w:t>供应商名称：</w:t>
      </w:r>
      <w:r>
        <w:rPr>
          <w:rFonts w:hint="eastAsia" w:ascii="宋体" w:hAnsi="宋体"/>
          <w:color w:val="auto"/>
          <w:sz w:val="28"/>
          <w:szCs w:val="28"/>
          <w:u w:val="single"/>
        </w:rPr>
        <w:t xml:space="preserve">                       </w:t>
      </w:r>
      <w:r>
        <w:rPr>
          <w:rFonts w:hint="eastAsia" w:ascii="宋体" w:hAnsi="宋体"/>
          <w:color w:val="auto"/>
          <w:sz w:val="28"/>
          <w:szCs w:val="28"/>
        </w:rPr>
        <w:t>（盖章）</w:t>
      </w:r>
    </w:p>
    <w:p>
      <w:pPr>
        <w:pStyle w:val="49"/>
        <w:tabs>
          <w:tab w:val="left" w:pos="750"/>
        </w:tabs>
        <w:adjustRightInd w:val="0"/>
        <w:snapToGrid w:val="0"/>
        <w:spacing w:line="500" w:lineRule="exact"/>
        <w:ind w:firstLine="840" w:firstLineChars="300"/>
        <w:rPr>
          <w:rFonts w:ascii="宋体" w:hAnsi="宋体"/>
          <w:color w:val="auto"/>
          <w:sz w:val="28"/>
          <w:szCs w:val="28"/>
        </w:rPr>
      </w:pPr>
      <w:r>
        <w:rPr>
          <w:rFonts w:hint="eastAsia" w:ascii="宋体" w:hAnsi="宋体"/>
          <w:color w:val="auto"/>
          <w:sz w:val="28"/>
          <w:szCs w:val="28"/>
        </w:rPr>
        <w:t>法定代表人：</w:t>
      </w:r>
      <w:r>
        <w:rPr>
          <w:rFonts w:hint="eastAsia" w:ascii="宋体" w:hAnsi="宋体"/>
          <w:color w:val="auto"/>
          <w:sz w:val="28"/>
          <w:szCs w:val="28"/>
          <w:u w:val="single"/>
        </w:rPr>
        <w:t xml:space="preserve">           </w:t>
      </w:r>
      <w:r>
        <w:rPr>
          <w:rFonts w:hint="eastAsia" w:ascii="宋体" w:hAnsi="宋体"/>
          <w:color w:val="auto"/>
          <w:sz w:val="28"/>
          <w:szCs w:val="28"/>
        </w:rPr>
        <w:t>（签字或盖章）</w:t>
      </w:r>
    </w:p>
    <w:p>
      <w:pPr>
        <w:pStyle w:val="49"/>
        <w:tabs>
          <w:tab w:val="left" w:pos="750"/>
        </w:tabs>
        <w:adjustRightInd w:val="0"/>
        <w:snapToGrid w:val="0"/>
        <w:spacing w:line="500" w:lineRule="exact"/>
        <w:ind w:firstLine="840" w:firstLineChars="300"/>
        <w:rPr>
          <w:rFonts w:ascii="宋体" w:hAnsi="宋体"/>
          <w:color w:val="auto"/>
          <w:sz w:val="28"/>
          <w:szCs w:val="28"/>
        </w:rPr>
      </w:pPr>
      <w:r>
        <w:rPr>
          <w:rFonts w:hint="eastAsia" w:ascii="宋体" w:hAnsi="宋体"/>
          <w:color w:val="auto"/>
          <w:sz w:val="28"/>
          <w:szCs w:val="28"/>
        </w:rPr>
        <w:t>日期：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pStyle w:val="48"/>
        <w:outlineLvl w:val="9"/>
        <w:rPr>
          <w:rFonts w:hint="eastAsia"/>
          <w:color w:val="auto"/>
        </w:rPr>
      </w:pPr>
      <w:r>
        <w:rPr>
          <w:rFonts w:hint="eastAsia"/>
          <w:color w:val="auto"/>
        </w:rPr>
        <w:t xml:space="preserve"> </w:t>
      </w:r>
      <w:bookmarkStart w:id="349" w:name="_Toc468535483"/>
    </w:p>
    <w:p>
      <w:pPr>
        <w:pStyle w:val="48"/>
        <w:outlineLvl w:val="9"/>
        <w:rPr>
          <w:rFonts w:hint="eastAsia"/>
          <w:b w:val="0"/>
          <w:color w:val="auto"/>
        </w:rPr>
      </w:pPr>
      <w:r>
        <w:rPr>
          <w:rFonts w:hint="eastAsia"/>
          <w:b w:val="0"/>
          <w:color w:val="auto"/>
        </w:rPr>
        <w:t xml:space="preserve"> </w:t>
      </w:r>
      <w:bookmarkStart w:id="350" w:name="_Toc480371722"/>
      <w:bookmarkStart w:id="351" w:name="_Toc480368654"/>
      <w:bookmarkStart w:id="352" w:name="_Toc480368425"/>
      <w:bookmarkStart w:id="353" w:name="_Toc480368596"/>
    </w:p>
    <w:p>
      <w:pPr>
        <w:pStyle w:val="48"/>
        <w:outlineLvl w:val="9"/>
        <w:rPr>
          <w:rFonts w:hint="eastAsia"/>
          <w:color w:val="auto"/>
          <w:sz w:val="28"/>
          <w:szCs w:val="28"/>
        </w:rPr>
      </w:pPr>
      <w:r>
        <w:rPr>
          <w:rFonts w:hint="eastAsia"/>
          <w:b w:val="0"/>
          <w:color w:val="auto"/>
        </w:rPr>
        <w:br w:type="page"/>
      </w:r>
      <w:bookmarkStart w:id="354" w:name="_Toc1879"/>
      <w:bookmarkStart w:id="355" w:name="_Toc613"/>
      <w:r>
        <w:rPr>
          <w:rFonts w:hint="eastAsia"/>
          <w:b/>
          <w:bCs w:val="0"/>
          <w:color w:val="auto"/>
          <w:sz w:val="28"/>
          <w:szCs w:val="28"/>
          <w:lang w:val="en-US" w:eastAsia="zh-CN"/>
        </w:rPr>
        <w:t>2.1、</w:t>
      </w:r>
      <w:r>
        <w:rPr>
          <w:rFonts w:hint="eastAsia"/>
          <w:b/>
          <w:bCs w:val="0"/>
          <w:color w:val="auto"/>
          <w:sz w:val="28"/>
          <w:szCs w:val="28"/>
        </w:rPr>
        <w:t>法定代表人授权委托书</w:t>
      </w:r>
      <w:bookmarkEnd w:id="349"/>
      <w:bookmarkEnd w:id="350"/>
      <w:bookmarkEnd w:id="351"/>
      <w:bookmarkEnd w:id="352"/>
      <w:bookmarkEnd w:id="353"/>
      <w:bookmarkEnd w:id="354"/>
      <w:bookmarkEnd w:id="355"/>
    </w:p>
    <w:p>
      <w:pPr>
        <w:pStyle w:val="49"/>
        <w:rPr>
          <w:rFonts w:hint="eastAsia"/>
          <w:color w:val="auto"/>
          <w:sz w:val="28"/>
          <w:szCs w:val="28"/>
        </w:rPr>
      </w:pPr>
    </w:p>
    <w:p>
      <w:pPr>
        <w:pStyle w:val="49"/>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本人作为 </w:t>
      </w:r>
      <w:r>
        <w:rPr>
          <w:rFonts w:hint="eastAsia" w:ascii="宋体" w:hAnsi="宋体"/>
          <w:color w:val="auto"/>
          <w:sz w:val="28"/>
          <w:szCs w:val="28"/>
          <w:u w:val="single"/>
        </w:rPr>
        <w:t xml:space="preserve">        </w:t>
      </w:r>
      <w:r>
        <w:rPr>
          <w:rFonts w:hint="eastAsia" w:ascii="宋体" w:hAnsi="宋体"/>
          <w:color w:val="auto"/>
          <w:sz w:val="28"/>
          <w:szCs w:val="28"/>
        </w:rPr>
        <w:t>（投标人名称）</w:t>
      </w:r>
      <w:r>
        <w:rPr>
          <w:rFonts w:hint="eastAsia" w:ascii="宋体" w:hAnsi="宋体"/>
          <w:color w:val="auto"/>
          <w:sz w:val="28"/>
          <w:szCs w:val="28"/>
          <w:u w:val="single"/>
        </w:rPr>
        <w:t xml:space="preserve">      </w:t>
      </w:r>
      <w:r>
        <w:rPr>
          <w:rFonts w:hint="eastAsia" w:ascii="宋体" w:hAnsi="宋体"/>
          <w:color w:val="auto"/>
          <w:sz w:val="28"/>
          <w:szCs w:val="28"/>
        </w:rPr>
        <w:t>的法定代表人，在此授权</w:t>
      </w:r>
      <w:r>
        <w:rPr>
          <w:rFonts w:hint="eastAsia" w:ascii="宋体" w:hAnsi="宋体"/>
          <w:color w:val="auto"/>
          <w:sz w:val="28"/>
          <w:szCs w:val="28"/>
          <w:u w:val="single"/>
        </w:rPr>
        <w:t xml:space="preserve">      </w:t>
      </w:r>
      <w:r>
        <w:rPr>
          <w:rFonts w:hint="eastAsia" w:ascii="宋体" w:hAnsi="宋体"/>
          <w:color w:val="auto"/>
          <w:sz w:val="28"/>
          <w:szCs w:val="28"/>
        </w:rPr>
        <w:t>（姓名、职务），作为我的合法的授权代理人，以我的名义并代表我公司全权处理项目投标的事宜。</w:t>
      </w:r>
    </w:p>
    <w:p>
      <w:pPr>
        <w:pStyle w:val="49"/>
        <w:spacing w:line="500" w:lineRule="exact"/>
        <w:rPr>
          <w:rFonts w:ascii="宋体" w:hAnsi="宋体"/>
          <w:color w:val="auto"/>
          <w:sz w:val="28"/>
          <w:szCs w:val="28"/>
        </w:rPr>
      </w:pPr>
    </w:p>
    <w:p>
      <w:pPr>
        <w:pStyle w:val="49"/>
        <w:spacing w:line="500" w:lineRule="exact"/>
        <w:rPr>
          <w:rFonts w:ascii="宋体" w:hAnsi="宋体"/>
          <w:color w:val="auto"/>
          <w:sz w:val="28"/>
          <w:szCs w:val="28"/>
        </w:rPr>
      </w:pPr>
      <w:r>
        <w:rPr>
          <w:rFonts w:hint="eastAsia" w:ascii="宋体" w:hAnsi="宋体"/>
          <w:color w:val="auto"/>
          <w:sz w:val="28"/>
          <w:szCs w:val="28"/>
        </w:rPr>
        <w:t>姓名：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p>
    <w:p>
      <w:pPr>
        <w:pStyle w:val="49"/>
        <w:adjustRightInd w:val="0"/>
        <w:snapToGrid w:val="0"/>
        <w:spacing w:line="500" w:lineRule="exact"/>
        <w:rPr>
          <w:rFonts w:ascii="宋体" w:hAnsi="宋体"/>
          <w:color w:val="auto"/>
          <w:sz w:val="28"/>
          <w:szCs w:val="28"/>
          <w:u w:val="single"/>
        </w:rPr>
      </w:pPr>
      <w:r>
        <w:rPr>
          <w:rFonts w:hint="eastAsia" w:ascii="宋体" w:hAnsi="宋体"/>
          <w:color w:val="auto"/>
          <w:sz w:val="28"/>
          <w:szCs w:val="28"/>
        </w:rPr>
        <w:t>身份证号码：</w:t>
      </w:r>
      <w:r>
        <w:rPr>
          <w:rFonts w:hint="eastAsia" w:ascii="宋体" w:hAnsi="宋体"/>
          <w:color w:val="auto"/>
          <w:sz w:val="28"/>
          <w:szCs w:val="28"/>
          <w:u w:val="single"/>
        </w:rPr>
        <w:t xml:space="preserve">                              </w:t>
      </w:r>
    </w:p>
    <w:p>
      <w:pPr>
        <w:pStyle w:val="49"/>
        <w:adjustRightInd w:val="0"/>
        <w:snapToGrid w:val="0"/>
        <w:spacing w:line="500" w:lineRule="exact"/>
        <w:ind w:left="-88" w:leftChars="-42" w:firstLine="700" w:firstLineChars="250"/>
        <w:rPr>
          <w:rFonts w:ascii="宋体" w:hAnsi="宋体"/>
          <w:color w:val="auto"/>
          <w:sz w:val="28"/>
          <w:szCs w:val="28"/>
          <w:u w:val="single"/>
        </w:rPr>
      </w:pPr>
    </w:p>
    <w:tbl>
      <w:tblPr>
        <w:tblStyle w:val="29"/>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noWrap w:val="0"/>
            <w:vAlign w:val="top"/>
          </w:tcPr>
          <w:p>
            <w:pPr>
              <w:pStyle w:val="49"/>
              <w:spacing w:line="500" w:lineRule="exact"/>
              <w:rPr>
                <w:rFonts w:hint="eastAsia" w:ascii="宋体" w:hAnsi="宋体"/>
                <w:color w:val="auto"/>
                <w:sz w:val="28"/>
                <w:szCs w:val="28"/>
              </w:rPr>
            </w:pPr>
          </w:p>
          <w:p>
            <w:pPr>
              <w:pStyle w:val="49"/>
              <w:spacing w:line="500" w:lineRule="exact"/>
              <w:rPr>
                <w:rFonts w:hint="eastAsia" w:ascii="宋体" w:hAnsi="宋体"/>
                <w:color w:val="auto"/>
                <w:sz w:val="28"/>
                <w:szCs w:val="28"/>
              </w:rPr>
            </w:pPr>
          </w:p>
          <w:p>
            <w:pPr>
              <w:pStyle w:val="49"/>
              <w:spacing w:line="500" w:lineRule="exact"/>
              <w:rPr>
                <w:rFonts w:hint="eastAsia" w:ascii="宋体" w:hAnsi="宋体"/>
                <w:color w:val="auto"/>
                <w:sz w:val="28"/>
                <w:szCs w:val="28"/>
              </w:rPr>
            </w:pPr>
          </w:p>
          <w:p>
            <w:pPr>
              <w:pStyle w:val="49"/>
              <w:spacing w:line="500" w:lineRule="exact"/>
              <w:jc w:val="center"/>
              <w:rPr>
                <w:rFonts w:hint="eastAsia" w:ascii="宋体" w:hAnsi="宋体"/>
                <w:color w:val="auto"/>
                <w:sz w:val="28"/>
                <w:szCs w:val="28"/>
              </w:rPr>
            </w:pPr>
            <w:r>
              <w:rPr>
                <w:rFonts w:hint="eastAsia" w:ascii="宋体" w:hAnsi="宋体"/>
                <w:color w:val="auto"/>
                <w:sz w:val="28"/>
                <w:szCs w:val="28"/>
              </w:rPr>
              <w:t>法定代表人及被授权人身份证正反面复印件</w:t>
            </w:r>
          </w:p>
        </w:tc>
      </w:tr>
    </w:tbl>
    <w:p>
      <w:pPr>
        <w:pStyle w:val="61"/>
        <w:tabs>
          <w:tab w:val="left" w:pos="8786"/>
        </w:tabs>
        <w:spacing w:after="0" w:line="360" w:lineRule="auto"/>
        <w:rPr>
          <w:rFonts w:hint="eastAsia" w:ascii="宋体" w:hAnsi="宋体"/>
          <w:b/>
          <w:color w:val="auto"/>
          <w:sz w:val="28"/>
          <w:szCs w:val="28"/>
        </w:rPr>
      </w:pPr>
    </w:p>
    <w:p>
      <w:pPr>
        <w:pStyle w:val="61"/>
        <w:tabs>
          <w:tab w:val="left" w:pos="8786"/>
        </w:tabs>
        <w:spacing w:after="0" w:line="360" w:lineRule="auto"/>
        <w:rPr>
          <w:rFonts w:hint="eastAsia" w:ascii="宋体" w:hAnsi="宋体"/>
          <w:b/>
          <w:color w:val="auto"/>
          <w:sz w:val="28"/>
          <w:szCs w:val="28"/>
        </w:rPr>
      </w:pPr>
    </w:p>
    <w:p>
      <w:pPr>
        <w:pStyle w:val="49"/>
        <w:tabs>
          <w:tab w:val="left" w:pos="750"/>
        </w:tabs>
        <w:adjustRightInd w:val="0"/>
        <w:snapToGrid w:val="0"/>
        <w:spacing w:line="400" w:lineRule="exact"/>
        <w:rPr>
          <w:rFonts w:ascii="宋体" w:hAnsi="宋体"/>
          <w:color w:val="auto"/>
          <w:sz w:val="28"/>
          <w:szCs w:val="28"/>
        </w:rPr>
      </w:pPr>
      <w:r>
        <w:rPr>
          <w:rFonts w:hint="eastAsia" w:ascii="宋体" w:hAnsi="宋体"/>
          <w:color w:val="auto"/>
          <w:sz w:val="28"/>
          <w:szCs w:val="28"/>
        </w:rPr>
        <w:t>供应商名称：</w:t>
      </w:r>
      <w:r>
        <w:rPr>
          <w:rFonts w:hint="eastAsia" w:ascii="宋体" w:hAnsi="宋体"/>
          <w:color w:val="auto"/>
          <w:sz w:val="28"/>
          <w:szCs w:val="28"/>
          <w:u w:val="single"/>
        </w:rPr>
        <w:t xml:space="preserve">                       </w:t>
      </w:r>
      <w:r>
        <w:rPr>
          <w:rFonts w:hint="eastAsia" w:ascii="宋体" w:hAnsi="宋体"/>
          <w:color w:val="auto"/>
          <w:sz w:val="28"/>
          <w:szCs w:val="28"/>
        </w:rPr>
        <w:t>（盖章）</w:t>
      </w:r>
    </w:p>
    <w:p>
      <w:pPr>
        <w:pStyle w:val="49"/>
        <w:tabs>
          <w:tab w:val="left" w:pos="750"/>
        </w:tabs>
        <w:adjustRightInd w:val="0"/>
        <w:snapToGrid w:val="0"/>
        <w:spacing w:line="400" w:lineRule="exact"/>
        <w:rPr>
          <w:rFonts w:hint="eastAsia" w:ascii="宋体" w:hAnsi="宋体"/>
          <w:color w:val="auto"/>
          <w:sz w:val="28"/>
          <w:szCs w:val="28"/>
        </w:rPr>
      </w:pPr>
      <w:r>
        <w:rPr>
          <w:rFonts w:hint="eastAsia" w:ascii="宋体" w:hAnsi="宋体"/>
          <w:color w:val="auto"/>
          <w:sz w:val="28"/>
          <w:szCs w:val="28"/>
        </w:rPr>
        <w:t>法定代表人 ：</w:t>
      </w:r>
      <w:r>
        <w:rPr>
          <w:rFonts w:hint="eastAsia" w:ascii="宋体" w:hAnsi="宋体"/>
          <w:color w:val="auto"/>
          <w:sz w:val="28"/>
          <w:szCs w:val="28"/>
          <w:u w:val="single"/>
        </w:rPr>
        <w:t xml:space="preserve">           </w:t>
      </w:r>
      <w:r>
        <w:rPr>
          <w:rFonts w:hint="eastAsia" w:ascii="宋体" w:hAnsi="宋体"/>
          <w:color w:val="auto"/>
          <w:sz w:val="28"/>
          <w:szCs w:val="28"/>
        </w:rPr>
        <w:t>（签字或盖章）</w:t>
      </w:r>
    </w:p>
    <w:p>
      <w:pPr>
        <w:pStyle w:val="49"/>
        <w:tabs>
          <w:tab w:val="left" w:pos="750"/>
        </w:tabs>
        <w:adjustRightInd w:val="0"/>
        <w:snapToGrid w:val="0"/>
        <w:spacing w:line="400" w:lineRule="exact"/>
        <w:rPr>
          <w:rFonts w:ascii="宋体" w:hAnsi="宋体"/>
          <w:color w:val="auto"/>
          <w:sz w:val="28"/>
          <w:szCs w:val="28"/>
        </w:rPr>
      </w:pPr>
      <w:r>
        <w:rPr>
          <w:rFonts w:hint="eastAsia" w:ascii="宋体" w:hAnsi="宋体"/>
          <w:color w:val="auto"/>
          <w:sz w:val="28"/>
          <w:szCs w:val="28"/>
        </w:rPr>
        <w:t>委托代理人：</w:t>
      </w:r>
      <w:r>
        <w:rPr>
          <w:rFonts w:hint="eastAsia" w:ascii="宋体" w:hAnsi="宋体"/>
          <w:color w:val="auto"/>
          <w:sz w:val="28"/>
          <w:szCs w:val="28"/>
          <w:u w:val="single"/>
        </w:rPr>
        <w:t xml:space="preserve">              </w:t>
      </w:r>
      <w:r>
        <w:rPr>
          <w:rFonts w:hint="eastAsia" w:ascii="宋体" w:hAnsi="宋体"/>
          <w:color w:val="auto"/>
          <w:sz w:val="28"/>
          <w:szCs w:val="28"/>
        </w:rPr>
        <w:t>（签字）</w:t>
      </w:r>
    </w:p>
    <w:p>
      <w:pPr>
        <w:pStyle w:val="49"/>
        <w:spacing w:line="400" w:lineRule="exact"/>
        <w:rPr>
          <w:rFonts w:hint="eastAsia" w:ascii="宋体" w:hAnsi="宋体"/>
          <w:color w:val="auto"/>
          <w:sz w:val="28"/>
          <w:szCs w:val="28"/>
        </w:rPr>
      </w:pPr>
      <w:r>
        <w:rPr>
          <w:rFonts w:hint="eastAsia" w:ascii="宋体" w:hAnsi="宋体"/>
          <w:color w:val="auto"/>
          <w:sz w:val="28"/>
          <w:szCs w:val="28"/>
        </w:rPr>
        <w:t>代理期限：</w:t>
      </w:r>
      <w:r>
        <w:rPr>
          <w:rFonts w:hint="eastAsia" w:ascii="宋体" w:hAnsi="宋体"/>
          <w:color w:val="auto"/>
          <w:sz w:val="28"/>
          <w:szCs w:val="28"/>
          <w:u w:val="single"/>
        </w:rPr>
        <w:t xml:space="preserve">                 </w:t>
      </w:r>
    </w:p>
    <w:p>
      <w:pPr>
        <w:pStyle w:val="49"/>
        <w:spacing w:line="500" w:lineRule="exact"/>
        <w:rPr>
          <w:rFonts w:ascii="宋体" w:hAnsi="宋体"/>
          <w:color w:val="auto"/>
          <w:sz w:val="28"/>
          <w:szCs w:val="28"/>
        </w:rPr>
      </w:pPr>
      <w:r>
        <w:rPr>
          <w:rFonts w:hint="eastAsia" w:ascii="宋体" w:hAnsi="宋体"/>
          <w:color w:val="auto"/>
          <w:sz w:val="28"/>
          <w:szCs w:val="28"/>
        </w:rPr>
        <w:t>日期：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rPr>
          <w:rFonts w:hint="eastAsia" w:ascii="宋体" w:hAnsi="宋体" w:cs="宋体"/>
          <w:color w:val="auto"/>
          <w:sz w:val="28"/>
          <w:szCs w:val="28"/>
          <w:highlight w:val="none"/>
          <w:lang w:val="en-US" w:eastAsia="zh-CN"/>
        </w:rPr>
      </w:pPr>
    </w:p>
    <w:p>
      <w:pPr>
        <w:rPr>
          <w:rFonts w:hint="eastAsia" w:ascii="宋体" w:hAnsi="宋体" w:cs="宋体"/>
          <w:b/>
          <w:bCs/>
          <w:color w:val="auto"/>
          <w:sz w:val="28"/>
          <w:szCs w:val="28"/>
          <w:highlight w:val="none"/>
          <w:lang w:val="en-US" w:eastAsia="zh-CN"/>
        </w:rPr>
      </w:pPr>
    </w:p>
    <w:p>
      <w:pPr>
        <w:pStyle w:val="2"/>
        <w:rPr>
          <w:rFonts w:hint="eastAsia"/>
          <w:lang w:val="en-US" w:eastAsia="zh-CN"/>
        </w:rPr>
      </w:pPr>
      <w:bookmarkStart w:id="357" w:name="_GoBack"/>
      <w:bookmarkEnd w:id="357"/>
    </w:p>
    <w:p>
      <w:pPr>
        <w:rPr>
          <w:rFonts w:hint="eastAsia" w:ascii="宋体" w:hAnsi="宋体" w:cs="宋体"/>
          <w:color w:val="auto"/>
          <w:sz w:val="28"/>
          <w:szCs w:val="28"/>
          <w:highlight w:val="none"/>
          <w:lang w:val="en-US" w:eastAsia="zh-CN"/>
        </w:rPr>
      </w:pPr>
      <w:r>
        <w:rPr>
          <w:rFonts w:hint="eastAsia" w:ascii="宋体" w:hAnsi="宋体" w:cs="宋体"/>
          <w:b/>
          <w:bCs/>
          <w:color w:val="auto"/>
          <w:sz w:val="24"/>
          <w:szCs w:val="24"/>
          <w:highlight w:val="none"/>
          <w:lang w:val="en-US" w:eastAsia="zh-CN"/>
        </w:rPr>
        <w:t>注：后附授权委托人2022年1月至2022年6月在职单位社保缴纳明细证明（不接受单位汇总明细）复印件加盖公章，退休人员提供退休证复印件加盖公章。</w:t>
      </w:r>
      <w:r>
        <w:rPr>
          <w:rFonts w:hint="eastAsia" w:ascii="宋体" w:hAnsi="宋体" w:cs="宋体"/>
          <w:color w:val="auto"/>
          <w:sz w:val="28"/>
          <w:szCs w:val="28"/>
          <w:highlight w:val="none"/>
          <w:lang w:val="en-US" w:eastAsia="zh-CN"/>
        </w:rPr>
        <w:br w:type="page"/>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3、营业执照</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（复印件，应清晰可辨认并加盖单位公章）</w:t>
      </w:r>
    </w:p>
    <w:p>
      <w:pPr>
        <w:jc w:val="center"/>
        <w:rPr>
          <w:rFonts w:hint="eastAsia" w:ascii="宋体" w:hAnsi="宋体" w:eastAsia="宋体" w:cs="宋体"/>
          <w:b/>
          <w:bCs/>
          <w:color w:val="auto"/>
          <w:sz w:val="28"/>
          <w:szCs w:val="28"/>
        </w:rPr>
      </w:pPr>
    </w:p>
    <w:p>
      <w:pPr>
        <w:pStyle w:val="12"/>
        <w:ind w:firstLine="482"/>
        <w:rPr>
          <w:rFonts w:hint="eastAsia" w:ascii="宋体" w:hAnsi="宋体" w:eastAsia="宋体" w:cs="宋体"/>
          <w:b/>
          <w:bCs/>
          <w:color w:val="auto"/>
          <w:sz w:val="28"/>
          <w:szCs w:val="28"/>
        </w:rPr>
      </w:pPr>
    </w:p>
    <w:p>
      <w:pPr>
        <w:pStyle w:val="12"/>
        <w:ind w:firstLine="482"/>
        <w:rPr>
          <w:rFonts w:hint="eastAsia" w:ascii="宋体" w:hAnsi="宋体" w:eastAsia="宋体" w:cs="宋体"/>
          <w:b/>
          <w:bCs/>
          <w:color w:val="auto"/>
          <w:sz w:val="28"/>
          <w:szCs w:val="28"/>
        </w:rPr>
      </w:pPr>
    </w:p>
    <w:p>
      <w:pPr>
        <w:pStyle w:val="12"/>
        <w:ind w:firstLine="482"/>
        <w:rPr>
          <w:rFonts w:hint="eastAsia" w:ascii="宋体" w:hAnsi="宋体" w:eastAsia="宋体" w:cs="宋体"/>
          <w:b/>
          <w:bCs/>
          <w:color w:val="auto"/>
          <w:sz w:val="28"/>
          <w:szCs w:val="28"/>
        </w:rPr>
      </w:pPr>
    </w:p>
    <w:p>
      <w:pPr>
        <w:jc w:val="center"/>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未被信用中国网站（www.creditchina.gov.cn）、中国政府采购网站（www.ccgp.gov.cn）列入失信被执行人、</w:t>
      </w:r>
      <w:r>
        <w:rPr>
          <w:rFonts w:hint="eastAsia" w:ascii="宋体" w:hAnsi="宋体" w:eastAsia="宋体" w:cs="宋体"/>
          <w:b/>
          <w:bCs/>
          <w:color w:val="auto"/>
          <w:sz w:val="28"/>
          <w:szCs w:val="28"/>
          <w:lang w:val="en-US" w:eastAsia="zh-CN"/>
        </w:rPr>
        <w:t>重大税收违法案件当事人名单、</w:t>
      </w:r>
      <w:r>
        <w:rPr>
          <w:rFonts w:hint="eastAsia" w:ascii="宋体" w:hAnsi="宋体" w:eastAsia="宋体" w:cs="宋体"/>
          <w:b/>
          <w:bCs/>
          <w:color w:val="auto"/>
          <w:sz w:val="28"/>
          <w:szCs w:val="28"/>
          <w:lang w:eastAsia="zh-CN"/>
        </w:rPr>
        <w:t>政府采购严重违法失信行为记录名单的相关证明材料（网络截图）</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（应清晰可辨认并加盖单位公章）</w:t>
      </w:r>
    </w:p>
    <w:p>
      <w:pPr>
        <w:rPr>
          <w:rFonts w:hint="eastAsia" w:ascii="宋体" w:hAnsi="宋体" w:eastAsia="宋体" w:cs="宋体"/>
          <w:color w:val="auto"/>
          <w:sz w:val="28"/>
          <w:szCs w:val="28"/>
        </w:rPr>
      </w:pPr>
    </w:p>
    <w:p>
      <w:pPr>
        <w:pStyle w:val="12"/>
        <w:ind w:firstLine="480"/>
        <w:rPr>
          <w:rFonts w:hint="eastAsia" w:ascii="宋体" w:hAnsi="宋体" w:eastAsia="宋体" w:cs="宋体"/>
          <w:color w:val="auto"/>
          <w:sz w:val="28"/>
          <w:szCs w:val="28"/>
        </w:rPr>
      </w:pPr>
    </w:p>
    <w:p>
      <w:pPr>
        <w:ind w:firstLine="492" w:firstLineChars="175"/>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、投标保证金</w:t>
      </w:r>
      <w:r>
        <w:rPr>
          <w:rFonts w:hint="eastAsia" w:ascii="宋体" w:hAnsi="宋体" w:eastAsia="宋体" w:cs="宋体"/>
          <w:b/>
          <w:bCs/>
          <w:color w:val="auto"/>
          <w:sz w:val="28"/>
          <w:szCs w:val="28"/>
          <w:lang w:val="en-US" w:eastAsia="zh-CN"/>
        </w:rPr>
        <w:t>凭据</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（复印件，应清晰可辨认并加盖单位公章）</w:t>
      </w:r>
    </w:p>
    <w:p>
      <w:pPr>
        <w:pStyle w:val="12"/>
        <w:ind w:firstLine="480"/>
        <w:rPr>
          <w:rFonts w:hint="eastAsia" w:ascii="宋体" w:hAnsi="宋体" w:eastAsia="宋体" w:cs="宋体"/>
          <w:color w:val="auto"/>
          <w:sz w:val="28"/>
          <w:szCs w:val="28"/>
        </w:rPr>
      </w:pPr>
    </w:p>
    <w:p>
      <w:pPr>
        <w:pStyle w:val="12"/>
        <w:ind w:left="0" w:leftChars="0" w:firstLine="0" w:firstLineChars="0"/>
        <w:rPr>
          <w:rFonts w:hint="eastAsia" w:ascii="宋体" w:hAnsi="宋体" w:eastAsia="宋体" w:cs="宋体"/>
          <w:color w:val="auto"/>
          <w:sz w:val="28"/>
          <w:szCs w:val="28"/>
        </w:rPr>
      </w:pPr>
    </w:p>
    <w:p>
      <w:pPr>
        <w:ind w:firstLine="492" w:firstLineChars="175"/>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br w:type="page"/>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、具备履行合同所必需设备和专业技术能力的声明函</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（投标人格式自拟，应清晰可辨认并加盖单位公章）</w:t>
      </w:r>
    </w:p>
    <w:p>
      <w:pPr>
        <w:pStyle w:val="45"/>
        <w:spacing w:line="360" w:lineRule="auto"/>
        <w:ind w:right="-97"/>
        <w:rPr>
          <w:rFonts w:hint="eastAsia" w:ascii="宋体" w:hAnsi="宋体" w:eastAsia="宋体" w:cs="宋体"/>
          <w:color w:val="auto"/>
          <w:sz w:val="28"/>
          <w:szCs w:val="28"/>
        </w:rPr>
      </w:pPr>
    </w:p>
    <w:p>
      <w:pPr>
        <w:pStyle w:val="45"/>
        <w:spacing w:line="360" w:lineRule="auto"/>
        <w:ind w:right="-97"/>
        <w:rPr>
          <w:rFonts w:hint="eastAsia" w:ascii="宋体" w:hAnsi="宋体" w:eastAsia="宋体" w:cs="宋体"/>
          <w:color w:val="auto"/>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br w:type="page"/>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、参加政府采购活动前三年内</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在经营活动中没有重大违法记录声明函</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（投标人格式自拟，应清晰可辨认并加盖单位公章）</w:t>
      </w:r>
    </w:p>
    <w:p>
      <w:pPr>
        <w:jc w:val="center"/>
        <w:rPr>
          <w:b/>
          <w:bCs/>
          <w:color w:val="auto"/>
          <w:sz w:val="24"/>
          <w:szCs w:val="24"/>
        </w:rPr>
      </w:pPr>
    </w:p>
    <w:p>
      <w:pPr>
        <w:ind w:left="559"/>
        <w:jc w:val="center"/>
        <w:rPr>
          <w:rFonts w:hint="eastAsia"/>
          <w:b/>
          <w:bCs/>
          <w:color w:val="auto"/>
          <w:sz w:val="24"/>
          <w:szCs w:val="24"/>
        </w:rPr>
      </w:pPr>
    </w:p>
    <w:p>
      <w:pPr>
        <w:rPr>
          <w:b/>
          <w:bCs/>
          <w:color w:val="auto"/>
          <w:sz w:val="24"/>
          <w:szCs w:val="24"/>
        </w:rPr>
      </w:pPr>
    </w:p>
    <w:p>
      <w:pPr>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ind w:firstLine="422" w:firstLineChars="175"/>
        <w:jc w:val="center"/>
        <w:rPr>
          <w:b/>
          <w:bCs/>
          <w:color w:val="auto"/>
          <w:sz w:val="24"/>
          <w:szCs w:val="24"/>
        </w:rPr>
      </w:pPr>
    </w:p>
    <w:p>
      <w:pPr>
        <w:rPr>
          <w:b/>
          <w:bCs/>
          <w:color w:val="auto"/>
          <w:sz w:val="24"/>
          <w:szCs w:val="24"/>
        </w:rPr>
      </w:pPr>
    </w:p>
    <w:p>
      <w:pPr>
        <w:numPr>
          <w:ilvl w:val="0"/>
          <w:numId w:val="0"/>
        </w:numPr>
        <w:jc w:val="center"/>
        <w:rPr>
          <w:rFonts w:hint="eastAsia"/>
          <w:b/>
          <w:bCs/>
          <w:color w:val="auto"/>
          <w:sz w:val="28"/>
          <w:szCs w:val="28"/>
        </w:rPr>
      </w:pPr>
      <w:r>
        <w:rPr>
          <w:rFonts w:hint="eastAsia"/>
          <w:b/>
          <w:bCs/>
          <w:color w:val="auto"/>
          <w:sz w:val="24"/>
          <w:szCs w:val="24"/>
          <w:lang w:val="en-US" w:eastAsia="zh-CN"/>
        </w:rPr>
        <w:br w:type="page"/>
      </w:r>
      <w:r>
        <w:rPr>
          <w:rFonts w:hint="eastAsia"/>
          <w:b/>
          <w:bCs/>
          <w:color w:val="auto"/>
          <w:sz w:val="28"/>
          <w:szCs w:val="28"/>
          <w:lang w:val="en-US" w:eastAsia="zh-CN"/>
        </w:rPr>
        <w:t>8、</w:t>
      </w:r>
      <w:r>
        <w:rPr>
          <w:rFonts w:hint="eastAsia"/>
          <w:b/>
          <w:bCs/>
          <w:color w:val="auto"/>
          <w:sz w:val="28"/>
          <w:szCs w:val="28"/>
        </w:rPr>
        <w:t>业绩证明材料</w:t>
      </w:r>
    </w:p>
    <w:p>
      <w:pPr>
        <w:pStyle w:val="33"/>
        <w:numPr>
          <w:ilvl w:val="0"/>
          <w:numId w:val="0"/>
        </w:numPr>
        <w:rPr>
          <w:color w:val="auto"/>
        </w:rPr>
      </w:pPr>
    </w:p>
    <w:p>
      <w:pPr>
        <w:pStyle w:val="35"/>
        <w:jc w:val="center"/>
        <w:rPr>
          <w:rFonts w:hint="eastAsia" w:ascii="宋体" w:hAnsi="宋体" w:eastAsia="宋体" w:cs="宋体"/>
          <w:color w:val="auto"/>
          <w:sz w:val="28"/>
          <w:szCs w:val="28"/>
          <w:highlight w:val="none"/>
        </w:rPr>
      </w:pPr>
      <w:r>
        <w:rPr>
          <w:color w:val="auto"/>
          <w:sz w:val="24"/>
          <w:szCs w:val="24"/>
        </w:rPr>
        <w:t xml:space="preserve">   </w:t>
      </w:r>
      <w:r>
        <w:rPr>
          <w:rFonts w:hint="eastAsia"/>
          <w:color w:val="auto"/>
          <w:sz w:val="24"/>
          <w:szCs w:val="24"/>
        </w:rPr>
        <w:t xml:space="preserve">   </w:t>
      </w:r>
      <w:r>
        <w:rPr>
          <w:rFonts w:hint="eastAsia" w:ascii="宋体" w:hAnsi="宋体" w:eastAsia="宋体" w:cs="宋体"/>
          <w:color w:val="auto"/>
          <w:sz w:val="28"/>
          <w:szCs w:val="28"/>
          <w:highlight w:val="none"/>
        </w:rPr>
        <w:t>近</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年完成的类似项目情况表</w:t>
      </w:r>
    </w:p>
    <w:tbl>
      <w:tblPr>
        <w:tblStyle w:val="2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项目所在地</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招标人</w:t>
            </w:r>
            <w:r>
              <w:rPr>
                <w:rFonts w:hint="eastAsia" w:ascii="宋体" w:hAnsi="宋体" w:eastAsia="宋体" w:cs="宋体"/>
                <w:color w:val="auto"/>
                <w:sz w:val="28"/>
                <w:szCs w:val="28"/>
                <w:highlight w:val="none"/>
              </w:rPr>
              <w:t>名称</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招标人</w:t>
            </w:r>
            <w:r>
              <w:rPr>
                <w:rFonts w:hint="eastAsia" w:ascii="宋体" w:hAnsi="宋体" w:eastAsia="宋体" w:cs="宋体"/>
                <w:color w:val="auto"/>
                <w:sz w:val="28"/>
                <w:szCs w:val="28"/>
                <w:highlight w:val="none"/>
              </w:rPr>
              <w:t>地址</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合同价格</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开工日期</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竣工日期</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承担的工作</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w:t>
            </w:r>
            <w:r>
              <w:rPr>
                <w:rFonts w:hint="eastAsia" w:ascii="宋体" w:hAnsi="宋体" w:cs="宋体"/>
                <w:color w:val="auto"/>
                <w:sz w:val="28"/>
                <w:szCs w:val="28"/>
                <w:highlight w:val="none"/>
                <w:lang w:val="en-US" w:eastAsia="zh-CN"/>
              </w:rPr>
              <w:t>负责人</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项目描述</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p>
            <w:pPr>
              <w:topLinePunct/>
              <w:spacing w:line="440" w:lineRule="exact"/>
              <w:jc w:val="center"/>
              <w:textAlignment w:val="center"/>
              <w:rPr>
                <w:rFonts w:hint="eastAsia" w:ascii="宋体" w:hAnsi="宋体" w:eastAsia="宋体" w:cs="宋体"/>
                <w:color w:val="auto"/>
                <w:sz w:val="28"/>
                <w:szCs w:val="28"/>
                <w:highlight w:val="none"/>
              </w:rPr>
            </w:pPr>
          </w:p>
          <w:p>
            <w:pPr>
              <w:topLinePunct/>
              <w:spacing w:line="440" w:lineRule="exact"/>
              <w:jc w:val="center"/>
              <w:textAlignment w:val="center"/>
              <w:rPr>
                <w:rFonts w:hint="eastAsia" w:ascii="宋体" w:hAnsi="宋体" w:eastAsia="宋体" w:cs="宋体"/>
                <w:color w:val="auto"/>
                <w:sz w:val="28"/>
                <w:szCs w:val="28"/>
                <w:highlight w:val="none"/>
              </w:rPr>
            </w:pPr>
          </w:p>
          <w:p>
            <w:pPr>
              <w:topLinePunct/>
              <w:spacing w:line="440" w:lineRule="exact"/>
              <w:jc w:val="center"/>
              <w:textAlignment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73" w:type="dxa"/>
            <w:noWrap w:val="0"/>
            <w:vAlign w:val="center"/>
          </w:tcPr>
          <w:p>
            <w:pPr>
              <w:topLinePunct/>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c>
          <w:tcPr>
            <w:tcW w:w="6267" w:type="dxa"/>
            <w:noWrap w:val="0"/>
            <w:vAlign w:val="top"/>
          </w:tcPr>
          <w:p>
            <w:pPr>
              <w:topLinePunct/>
              <w:spacing w:line="440" w:lineRule="exact"/>
              <w:jc w:val="center"/>
              <w:textAlignment w:val="center"/>
              <w:rPr>
                <w:rFonts w:hint="eastAsia" w:ascii="宋体" w:hAnsi="宋体" w:eastAsia="宋体" w:cs="宋体"/>
                <w:color w:val="auto"/>
                <w:sz w:val="28"/>
                <w:szCs w:val="28"/>
                <w:highlight w:val="none"/>
              </w:rPr>
            </w:pPr>
          </w:p>
        </w:tc>
      </w:tr>
    </w:tbl>
    <w:p>
      <w:pPr>
        <w:rPr>
          <w:rFonts w:hint="eastAsia" w:ascii="宋体" w:hAnsi="宋体" w:cs="宋体"/>
          <w:color w:val="auto"/>
          <w:sz w:val="24"/>
          <w:highlight w:val="none"/>
        </w:rPr>
      </w:pPr>
    </w:p>
    <w:p>
      <w:pPr>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注：此表后附（</w:t>
      </w:r>
      <w:r>
        <w:rPr>
          <w:rFonts w:hint="eastAsia" w:ascii="宋体" w:hAnsi="宋体" w:cs="宋体"/>
          <w:b w:val="0"/>
          <w:bCs w:val="0"/>
          <w:color w:val="auto"/>
          <w:sz w:val="28"/>
          <w:szCs w:val="28"/>
          <w:highlight w:val="none"/>
          <w:lang w:val="en-US" w:eastAsia="zh-CN"/>
        </w:rPr>
        <w:t>中标通知书和合同</w:t>
      </w:r>
      <w:r>
        <w:rPr>
          <w:rFonts w:hint="eastAsia" w:ascii="宋体" w:hAnsi="宋体" w:eastAsia="宋体" w:cs="宋体"/>
          <w:b w:val="0"/>
          <w:bCs w:val="0"/>
          <w:color w:val="auto"/>
          <w:sz w:val="28"/>
          <w:szCs w:val="28"/>
          <w:highlight w:val="none"/>
          <w:lang w:val="en-US" w:eastAsia="zh-CN"/>
        </w:rPr>
        <w:t>）复印件，应清晰可辨认并加盖单位公</w:t>
      </w:r>
    </w:p>
    <w:p>
      <w:pPr>
        <w:jc w:val="both"/>
        <w:rPr>
          <w:b w:val="0"/>
          <w:bCs w:val="0"/>
          <w:color w:val="auto"/>
          <w:sz w:val="24"/>
          <w:szCs w:val="24"/>
        </w:rPr>
      </w:pPr>
      <w:r>
        <w:rPr>
          <w:rFonts w:hint="eastAsia" w:ascii="宋体" w:hAnsi="宋体" w:eastAsia="宋体" w:cs="宋体"/>
          <w:b w:val="0"/>
          <w:bCs w:val="0"/>
          <w:color w:val="auto"/>
          <w:sz w:val="28"/>
          <w:szCs w:val="28"/>
          <w:highlight w:val="none"/>
          <w:lang w:val="en-US" w:eastAsia="zh-CN"/>
        </w:rPr>
        <w:t>章。</w:t>
      </w:r>
    </w:p>
    <w:p>
      <w:pPr>
        <w:rPr>
          <w:color w:val="auto"/>
          <w:sz w:val="24"/>
          <w:szCs w:val="24"/>
        </w:rPr>
      </w:pPr>
    </w:p>
    <w:p>
      <w:pPr>
        <w:rPr>
          <w:color w:val="auto"/>
          <w:sz w:val="24"/>
          <w:szCs w:val="24"/>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numPr>
          <w:ilvl w:val="0"/>
          <w:numId w:val="0"/>
        </w:numPr>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9、企业实力</w:t>
      </w:r>
    </w:p>
    <w:p>
      <w:pPr>
        <w:pStyle w:val="33"/>
        <w:numPr>
          <w:ilvl w:val="0"/>
          <w:numId w:val="0"/>
        </w:numPr>
        <w:rPr>
          <w:rFonts w:hint="default"/>
          <w:color w:val="auto"/>
          <w:lang w:val="en-US"/>
        </w:rPr>
      </w:pP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（投标人格式自拟，应清晰可辨认并加盖单位公章）</w:t>
      </w:r>
    </w:p>
    <w:p>
      <w:pPr>
        <w:ind w:left="210"/>
        <w:jc w:val="center"/>
        <w:rPr>
          <w:rFonts w:hint="eastAsia" w:ascii="Times New Roman" w:hAnsi="Times New Roman" w:cs="Times New Roman"/>
          <w:b/>
          <w:bCs/>
          <w:color w:val="auto"/>
          <w:sz w:val="28"/>
          <w:szCs w:val="28"/>
          <w:lang w:val="en-US" w:eastAsia="zh-CN"/>
        </w:rPr>
      </w:pPr>
      <w:r>
        <w:rPr>
          <w:rFonts w:hint="eastAsia"/>
          <w:b/>
          <w:bCs/>
          <w:color w:val="auto"/>
          <w:sz w:val="24"/>
          <w:szCs w:val="24"/>
        </w:rPr>
        <w:br w:type="page"/>
      </w:r>
      <w:r>
        <w:rPr>
          <w:rFonts w:hint="eastAsia"/>
          <w:b/>
          <w:bCs/>
          <w:color w:val="auto"/>
          <w:sz w:val="28"/>
          <w:szCs w:val="28"/>
        </w:rPr>
        <w:t>1</w:t>
      </w:r>
      <w:r>
        <w:rPr>
          <w:rFonts w:hint="eastAsia"/>
          <w:b/>
          <w:bCs/>
          <w:color w:val="auto"/>
          <w:sz w:val="28"/>
          <w:szCs w:val="28"/>
          <w:lang w:val="en-US" w:eastAsia="zh-CN"/>
        </w:rPr>
        <w:t>0</w:t>
      </w:r>
      <w:r>
        <w:rPr>
          <w:rFonts w:hint="eastAsia"/>
          <w:b/>
          <w:bCs/>
          <w:color w:val="auto"/>
          <w:sz w:val="28"/>
          <w:szCs w:val="28"/>
        </w:rPr>
        <w:t>、</w:t>
      </w:r>
      <w:r>
        <w:rPr>
          <w:rFonts w:hint="eastAsia"/>
          <w:b/>
          <w:bCs/>
          <w:color w:val="auto"/>
          <w:sz w:val="28"/>
          <w:szCs w:val="28"/>
          <w:lang w:val="en-US" w:eastAsia="zh-CN"/>
        </w:rPr>
        <w:t>培训方案</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（投标人格式自拟，应清晰可辨认并加盖单位公章）</w:t>
      </w:r>
    </w:p>
    <w:p>
      <w:pPr>
        <w:pStyle w:val="12"/>
        <w:ind w:firstLine="480"/>
        <w:jc w:val="center"/>
        <w:rPr>
          <w:rFonts w:hint="eastAsia"/>
          <w:b/>
          <w:bCs/>
          <w:color w:val="auto"/>
          <w:sz w:val="28"/>
          <w:szCs w:val="28"/>
        </w:rPr>
      </w:pPr>
    </w:p>
    <w:p>
      <w:pPr>
        <w:pStyle w:val="12"/>
        <w:ind w:firstLine="480"/>
        <w:rPr>
          <w:rFonts w:hint="eastAsia"/>
          <w:color w:val="auto"/>
          <w:sz w:val="24"/>
          <w:szCs w:val="24"/>
        </w:rPr>
      </w:pPr>
    </w:p>
    <w:p>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r>
    </w:p>
    <w:bookmarkEnd w:id="344"/>
    <w:bookmarkEnd w:id="345"/>
    <w:bookmarkEnd w:id="346"/>
    <w:bookmarkEnd w:id="347"/>
    <w:bookmarkEnd w:id="348"/>
    <w:p>
      <w:pPr>
        <w:ind w:firstLine="492" w:firstLineChars="175"/>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售后服务方案</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（投标人格式自拟，应清晰可辨认并加盖单位公章）</w:t>
      </w:r>
    </w:p>
    <w:p>
      <w:pPr>
        <w:rPr>
          <w:rFonts w:hint="eastAsia" w:ascii="宋体" w:hAnsi="宋体" w:eastAsia="宋体" w:cs="宋体"/>
          <w:b/>
          <w:bCs/>
          <w:color w:val="auto"/>
          <w:kern w:val="0"/>
          <w:sz w:val="28"/>
          <w:szCs w:val="28"/>
        </w:rPr>
      </w:pPr>
    </w:p>
    <w:p>
      <w:pPr>
        <w:jc w:val="center"/>
        <w:rPr>
          <w:rFonts w:hint="eastAsia" w:ascii="宋体" w:hAnsi="宋体" w:eastAsia="宋体" w:cs="宋体"/>
          <w:b/>
          <w:bCs/>
          <w:color w:val="auto"/>
          <w:kern w:val="0"/>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安装方案及能力</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（投标人格式自拟，应清晰可辨认并加盖单位公章）</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1</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技术参数</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（投标人格式自拟，应清晰可辨认并加盖单位公章）</w:t>
      </w:r>
    </w:p>
    <w:p>
      <w:pPr>
        <w:rPr>
          <w:rFonts w:hint="eastAsia" w:ascii="宋体" w:hAnsi="宋体" w:eastAsia="宋体" w:cs="宋体"/>
          <w:b/>
          <w:bCs/>
          <w:color w:val="auto"/>
          <w:sz w:val="28"/>
          <w:szCs w:val="28"/>
        </w:rPr>
      </w:pPr>
    </w:p>
    <w:p>
      <w:pPr>
        <w:pStyle w:val="12"/>
        <w:ind w:firstLine="482"/>
        <w:rPr>
          <w:rFonts w:hint="eastAsia" w:ascii="宋体" w:hAnsi="宋体" w:eastAsia="宋体" w:cs="宋体"/>
          <w:b/>
          <w:bCs/>
          <w:color w:val="auto"/>
          <w:sz w:val="28"/>
          <w:szCs w:val="28"/>
        </w:rPr>
      </w:pPr>
    </w:p>
    <w:p>
      <w:pPr>
        <w:ind w:left="2880" w:hanging="2880"/>
        <w:jc w:val="center"/>
        <w:outlineLvl w:val="0"/>
        <w:rPr>
          <w:b/>
          <w:color w:val="auto"/>
          <w:sz w:val="30"/>
          <w:highlight w:val="yellow"/>
        </w:rPr>
      </w:pPr>
      <w:r>
        <w:rPr>
          <w:rFonts w:hint="eastAsia" w:ascii="宋体" w:hAnsi="宋体" w:eastAsia="宋体" w:cs="宋体"/>
          <w:b/>
          <w:bCs/>
          <w:color w:val="auto"/>
          <w:sz w:val="28"/>
          <w:szCs w:val="28"/>
        </w:rPr>
        <w:br w:type="page"/>
      </w:r>
      <w:r>
        <w:rPr>
          <w:rFonts w:hint="eastAsia"/>
          <w:b/>
          <w:color w:val="auto"/>
          <w:sz w:val="28"/>
          <w:szCs w:val="28"/>
          <w:highlight w:val="none"/>
          <w:lang w:val="en-US" w:eastAsia="zh-CN"/>
        </w:rPr>
        <w:t>14、</w:t>
      </w:r>
      <w:r>
        <w:rPr>
          <w:b/>
          <w:color w:val="auto"/>
          <w:sz w:val="28"/>
          <w:szCs w:val="28"/>
          <w:highlight w:val="none"/>
        </w:rPr>
        <w:t>技术参数偏离表</w:t>
      </w:r>
    </w:p>
    <w:p>
      <w:pPr>
        <w:ind w:left="2880" w:hanging="2880"/>
        <w:jc w:val="center"/>
        <w:rPr>
          <w:b/>
          <w:color w:val="auto"/>
          <w:sz w:val="24"/>
          <w:highlight w:val="yellow"/>
        </w:rPr>
      </w:pPr>
    </w:p>
    <w:p>
      <w:pPr>
        <w:rPr>
          <w:color w:val="auto"/>
          <w:sz w:val="24"/>
          <w:highlight w:val="yellow"/>
          <w:u w:val="single"/>
        </w:rPr>
      </w:pPr>
    </w:p>
    <w:tbl>
      <w:tblPr>
        <w:tblStyle w:val="29"/>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960"/>
        <w:gridCol w:w="1527"/>
        <w:gridCol w:w="1559"/>
        <w:gridCol w:w="1559"/>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63" w:type="dxa"/>
            <w:noWrap w:val="0"/>
            <w:vAlign w:val="center"/>
          </w:tcPr>
          <w:p>
            <w:pPr>
              <w:jc w:val="center"/>
              <w:rPr>
                <w:color w:val="auto"/>
                <w:sz w:val="28"/>
                <w:szCs w:val="28"/>
                <w:highlight w:val="none"/>
              </w:rPr>
            </w:pPr>
            <w:r>
              <w:rPr>
                <w:color w:val="auto"/>
                <w:sz w:val="28"/>
                <w:szCs w:val="28"/>
                <w:highlight w:val="none"/>
              </w:rPr>
              <w:t>序号</w:t>
            </w:r>
          </w:p>
        </w:tc>
        <w:tc>
          <w:tcPr>
            <w:tcW w:w="1960" w:type="dxa"/>
            <w:noWrap w:val="0"/>
            <w:vAlign w:val="center"/>
          </w:tcPr>
          <w:p>
            <w:pPr>
              <w:jc w:val="center"/>
              <w:rPr>
                <w:color w:val="auto"/>
                <w:sz w:val="28"/>
                <w:szCs w:val="28"/>
                <w:highlight w:val="none"/>
              </w:rPr>
            </w:pPr>
            <w:r>
              <w:rPr>
                <w:color w:val="auto"/>
                <w:sz w:val="28"/>
                <w:szCs w:val="28"/>
                <w:highlight w:val="none"/>
              </w:rPr>
              <w:t>招标文件规格条目号</w:t>
            </w:r>
          </w:p>
        </w:tc>
        <w:tc>
          <w:tcPr>
            <w:tcW w:w="1527" w:type="dxa"/>
            <w:noWrap w:val="0"/>
            <w:vAlign w:val="center"/>
          </w:tcPr>
          <w:p>
            <w:pPr>
              <w:jc w:val="center"/>
              <w:rPr>
                <w:color w:val="auto"/>
                <w:sz w:val="28"/>
                <w:szCs w:val="28"/>
                <w:highlight w:val="none"/>
              </w:rPr>
            </w:pPr>
            <w:r>
              <w:rPr>
                <w:color w:val="auto"/>
                <w:sz w:val="28"/>
                <w:szCs w:val="28"/>
                <w:highlight w:val="none"/>
              </w:rPr>
              <w:t>招标规格</w:t>
            </w:r>
          </w:p>
        </w:tc>
        <w:tc>
          <w:tcPr>
            <w:tcW w:w="1559" w:type="dxa"/>
            <w:noWrap w:val="0"/>
            <w:vAlign w:val="center"/>
          </w:tcPr>
          <w:p>
            <w:pPr>
              <w:jc w:val="center"/>
              <w:rPr>
                <w:color w:val="auto"/>
                <w:sz w:val="28"/>
                <w:szCs w:val="28"/>
                <w:highlight w:val="none"/>
              </w:rPr>
            </w:pPr>
            <w:r>
              <w:rPr>
                <w:color w:val="auto"/>
                <w:sz w:val="28"/>
                <w:szCs w:val="28"/>
                <w:highlight w:val="none"/>
              </w:rPr>
              <w:t>投标规格</w:t>
            </w:r>
          </w:p>
        </w:tc>
        <w:tc>
          <w:tcPr>
            <w:tcW w:w="1559" w:type="dxa"/>
            <w:noWrap w:val="0"/>
            <w:vAlign w:val="center"/>
          </w:tcPr>
          <w:p>
            <w:pPr>
              <w:jc w:val="center"/>
              <w:rPr>
                <w:color w:val="auto"/>
                <w:sz w:val="28"/>
                <w:szCs w:val="28"/>
                <w:highlight w:val="none"/>
              </w:rPr>
            </w:pPr>
            <w:r>
              <w:rPr>
                <w:color w:val="auto"/>
                <w:sz w:val="28"/>
                <w:szCs w:val="28"/>
                <w:highlight w:val="none"/>
              </w:rPr>
              <w:t>偏离</w:t>
            </w:r>
          </w:p>
        </w:tc>
        <w:tc>
          <w:tcPr>
            <w:tcW w:w="1044" w:type="dxa"/>
            <w:noWrap w:val="0"/>
            <w:vAlign w:val="center"/>
          </w:tcPr>
          <w:p>
            <w:pPr>
              <w:jc w:val="center"/>
              <w:rPr>
                <w:color w:val="auto"/>
                <w:sz w:val="28"/>
                <w:szCs w:val="28"/>
                <w:highlight w:val="none"/>
              </w:rPr>
            </w:pPr>
            <w:r>
              <w:rPr>
                <w:color w:val="auto"/>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3" w:type="dxa"/>
            <w:noWrap w:val="0"/>
            <w:vAlign w:val="top"/>
          </w:tcPr>
          <w:p>
            <w:pPr>
              <w:rPr>
                <w:color w:val="auto"/>
                <w:sz w:val="28"/>
                <w:szCs w:val="28"/>
                <w:highlight w:val="none"/>
              </w:rPr>
            </w:pPr>
          </w:p>
          <w:p>
            <w:pPr>
              <w:rPr>
                <w:color w:val="auto"/>
                <w:sz w:val="28"/>
                <w:szCs w:val="28"/>
                <w:highlight w:val="none"/>
              </w:rPr>
            </w:pPr>
          </w:p>
        </w:tc>
        <w:tc>
          <w:tcPr>
            <w:tcW w:w="1960" w:type="dxa"/>
            <w:noWrap w:val="0"/>
            <w:vAlign w:val="top"/>
          </w:tcPr>
          <w:p>
            <w:pPr>
              <w:widowControl/>
              <w:jc w:val="left"/>
              <w:rPr>
                <w:color w:val="auto"/>
                <w:sz w:val="28"/>
                <w:szCs w:val="28"/>
                <w:highlight w:val="none"/>
              </w:rPr>
            </w:pPr>
          </w:p>
          <w:p>
            <w:pPr>
              <w:rPr>
                <w:color w:val="auto"/>
                <w:sz w:val="28"/>
                <w:szCs w:val="28"/>
                <w:highlight w:val="none"/>
              </w:rPr>
            </w:pPr>
          </w:p>
        </w:tc>
        <w:tc>
          <w:tcPr>
            <w:tcW w:w="1527" w:type="dxa"/>
            <w:noWrap w:val="0"/>
            <w:vAlign w:val="top"/>
          </w:tcPr>
          <w:p>
            <w:pPr>
              <w:rPr>
                <w:color w:val="auto"/>
                <w:sz w:val="28"/>
                <w:szCs w:val="28"/>
                <w:highlight w:val="none"/>
              </w:rPr>
            </w:pPr>
          </w:p>
        </w:tc>
        <w:tc>
          <w:tcPr>
            <w:tcW w:w="1559" w:type="dxa"/>
            <w:noWrap w:val="0"/>
            <w:vAlign w:val="top"/>
          </w:tcPr>
          <w:p>
            <w:pPr>
              <w:rPr>
                <w:color w:val="auto"/>
                <w:sz w:val="28"/>
                <w:szCs w:val="28"/>
                <w:highlight w:val="none"/>
              </w:rPr>
            </w:pPr>
          </w:p>
        </w:tc>
        <w:tc>
          <w:tcPr>
            <w:tcW w:w="1559" w:type="dxa"/>
            <w:noWrap w:val="0"/>
            <w:vAlign w:val="top"/>
          </w:tcPr>
          <w:p>
            <w:pPr>
              <w:rPr>
                <w:color w:val="auto"/>
                <w:sz w:val="28"/>
                <w:szCs w:val="28"/>
                <w:highlight w:val="none"/>
              </w:rPr>
            </w:pPr>
          </w:p>
        </w:tc>
        <w:tc>
          <w:tcPr>
            <w:tcW w:w="1044" w:type="dxa"/>
            <w:noWrap w:val="0"/>
            <w:vAlign w:val="top"/>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3" w:type="dxa"/>
            <w:noWrap w:val="0"/>
            <w:vAlign w:val="top"/>
          </w:tcPr>
          <w:p>
            <w:pPr>
              <w:rPr>
                <w:color w:val="auto"/>
                <w:sz w:val="28"/>
                <w:szCs w:val="28"/>
                <w:highlight w:val="none"/>
              </w:rPr>
            </w:pPr>
          </w:p>
          <w:p>
            <w:pPr>
              <w:rPr>
                <w:color w:val="auto"/>
                <w:sz w:val="28"/>
                <w:szCs w:val="28"/>
                <w:highlight w:val="none"/>
              </w:rPr>
            </w:pPr>
          </w:p>
        </w:tc>
        <w:tc>
          <w:tcPr>
            <w:tcW w:w="1960" w:type="dxa"/>
            <w:noWrap w:val="0"/>
            <w:vAlign w:val="top"/>
          </w:tcPr>
          <w:p>
            <w:pPr>
              <w:widowControl/>
              <w:jc w:val="left"/>
              <w:rPr>
                <w:color w:val="auto"/>
                <w:sz w:val="28"/>
                <w:szCs w:val="28"/>
                <w:highlight w:val="none"/>
              </w:rPr>
            </w:pPr>
          </w:p>
          <w:p>
            <w:pPr>
              <w:rPr>
                <w:color w:val="auto"/>
                <w:sz w:val="28"/>
                <w:szCs w:val="28"/>
                <w:highlight w:val="none"/>
              </w:rPr>
            </w:pPr>
          </w:p>
        </w:tc>
        <w:tc>
          <w:tcPr>
            <w:tcW w:w="1527" w:type="dxa"/>
            <w:noWrap w:val="0"/>
            <w:vAlign w:val="top"/>
          </w:tcPr>
          <w:p>
            <w:pPr>
              <w:rPr>
                <w:color w:val="auto"/>
                <w:sz w:val="28"/>
                <w:szCs w:val="28"/>
                <w:highlight w:val="none"/>
              </w:rPr>
            </w:pPr>
          </w:p>
        </w:tc>
        <w:tc>
          <w:tcPr>
            <w:tcW w:w="1559" w:type="dxa"/>
            <w:noWrap w:val="0"/>
            <w:vAlign w:val="top"/>
          </w:tcPr>
          <w:p>
            <w:pPr>
              <w:rPr>
                <w:color w:val="auto"/>
                <w:sz w:val="28"/>
                <w:szCs w:val="28"/>
                <w:highlight w:val="none"/>
              </w:rPr>
            </w:pPr>
          </w:p>
        </w:tc>
        <w:tc>
          <w:tcPr>
            <w:tcW w:w="1559" w:type="dxa"/>
            <w:noWrap w:val="0"/>
            <w:vAlign w:val="top"/>
          </w:tcPr>
          <w:p>
            <w:pPr>
              <w:rPr>
                <w:color w:val="auto"/>
                <w:sz w:val="28"/>
                <w:szCs w:val="28"/>
                <w:highlight w:val="none"/>
              </w:rPr>
            </w:pPr>
          </w:p>
        </w:tc>
        <w:tc>
          <w:tcPr>
            <w:tcW w:w="1044" w:type="dxa"/>
            <w:noWrap w:val="0"/>
            <w:vAlign w:val="top"/>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3" w:type="dxa"/>
            <w:noWrap w:val="0"/>
            <w:vAlign w:val="top"/>
          </w:tcPr>
          <w:p>
            <w:pPr>
              <w:rPr>
                <w:color w:val="auto"/>
                <w:sz w:val="28"/>
                <w:szCs w:val="28"/>
                <w:highlight w:val="none"/>
              </w:rPr>
            </w:pPr>
          </w:p>
          <w:p>
            <w:pPr>
              <w:rPr>
                <w:color w:val="auto"/>
                <w:sz w:val="28"/>
                <w:szCs w:val="28"/>
                <w:highlight w:val="none"/>
              </w:rPr>
            </w:pPr>
          </w:p>
        </w:tc>
        <w:tc>
          <w:tcPr>
            <w:tcW w:w="1960" w:type="dxa"/>
            <w:noWrap w:val="0"/>
            <w:vAlign w:val="top"/>
          </w:tcPr>
          <w:p>
            <w:pPr>
              <w:widowControl/>
              <w:jc w:val="left"/>
              <w:rPr>
                <w:color w:val="auto"/>
                <w:sz w:val="28"/>
                <w:szCs w:val="28"/>
                <w:highlight w:val="none"/>
              </w:rPr>
            </w:pPr>
          </w:p>
          <w:p>
            <w:pPr>
              <w:rPr>
                <w:color w:val="auto"/>
                <w:sz w:val="28"/>
                <w:szCs w:val="28"/>
                <w:highlight w:val="none"/>
              </w:rPr>
            </w:pPr>
          </w:p>
        </w:tc>
        <w:tc>
          <w:tcPr>
            <w:tcW w:w="1527" w:type="dxa"/>
            <w:noWrap w:val="0"/>
            <w:vAlign w:val="top"/>
          </w:tcPr>
          <w:p>
            <w:pPr>
              <w:rPr>
                <w:color w:val="auto"/>
                <w:sz w:val="28"/>
                <w:szCs w:val="28"/>
                <w:highlight w:val="none"/>
              </w:rPr>
            </w:pPr>
          </w:p>
        </w:tc>
        <w:tc>
          <w:tcPr>
            <w:tcW w:w="1559" w:type="dxa"/>
            <w:noWrap w:val="0"/>
            <w:vAlign w:val="top"/>
          </w:tcPr>
          <w:p>
            <w:pPr>
              <w:rPr>
                <w:color w:val="auto"/>
                <w:sz w:val="28"/>
                <w:szCs w:val="28"/>
                <w:highlight w:val="none"/>
              </w:rPr>
            </w:pPr>
          </w:p>
        </w:tc>
        <w:tc>
          <w:tcPr>
            <w:tcW w:w="1559" w:type="dxa"/>
            <w:noWrap w:val="0"/>
            <w:vAlign w:val="top"/>
          </w:tcPr>
          <w:p>
            <w:pPr>
              <w:rPr>
                <w:color w:val="auto"/>
                <w:sz w:val="28"/>
                <w:szCs w:val="28"/>
                <w:highlight w:val="none"/>
              </w:rPr>
            </w:pPr>
          </w:p>
        </w:tc>
        <w:tc>
          <w:tcPr>
            <w:tcW w:w="1044" w:type="dxa"/>
            <w:noWrap w:val="0"/>
            <w:vAlign w:val="top"/>
          </w:tcPr>
          <w:p>
            <w:pPr>
              <w:rPr>
                <w:color w:val="auto"/>
                <w:sz w:val="28"/>
                <w:szCs w:val="28"/>
                <w:highlight w:val="none"/>
              </w:rPr>
            </w:pPr>
          </w:p>
        </w:tc>
      </w:tr>
    </w:tbl>
    <w:p>
      <w:pPr>
        <w:adjustRightInd w:val="0"/>
        <w:snapToGrid w:val="0"/>
        <w:spacing w:line="400" w:lineRule="exact"/>
        <w:rPr>
          <w:color w:val="auto"/>
          <w:szCs w:val="21"/>
          <w:highlight w:val="yellow"/>
        </w:rPr>
      </w:pPr>
      <w:r>
        <w:rPr>
          <w:color w:val="auto"/>
          <w:sz w:val="28"/>
          <w:szCs w:val="28"/>
          <w:highlight w:val="none"/>
        </w:rPr>
        <w:t>注：与招标文件要求逐条对应填写。投标人要将投标文件与招标文件在技术</w:t>
      </w:r>
      <w:r>
        <w:rPr>
          <w:rFonts w:hint="eastAsia"/>
          <w:color w:val="auto"/>
          <w:sz w:val="28"/>
          <w:szCs w:val="28"/>
          <w:highlight w:val="none"/>
          <w:lang w:val="en-US" w:eastAsia="zh-CN"/>
        </w:rPr>
        <w:t>参数</w:t>
      </w:r>
      <w:r>
        <w:rPr>
          <w:color w:val="auto"/>
          <w:sz w:val="28"/>
          <w:szCs w:val="28"/>
          <w:highlight w:val="none"/>
        </w:rPr>
        <w:t>部分的差异之处汇集成此表。投标方必须详细填写偏离表，偏离表未声明事项视为认同招标文件标准。</w:t>
      </w:r>
      <w:r>
        <w:rPr>
          <w:rFonts w:hint="eastAsia"/>
          <w:color w:val="auto"/>
          <w:sz w:val="28"/>
          <w:szCs w:val="28"/>
          <w:highlight w:val="none"/>
          <w:lang w:eastAsia="zh-CN"/>
        </w:rPr>
        <w:t>（技术参数偏离表</w:t>
      </w:r>
      <w:r>
        <w:rPr>
          <w:rFonts w:hint="eastAsia" w:ascii="宋体" w:hAnsi="宋体" w:eastAsia="宋体" w:cs="宋体"/>
          <w:color w:val="auto"/>
          <w:sz w:val="28"/>
          <w:szCs w:val="28"/>
        </w:rPr>
        <w:t>应清晰可辨认并加盖单位公章</w:t>
      </w:r>
      <w:r>
        <w:rPr>
          <w:rFonts w:hint="eastAsia"/>
          <w:color w:val="auto"/>
          <w:sz w:val="28"/>
          <w:szCs w:val="28"/>
          <w:highlight w:val="none"/>
          <w:lang w:eastAsia="zh-CN"/>
        </w:rPr>
        <w:t>）</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技术方案</w:t>
      </w:r>
    </w:p>
    <w:p>
      <w:pPr>
        <w:pStyle w:val="12"/>
        <w:ind w:firstLine="480"/>
        <w:jc w:val="center"/>
        <w:rPr>
          <w:rFonts w:hint="eastAsia" w:ascii="宋体" w:hAnsi="宋体" w:eastAsia="宋体" w:cs="宋体"/>
          <w:b/>
          <w:bCs/>
          <w:color w:val="auto"/>
          <w:sz w:val="28"/>
          <w:szCs w:val="28"/>
        </w:rPr>
      </w:pPr>
      <w:r>
        <w:rPr>
          <w:rFonts w:hint="eastAsia" w:ascii="宋体" w:hAnsi="宋体" w:eastAsia="宋体" w:cs="宋体"/>
          <w:color w:val="auto"/>
          <w:sz w:val="28"/>
          <w:szCs w:val="28"/>
        </w:rPr>
        <w:t>（投标人格式自拟，应清晰可辨认并加盖单位公章）</w:t>
      </w: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lang w:val="en-US" w:eastAsia="zh-CN"/>
        </w:rPr>
        <w:t>1</w:t>
      </w:r>
      <w:r>
        <w:rPr>
          <w:rFonts w:hint="eastAsia" w:ascii="宋体" w:hAnsi="宋体" w:cs="宋体"/>
          <w:b/>
          <w:bCs/>
          <w:color w:val="auto"/>
          <w:sz w:val="28"/>
          <w:szCs w:val="28"/>
          <w:lang w:val="en-US" w:eastAsia="zh-CN"/>
        </w:rPr>
        <w:t>6</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专业能力</w:t>
      </w:r>
    </w:p>
    <w:p>
      <w:pPr>
        <w:pStyle w:val="12"/>
        <w:ind w:firstLine="480"/>
        <w:jc w:val="center"/>
        <w:rPr>
          <w:rFonts w:hint="eastAsia" w:ascii="宋体" w:hAnsi="宋体" w:eastAsia="宋体" w:cs="宋体"/>
          <w:b/>
          <w:bCs/>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提供教育部官网截图证明文件</w:t>
      </w:r>
      <w:r>
        <w:rPr>
          <w:rFonts w:hint="eastAsia" w:ascii="宋体" w:hAnsi="宋体" w:eastAsia="宋体" w:cs="宋体"/>
          <w:color w:val="auto"/>
          <w:sz w:val="28"/>
          <w:szCs w:val="28"/>
        </w:rPr>
        <w:t>，应清晰可辨认并加盖单位公章）</w:t>
      </w:r>
    </w:p>
    <w:p>
      <w:pPr>
        <w:jc w:val="center"/>
        <w:rPr>
          <w:rFonts w:hint="eastAsia" w:ascii="宋体" w:hAnsi="宋体" w:eastAsia="宋体" w:cs="宋体"/>
          <w:color w:val="auto"/>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lang w:val="en-US" w:eastAsia="zh-CN"/>
        </w:rPr>
        <w:t>1</w:t>
      </w:r>
      <w:r>
        <w:rPr>
          <w:rFonts w:hint="eastAsia" w:ascii="宋体" w:hAnsi="宋体" w:cs="宋体"/>
          <w:b/>
          <w:bCs/>
          <w:color w:val="auto"/>
          <w:sz w:val="28"/>
          <w:szCs w:val="28"/>
          <w:lang w:val="en-US" w:eastAsia="zh-CN"/>
        </w:rPr>
        <w:t>7</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服务承诺</w:t>
      </w: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（投标人格式自拟，应清晰可辨认并加盖单位公章）</w:t>
      </w:r>
    </w:p>
    <w:p>
      <w:pPr>
        <w:widowControl/>
        <w:spacing w:line="560" w:lineRule="exact"/>
        <w:jc w:val="center"/>
        <w:rPr>
          <w:b/>
          <w:color w:val="auto"/>
          <w:sz w:val="30"/>
          <w:szCs w:val="30"/>
          <w:highlight w:val="yellow"/>
        </w:rPr>
      </w:pPr>
      <w:r>
        <w:rPr>
          <w:rFonts w:hint="eastAsia" w:ascii="宋体" w:hAnsi="宋体" w:eastAsia="宋体" w:cs="宋体"/>
          <w:color w:val="auto"/>
          <w:sz w:val="28"/>
          <w:szCs w:val="28"/>
        </w:rPr>
        <w:br w:type="page"/>
      </w:r>
      <w:bookmarkStart w:id="356" w:name="_Toc256000043"/>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w:t>
      </w:r>
      <w:bookmarkEnd w:id="356"/>
      <w:r>
        <w:rPr>
          <w:rFonts w:hint="eastAsia" w:ascii="宋体" w:hAnsi="宋体" w:cs="宋体"/>
          <w:b/>
          <w:bCs/>
          <w:color w:val="auto"/>
          <w:sz w:val="28"/>
          <w:szCs w:val="28"/>
          <w:highlight w:val="none"/>
          <w:lang w:val="en-US" w:eastAsia="zh-CN"/>
        </w:rPr>
        <w:t>中</w:t>
      </w:r>
      <w:r>
        <w:rPr>
          <w:b/>
          <w:color w:val="auto"/>
          <w:sz w:val="28"/>
          <w:szCs w:val="28"/>
          <w:highlight w:val="none"/>
        </w:rPr>
        <w:t>小微企业声明函（如有）</w:t>
      </w:r>
    </w:p>
    <w:p>
      <w:pPr>
        <w:tabs>
          <w:tab w:val="left" w:pos="6300"/>
        </w:tabs>
        <w:snapToGrid w:val="0"/>
        <w:spacing w:line="500" w:lineRule="exact"/>
        <w:jc w:val="center"/>
        <w:outlineLvl w:val="0"/>
        <w:rPr>
          <w:color w:val="auto"/>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本公司（联合体）郑重声明，根据《政府采购促进中小企业发展管理办法》 (财库（2020) 46号）的规定，本公司（联合体）参加</w:t>
      </w: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rPr>
        <w:t>的</w:t>
      </w:r>
      <w:r>
        <w:rPr>
          <w:rFonts w:hint="eastAsia" w:ascii="宋体" w:hAnsi="宋体" w:eastAsia="宋体" w:cs="宋体"/>
          <w:color w:val="auto"/>
          <w:sz w:val="28"/>
          <w:szCs w:val="28"/>
          <w:u w:val="single"/>
        </w:rPr>
        <w:t>（项目名称）</w:t>
      </w:r>
      <w:r>
        <w:rPr>
          <w:rFonts w:hint="eastAsia" w:ascii="宋体" w:hAnsi="宋体" w:eastAsia="宋体" w:cs="宋体"/>
          <w:color w:val="auto"/>
          <w:sz w:val="28"/>
          <w:szCs w:val="28"/>
        </w:rPr>
        <w:t>采购活动，提供的货物全部由符合政策要求的中小企业制造。相关企业（含联合体中的中小企业、签订分包意向协议的中小企业）的具体情况如下：</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(标的名称）</w:t>
      </w:r>
      <w:r>
        <w:rPr>
          <w:rFonts w:hint="eastAsia" w:ascii="宋体" w:hAnsi="宋体" w:eastAsia="宋体" w:cs="宋体"/>
          <w:color w:val="auto"/>
          <w:sz w:val="28"/>
          <w:szCs w:val="28"/>
        </w:rPr>
        <w:t>，属于</w:t>
      </w:r>
      <w:r>
        <w:rPr>
          <w:rFonts w:hint="eastAsia" w:ascii="宋体" w:hAnsi="宋体" w:eastAsia="宋体" w:cs="宋体"/>
          <w:color w:val="auto"/>
          <w:sz w:val="28"/>
          <w:szCs w:val="28"/>
          <w:u w:val="single"/>
        </w:rPr>
        <w:t>（采购文件中明确的所属行业）</w:t>
      </w:r>
      <w:r>
        <w:rPr>
          <w:rFonts w:hint="eastAsia" w:ascii="宋体" w:hAnsi="宋体" w:eastAsia="宋体" w:cs="宋体"/>
          <w:color w:val="auto"/>
          <w:sz w:val="28"/>
          <w:szCs w:val="28"/>
        </w:rPr>
        <w:t>行业；制造商为</w:t>
      </w:r>
      <w:r>
        <w:rPr>
          <w:rFonts w:hint="eastAsia" w:ascii="宋体" w:hAnsi="宋体" w:eastAsia="宋体" w:cs="宋体"/>
          <w:color w:val="auto"/>
          <w:sz w:val="28"/>
          <w:szCs w:val="28"/>
          <w:u w:val="single"/>
        </w:rPr>
        <w:t>（企业名称）</w:t>
      </w:r>
      <w:r>
        <w:rPr>
          <w:rFonts w:hint="eastAsia" w:ascii="宋体" w:hAnsi="宋体" w:eastAsia="宋体" w:cs="宋体"/>
          <w:color w:val="auto"/>
          <w:sz w:val="28"/>
          <w:szCs w:val="28"/>
        </w:rPr>
        <w:t>， 从业人员</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人，营业收入为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万元，资产总额为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万元， 属于</w:t>
      </w:r>
      <w:r>
        <w:rPr>
          <w:rFonts w:hint="eastAsia" w:ascii="宋体" w:hAnsi="宋体" w:eastAsia="宋体" w:cs="宋体"/>
          <w:color w:val="auto"/>
          <w:sz w:val="28"/>
          <w:szCs w:val="28"/>
          <w:u w:val="single"/>
        </w:rPr>
        <w:t>（中型企业、小型企业、微型企业）</w:t>
      </w:r>
      <w:r>
        <w:rPr>
          <w:rFonts w:hint="eastAsia" w:ascii="宋体" w:hAnsi="宋体" w:eastAsia="宋体" w:cs="宋体"/>
          <w:color w:val="auto"/>
          <w:sz w:val="28"/>
          <w:szCs w:val="28"/>
        </w:rPr>
        <w:t>。</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以上企业，不属于大企业的分支机构，不存在控股股东为大企业的情形，也不存在与大企业的负责人为同一人的情形。</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本企业对上述声明内容的真实性负责。如有虚假，将依法承担相应责任。</w:t>
      </w:r>
    </w:p>
    <w:p>
      <w:pPr>
        <w:keepNext w:val="0"/>
        <w:keepLines w:val="0"/>
        <w:pageBreakBefore w:val="0"/>
        <w:widowControl w:val="0"/>
        <w:tabs>
          <w:tab w:val="left" w:pos="6300"/>
        </w:tabs>
        <w:kinsoku/>
        <w:wordWrap/>
        <w:topLinePunct w:val="0"/>
        <w:bidi w:val="0"/>
        <w:snapToGrid w:val="0"/>
        <w:spacing w:line="520" w:lineRule="exact"/>
        <w:ind w:firstLine="584" w:firstLineChars="200"/>
        <w:rPr>
          <w:rFonts w:hint="eastAsia" w:ascii="宋体" w:hAnsi="宋体" w:eastAsia="宋体" w:cs="宋体"/>
          <w:color w:val="auto"/>
          <w:spacing w:val="6"/>
          <w:kern w:val="0"/>
          <w:sz w:val="28"/>
          <w:szCs w:val="28"/>
        </w:rPr>
      </w:pPr>
      <w:r>
        <w:rPr>
          <w:rFonts w:hint="eastAsia" w:ascii="宋体" w:hAnsi="宋体" w:eastAsia="宋体" w:cs="宋体"/>
          <w:color w:val="auto"/>
          <w:spacing w:val="6"/>
          <w:kern w:val="0"/>
          <w:sz w:val="28"/>
          <w:szCs w:val="28"/>
        </w:rPr>
        <w:t xml:space="preserve">      </w:t>
      </w:r>
    </w:p>
    <w:p>
      <w:pPr>
        <w:keepNext w:val="0"/>
        <w:keepLines w:val="0"/>
        <w:pageBreakBefore w:val="0"/>
        <w:widowControl w:val="0"/>
        <w:kinsoku/>
        <w:wordWrap/>
        <w:topLinePunct w:val="0"/>
        <w:bidi w:val="0"/>
        <w:spacing w:line="520" w:lineRule="exact"/>
        <w:rPr>
          <w:rFonts w:hint="eastAsia" w:ascii="宋体" w:hAnsi="宋体" w:eastAsia="宋体" w:cs="宋体"/>
          <w:color w:val="auto"/>
          <w:sz w:val="28"/>
          <w:szCs w:val="28"/>
          <w:u w:val="single"/>
        </w:rPr>
      </w:pPr>
      <w:r>
        <w:rPr>
          <w:rFonts w:hint="eastAsia" w:ascii="宋体" w:hAnsi="宋体" w:eastAsia="宋体" w:cs="宋体"/>
          <w:color w:val="auto"/>
          <w:sz w:val="28"/>
          <w:szCs w:val="28"/>
        </w:rPr>
        <w:t>企业名称：</w:t>
      </w:r>
      <w:r>
        <w:rPr>
          <w:rFonts w:hint="eastAsia" w:ascii="宋体" w:hAnsi="宋体" w:eastAsia="宋体" w:cs="宋体"/>
          <w:bCs/>
          <w:color w:val="auto"/>
          <w:sz w:val="28"/>
          <w:szCs w:val="28"/>
          <w:u w:val="single"/>
        </w:rPr>
        <w:t>（全称）</w:t>
      </w:r>
      <w:r>
        <w:rPr>
          <w:rFonts w:hint="eastAsia" w:ascii="宋体" w:hAnsi="宋体" w:eastAsia="宋体" w:cs="宋体"/>
          <w:color w:val="auto"/>
          <w:sz w:val="28"/>
          <w:szCs w:val="28"/>
          <w:u w:val="single"/>
        </w:rPr>
        <w:t>（盖章）</w:t>
      </w:r>
    </w:p>
    <w:p>
      <w:pPr>
        <w:pStyle w:val="68"/>
        <w:keepNext w:val="0"/>
        <w:keepLines w:val="0"/>
        <w:pageBreakBefore w:val="0"/>
        <w:widowControl w:val="0"/>
        <w:kinsoku/>
        <w:wordWrap/>
        <w:topLinePunct w:val="0"/>
        <w:bidi w:val="0"/>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日期：    年    月   日</w:t>
      </w:r>
    </w:p>
    <w:p>
      <w:pPr>
        <w:spacing w:line="280" w:lineRule="exact"/>
        <w:jc w:val="left"/>
        <w:outlineLvl w:val="0"/>
        <w:rPr>
          <w:rFonts w:hint="eastAsia" w:ascii="宋体" w:hAnsi="宋体" w:eastAsia="宋体" w:cs="宋体"/>
          <w:color w:val="auto"/>
          <w:sz w:val="28"/>
          <w:szCs w:val="28"/>
        </w:rPr>
      </w:pPr>
    </w:p>
    <w:p>
      <w:pPr>
        <w:pStyle w:val="2"/>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rPr>
          <w:rFonts w:hint="eastAsia" w:ascii="宋体" w:hAnsi="宋体" w:eastAsia="宋体" w:cs="宋体"/>
          <w:color w:val="auto"/>
          <w:sz w:val="28"/>
          <w:szCs w:val="28"/>
        </w:rPr>
      </w:pPr>
    </w:p>
    <w:p>
      <w:pPr>
        <w:pStyle w:val="5"/>
        <w:ind w:left="0" w:leftChars="0" w:firstLine="0" w:firstLineChars="0"/>
        <w:rPr>
          <w:rFonts w:hint="eastAsia"/>
          <w:color w:val="auto"/>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0"/>
        <w:rPr>
          <w:rFonts w:hint="eastAsia" w:ascii="宋体" w:hAnsi="宋体" w:eastAsia="宋体" w:cs="宋体"/>
          <w:color w:val="auto"/>
          <w:sz w:val="28"/>
          <w:szCs w:val="28"/>
        </w:rPr>
      </w:pPr>
      <w:r>
        <w:rPr>
          <w:rFonts w:hint="eastAsia" w:ascii="宋体" w:hAnsi="宋体" w:eastAsia="宋体" w:cs="宋体"/>
          <w:color w:val="auto"/>
          <w:sz w:val="28"/>
          <w:szCs w:val="28"/>
        </w:rPr>
        <w:t>说明：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如所有货物均为中小微企业制造的，须提供《声明函》，声明函内容不实的，属于提供虚假材料谋取中标、成交，依照《中华人民共和国政府采购法》等国家有关规定追究相应责任。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从业人员、营业收入、资产总额填报上一年度数据， 无上一年度数据的新成立企业可不填报。</w:t>
      </w:r>
    </w:p>
    <w:p>
      <w:pPr>
        <w:tabs>
          <w:tab w:val="left" w:pos="6300"/>
        </w:tabs>
        <w:snapToGrid w:val="0"/>
        <w:spacing w:line="500" w:lineRule="exact"/>
        <w:ind w:firstLine="562" w:firstLineChars="200"/>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19、</w:t>
      </w:r>
      <w:r>
        <w:rPr>
          <w:rFonts w:hint="eastAsia" w:ascii="宋体" w:hAnsi="宋体" w:eastAsia="宋体" w:cs="宋体"/>
          <w:b/>
          <w:color w:val="auto"/>
          <w:sz w:val="28"/>
          <w:szCs w:val="28"/>
          <w:highlight w:val="none"/>
        </w:rPr>
        <w:t>残疾人福利性单位声明函（如有）</w:t>
      </w:r>
    </w:p>
    <w:p>
      <w:pPr>
        <w:tabs>
          <w:tab w:val="left" w:pos="6300"/>
        </w:tabs>
        <w:snapToGrid w:val="0"/>
        <w:spacing w:line="500" w:lineRule="exact"/>
        <w:ind w:firstLine="480" w:firstLineChars="200"/>
        <w:rPr>
          <w:color w:val="auto"/>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color w:val="auto"/>
          <w:sz w:val="28"/>
          <w:szCs w:val="28"/>
        </w:rPr>
      </w:pPr>
      <w:r>
        <w:rPr>
          <w:color w:val="auto"/>
          <w:sz w:val="28"/>
          <w:szCs w:val="28"/>
        </w:rPr>
        <w:t>本单位郑重声明，根据《财政部 民政部 中国残疾人联合会关于促进残疾人就业政府采购政策的通知》（财库〔2017〕 141号）的规定，本单位为符合条件的残疾人福利性单位，且本单位参加</w:t>
      </w:r>
      <w:r>
        <w:rPr>
          <w:color w:val="auto"/>
          <w:sz w:val="28"/>
          <w:szCs w:val="28"/>
          <w:u w:val="single"/>
        </w:rPr>
        <w:t>（采购人）</w:t>
      </w:r>
      <w:r>
        <w:rPr>
          <w:color w:val="auto"/>
          <w:sz w:val="28"/>
          <w:szCs w:val="28"/>
        </w:rPr>
        <w:t>单位的</w:t>
      </w:r>
      <w:r>
        <w:rPr>
          <w:rFonts w:hint="eastAsia" w:ascii="宋体" w:hAnsi="宋体" w:eastAsia="宋体" w:cs="宋体"/>
          <w:color w:val="auto"/>
          <w:sz w:val="28"/>
          <w:szCs w:val="28"/>
          <w:u w:val="single"/>
        </w:rPr>
        <w:t xml:space="preserve"> (标的名称）</w:t>
      </w:r>
      <w:r>
        <w:rPr>
          <w:color w:val="auto"/>
          <w:sz w:val="28"/>
          <w:szCs w:val="28"/>
        </w:rPr>
        <w:t>项目采购活动提供本单位制造的货物</w:t>
      </w:r>
      <w:r>
        <w:rPr>
          <w:color w:val="auto"/>
          <w:sz w:val="28"/>
          <w:szCs w:val="28"/>
          <w:u w:val="single"/>
        </w:rPr>
        <w:t>（由本单位承担工程/提供服务）</w:t>
      </w:r>
      <w:r>
        <w:rPr>
          <w:color w:val="auto"/>
          <w:sz w:val="28"/>
          <w:szCs w:val="28"/>
        </w:rPr>
        <w:t>，或者提供其他残疾人福利性单位制造的货物（不包括使用非残疾人福利性单位注册商标的货物）。</w:t>
      </w:r>
    </w:p>
    <w:p>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color w:val="auto"/>
          <w:sz w:val="28"/>
          <w:szCs w:val="28"/>
        </w:rPr>
      </w:pPr>
      <w:r>
        <w:rPr>
          <w:color w:val="auto"/>
          <w:sz w:val="28"/>
          <w:szCs w:val="28"/>
        </w:rPr>
        <w:t>本单位对上述声明的真实性负责。如有虚假，将依法承担相应责任。</w:t>
      </w:r>
    </w:p>
    <w:p>
      <w:pPr>
        <w:tabs>
          <w:tab w:val="left" w:pos="6300"/>
        </w:tabs>
        <w:snapToGrid w:val="0"/>
        <w:spacing w:line="500" w:lineRule="exact"/>
        <w:ind w:firstLine="560" w:firstLineChars="200"/>
        <w:rPr>
          <w:rFonts w:eastAsia="方正仿宋_GBK"/>
          <w:color w:val="auto"/>
          <w:sz w:val="28"/>
          <w:szCs w:val="28"/>
        </w:rPr>
      </w:pPr>
    </w:p>
    <w:p>
      <w:pPr>
        <w:spacing w:line="460" w:lineRule="exact"/>
        <w:rPr>
          <w:color w:val="auto"/>
          <w:sz w:val="28"/>
          <w:szCs w:val="28"/>
        </w:rPr>
      </w:pPr>
      <w:r>
        <w:rPr>
          <w:bCs/>
          <w:color w:val="auto"/>
          <w:sz w:val="28"/>
          <w:szCs w:val="28"/>
        </w:rPr>
        <w:t>投标单位：</w:t>
      </w:r>
      <w:r>
        <w:rPr>
          <w:bCs/>
          <w:color w:val="auto"/>
          <w:sz w:val="28"/>
          <w:szCs w:val="28"/>
          <w:u w:val="single"/>
        </w:rPr>
        <w:t xml:space="preserve">   （全称）（盖章）  </w:t>
      </w:r>
    </w:p>
    <w:p>
      <w:pPr>
        <w:pStyle w:val="15"/>
        <w:spacing w:line="420" w:lineRule="exact"/>
        <w:rPr>
          <w:rFonts w:ascii="Times New Roman" w:hAnsi="Times New Roman"/>
          <w:bCs/>
          <w:color w:val="auto"/>
          <w:sz w:val="28"/>
          <w:szCs w:val="28"/>
        </w:rPr>
      </w:pPr>
      <w:r>
        <w:rPr>
          <w:rFonts w:ascii="Times New Roman" w:hAnsi="Times New Roman"/>
          <w:bCs/>
          <w:color w:val="auto"/>
          <w:sz w:val="28"/>
          <w:szCs w:val="28"/>
        </w:rPr>
        <w:t>法定代表人或委托代理人：</w:t>
      </w:r>
      <w:r>
        <w:rPr>
          <w:rFonts w:ascii="Times New Roman" w:hAnsi="Times New Roman"/>
          <w:bCs/>
          <w:color w:val="auto"/>
          <w:sz w:val="28"/>
          <w:szCs w:val="28"/>
          <w:u w:val="single"/>
        </w:rPr>
        <w:t>（签字或盖章）</w:t>
      </w:r>
    </w:p>
    <w:p>
      <w:pPr>
        <w:widowControl/>
        <w:adjustRightInd w:val="0"/>
        <w:snapToGrid w:val="0"/>
        <w:spacing w:line="420" w:lineRule="exact"/>
        <w:rPr>
          <w:color w:val="auto"/>
          <w:sz w:val="28"/>
          <w:szCs w:val="28"/>
        </w:rPr>
      </w:pPr>
      <w:r>
        <w:rPr>
          <w:color w:val="auto"/>
          <w:spacing w:val="6"/>
          <w:kern w:val="0"/>
          <w:sz w:val="28"/>
          <w:szCs w:val="28"/>
        </w:rPr>
        <w:t>日期：</w:t>
      </w:r>
      <w:r>
        <w:rPr>
          <w:color w:val="auto"/>
          <w:sz w:val="28"/>
          <w:szCs w:val="28"/>
          <w:u w:val="single"/>
        </w:rPr>
        <w:t xml:space="preserve">        </w:t>
      </w:r>
      <w:r>
        <w:rPr>
          <w:color w:val="auto"/>
          <w:sz w:val="28"/>
          <w:szCs w:val="28"/>
        </w:rPr>
        <w:t>年</w:t>
      </w:r>
      <w:r>
        <w:rPr>
          <w:color w:val="auto"/>
          <w:sz w:val="28"/>
          <w:szCs w:val="28"/>
          <w:u w:val="single"/>
        </w:rPr>
        <w:t xml:space="preserve">    </w:t>
      </w:r>
      <w:r>
        <w:rPr>
          <w:color w:val="auto"/>
          <w:sz w:val="28"/>
          <w:szCs w:val="28"/>
        </w:rPr>
        <w:t>月</w:t>
      </w:r>
      <w:r>
        <w:rPr>
          <w:color w:val="auto"/>
          <w:sz w:val="28"/>
          <w:szCs w:val="28"/>
          <w:u w:val="single"/>
        </w:rPr>
        <w:t xml:space="preserve">   </w:t>
      </w:r>
      <w:r>
        <w:rPr>
          <w:color w:val="auto"/>
          <w:sz w:val="28"/>
          <w:szCs w:val="28"/>
        </w:rPr>
        <w:t>日</w:t>
      </w:r>
    </w:p>
    <w:p>
      <w:pPr>
        <w:widowControl/>
        <w:spacing w:line="440" w:lineRule="exact"/>
        <w:ind w:firstLine="560" w:firstLineChars="200"/>
        <w:jc w:val="left"/>
        <w:rPr>
          <w:color w:val="auto"/>
          <w:sz w:val="28"/>
          <w:szCs w:val="28"/>
        </w:rPr>
      </w:pPr>
    </w:p>
    <w:p>
      <w:pPr>
        <w:widowControl/>
        <w:spacing w:line="440" w:lineRule="exact"/>
        <w:ind w:firstLine="560" w:firstLineChars="200"/>
        <w:jc w:val="left"/>
        <w:rPr>
          <w:color w:val="auto"/>
          <w:sz w:val="28"/>
          <w:szCs w:val="28"/>
        </w:rPr>
      </w:pPr>
      <w:r>
        <w:rPr>
          <w:color w:val="auto"/>
          <w:sz w:val="28"/>
          <w:szCs w:val="28"/>
        </w:rPr>
        <w:t>注：须提供证明材料（能反映出企业残疾人的占比等情况的材料及残疾人证等）。</w:t>
      </w:r>
    </w:p>
    <w:p>
      <w:pPr>
        <w:pStyle w:val="51"/>
        <w:adjustRightInd w:val="0"/>
        <w:snapToGrid w:val="0"/>
        <w:spacing w:line="360" w:lineRule="auto"/>
        <w:ind w:firstLine="700" w:firstLineChars="250"/>
        <w:rPr>
          <w:rFonts w:hint="eastAsia" w:ascii="宋体" w:hAnsi="宋体" w:eastAsia="宋体" w:cs="宋体"/>
          <w:color w:val="auto"/>
          <w:sz w:val="28"/>
          <w:szCs w:val="28"/>
        </w:rPr>
      </w:pPr>
    </w:p>
    <w:p>
      <w:pPr>
        <w:pStyle w:val="52"/>
        <w:spacing w:line="440" w:lineRule="exact"/>
        <w:ind w:firstLine="420"/>
        <w:jc w:val="center"/>
        <w:rPr>
          <w:rFonts w:hint="eastAsia" w:ascii="宋体" w:hAnsi="宋体" w:eastAsia="宋体" w:cs="宋体"/>
          <w:b/>
          <w:bCs/>
          <w:color w:val="auto"/>
          <w:spacing w:val="6"/>
          <w:sz w:val="28"/>
          <w:szCs w:val="28"/>
        </w:rPr>
      </w:pPr>
    </w:p>
    <w:p>
      <w:pPr>
        <w:widowControl/>
        <w:spacing w:line="560" w:lineRule="exact"/>
        <w:jc w:val="center"/>
        <w:rPr>
          <w:rFonts w:eastAsia="方正仿宋_GBK"/>
          <w:color w:val="auto"/>
          <w:highlight w:val="yellow"/>
        </w:rPr>
      </w:pPr>
      <w:r>
        <w:rPr>
          <w:rFonts w:hint="eastAsia" w:ascii="宋体" w:hAnsi="宋体" w:cs="宋体"/>
          <w:b/>
          <w:bCs/>
          <w:color w:val="auto"/>
          <w:sz w:val="28"/>
          <w:szCs w:val="28"/>
          <w:lang w:val="en-US" w:eastAsia="zh-CN"/>
        </w:rPr>
        <w:br w:type="page"/>
      </w:r>
      <w:r>
        <w:rPr>
          <w:rFonts w:hint="eastAsia" w:ascii="宋体" w:hAnsi="宋体" w:eastAsia="宋体" w:cs="宋体"/>
          <w:b/>
          <w:color w:val="auto"/>
          <w:sz w:val="28"/>
          <w:szCs w:val="28"/>
          <w:highlight w:val="none"/>
          <w:lang w:val="en-US" w:eastAsia="zh-CN"/>
        </w:rPr>
        <w:t>20、</w:t>
      </w:r>
      <w:r>
        <w:rPr>
          <w:b/>
          <w:color w:val="auto"/>
          <w:sz w:val="28"/>
          <w:szCs w:val="28"/>
          <w:highlight w:val="none"/>
        </w:rPr>
        <w:t>监狱企业证明文件（如有）</w:t>
      </w:r>
    </w:p>
    <w:p>
      <w:pPr>
        <w:spacing w:line="400" w:lineRule="exact"/>
        <w:ind w:firstLine="480" w:firstLineChars="200"/>
        <w:jc w:val="left"/>
        <w:rPr>
          <w:color w:val="auto"/>
          <w:sz w:val="24"/>
        </w:rPr>
      </w:pPr>
    </w:p>
    <w:p>
      <w:pPr>
        <w:spacing w:line="400" w:lineRule="exact"/>
        <w:ind w:firstLine="560" w:firstLineChars="200"/>
        <w:jc w:val="left"/>
        <w:rPr>
          <w:rFonts w:hint="eastAsia" w:eastAsia="宋体"/>
          <w:color w:val="auto"/>
          <w:sz w:val="28"/>
          <w:szCs w:val="28"/>
          <w:lang w:eastAsia="zh-CN"/>
        </w:rPr>
      </w:pPr>
      <w:r>
        <w:rPr>
          <w:color w:val="auto"/>
          <w:sz w:val="28"/>
          <w:szCs w:val="28"/>
        </w:rPr>
        <w:t>1</w:t>
      </w:r>
      <w:r>
        <w:rPr>
          <w:rFonts w:hint="eastAsia"/>
          <w:color w:val="auto"/>
          <w:sz w:val="28"/>
          <w:szCs w:val="28"/>
          <w:lang w:eastAsia="zh-CN"/>
        </w:rPr>
        <w:t>、</w:t>
      </w:r>
      <w:r>
        <w:rPr>
          <w:color w:val="auto"/>
          <w:sz w:val="28"/>
          <w:szCs w:val="28"/>
        </w:rPr>
        <w:t>监狱企业证明（如属于监狱企业，需提供由省级以上监狱管理局、戒毒管理局（含新疆生产建设兵团）出具的属于监狱企业的证明文件）</w:t>
      </w:r>
      <w:r>
        <w:rPr>
          <w:rFonts w:hint="eastAsia"/>
          <w:color w:val="auto"/>
          <w:sz w:val="28"/>
          <w:szCs w:val="28"/>
          <w:lang w:eastAsia="zh-CN"/>
        </w:rPr>
        <w:t>。</w:t>
      </w:r>
    </w:p>
    <w:p>
      <w:pPr>
        <w:spacing w:line="400" w:lineRule="exact"/>
        <w:ind w:firstLine="560" w:firstLineChars="200"/>
        <w:jc w:val="left"/>
        <w:rPr>
          <w:color w:val="auto"/>
          <w:sz w:val="28"/>
          <w:szCs w:val="28"/>
        </w:rPr>
      </w:pPr>
      <w:r>
        <w:rPr>
          <w:color w:val="auto"/>
          <w:sz w:val="28"/>
          <w:szCs w:val="28"/>
        </w:rPr>
        <w:t>2</w:t>
      </w:r>
      <w:r>
        <w:rPr>
          <w:rFonts w:hint="eastAsia"/>
          <w:color w:val="auto"/>
          <w:sz w:val="28"/>
          <w:szCs w:val="28"/>
          <w:lang w:eastAsia="zh-CN"/>
        </w:rPr>
        <w:t>、</w:t>
      </w:r>
      <w:r>
        <w:rPr>
          <w:color w:val="auto"/>
          <w:sz w:val="28"/>
          <w:szCs w:val="28"/>
        </w:rPr>
        <w:t>证明材料加盖投标人公章。</w:t>
      </w:r>
    </w:p>
    <w:p>
      <w:pPr>
        <w:widowControl/>
        <w:spacing w:line="440" w:lineRule="exact"/>
        <w:ind w:firstLine="560" w:firstLineChars="200"/>
        <w:jc w:val="left"/>
        <w:rPr>
          <w:color w:val="auto"/>
          <w:sz w:val="28"/>
          <w:szCs w:val="28"/>
        </w:rPr>
      </w:pPr>
    </w:p>
    <w:p>
      <w:pPr>
        <w:rPr>
          <w:rFonts w:hint="eastAsia" w:ascii="宋体" w:hAnsi="宋体" w:cs="宋体"/>
          <w:b/>
          <w:bCs/>
          <w:color w:val="auto"/>
          <w:sz w:val="28"/>
          <w:szCs w:val="28"/>
          <w:lang w:val="en-US" w:eastAsia="zh-CN"/>
        </w:rPr>
      </w:pPr>
    </w:p>
    <w:p>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pPr>
        <w:widowControl/>
        <w:tabs>
          <w:tab w:val="left" w:pos="3568"/>
        </w:tabs>
        <w:spacing w:before="100" w:beforeAutospacing="1" w:after="100" w:afterAutospacing="1" w:line="480" w:lineRule="exact"/>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21、</w:t>
      </w:r>
      <w:r>
        <w:rPr>
          <w:rFonts w:hint="eastAsia" w:ascii="宋体" w:hAnsi="宋体" w:eastAsia="宋体" w:cs="宋体"/>
          <w:b/>
          <w:color w:val="auto"/>
          <w:sz w:val="28"/>
          <w:szCs w:val="28"/>
          <w:highlight w:val="none"/>
        </w:rPr>
        <w:t>投标单位反商业贿赂承诺书</w:t>
      </w:r>
    </w:p>
    <w:p>
      <w:pPr>
        <w:keepNext w:val="0"/>
        <w:keepLines w:val="0"/>
        <w:pageBreakBefore w:val="0"/>
        <w:widowControl/>
        <w:kinsoku/>
        <w:wordWrap/>
        <w:overflowPunct/>
        <w:topLinePunct w:val="0"/>
        <w:autoSpaceDE w:val="0"/>
        <w:autoSpaceDN/>
        <w:bidi w:val="0"/>
        <w:adjustRightInd/>
        <w:snapToGrid/>
        <w:spacing w:before="100" w:beforeAutospacing="1" w:after="100" w:afterAutospacing="1" w:line="720" w:lineRule="exact"/>
        <w:ind w:firstLine="560" w:firstLineChars="200"/>
        <w:jc w:val="left"/>
        <w:textAlignment w:val="auto"/>
        <w:rPr>
          <w:color w:val="auto"/>
          <w:sz w:val="28"/>
          <w:szCs w:val="28"/>
          <w:highlight w:val="none"/>
        </w:rPr>
      </w:pPr>
      <w:r>
        <w:rPr>
          <w:color w:val="auto"/>
          <w:sz w:val="28"/>
          <w:szCs w:val="28"/>
          <w:highlight w:val="none"/>
        </w:rPr>
        <w:t>我公司承诺在</w:t>
      </w:r>
      <w:r>
        <w:rPr>
          <w:color w:val="auto"/>
          <w:sz w:val="28"/>
          <w:szCs w:val="28"/>
          <w:highlight w:val="none"/>
          <w:u w:val="single"/>
        </w:rPr>
        <w:t>（项目名称）</w:t>
      </w:r>
      <w:r>
        <w:rPr>
          <w:color w:val="auto"/>
          <w:sz w:val="28"/>
          <w:szCs w:val="28"/>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pStyle w:val="15"/>
        <w:spacing w:after="0" w:line="460" w:lineRule="exact"/>
        <w:ind w:firstLine="3840" w:firstLineChars="1600"/>
        <w:rPr>
          <w:rFonts w:ascii="Times New Roman" w:hAnsi="Times New Roman"/>
          <w:bCs/>
          <w:color w:val="auto"/>
          <w:sz w:val="24"/>
          <w:highlight w:val="none"/>
        </w:rPr>
      </w:pPr>
    </w:p>
    <w:p>
      <w:pPr>
        <w:pStyle w:val="15"/>
        <w:spacing w:after="0" w:line="460" w:lineRule="exact"/>
        <w:ind w:firstLine="3840" w:firstLineChars="1600"/>
        <w:rPr>
          <w:rFonts w:ascii="Times New Roman" w:hAnsi="Times New Roman"/>
          <w:bCs/>
          <w:color w:val="auto"/>
          <w:sz w:val="24"/>
          <w:highlight w:val="none"/>
        </w:rPr>
      </w:pPr>
    </w:p>
    <w:p>
      <w:pPr>
        <w:pStyle w:val="15"/>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Times New Roman" w:hAnsi="Times New Roman"/>
          <w:bCs/>
          <w:color w:val="auto"/>
          <w:sz w:val="28"/>
          <w:szCs w:val="28"/>
          <w:highlight w:val="none"/>
          <w:u w:val="single"/>
        </w:rPr>
      </w:pPr>
      <w:r>
        <w:rPr>
          <w:rFonts w:ascii="Times New Roman" w:hAnsi="Times New Roman"/>
          <w:bCs/>
          <w:color w:val="auto"/>
          <w:sz w:val="28"/>
          <w:szCs w:val="28"/>
          <w:highlight w:val="none"/>
        </w:rPr>
        <w:t>投标单位：</w:t>
      </w:r>
      <w:r>
        <w:rPr>
          <w:rFonts w:ascii="Times New Roman" w:hAnsi="Times New Roman"/>
          <w:bCs/>
          <w:color w:val="auto"/>
          <w:sz w:val="28"/>
          <w:szCs w:val="28"/>
          <w:highlight w:val="none"/>
          <w:u w:val="single"/>
        </w:rPr>
        <w:t xml:space="preserve">   （全称）（盖章）  </w:t>
      </w:r>
    </w:p>
    <w:p>
      <w:pPr>
        <w:pStyle w:val="15"/>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Times New Roman" w:hAnsi="Times New Roman"/>
          <w:bCs/>
          <w:color w:val="auto"/>
          <w:sz w:val="28"/>
          <w:szCs w:val="28"/>
          <w:highlight w:val="none"/>
          <w:u w:val="single"/>
        </w:rPr>
      </w:pPr>
      <w:r>
        <w:rPr>
          <w:rFonts w:ascii="Times New Roman" w:hAnsi="Times New Roman"/>
          <w:bCs/>
          <w:color w:val="auto"/>
          <w:sz w:val="28"/>
          <w:szCs w:val="28"/>
          <w:highlight w:val="none"/>
        </w:rPr>
        <w:t>法定代表人或委托代理人：</w:t>
      </w:r>
      <w:r>
        <w:rPr>
          <w:rFonts w:ascii="Times New Roman" w:hAnsi="Times New Roman"/>
          <w:bCs/>
          <w:color w:val="auto"/>
          <w:sz w:val="28"/>
          <w:szCs w:val="28"/>
          <w:highlight w:val="none"/>
          <w:u w:val="single"/>
        </w:rPr>
        <w:t>（签字或盖章）</w:t>
      </w:r>
    </w:p>
    <w:p>
      <w:pPr>
        <w:pStyle w:val="15"/>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Times New Roman" w:hAnsi="Times New Roman"/>
          <w:color w:val="auto"/>
          <w:sz w:val="28"/>
          <w:szCs w:val="28"/>
          <w:highlight w:val="none"/>
        </w:rPr>
      </w:pPr>
      <w:r>
        <w:rPr>
          <w:rFonts w:ascii="Times New Roman" w:hAnsi="Times New Roman"/>
          <w:color w:val="auto"/>
          <w:sz w:val="28"/>
          <w:szCs w:val="28"/>
          <w:highlight w:val="none"/>
        </w:rPr>
        <w:t>日 期：</w:t>
      </w:r>
      <w:r>
        <w:rPr>
          <w:rFonts w:ascii="Times New Roman" w:hAnsi="Times New Roman"/>
          <w:bCs/>
          <w:color w:val="auto"/>
          <w:sz w:val="28"/>
          <w:szCs w:val="28"/>
          <w:highlight w:val="none"/>
          <w:u w:val="single"/>
        </w:rPr>
        <w:t>　　</w:t>
      </w:r>
      <w:r>
        <w:rPr>
          <w:rFonts w:ascii="Times New Roman" w:hAnsi="Times New Roman"/>
          <w:bCs/>
          <w:color w:val="auto"/>
          <w:sz w:val="28"/>
          <w:szCs w:val="28"/>
          <w:highlight w:val="none"/>
        </w:rPr>
        <w:t>年</w:t>
      </w:r>
      <w:r>
        <w:rPr>
          <w:rFonts w:ascii="Times New Roman" w:hAnsi="Times New Roman"/>
          <w:bCs/>
          <w:color w:val="auto"/>
          <w:sz w:val="28"/>
          <w:szCs w:val="28"/>
          <w:highlight w:val="none"/>
          <w:u w:val="single"/>
        </w:rPr>
        <w:t>　</w:t>
      </w:r>
      <w:r>
        <w:rPr>
          <w:rFonts w:ascii="Times New Roman" w:hAnsi="Times New Roman"/>
          <w:bCs/>
          <w:color w:val="auto"/>
          <w:sz w:val="28"/>
          <w:szCs w:val="28"/>
          <w:highlight w:val="none"/>
        </w:rPr>
        <w:t>月</w:t>
      </w:r>
      <w:r>
        <w:rPr>
          <w:rFonts w:ascii="Times New Roman" w:hAnsi="Times New Roman"/>
          <w:bCs/>
          <w:color w:val="auto"/>
          <w:sz w:val="28"/>
          <w:szCs w:val="28"/>
          <w:highlight w:val="none"/>
          <w:u w:val="single"/>
        </w:rPr>
        <w:t xml:space="preserve">  </w:t>
      </w:r>
      <w:r>
        <w:rPr>
          <w:rFonts w:ascii="Times New Roman" w:hAnsi="Times New Roman"/>
          <w:bCs/>
          <w:color w:val="auto"/>
          <w:sz w:val="28"/>
          <w:szCs w:val="28"/>
          <w:highlight w:val="none"/>
        </w:rPr>
        <w:t>日</w:t>
      </w:r>
    </w:p>
    <w:p>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pPr>
        <w:numPr>
          <w:ilvl w:val="0"/>
          <w:numId w:val="0"/>
        </w:numPr>
        <w:jc w:val="center"/>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22、</w:t>
      </w:r>
      <w:r>
        <w:rPr>
          <w:rFonts w:hint="eastAsia" w:ascii="宋体" w:hAnsi="宋体" w:eastAsia="宋体" w:cs="宋体"/>
          <w:b/>
          <w:bCs/>
          <w:color w:val="auto"/>
          <w:sz w:val="28"/>
          <w:szCs w:val="28"/>
        </w:rPr>
        <w:t>其他材料</w:t>
      </w:r>
    </w:p>
    <w:p>
      <w:pPr>
        <w:numPr>
          <w:ilvl w:val="0"/>
          <w:numId w:val="0"/>
        </w:numPr>
        <w:jc w:val="center"/>
        <w:rPr>
          <w:rFonts w:hint="eastAsia" w:ascii="宋体" w:hAnsi="宋体" w:eastAsia="宋体" w:cs="宋体"/>
          <w:color w:val="auto"/>
          <w:sz w:val="28"/>
          <w:szCs w:val="28"/>
        </w:rPr>
      </w:pPr>
      <w:r>
        <w:rPr>
          <w:rFonts w:hint="eastAsia" w:ascii="宋体" w:hAnsi="宋体" w:eastAsia="宋体" w:cs="宋体"/>
          <w:color w:val="auto"/>
          <w:sz w:val="28"/>
          <w:szCs w:val="28"/>
        </w:rPr>
        <w:t>（若有投标人格式自拟，应清晰可辨认并加盖单位公章）</w:t>
      </w:r>
    </w:p>
    <w:p>
      <w:pPr>
        <w:rPr>
          <w:rFonts w:hint="eastAsia" w:ascii="宋体" w:hAnsi="宋体" w:eastAsia="宋体" w:cs="宋体"/>
          <w:color w:val="auto"/>
          <w:sz w:val="28"/>
          <w:szCs w:val="28"/>
          <w:highlight w:val="none"/>
        </w:rPr>
      </w:pPr>
    </w:p>
    <w:sectPr>
      <w:headerReference r:id="rId5" w:type="default"/>
      <w:footerReference r:id="rId6" w:type="default"/>
      <w:pgSz w:w="11906" w:h="16838"/>
      <w:pgMar w:top="1440" w:right="1266" w:bottom="1440" w:left="1600" w:header="850" w:footer="10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841B08-2AF6-4F9A-888B-7AA768A0F606}"/>
  </w:font>
  <w:font w:name="黑体">
    <w:panose1 w:val="02010609060101010101"/>
    <w:charset w:val="86"/>
    <w:family w:val="auto"/>
    <w:pitch w:val="default"/>
    <w:sig w:usb0="800002BF" w:usb1="38CF7CFA" w:usb2="00000016" w:usb3="00000000" w:csb0="00040001" w:csb1="00000000"/>
    <w:embedRegular r:id="rId2" w:fontKey="{2AFF1E17-D57F-4A4F-8FFD-21930918C3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auto"/>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embedRegular r:id="rId3" w:fontKey="{16757B10-E87F-47CB-B6D5-93AB9CC316C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left" w:pos="3819"/>
        <w:tab w:val="clear" w:pos="4153"/>
        <w:tab w:val="clear" w:pos="8306"/>
      </w:tabs>
      <w:spacing w:line="320" w:lineRule="exact"/>
      <w:ind w:firstLine="4317" w:firstLineChars="2150"/>
      <w:jc w:val="right"/>
      <w:rPr>
        <w:rFonts w:hint="eastAsia" w:ascii="宋体" w:hAnsi="宋体"/>
        <w:b/>
        <w:bCs/>
        <w:iCs/>
        <w:sz w:val="20"/>
        <w:szCs w:val="20"/>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BC72D"/>
    <w:multiLevelType w:val="singleLevel"/>
    <w:tmpl w:val="826BC72D"/>
    <w:lvl w:ilvl="0" w:tentative="0">
      <w:start w:val="1"/>
      <w:numFmt w:val="decimal"/>
      <w:suff w:val="nothing"/>
      <w:lvlText w:val="（%1）"/>
      <w:lvlJc w:val="left"/>
      <w:pPr>
        <w:ind w:left="210" w:firstLine="0"/>
      </w:pPr>
      <w:rPr>
        <w:rFonts w:hint="default"/>
        <w:b w:val="0"/>
        <w:bCs w:val="0"/>
      </w:rPr>
    </w:lvl>
  </w:abstractNum>
  <w:abstractNum w:abstractNumId="1">
    <w:nsid w:val="83C41DCF"/>
    <w:multiLevelType w:val="singleLevel"/>
    <w:tmpl w:val="83C41DCF"/>
    <w:lvl w:ilvl="0" w:tentative="0">
      <w:start w:val="1"/>
      <w:numFmt w:val="decimal"/>
      <w:suff w:val="nothing"/>
      <w:lvlText w:val="（%1）"/>
      <w:lvlJc w:val="left"/>
      <w:pPr>
        <w:ind w:left="210" w:firstLine="0"/>
      </w:pPr>
      <w:rPr>
        <w:rFonts w:hint="default"/>
        <w:b w:val="0"/>
        <w:bCs w:val="0"/>
      </w:rPr>
    </w:lvl>
  </w:abstractNum>
  <w:abstractNum w:abstractNumId="2">
    <w:nsid w:val="AED10EA2"/>
    <w:multiLevelType w:val="singleLevel"/>
    <w:tmpl w:val="AED10EA2"/>
    <w:lvl w:ilvl="0" w:tentative="0">
      <w:start w:val="1"/>
      <w:numFmt w:val="chineseCounting"/>
      <w:suff w:val="space"/>
      <w:lvlText w:val="第%1章"/>
      <w:lvlJc w:val="left"/>
      <w:rPr>
        <w:rFonts w:hint="eastAsia"/>
      </w:rPr>
    </w:lvl>
  </w:abstractNum>
  <w:abstractNum w:abstractNumId="3">
    <w:nsid w:val="C972028D"/>
    <w:multiLevelType w:val="singleLevel"/>
    <w:tmpl w:val="C972028D"/>
    <w:lvl w:ilvl="0" w:tentative="0">
      <w:start w:val="1"/>
      <w:numFmt w:val="decimal"/>
      <w:suff w:val="nothing"/>
      <w:lvlText w:val="%1、"/>
      <w:lvlJc w:val="left"/>
    </w:lvl>
  </w:abstractNum>
  <w:abstractNum w:abstractNumId="4">
    <w:nsid w:val="CB0BDEAF"/>
    <w:multiLevelType w:val="singleLevel"/>
    <w:tmpl w:val="CB0BDEAF"/>
    <w:lvl w:ilvl="0" w:tentative="0">
      <w:start w:val="5"/>
      <w:numFmt w:val="chineseCounting"/>
      <w:suff w:val="nothing"/>
      <w:lvlText w:val="%1、"/>
      <w:lvlJc w:val="left"/>
      <w:rPr>
        <w:rFonts w:hint="eastAsia"/>
      </w:rPr>
    </w:lvl>
  </w:abstractNum>
  <w:abstractNum w:abstractNumId="5">
    <w:nsid w:val="CF4CB95E"/>
    <w:multiLevelType w:val="singleLevel"/>
    <w:tmpl w:val="CF4CB95E"/>
    <w:lvl w:ilvl="0" w:tentative="0">
      <w:start w:val="1"/>
      <w:numFmt w:val="decimal"/>
      <w:suff w:val="nothing"/>
      <w:lvlText w:val="（%1）"/>
      <w:lvlJc w:val="left"/>
    </w:lvl>
  </w:abstractNum>
  <w:abstractNum w:abstractNumId="6">
    <w:nsid w:val="E49F2893"/>
    <w:multiLevelType w:val="singleLevel"/>
    <w:tmpl w:val="E49F2893"/>
    <w:lvl w:ilvl="0" w:tentative="0">
      <w:start w:val="1"/>
      <w:numFmt w:val="decimal"/>
      <w:suff w:val="nothing"/>
      <w:lvlText w:val="（%1）"/>
      <w:lvlJc w:val="left"/>
      <w:pPr>
        <w:ind w:left="-30"/>
      </w:pPr>
    </w:lvl>
  </w:abstractNum>
  <w:abstractNum w:abstractNumId="7">
    <w:nsid w:val="F90C9291"/>
    <w:multiLevelType w:val="singleLevel"/>
    <w:tmpl w:val="F90C9291"/>
    <w:lvl w:ilvl="0" w:tentative="0">
      <w:start w:val="1"/>
      <w:numFmt w:val="decimal"/>
      <w:pStyle w:val="18"/>
      <w:lvlText w:val="%1."/>
      <w:lvlJc w:val="left"/>
      <w:pPr>
        <w:tabs>
          <w:tab w:val="left" w:pos="2040"/>
        </w:tabs>
        <w:ind w:left="2040" w:hanging="360"/>
      </w:pPr>
    </w:lvl>
  </w:abstractNum>
  <w:abstractNum w:abstractNumId="8">
    <w:nsid w:val="1FEFD155"/>
    <w:multiLevelType w:val="singleLevel"/>
    <w:tmpl w:val="1FEFD155"/>
    <w:lvl w:ilvl="0" w:tentative="0">
      <w:start w:val="1"/>
      <w:numFmt w:val="decimal"/>
      <w:suff w:val="nothing"/>
      <w:lvlText w:val="（%1）"/>
      <w:lvlJc w:val="left"/>
    </w:lvl>
  </w:abstractNum>
  <w:abstractNum w:abstractNumId="9">
    <w:nsid w:val="20A4BD09"/>
    <w:multiLevelType w:val="singleLevel"/>
    <w:tmpl w:val="20A4BD09"/>
    <w:lvl w:ilvl="0" w:tentative="0">
      <w:start w:val="2"/>
      <w:numFmt w:val="upperLetter"/>
      <w:suff w:val="nothing"/>
      <w:lvlText w:val="%1、"/>
      <w:lvlJc w:val="left"/>
      <w:pPr>
        <w:ind w:left="71"/>
      </w:pPr>
    </w:lvl>
  </w:abstractNum>
  <w:abstractNum w:abstractNumId="10">
    <w:nsid w:val="2578947C"/>
    <w:multiLevelType w:val="singleLevel"/>
    <w:tmpl w:val="2578947C"/>
    <w:lvl w:ilvl="0" w:tentative="0">
      <w:start w:val="1"/>
      <w:numFmt w:val="decimal"/>
      <w:suff w:val="nothing"/>
      <w:lvlText w:val="%1．"/>
      <w:lvlJc w:val="left"/>
    </w:lvl>
  </w:abstractNum>
  <w:num w:numId="1">
    <w:abstractNumId w:val="7"/>
  </w:num>
  <w:num w:numId="2">
    <w:abstractNumId w:val="2"/>
  </w:num>
  <w:num w:numId="3">
    <w:abstractNumId w:val="3"/>
  </w:num>
  <w:num w:numId="4">
    <w:abstractNumId w:val="9"/>
  </w:num>
  <w:num w:numId="5">
    <w:abstractNumId w:val="4"/>
  </w:num>
  <w:num w:numId="6">
    <w:abstractNumId w:val="10"/>
  </w:num>
  <w:num w:numId="7">
    <w:abstractNumId w:val="0"/>
  </w:num>
  <w:num w:numId="8">
    <w:abstractNumId w:val="1"/>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NWE5NmE4NDVkNTZjMTU5YTk5Zjg4MDU3OTk4OGUifQ=="/>
  </w:docVars>
  <w:rsids>
    <w:rsidRoot w:val="0C9064D4"/>
    <w:rsid w:val="00160B38"/>
    <w:rsid w:val="00494FFB"/>
    <w:rsid w:val="00CD79DA"/>
    <w:rsid w:val="012F70DA"/>
    <w:rsid w:val="0173034D"/>
    <w:rsid w:val="01B841E6"/>
    <w:rsid w:val="022C4FAA"/>
    <w:rsid w:val="03253AFD"/>
    <w:rsid w:val="037A0439"/>
    <w:rsid w:val="0414276C"/>
    <w:rsid w:val="04276704"/>
    <w:rsid w:val="04516C23"/>
    <w:rsid w:val="0461636B"/>
    <w:rsid w:val="04762150"/>
    <w:rsid w:val="04BE5FB8"/>
    <w:rsid w:val="04C72531"/>
    <w:rsid w:val="04F73278"/>
    <w:rsid w:val="052851DF"/>
    <w:rsid w:val="059311EE"/>
    <w:rsid w:val="068B011B"/>
    <w:rsid w:val="06B12A8D"/>
    <w:rsid w:val="06E03BF5"/>
    <w:rsid w:val="071B558F"/>
    <w:rsid w:val="075334AA"/>
    <w:rsid w:val="076E1E6F"/>
    <w:rsid w:val="07E10FD1"/>
    <w:rsid w:val="08006443"/>
    <w:rsid w:val="08824C74"/>
    <w:rsid w:val="096E0EE2"/>
    <w:rsid w:val="09AD7C25"/>
    <w:rsid w:val="09EF44EC"/>
    <w:rsid w:val="0A4C1970"/>
    <w:rsid w:val="0AA0798A"/>
    <w:rsid w:val="0AC15ADE"/>
    <w:rsid w:val="0B085BAA"/>
    <w:rsid w:val="0B0A7AA7"/>
    <w:rsid w:val="0B297B22"/>
    <w:rsid w:val="0BB3354E"/>
    <w:rsid w:val="0BF86710"/>
    <w:rsid w:val="0BFC5B15"/>
    <w:rsid w:val="0C9064D4"/>
    <w:rsid w:val="0C950148"/>
    <w:rsid w:val="0CCA5F99"/>
    <w:rsid w:val="0D1D3133"/>
    <w:rsid w:val="0D5A25F6"/>
    <w:rsid w:val="0D6578A9"/>
    <w:rsid w:val="0DB177F7"/>
    <w:rsid w:val="0DF02AD2"/>
    <w:rsid w:val="0E1F4617"/>
    <w:rsid w:val="0EA37E63"/>
    <w:rsid w:val="0F78136C"/>
    <w:rsid w:val="0F83228E"/>
    <w:rsid w:val="0FFE1100"/>
    <w:rsid w:val="10305890"/>
    <w:rsid w:val="105D423B"/>
    <w:rsid w:val="105F10BE"/>
    <w:rsid w:val="107B4B37"/>
    <w:rsid w:val="110E1272"/>
    <w:rsid w:val="11346E73"/>
    <w:rsid w:val="139A7BF0"/>
    <w:rsid w:val="14042C01"/>
    <w:rsid w:val="14533AA0"/>
    <w:rsid w:val="15281F49"/>
    <w:rsid w:val="15282FD9"/>
    <w:rsid w:val="15AF4919"/>
    <w:rsid w:val="15FD4466"/>
    <w:rsid w:val="160A26DF"/>
    <w:rsid w:val="167022E5"/>
    <w:rsid w:val="16797F90"/>
    <w:rsid w:val="167B20F5"/>
    <w:rsid w:val="16936495"/>
    <w:rsid w:val="172355D3"/>
    <w:rsid w:val="172D48D7"/>
    <w:rsid w:val="173A1561"/>
    <w:rsid w:val="177C19ED"/>
    <w:rsid w:val="183B78ED"/>
    <w:rsid w:val="188350F6"/>
    <w:rsid w:val="18C014D5"/>
    <w:rsid w:val="18E826D0"/>
    <w:rsid w:val="193410CB"/>
    <w:rsid w:val="19C37774"/>
    <w:rsid w:val="1A041585"/>
    <w:rsid w:val="1A060034"/>
    <w:rsid w:val="1A3B5E15"/>
    <w:rsid w:val="1A3E1390"/>
    <w:rsid w:val="1AB61021"/>
    <w:rsid w:val="1B222279"/>
    <w:rsid w:val="1B883660"/>
    <w:rsid w:val="1B903796"/>
    <w:rsid w:val="1BA36F7E"/>
    <w:rsid w:val="1C4575E9"/>
    <w:rsid w:val="1C46750E"/>
    <w:rsid w:val="1C4F3541"/>
    <w:rsid w:val="1C784846"/>
    <w:rsid w:val="1D462B8D"/>
    <w:rsid w:val="1D743260"/>
    <w:rsid w:val="1D994A74"/>
    <w:rsid w:val="1DA77D6A"/>
    <w:rsid w:val="1E2D0EFA"/>
    <w:rsid w:val="1E4C001E"/>
    <w:rsid w:val="1EBF4A19"/>
    <w:rsid w:val="1F090697"/>
    <w:rsid w:val="1F0E7A66"/>
    <w:rsid w:val="1F2806D1"/>
    <w:rsid w:val="1FC56D5C"/>
    <w:rsid w:val="201C3760"/>
    <w:rsid w:val="203F3C0C"/>
    <w:rsid w:val="208903E6"/>
    <w:rsid w:val="20BE1DAA"/>
    <w:rsid w:val="22047E51"/>
    <w:rsid w:val="22327AE5"/>
    <w:rsid w:val="233B2A3C"/>
    <w:rsid w:val="235E3256"/>
    <w:rsid w:val="238B58C2"/>
    <w:rsid w:val="24D72933"/>
    <w:rsid w:val="24FB6014"/>
    <w:rsid w:val="2541457E"/>
    <w:rsid w:val="259921E3"/>
    <w:rsid w:val="25A20B86"/>
    <w:rsid w:val="25B45FEC"/>
    <w:rsid w:val="25D30D3F"/>
    <w:rsid w:val="25F03EBE"/>
    <w:rsid w:val="26195EA4"/>
    <w:rsid w:val="26FC6074"/>
    <w:rsid w:val="27473793"/>
    <w:rsid w:val="277F21E0"/>
    <w:rsid w:val="27CB6172"/>
    <w:rsid w:val="281F5FF0"/>
    <w:rsid w:val="284A6C2A"/>
    <w:rsid w:val="2861255C"/>
    <w:rsid w:val="2867720B"/>
    <w:rsid w:val="28946F60"/>
    <w:rsid w:val="28C64B8B"/>
    <w:rsid w:val="29132282"/>
    <w:rsid w:val="292C4391"/>
    <w:rsid w:val="297663B6"/>
    <w:rsid w:val="29AB466F"/>
    <w:rsid w:val="29C72969"/>
    <w:rsid w:val="2A452FAC"/>
    <w:rsid w:val="2A511313"/>
    <w:rsid w:val="2AD6270C"/>
    <w:rsid w:val="2B3D4992"/>
    <w:rsid w:val="2B773505"/>
    <w:rsid w:val="2B844FB6"/>
    <w:rsid w:val="2B92119B"/>
    <w:rsid w:val="2BDB188E"/>
    <w:rsid w:val="2BE459DC"/>
    <w:rsid w:val="2C3572B1"/>
    <w:rsid w:val="2C4719E5"/>
    <w:rsid w:val="2C7D1A05"/>
    <w:rsid w:val="2D151838"/>
    <w:rsid w:val="2D450775"/>
    <w:rsid w:val="2DAE631A"/>
    <w:rsid w:val="2EC16203"/>
    <w:rsid w:val="2FB26576"/>
    <w:rsid w:val="2FC11114"/>
    <w:rsid w:val="2FC260AC"/>
    <w:rsid w:val="2FE10559"/>
    <w:rsid w:val="2FF11DD5"/>
    <w:rsid w:val="30074904"/>
    <w:rsid w:val="300D5005"/>
    <w:rsid w:val="304545E8"/>
    <w:rsid w:val="3062249A"/>
    <w:rsid w:val="306C415A"/>
    <w:rsid w:val="30A20D60"/>
    <w:rsid w:val="30B10B46"/>
    <w:rsid w:val="30BA4D13"/>
    <w:rsid w:val="30E107B4"/>
    <w:rsid w:val="30F0194C"/>
    <w:rsid w:val="31AD77A6"/>
    <w:rsid w:val="32037032"/>
    <w:rsid w:val="32087371"/>
    <w:rsid w:val="339A4C4A"/>
    <w:rsid w:val="33BC1F90"/>
    <w:rsid w:val="34172780"/>
    <w:rsid w:val="343155AF"/>
    <w:rsid w:val="34CD1B88"/>
    <w:rsid w:val="35BD1E02"/>
    <w:rsid w:val="360A1C3E"/>
    <w:rsid w:val="363F34AE"/>
    <w:rsid w:val="365D6B2F"/>
    <w:rsid w:val="36C87D58"/>
    <w:rsid w:val="37461371"/>
    <w:rsid w:val="37465815"/>
    <w:rsid w:val="37822F4B"/>
    <w:rsid w:val="37DD04F0"/>
    <w:rsid w:val="38092D74"/>
    <w:rsid w:val="381921EA"/>
    <w:rsid w:val="385153FA"/>
    <w:rsid w:val="385E2FE6"/>
    <w:rsid w:val="399A1E48"/>
    <w:rsid w:val="39DB1648"/>
    <w:rsid w:val="39E80B55"/>
    <w:rsid w:val="3A2B6F44"/>
    <w:rsid w:val="3A395226"/>
    <w:rsid w:val="3A4B6C9E"/>
    <w:rsid w:val="3A5624F3"/>
    <w:rsid w:val="3A7D2E26"/>
    <w:rsid w:val="3A960861"/>
    <w:rsid w:val="3AAF1923"/>
    <w:rsid w:val="3B082FBB"/>
    <w:rsid w:val="3BB05953"/>
    <w:rsid w:val="3C830972"/>
    <w:rsid w:val="3CE8111C"/>
    <w:rsid w:val="3D202664"/>
    <w:rsid w:val="3DA37462"/>
    <w:rsid w:val="3DE51FB0"/>
    <w:rsid w:val="3E6A735A"/>
    <w:rsid w:val="3E791731"/>
    <w:rsid w:val="3F3E5024"/>
    <w:rsid w:val="3F631B49"/>
    <w:rsid w:val="3FD17FE9"/>
    <w:rsid w:val="3FD57736"/>
    <w:rsid w:val="3FF878C8"/>
    <w:rsid w:val="400D7496"/>
    <w:rsid w:val="411124CB"/>
    <w:rsid w:val="41151276"/>
    <w:rsid w:val="412C058A"/>
    <w:rsid w:val="414A5F02"/>
    <w:rsid w:val="4150713F"/>
    <w:rsid w:val="416A48BE"/>
    <w:rsid w:val="41A232F1"/>
    <w:rsid w:val="424412B5"/>
    <w:rsid w:val="426F1BB3"/>
    <w:rsid w:val="42CE5BA1"/>
    <w:rsid w:val="43086074"/>
    <w:rsid w:val="4325739A"/>
    <w:rsid w:val="43422527"/>
    <w:rsid w:val="43452429"/>
    <w:rsid w:val="434D788A"/>
    <w:rsid w:val="437A059A"/>
    <w:rsid w:val="4382430B"/>
    <w:rsid w:val="448716BE"/>
    <w:rsid w:val="44991E3D"/>
    <w:rsid w:val="44B90948"/>
    <w:rsid w:val="44D441AA"/>
    <w:rsid w:val="44E8726F"/>
    <w:rsid w:val="44FA37F7"/>
    <w:rsid w:val="456F0386"/>
    <w:rsid w:val="458D460F"/>
    <w:rsid w:val="45A51597"/>
    <w:rsid w:val="466627C5"/>
    <w:rsid w:val="46A63DB4"/>
    <w:rsid w:val="46C05002"/>
    <w:rsid w:val="46D324F5"/>
    <w:rsid w:val="47073230"/>
    <w:rsid w:val="479567C5"/>
    <w:rsid w:val="47A4208F"/>
    <w:rsid w:val="48CE4280"/>
    <w:rsid w:val="48E30205"/>
    <w:rsid w:val="491713A0"/>
    <w:rsid w:val="49540257"/>
    <w:rsid w:val="49EC30F6"/>
    <w:rsid w:val="4A0F5F3A"/>
    <w:rsid w:val="4A183F9E"/>
    <w:rsid w:val="4A2319E6"/>
    <w:rsid w:val="4A256807"/>
    <w:rsid w:val="4A325D14"/>
    <w:rsid w:val="4B6B71A0"/>
    <w:rsid w:val="4B862B0E"/>
    <w:rsid w:val="4BCD11C3"/>
    <w:rsid w:val="4C0513A3"/>
    <w:rsid w:val="4D07739D"/>
    <w:rsid w:val="4DB03590"/>
    <w:rsid w:val="4DBA7FB0"/>
    <w:rsid w:val="4DCA32CE"/>
    <w:rsid w:val="4DD20896"/>
    <w:rsid w:val="4E0A7728"/>
    <w:rsid w:val="4F204746"/>
    <w:rsid w:val="4FFF6651"/>
    <w:rsid w:val="50684182"/>
    <w:rsid w:val="5075461D"/>
    <w:rsid w:val="50B20B52"/>
    <w:rsid w:val="50C2409B"/>
    <w:rsid w:val="51722AF4"/>
    <w:rsid w:val="519331F1"/>
    <w:rsid w:val="51BA79FF"/>
    <w:rsid w:val="52221698"/>
    <w:rsid w:val="528D5C4E"/>
    <w:rsid w:val="52A566A5"/>
    <w:rsid w:val="52F5420B"/>
    <w:rsid w:val="53A84EA9"/>
    <w:rsid w:val="552C7F09"/>
    <w:rsid w:val="555047E3"/>
    <w:rsid w:val="557E721F"/>
    <w:rsid w:val="558A2C2D"/>
    <w:rsid w:val="55B159F6"/>
    <w:rsid w:val="55BB0D24"/>
    <w:rsid w:val="55EC30D8"/>
    <w:rsid w:val="55FE2F44"/>
    <w:rsid w:val="56143E4C"/>
    <w:rsid w:val="56242D6E"/>
    <w:rsid w:val="56876C56"/>
    <w:rsid w:val="56D55F51"/>
    <w:rsid w:val="56D65085"/>
    <w:rsid w:val="580746F5"/>
    <w:rsid w:val="587D0513"/>
    <w:rsid w:val="5A2850C8"/>
    <w:rsid w:val="5A59483B"/>
    <w:rsid w:val="5AA230B8"/>
    <w:rsid w:val="5B7E4CCE"/>
    <w:rsid w:val="5B982CBF"/>
    <w:rsid w:val="5BC434C2"/>
    <w:rsid w:val="5C095FF6"/>
    <w:rsid w:val="5C11331E"/>
    <w:rsid w:val="5C410A8A"/>
    <w:rsid w:val="5C49708A"/>
    <w:rsid w:val="5C563555"/>
    <w:rsid w:val="5CCE35AE"/>
    <w:rsid w:val="5D521799"/>
    <w:rsid w:val="5D9438EB"/>
    <w:rsid w:val="5D960F7D"/>
    <w:rsid w:val="5E194310"/>
    <w:rsid w:val="5E350A7B"/>
    <w:rsid w:val="5E9640DD"/>
    <w:rsid w:val="5EBB39FF"/>
    <w:rsid w:val="5EE06EC2"/>
    <w:rsid w:val="5EF904B0"/>
    <w:rsid w:val="5F583A99"/>
    <w:rsid w:val="5FFC654F"/>
    <w:rsid w:val="600C6FB6"/>
    <w:rsid w:val="60A012F3"/>
    <w:rsid w:val="61740E88"/>
    <w:rsid w:val="61781296"/>
    <w:rsid w:val="61932B55"/>
    <w:rsid w:val="62061579"/>
    <w:rsid w:val="62622701"/>
    <w:rsid w:val="63161C90"/>
    <w:rsid w:val="632B44D4"/>
    <w:rsid w:val="638E67FA"/>
    <w:rsid w:val="63D5670F"/>
    <w:rsid w:val="63DA5C7B"/>
    <w:rsid w:val="642728BF"/>
    <w:rsid w:val="64CE1BBF"/>
    <w:rsid w:val="655C418B"/>
    <w:rsid w:val="66C20165"/>
    <w:rsid w:val="66DF0EEF"/>
    <w:rsid w:val="66E14A61"/>
    <w:rsid w:val="66FA52C3"/>
    <w:rsid w:val="66FD119D"/>
    <w:rsid w:val="674404DB"/>
    <w:rsid w:val="675468D6"/>
    <w:rsid w:val="675D7562"/>
    <w:rsid w:val="676242EA"/>
    <w:rsid w:val="67677E8E"/>
    <w:rsid w:val="67BC73CD"/>
    <w:rsid w:val="682C29B8"/>
    <w:rsid w:val="68450485"/>
    <w:rsid w:val="68703FA6"/>
    <w:rsid w:val="691974B9"/>
    <w:rsid w:val="693B715C"/>
    <w:rsid w:val="69CB5BA4"/>
    <w:rsid w:val="6A436CB9"/>
    <w:rsid w:val="6A5645D1"/>
    <w:rsid w:val="6AEC2DA7"/>
    <w:rsid w:val="6B5C5803"/>
    <w:rsid w:val="6BED4440"/>
    <w:rsid w:val="6C2100A2"/>
    <w:rsid w:val="6C941004"/>
    <w:rsid w:val="6CB978F3"/>
    <w:rsid w:val="6D6B4986"/>
    <w:rsid w:val="6D7101EF"/>
    <w:rsid w:val="6D80778B"/>
    <w:rsid w:val="6D94090D"/>
    <w:rsid w:val="6E24188D"/>
    <w:rsid w:val="6E2E4C37"/>
    <w:rsid w:val="6E310B8E"/>
    <w:rsid w:val="6E686F02"/>
    <w:rsid w:val="6E8A131C"/>
    <w:rsid w:val="6EFD3551"/>
    <w:rsid w:val="6F1A48B6"/>
    <w:rsid w:val="6F7375A9"/>
    <w:rsid w:val="6FB26BE4"/>
    <w:rsid w:val="6FBF21B1"/>
    <w:rsid w:val="70562C5D"/>
    <w:rsid w:val="70C90342"/>
    <w:rsid w:val="717E0D66"/>
    <w:rsid w:val="71972F19"/>
    <w:rsid w:val="7228201D"/>
    <w:rsid w:val="72676B51"/>
    <w:rsid w:val="72C139C6"/>
    <w:rsid w:val="733A0FCB"/>
    <w:rsid w:val="73526B12"/>
    <w:rsid w:val="73527B1D"/>
    <w:rsid w:val="737F299A"/>
    <w:rsid w:val="73924331"/>
    <w:rsid w:val="742B719F"/>
    <w:rsid w:val="749A746A"/>
    <w:rsid w:val="751D573A"/>
    <w:rsid w:val="754603CB"/>
    <w:rsid w:val="755B61ED"/>
    <w:rsid w:val="75882579"/>
    <w:rsid w:val="763C08B1"/>
    <w:rsid w:val="76BF3FB4"/>
    <w:rsid w:val="76C57357"/>
    <w:rsid w:val="7715113D"/>
    <w:rsid w:val="772655DB"/>
    <w:rsid w:val="77324E93"/>
    <w:rsid w:val="77505319"/>
    <w:rsid w:val="777F25C0"/>
    <w:rsid w:val="77963398"/>
    <w:rsid w:val="779D28DA"/>
    <w:rsid w:val="78177BE5"/>
    <w:rsid w:val="783D0DCB"/>
    <w:rsid w:val="78766686"/>
    <w:rsid w:val="78B55386"/>
    <w:rsid w:val="78B611AB"/>
    <w:rsid w:val="78DB3387"/>
    <w:rsid w:val="78F41CD4"/>
    <w:rsid w:val="79176807"/>
    <w:rsid w:val="794B76C8"/>
    <w:rsid w:val="79833549"/>
    <w:rsid w:val="7A632AD9"/>
    <w:rsid w:val="7A7255A6"/>
    <w:rsid w:val="7A767D5F"/>
    <w:rsid w:val="7A84375F"/>
    <w:rsid w:val="7AC10876"/>
    <w:rsid w:val="7ACA0CDA"/>
    <w:rsid w:val="7AF01053"/>
    <w:rsid w:val="7B172047"/>
    <w:rsid w:val="7B935CC8"/>
    <w:rsid w:val="7B95779E"/>
    <w:rsid w:val="7BA00AB4"/>
    <w:rsid w:val="7C1C3A1B"/>
    <w:rsid w:val="7C3554C2"/>
    <w:rsid w:val="7CF229CE"/>
    <w:rsid w:val="7DA42E81"/>
    <w:rsid w:val="7E0E3838"/>
    <w:rsid w:val="7F3C1567"/>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7">
    <w:name w:val="heading 2"/>
    <w:basedOn w:val="1"/>
    <w:next w:val="1"/>
    <w:qFormat/>
    <w:uiPriority w:val="0"/>
    <w:pPr>
      <w:keepNext/>
      <w:keepLines/>
      <w:spacing w:before="260" w:beforeLines="0" w:after="260" w:afterLines="0" w:line="413" w:lineRule="auto"/>
      <w:outlineLvl w:val="1"/>
    </w:pPr>
    <w:rPr>
      <w:rFonts w:ascii="Arial" w:hAnsi="Arial" w:eastAsia="黑体"/>
      <w:kern w:val="2"/>
      <w:sz w:val="32"/>
      <w:szCs w:val="32"/>
      <w:lang w:val="en-US" w:eastAsia="zh-CN" w:bidi="ar-SA"/>
    </w:rPr>
  </w:style>
  <w:style w:type="paragraph" w:styleId="8">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9">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10">
    <w:name w:val="heading 5"/>
    <w:basedOn w:val="1"/>
    <w:next w:val="1"/>
    <w:qFormat/>
    <w:uiPriority w:val="1"/>
    <w:pPr>
      <w:ind w:left="1048" w:hanging="526"/>
      <w:outlineLvl w:val="4"/>
    </w:pPr>
    <w:rPr>
      <w:rFonts w:ascii="Microsoft JhengHei" w:hAnsi="Microsoft JhengHei" w:eastAsia="Microsoft JhengHei" w:cs="Microsoft JhengHei"/>
      <w:b/>
      <w:bCs/>
      <w:sz w:val="21"/>
      <w:szCs w:val="21"/>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0"/>
        <w:tab w:val="left" w:pos="993"/>
        <w:tab w:val="left" w:pos="1134"/>
      </w:tabs>
      <w:ind w:firstLine="420"/>
    </w:pPr>
    <w:rPr>
      <w:rFonts w:ascii="宋体" w:cs="宋体"/>
      <w:kern w:val="0"/>
      <w:szCs w:val="21"/>
    </w:rPr>
  </w:style>
  <w:style w:type="paragraph" w:styleId="3">
    <w:name w:val="Body Text Indent"/>
    <w:basedOn w:val="1"/>
    <w:next w:val="4"/>
    <w:qFormat/>
    <w:uiPriority w:val="0"/>
    <w:pPr>
      <w:ind w:firstLine="420"/>
    </w:pPr>
    <w:rPr>
      <w:kern w:val="1"/>
      <w:sz w:val="21"/>
    </w:rPr>
  </w:style>
  <w:style w:type="paragraph" w:styleId="4">
    <w:name w:val="envelope return"/>
    <w:basedOn w:val="1"/>
    <w:qFormat/>
    <w:uiPriority w:val="0"/>
    <w:pPr>
      <w:snapToGrid w:val="0"/>
    </w:pPr>
    <w:rPr>
      <w:rFonts w:ascii="Arial" w:hAnsi="Arial" w:cs="Arial"/>
    </w:rPr>
  </w:style>
  <w:style w:type="paragraph" w:styleId="5">
    <w:name w:val="List"/>
    <w:basedOn w:val="1"/>
    <w:qFormat/>
    <w:uiPriority w:val="0"/>
    <w:pPr>
      <w:ind w:left="420" w:hanging="420"/>
    </w:pPr>
    <w:rPr>
      <w:sz w:val="24"/>
      <w:szCs w:val="20"/>
    </w:rPr>
  </w:style>
  <w:style w:type="paragraph" w:styleId="11">
    <w:name w:val="index 8"/>
    <w:basedOn w:val="1"/>
    <w:next w:val="1"/>
    <w:qFormat/>
    <w:uiPriority w:val="0"/>
    <w:pPr>
      <w:ind w:left="3920" w:leftChars="1400"/>
    </w:pPr>
  </w:style>
  <w:style w:type="paragraph" w:styleId="12">
    <w:name w:val="Normal Indent"/>
    <w:basedOn w:val="1"/>
    <w:next w:val="1"/>
    <w:unhideWhenUsed/>
    <w:qFormat/>
    <w:uiPriority w:val="0"/>
    <w:pPr>
      <w:ind w:firstLine="420" w:firstLineChars="200"/>
    </w:pPr>
    <w:rPr>
      <w:rFonts w:ascii="Calibri" w:hAnsi="Calibri"/>
    </w:rPr>
  </w:style>
  <w:style w:type="paragraph" w:styleId="13">
    <w:name w:val="toa heading"/>
    <w:basedOn w:val="1"/>
    <w:next w:val="1"/>
    <w:qFormat/>
    <w:uiPriority w:val="0"/>
    <w:pPr>
      <w:spacing w:before="120"/>
    </w:pPr>
    <w:rPr>
      <w:rFonts w:ascii="Arial" w:hAnsi="Arial"/>
      <w:sz w:val="24"/>
      <w:szCs w:val="21"/>
    </w:rPr>
  </w:style>
  <w:style w:type="paragraph" w:styleId="14">
    <w:name w:val="Body Text 3"/>
    <w:basedOn w:val="1"/>
    <w:next w:val="1"/>
    <w:qFormat/>
    <w:uiPriority w:val="0"/>
    <w:rPr>
      <w:rFonts w:ascii="宋体"/>
      <w:sz w:val="24"/>
      <w:szCs w:val="20"/>
    </w:rPr>
  </w:style>
  <w:style w:type="paragraph" w:styleId="15">
    <w:name w:val="Body Text"/>
    <w:basedOn w:val="1"/>
    <w:next w:val="1"/>
    <w:qFormat/>
    <w:uiPriority w:val="0"/>
    <w:pPr>
      <w:spacing w:after="120" w:afterLines="0"/>
    </w:pPr>
  </w:style>
  <w:style w:type="paragraph" w:styleId="16">
    <w:name w:val="toc 3"/>
    <w:basedOn w:val="1"/>
    <w:next w:val="1"/>
    <w:qFormat/>
    <w:uiPriority w:val="0"/>
    <w:pPr>
      <w:ind w:left="840" w:leftChars="400"/>
    </w:pPr>
  </w:style>
  <w:style w:type="paragraph" w:styleId="17">
    <w:name w:val="Plain Text"/>
    <w:basedOn w:val="1"/>
    <w:next w:val="18"/>
    <w:qFormat/>
    <w:uiPriority w:val="0"/>
    <w:rPr>
      <w:rFonts w:ascii="宋体" w:hAnsi="Courier New"/>
      <w:szCs w:val="21"/>
    </w:rPr>
  </w:style>
  <w:style w:type="paragraph" w:styleId="18">
    <w:name w:val="List Number 5"/>
    <w:basedOn w:val="1"/>
    <w:qFormat/>
    <w:uiPriority w:val="0"/>
    <w:pPr>
      <w:numPr>
        <w:ilvl w:val="0"/>
        <w:numId w:val="1"/>
      </w:numPr>
    </w:pPr>
  </w:style>
  <w:style w:type="paragraph" w:styleId="19">
    <w:name w:val="Date"/>
    <w:basedOn w:val="1"/>
    <w:next w:val="1"/>
    <w:qFormat/>
    <w:uiPriority w:val="0"/>
    <w:pPr>
      <w:ind w:left="100" w:leftChars="2500"/>
    </w:pPr>
    <w:rPr>
      <w:rFonts w:ascii="宋体" w:hAnsi="Courier New" w:cs="Courier New"/>
      <w:szCs w:val="21"/>
    </w:rPr>
  </w:style>
  <w:style w:type="paragraph" w:styleId="20">
    <w:name w:val="Body Text Indent 2"/>
    <w:basedOn w:val="1"/>
    <w:qFormat/>
    <w:uiPriority w:val="0"/>
    <w:pPr>
      <w:spacing w:line="540" w:lineRule="exact"/>
      <w:ind w:firstLine="720" w:firstLineChars="225"/>
      <w:jc w:val="left"/>
    </w:pPr>
    <w:rPr>
      <w:rFonts w:ascii="仿宋_GB2312" w:eastAsia="仿宋_GB2312"/>
      <w:sz w:val="32"/>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left" w:pos="840"/>
        <w:tab w:val="right" w:leader="dot" w:pos="8296"/>
      </w:tabs>
      <w:spacing w:line="440" w:lineRule="exact"/>
    </w:pPr>
  </w:style>
  <w:style w:type="paragraph" w:styleId="24">
    <w:name w:val="toc 2"/>
    <w:basedOn w:val="1"/>
    <w:next w:val="1"/>
    <w:qFormat/>
    <w:uiPriority w:val="0"/>
    <w:pPr>
      <w:ind w:left="420" w:leftChars="200"/>
    </w:pPr>
  </w:style>
  <w:style w:type="paragraph" w:styleId="25">
    <w:name w:val="Body Text 2"/>
    <w:basedOn w:val="1"/>
    <w:qFormat/>
    <w:uiPriority w:val="0"/>
    <w:pPr>
      <w:spacing w:after="120" w:line="480" w:lineRule="auto"/>
    </w:pPr>
    <w:rPr>
      <w:szCs w:val="24"/>
    </w:rPr>
  </w:style>
  <w:style w:type="paragraph" w:styleId="26">
    <w:name w:val="Normal (Web)"/>
    <w:basedOn w:val="1"/>
    <w:unhideWhenUsed/>
    <w:qFormat/>
    <w:uiPriority w:val="0"/>
    <w:pPr>
      <w:widowControl/>
      <w:spacing w:before="100" w:beforeAutospacing="1" w:after="100" w:afterAutospacing="1" w:line="440" w:lineRule="exact"/>
      <w:jc w:val="left"/>
    </w:pPr>
    <w:rPr>
      <w:rFonts w:ascii="宋体" w:hAnsi="宋体" w:cs="宋体"/>
      <w:kern w:val="0"/>
      <w:sz w:val="24"/>
    </w:rPr>
  </w:style>
  <w:style w:type="paragraph" w:styleId="27">
    <w:name w:val="index 1"/>
    <w:basedOn w:val="1"/>
    <w:next w:val="1"/>
    <w:qFormat/>
    <w:uiPriority w:val="0"/>
    <w:pPr>
      <w:spacing w:line="220" w:lineRule="exact"/>
      <w:jc w:val="center"/>
    </w:pPr>
    <w:rPr>
      <w:rFonts w:ascii="仿宋_GB2312" w:eastAsia="仿宋_GB2312"/>
      <w:szCs w:val="21"/>
    </w:rPr>
  </w:style>
  <w:style w:type="paragraph" w:styleId="28">
    <w:name w:val="Body Text First Indent"/>
    <w:basedOn w:val="15"/>
    <w:next w:val="1"/>
    <w:qFormat/>
    <w:uiPriority w:val="0"/>
    <w:pPr>
      <w:spacing w:line="540" w:lineRule="exact"/>
      <w:ind w:firstLine="420" w:firstLineChars="100"/>
    </w:pPr>
    <w:rPr>
      <w:rFonts w:eastAsia="仿宋_GB2312"/>
      <w:sz w:val="28"/>
      <w:szCs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paragraph" w:customStyle="1" w:styleId="33">
    <w:name w:val="正文缩进1"/>
    <w:basedOn w:val="1"/>
    <w:qFormat/>
    <w:uiPriority w:val="0"/>
    <w:pPr>
      <w:autoSpaceDE w:val="0"/>
      <w:autoSpaceDN w:val="0"/>
      <w:ind w:firstLine="420" w:firstLineChars="200"/>
      <w:jc w:val="left"/>
    </w:pPr>
    <w:rPr>
      <w:rFonts w:ascii="宋体" w:hAnsi="宋体" w:cs="宋体"/>
      <w:kern w:val="0"/>
      <w:sz w:val="22"/>
      <w:szCs w:val="22"/>
      <w:lang w:val="zh-CN" w:bidi="zh-CN"/>
    </w:rPr>
  </w:style>
  <w:style w:type="paragraph" w:customStyle="1" w:styleId="34">
    <w:name w:val="封面标题1"/>
    <w:basedOn w:val="1"/>
    <w:qFormat/>
    <w:uiPriority w:val="0"/>
    <w:pPr>
      <w:widowControl/>
      <w:spacing w:line="360" w:lineRule="auto"/>
      <w:jc w:val="center"/>
    </w:pPr>
    <w:rPr>
      <w:b/>
      <w:sz w:val="44"/>
      <w:szCs w:val="20"/>
    </w:rPr>
  </w:style>
  <w:style w:type="paragraph" w:customStyle="1" w:styleId="35">
    <w:name w:val="样式 标题 3 + (中文) 黑体 小四 非加粗 段前: 7.8 磅 段后: 0 磅 行距: 固定值 20 磅"/>
    <w:basedOn w:val="8"/>
    <w:qFormat/>
    <w:uiPriority w:val="0"/>
    <w:pPr>
      <w:spacing w:before="0" w:beforeLines="0" w:after="0" w:afterLines="0" w:line="400" w:lineRule="exact"/>
    </w:pPr>
    <w:rPr>
      <w:rFonts w:eastAsia="黑体" w:cs="宋体"/>
      <w:b w:val="0"/>
      <w:bCs w:val="0"/>
      <w:sz w:val="24"/>
      <w:szCs w:val="20"/>
    </w:rPr>
  </w:style>
  <w:style w:type="paragraph" w:customStyle="1" w:styleId="36">
    <w:name w:val="样式 标题 2 + Times New Roman 四号 非加粗 段前: 5 磅 段后: 0 磅 行距: 固定值 20..."/>
    <w:basedOn w:val="7"/>
    <w:qFormat/>
    <w:uiPriority w:val="0"/>
    <w:pPr>
      <w:spacing w:before="100" w:beforeLines="0" w:after="0" w:afterLines="0" w:line="400" w:lineRule="exact"/>
    </w:pPr>
    <w:rPr>
      <w:rFonts w:ascii="Times New Roman" w:hAnsi="Times New Roman" w:cs="宋体"/>
      <w:sz w:val="28"/>
      <w:szCs w:val="20"/>
    </w:rPr>
  </w:style>
  <w:style w:type="character" w:customStyle="1" w:styleId="37">
    <w:name w:val="ca-4"/>
    <w:basedOn w:val="31"/>
    <w:qFormat/>
    <w:uiPriority w:val="0"/>
  </w:style>
  <w:style w:type="paragraph" w:customStyle="1" w:styleId="38">
    <w:name w:val="_Style 7"/>
    <w:basedOn w:val="6"/>
    <w:next w:val="1"/>
    <w:qFormat/>
    <w:uiPriority w:val="0"/>
    <w:pPr>
      <w:outlineLvl w:val="9"/>
    </w:pPr>
  </w:style>
  <w:style w:type="paragraph" w:customStyle="1" w:styleId="39">
    <w:name w:val="p0"/>
    <w:basedOn w:val="1"/>
    <w:qFormat/>
    <w:uiPriority w:val="0"/>
    <w:pPr>
      <w:widowControl/>
    </w:pPr>
    <w:rPr>
      <w:kern w:val="0"/>
      <w:szCs w:val="21"/>
    </w:rPr>
  </w:style>
  <w:style w:type="paragraph" w:customStyle="1" w:styleId="40">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12"/>
    <w:qFormat/>
    <w:uiPriority w:val="0"/>
    <w:rPr>
      <w:rFonts w:ascii="黑体" w:hAnsi="黑体" w:eastAsia="黑体" w:cs="Times New Roman"/>
      <w:b/>
      <w:sz w:val="32"/>
      <w:szCs w:val="24"/>
      <w:lang w:bidi="ar-SA"/>
    </w:rPr>
  </w:style>
  <w:style w:type="paragraph" w:customStyle="1" w:styleId="42">
    <w:name w:val="日期_0"/>
    <w:basedOn w:val="43"/>
    <w:next w:val="43"/>
    <w:qFormat/>
    <w:uiPriority w:val="0"/>
    <w:pPr>
      <w:ind w:left="100" w:leftChars="2500"/>
    </w:pPr>
    <w:rPr>
      <w:rFonts w:ascii="Calibri" w:hAnsi="Calibri" w:eastAsia="宋体"/>
    </w:rPr>
  </w:style>
  <w:style w:type="paragraph" w:customStyle="1" w:styleId="4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6"/>
    <w:qFormat/>
    <w:uiPriority w:val="0"/>
    <w:rPr>
      <w:rFonts w:ascii="黑体" w:hAnsi="黑体" w:eastAsia="黑体" w:cs="Times New Roman"/>
      <w:b/>
      <w:sz w:val="32"/>
      <w:szCs w:val="24"/>
      <w:lang w:val="en-US" w:eastAsia="zh-CN" w:bidi="ar-SA"/>
    </w:rPr>
  </w:style>
  <w:style w:type="paragraph" w:customStyle="1" w:styleId="47">
    <w:name w:val="标题 2_0_0"/>
    <w:basedOn w:val="48"/>
    <w:next w:val="50"/>
    <w:qFormat/>
    <w:uiPriority w:val="0"/>
    <w:pPr>
      <w:outlineLvl w:val="1"/>
    </w:pPr>
    <w:rPr>
      <w:rFonts w:ascii="Calibri" w:hAnsi="Calibri" w:eastAsia="宋体"/>
      <w:lang w:eastAsia="zh-CN"/>
    </w:rPr>
  </w:style>
  <w:style w:type="paragraph" w:customStyle="1" w:styleId="48">
    <w:name w:val="标题 3_0_0"/>
    <w:basedOn w:val="49"/>
    <w:next w:val="49"/>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49">
    <w:name w:val="正文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0">
    <w:name w:val="正文_1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51">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2_0_0_0"/>
    <w:basedOn w:val="53"/>
    <w:next w:val="56"/>
    <w:qFormat/>
    <w:uiPriority w:val="0"/>
    <w:rPr>
      <w:rFonts w:ascii="Calibri" w:hAnsi="Calibri" w:cs="Calibri"/>
      <w:szCs w:val="21"/>
      <w:lang w:bidi="ug-CN"/>
    </w:rPr>
  </w:style>
  <w:style w:type="paragraph" w:customStyle="1" w:styleId="53">
    <w:name w:val="正文_3_0_0_0"/>
    <w:next w:val="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首行缩进 2_2_0_0"/>
    <w:basedOn w:val="55"/>
    <w:unhideWhenUsed/>
    <w:qFormat/>
    <w:uiPriority w:val="99"/>
    <w:pPr>
      <w:ind w:firstLine="420" w:firstLineChars="200"/>
    </w:pPr>
  </w:style>
  <w:style w:type="paragraph" w:customStyle="1" w:styleId="55">
    <w:name w:val="正文文本缩进_3_0_0"/>
    <w:basedOn w:val="53"/>
    <w:unhideWhenUsed/>
    <w:qFormat/>
    <w:uiPriority w:val="0"/>
    <w:pPr>
      <w:spacing w:line="360" w:lineRule="auto"/>
      <w:ind w:firstLine="570"/>
    </w:pPr>
    <w:rPr>
      <w:rFonts w:ascii="宋体" w:hAnsi="宋体"/>
      <w:i/>
      <w:iCs/>
      <w:sz w:val="28"/>
      <w:szCs w:val="20"/>
    </w:rPr>
  </w:style>
  <w:style w:type="paragraph" w:customStyle="1" w:styleId="56">
    <w:name w:val="正文首行缩进 2_4"/>
    <w:basedOn w:val="57"/>
    <w:unhideWhenUsed/>
    <w:qFormat/>
    <w:uiPriority w:val="99"/>
    <w:pPr>
      <w:ind w:firstLine="420" w:firstLineChars="200"/>
    </w:pPr>
  </w:style>
  <w:style w:type="paragraph" w:customStyle="1" w:styleId="57">
    <w:name w:val="正文文本缩进_5"/>
    <w:basedOn w:val="52"/>
    <w:qFormat/>
    <w:uiPriority w:val="0"/>
    <w:pPr>
      <w:spacing w:after="120"/>
      <w:ind w:left="200" w:leftChars="200"/>
    </w:pPr>
  </w:style>
  <w:style w:type="paragraph" w:styleId="58">
    <w:name w:val="List Paragraph"/>
    <w:basedOn w:val="1"/>
    <w:qFormat/>
    <w:uiPriority w:val="34"/>
    <w:pPr>
      <w:ind w:firstLine="420" w:firstLineChars="200"/>
    </w:pPr>
  </w:style>
  <w:style w:type="paragraph" w:customStyle="1" w:styleId="59">
    <w:name w:val="Table Paragraph"/>
    <w:basedOn w:val="1"/>
    <w:qFormat/>
    <w:uiPriority w:val="1"/>
  </w:style>
  <w:style w:type="paragraph" w:customStyle="1" w:styleId="6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正文文本_1"/>
    <w:basedOn w:val="62"/>
    <w:qFormat/>
    <w:uiPriority w:val="0"/>
    <w:pPr>
      <w:spacing w:after="120"/>
    </w:pPr>
    <w:rPr>
      <w:kern w:val="0"/>
      <w:sz w:val="20"/>
    </w:rPr>
  </w:style>
  <w:style w:type="paragraph" w:customStyle="1" w:styleId="62">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64">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Body text|1"/>
    <w:basedOn w:val="1"/>
    <w:qFormat/>
    <w:uiPriority w:val="0"/>
    <w:pPr>
      <w:spacing w:line="418" w:lineRule="auto"/>
      <w:ind w:firstLine="400"/>
    </w:pPr>
    <w:rPr>
      <w:rFonts w:ascii="宋体" w:hAnsi="宋体" w:eastAsia="宋体" w:cs="宋体"/>
      <w:sz w:val="30"/>
      <w:szCs w:val="30"/>
      <w:lang w:val="zh-TW" w:eastAsia="zh-TW" w:bidi="zh-TW"/>
    </w:rPr>
  </w:style>
  <w:style w:type="paragraph" w:customStyle="1" w:styleId="67">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65404</Words>
  <Characters>73106</Characters>
  <Lines>0</Lines>
  <Paragraphs>0</Paragraphs>
  <TotalTime>1</TotalTime>
  <ScaleCrop>false</ScaleCrop>
  <LinksUpToDate>false</LinksUpToDate>
  <CharactersWithSpaces>75708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2022-04-15T03:40:00Z</dcterms:created>
  <dc:creator>NTKO</dc:creator>
  <cp:lastModifiedBy>风雨星辰</cp:lastModifiedBy>
  <dcterms:modified xsi:type="dcterms:W3CDTF">2022-08-17T09:11:51Z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414CB94072514F10A0D070BE727C411F</vt:lpwstr>
  </property>
</Properties>
</file>