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sz w:val="52"/>
          <w:szCs w:val="52"/>
          <w:lang w:eastAsia="zh-CN"/>
        </w:rPr>
      </w:pPr>
      <w:r>
        <w:rPr>
          <w:rFonts w:hint="eastAsia" w:ascii="宋体" w:hAnsi="宋体" w:cs="宋体"/>
          <w:sz w:val="52"/>
          <w:szCs w:val="52"/>
          <w:lang w:eastAsia="zh-CN"/>
        </w:rPr>
        <w:t>乔司街道南区块雨水管道养护项目</w:t>
      </w:r>
    </w:p>
    <w:p>
      <w:pPr>
        <w:adjustRightInd/>
        <w:spacing w:line="360" w:lineRule="auto"/>
        <w:jc w:val="center"/>
        <w:rPr>
          <w:rFonts w:ascii="宋体" w:hAnsi="宋体" w:cs="宋体"/>
          <w:sz w:val="52"/>
          <w:szCs w:val="52"/>
        </w:rPr>
      </w:pPr>
      <w:r>
        <w:rPr>
          <w:rFonts w:hint="eastAsia" w:ascii="宋体" w:hAnsi="宋体" w:cs="宋体"/>
          <w:sz w:val="52"/>
          <w:szCs w:val="52"/>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jc w:val="center"/>
        <w:rPr>
          <w:rFonts w:ascii="宋体" w:hAnsi="宋体" w:cs="宋体"/>
          <w:b/>
          <w:bCs/>
          <w:sz w:val="32"/>
          <w:szCs w:val="32"/>
        </w:rPr>
      </w:pPr>
      <w:r>
        <w:rPr>
          <w:rFonts w:hint="eastAsia" w:ascii="宋体" w:hAnsi="宋体" w:cs="宋体"/>
          <w:b/>
          <w:bCs/>
          <w:sz w:val="32"/>
          <w:szCs w:val="32"/>
        </w:rPr>
        <w:t>编号：（</w:t>
      </w:r>
      <w:r>
        <w:rPr>
          <w:rFonts w:hint="eastAsia" w:ascii="宋体" w:hAnsi="宋体" w:cs="宋体"/>
          <w:b/>
          <w:bCs/>
          <w:sz w:val="32"/>
          <w:szCs w:val="32"/>
          <w:lang w:eastAsia="zh-CN"/>
        </w:rPr>
        <w:t>KYZFCG-2023-006</w:t>
      </w:r>
      <w:r>
        <w:rPr>
          <w:rFonts w:hint="eastAsia" w:ascii="宋体" w:hAnsi="宋体" w:cs="宋体"/>
          <w:b/>
          <w:bCs/>
          <w:sz w:val="32"/>
          <w:szCs w:val="32"/>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2"/>
        <w:rPr>
          <w:rFonts w:cs="宋体"/>
        </w:rPr>
      </w:pPr>
    </w:p>
    <w:p>
      <w:pPr>
        <w:pStyle w:val="3"/>
        <w:ind w:firstLine="472"/>
        <w:rPr>
          <w:rFonts w:hAnsi="宋体" w:eastAsia="宋体"/>
          <w:sz w:val="24"/>
        </w:rPr>
      </w:pPr>
    </w:p>
    <w:p>
      <w:pPr>
        <w:pStyle w:val="3"/>
        <w:ind w:firstLine="472"/>
        <w:rPr>
          <w:rFonts w:hAnsi="宋体" w:eastAsia="宋体"/>
          <w:sz w:val="24"/>
        </w:rPr>
      </w:pPr>
    </w:p>
    <w:p>
      <w:pPr>
        <w:pStyle w:val="3"/>
        <w:ind w:firstLine="472"/>
        <w:rPr>
          <w:rFonts w:hAnsi="宋体" w:eastAsia="宋体"/>
          <w:sz w:val="24"/>
        </w:rPr>
      </w:pPr>
    </w:p>
    <w:p>
      <w:pPr>
        <w:pStyle w:val="3"/>
        <w:ind w:firstLine="472"/>
        <w:rPr>
          <w:rFonts w:hAnsi="宋体" w:eastAsia="宋体"/>
          <w:sz w:val="24"/>
        </w:rPr>
      </w:pPr>
    </w:p>
    <w:p>
      <w:pPr>
        <w:pStyle w:val="3"/>
        <w:ind w:firstLine="472"/>
        <w:rPr>
          <w:rFonts w:hAnsi="宋体" w:eastAsia="宋体"/>
          <w:sz w:val="24"/>
        </w:rPr>
      </w:pPr>
    </w:p>
    <w:p>
      <w:pPr>
        <w:spacing w:line="360" w:lineRule="auto"/>
        <w:rPr>
          <w:rFonts w:ascii="宋体" w:hAnsi="宋体" w:cs="宋体"/>
          <w:sz w:val="32"/>
          <w:szCs w:val="32"/>
        </w:rPr>
      </w:pPr>
    </w:p>
    <w:p>
      <w:pPr>
        <w:snapToGrid w:val="0"/>
        <w:spacing w:line="360" w:lineRule="auto"/>
        <w:jc w:val="center"/>
        <w:outlineLvl w:val="0"/>
        <w:rPr>
          <w:rFonts w:ascii="宋体" w:hAnsi="宋体" w:cs="宋体"/>
          <w:b/>
          <w:sz w:val="36"/>
          <w:szCs w:val="36"/>
        </w:rPr>
      </w:pPr>
      <w:bookmarkStart w:id="0" w:name="_Toc15103"/>
      <w:r>
        <w:rPr>
          <w:rFonts w:hint="eastAsia" w:ascii="宋体" w:hAnsi="宋体" w:cs="宋体"/>
          <w:b/>
          <w:sz w:val="36"/>
          <w:szCs w:val="36"/>
        </w:rPr>
        <w:t>采购人：</w:t>
      </w:r>
      <w:bookmarkEnd w:id="0"/>
      <w:r>
        <w:rPr>
          <w:rFonts w:hint="eastAsia" w:ascii="宋体" w:hAnsi="宋体" w:cs="宋体"/>
          <w:b/>
          <w:sz w:val="36"/>
          <w:szCs w:val="36"/>
        </w:rPr>
        <w:t xml:space="preserve">杭州市临平区人民政府乔司街道办事处 </w:t>
      </w:r>
    </w:p>
    <w:p>
      <w:pPr>
        <w:snapToGrid w:val="0"/>
        <w:spacing w:line="360" w:lineRule="auto"/>
        <w:jc w:val="center"/>
        <w:outlineLvl w:val="0"/>
        <w:rPr>
          <w:rFonts w:hint="eastAsia" w:ascii="宋体" w:hAnsi="宋体" w:eastAsia="宋体" w:cs="宋体"/>
          <w:bCs/>
          <w:sz w:val="28"/>
          <w:szCs w:val="28"/>
          <w:lang w:eastAsia="zh-CN"/>
        </w:rPr>
      </w:pPr>
      <w:bookmarkStart w:id="1" w:name="_Toc5381"/>
      <w:r>
        <w:rPr>
          <w:rFonts w:hint="eastAsia" w:ascii="宋体" w:hAnsi="宋体" w:cs="宋体"/>
          <w:b/>
          <w:sz w:val="36"/>
          <w:szCs w:val="36"/>
        </w:rPr>
        <w:t>采购代理机构：</w:t>
      </w:r>
      <w:bookmarkEnd w:id="1"/>
      <w:r>
        <w:rPr>
          <w:rFonts w:hint="eastAsia" w:ascii="宋体" w:hAnsi="宋体" w:cs="宋体"/>
          <w:b/>
          <w:sz w:val="36"/>
          <w:szCs w:val="36"/>
          <w:lang w:eastAsia="zh-CN"/>
        </w:rPr>
        <w:t>深圳科宇工程顾问有限公司</w:t>
      </w:r>
    </w:p>
    <w:p>
      <w:pPr>
        <w:snapToGrid w:val="0"/>
        <w:spacing w:line="360" w:lineRule="auto"/>
        <w:jc w:val="center"/>
        <w:rPr>
          <w:rFonts w:ascii="宋体" w:hAnsi="宋体" w:cs="宋体"/>
          <w:b/>
          <w:sz w:val="32"/>
          <w:szCs w:val="32"/>
        </w:rPr>
      </w:pPr>
      <w:r>
        <w:rPr>
          <w:rFonts w:hint="eastAsia" w:ascii="宋体" w:hAnsi="宋体" w:cs="宋体"/>
          <w:b/>
          <w:sz w:val="32"/>
          <w:szCs w:val="32"/>
        </w:rPr>
        <w:t>二〇二三年八月</w:t>
      </w:r>
      <w:r>
        <w:rPr>
          <w:rFonts w:hint="eastAsia" w:ascii="宋体" w:hAnsi="宋体" w:cs="宋体"/>
          <w:b/>
          <w:sz w:val="32"/>
          <w:szCs w:val="32"/>
          <w:lang w:val="en-US" w:eastAsia="zh-CN"/>
        </w:rPr>
        <w:t>三十一</w:t>
      </w:r>
      <w:r>
        <w:rPr>
          <w:rFonts w:hint="eastAsia" w:ascii="宋体" w:hAnsi="宋体" w:cs="宋体"/>
          <w:b/>
          <w:sz w:val="32"/>
          <w:szCs w:val="32"/>
        </w:rPr>
        <w:t>日</w:t>
      </w:r>
    </w:p>
    <w:p>
      <w:pPr>
        <w:pStyle w:val="639"/>
        <w:rPr>
          <w:rFonts w:ascii="宋体" w:hAnsi="宋体" w:eastAsia="宋体" w:cs="宋体"/>
        </w:rPr>
      </w:pPr>
    </w:p>
    <w:p>
      <w:pPr>
        <w:pStyle w:val="639"/>
        <w:rPr>
          <w:rFonts w:ascii="宋体" w:hAnsi="宋体" w:eastAsia="宋体" w:cs="宋体"/>
        </w:rPr>
      </w:pPr>
    </w:p>
    <w:p>
      <w:pPr>
        <w:pStyle w:val="639"/>
        <w:rPr>
          <w:rFonts w:ascii="宋体" w:hAnsi="宋体" w:eastAsia="宋体" w:cs="宋体"/>
        </w:rPr>
      </w:pPr>
    </w:p>
    <w:p>
      <w:pPr>
        <w:spacing w:line="360" w:lineRule="auto"/>
        <w:jc w:val="center"/>
        <w:rPr>
          <w:rFonts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2" w:name="_Hlt91233176"/>
      <w:bookmarkEnd w:id="2"/>
      <w:bookmarkStart w:id="3"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adjustRightInd/>
        <w:spacing w:line="360" w:lineRule="auto"/>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649545"/>
      <w:bookmarkEnd w:id="5"/>
      <w:bookmarkStart w:id="6" w:name="_Hlt74729822"/>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乔司街道南区块雨水管道养护项目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9"/>
          <w:rFonts w:hint="eastAsia" w:ascii="宋体" w:hAnsi="宋体" w:eastAsia="宋体" w:cs="宋体"/>
          <w:snapToGrid/>
          <w:color w:val="auto"/>
          <w:kern w:val="2"/>
          <w:sz w:val="24"/>
          <w:szCs w:val="24"/>
        </w:rPr>
        <w:t>https://www.zcygov.cn/）获取（下载）招标文件，并于2023年</w:t>
      </w:r>
      <w:r>
        <w:rPr>
          <w:rStyle w:val="79"/>
          <w:rFonts w:hint="eastAsia" w:ascii="宋体" w:hAnsi="宋体" w:cs="宋体"/>
          <w:snapToGrid/>
          <w:color w:val="auto"/>
          <w:kern w:val="2"/>
          <w:sz w:val="24"/>
          <w:szCs w:val="24"/>
          <w:lang w:val="en-US" w:eastAsia="zh-CN"/>
        </w:rPr>
        <w:t>9</w:t>
      </w:r>
      <w:r>
        <w:rPr>
          <w:rStyle w:val="79"/>
          <w:rFonts w:hint="eastAsia" w:ascii="宋体" w:hAnsi="宋体" w:eastAsia="宋体" w:cs="宋体"/>
          <w:snapToGrid/>
          <w:color w:val="auto"/>
          <w:kern w:val="2"/>
          <w:sz w:val="24"/>
          <w:szCs w:val="24"/>
        </w:rPr>
        <w:t>月</w:t>
      </w:r>
      <w:r>
        <w:rPr>
          <w:rStyle w:val="79"/>
          <w:rFonts w:hint="eastAsia" w:ascii="宋体" w:hAnsi="宋体" w:cs="宋体"/>
          <w:snapToGrid/>
          <w:color w:val="auto"/>
          <w:kern w:val="2"/>
          <w:sz w:val="24"/>
          <w:szCs w:val="24"/>
          <w:lang w:val="en-US" w:eastAsia="zh-CN"/>
        </w:rPr>
        <w:t>20</w:t>
      </w:r>
      <w:r>
        <w:rPr>
          <w:rStyle w:val="79"/>
          <w:rFonts w:hint="eastAsia" w:ascii="宋体" w:hAnsi="宋体" w:eastAsia="宋体" w:cs="宋体"/>
          <w:snapToGrid/>
          <w:color w:val="auto"/>
          <w:kern w:val="2"/>
          <w:sz w:val="24"/>
          <w:szCs w:val="24"/>
        </w:rPr>
        <w:t>日</w:t>
      </w:r>
      <w:r>
        <w:rPr>
          <w:rStyle w:val="79"/>
          <w:rFonts w:hint="eastAsia" w:ascii="宋体" w:hAnsi="宋体" w:cs="宋体"/>
          <w:snapToGrid/>
          <w:color w:val="auto"/>
          <w:kern w:val="2"/>
          <w:sz w:val="24"/>
          <w:szCs w:val="24"/>
          <w:lang w:val="en-US" w:eastAsia="zh-CN"/>
        </w:rPr>
        <w:t>14</w:t>
      </w:r>
      <w:r>
        <w:rPr>
          <w:rStyle w:val="79"/>
          <w:rFonts w:hint="eastAsia" w:ascii="宋体" w:hAnsi="宋体" w:eastAsia="宋体" w:cs="宋体"/>
          <w:snapToGrid/>
          <w:color w:val="auto"/>
          <w:kern w:val="2"/>
          <w:sz w:val="24"/>
          <w:szCs w:val="24"/>
        </w:rPr>
        <w:t>点00分</w:t>
      </w:r>
      <w:r>
        <w:rPr>
          <w:rStyle w:val="79"/>
          <w:rFonts w:hint="eastAsia" w:ascii="宋体" w:hAnsi="宋体" w:eastAsia="宋体" w:cs="宋体"/>
          <w:bCs/>
          <w:snapToGrid/>
          <w:color w:val="auto"/>
          <w:kern w:val="2"/>
          <w:sz w:val="24"/>
          <w:szCs w:val="24"/>
        </w:rPr>
        <w:t>00秒</w:t>
      </w:r>
      <w:r>
        <w:rPr>
          <w:rStyle w:val="79"/>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乔司街道南区块雨水管道养护项目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3</w:t>
      </w:r>
      <w:r>
        <w:rPr>
          <w:rFonts w:hint="eastAsia" w:ascii="宋体" w:hAnsi="宋体" w:cs="宋体"/>
          <w:b/>
          <w:sz w:val="24"/>
        </w:rPr>
        <w:t>000000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3</w:t>
      </w:r>
      <w:r>
        <w:rPr>
          <w:rFonts w:hint="eastAsia" w:ascii="宋体" w:hAnsi="宋体" w:cs="宋体"/>
          <w:b/>
          <w:sz w:val="24"/>
        </w:rPr>
        <w:t>000000</w:t>
      </w:r>
    </w:p>
    <w:p>
      <w:pPr>
        <w:pStyle w:val="10"/>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乔司街道南区块雨水管道养护项目</w:t>
      </w:r>
      <w:r>
        <w:rPr>
          <w:rFonts w:hint="eastAsia" w:hAnsi="宋体" w:cs="宋体"/>
          <w:bCs/>
          <w:snapToGrid/>
          <w:color w:val="auto"/>
          <w:kern w:val="2"/>
          <w:sz w:val="24"/>
          <w:szCs w:val="24"/>
        </w:rPr>
        <w:t>主要内容：</w:t>
      </w:r>
      <w:r>
        <w:rPr>
          <w:rFonts w:hint="eastAsia" w:hAnsi="宋体" w:cs="宋体"/>
          <w:snapToGrid/>
          <w:color w:val="auto"/>
          <w:kern w:val="2"/>
          <w:sz w:val="24"/>
          <w:szCs w:val="24"/>
        </w:rPr>
        <w:t>具体以招标文件第三部分采购需求为准，供应商可点击本公告下方“浏览采购文件”查看采购需求。</w:t>
      </w:r>
    </w:p>
    <w:p>
      <w:pPr>
        <w:pStyle w:val="133"/>
        <w:ind w:firstLine="482"/>
        <w:outlineLvl w:val="2"/>
        <w:rPr>
          <w:rFonts w:ascii="宋体" w:hAnsi="宋体" w:cs="宋体"/>
        </w:rPr>
      </w:pPr>
      <w:r>
        <w:rPr>
          <w:rFonts w:hint="eastAsia" w:ascii="宋体" w:hAnsi="宋体" w:cs="宋体"/>
          <w:b/>
          <w:highlight w:val="yellow"/>
        </w:rPr>
        <w:t>合同履约期限：</w:t>
      </w:r>
      <w:r>
        <w:rPr>
          <w:rFonts w:hint="eastAsia" w:ascii="宋体" w:hAnsi="宋体" w:cs="宋体"/>
          <w:b/>
          <w:highlight w:val="yellow"/>
          <w:lang w:val="en-US" w:eastAsia="zh-CN"/>
        </w:rPr>
        <w:t>2年</w:t>
      </w:r>
      <w:r>
        <w:rPr>
          <w:rFonts w:hint="eastAsia" w:ascii="宋体" w:hAnsi="宋体" w:cs="宋体"/>
          <w:b/>
          <w:bCs/>
          <w:szCs w:val="24"/>
        </w:rPr>
        <w:t xml:space="preserve">  </w:t>
      </w:r>
      <w:r>
        <w:rPr>
          <w:rFonts w:hint="eastAsia" w:ascii="宋体" w:hAnsi="宋体" w:cs="宋体"/>
          <w:b/>
        </w:rPr>
        <w:t xml:space="preserve"> </w:t>
      </w:r>
      <w:r>
        <w:rPr>
          <w:rFonts w:hint="eastAsia" w:ascii="宋体" w:hAnsi="宋体" w:cs="宋体"/>
        </w:rPr>
        <w:t xml:space="preserve"> </w:t>
      </w:r>
    </w:p>
    <w:p>
      <w:pPr>
        <w:pStyle w:val="10"/>
        <w:spacing w:line="360" w:lineRule="auto"/>
        <w:ind w:firstLine="480"/>
        <w:rPr>
          <w:rFonts w:hAnsi="宋体" w:cs="宋体"/>
          <w:b/>
          <w:color w:val="auto"/>
          <w:highlight w:val="yellow"/>
        </w:rPr>
      </w:pPr>
      <w:r>
        <w:rPr>
          <w:rFonts w:hint="eastAsia" w:hAnsi="宋体" w:cs="宋体"/>
          <w:b/>
          <w:color w:val="auto"/>
          <w:sz w:val="24"/>
          <w:highlight w:val="yellow"/>
        </w:rPr>
        <w:t>本项目接受联合体投标：</w:t>
      </w:r>
      <w:r>
        <w:rPr>
          <w:rFonts w:hint="eastAsia" w:hAnsi="宋体" w:cs="宋体"/>
          <w:color w:val="auto"/>
          <w:kern w:val="0"/>
          <w:sz w:val="24"/>
          <w:highlight w:val="yellow"/>
        </w:rPr>
        <w:t xml:space="preserve"> </w:t>
      </w:r>
      <w:sdt>
        <w:sdtPr>
          <w:rPr>
            <w:rFonts w:hint="eastAsia" w:hAnsi="宋体" w:cs="宋体"/>
            <w:color w:val="auto"/>
            <w:kern w:val="0"/>
            <w:sz w:val="24"/>
            <w:highlight w:val="yellow"/>
          </w:rPr>
          <w:id w:val="-441836950"/>
          <w14:checkbox>
            <w14:checked w14:val="1"/>
            <w14:checkedState w14:val="00FE" w14:font="Wingdings"/>
            <w14:uncheckedState w14:val="2610" w14:font="MS Gothic"/>
          </w14:checkbox>
        </w:sdtPr>
        <w:sdtEndPr>
          <w:rPr>
            <w:rFonts w:hint="eastAsia" w:hAnsi="宋体" w:cs="宋体"/>
            <w:color w:val="auto"/>
            <w:kern w:val="0"/>
            <w:sz w:val="24"/>
            <w:highlight w:val="yellow"/>
          </w:rPr>
        </w:sdtEndPr>
        <w:sdtContent>
          <w:r>
            <w:rPr>
              <w:rFonts w:hint="eastAsia" w:hAnsi="宋体" w:cs="宋体"/>
              <w:color w:val="auto"/>
              <w:kern w:val="0"/>
              <w:sz w:val="24"/>
              <w:highlight w:val="yellow"/>
            </w:rPr>
            <w:sym w:font="Wingdings" w:char="F0FE"/>
          </w:r>
        </w:sdtContent>
      </w:sdt>
      <w:r>
        <w:rPr>
          <w:rFonts w:hint="eastAsia" w:hAnsi="宋体" w:cs="宋体"/>
          <w:b/>
          <w:color w:val="auto"/>
          <w:sz w:val="24"/>
          <w:highlight w:val="yellow"/>
        </w:rPr>
        <w:t>是；</w:t>
      </w:r>
      <w:sdt>
        <w:sdtPr>
          <w:rPr>
            <w:rFonts w:hint="eastAsia" w:hAnsi="宋体" w:cs="宋体"/>
            <w:color w:val="auto"/>
            <w:kern w:val="0"/>
            <w:sz w:val="24"/>
            <w:highlight w:val="yellow"/>
          </w:rPr>
          <w:id w:val="-1591624199"/>
          <w14:checkbox>
            <w14:checked w14:val="0"/>
            <w14:checkedState w14:val="00FE" w14:font="Wingdings"/>
            <w14:uncheckedState w14:val="2610" w14:font="MS Gothic"/>
          </w14:checkbox>
        </w:sdtPr>
        <w:sdtEndPr>
          <w:rPr>
            <w:rFonts w:hint="eastAsia" w:hAnsi="宋体" w:cs="宋体"/>
            <w:color w:val="auto"/>
            <w:kern w:val="0"/>
            <w:sz w:val="24"/>
            <w:highlight w:val="yellow"/>
          </w:rPr>
        </w:sdtEndPr>
        <w:sdtContent>
          <w:r>
            <w:rPr>
              <w:rFonts w:hint="eastAsia" w:ascii="MS Gothic" w:hAnsi="MS Gothic" w:eastAsia="MS Gothic" w:cs="宋体"/>
              <w:color w:val="auto"/>
              <w:kern w:val="0"/>
              <w:sz w:val="24"/>
              <w:highlight w:val="yellow"/>
            </w:rPr>
            <w:t>☐</w:t>
          </w:r>
        </w:sdtContent>
      </w:sdt>
      <w:r>
        <w:rPr>
          <w:rFonts w:hint="eastAsia" w:hAnsi="宋体" w:cs="宋体"/>
          <w:b/>
          <w:color w:val="auto"/>
          <w:sz w:val="24"/>
          <w:highlight w:val="yellow"/>
        </w:rPr>
        <w:t>否</w:t>
      </w:r>
      <w:r>
        <w:rPr>
          <w:rFonts w:hint="eastAsia" w:hAnsi="宋体" w:cs="宋体"/>
          <w:color w:val="auto"/>
          <w:kern w:val="0"/>
          <w:sz w:val="24"/>
          <w:highlight w:val="yellow"/>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spacing w:line="360" w:lineRule="auto"/>
        <w:ind w:firstLine="480" w:firstLineChars="200"/>
        <w:rPr>
          <w:rFonts w:ascii="宋体" w:hAnsi="宋体" w:cs="宋体"/>
          <w:sz w:val="24"/>
          <w:highlight w:val="yellow"/>
        </w:rPr>
      </w:pPr>
      <w:sdt>
        <w:sdtPr>
          <w:rPr>
            <w:rFonts w:hint="eastAsia" w:ascii="宋体" w:hAnsi="宋体" w:cs="宋体"/>
            <w:kern w:val="0"/>
            <w:sz w:val="24"/>
            <w:highlight w:val="yellow"/>
          </w:rPr>
          <w:id w:val="1928616923"/>
          <w14:checkbox>
            <w14:checked w14:val="0"/>
            <w14:checkedState w14:val="00FE" w14:font="Wingdings"/>
            <w14:uncheckedState w14:val="2610" w14:font="MS Gothic"/>
          </w14:checkbox>
        </w:sdtPr>
        <w:sdtEndPr>
          <w:rPr>
            <w:rFonts w:hint="eastAsia" w:ascii="宋体" w:hAnsi="宋体" w:cs="宋体"/>
            <w:kern w:val="0"/>
            <w:sz w:val="24"/>
            <w:highlight w:val="yellow"/>
          </w:rPr>
        </w:sdtEndPr>
        <w:sdtContent>
          <w:r>
            <w:rPr>
              <w:rFonts w:hint="eastAsia" w:ascii="宋体" w:hAnsi="宋体" w:cs="宋体"/>
              <w:kern w:val="0"/>
              <w:sz w:val="24"/>
              <w:highlight w:val="yellow"/>
            </w:rPr>
            <w:t>☐</w:t>
          </w:r>
        </w:sdtContent>
      </w:sdt>
      <w:r>
        <w:rPr>
          <w:rFonts w:hint="eastAsia" w:ascii="宋体" w:hAnsi="宋体" w:cs="宋体"/>
          <w:sz w:val="24"/>
          <w:highlight w:val="yellow"/>
        </w:rPr>
        <w:t>无</w:t>
      </w:r>
      <w:r>
        <w:rPr>
          <w:rFonts w:hint="eastAsia" w:ascii="宋体" w:hAnsi="宋体" w:cs="宋体"/>
          <w:snapToGrid w:val="0"/>
          <w:kern w:val="28"/>
          <w:sz w:val="24"/>
          <w:szCs w:val="20"/>
          <w:highlight w:val="yellow"/>
        </w:rPr>
        <w:t>（注：不得限制大中型企业与小微企业组成联合体参与投标）；</w:t>
      </w:r>
    </w:p>
    <w:p>
      <w:pPr>
        <w:spacing w:line="360" w:lineRule="auto"/>
        <w:ind w:firstLine="480" w:firstLineChars="200"/>
        <w:rPr>
          <w:rFonts w:ascii="宋体" w:hAnsi="宋体" w:cs="宋体"/>
          <w:sz w:val="24"/>
          <w:highlight w:val="yellow"/>
        </w:rPr>
      </w:pPr>
      <w:sdt>
        <w:sdtPr>
          <w:rPr>
            <w:rFonts w:hint="eastAsia" w:ascii="宋体" w:hAnsi="宋体" w:cs="宋体"/>
            <w:kern w:val="0"/>
            <w:sz w:val="24"/>
            <w:highlight w:val="yellow"/>
          </w:rPr>
          <w:id w:val="-1024704304"/>
          <w14:checkbox>
            <w14:checked w14:val="1"/>
            <w14:checkedState w14:val="00FE" w14:font="Wingdings"/>
            <w14:uncheckedState w14:val="2610" w14:font="MS Gothic"/>
          </w14:checkbox>
        </w:sdtPr>
        <w:sdtEndPr>
          <w:rPr>
            <w:rFonts w:hint="eastAsia" w:ascii="宋体" w:hAnsi="宋体" w:cs="宋体"/>
            <w:kern w:val="0"/>
            <w:sz w:val="24"/>
            <w:highlight w:val="yellow"/>
          </w:rPr>
        </w:sdtEndPr>
        <w:sdtContent>
          <w:r>
            <w:rPr>
              <w:rFonts w:hint="eastAsia" w:ascii="Wingdings" w:hAnsi="Wingdings" w:cs="宋体"/>
              <w:kern w:val="0"/>
              <w:sz w:val="24"/>
              <w:highlight w:val="yellow"/>
            </w:rPr>
            <w:t>þ</w:t>
          </w:r>
        </w:sdtContent>
      </w:sdt>
      <w:r>
        <w:rPr>
          <w:rFonts w:hint="eastAsia" w:ascii="宋体" w:hAnsi="宋体" w:cs="宋体"/>
          <w:kern w:val="0"/>
          <w:sz w:val="24"/>
          <w:highlight w:val="yellow"/>
        </w:rPr>
        <w:t>专</w:t>
      </w:r>
      <w:r>
        <w:rPr>
          <w:rFonts w:hint="eastAsia" w:ascii="宋体" w:hAnsi="宋体" w:cs="宋体"/>
          <w:sz w:val="24"/>
          <w:highlight w:val="yellow"/>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30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Style w:val="79"/>
          <w:rFonts w:hint="eastAsia" w:ascii="宋体" w:hAnsi="宋体" w:eastAsia="宋体" w:cs="宋体"/>
          <w:snapToGrid/>
          <w:color w:val="auto"/>
          <w:kern w:val="2"/>
          <w:sz w:val="24"/>
          <w:szCs w:val="24"/>
        </w:rPr>
        <w:t>2023年</w:t>
      </w:r>
      <w:r>
        <w:rPr>
          <w:rStyle w:val="79"/>
          <w:rFonts w:hint="eastAsia" w:ascii="宋体" w:hAnsi="宋体" w:cs="宋体"/>
          <w:snapToGrid/>
          <w:color w:val="auto"/>
          <w:kern w:val="2"/>
          <w:sz w:val="24"/>
          <w:szCs w:val="24"/>
          <w:lang w:val="en-US" w:eastAsia="zh-CN"/>
        </w:rPr>
        <w:t>9</w:t>
      </w:r>
      <w:r>
        <w:rPr>
          <w:rStyle w:val="79"/>
          <w:rFonts w:hint="eastAsia" w:ascii="宋体" w:hAnsi="宋体" w:eastAsia="宋体" w:cs="宋体"/>
          <w:snapToGrid/>
          <w:color w:val="auto"/>
          <w:kern w:val="2"/>
          <w:sz w:val="24"/>
          <w:szCs w:val="24"/>
        </w:rPr>
        <w:t>月</w:t>
      </w:r>
      <w:r>
        <w:rPr>
          <w:rStyle w:val="79"/>
          <w:rFonts w:hint="eastAsia" w:ascii="宋体" w:hAnsi="宋体" w:cs="宋体"/>
          <w:snapToGrid/>
          <w:color w:val="auto"/>
          <w:kern w:val="2"/>
          <w:sz w:val="24"/>
          <w:szCs w:val="24"/>
          <w:lang w:val="en-US" w:eastAsia="zh-CN"/>
        </w:rPr>
        <w:t>20</w:t>
      </w:r>
      <w:r>
        <w:rPr>
          <w:rStyle w:val="79"/>
          <w:rFonts w:hint="eastAsia" w:ascii="宋体" w:hAnsi="宋体" w:eastAsia="宋体" w:cs="宋体"/>
          <w:snapToGrid/>
          <w:color w:val="auto"/>
          <w:kern w:val="2"/>
          <w:sz w:val="24"/>
          <w:szCs w:val="24"/>
        </w:rPr>
        <w:t>日</w:t>
      </w:r>
      <w:r>
        <w:rPr>
          <w:rStyle w:val="79"/>
          <w:rFonts w:hint="eastAsia" w:ascii="宋体" w:hAnsi="宋体" w:cs="宋体"/>
          <w:snapToGrid/>
          <w:color w:val="auto"/>
          <w:kern w:val="2"/>
          <w:sz w:val="24"/>
          <w:szCs w:val="24"/>
          <w:lang w:val="en-US" w:eastAsia="zh-CN"/>
        </w:rPr>
        <w:t>14</w:t>
      </w:r>
      <w:r>
        <w:rPr>
          <w:rStyle w:val="79"/>
          <w:rFonts w:hint="eastAsia" w:ascii="宋体" w:hAnsi="宋体" w:eastAsia="宋体" w:cs="宋体"/>
          <w:snapToGrid/>
          <w:color w:val="auto"/>
          <w:kern w:val="2"/>
          <w:sz w:val="24"/>
          <w:szCs w:val="24"/>
        </w:rPr>
        <w:t>点00分</w:t>
      </w:r>
      <w:r>
        <w:rPr>
          <w:rStyle w:val="79"/>
          <w:rFonts w:hint="eastAsia" w:ascii="宋体" w:hAnsi="宋体" w:eastAsia="宋体" w:cs="宋体"/>
          <w:bCs/>
          <w:snapToGrid/>
          <w:color w:val="auto"/>
          <w:kern w:val="2"/>
          <w:sz w:val="24"/>
          <w:szCs w:val="24"/>
        </w:rPr>
        <w:t>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9"/>
          <w:rFonts w:hint="eastAsia" w:ascii="宋体" w:hAnsi="宋体" w:eastAsia="宋体" w:cs="宋体"/>
          <w:snapToGrid/>
          <w:color w:val="auto"/>
          <w:kern w:val="2"/>
          <w:sz w:val="24"/>
          <w:szCs w:val="24"/>
        </w:rPr>
        <w:t>2023年</w:t>
      </w:r>
      <w:r>
        <w:rPr>
          <w:rStyle w:val="79"/>
          <w:rFonts w:hint="eastAsia" w:ascii="宋体" w:hAnsi="宋体" w:cs="宋体"/>
          <w:snapToGrid/>
          <w:color w:val="auto"/>
          <w:kern w:val="2"/>
          <w:sz w:val="24"/>
          <w:szCs w:val="24"/>
          <w:lang w:val="en-US" w:eastAsia="zh-CN"/>
        </w:rPr>
        <w:t>9</w:t>
      </w:r>
      <w:r>
        <w:rPr>
          <w:rStyle w:val="79"/>
          <w:rFonts w:hint="eastAsia" w:ascii="宋体" w:hAnsi="宋体" w:eastAsia="宋体" w:cs="宋体"/>
          <w:snapToGrid/>
          <w:color w:val="auto"/>
          <w:kern w:val="2"/>
          <w:sz w:val="24"/>
          <w:szCs w:val="24"/>
        </w:rPr>
        <w:t>月</w:t>
      </w:r>
      <w:r>
        <w:rPr>
          <w:rStyle w:val="79"/>
          <w:rFonts w:hint="eastAsia" w:ascii="宋体" w:hAnsi="宋体" w:cs="宋体"/>
          <w:snapToGrid/>
          <w:color w:val="auto"/>
          <w:kern w:val="2"/>
          <w:sz w:val="24"/>
          <w:szCs w:val="24"/>
          <w:lang w:val="en-US" w:eastAsia="zh-CN"/>
        </w:rPr>
        <w:t>20</w:t>
      </w:r>
      <w:r>
        <w:rPr>
          <w:rStyle w:val="79"/>
          <w:rFonts w:hint="eastAsia" w:ascii="宋体" w:hAnsi="宋体" w:eastAsia="宋体" w:cs="宋体"/>
          <w:snapToGrid/>
          <w:color w:val="auto"/>
          <w:kern w:val="2"/>
          <w:sz w:val="24"/>
          <w:szCs w:val="24"/>
        </w:rPr>
        <w:t>日</w:t>
      </w:r>
      <w:r>
        <w:rPr>
          <w:rStyle w:val="79"/>
          <w:rFonts w:hint="eastAsia" w:ascii="宋体" w:hAnsi="宋体" w:cs="宋体"/>
          <w:snapToGrid/>
          <w:color w:val="auto"/>
          <w:kern w:val="2"/>
          <w:sz w:val="24"/>
          <w:szCs w:val="24"/>
          <w:lang w:val="en-US" w:eastAsia="zh-CN"/>
        </w:rPr>
        <w:t>14</w:t>
      </w:r>
      <w:r>
        <w:rPr>
          <w:rStyle w:val="79"/>
          <w:rFonts w:hint="eastAsia" w:ascii="宋体" w:hAnsi="宋体" w:eastAsia="宋体" w:cs="宋体"/>
          <w:snapToGrid/>
          <w:color w:val="auto"/>
          <w:kern w:val="2"/>
          <w:sz w:val="24"/>
          <w:szCs w:val="24"/>
        </w:rPr>
        <w:t>点00分</w:t>
      </w:r>
      <w:r>
        <w:rPr>
          <w:rStyle w:val="79"/>
          <w:rFonts w:hint="eastAsia" w:ascii="宋体" w:hAnsi="宋体" w:eastAsia="宋体" w:cs="宋体"/>
          <w:bCs/>
          <w:snapToGrid/>
          <w:color w:val="auto"/>
          <w:kern w:val="2"/>
          <w:sz w:val="24"/>
          <w:szCs w:val="24"/>
        </w:rPr>
        <w:t>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称：杭州市临平区人民政府乔司街道办事处  </w:t>
      </w:r>
    </w:p>
    <w:p>
      <w:pPr>
        <w:spacing w:line="360" w:lineRule="auto"/>
        <w:rPr>
          <w:rFonts w:ascii="宋体" w:hAnsi="宋体" w:cs="宋体"/>
          <w:sz w:val="24"/>
        </w:rPr>
      </w:pPr>
      <w:r>
        <w:rPr>
          <w:rFonts w:hint="eastAsia" w:ascii="宋体" w:hAnsi="宋体" w:cs="宋体"/>
          <w:sz w:val="24"/>
        </w:rPr>
        <w:t xml:space="preserve">    地    址：杭州市临平乔司街道乔井路268号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firstLineChars="200"/>
        <w:rPr>
          <w:rFonts w:ascii="宋体" w:hAnsi="宋体" w:cs="宋体"/>
          <w:sz w:val="24"/>
        </w:rPr>
      </w:pPr>
      <w:r>
        <w:rPr>
          <w:rFonts w:hint="eastAsia" w:ascii="宋体" w:hAnsi="宋体" w:cs="宋体"/>
          <w:sz w:val="24"/>
        </w:rPr>
        <w:t xml:space="preserve">项目联系人（询问）：庞鹏飞  </w:t>
      </w:r>
    </w:p>
    <w:p>
      <w:pPr>
        <w:spacing w:line="360" w:lineRule="auto"/>
        <w:rPr>
          <w:rFonts w:ascii="宋体" w:hAnsi="宋体" w:cs="宋体"/>
          <w:sz w:val="24"/>
        </w:rPr>
      </w:pPr>
      <w:r>
        <w:rPr>
          <w:rFonts w:hint="eastAsia" w:ascii="宋体" w:hAnsi="宋体" w:cs="宋体"/>
          <w:sz w:val="24"/>
        </w:rPr>
        <w:t xml:space="preserve">    项目联系方式（询问）：15168392299</w:t>
      </w:r>
    </w:p>
    <w:p>
      <w:pPr>
        <w:spacing w:line="360" w:lineRule="auto"/>
        <w:ind w:firstLine="480" w:firstLineChars="200"/>
        <w:rPr>
          <w:rFonts w:ascii="宋体" w:hAnsi="宋体" w:cs="宋体"/>
          <w:sz w:val="24"/>
        </w:rPr>
      </w:pPr>
      <w:r>
        <w:rPr>
          <w:rFonts w:hint="eastAsia" w:ascii="宋体" w:hAnsi="宋体" w:cs="宋体"/>
          <w:sz w:val="24"/>
        </w:rPr>
        <w:t>质疑联系人：翁振泉</w:t>
      </w:r>
    </w:p>
    <w:p>
      <w:pPr>
        <w:spacing w:line="360" w:lineRule="auto"/>
        <w:ind w:firstLine="480" w:firstLineChars="200"/>
        <w:rPr>
          <w:rFonts w:ascii="宋体" w:hAnsi="宋体" w:cs="宋体"/>
          <w:sz w:val="24"/>
        </w:rPr>
      </w:pPr>
      <w:r>
        <w:rPr>
          <w:rFonts w:hint="eastAsia" w:ascii="宋体" w:hAnsi="宋体" w:cs="宋体"/>
          <w:sz w:val="24"/>
        </w:rPr>
        <w:t>质疑联系方式：0571-86296891</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深圳科宇工程顾问有限公司</w:t>
      </w:r>
    </w:p>
    <w:p>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color w:val="auto"/>
          <w:sz w:val="24"/>
          <w:highlight w:val="none"/>
          <w:lang w:eastAsia="zh-CN"/>
        </w:rPr>
        <w:t>浙江省杭州市临平区五洲路26号2幢504-1室</w:t>
      </w:r>
    </w:p>
    <w:p>
      <w:pPr>
        <w:spacing w:line="360" w:lineRule="auto"/>
        <w:rPr>
          <w:rFonts w:ascii="宋体" w:hAnsi="宋体" w:cs="宋体"/>
          <w:sz w:val="24"/>
        </w:rPr>
      </w:pPr>
      <w:r>
        <w:rPr>
          <w:rFonts w:hint="eastAsia" w:ascii="宋体" w:hAnsi="宋体" w:cs="宋体"/>
          <w:sz w:val="24"/>
        </w:rPr>
        <w:t xml:space="preserve">    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张工</w:t>
      </w:r>
      <w:r>
        <w:rPr>
          <w:rFonts w:hint="eastAsia" w:ascii="宋体" w:hAnsi="宋体" w:eastAsia="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18106568997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曹</w:t>
      </w:r>
      <w:r>
        <w:rPr>
          <w:rFonts w:hint="eastAsia" w:ascii="宋体" w:hAnsi="宋体" w:eastAsia="宋体" w:cs="宋体"/>
          <w:color w:val="auto"/>
          <w:sz w:val="24"/>
          <w:highlight w:val="none"/>
          <w:lang w:val="en-US" w:eastAsia="zh-CN"/>
        </w:rPr>
        <w:t>工</w:t>
      </w:r>
    </w:p>
    <w:p>
      <w:pPr>
        <w:spacing w:line="360" w:lineRule="auto"/>
        <w:ind w:firstLine="480" w:firstLineChars="200"/>
        <w:rPr>
          <w:rFonts w:ascii="宋体" w:hAnsi="宋体" w:cs="宋体"/>
          <w:sz w:val="24"/>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15382313258</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ascii="宋体" w:hAnsi="宋体" w:cs="宋体"/>
          <w:sz w:val="24"/>
        </w:rPr>
      </w:pPr>
      <w:r>
        <w:rPr>
          <w:rFonts w:hint="eastAsia" w:ascii="宋体" w:hAnsi="宋体" w:cs="宋体"/>
          <w:sz w:val="24"/>
        </w:rPr>
        <w:t xml:space="preserve">名    称：杭州市临平区财政局 </w:t>
      </w:r>
    </w:p>
    <w:p>
      <w:pPr>
        <w:spacing w:line="360" w:lineRule="auto"/>
        <w:ind w:firstLine="480"/>
        <w:rPr>
          <w:rFonts w:ascii="宋体" w:hAnsi="宋体" w:cs="宋体"/>
          <w:sz w:val="24"/>
        </w:rPr>
      </w:pPr>
      <w:r>
        <w:rPr>
          <w:rFonts w:hint="eastAsia" w:ascii="宋体" w:hAnsi="宋体" w:cs="宋体"/>
          <w:sz w:val="24"/>
        </w:rPr>
        <w:t>地    址：杭州市临平区东湖街道东湖中路236号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bookmarkStart w:id="12" w:name="_Toc76824068"/>
      <w:r>
        <w:rPr>
          <w:rFonts w:hint="eastAsia" w:ascii="宋体" w:hAnsi="宋体" w:cs="宋体"/>
          <w:sz w:val="24"/>
        </w:rPr>
        <w:t>联系人 ：</w:t>
      </w:r>
      <w:bookmarkEnd w:id="12"/>
      <w:r>
        <w:rPr>
          <w:rFonts w:hint="eastAsia" w:ascii="宋体" w:hAnsi="宋体" w:cs="宋体"/>
          <w:sz w:val="24"/>
        </w:rPr>
        <w:t>俞征　　　　　　　　　　　</w:t>
      </w:r>
    </w:p>
    <w:p>
      <w:pPr>
        <w:spacing w:line="360" w:lineRule="auto"/>
        <w:ind w:firstLine="480"/>
        <w:rPr>
          <w:rFonts w:ascii="宋体" w:hAnsi="宋体" w:cs="宋体"/>
          <w:sz w:val="24"/>
        </w:rPr>
      </w:pPr>
      <w:r>
        <w:rPr>
          <w:rFonts w:hint="eastAsia" w:ascii="宋体" w:hAnsi="宋体" w:cs="宋体"/>
          <w:sz w:val="24"/>
        </w:rPr>
        <w:t xml:space="preserve">监督投诉电话：0571-89185312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（1）标的：</w:t>
            </w:r>
            <w:r>
              <w:rPr>
                <w:rFonts w:hint="eastAsia" w:ascii="宋体" w:hAnsi="宋体" w:cs="宋体"/>
                <w:kern w:val="0"/>
                <w:sz w:val="24"/>
                <w:lang w:eastAsia="zh-CN"/>
              </w:rPr>
              <w:t>乔司街道南区块雨水管道养护项目</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85764651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530692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90757284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01726598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kern w:val="28"/>
                <w:sz w:val="24"/>
              </w:rPr>
            </w:pPr>
            <w:r>
              <w:rPr>
                <w:rFonts w:hint="eastAsia" w:hAnsi="宋体" w:cs="宋体"/>
                <w:kern w:val="28"/>
                <w:sz w:val="24"/>
              </w:rPr>
              <w:t>备份投标文件送达地点：</w:t>
            </w:r>
            <w:r>
              <w:rPr>
                <w:rFonts w:hint="eastAsia" w:hAnsi="宋体" w:cs="宋体"/>
                <w:kern w:val="28"/>
                <w:sz w:val="24"/>
                <w:lang w:eastAsia="zh-CN"/>
              </w:rPr>
              <w:t>浙江省杭州市临平区五洲路26号2幢504-1室</w:t>
            </w:r>
            <w:r>
              <w:rPr>
                <w:rFonts w:hint="eastAsia" w:hAnsi="宋体" w:cs="宋体"/>
                <w:kern w:val="28"/>
                <w:sz w:val="24"/>
              </w:rPr>
              <w:t xml:space="preserve">；备份投标文件签收人员联系电话： </w:t>
            </w:r>
            <w:r>
              <w:rPr>
                <w:rFonts w:hint="eastAsia" w:hAnsi="宋体" w:cs="宋体"/>
                <w:kern w:val="28"/>
                <w:sz w:val="24"/>
                <w:lang w:val="en-US" w:eastAsia="zh-CN"/>
              </w:rPr>
              <w:t>15382313258</w:t>
            </w:r>
            <w:r>
              <w:rPr>
                <w:rFonts w:hint="eastAsia" w:hAnsi="宋体" w:cs="宋体"/>
                <w:kern w:val="28"/>
                <w:sz w:val="24"/>
              </w:rPr>
              <w:t>。采购人、</w:t>
            </w:r>
            <w:r>
              <w:rPr>
                <w:rFonts w:hint="eastAsia" w:hAnsi="宋体" w:cs="宋体"/>
                <w:kern w:val="28"/>
                <w:sz w:val="24"/>
                <w:lang w:eastAsia="zh-CN"/>
              </w:rPr>
              <w:t>采购代理机构</w:t>
            </w:r>
            <w:r>
              <w:rPr>
                <w:rFonts w:hint="eastAsia" w:hAnsi="宋体" w:cs="宋体"/>
                <w:kern w:val="28"/>
                <w:sz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ascii="宋体" w:hAnsi="宋体" w:cs="宋体"/>
                  <w:kern w:val="0"/>
                  <w:sz w:val="24"/>
                </w:rPr>
                <w:id w:val="-2323118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napToGrid w:val="0"/>
                <w:kern w:val="28"/>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snapToGrid w:val="0"/>
                <w:kern w:val="28"/>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pStyle w:val="133"/>
              <w:snapToGrid w:val="0"/>
              <w:spacing w:line="360" w:lineRule="exact"/>
              <w:ind w:firstLine="0" w:firstLineChars="0"/>
              <w:rPr>
                <w:rFonts w:ascii="仿宋" w:hAnsi="仿宋" w:eastAsia="仿宋" w:cs="仿宋"/>
                <w:szCs w:val="24"/>
              </w:rPr>
            </w:pPr>
            <w:r>
              <w:rPr>
                <w:rFonts w:hint="eastAsia" w:ascii="仿宋" w:hAnsi="仿宋" w:eastAsia="仿宋" w:cs="仿宋"/>
                <w:b/>
                <w:bCs/>
                <w:szCs w:val="24"/>
              </w:rPr>
              <w:t>招标服务费：</w:t>
            </w:r>
            <w:r>
              <w:rPr>
                <w:rFonts w:hint="eastAsia" w:ascii="仿宋" w:hAnsi="仿宋" w:eastAsia="仿宋" w:cs="仿宋"/>
                <w:szCs w:val="24"/>
              </w:rPr>
              <w:t>中标人在领取中标通知书前需向招标代理机构支付招标代理服务费，代理费</w:t>
            </w:r>
            <w:r>
              <w:rPr>
                <w:rFonts w:hint="eastAsia" w:ascii="仿宋" w:hAnsi="仿宋" w:eastAsia="仿宋" w:cs="仿宋"/>
                <w:b/>
                <w:bCs/>
                <w:szCs w:val="24"/>
                <w:lang w:val="en-US" w:eastAsia="zh-CN"/>
              </w:rPr>
              <w:t>42100</w:t>
            </w:r>
            <w:r>
              <w:rPr>
                <w:rFonts w:hint="eastAsia" w:ascii="仿宋" w:hAnsi="仿宋" w:eastAsia="仿宋" w:cs="仿宋"/>
                <w:szCs w:val="24"/>
              </w:rPr>
              <w:t>元费用包含在总报价中，不单独列项报价。</w:t>
            </w:r>
          </w:p>
          <w:p>
            <w:pPr>
              <w:spacing w:line="360" w:lineRule="auto"/>
              <w:rPr>
                <w:rFonts w:ascii="宋体" w:hAnsi="宋体" w:cs="宋体"/>
                <w:kern w:val="0"/>
                <w:sz w:val="24"/>
              </w:rPr>
            </w:pPr>
          </w:p>
        </w:tc>
      </w:tr>
    </w:tbl>
    <w:p>
      <w:pPr>
        <w:snapToGrid w:val="0"/>
        <w:spacing w:line="360" w:lineRule="auto"/>
        <w:jc w:val="center"/>
        <w:rPr>
          <w:rFonts w:ascii="宋体" w:hAnsi="宋体" w:cs="宋体"/>
          <w:b/>
          <w:sz w:val="32"/>
          <w:szCs w:val="20"/>
        </w:rPr>
      </w:pPr>
    </w:p>
    <w:bookmarkEnd w:id="11"/>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0"/>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4.4.5根据政府采购行政裁决省市区三级联动试点工作安排，杭州市本级、拱墅区、富阳区政府采购项目投诉材料可寄送至浙江省政府采购行政裁决服务中心（杭州），投诉书范本及制作说明详见附件3。</w:t>
      </w:r>
    </w:p>
    <w:p>
      <w:pPr>
        <w:pStyle w:val="133"/>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招标文件的澄清、修改</w:t>
      </w:r>
    </w:p>
    <w:p>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1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7"/>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7"/>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有招标文件第四部分4.2规定的情形之一的，投标无效：</w:t>
      </w:r>
    </w:p>
    <w:p>
      <w:pPr>
        <w:pStyle w:val="13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sz w:val="32"/>
        </w:rPr>
      </w:pPr>
    </w:p>
    <w:p>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3"/>
        <w:spacing w:before="0"/>
        <w:ind w:firstLine="0" w:firstLineChars="0"/>
        <w:rPr>
          <w:rFonts w:ascii="宋体" w:hAnsi="宋体" w:cs="宋体"/>
          <w:b/>
          <w:szCs w:val="24"/>
        </w:rPr>
      </w:pPr>
      <w:r>
        <w:rPr>
          <w:rFonts w:hint="eastAsia" w:ascii="宋体" w:hAnsi="宋体" w:cs="宋体"/>
          <w:b/>
          <w:szCs w:val="24"/>
        </w:rPr>
        <w:t>20、信用信息查询</w:t>
      </w:r>
    </w:p>
    <w:p>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3"/>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sz w:val="24"/>
        </w:rPr>
        <w:t>资格审查情况、评审专家抽取规则、符合性审查情况、</w:t>
      </w:r>
      <w:bookmarkEnd w:id="16"/>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8"/>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rPr>
          <w:rFonts w:ascii="宋体" w:hAnsi="宋体" w:eastAsia="宋体" w:cs="宋体"/>
        </w:rPr>
      </w:pPr>
      <w:r>
        <w:rPr>
          <w:rFonts w:hint="eastAsia" w:ascii="宋体" w:hAnsi="宋体" w:eastAsia="宋体" w:cs="宋体"/>
          <w:sz w:val="24"/>
          <w:lang w:val="en-US"/>
        </w:rPr>
        <w:t>27.预付款</w:t>
      </w:r>
    </w:p>
    <w:p>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宋体" w:hAnsi="宋体" w:cs="宋体"/>
        </w:rPr>
      </w:pP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3"/>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30295"/>
      <w:bookmarkEnd w:id="17"/>
      <w:bookmarkStart w:id="18" w:name="_Hlt74707468"/>
      <w:bookmarkEnd w:id="18"/>
      <w:bookmarkStart w:id="19" w:name="_Hlt74729768"/>
      <w:bookmarkEnd w:id="19"/>
      <w:bookmarkStart w:id="20" w:name="_Hlt68072998"/>
      <w:bookmarkEnd w:id="20"/>
      <w:bookmarkStart w:id="21" w:name="_Hlt75236101"/>
      <w:bookmarkEnd w:id="21"/>
      <w:bookmarkStart w:id="22" w:name="_Hlt68403820"/>
      <w:bookmarkEnd w:id="22"/>
      <w:bookmarkStart w:id="23" w:name="_Hlt68072990"/>
      <w:bookmarkEnd w:id="23"/>
      <w:bookmarkStart w:id="24" w:name="_Hlt75236290"/>
      <w:bookmarkEnd w:id="24"/>
      <w:bookmarkStart w:id="25" w:name="_Hlt75236011"/>
      <w:bookmarkEnd w:id="25"/>
      <w:bookmarkStart w:id="26" w:name="_Hlt68057669"/>
      <w:bookmarkEnd w:id="26"/>
      <w:bookmarkStart w:id="27" w:name="_Hlt68073093"/>
      <w:bookmarkEnd w:id="27"/>
      <w:bookmarkStart w:id="28" w:name="_Hlt74714665"/>
      <w:bookmarkEnd w:id="28"/>
    </w:p>
    <w:bookmarkEnd w:id="13"/>
    <w:bookmarkEnd w:id="14"/>
    <w:p>
      <w:pPr>
        <w:numPr>
          <w:ilvl w:val="0"/>
          <w:numId w:val="1"/>
        </w:numPr>
        <w:spacing w:line="360" w:lineRule="auto"/>
        <w:jc w:val="center"/>
        <w:outlineLvl w:val="0"/>
        <w:rPr>
          <w:rFonts w:ascii="宋体" w:hAnsi="宋体" w:cs="宋体"/>
          <w:b/>
          <w:sz w:val="36"/>
          <w:szCs w:val="36"/>
        </w:rPr>
      </w:pPr>
      <w:bookmarkStart w:id="29" w:name="第四部分"/>
      <w:r>
        <w:rPr>
          <w:rFonts w:hint="eastAsia" w:ascii="宋体" w:hAnsi="宋体" w:cs="宋体"/>
          <w:b/>
          <w:sz w:val="36"/>
          <w:szCs w:val="36"/>
        </w:rPr>
        <w:t xml:space="preserve">  采购需求</w:t>
      </w:r>
    </w:p>
    <w:p>
      <w:pPr>
        <w:pStyle w:val="2"/>
        <w:spacing w:before="120" w:beforeLines="50"/>
        <w:ind w:firstLine="281" w:firstLineChars="100"/>
        <w:rPr>
          <w:rFonts w:ascii="仿宋" w:hAnsi="仿宋" w:eastAsia="仿宋" w:cs="仿宋"/>
          <w:b/>
          <w:bCs/>
        </w:rPr>
      </w:pPr>
      <w:r>
        <w:rPr>
          <w:rFonts w:hint="eastAsia" w:cs="宋体"/>
          <w:b/>
          <w:sz w:val="28"/>
          <w:szCs w:val="28"/>
        </w:rPr>
        <w:t>一、项目概况</w:t>
      </w:r>
    </w:p>
    <w:p>
      <w:pPr>
        <w:adjustRightInd/>
        <w:spacing w:before="120" w:beforeLines="50" w:line="480" w:lineRule="auto"/>
        <w:rPr>
          <w:rFonts w:ascii="仿宋" w:hAnsi="仿宋" w:eastAsia="仿宋" w:cs="仿宋"/>
          <w:b/>
          <w:bCs/>
          <w:sz w:val="24"/>
        </w:rPr>
      </w:pPr>
      <w:r>
        <w:rPr>
          <w:rFonts w:hint="eastAsia" w:ascii="仿宋" w:hAnsi="仿宋" w:eastAsia="仿宋" w:cs="仿宋"/>
          <w:b/>
          <w:bCs/>
          <w:sz w:val="24"/>
        </w:rPr>
        <w:t>服务招标实施范围：乔司街道</w:t>
      </w:r>
      <w:r>
        <w:rPr>
          <w:rFonts w:hint="eastAsia" w:ascii="仿宋" w:hAnsi="仿宋" w:eastAsia="仿宋" w:cs="仿宋"/>
          <w:b/>
          <w:bCs/>
          <w:sz w:val="24"/>
          <w:lang w:val="en-US" w:eastAsia="zh-CN"/>
        </w:rPr>
        <w:t>南</w:t>
      </w:r>
      <w:r>
        <w:rPr>
          <w:rFonts w:hint="eastAsia" w:ascii="仿宋" w:hAnsi="仿宋" w:eastAsia="仿宋" w:cs="仿宋"/>
          <w:b/>
          <w:bCs/>
          <w:sz w:val="24"/>
        </w:rPr>
        <w:t>区块范围内的</w:t>
      </w:r>
      <w:r>
        <w:rPr>
          <w:rFonts w:hint="eastAsia" w:ascii="仿宋" w:hAnsi="仿宋" w:eastAsia="仿宋" w:cs="仿宋"/>
          <w:b/>
          <w:bCs/>
          <w:color w:val="000000"/>
          <w:sz w:val="24"/>
        </w:rPr>
        <w:t>雨水管道养护、清理、改造</w:t>
      </w:r>
      <w:r>
        <w:rPr>
          <w:rFonts w:hint="eastAsia" w:ascii="仿宋" w:hAnsi="仿宋" w:eastAsia="仿宋" w:cs="仿宋"/>
          <w:b/>
          <w:bCs/>
          <w:sz w:val="24"/>
        </w:rPr>
        <w:t>。详见附表。</w:t>
      </w:r>
    </w:p>
    <w:p>
      <w:pPr>
        <w:pStyle w:val="2"/>
        <w:rPr>
          <w:rFonts w:ascii="仿宋" w:hAnsi="仿宋" w:eastAsia="仿宋" w:cs="仿宋"/>
        </w:rPr>
      </w:pPr>
      <w:r>
        <w:rPr>
          <w:rFonts w:hint="eastAsia" w:ascii="仿宋" w:hAnsi="仿宋" w:eastAsia="仿宋" w:cs="仿宋"/>
        </w:rPr>
        <w:t>二、相关要求：</w:t>
      </w:r>
    </w:p>
    <w:p>
      <w:pPr>
        <w:pStyle w:val="2"/>
        <w:rPr>
          <w:rFonts w:ascii="仿宋" w:hAnsi="仿宋" w:eastAsia="仿宋" w:cs="仿宋"/>
        </w:rPr>
      </w:pPr>
      <w:r>
        <w:rPr>
          <w:rFonts w:hint="eastAsia" w:ascii="仿宋" w:hAnsi="仿宋" w:eastAsia="仿宋" w:cs="仿宋"/>
        </w:rPr>
        <w:t>1本次招标范围内的所有雨污水管道、检查井根据实际要求采用专业高压冲洗车设备全面清理淤泥及所有雨污水管道CCTV检测，并制作雨污水管道详细档案。</w:t>
      </w:r>
    </w:p>
    <w:p>
      <w:pPr>
        <w:pStyle w:val="2"/>
        <w:rPr>
          <w:rFonts w:ascii="仿宋" w:hAnsi="仿宋" w:eastAsia="仿宋" w:cs="仿宋"/>
        </w:rPr>
      </w:pPr>
      <w:r>
        <w:rPr>
          <w:rFonts w:hint="eastAsia" w:ascii="仿宋" w:hAnsi="仿宋" w:eastAsia="仿宋" w:cs="仿宋"/>
        </w:rPr>
        <w:t>2中标后投标人应具有市政管道设施养护所需临平区内的固定办公与仓库场所。</w:t>
      </w:r>
    </w:p>
    <w:p>
      <w:pPr>
        <w:pStyle w:val="2"/>
        <w:rPr>
          <w:rFonts w:ascii="仿宋" w:hAnsi="仿宋" w:eastAsia="仿宋" w:cs="仿宋"/>
        </w:rPr>
      </w:pPr>
      <w:r>
        <w:rPr>
          <w:rFonts w:hint="eastAsia" w:ascii="仿宋" w:hAnsi="仿宋" w:eastAsia="仿宋" w:cs="仿宋"/>
        </w:rPr>
        <w:t>3投标人拟投入本项目的高压冲洗车、管道养护车辆必须确保到位，同时管道养护车辆使用得到保证（包括运行费用、保险等），费用均由中标人承担。</w:t>
      </w:r>
    </w:p>
    <w:p>
      <w:pPr>
        <w:pStyle w:val="2"/>
        <w:rPr>
          <w:rFonts w:ascii="仿宋" w:hAnsi="仿宋" w:eastAsia="仿宋" w:cs="仿宋"/>
        </w:rPr>
      </w:pPr>
      <w:r>
        <w:rPr>
          <w:rFonts w:hint="eastAsia" w:ascii="仿宋" w:hAnsi="仿宋" w:eastAsia="仿宋" w:cs="仿宋"/>
        </w:rPr>
        <w:t>4养护期限内，明确承包人只有养护权，没有管理权，市政管道设施管理由杭州市临平区人民政府乔司街道办事处全权管理。</w:t>
      </w:r>
    </w:p>
    <w:p>
      <w:pPr>
        <w:pStyle w:val="2"/>
        <w:rPr>
          <w:rFonts w:ascii="仿宋" w:hAnsi="仿宋" w:eastAsia="仿宋" w:cs="仿宋"/>
        </w:rPr>
      </w:pPr>
      <w:r>
        <w:rPr>
          <w:rFonts w:hint="eastAsia" w:ascii="仿宋" w:hAnsi="仿宋" w:eastAsia="仿宋" w:cs="仿宋"/>
        </w:rPr>
        <w:t>5投标人中标后，发包人与中标人签订安全生产责任书，责任书中明确提出，在养护期间所发生的任何安全事故一律由承包人负责，发包人不承担任何责任。发包人会定期对安全生产进行检查，万一出现安全事故，发包人有义务帮助承包人协调解决。</w:t>
      </w:r>
    </w:p>
    <w:p>
      <w:pPr>
        <w:pStyle w:val="2"/>
        <w:rPr>
          <w:rFonts w:ascii="仿宋" w:hAnsi="仿宋" w:eastAsia="仿宋" w:cs="仿宋"/>
        </w:rPr>
      </w:pPr>
      <w:r>
        <w:rPr>
          <w:rFonts w:hint="eastAsia" w:ascii="仿宋" w:hAnsi="仿宋" w:eastAsia="仿宋" w:cs="仿宋"/>
        </w:rPr>
        <w:t>6养护施工期间，对于原市政管道设施存在的问题，承包人负有担负调查，分析原因和提出整改方案的义务，具体更换或维修由发包人统一安排。</w:t>
      </w:r>
    </w:p>
    <w:p>
      <w:pPr>
        <w:pStyle w:val="2"/>
        <w:rPr>
          <w:rFonts w:ascii="仿宋" w:hAnsi="仿宋" w:eastAsia="仿宋" w:cs="仿宋"/>
        </w:rPr>
      </w:pPr>
      <w:r>
        <w:rPr>
          <w:rFonts w:hint="eastAsia" w:ascii="仿宋" w:hAnsi="仿宋" w:eastAsia="仿宋" w:cs="仿宋"/>
        </w:rPr>
        <w:t>7养护期内养护用水、用电的费用由中标单位承担。</w:t>
      </w:r>
    </w:p>
    <w:p>
      <w:pPr>
        <w:pStyle w:val="2"/>
        <w:rPr>
          <w:rFonts w:ascii="仿宋" w:hAnsi="仿宋" w:eastAsia="仿宋" w:cs="仿宋"/>
        </w:rPr>
      </w:pPr>
      <w:r>
        <w:rPr>
          <w:rFonts w:hint="eastAsia" w:ascii="仿宋" w:hAnsi="仿宋" w:eastAsia="仿宋" w:cs="仿宋"/>
        </w:rPr>
        <w:t>8、养护期内不论自然环境（含气候）发生变化还是其它人为（含车辆）因素而导致的市政管道设施破坏，均由中标人负责维修，其费用由招标人承担。</w:t>
      </w:r>
    </w:p>
    <w:p>
      <w:pPr>
        <w:pStyle w:val="2"/>
        <w:rPr>
          <w:rFonts w:ascii="仿宋" w:hAnsi="仿宋" w:eastAsia="仿宋" w:cs="仿宋"/>
        </w:rPr>
      </w:pPr>
      <w:r>
        <w:rPr>
          <w:rFonts w:hint="eastAsia" w:ascii="仿宋" w:hAnsi="仿宋" w:eastAsia="仿宋" w:cs="仿宋"/>
        </w:rPr>
        <w:t>9、投标人应认真仔细地参加现场踏勘。</w:t>
      </w:r>
    </w:p>
    <w:p>
      <w:pPr>
        <w:pStyle w:val="2"/>
        <w:rPr>
          <w:rFonts w:ascii="仿宋" w:hAnsi="仿宋" w:eastAsia="仿宋" w:cs="仿宋"/>
        </w:rPr>
      </w:pPr>
      <w:r>
        <w:rPr>
          <w:rFonts w:hint="eastAsia" w:ascii="仿宋" w:hAnsi="仿宋" w:eastAsia="仿宋" w:cs="仿宋"/>
        </w:rPr>
        <w:t>10、中标人必须做好相关工作人员安全，文明的教育交底工作，交通安全、用电安全。尤其是如何避免养护中有毒气体的侵害，并为相关人员缴纳社保（养老，个人伤亡事故险等），日常养护工人禁止下井作业，如确实需要下井必须有城管中心的书面审批表，同意后严格按照《有限空间作业规程》相关规定方可下井，如发生安全意外事故，一切责任由中标单位负责。</w:t>
      </w:r>
    </w:p>
    <w:p>
      <w:pPr>
        <w:pStyle w:val="2"/>
      </w:pPr>
      <w:r>
        <w:rPr>
          <w:rFonts w:hint="eastAsia" w:ascii="仿宋" w:hAnsi="仿宋" w:eastAsia="仿宋" w:cs="仿宋"/>
        </w:rPr>
        <w:t>11、养护人员需统一服装，并有相应上岗证，在道路上养护时，需做好用电安全、交通安全维护，如有需要须经交警部门审批后方可实施。</w:t>
      </w:r>
    </w:p>
    <w:p>
      <w:pPr>
        <w:numPr>
          <w:ilvl w:val="0"/>
          <w:numId w:val="2"/>
        </w:numPr>
        <w:adjustRightInd/>
        <w:spacing w:line="360" w:lineRule="auto"/>
        <w:rPr>
          <w:rFonts w:ascii="仿宋" w:hAnsi="仿宋" w:eastAsia="仿宋" w:cs="仿宋"/>
          <w:color w:val="FF0000"/>
          <w:sz w:val="24"/>
        </w:rPr>
      </w:pPr>
      <w:r>
        <w:rPr>
          <w:rFonts w:hint="eastAsia" w:ascii="仿宋" w:hAnsi="仿宋" w:eastAsia="仿宋" w:cs="仿宋"/>
          <w:b/>
          <w:bCs/>
          <w:color w:val="FF0000"/>
          <w:sz w:val="24"/>
        </w:rPr>
        <w:t>养护要求：</w:t>
      </w:r>
      <w:r>
        <w:rPr>
          <w:rFonts w:hint="eastAsia" w:ascii="仿宋" w:hAnsi="仿宋" w:eastAsia="仿宋" w:cs="仿宋"/>
          <w:color w:val="FF0000"/>
          <w:sz w:val="24"/>
        </w:rPr>
        <w:t>排水管渠（含暗渠、明渠）养护疏通频率要依据《浙江省2018版市政设施养护维修预算定额》要求：管径≤D300每年疏通（清掏）8次，D300&lt;管径≤D600每年疏通（清掏）6次，D600&lt;管径≤D1000每年疏通（清掏）4次，D1000&lt;管径≤D1500每年疏通（清掏）2次，管径&gt;D1500每年疏通（清掏）1次，雨水口清掏次数每年12次；施工工地周边、低洼易涝区段、易淤积管段应增加清疏频次。每年完成不少于30%的雨水管网检测工作，并做好相应检测报告的留存。养护单位要做好每季度清淤台账。</w:t>
      </w:r>
    </w:p>
    <w:p>
      <w:pPr>
        <w:pStyle w:val="2"/>
        <w:numPr>
          <w:ilvl w:val="0"/>
          <w:numId w:val="2"/>
        </w:numPr>
      </w:pPr>
      <w:r>
        <w:rPr>
          <w:rFonts w:hint="eastAsia" w:ascii="仿宋" w:hAnsi="仿宋" w:eastAsia="仿宋" w:cs="仿宋"/>
          <w:color w:val="FF0000"/>
        </w:rPr>
        <w:t>本项目结算价套用《浙江省市政工程预算定额（2018版）》相应定额子目，材料价按施工实际发生当月的《杭州造价信息》、《浙江省造价信息》，无价材料参考市场价格。人工材料补差按施工实际发生当季价格。</w:t>
      </w:r>
    </w:p>
    <w:p>
      <w:pPr>
        <w:pStyle w:val="2"/>
      </w:pPr>
    </w:p>
    <w:p>
      <w:pPr>
        <w:adjustRightInd/>
        <w:spacing w:line="360" w:lineRule="auto"/>
        <w:jc w:val="left"/>
        <w:rPr>
          <w:rFonts w:ascii="仿宋" w:hAnsi="仿宋" w:eastAsia="仿宋" w:cs="仿宋"/>
          <w:b/>
          <w:bCs/>
          <w:sz w:val="24"/>
          <w:highlight w:val="yellow"/>
        </w:rPr>
      </w:pPr>
      <w:r>
        <w:rPr>
          <w:rFonts w:hint="eastAsia" w:ascii="仿宋" w:hAnsi="仿宋" w:eastAsia="仿宋" w:cs="仿宋"/>
          <w:b/>
          <w:bCs/>
          <w:sz w:val="24"/>
          <w:highlight w:val="yellow"/>
        </w:rPr>
        <w:t>三、养护期限：</w:t>
      </w:r>
    </w:p>
    <w:p>
      <w:pPr>
        <w:adjustRightInd/>
        <w:spacing w:line="360" w:lineRule="auto"/>
        <w:ind w:firstLine="480" w:firstLineChars="200"/>
        <w:jc w:val="left"/>
        <w:rPr>
          <w:rFonts w:ascii="仿宋" w:hAnsi="仿宋" w:eastAsia="仿宋" w:cs="仿宋"/>
          <w:sz w:val="24"/>
          <w:highlight w:val="yellow"/>
        </w:rPr>
      </w:pPr>
      <w:r>
        <w:rPr>
          <w:rFonts w:hint="eastAsia" w:ascii="仿宋" w:hAnsi="仿宋" w:eastAsia="仿宋" w:cs="仿宋"/>
          <w:sz w:val="24"/>
          <w:highlight w:val="yellow"/>
          <w:lang w:val="en-US" w:eastAsia="zh-CN"/>
        </w:rPr>
        <w:t>2</w:t>
      </w:r>
      <w:r>
        <w:rPr>
          <w:rFonts w:hint="eastAsia" w:ascii="仿宋" w:hAnsi="仿宋" w:eastAsia="仿宋" w:cs="仿宋"/>
          <w:sz w:val="24"/>
          <w:highlight w:val="yellow"/>
        </w:rPr>
        <w:t>年，具体以合同签订日期为准。</w:t>
      </w:r>
    </w:p>
    <w:p>
      <w:pPr>
        <w:adjustRightInd/>
        <w:spacing w:line="360" w:lineRule="auto"/>
        <w:rPr>
          <w:rFonts w:ascii="仿宋" w:hAnsi="仿宋" w:eastAsia="仿宋" w:cs="仿宋"/>
          <w:color w:val="FF0000"/>
          <w:sz w:val="24"/>
          <w:highlight w:val="yellow"/>
        </w:rPr>
      </w:pPr>
      <w:r>
        <w:rPr>
          <w:rFonts w:hint="eastAsia" w:ascii="仿宋" w:hAnsi="仿宋" w:eastAsia="仿宋" w:cs="仿宋"/>
          <w:b/>
          <w:bCs/>
          <w:sz w:val="24"/>
          <w:highlight w:val="yellow"/>
        </w:rPr>
        <w:t>四、费用支付：</w:t>
      </w:r>
    </w:p>
    <w:p>
      <w:pPr>
        <w:pStyle w:val="2"/>
        <w:ind w:left="480" w:firstLine="0" w:firstLineChars="0"/>
        <w:rPr>
          <w:rFonts w:ascii="仿宋" w:hAnsi="仿宋" w:eastAsia="仿宋" w:cs="仿宋"/>
          <w:color w:val="FF0000"/>
        </w:rPr>
      </w:pPr>
      <w:r>
        <w:rPr>
          <w:rFonts w:hint="eastAsia" w:ascii="仿宋" w:hAnsi="仿宋" w:eastAsia="仿宋" w:cs="仿宋"/>
          <w:color w:val="FF0000"/>
        </w:rPr>
        <w:t>根据每六个月实际完成工程量，按时上报甲方。经审计审定后，按照招投</w:t>
      </w:r>
    </w:p>
    <w:p>
      <w:pPr>
        <w:widowControl/>
        <w:snapToGrid w:val="0"/>
        <w:spacing w:line="440" w:lineRule="exact"/>
        <w:ind w:firstLine="420" w:firstLineChars="200"/>
        <w:jc w:val="left"/>
        <w:rPr>
          <w:rFonts w:ascii="仿宋" w:hAnsi="仿宋" w:eastAsia="仿宋" w:cs="仿宋"/>
        </w:rPr>
      </w:pPr>
      <w:r>
        <w:rPr>
          <w:rFonts w:hint="eastAsia" w:ascii="仿宋" w:hAnsi="仿宋" w:eastAsia="仿宋" w:cs="仿宋"/>
          <w:color w:val="FF0000"/>
        </w:rPr>
        <w:t>标文件中标报价下浮后支付工程款的</w:t>
      </w:r>
      <w:r>
        <w:rPr>
          <w:rFonts w:ascii="仿宋" w:hAnsi="仿宋" w:eastAsia="仿宋" w:cs="仿宋"/>
          <w:color w:val="FF0000"/>
        </w:rPr>
        <w:t>98.5%</w:t>
      </w:r>
      <w:r>
        <w:rPr>
          <w:rFonts w:hint="eastAsia" w:ascii="仿宋" w:hAnsi="仿宋" w:eastAsia="仿宋" w:cs="仿宋"/>
          <w:color w:val="FF0000"/>
        </w:rPr>
        <w:t>，剩余</w:t>
      </w:r>
      <w:r>
        <w:rPr>
          <w:rFonts w:ascii="仿宋" w:hAnsi="仿宋" w:eastAsia="仿宋" w:cs="仿宋"/>
          <w:color w:val="FF0000"/>
        </w:rPr>
        <w:t>1.5%</w:t>
      </w:r>
      <w:r>
        <w:rPr>
          <w:rFonts w:hint="eastAsia" w:ascii="仿宋" w:hAnsi="仿宋" w:eastAsia="仿宋" w:cs="仿宋"/>
          <w:color w:val="FF0000"/>
        </w:rPr>
        <w:t>作为质量保修金。剩余</w:t>
      </w:r>
      <w:r>
        <w:rPr>
          <w:rFonts w:ascii="仿宋" w:hAnsi="仿宋" w:eastAsia="仿宋" w:cs="仿宋"/>
          <w:color w:val="FF0000"/>
        </w:rPr>
        <w:t>1.5%</w:t>
      </w:r>
      <w:r>
        <w:rPr>
          <w:rFonts w:hint="eastAsia" w:ascii="仿宋" w:hAnsi="仿宋" w:eastAsia="仿宋" w:cs="仿宋"/>
          <w:color w:val="FF0000"/>
        </w:rPr>
        <w:t>的应付款项须待合同期满时，招标人对承包方管理项目进行总体考核并验收合格后，在十五日内付清（无息）。乙方凭有效发票到甲方处领取工程款</w:t>
      </w:r>
      <w:r>
        <w:rPr>
          <w:rFonts w:hint="eastAsia" w:ascii="仿宋" w:hAnsi="仿宋" w:eastAsia="仿宋" w:cs="仿宋"/>
          <w:color w:val="FF0000"/>
          <w:sz w:val="24"/>
        </w:rPr>
        <w:t>。</w:t>
      </w:r>
    </w:p>
    <w:p>
      <w:pPr>
        <w:adjustRightInd/>
        <w:spacing w:line="360" w:lineRule="auto"/>
        <w:rPr>
          <w:rFonts w:ascii="仿宋" w:hAnsi="仿宋" w:eastAsia="仿宋" w:cs="仿宋"/>
          <w:b/>
          <w:bCs/>
          <w:sz w:val="24"/>
        </w:rPr>
      </w:pPr>
      <w:r>
        <w:rPr>
          <w:rFonts w:hint="eastAsia" w:ascii="仿宋" w:hAnsi="仿宋" w:eastAsia="仿宋" w:cs="仿宋"/>
          <w:b/>
          <w:bCs/>
          <w:sz w:val="24"/>
        </w:rPr>
        <w:t>五、考核要求：</w:t>
      </w:r>
    </w:p>
    <w:p>
      <w:pPr>
        <w:adjustRightInd/>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按招标人的招标文件、考核标准及其它有关规定、技术标准执行，通过随机检查、每年定期检查和年度考核三种方式评定养护管理质量。</w:t>
      </w:r>
    </w:p>
    <w:p>
      <w:pPr>
        <w:adjustRightInd/>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检查考核由业主对管理质量进行综合考核评定，考核每季不少于一次，合格考核分为90分。对管理考核分数达不到90分，发出限期整改通知书。每季考核平均分数低于85分按比例扣除履约保证金，并限期整改。考核连续2次或累计4次不合格的，招标人有权终止合同，没收履约保证金，中标人承担相应损失，并抄报行业主管部门，招标人根据考核结果采取实际工程量支付承包方。本招标文件未尽事宜按养护质量管理标准、本项目考核标准。</w:t>
      </w:r>
    </w:p>
    <w:p>
      <w:pPr>
        <w:pStyle w:val="2"/>
        <w:rPr>
          <w:rFonts w:hint="eastAsia"/>
        </w:rPr>
      </w:pPr>
      <w:r>
        <w:rPr>
          <w:rFonts w:hint="eastAsia"/>
        </w:rPr>
        <w:t>1、考核扣款：</w:t>
      </w:r>
    </w:p>
    <w:p>
      <w:pPr>
        <w:pStyle w:val="2"/>
        <w:rPr>
          <w:rFonts w:hint="eastAsia"/>
        </w:rPr>
      </w:pPr>
      <w:r>
        <w:rPr>
          <w:rFonts w:hint="eastAsia"/>
        </w:rPr>
        <w:t>1.1、根据市级检查采纳的环卫类行业问题进行扣款，市级1000元/每件，区级500元/每件；</w:t>
      </w:r>
    </w:p>
    <w:p>
      <w:pPr>
        <w:pStyle w:val="2"/>
        <w:rPr>
          <w:rFonts w:hint="eastAsia"/>
        </w:rPr>
      </w:pPr>
      <w:r>
        <w:rPr>
          <w:rFonts w:hint="eastAsia"/>
        </w:rPr>
        <w:t>1.2、区城市管理领导小组办公室每月组织养护项目“红黑榜”评比，黑榜标段每次扣款1万元；</w:t>
      </w:r>
    </w:p>
    <w:p>
      <w:pPr>
        <w:pStyle w:val="2"/>
        <w:rPr>
          <w:rFonts w:hint="eastAsia"/>
        </w:rPr>
      </w:pPr>
      <w:r>
        <w:rPr>
          <w:rFonts w:hint="eastAsia"/>
        </w:rPr>
        <w:t>1.3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pPr>
        <w:pStyle w:val="2"/>
        <w:rPr>
          <w:rFonts w:hint="eastAsia"/>
        </w:rPr>
      </w:pPr>
      <w:r>
        <w:rPr>
          <w:rFonts w:hint="eastAsia"/>
        </w:rPr>
        <w:t>1.4、标准落实：</w:t>
      </w:r>
    </w:p>
    <w:p>
      <w:pPr>
        <w:pStyle w:val="2"/>
        <w:rPr>
          <w:rFonts w:hint="eastAsia"/>
        </w:rPr>
      </w:pPr>
      <w:r>
        <w:rPr>
          <w:rFonts w:hint="eastAsia"/>
        </w:rPr>
        <w:t xml:space="preserve">在日常养护过程中，经查实作业人员、作业设备未达到投标文件约定的，人员每少1%或设备每少1台的应扣除总合同价的1%；作业遍次未达到要求的，每次扣0.5万元 </w:t>
      </w:r>
    </w:p>
    <w:p>
      <w:pPr>
        <w:pStyle w:val="2"/>
        <w:rPr>
          <w:rFonts w:hint="eastAsia"/>
        </w:rPr>
      </w:pPr>
      <w:r>
        <w:rPr>
          <w:rFonts w:hint="eastAsia"/>
        </w:rPr>
        <w:t>1.5、清退机制</w:t>
      </w:r>
    </w:p>
    <w:p>
      <w:pPr>
        <w:pStyle w:val="2"/>
      </w:pPr>
      <w:r>
        <w:rPr>
          <w:rFonts w:hint="eastAsia"/>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pPr>
        <w:adjustRightInd/>
        <w:spacing w:line="360" w:lineRule="auto"/>
        <w:rPr>
          <w:rFonts w:ascii="仿宋" w:hAnsi="仿宋" w:eastAsia="仿宋" w:cs="仿宋"/>
          <w:color w:val="FF0000"/>
          <w:sz w:val="24"/>
        </w:rPr>
      </w:pPr>
      <w:r>
        <w:rPr>
          <w:rFonts w:hint="eastAsia" w:ascii="仿宋" w:hAnsi="仿宋" w:eastAsia="仿宋" w:cs="仿宋"/>
          <w:color w:val="FF0000"/>
          <w:sz w:val="24"/>
        </w:rPr>
        <w:t>注：如乔司街道考核办法更新，需已新标准为准，中标单位需无条件执行。</w:t>
      </w:r>
    </w:p>
    <w:p>
      <w:pPr>
        <w:adjustRightInd/>
        <w:spacing w:line="360" w:lineRule="auto"/>
        <w:rPr>
          <w:rFonts w:ascii="仿宋" w:hAnsi="仿宋" w:eastAsia="仿宋" w:cs="仿宋"/>
          <w:b/>
          <w:bCs/>
          <w:sz w:val="24"/>
        </w:rPr>
      </w:pPr>
      <w:r>
        <w:rPr>
          <w:rFonts w:hint="eastAsia" w:ascii="仿宋" w:hAnsi="仿宋" w:eastAsia="仿宋" w:cs="仿宋"/>
          <w:b/>
          <w:bCs/>
          <w:sz w:val="24"/>
        </w:rPr>
        <w:t>六、其它：</w:t>
      </w:r>
    </w:p>
    <w:p>
      <w:pPr>
        <w:adjustRightInd/>
        <w:spacing w:line="440" w:lineRule="atLeast"/>
        <w:ind w:firstLine="482" w:firstLineChars="200"/>
        <w:rPr>
          <w:rFonts w:ascii="仿宋" w:hAnsi="仿宋" w:eastAsia="仿宋" w:cs="仿宋"/>
          <w:b/>
          <w:sz w:val="24"/>
        </w:rPr>
      </w:pPr>
      <w:r>
        <w:rPr>
          <w:rFonts w:hint="eastAsia" w:ascii="仿宋" w:hAnsi="仿宋" w:eastAsia="仿宋" w:cs="仿宋"/>
          <w:b/>
          <w:sz w:val="24"/>
        </w:rPr>
        <w:t>1、中标单位需做好杭州市临平区人民政府乔司街道办事处养范围内的路面积水应急处置工作。</w:t>
      </w:r>
    </w:p>
    <w:p>
      <w:pPr>
        <w:adjustRightInd/>
        <w:spacing w:line="440" w:lineRule="atLeast"/>
        <w:ind w:firstLine="482" w:firstLineChars="200"/>
        <w:rPr>
          <w:rFonts w:ascii="仿宋" w:hAnsi="仿宋" w:eastAsia="仿宋" w:cs="仿宋"/>
          <w:b/>
          <w:sz w:val="24"/>
        </w:rPr>
      </w:pPr>
      <w:r>
        <w:rPr>
          <w:rFonts w:hint="eastAsia" w:ascii="仿宋" w:hAnsi="仿宋" w:eastAsia="仿宋" w:cs="仿宋"/>
          <w:b/>
          <w:sz w:val="24"/>
        </w:rPr>
        <w:t>2、项目累计完成工程量达到</w:t>
      </w:r>
      <w:r>
        <w:rPr>
          <w:rFonts w:hint="eastAsia" w:ascii="仿宋" w:hAnsi="仿宋" w:eastAsia="仿宋" w:cs="仿宋"/>
          <w:b/>
          <w:sz w:val="24"/>
          <w:lang w:val="en-US" w:eastAsia="zh-CN"/>
        </w:rPr>
        <w:t>3</w:t>
      </w:r>
      <w:r>
        <w:rPr>
          <w:rFonts w:hint="eastAsia" w:ascii="仿宋" w:hAnsi="仿宋" w:eastAsia="仿宋" w:cs="仿宋"/>
          <w:b/>
          <w:sz w:val="24"/>
        </w:rPr>
        <w:t>00万元或施工工期达到</w:t>
      </w:r>
      <w:r>
        <w:rPr>
          <w:rFonts w:hint="eastAsia" w:ascii="仿宋" w:hAnsi="仿宋" w:eastAsia="仿宋" w:cs="仿宋"/>
          <w:b/>
          <w:sz w:val="24"/>
          <w:lang w:val="en-US" w:eastAsia="zh-CN"/>
        </w:rPr>
        <w:t>合同期满</w:t>
      </w:r>
      <w:r>
        <w:rPr>
          <w:rFonts w:hint="eastAsia" w:ascii="仿宋" w:hAnsi="仿宋" w:eastAsia="仿宋" w:cs="仿宋"/>
          <w:b/>
          <w:sz w:val="24"/>
        </w:rPr>
        <w:t>后，本合同终止。</w:t>
      </w:r>
    </w:p>
    <w:p>
      <w:pPr>
        <w:pStyle w:val="2"/>
        <w:ind w:firstLine="482"/>
        <w:rPr>
          <w:rFonts w:eastAsia="仿宋"/>
        </w:rPr>
      </w:pPr>
      <w:r>
        <w:rPr>
          <w:rFonts w:hint="eastAsia" w:ascii="仿宋" w:hAnsi="仿宋" w:eastAsia="仿宋" w:cs="仿宋"/>
          <w:b/>
        </w:rPr>
        <w:t>3、如后续新建道路项目移交，根据道路实际移交情况，纳入正常养护范围，养护所产生的费用纳入本次招标范围内。</w:t>
      </w:r>
    </w:p>
    <w:p>
      <w:pPr>
        <w:pStyle w:val="2"/>
        <w:rPr>
          <w:rFonts w:ascii="仿宋" w:hAnsi="仿宋" w:eastAsia="仿宋" w:cs="仿宋"/>
        </w:rPr>
      </w:pPr>
    </w:p>
    <w:p>
      <w:pPr>
        <w:jc w:val="center"/>
        <w:rPr>
          <w:rFonts w:ascii="仿宋" w:hAnsi="仿宋" w:eastAsia="仿宋" w:cs="仿宋"/>
          <w:b/>
          <w:bCs/>
          <w:sz w:val="36"/>
          <w:szCs w:val="36"/>
        </w:rPr>
      </w:pPr>
    </w:p>
    <w:tbl>
      <w:tblPr>
        <w:tblStyle w:val="65"/>
        <w:tblW w:w="81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44"/>
        <w:gridCol w:w="1080"/>
        <w:gridCol w:w="1080"/>
        <w:gridCol w:w="1395"/>
        <w:gridCol w:w="108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1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南区块管道养护道路明细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类型</w:t>
            </w:r>
          </w:p>
        </w:tc>
        <w:tc>
          <w:tcPr>
            <w:tcW w:w="108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道路等级</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（一二三类）</w:t>
            </w:r>
          </w:p>
        </w:tc>
        <w:tc>
          <w:tcPr>
            <w:tcW w:w="139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起止点（地址）</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长度（m）</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南区块管道养护</w:t>
            </w:r>
          </w:p>
        </w:tc>
        <w:tc>
          <w:tcPr>
            <w:tcW w:w="108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三卫路</w:t>
            </w:r>
          </w:p>
        </w:tc>
        <w:tc>
          <w:tcPr>
            <w:tcW w:w="108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一类</w:t>
            </w:r>
          </w:p>
        </w:tc>
        <w:tc>
          <w:tcPr>
            <w:tcW w:w="1395" w:type="dxa"/>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杭海路-东湖路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稼东路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一类</w:t>
            </w:r>
          </w:p>
        </w:tc>
        <w:tc>
          <w:tcPr>
            <w:tcW w:w="13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绕城高速-三卫路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方塘埠路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w:t>
            </w:r>
          </w:p>
        </w:tc>
        <w:tc>
          <w:tcPr>
            <w:tcW w:w="13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杭海路-稼东路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科卫路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w:t>
            </w:r>
          </w:p>
        </w:tc>
        <w:tc>
          <w:tcPr>
            <w:tcW w:w="13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杭海路-稼东路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通盛路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w:t>
            </w:r>
          </w:p>
        </w:tc>
        <w:tc>
          <w:tcPr>
            <w:tcW w:w="13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三卫路-科城街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杭乔路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w:t>
            </w:r>
          </w:p>
        </w:tc>
        <w:tc>
          <w:tcPr>
            <w:tcW w:w="13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三卫路-科城街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胜桑路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w:t>
            </w:r>
          </w:p>
        </w:tc>
        <w:tc>
          <w:tcPr>
            <w:tcW w:w="13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杭海路-东湖路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月牙二路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w:t>
            </w:r>
          </w:p>
        </w:tc>
        <w:tc>
          <w:tcPr>
            <w:tcW w:w="13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稼东路-佳兆业北门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锦衣直街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w:t>
            </w:r>
          </w:p>
        </w:tc>
        <w:tc>
          <w:tcPr>
            <w:tcW w:w="13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三卫路-胜启路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九华路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二类</w:t>
            </w:r>
          </w:p>
        </w:tc>
        <w:tc>
          <w:tcPr>
            <w:tcW w:w="13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农垦路-区界</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冯金街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一类</w:t>
            </w:r>
          </w:p>
        </w:tc>
        <w:tc>
          <w:tcPr>
            <w:tcW w:w="13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九华路-区界</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东湖路</w:t>
            </w:r>
          </w:p>
        </w:tc>
        <w:tc>
          <w:tcPr>
            <w:tcW w:w="108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w:t>
            </w:r>
          </w:p>
        </w:tc>
        <w:tc>
          <w:tcPr>
            <w:tcW w:w="13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永玄路-德胜路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三胜街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一类</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01省道-区界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包含下穿泵站</w:t>
            </w:r>
          </w:p>
        </w:tc>
      </w:tr>
    </w:tbl>
    <w:p>
      <w:pPr>
        <w:jc w:val="center"/>
        <w:rPr>
          <w:rFonts w:ascii="仿宋" w:hAnsi="仿宋" w:eastAsia="仿宋" w:cs="仿宋"/>
          <w:b/>
          <w:bCs/>
          <w:sz w:val="36"/>
          <w:szCs w:val="36"/>
        </w:rPr>
      </w:pPr>
    </w:p>
    <w:p>
      <w:pPr>
        <w:adjustRightInd/>
        <w:spacing w:line="540" w:lineRule="exact"/>
        <w:jc w:val="center"/>
        <w:rPr>
          <w:rFonts w:ascii="仿宋" w:hAnsi="仿宋" w:eastAsia="仿宋" w:cs="仿宋"/>
          <w:color w:val="000000" w:themeColor="text1"/>
          <w:sz w:val="40"/>
          <w:szCs w:val="40"/>
          <w:lang w:val="zh-TW"/>
          <w14:textFill>
            <w14:solidFill>
              <w14:schemeClr w14:val="tx1"/>
            </w14:solidFill>
          </w14:textFill>
        </w:rPr>
      </w:pPr>
      <w:r>
        <w:rPr>
          <w:rFonts w:hint="eastAsia" w:eastAsia="方正小标宋简体" w:cs="方正小标宋简体"/>
          <w:color w:val="000000" w:themeColor="text1"/>
          <w:sz w:val="40"/>
          <w:szCs w:val="40"/>
          <w14:textFill>
            <w14:solidFill>
              <w14:schemeClr w14:val="tx1"/>
            </w14:solidFill>
          </w14:textFill>
        </w:rPr>
        <w:t>市政管网及泵站养护考核评分细则</w:t>
      </w:r>
    </w:p>
    <w:p>
      <w:pPr>
        <w:adjustRightInd/>
        <w:spacing w:line="57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考核对象：         考核标段：          考核时间：      考评人员：</w:t>
      </w:r>
    </w:p>
    <w:tbl>
      <w:tblPr>
        <w:tblStyle w:val="65"/>
        <w:tblW w:w="9258"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021"/>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92" w:type="dxa"/>
            <w:vAlign w:val="center"/>
          </w:tcPr>
          <w:p>
            <w:pPr>
              <w:spacing w:line="300" w:lineRule="exact"/>
              <w:jc w:val="center"/>
              <w:rPr>
                <w:rFonts w:eastAsia="仿宋_GB2312" w:cs="宋体"/>
                <w:b/>
                <w:bCs/>
                <w:color w:val="000000" w:themeColor="text1"/>
                <w:kern w:val="0"/>
                <w:sz w:val="20"/>
                <w:szCs w:val="21"/>
                <w14:textFill>
                  <w14:solidFill>
                    <w14:schemeClr w14:val="tx1"/>
                  </w14:solidFill>
                </w14:textFill>
              </w:rPr>
            </w:pPr>
            <w:r>
              <w:rPr>
                <w:rFonts w:hint="eastAsia" w:eastAsia="仿宋_GB2312" w:cs="宋体"/>
                <w:b/>
                <w:bCs/>
                <w:color w:val="000000" w:themeColor="text1"/>
                <w:kern w:val="0"/>
                <w:sz w:val="20"/>
                <w:szCs w:val="21"/>
                <w14:textFill>
                  <w14:solidFill>
                    <w14:schemeClr w14:val="tx1"/>
                  </w14:solidFill>
                </w14:textFill>
              </w:rPr>
              <w:t>考核内 容</w:t>
            </w:r>
          </w:p>
        </w:tc>
        <w:tc>
          <w:tcPr>
            <w:tcW w:w="8021" w:type="dxa"/>
            <w:vAlign w:val="center"/>
          </w:tcPr>
          <w:p>
            <w:pPr>
              <w:spacing w:line="300" w:lineRule="exact"/>
              <w:jc w:val="center"/>
              <w:rPr>
                <w:rFonts w:eastAsia="仿宋_GB2312" w:cs="宋体"/>
                <w:b/>
                <w:bCs/>
                <w:color w:val="000000" w:themeColor="text1"/>
                <w:kern w:val="0"/>
                <w:sz w:val="20"/>
                <w:szCs w:val="21"/>
                <w14:textFill>
                  <w14:solidFill>
                    <w14:schemeClr w14:val="tx1"/>
                  </w14:solidFill>
                </w14:textFill>
              </w:rPr>
            </w:pPr>
            <w:r>
              <w:rPr>
                <w:rFonts w:hint="eastAsia" w:eastAsia="仿宋_GB2312" w:cs="宋体"/>
                <w:b/>
                <w:bCs/>
                <w:color w:val="000000" w:themeColor="text1"/>
                <w:kern w:val="0"/>
                <w:sz w:val="20"/>
                <w:szCs w:val="21"/>
                <w14:textFill>
                  <w14:solidFill>
                    <w14:schemeClr w14:val="tx1"/>
                  </w14:solidFill>
                </w14:textFill>
              </w:rPr>
              <w:t>评分标准</w:t>
            </w:r>
          </w:p>
        </w:tc>
        <w:tc>
          <w:tcPr>
            <w:tcW w:w="645" w:type="dxa"/>
            <w:vAlign w:val="center"/>
          </w:tcPr>
          <w:p>
            <w:pPr>
              <w:spacing w:line="300" w:lineRule="exact"/>
              <w:jc w:val="center"/>
              <w:rPr>
                <w:rFonts w:eastAsia="仿宋_GB2312" w:cs="宋体"/>
                <w:b/>
                <w:bCs/>
                <w:color w:val="000000" w:themeColor="text1"/>
                <w:kern w:val="0"/>
                <w:sz w:val="20"/>
                <w:szCs w:val="21"/>
                <w14:textFill>
                  <w14:solidFill>
                    <w14:schemeClr w14:val="tx1"/>
                  </w14:solidFill>
                </w14:textFill>
              </w:rPr>
            </w:pPr>
            <w:r>
              <w:rPr>
                <w:rFonts w:hint="eastAsia" w:eastAsia="仿宋_GB2312" w:cs="宋体"/>
                <w:b/>
                <w:bCs/>
                <w:color w:val="000000" w:themeColor="text1"/>
                <w:kern w:val="0"/>
                <w:sz w:val="20"/>
                <w:szCs w:val="21"/>
                <w14:textFill>
                  <w14:solidFill>
                    <w14:schemeClr w14:val="tx1"/>
                  </w14:solidFill>
                </w14:textFill>
              </w:rPr>
              <w:t>考核评分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Merge w:val="restart"/>
            <w:vAlign w:val="center"/>
          </w:tcPr>
          <w:p>
            <w:pPr>
              <w:spacing w:line="300" w:lineRule="exact"/>
              <w:jc w:val="center"/>
              <w:rPr>
                <w:rFonts w:eastAsia="仿宋_GB2312" w:cs="宋体"/>
                <w:b/>
                <w:bCs/>
                <w:color w:val="000000" w:themeColor="text1"/>
                <w:kern w:val="0"/>
                <w:sz w:val="20"/>
                <w:szCs w:val="21"/>
                <w14:textFill>
                  <w14:solidFill>
                    <w14:schemeClr w14:val="tx1"/>
                  </w14:solidFill>
                </w14:textFill>
              </w:rPr>
            </w:pPr>
            <w:r>
              <w:rPr>
                <w:rFonts w:hint="eastAsia" w:eastAsia="仿宋_GB2312" w:cs="宋体"/>
                <w:b/>
                <w:bCs/>
                <w:color w:val="000000" w:themeColor="text1"/>
                <w:kern w:val="0"/>
                <w:sz w:val="20"/>
                <w:szCs w:val="21"/>
                <w14:textFill>
                  <w14:solidFill>
                    <w14:schemeClr w14:val="tx1"/>
                  </w14:solidFill>
                </w14:textFill>
              </w:rPr>
              <w:t>管理制度</w:t>
            </w:r>
          </w:p>
          <w:p>
            <w:pPr>
              <w:spacing w:line="300" w:lineRule="exact"/>
              <w:jc w:val="center"/>
              <w:rPr>
                <w:rFonts w:eastAsia="仿宋_GB2312" w:cs="宋体"/>
                <w:b/>
                <w:bCs/>
                <w:color w:val="000000" w:themeColor="text1"/>
                <w:kern w:val="0"/>
                <w:sz w:val="20"/>
                <w:szCs w:val="21"/>
                <w14:textFill>
                  <w14:solidFill>
                    <w14:schemeClr w14:val="tx1"/>
                  </w14:solidFill>
                </w14:textFill>
              </w:rPr>
            </w:pPr>
            <w:r>
              <w:rPr>
                <w:rFonts w:hint="eastAsia" w:eastAsia="仿宋_GB2312" w:cs="宋体"/>
                <w:b/>
                <w:bCs/>
                <w:color w:val="000000" w:themeColor="text1"/>
                <w:kern w:val="0"/>
                <w:sz w:val="20"/>
                <w:szCs w:val="21"/>
                <w14:textFill>
                  <w14:solidFill>
                    <w14:schemeClr w14:val="tx1"/>
                  </w14:solidFill>
                </w14:textFill>
              </w:rPr>
              <w:t>25分</w:t>
            </w:r>
          </w:p>
        </w:tc>
        <w:tc>
          <w:tcPr>
            <w:tcW w:w="8021" w:type="dxa"/>
            <w:vAlign w:val="center"/>
          </w:tcPr>
          <w:p>
            <w:pPr>
              <w:pStyle w:val="61"/>
              <w:spacing w:before="0" w:beforeAutospacing="0" w:after="0" w:afterAutospacing="0"/>
              <w:jc w:val="both"/>
              <w:rPr>
                <w:rFonts w:ascii="Times New Roman" w:hAnsi="Times New Roman" w:eastAsia="仿宋_GB2312" w:cs="宋体"/>
                <w:color w:val="000000" w:themeColor="text1"/>
                <w:sz w:val="21"/>
                <w:szCs w:val="21"/>
                <w14:textFill>
                  <w14:solidFill>
                    <w14:schemeClr w14:val="tx1"/>
                  </w14:solidFill>
                </w14:textFill>
              </w:rPr>
            </w:pPr>
            <w:r>
              <w:rPr>
                <w:rFonts w:hint="eastAsia" w:ascii="Times New Roman" w:hAnsi="Times New Roman" w:eastAsia="仿宋_GB2312" w:cs="宋体"/>
                <w:color w:val="000000" w:themeColor="text1"/>
                <w:sz w:val="21"/>
                <w:szCs w:val="21"/>
                <w14:textFill>
                  <w14:solidFill>
                    <w14:schemeClr w14:val="tx1"/>
                  </w14:solidFill>
                </w14:textFill>
              </w:rPr>
              <w:t>项目部人员组成、养护工人、专职巡查员、设备配备是否满足投标文件要求。不符合要求的每次扣5分扣款1000元。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92" w:type="dxa"/>
            <w:vMerge w:val="continue"/>
            <w:vAlign w:val="center"/>
          </w:tcPr>
          <w:p>
            <w:pPr>
              <w:spacing w:line="300" w:lineRule="exact"/>
              <w:jc w:val="center"/>
              <w:rPr>
                <w:rFonts w:eastAsia="仿宋_GB2312" w:cs="宋体"/>
                <w:b/>
                <w:bCs/>
                <w:color w:val="000000" w:themeColor="text1"/>
                <w:kern w:val="0"/>
                <w:sz w:val="20"/>
                <w:szCs w:val="21"/>
                <w14:textFill>
                  <w14:solidFill>
                    <w14:schemeClr w14:val="tx1"/>
                  </w14:solidFill>
                </w14:textFill>
              </w:rPr>
            </w:pPr>
          </w:p>
        </w:tc>
        <w:tc>
          <w:tcPr>
            <w:tcW w:w="8021" w:type="dxa"/>
            <w:vAlign w:val="center"/>
          </w:tcPr>
          <w:p>
            <w:pPr>
              <w:pStyle w:val="61"/>
              <w:spacing w:before="0" w:beforeAutospacing="0" w:after="0" w:afterAutospacing="0"/>
              <w:jc w:val="both"/>
              <w:rPr>
                <w:rFonts w:ascii="Times New Roman" w:hAnsi="Times New Roman" w:eastAsia="仿宋_GB2312" w:cs="宋体"/>
                <w:color w:val="000000" w:themeColor="text1"/>
                <w:sz w:val="21"/>
                <w:szCs w:val="21"/>
                <w14:textFill>
                  <w14:solidFill>
                    <w14:schemeClr w14:val="tx1"/>
                  </w14:solidFill>
                </w14:textFill>
              </w:rPr>
            </w:pPr>
            <w:r>
              <w:rPr>
                <w:rFonts w:hint="eastAsia" w:ascii="Times New Roman" w:hAnsi="Times New Roman" w:eastAsia="仿宋_GB2312" w:cs="宋体"/>
                <w:color w:val="000000" w:themeColor="text1"/>
                <w:sz w:val="21"/>
                <w:szCs w:val="21"/>
                <w14:textFill>
                  <w14:solidFill>
                    <w14:schemeClr w14:val="tx1"/>
                  </w14:solidFill>
                </w14:textFill>
              </w:rPr>
              <w:t>养护计划：编制养护总进度计划、当月工作总结、下月进度计划，不报每次扣5分扣款1000元。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Merge w:val="continue"/>
            <w:vAlign w:val="center"/>
          </w:tcPr>
          <w:p>
            <w:pPr>
              <w:spacing w:line="300" w:lineRule="exact"/>
              <w:jc w:val="center"/>
              <w:rPr>
                <w:rFonts w:eastAsia="仿宋_GB2312" w:cs="宋体"/>
                <w:b/>
                <w:bCs/>
                <w:color w:val="000000" w:themeColor="text1"/>
                <w:kern w:val="0"/>
                <w:sz w:val="20"/>
                <w:szCs w:val="21"/>
                <w14:textFill>
                  <w14:solidFill>
                    <w14:schemeClr w14:val="tx1"/>
                  </w14:solidFill>
                </w14:textFill>
              </w:rPr>
            </w:pPr>
          </w:p>
        </w:tc>
        <w:tc>
          <w:tcPr>
            <w:tcW w:w="8021" w:type="dxa"/>
            <w:vAlign w:val="center"/>
          </w:tcPr>
          <w:p>
            <w:pPr>
              <w:pStyle w:val="61"/>
              <w:spacing w:before="0" w:beforeAutospacing="0" w:after="0" w:afterAutospacing="0"/>
              <w:jc w:val="both"/>
              <w:rPr>
                <w:rFonts w:ascii="Times New Roman" w:hAnsi="Times New Roman" w:eastAsia="仿宋_GB2312" w:cs="宋体"/>
                <w:color w:val="000000" w:themeColor="text1"/>
                <w:sz w:val="21"/>
                <w:szCs w:val="21"/>
                <w14:textFill>
                  <w14:solidFill>
                    <w14:schemeClr w14:val="tx1"/>
                  </w14:solidFill>
                </w14:textFill>
              </w:rPr>
            </w:pPr>
            <w:r>
              <w:rPr>
                <w:rFonts w:hint="eastAsia" w:ascii="Times New Roman" w:hAnsi="Times New Roman" w:eastAsia="仿宋_GB2312" w:cs="宋体"/>
                <w:color w:val="000000" w:themeColor="text1"/>
                <w:sz w:val="21"/>
                <w:szCs w:val="21"/>
                <w14:textFill>
                  <w14:solidFill>
                    <w14:schemeClr w14:val="tx1"/>
                  </w14:solidFill>
                </w14:textFill>
              </w:rPr>
              <w:t>具有养护范围内的管道线路图纸，要求标有管径、管材、长度，图纸更新及时、准确。不符合要求的每处扣2分扣款500元。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92" w:type="dxa"/>
            <w:vMerge w:val="continue"/>
            <w:vAlign w:val="center"/>
          </w:tcPr>
          <w:p>
            <w:pPr>
              <w:spacing w:line="300" w:lineRule="exact"/>
              <w:jc w:val="center"/>
              <w:rPr>
                <w:rFonts w:eastAsia="仿宋_GB2312" w:cs="宋体"/>
                <w:b/>
                <w:bCs/>
                <w:color w:val="000000" w:themeColor="text1"/>
                <w:kern w:val="0"/>
                <w:sz w:val="20"/>
                <w:szCs w:val="21"/>
                <w14:textFill>
                  <w14:solidFill>
                    <w14:schemeClr w14:val="tx1"/>
                  </w14:solidFill>
                </w14:textFill>
              </w:rPr>
            </w:pPr>
          </w:p>
        </w:tc>
        <w:tc>
          <w:tcPr>
            <w:tcW w:w="8021" w:type="dxa"/>
            <w:vAlign w:val="center"/>
          </w:tcPr>
          <w:p>
            <w:pPr>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有泵站运行台帐、巡查记录台账、工作照片存档，不符合要求的每次扣5分扣款500元。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Merge w:val="restart"/>
            <w:vAlign w:val="center"/>
          </w:tcPr>
          <w:p>
            <w:pPr>
              <w:spacing w:line="300" w:lineRule="exact"/>
              <w:jc w:val="center"/>
              <w:rPr>
                <w:rFonts w:eastAsia="仿宋_GB2312" w:cs="宋体"/>
                <w:b/>
                <w:bCs/>
                <w:color w:val="000000" w:themeColor="text1"/>
                <w:kern w:val="0"/>
                <w:sz w:val="20"/>
                <w:szCs w:val="21"/>
                <w14:textFill>
                  <w14:solidFill>
                    <w14:schemeClr w14:val="tx1"/>
                  </w14:solidFill>
                </w14:textFill>
              </w:rPr>
            </w:pPr>
            <w:r>
              <w:rPr>
                <w:rFonts w:hint="eastAsia" w:eastAsia="仿宋_GB2312" w:cs="宋体"/>
                <w:b/>
                <w:bCs/>
                <w:color w:val="000000" w:themeColor="text1"/>
                <w:kern w:val="0"/>
                <w:sz w:val="20"/>
                <w:szCs w:val="21"/>
                <w14:textFill>
                  <w14:solidFill>
                    <w14:schemeClr w14:val="tx1"/>
                  </w14:solidFill>
                </w14:textFill>
              </w:rPr>
              <w:t>综合管理55分</w:t>
            </w:r>
          </w:p>
        </w:tc>
        <w:tc>
          <w:tcPr>
            <w:tcW w:w="8021" w:type="dxa"/>
            <w:vAlign w:val="center"/>
          </w:tcPr>
          <w:p>
            <w:pPr>
              <w:pStyle w:val="61"/>
              <w:spacing w:before="0" w:beforeAutospacing="0" w:after="0" w:afterAutospacing="0"/>
              <w:jc w:val="both"/>
              <w:rPr>
                <w:rFonts w:ascii="Times New Roman" w:hAnsi="Times New Roman" w:eastAsia="仿宋_GB2312" w:cs="宋体"/>
                <w:color w:val="000000" w:themeColor="text1"/>
                <w:sz w:val="21"/>
                <w:szCs w:val="21"/>
                <w14:textFill>
                  <w14:solidFill>
                    <w14:schemeClr w14:val="tx1"/>
                  </w14:solidFill>
                </w14:textFill>
              </w:rPr>
            </w:pPr>
            <w:r>
              <w:rPr>
                <w:rFonts w:hint="eastAsia" w:ascii="Times New Roman" w:hAnsi="Times New Roman" w:eastAsia="仿宋_GB2312" w:cs="宋体"/>
                <w:color w:val="000000" w:themeColor="text1"/>
                <w:sz w:val="21"/>
                <w:szCs w:val="21"/>
                <w14:textFill>
                  <w14:solidFill>
                    <w14:schemeClr w14:val="tx1"/>
                  </w14:solidFill>
                </w14:textFill>
              </w:rPr>
              <w:t>雨、污水检查井、雨水篦子及雨、污水管道应保持畅通，雨、污水检查井、雨水篦子和雨、污水管道积泥不超过20%，不符合要求每次扣5分扣款500元。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92" w:type="dxa"/>
            <w:vMerge w:val="continue"/>
            <w:vAlign w:val="center"/>
          </w:tcPr>
          <w:p>
            <w:pPr>
              <w:rPr>
                <w:rFonts w:eastAsia="Times New Roman"/>
                <w:color w:val="000000" w:themeColor="text1"/>
                <w:sz w:val="22"/>
                <w:szCs w:val="22"/>
                <w14:textFill>
                  <w14:solidFill>
                    <w14:schemeClr w14:val="tx1"/>
                  </w14:solidFill>
                </w14:textFill>
              </w:rPr>
            </w:pPr>
          </w:p>
        </w:tc>
        <w:tc>
          <w:tcPr>
            <w:tcW w:w="8021" w:type="dxa"/>
            <w:vAlign w:val="center"/>
          </w:tcPr>
          <w:p>
            <w:pPr>
              <w:pStyle w:val="61"/>
              <w:spacing w:before="0" w:beforeAutospacing="0" w:after="0" w:afterAutospacing="0"/>
              <w:jc w:val="both"/>
              <w:rPr>
                <w:rFonts w:ascii="Times New Roman" w:hAnsi="Times New Roman" w:eastAsia="仿宋_GB2312" w:cs="宋体"/>
                <w:color w:val="000000" w:themeColor="text1"/>
                <w:sz w:val="21"/>
                <w:szCs w:val="21"/>
                <w14:textFill>
                  <w14:solidFill>
                    <w14:schemeClr w14:val="tx1"/>
                  </w14:solidFill>
                </w14:textFill>
              </w:rPr>
            </w:pPr>
            <w:r>
              <w:rPr>
                <w:rFonts w:hint="eastAsia" w:ascii="Times New Roman" w:hAnsi="Times New Roman" w:eastAsia="仿宋_GB2312" w:cs="宋体"/>
                <w:color w:val="000000" w:themeColor="text1"/>
                <w:sz w:val="21"/>
                <w:szCs w:val="21"/>
                <w14:textFill>
                  <w14:solidFill>
                    <w14:schemeClr w14:val="tx1"/>
                  </w14:solidFill>
                </w14:textFill>
              </w:rPr>
              <w:t>路面无积水，无污水满溢。每发现一次扣5分扣款500元。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2" w:type="dxa"/>
            <w:vMerge w:val="continue"/>
            <w:vAlign w:val="center"/>
          </w:tcPr>
          <w:p>
            <w:pPr>
              <w:rPr>
                <w:rFonts w:eastAsia="Times New Roman"/>
                <w:color w:val="000000" w:themeColor="text1"/>
                <w:sz w:val="22"/>
                <w:szCs w:val="22"/>
                <w14:textFill>
                  <w14:solidFill>
                    <w14:schemeClr w14:val="tx1"/>
                  </w14:solidFill>
                </w14:textFill>
              </w:rPr>
            </w:pPr>
          </w:p>
        </w:tc>
        <w:tc>
          <w:tcPr>
            <w:tcW w:w="8021" w:type="dxa"/>
            <w:vAlign w:val="center"/>
          </w:tcPr>
          <w:p>
            <w:pPr>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检查井井室开裂破损，安全网挂钩锈蚀，破损每处扣1分扣款100元，无安全网每处扣5分扣款500元 。</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Merge w:val="continue"/>
            <w:vAlign w:val="center"/>
          </w:tcPr>
          <w:p>
            <w:pPr>
              <w:rPr>
                <w:rFonts w:eastAsia="Times New Roman"/>
                <w:color w:val="000000" w:themeColor="text1"/>
                <w:sz w:val="22"/>
                <w:szCs w:val="22"/>
                <w14:textFill>
                  <w14:solidFill>
                    <w14:schemeClr w14:val="tx1"/>
                  </w14:solidFill>
                </w14:textFill>
              </w:rPr>
            </w:pPr>
          </w:p>
        </w:tc>
        <w:tc>
          <w:tcPr>
            <w:tcW w:w="8021" w:type="dxa"/>
            <w:vAlign w:val="center"/>
          </w:tcPr>
          <w:p>
            <w:pPr>
              <w:pStyle w:val="61"/>
              <w:spacing w:before="0" w:beforeAutospacing="0" w:after="0" w:afterAutospacing="0"/>
              <w:jc w:val="both"/>
              <w:rPr>
                <w:rFonts w:ascii="Times New Roman" w:hAnsi="Times New Roman" w:eastAsia="仿宋_GB2312" w:cs="宋体"/>
                <w:color w:val="000000" w:themeColor="text1"/>
                <w:sz w:val="21"/>
                <w:szCs w:val="21"/>
                <w14:textFill>
                  <w14:solidFill>
                    <w14:schemeClr w14:val="tx1"/>
                  </w14:solidFill>
                </w14:textFill>
              </w:rPr>
            </w:pPr>
            <w:r>
              <w:rPr>
                <w:rFonts w:hint="eastAsia" w:ascii="Times New Roman" w:hAnsi="Times New Roman" w:eastAsia="仿宋_GB2312" w:cs="宋体"/>
                <w:color w:val="000000" w:themeColor="text1"/>
                <w:sz w:val="21"/>
                <w:szCs w:val="21"/>
                <w14:textFill>
                  <w14:solidFill>
                    <w14:schemeClr w14:val="tx1"/>
                  </w14:solidFill>
                </w14:textFill>
              </w:rPr>
              <w:t>管道作业人员应具备相应资质，管道养护作业记录真实、完整。管道作业人员不具备相应资质的每人扣2 分扣款200元，记录不及时的每次扣1 分扣款100元。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2" w:type="dxa"/>
            <w:vMerge w:val="continue"/>
            <w:vAlign w:val="center"/>
          </w:tcPr>
          <w:p>
            <w:pPr>
              <w:rPr>
                <w:rFonts w:eastAsia="Times New Roman"/>
                <w:color w:val="000000" w:themeColor="text1"/>
                <w:sz w:val="22"/>
                <w:szCs w:val="22"/>
                <w14:textFill>
                  <w14:solidFill>
                    <w14:schemeClr w14:val="tx1"/>
                  </w14:solidFill>
                </w14:textFill>
              </w:rPr>
            </w:pPr>
          </w:p>
        </w:tc>
        <w:tc>
          <w:tcPr>
            <w:tcW w:w="8021" w:type="dxa"/>
            <w:vAlign w:val="center"/>
          </w:tcPr>
          <w:p>
            <w:pPr>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五水共治河道排出口，企业接入市政管网排出口巡查、及时、真实，每天做好各个项目的记录工作。少一项扣l 分扣款200元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92" w:type="dxa"/>
            <w:vMerge w:val="continue"/>
            <w:vAlign w:val="center"/>
          </w:tcPr>
          <w:p>
            <w:pPr>
              <w:rPr>
                <w:rFonts w:eastAsia="Times New Roman"/>
                <w:color w:val="000000" w:themeColor="text1"/>
                <w:sz w:val="22"/>
                <w:szCs w:val="22"/>
                <w14:textFill>
                  <w14:solidFill>
                    <w14:schemeClr w14:val="tx1"/>
                  </w14:solidFill>
                </w14:textFill>
              </w:rPr>
            </w:pPr>
          </w:p>
        </w:tc>
        <w:tc>
          <w:tcPr>
            <w:tcW w:w="8021" w:type="dxa"/>
            <w:vAlign w:val="center"/>
          </w:tcPr>
          <w:p>
            <w:pPr>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养护进度完成情况：及时完成上报的计划工程量，未完成的扣5分，扣款500元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2" w:type="dxa"/>
            <w:vMerge w:val="continue"/>
            <w:vAlign w:val="center"/>
          </w:tcPr>
          <w:p>
            <w:pPr>
              <w:rPr>
                <w:rFonts w:eastAsia="Times New Roman"/>
                <w:color w:val="000000" w:themeColor="text1"/>
                <w:sz w:val="22"/>
                <w:szCs w:val="22"/>
                <w14:textFill>
                  <w14:solidFill>
                    <w14:schemeClr w14:val="tx1"/>
                  </w14:solidFill>
                </w14:textFill>
              </w:rPr>
            </w:pPr>
          </w:p>
        </w:tc>
        <w:tc>
          <w:tcPr>
            <w:tcW w:w="8021" w:type="dxa"/>
            <w:vAlign w:val="center"/>
          </w:tcPr>
          <w:p>
            <w:pPr>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养护安全施工情况：养护时设置相应的交通标志牌，同时避免有毒气体的危害，泵站安全管理，发现安全隐患未及时整改的扣10分扣款10000元。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2" w:type="dxa"/>
            <w:vMerge w:val="continue"/>
            <w:vAlign w:val="center"/>
          </w:tcPr>
          <w:p>
            <w:pPr>
              <w:rPr>
                <w:rFonts w:eastAsia="Times New Roman"/>
                <w:color w:val="000000" w:themeColor="text1"/>
                <w:sz w:val="22"/>
                <w:szCs w:val="22"/>
                <w14:textFill>
                  <w14:solidFill>
                    <w14:schemeClr w14:val="tx1"/>
                  </w14:solidFill>
                </w14:textFill>
              </w:rPr>
            </w:pPr>
          </w:p>
        </w:tc>
        <w:tc>
          <w:tcPr>
            <w:tcW w:w="8021" w:type="dxa"/>
            <w:vAlign w:val="center"/>
          </w:tcPr>
          <w:p>
            <w:pPr>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养护环保卫生情况：养护后垃圾、淤泥清理及时，避免路面发生污染，及时恢复干净，发现一处卫生污染扣1分扣款100元。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2" w:type="dxa"/>
            <w:vMerge w:val="continue"/>
            <w:vAlign w:val="center"/>
          </w:tcPr>
          <w:p>
            <w:pPr>
              <w:rPr>
                <w:rFonts w:eastAsia="Times New Roman"/>
                <w:color w:val="000000" w:themeColor="text1"/>
                <w:sz w:val="22"/>
                <w:szCs w:val="22"/>
                <w14:textFill>
                  <w14:solidFill>
                    <w14:schemeClr w14:val="tx1"/>
                  </w14:solidFill>
                </w14:textFill>
              </w:rPr>
            </w:pPr>
          </w:p>
        </w:tc>
        <w:tc>
          <w:tcPr>
            <w:tcW w:w="8021" w:type="dxa"/>
            <w:vAlign w:val="center"/>
          </w:tcPr>
          <w:p>
            <w:pPr>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应急事故处理情况：及时配合业主单位做好应急事故的处理，排查污染源的原因，处理不妥当、不及时按情况扣5分扣款5000元。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2" w:type="dxa"/>
            <w:vMerge w:val="continue"/>
            <w:vAlign w:val="center"/>
          </w:tcPr>
          <w:p>
            <w:pPr>
              <w:rPr>
                <w:rFonts w:eastAsia="Times New Roman"/>
                <w:color w:val="000000" w:themeColor="text1"/>
                <w:sz w:val="22"/>
                <w:szCs w:val="22"/>
                <w14:textFill>
                  <w14:solidFill>
                    <w14:schemeClr w14:val="tx1"/>
                  </w14:solidFill>
                </w14:textFill>
              </w:rPr>
            </w:pPr>
          </w:p>
        </w:tc>
        <w:tc>
          <w:tcPr>
            <w:tcW w:w="8021" w:type="dxa"/>
            <w:vAlign w:val="center"/>
          </w:tcPr>
          <w:p>
            <w:pPr>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泵站养护情况：绿化、电气设施、启闭机、污水泵及起重设备、泵站总体设备保养完好。保养不到位发现一处扣1分扣款200元；</w:t>
            </w:r>
            <w:r>
              <w:rPr>
                <w:rFonts w:hint="eastAsia" w:eastAsia="仿宋_GB2312" w:cs="宋体"/>
                <w:color w:val="000000" w:themeColor="text1"/>
                <w:kern w:val="0"/>
                <w:sz w:val="20"/>
                <w:szCs w:val="20"/>
                <w14:textFill>
                  <w14:solidFill>
                    <w14:schemeClr w14:val="tx1"/>
                  </w14:solidFill>
                </w14:textFill>
              </w:rPr>
              <w:t>泵站内放置与甲方无关设施物资发现一次扣5000元。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92" w:type="dxa"/>
            <w:vAlign w:val="center"/>
          </w:tcPr>
          <w:p>
            <w:pPr>
              <w:jc w:val="center"/>
              <w:rPr>
                <w:rFonts w:eastAsia="仿宋_GB2312" w:cs="宋体"/>
                <w:b/>
                <w:bCs/>
                <w:color w:val="000000" w:themeColor="text1"/>
                <w:kern w:val="0"/>
                <w:sz w:val="20"/>
                <w:szCs w:val="21"/>
                <w14:textFill>
                  <w14:solidFill>
                    <w14:schemeClr w14:val="tx1"/>
                  </w14:solidFill>
                </w14:textFill>
              </w:rPr>
            </w:pPr>
            <w:r>
              <w:rPr>
                <w:rFonts w:hint="eastAsia" w:eastAsia="仿宋_GB2312" w:cs="宋体"/>
                <w:b/>
                <w:bCs/>
                <w:color w:val="000000" w:themeColor="text1"/>
                <w:kern w:val="0"/>
                <w:sz w:val="20"/>
                <w:szCs w:val="21"/>
                <w14:textFill>
                  <w14:solidFill>
                    <w14:schemeClr w14:val="tx1"/>
                  </w14:solidFill>
                </w14:textFill>
              </w:rPr>
              <w:t>相关部门抄告20分</w:t>
            </w:r>
          </w:p>
        </w:tc>
        <w:tc>
          <w:tcPr>
            <w:tcW w:w="8021" w:type="dxa"/>
            <w:vAlign w:val="center"/>
          </w:tcPr>
          <w:p>
            <w:pPr>
              <w:adjustRightInd/>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 w:val="20"/>
                <w:szCs w:val="21"/>
                <w14:textFill>
                  <w14:solidFill>
                    <w14:schemeClr w14:val="tx1"/>
                  </w14:solidFill>
                </w14:textFill>
              </w:rPr>
              <w:t>数字城管未处理好造成超时的每次扣1分扣款500元，应急情况未及时处理造成恶劣后果的每次扣1分500元，造成二次派遣的每次扣1分扣款500元，重复发生件每次扣1分扣款500元。造成市级暗访、媒体扣分的，每次扣2分扣款1000元。</w:t>
            </w:r>
            <w:r>
              <w:rPr>
                <w:rFonts w:hint="eastAsia" w:eastAsia="仿宋_GB2312" w:cs="宋体"/>
                <w:color w:val="000000" w:themeColor="text1"/>
                <w:kern w:val="0"/>
                <w:szCs w:val="21"/>
                <w14:textFill>
                  <w14:solidFill>
                    <w14:schemeClr w14:val="tx1"/>
                  </w14:solidFill>
                </w14:textFill>
              </w:rPr>
              <w:t>信访每件扣2分，整改不及时加扣1分，扣款1000元，重复信访每次扣10分，扣款2000元。</w:t>
            </w:r>
          </w:p>
          <w:p>
            <w:pPr>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区级抄告每条扣0.5分，如不按要求整改扣2分，扣款1000元；市级抄告造成不良影响的扣3分，扣款5000元；</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92" w:type="dxa"/>
            <w:vAlign w:val="center"/>
          </w:tcPr>
          <w:p>
            <w:pPr>
              <w:jc w:val="center"/>
              <w:rPr>
                <w:rFonts w:eastAsia="仿宋_GB2312" w:cs="宋体"/>
                <w:b/>
                <w:bCs/>
                <w:color w:val="000000" w:themeColor="text1"/>
                <w:kern w:val="0"/>
                <w:sz w:val="20"/>
                <w:szCs w:val="21"/>
                <w14:textFill>
                  <w14:solidFill>
                    <w14:schemeClr w14:val="tx1"/>
                  </w14:solidFill>
                </w14:textFill>
              </w:rPr>
            </w:pPr>
            <w:r>
              <w:rPr>
                <w:rFonts w:hint="eastAsia" w:eastAsia="仿宋_GB2312" w:cs="宋体"/>
                <w:b/>
                <w:bCs/>
                <w:color w:val="000000" w:themeColor="text1"/>
                <w:kern w:val="0"/>
                <w:sz w:val="20"/>
                <w:szCs w:val="21"/>
                <w14:textFill>
                  <w14:solidFill>
                    <w14:schemeClr w14:val="tx1"/>
                  </w14:solidFill>
                </w14:textFill>
              </w:rPr>
              <w:t>附加分值</w:t>
            </w:r>
          </w:p>
          <w:p>
            <w:pPr>
              <w:jc w:val="center"/>
              <w:rPr>
                <w:rFonts w:eastAsia="仿宋_GB2312" w:cs="宋体"/>
                <w:b/>
                <w:bCs/>
                <w:color w:val="000000" w:themeColor="text1"/>
                <w:kern w:val="0"/>
                <w:sz w:val="20"/>
                <w:szCs w:val="21"/>
                <w14:textFill>
                  <w14:solidFill>
                    <w14:schemeClr w14:val="tx1"/>
                  </w14:solidFill>
                </w14:textFill>
              </w:rPr>
            </w:pPr>
            <w:r>
              <w:rPr>
                <w:rFonts w:hint="eastAsia" w:eastAsia="仿宋_GB2312" w:cs="宋体"/>
                <w:b/>
                <w:bCs/>
                <w:color w:val="000000" w:themeColor="text1"/>
                <w:kern w:val="0"/>
                <w:sz w:val="20"/>
                <w:szCs w:val="21"/>
                <w14:textFill>
                  <w14:solidFill>
                    <w14:schemeClr w14:val="tx1"/>
                  </w14:solidFill>
                </w14:textFill>
              </w:rPr>
              <w:t>10分</w:t>
            </w:r>
          </w:p>
        </w:tc>
        <w:tc>
          <w:tcPr>
            <w:tcW w:w="8021" w:type="dxa"/>
            <w:vAlign w:val="center"/>
          </w:tcPr>
          <w:p>
            <w:pPr>
              <w:spacing w:line="300" w:lineRule="exact"/>
              <w:jc w:val="left"/>
              <w:rPr>
                <w:rFonts w:eastAsia="仿宋_GB2312" w:cs="宋体"/>
                <w:color w:val="000000" w:themeColor="text1"/>
                <w:kern w:val="0"/>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根据以下情况酌情加分：</w:t>
            </w:r>
            <w:r>
              <w:rPr>
                <w:rFonts w:hint="eastAsia" w:eastAsia="仿宋_GB2312" w:cs="宋体"/>
                <w:color w:val="000000" w:themeColor="text1"/>
                <w:kern w:val="0"/>
                <w:szCs w:val="21"/>
                <w14:textFill>
                  <w14:solidFill>
                    <w14:schemeClr w14:val="tx1"/>
                  </w14:solidFill>
                </w14:textFill>
              </w:rPr>
              <w:t>圆满完成正常市政管网及泵站养护工作范围以外的领导交办任务的；采用先进管理办法、技术或机械设备，切实提高市政管网及泵站养护工作成效，受到相关部门肯定的；先进事迹受到相关部门表彰的；在重大活动中作出突出贡献的。</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3" w:type="dxa"/>
            <w:gridSpan w:val="2"/>
            <w:vAlign w:val="center"/>
          </w:tcPr>
          <w:p>
            <w:pPr>
              <w:jc w:val="center"/>
              <w:rPr>
                <w:rFonts w:eastAsia="Times New Roman"/>
                <w:b/>
                <w:color w:val="000000" w:themeColor="text1"/>
                <w:sz w:val="22"/>
                <w:szCs w:val="22"/>
                <w14:textFill>
                  <w14:solidFill>
                    <w14:schemeClr w14:val="tx1"/>
                  </w14:solidFill>
                </w14:textFill>
              </w:rPr>
            </w:pPr>
            <w:r>
              <w:rPr>
                <w:rFonts w:hint="eastAsia" w:eastAsia="Times New Roman"/>
                <w:b/>
                <w:color w:val="000000" w:themeColor="text1"/>
                <w:sz w:val="22"/>
                <w:szCs w:val="22"/>
                <w14:textFill>
                  <w14:solidFill>
                    <w14:schemeClr w14:val="tx1"/>
                  </w14:solidFill>
                </w14:textFill>
              </w:rPr>
              <w:t>合   计</w:t>
            </w:r>
          </w:p>
        </w:tc>
        <w:tc>
          <w:tcPr>
            <w:tcW w:w="645" w:type="dxa"/>
            <w:vAlign w:val="center"/>
          </w:tcPr>
          <w:p>
            <w:pPr>
              <w:rPr>
                <w:rFonts w:eastAsia="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92" w:type="dxa"/>
            <w:vAlign w:val="center"/>
          </w:tcPr>
          <w:p>
            <w:pPr>
              <w:jc w:val="center"/>
              <w:rPr>
                <w:b/>
                <w:color w:val="000000" w:themeColor="text1"/>
                <w:sz w:val="22"/>
                <w:szCs w:val="22"/>
                <w14:textFill>
                  <w14:solidFill>
                    <w14:schemeClr w14:val="tx1"/>
                  </w14:solidFill>
                </w14:textFill>
              </w:rPr>
            </w:pPr>
            <w:r>
              <w:rPr>
                <w:rFonts w:hint="eastAsia" w:eastAsia="仿宋_GB2312" w:cs="宋体"/>
                <w:b/>
                <w:bCs/>
                <w:color w:val="000000" w:themeColor="text1"/>
                <w:kern w:val="0"/>
                <w:sz w:val="20"/>
                <w:szCs w:val="21"/>
                <w14:textFill>
                  <w14:solidFill>
                    <w14:schemeClr w14:val="tx1"/>
                  </w14:solidFill>
                </w14:textFill>
              </w:rPr>
              <w:t>说明</w:t>
            </w:r>
          </w:p>
        </w:tc>
        <w:tc>
          <w:tcPr>
            <w:tcW w:w="8021" w:type="dxa"/>
            <w:vAlign w:val="center"/>
          </w:tcPr>
          <w:p>
            <w:pPr>
              <w:spacing w:line="300" w:lineRule="exact"/>
              <w:rPr>
                <w:rFonts w:eastAsia="仿宋_GB2312" w:cs="宋体"/>
                <w:color w:val="000000" w:themeColor="text1"/>
                <w:kern w:val="0"/>
                <w:sz w:val="20"/>
                <w:szCs w:val="21"/>
                <w14:textFill>
                  <w14:solidFill>
                    <w14:schemeClr w14:val="tx1"/>
                  </w14:solidFill>
                </w14:textFill>
              </w:rPr>
            </w:pPr>
            <w:r>
              <w:rPr>
                <w:rFonts w:hint="eastAsia" w:eastAsia="仿宋_GB2312" w:cs="宋体"/>
                <w:color w:val="000000" w:themeColor="text1"/>
                <w:kern w:val="0"/>
                <w:sz w:val="20"/>
                <w:szCs w:val="21"/>
                <w14:textFill>
                  <w14:solidFill>
                    <w14:schemeClr w14:val="tx1"/>
                  </w14:solidFill>
                </w14:textFill>
              </w:rPr>
              <w:t>1、若每项扣分超过考核标准分数，不再扣分。2、管道因</w:t>
            </w:r>
            <w:r>
              <w:rPr>
                <w:rFonts w:eastAsia="仿宋_GB2312" w:cs="宋体"/>
                <w:color w:val="000000" w:themeColor="text1"/>
                <w:kern w:val="0"/>
                <w:sz w:val="20"/>
                <w:szCs w:val="21"/>
                <w14:textFill>
                  <w14:solidFill>
                    <w14:schemeClr w14:val="tx1"/>
                  </w14:solidFill>
                </w14:textFill>
              </w:rPr>
              <w:t>结构原因堵塞及时上报的</w:t>
            </w:r>
            <w:r>
              <w:rPr>
                <w:rFonts w:hint="eastAsia" w:eastAsia="仿宋_GB2312" w:cs="宋体"/>
                <w:color w:val="000000" w:themeColor="text1"/>
                <w:kern w:val="0"/>
                <w:sz w:val="20"/>
                <w:szCs w:val="21"/>
                <w14:textFill>
                  <w14:solidFill>
                    <w14:schemeClr w14:val="tx1"/>
                  </w14:solidFill>
                </w14:textFill>
              </w:rPr>
              <w:t>不</w:t>
            </w:r>
            <w:r>
              <w:rPr>
                <w:rFonts w:eastAsia="仿宋_GB2312" w:cs="宋体"/>
                <w:color w:val="000000" w:themeColor="text1"/>
                <w:kern w:val="0"/>
                <w:sz w:val="20"/>
                <w:szCs w:val="21"/>
                <w14:textFill>
                  <w14:solidFill>
                    <w14:schemeClr w14:val="tx1"/>
                  </w14:solidFill>
                </w14:textFill>
              </w:rPr>
              <w:t>纳入考核</w:t>
            </w:r>
            <w:r>
              <w:rPr>
                <w:rFonts w:hint="eastAsia" w:eastAsia="仿宋_GB2312" w:cs="宋体"/>
                <w:color w:val="000000" w:themeColor="text1"/>
                <w:kern w:val="0"/>
                <w:sz w:val="20"/>
                <w:szCs w:val="21"/>
                <w14:textFill>
                  <w14:solidFill>
                    <w14:schemeClr w14:val="tx1"/>
                  </w14:solidFill>
                </w14:textFill>
              </w:rPr>
              <w:t>。</w:t>
            </w:r>
          </w:p>
          <w:p>
            <w:pPr>
              <w:jc w:val="left"/>
              <w:rPr>
                <w:rFonts w:eastAsia="Times New Roman"/>
                <w:b/>
                <w:color w:val="000000" w:themeColor="text1"/>
                <w:sz w:val="22"/>
                <w:szCs w:val="22"/>
                <w14:textFill>
                  <w14:solidFill>
                    <w14:schemeClr w14:val="tx1"/>
                  </w14:solidFill>
                </w14:textFill>
              </w:rPr>
            </w:pPr>
            <w:r>
              <w:rPr>
                <w:rFonts w:hint="eastAsia" w:eastAsia="仿宋_GB2312" w:cs="宋体"/>
                <w:color w:val="000000" w:themeColor="text1"/>
                <w:kern w:val="0"/>
                <w:sz w:val="20"/>
                <w:szCs w:val="21"/>
                <w14:textFill>
                  <w14:solidFill>
                    <w14:schemeClr w14:val="tx1"/>
                  </w14:solidFill>
                </w14:textFill>
              </w:rPr>
              <w:t>3、一票否决：同一路段出现三个及以上的市政井盖缺失、管道积泥超80%以上，视为失管现象。</w:t>
            </w:r>
          </w:p>
        </w:tc>
        <w:tc>
          <w:tcPr>
            <w:tcW w:w="645" w:type="dxa"/>
            <w:vAlign w:val="center"/>
          </w:tcPr>
          <w:p>
            <w:pPr>
              <w:rPr>
                <w:rFonts w:eastAsia="Times New Roman"/>
                <w:color w:val="000000" w:themeColor="text1"/>
                <w:sz w:val="22"/>
                <w:szCs w:val="22"/>
                <w14:textFill>
                  <w14:solidFill>
                    <w14:schemeClr w14:val="tx1"/>
                  </w14:solidFill>
                </w14:textFill>
              </w:rPr>
            </w:pPr>
          </w:p>
        </w:tc>
      </w:tr>
    </w:tbl>
    <w:p>
      <w:r>
        <w:rPr>
          <w:rFonts w:hint="eastAsia" w:ascii="仿宋" w:hAnsi="仿宋" w:eastAsia="仿宋" w:cs="仿宋"/>
          <w:b/>
          <w:color w:val="000000" w:themeColor="text1"/>
          <w:sz w:val="24"/>
          <w14:textFill>
            <w14:solidFill>
              <w14:schemeClr w14:val="tx1"/>
            </w14:solidFill>
          </w14:textFill>
        </w:rPr>
        <w:br w:type="page"/>
      </w:r>
    </w:p>
    <w:p>
      <w:pPr>
        <w:numPr>
          <w:ilvl w:val="0"/>
          <w:numId w:val="3"/>
        </w:numPr>
        <w:spacing w:line="360" w:lineRule="auto"/>
        <w:jc w:val="center"/>
        <w:outlineLvl w:val="0"/>
        <w:rPr>
          <w:rFonts w:ascii="宋体" w:hAnsi="宋体" w:cs="宋体"/>
          <w:b/>
          <w:sz w:val="36"/>
          <w:szCs w:val="36"/>
        </w:rPr>
      </w:pPr>
      <w:r>
        <w:rPr>
          <w:rFonts w:hint="eastAsia" w:ascii="宋体" w:hAnsi="宋体" w:cs="宋体"/>
          <w:b/>
          <w:sz w:val="36"/>
          <w:szCs w:val="36"/>
        </w:rPr>
        <w:t xml:space="preserve">  </w:t>
      </w:r>
      <w:bookmarkStart w:id="30" w:name="_Toc184308075"/>
      <w:bookmarkEnd w:id="30"/>
      <w:bookmarkStart w:id="31" w:name="_Toc184312098"/>
      <w:bookmarkEnd w:id="31"/>
      <w:bookmarkStart w:id="32" w:name="_Toc184312107"/>
      <w:bookmarkEnd w:id="32"/>
      <w:bookmarkStart w:id="33" w:name="_Toc184308055"/>
      <w:bookmarkEnd w:id="33"/>
      <w:bookmarkStart w:id="34" w:name="_Toc184308067"/>
      <w:bookmarkEnd w:id="34"/>
      <w:bookmarkStart w:id="35" w:name="_Toc184310313"/>
      <w:bookmarkEnd w:id="35"/>
      <w:bookmarkStart w:id="36" w:name="_Toc184308051"/>
      <w:bookmarkEnd w:id="36"/>
      <w:bookmarkStart w:id="37" w:name="_Toc184312112"/>
      <w:bookmarkEnd w:id="37"/>
      <w:bookmarkStart w:id="38" w:name="_Toc184310336"/>
      <w:bookmarkEnd w:id="38"/>
      <w:bookmarkStart w:id="39" w:name="_Toc184313238"/>
      <w:bookmarkEnd w:id="39"/>
      <w:bookmarkStart w:id="40" w:name="_Toc184308104"/>
      <w:bookmarkEnd w:id="40"/>
      <w:bookmarkStart w:id="41" w:name="_Toc184310316"/>
      <w:bookmarkEnd w:id="41"/>
      <w:bookmarkStart w:id="42" w:name="_Toc184308058"/>
      <w:bookmarkEnd w:id="42"/>
      <w:bookmarkStart w:id="43" w:name="_Toc184312129"/>
      <w:bookmarkEnd w:id="43"/>
      <w:bookmarkStart w:id="44" w:name="_Toc184314470"/>
      <w:bookmarkEnd w:id="44"/>
      <w:bookmarkStart w:id="45" w:name="_Toc184312068"/>
      <w:bookmarkEnd w:id="45"/>
      <w:bookmarkStart w:id="46" w:name="_Toc184313285"/>
      <w:bookmarkEnd w:id="46"/>
      <w:bookmarkStart w:id="47" w:name="_Toc184314459"/>
      <w:bookmarkEnd w:id="47"/>
      <w:bookmarkStart w:id="48" w:name="_Toc184314440"/>
      <w:bookmarkEnd w:id="48"/>
      <w:bookmarkStart w:id="49" w:name="_Toc184310290"/>
      <w:bookmarkEnd w:id="49"/>
      <w:bookmarkStart w:id="50" w:name="_Toc184310320"/>
      <w:bookmarkEnd w:id="50"/>
      <w:bookmarkStart w:id="51" w:name="_Toc184310296"/>
      <w:bookmarkEnd w:id="51"/>
      <w:bookmarkStart w:id="52" w:name="_Toc184314480"/>
      <w:bookmarkEnd w:id="52"/>
      <w:bookmarkStart w:id="53" w:name="_Toc184312101"/>
      <w:bookmarkEnd w:id="53"/>
      <w:bookmarkStart w:id="54" w:name="_Toc184310312"/>
      <w:bookmarkEnd w:id="54"/>
      <w:bookmarkStart w:id="55" w:name="_Toc184308091"/>
      <w:bookmarkEnd w:id="55"/>
      <w:bookmarkStart w:id="56" w:name="_Toc184313301"/>
      <w:bookmarkEnd w:id="56"/>
      <w:bookmarkStart w:id="57" w:name="_Toc184313280"/>
      <w:bookmarkEnd w:id="57"/>
      <w:bookmarkStart w:id="58" w:name="_Toc184314413"/>
      <w:bookmarkEnd w:id="58"/>
      <w:bookmarkStart w:id="59" w:name="_Toc184313303"/>
      <w:bookmarkEnd w:id="59"/>
      <w:bookmarkStart w:id="60" w:name="_Toc184314410"/>
      <w:bookmarkEnd w:id="60"/>
      <w:bookmarkStart w:id="61" w:name="_Toc184313260"/>
      <w:bookmarkEnd w:id="61"/>
      <w:bookmarkStart w:id="62" w:name="_Toc184312074"/>
      <w:bookmarkEnd w:id="62"/>
      <w:bookmarkStart w:id="63" w:name="_Toc184314462"/>
      <w:bookmarkEnd w:id="63"/>
      <w:bookmarkStart w:id="64" w:name="_Toc184310298"/>
      <w:bookmarkEnd w:id="64"/>
      <w:bookmarkStart w:id="65" w:name="_Toc184308066"/>
      <w:bookmarkEnd w:id="65"/>
      <w:bookmarkStart w:id="66" w:name="_Toc184312117"/>
      <w:bookmarkEnd w:id="66"/>
      <w:bookmarkStart w:id="67" w:name="_Toc184312088"/>
      <w:bookmarkEnd w:id="67"/>
      <w:bookmarkStart w:id="68" w:name="_Toc184314447"/>
      <w:bookmarkEnd w:id="68"/>
      <w:bookmarkStart w:id="69" w:name="_Toc184314432"/>
      <w:bookmarkEnd w:id="69"/>
      <w:bookmarkStart w:id="70" w:name="_Toc184308042"/>
      <w:bookmarkEnd w:id="70"/>
      <w:bookmarkStart w:id="71" w:name="_Toc184313291"/>
      <w:bookmarkEnd w:id="71"/>
      <w:bookmarkStart w:id="72" w:name="_Toc184308062"/>
      <w:bookmarkEnd w:id="72"/>
      <w:bookmarkStart w:id="73" w:name="_Toc184310272"/>
      <w:bookmarkEnd w:id="73"/>
      <w:bookmarkStart w:id="74" w:name="_Toc184312137"/>
      <w:bookmarkEnd w:id="74"/>
      <w:bookmarkStart w:id="75" w:name="_Toc184313298"/>
      <w:bookmarkEnd w:id="75"/>
      <w:bookmarkStart w:id="76" w:name="_Toc184313263"/>
      <w:bookmarkEnd w:id="76"/>
      <w:bookmarkStart w:id="77" w:name="_Toc184314471"/>
      <w:bookmarkEnd w:id="77"/>
      <w:bookmarkStart w:id="78" w:name="_Toc184310324"/>
      <w:bookmarkEnd w:id="78"/>
      <w:bookmarkStart w:id="79" w:name="_Toc184308043"/>
      <w:bookmarkEnd w:id="79"/>
      <w:bookmarkStart w:id="80" w:name="_Toc184310275"/>
      <w:bookmarkEnd w:id="80"/>
      <w:bookmarkStart w:id="81" w:name="_Toc184313305"/>
      <w:bookmarkEnd w:id="81"/>
      <w:bookmarkStart w:id="82" w:name="_Toc184312100"/>
      <w:bookmarkEnd w:id="82"/>
      <w:bookmarkStart w:id="83" w:name="_Toc184308036"/>
      <w:bookmarkEnd w:id="83"/>
      <w:bookmarkStart w:id="84" w:name="_Toc184313308"/>
      <w:bookmarkEnd w:id="84"/>
      <w:bookmarkStart w:id="85" w:name="_Toc184314439"/>
      <w:bookmarkEnd w:id="85"/>
      <w:bookmarkStart w:id="86" w:name="_Toc184313273"/>
      <w:bookmarkEnd w:id="86"/>
      <w:bookmarkStart w:id="87" w:name="_Toc184310318"/>
      <w:bookmarkEnd w:id="87"/>
      <w:bookmarkStart w:id="88" w:name="_Toc184313248"/>
      <w:bookmarkEnd w:id="88"/>
      <w:bookmarkStart w:id="89" w:name="_Toc184308041"/>
      <w:bookmarkEnd w:id="89"/>
      <w:bookmarkStart w:id="90" w:name="_Toc184312072"/>
      <w:bookmarkEnd w:id="90"/>
      <w:bookmarkStart w:id="91" w:name="_Toc184312070"/>
      <w:bookmarkEnd w:id="91"/>
      <w:bookmarkStart w:id="92" w:name="_Toc184314467"/>
      <w:bookmarkEnd w:id="92"/>
      <w:bookmarkStart w:id="93" w:name="_Toc184310328"/>
      <w:bookmarkEnd w:id="93"/>
      <w:bookmarkStart w:id="94" w:name="_Toc184313270"/>
      <w:bookmarkEnd w:id="94"/>
      <w:bookmarkStart w:id="95" w:name="_Toc184312089"/>
      <w:bookmarkEnd w:id="95"/>
      <w:bookmarkStart w:id="96" w:name="_Toc184308101"/>
      <w:bookmarkEnd w:id="96"/>
      <w:bookmarkStart w:id="97" w:name="_Toc184310334"/>
      <w:bookmarkEnd w:id="97"/>
      <w:bookmarkStart w:id="98" w:name="_Toc184308082"/>
      <w:bookmarkEnd w:id="98"/>
      <w:bookmarkStart w:id="99" w:name="_Toc184312095"/>
      <w:bookmarkEnd w:id="99"/>
      <w:bookmarkStart w:id="100" w:name="_Toc184308038"/>
      <w:bookmarkEnd w:id="100"/>
      <w:bookmarkStart w:id="101" w:name="_Toc184314417"/>
      <w:bookmarkEnd w:id="101"/>
      <w:bookmarkStart w:id="102" w:name="_Toc184310339"/>
      <w:bookmarkEnd w:id="102"/>
      <w:bookmarkStart w:id="103" w:name="_Toc184313264"/>
      <w:bookmarkEnd w:id="103"/>
      <w:bookmarkStart w:id="104" w:name="_Toc184313258"/>
      <w:bookmarkEnd w:id="104"/>
      <w:bookmarkStart w:id="105" w:name="_Toc184313268"/>
      <w:bookmarkEnd w:id="105"/>
      <w:bookmarkStart w:id="106" w:name="_Toc184313302"/>
      <w:bookmarkEnd w:id="106"/>
      <w:bookmarkStart w:id="107" w:name="_Toc184313262"/>
      <w:bookmarkEnd w:id="107"/>
      <w:bookmarkStart w:id="108" w:name="_Toc184310289"/>
      <w:bookmarkEnd w:id="108"/>
      <w:bookmarkStart w:id="109" w:name="_Toc184314416"/>
      <w:bookmarkEnd w:id="109"/>
      <w:bookmarkStart w:id="110" w:name="_Toc184312127"/>
      <w:bookmarkEnd w:id="110"/>
      <w:bookmarkStart w:id="111" w:name="_Toc184313292"/>
      <w:bookmarkEnd w:id="111"/>
      <w:bookmarkStart w:id="112" w:name="_Toc184312106"/>
      <w:bookmarkEnd w:id="112"/>
      <w:bookmarkStart w:id="113" w:name="_Toc184308072"/>
      <w:bookmarkEnd w:id="113"/>
      <w:bookmarkStart w:id="114" w:name="_Toc184310331"/>
      <w:bookmarkEnd w:id="114"/>
      <w:bookmarkStart w:id="115" w:name="_Toc184312084"/>
      <w:bookmarkEnd w:id="115"/>
      <w:bookmarkStart w:id="116" w:name="_Toc184310287"/>
      <w:bookmarkEnd w:id="116"/>
      <w:bookmarkStart w:id="117" w:name="_Toc184314433"/>
      <w:bookmarkEnd w:id="117"/>
      <w:bookmarkStart w:id="118" w:name="_Toc184308040"/>
      <w:bookmarkEnd w:id="118"/>
      <w:bookmarkStart w:id="119" w:name="_Toc184313241"/>
      <w:bookmarkEnd w:id="119"/>
      <w:bookmarkStart w:id="120" w:name="_Toc184314478"/>
      <w:bookmarkEnd w:id="120"/>
      <w:bookmarkStart w:id="121" w:name="_Toc184314457"/>
      <w:bookmarkEnd w:id="121"/>
      <w:bookmarkStart w:id="122" w:name="_Toc184314481"/>
      <w:bookmarkEnd w:id="122"/>
      <w:bookmarkStart w:id="123" w:name="_Toc184314448"/>
      <w:bookmarkEnd w:id="123"/>
      <w:bookmarkStart w:id="124" w:name="_Toc184314473"/>
      <w:bookmarkEnd w:id="124"/>
      <w:bookmarkStart w:id="125" w:name="_Toc184313282"/>
      <w:bookmarkEnd w:id="125"/>
      <w:bookmarkStart w:id="126" w:name="_Toc184313296"/>
      <w:bookmarkEnd w:id="126"/>
      <w:bookmarkStart w:id="127" w:name="_Toc184313257"/>
      <w:bookmarkEnd w:id="127"/>
      <w:bookmarkStart w:id="128" w:name="_Toc184312086"/>
      <w:bookmarkEnd w:id="128"/>
      <w:bookmarkStart w:id="129" w:name="_Toc184312090"/>
      <w:bookmarkEnd w:id="129"/>
      <w:bookmarkStart w:id="130" w:name="_Toc184314442"/>
      <w:bookmarkEnd w:id="130"/>
      <w:bookmarkStart w:id="131" w:name="_Toc184310308"/>
      <w:bookmarkEnd w:id="131"/>
      <w:bookmarkStart w:id="132" w:name="_Toc184313259"/>
      <w:bookmarkEnd w:id="132"/>
      <w:bookmarkStart w:id="133" w:name="_Toc184312136"/>
      <w:bookmarkEnd w:id="133"/>
      <w:bookmarkStart w:id="134" w:name="_Toc184312071"/>
      <w:bookmarkEnd w:id="134"/>
      <w:bookmarkStart w:id="135" w:name="_Toc184310337"/>
      <w:bookmarkEnd w:id="135"/>
      <w:bookmarkStart w:id="136" w:name="_Toc184308059"/>
      <w:bookmarkEnd w:id="136"/>
      <w:bookmarkStart w:id="137" w:name="_Toc184310280"/>
      <w:bookmarkEnd w:id="137"/>
      <w:bookmarkStart w:id="138" w:name="_Toc184313255"/>
      <w:bookmarkEnd w:id="138"/>
      <w:bookmarkStart w:id="139" w:name="_Toc184314465"/>
      <w:bookmarkEnd w:id="139"/>
      <w:bookmarkStart w:id="140" w:name="_Toc184312109"/>
      <w:bookmarkEnd w:id="140"/>
      <w:bookmarkStart w:id="141" w:name="_Toc184314477"/>
      <w:bookmarkEnd w:id="141"/>
      <w:bookmarkStart w:id="142" w:name="_Toc184310294"/>
      <w:bookmarkEnd w:id="142"/>
      <w:bookmarkStart w:id="143" w:name="_Toc184310300"/>
      <w:bookmarkEnd w:id="143"/>
      <w:bookmarkStart w:id="144" w:name="_Toc184314412"/>
      <w:bookmarkEnd w:id="144"/>
      <w:bookmarkStart w:id="145" w:name="_Toc184313251"/>
      <w:bookmarkEnd w:id="145"/>
      <w:bookmarkStart w:id="146" w:name="_Toc184312114"/>
      <w:bookmarkEnd w:id="146"/>
      <w:bookmarkStart w:id="147" w:name="_Toc184313250"/>
      <w:bookmarkEnd w:id="147"/>
      <w:bookmarkStart w:id="148" w:name="_Toc184314466"/>
      <w:bookmarkEnd w:id="148"/>
      <w:bookmarkStart w:id="149" w:name="_Toc184314453"/>
      <w:bookmarkEnd w:id="149"/>
      <w:bookmarkStart w:id="150" w:name="_Toc184310281"/>
      <w:bookmarkEnd w:id="150"/>
      <w:bookmarkStart w:id="151" w:name="_Toc184313294"/>
      <w:bookmarkEnd w:id="151"/>
      <w:bookmarkStart w:id="152" w:name="_Toc184310274"/>
      <w:bookmarkEnd w:id="152"/>
      <w:bookmarkStart w:id="153" w:name="_Toc184308087"/>
      <w:bookmarkEnd w:id="153"/>
      <w:bookmarkStart w:id="154" w:name="_Toc184312108"/>
      <w:bookmarkEnd w:id="154"/>
      <w:bookmarkStart w:id="155" w:name="_Toc184310335"/>
      <w:bookmarkEnd w:id="155"/>
      <w:bookmarkStart w:id="156" w:name="_Toc184313245"/>
      <w:bookmarkEnd w:id="156"/>
      <w:bookmarkStart w:id="157" w:name="_Toc184310322"/>
      <w:bookmarkEnd w:id="157"/>
      <w:bookmarkStart w:id="158" w:name="_Toc184314456"/>
      <w:bookmarkEnd w:id="158"/>
      <w:bookmarkStart w:id="159" w:name="_Toc184314431"/>
      <w:bookmarkEnd w:id="159"/>
      <w:bookmarkStart w:id="160" w:name="_Toc184314441"/>
      <w:bookmarkEnd w:id="160"/>
      <w:bookmarkStart w:id="161" w:name="_Toc184313299"/>
      <w:bookmarkEnd w:id="161"/>
      <w:bookmarkStart w:id="162" w:name="_Toc184308106"/>
      <w:bookmarkEnd w:id="162"/>
      <w:bookmarkStart w:id="163" w:name="_Toc184312133"/>
      <w:bookmarkEnd w:id="163"/>
      <w:bookmarkStart w:id="164" w:name="_Toc184312081"/>
      <w:bookmarkEnd w:id="164"/>
      <w:bookmarkStart w:id="165" w:name="_Toc184314479"/>
      <w:bookmarkEnd w:id="165"/>
      <w:bookmarkStart w:id="166" w:name="_Toc184314438"/>
      <w:bookmarkEnd w:id="166"/>
      <w:bookmarkStart w:id="167" w:name="_Toc184312085"/>
      <w:bookmarkEnd w:id="167"/>
      <w:bookmarkStart w:id="168" w:name="_Toc184308090"/>
      <w:bookmarkEnd w:id="168"/>
      <w:bookmarkStart w:id="169" w:name="_Toc184314474"/>
      <w:bookmarkEnd w:id="169"/>
      <w:bookmarkStart w:id="170" w:name="_Toc184314468"/>
      <w:bookmarkEnd w:id="170"/>
      <w:bookmarkStart w:id="171" w:name="_Toc184310342"/>
      <w:bookmarkEnd w:id="171"/>
      <w:bookmarkStart w:id="172" w:name="_Toc184310304"/>
      <w:bookmarkEnd w:id="172"/>
      <w:bookmarkStart w:id="173" w:name="_Toc184310284"/>
      <w:bookmarkEnd w:id="173"/>
      <w:bookmarkStart w:id="174" w:name="_Toc184310315"/>
      <w:bookmarkEnd w:id="174"/>
      <w:bookmarkStart w:id="175" w:name="_Toc184308096"/>
      <w:bookmarkEnd w:id="175"/>
      <w:bookmarkStart w:id="176" w:name="_Toc184313283"/>
      <w:bookmarkEnd w:id="176"/>
      <w:bookmarkStart w:id="177" w:name="_Toc184314443"/>
      <w:bookmarkEnd w:id="177"/>
      <w:bookmarkStart w:id="178" w:name="_Toc184310309"/>
      <w:bookmarkEnd w:id="178"/>
      <w:bookmarkStart w:id="179" w:name="_Toc184313295"/>
      <w:bookmarkEnd w:id="179"/>
      <w:bookmarkStart w:id="180" w:name="_Toc184310305"/>
      <w:bookmarkEnd w:id="180"/>
      <w:bookmarkStart w:id="181" w:name="_Toc184312097"/>
      <w:bookmarkEnd w:id="181"/>
      <w:bookmarkStart w:id="182" w:name="_Toc184312116"/>
      <w:bookmarkEnd w:id="182"/>
      <w:bookmarkStart w:id="183" w:name="_Toc184313276"/>
      <w:bookmarkEnd w:id="183"/>
      <w:bookmarkStart w:id="184" w:name="_Toc184308098"/>
      <w:bookmarkEnd w:id="184"/>
      <w:bookmarkStart w:id="185" w:name="_Toc184308071"/>
      <w:bookmarkEnd w:id="185"/>
      <w:bookmarkStart w:id="186" w:name="_Toc184310293"/>
      <w:bookmarkEnd w:id="186"/>
      <w:bookmarkStart w:id="187" w:name="_Toc184313267"/>
      <w:bookmarkEnd w:id="187"/>
      <w:bookmarkStart w:id="188" w:name="_Toc184313297"/>
      <w:bookmarkEnd w:id="188"/>
      <w:bookmarkStart w:id="189" w:name="_Toc184313293"/>
      <w:bookmarkEnd w:id="189"/>
      <w:bookmarkStart w:id="190" w:name="_Toc184308057"/>
      <w:bookmarkEnd w:id="190"/>
      <w:bookmarkStart w:id="191" w:name="_Toc184312111"/>
      <w:bookmarkEnd w:id="191"/>
      <w:bookmarkStart w:id="192" w:name="_Toc184308048"/>
      <w:bookmarkEnd w:id="192"/>
      <w:bookmarkStart w:id="193" w:name="_Toc184313288"/>
      <w:bookmarkEnd w:id="193"/>
      <w:bookmarkStart w:id="194" w:name="_Toc184310288"/>
      <w:bookmarkEnd w:id="194"/>
      <w:bookmarkStart w:id="195" w:name="_Toc184312139"/>
      <w:bookmarkEnd w:id="195"/>
      <w:bookmarkStart w:id="196" w:name="_Toc184310299"/>
      <w:bookmarkEnd w:id="196"/>
      <w:bookmarkStart w:id="197" w:name="_Toc184313274"/>
      <w:bookmarkEnd w:id="197"/>
      <w:bookmarkStart w:id="198" w:name="_Toc184312122"/>
      <w:bookmarkEnd w:id="198"/>
      <w:bookmarkStart w:id="199" w:name="_Toc184310307"/>
      <w:bookmarkEnd w:id="199"/>
      <w:bookmarkStart w:id="200" w:name="_Toc184312073"/>
      <w:bookmarkEnd w:id="200"/>
      <w:bookmarkStart w:id="201" w:name="_Toc184310295"/>
      <w:bookmarkEnd w:id="201"/>
      <w:bookmarkStart w:id="202" w:name="_Toc184308077"/>
      <w:bookmarkEnd w:id="202"/>
      <w:bookmarkStart w:id="203" w:name="_Toc184308056"/>
      <w:bookmarkEnd w:id="203"/>
      <w:bookmarkStart w:id="204" w:name="_Toc184312078"/>
      <w:bookmarkEnd w:id="204"/>
      <w:bookmarkStart w:id="205" w:name="_Toc184310326"/>
      <w:bookmarkEnd w:id="205"/>
      <w:bookmarkStart w:id="206" w:name="_Toc184313266"/>
      <w:bookmarkEnd w:id="206"/>
      <w:bookmarkStart w:id="207" w:name="_Toc184312103"/>
      <w:bookmarkEnd w:id="207"/>
      <w:bookmarkStart w:id="208" w:name="_Toc184312131"/>
      <w:bookmarkEnd w:id="208"/>
      <w:bookmarkStart w:id="209" w:name="_Toc184313261"/>
      <w:bookmarkEnd w:id="209"/>
      <w:bookmarkStart w:id="210" w:name="_Toc184312120"/>
      <w:bookmarkEnd w:id="210"/>
      <w:bookmarkStart w:id="211" w:name="_Toc184313289"/>
      <w:bookmarkEnd w:id="211"/>
      <w:bookmarkStart w:id="212" w:name="_Toc184308084"/>
      <w:bookmarkEnd w:id="212"/>
      <w:bookmarkStart w:id="213" w:name="_Toc184314420"/>
      <w:bookmarkEnd w:id="213"/>
      <w:bookmarkStart w:id="214" w:name="_Toc184308070"/>
      <w:bookmarkEnd w:id="214"/>
      <w:bookmarkStart w:id="215" w:name="_Toc184313253"/>
      <w:bookmarkEnd w:id="215"/>
      <w:bookmarkStart w:id="216" w:name="_Toc184314449"/>
      <w:bookmarkEnd w:id="216"/>
      <w:bookmarkStart w:id="217" w:name="_Toc184314444"/>
      <w:bookmarkEnd w:id="217"/>
      <w:bookmarkStart w:id="218" w:name="_Toc184312130"/>
      <w:bookmarkEnd w:id="218"/>
      <w:bookmarkStart w:id="219" w:name="_Toc184314427"/>
      <w:bookmarkEnd w:id="219"/>
      <w:bookmarkStart w:id="220" w:name="_Toc184308060"/>
      <w:bookmarkEnd w:id="220"/>
      <w:bookmarkStart w:id="221" w:name="_Toc184313271"/>
      <w:bookmarkEnd w:id="221"/>
      <w:bookmarkStart w:id="222" w:name="_Toc184314426"/>
      <w:bookmarkEnd w:id="222"/>
      <w:bookmarkStart w:id="223" w:name="_Toc184310279"/>
      <w:bookmarkEnd w:id="223"/>
      <w:bookmarkStart w:id="224" w:name="_Toc184314475"/>
      <w:bookmarkEnd w:id="224"/>
      <w:bookmarkStart w:id="225" w:name="_Toc184313287"/>
      <w:bookmarkEnd w:id="225"/>
      <w:bookmarkStart w:id="226" w:name="_Toc184308092"/>
      <w:bookmarkEnd w:id="226"/>
      <w:bookmarkStart w:id="227" w:name="_Toc184310321"/>
      <w:bookmarkEnd w:id="227"/>
      <w:bookmarkStart w:id="228" w:name="_Toc184312091"/>
      <w:bookmarkEnd w:id="228"/>
      <w:bookmarkStart w:id="229" w:name="_Toc184312134"/>
      <w:bookmarkEnd w:id="229"/>
      <w:bookmarkStart w:id="230" w:name="_Toc184310344"/>
      <w:bookmarkEnd w:id="230"/>
      <w:bookmarkStart w:id="231" w:name="_Toc184310327"/>
      <w:bookmarkEnd w:id="231"/>
      <w:bookmarkStart w:id="232" w:name="_Toc184312087"/>
      <w:bookmarkEnd w:id="232"/>
      <w:bookmarkStart w:id="233" w:name="_Toc184310319"/>
      <w:bookmarkEnd w:id="233"/>
      <w:bookmarkStart w:id="234" w:name="_Toc184308044"/>
      <w:bookmarkEnd w:id="234"/>
      <w:bookmarkStart w:id="235" w:name="_Toc184313279"/>
      <w:bookmarkEnd w:id="235"/>
      <w:bookmarkStart w:id="236" w:name="_Toc184308053"/>
      <w:bookmarkEnd w:id="236"/>
      <w:bookmarkStart w:id="237" w:name="_Toc184312113"/>
      <w:bookmarkEnd w:id="237"/>
      <w:bookmarkStart w:id="238" w:name="_Toc184313265"/>
      <w:bookmarkEnd w:id="238"/>
      <w:bookmarkStart w:id="239" w:name="_Toc184308047"/>
      <w:bookmarkEnd w:id="239"/>
      <w:bookmarkStart w:id="240" w:name="_Toc184313286"/>
      <w:bookmarkEnd w:id="240"/>
      <w:bookmarkStart w:id="241" w:name="_Toc184308052"/>
      <w:bookmarkEnd w:id="241"/>
      <w:bookmarkStart w:id="242" w:name="_Toc184308074"/>
      <w:bookmarkEnd w:id="242"/>
      <w:bookmarkStart w:id="243" w:name="_Toc184312093"/>
      <w:bookmarkEnd w:id="243"/>
      <w:bookmarkStart w:id="244" w:name="_Toc184310283"/>
      <w:bookmarkEnd w:id="244"/>
      <w:bookmarkStart w:id="245" w:name="_Toc184308081"/>
      <w:bookmarkEnd w:id="245"/>
      <w:bookmarkStart w:id="246" w:name="_Toc184310286"/>
      <w:bookmarkEnd w:id="246"/>
      <w:bookmarkStart w:id="247" w:name="_Toc184313310"/>
      <w:bookmarkEnd w:id="247"/>
      <w:bookmarkStart w:id="248" w:name="_Toc184314446"/>
      <w:bookmarkEnd w:id="248"/>
      <w:bookmarkStart w:id="249" w:name="_Toc184313240"/>
      <w:bookmarkEnd w:id="249"/>
      <w:bookmarkStart w:id="250" w:name="_Toc184312135"/>
      <w:bookmarkEnd w:id="250"/>
      <w:bookmarkStart w:id="251" w:name="_Toc184312115"/>
      <w:bookmarkEnd w:id="251"/>
      <w:bookmarkStart w:id="252" w:name="_Toc184313284"/>
      <w:bookmarkEnd w:id="252"/>
      <w:bookmarkStart w:id="253" w:name="_Toc184310310"/>
      <w:bookmarkEnd w:id="253"/>
      <w:bookmarkStart w:id="254" w:name="_Toc184314434"/>
      <w:bookmarkEnd w:id="254"/>
      <w:bookmarkStart w:id="255" w:name="_Toc184314425"/>
      <w:bookmarkEnd w:id="255"/>
      <w:bookmarkStart w:id="256" w:name="_Toc184314451"/>
      <w:bookmarkEnd w:id="256"/>
      <w:bookmarkStart w:id="257" w:name="_Toc184308105"/>
      <w:bookmarkEnd w:id="257"/>
      <w:bookmarkStart w:id="258" w:name="_Toc184312094"/>
      <w:bookmarkEnd w:id="258"/>
      <w:bookmarkStart w:id="259" w:name="_Toc184312096"/>
      <w:bookmarkEnd w:id="259"/>
      <w:bookmarkStart w:id="260" w:name="_Toc184308108"/>
      <w:bookmarkEnd w:id="260"/>
      <w:bookmarkStart w:id="261" w:name="_Toc184313272"/>
      <w:bookmarkEnd w:id="261"/>
      <w:bookmarkStart w:id="262" w:name="_Toc184308076"/>
      <w:bookmarkEnd w:id="262"/>
      <w:bookmarkStart w:id="263" w:name="_Toc184310306"/>
      <w:bookmarkEnd w:id="263"/>
      <w:bookmarkStart w:id="264" w:name="_Toc184310285"/>
      <w:bookmarkEnd w:id="264"/>
      <w:bookmarkStart w:id="265" w:name="_Toc184310333"/>
      <w:bookmarkEnd w:id="265"/>
      <w:bookmarkStart w:id="266" w:name="_Toc184308095"/>
      <w:bookmarkEnd w:id="266"/>
      <w:bookmarkStart w:id="267" w:name="_Toc184314452"/>
      <w:bookmarkEnd w:id="267"/>
      <w:bookmarkStart w:id="268" w:name="_Toc184308046"/>
      <w:bookmarkEnd w:id="268"/>
      <w:bookmarkStart w:id="269" w:name="_Toc184312126"/>
      <w:bookmarkEnd w:id="269"/>
      <w:bookmarkStart w:id="270" w:name="_Toc184310282"/>
      <w:bookmarkEnd w:id="270"/>
      <w:bookmarkStart w:id="271" w:name="_Toc184313246"/>
      <w:bookmarkEnd w:id="271"/>
      <w:bookmarkStart w:id="272" w:name="_Toc184308085"/>
      <w:bookmarkEnd w:id="272"/>
      <w:bookmarkStart w:id="273" w:name="_Toc184310302"/>
      <w:bookmarkEnd w:id="273"/>
      <w:bookmarkStart w:id="274" w:name="_Toc184312118"/>
      <w:bookmarkEnd w:id="274"/>
      <w:bookmarkStart w:id="275" w:name="_Toc184308083"/>
      <w:bookmarkEnd w:id="275"/>
      <w:bookmarkStart w:id="276" w:name="_Toc184308097"/>
      <w:bookmarkEnd w:id="276"/>
      <w:bookmarkStart w:id="277" w:name="_Toc184314424"/>
      <w:bookmarkEnd w:id="277"/>
      <w:bookmarkStart w:id="278" w:name="_Toc184313239"/>
      <w:bookmarkEnd w:id="278"/>
      <w:bookmarkStart w:id="279" w:name="_Toc184313278"/>
      <w:bookmarkEnd w:id="279"/>
      <w:bookmarkStart w:id="280" w:name="_Toc184314421"/>
      <w:bookmarkEnd w:id="280"/>
      <w:bookmarkStart w:id="281" w:name="_Toc184308103"/>
      <w:bookmarkEnd w:id="281"/>
      <w:bookmarkStart w:id="282" w:name="_Toc184312125"/>
      <w:bookmarkEnd w:id="282"/>
      <w:bookmarkStart w:id="283" w:name="_Toc184308045"/>
      <w:bookmarkEnd w:id="283"/>
      <w:bookmarkStart w:id="284" w:name="_Toc184314455"/>
      <w:bookmarkEnd w:id="284"/>
      <w:bookmarkStart w:id="285" w:name="_Toc184312102"/>
      <w:bookmarkEnd w:id="285"/>
      <w:bookmarkStart w:id="286" w:name="_Toc184314460"/>
      <w:bookmarkEnd w:id="286"/>
      <w:bookmarkStart w:id="287" w:name="_Toc184310301"/>
      <w:bookmarkEnd w:id="287"/>
      <w:bookmarkStart w:id="288" w:name="_Toc184314472"/>
      <w:bookmarkEnd w:id="288"/>
      <w:bookmarkStart w:id="289" w:name="_Toc184310338"/>
      <w:bookmarkEnd w:id="289"/>
      <w:bookmarkStart w:id="290" w:name="_Toc184308086"/>
      <w:bookmarkEnd w:id="290"/>
      <w:bookmarkStart w:id="291" w:name="_Toc184314464"/>
      <w:bookmarkEnd w:id="291"/>
      <w:bookmarkStart w:id="292" w:name="_Toc184313247"/>
      <w:bookmarkEnd w:id="292"/>
      <w:bookmarkStart w:id="293" w:name="_Toc184310340"/>
      <w:bookmarkEnd w:id="293"/>
      <w:bookmarkStart w:id="294" w:name="_Toc184312110"/>
      <w:bookmarkEnd w:id="294"/>
      <w:bookmarkStart w:id="295" w:name="_Toc184308049"/>
      <w:bookmarkEnd w:id="295"/>
      <w:bookmarkStart w:id="296" w:name="_Toc184312080"/>
      <w:bookmarkEnd w:id="296"/>
      <w:bookmarkStart w:id="297" w:name="_Toc184312092"/>
      <w:bookmarkEnd w:id="297"/>
      <w:bookmarkStart w:id="298" w:name="_Toc184313242"/>
      <w:bookmarkEnd w:id="298"/>
      <w:bookmarkStart w:id="299" w:name="_Toc184310311"/>
      <w:bookmarkEnd w:id="299"/>
      <w:bookmarkStart w:id="300" w:name="_Toc184308063"/>
      <w:bookmarkEnd w:id="300"/>
      <w:bookmarkStart w:id="301" w:name="_Toc184310276"/>
      <w:bookmarkEnd w:id="301"/>
      <w:bookmarkStart w:id="302" w:name="_Toc184308107"/>
      <w:bookmarkEnd w:id="302"/>
      <w:bookmarkStart w:id="303" w:name="_Toc184312124"/>
      <w:bookmarkEnd w:id="303"/>
      <w:bookmarkStart w:id="304" w:name="_Toc184312138"/>
      <w:bookmarkEnd w:id="304"/>
      <w:bookmarkStart w:id="305" w:name="_Toc184308094"/>
      <w:bookmarkEnd w:id="305"/>
      <w:bookmarkStart w:id="306" w:name="_Toc184314445"/>
      <w:bookmarkEnd w:id="306"/>
      <w:bookmarkStart w:id="307" w:name="_Toc184314435"/>
      <w:bookmarkEnd w:id="307"/>
      <w:bookmarkStart w:id="308" w:name="_Toc184314419"/>
      <w:bookmarkEnd w:id="308"/>
      <w:bookmarkStart w:id="309" w:name="_Toc184314437"/>
      <w:bookmarkEnd w:id="309"/>
      <w:bookmarkStart w:id="310" w:name="_Toc184314430"/>
      <w:bookmarkEnd w:id="310"/>
      <w:bookmarkStart w:id="311" w:name="_Toc184313290"/>
      <w:bookmarkEnd w:id="311"/>
      <w:bookmarkStart w:id="312" w:name="_Toc184310278"/>
      <w:bookmarkEnd w:id="312"/>
      <w:bookmarkStart w:id="313" w:name="_Toc184308088"/>
      <w:bookmarkEnd w:id="313"/>
      <w:bookmarkStart w:id="314" w:name="_Toc184314422"/>
      <w:bookmarkEnd w:id="314"/>
      <w:bookmarkStart w:id="315" w:name="_Toc184308079"/>
      <w:bookmarkEnd w:id="315"/>
      <w:bookmarkStart w:id="316" w:name="_Toc184308093"/>
      <w:bookmarkEnd w:id="316"/>
      <w:bookmarkStart w:id="317" w:name="_Toc184314436"/>
      <w:bookmarkEnd w:id="317"/>
      <w:bookmarkStart w:id="318" w:name="_Toc184314454"/>
      <w:bookmarkEnd w:id="318"/>
      <w:bookmarkStart w:id="319" w:name="_Toc184308100"/>
      <w:bookmarkEnd w:id="319"/>
      <w:bookmarkStart w:id="320" w:name="_Toc184310330"/>
      <w:bookmarkEnd w:id="320"/>
      <w:bookmarkStart w:id="321" w:name="_Toc184314461"/>
      <w:bookmarkEnd w:id="321"/>
      <w:bookmarkStart w:id="322" w:name="_Toc184312076"/>
      <w:bookmarkEnd w:id="322"/>
      <w:bookmarkStart w:id="323" w:name="_Toc184312099"/>
      <w:bookmarkEnd w:id="323"/>
      <w:bookmarkStart w:id="324" w:name="_Toc184313277"/>
      <w:bookmarkEnd w:id="324"/>
      <w:bookmarkStart w:id="325" w:name="_Toc184310332"/>
      <w:bookmarkEnd w:id="325"/>
      <w:bookmarkStart w:id="326" w:name="_Toc184308080"/>
      <w:bookmarkEnd w:id="326"/>
      <w:bookmarkStart w:id="327" w:name="_Toc184314463"/>
      <w:bookmarkEnd w:id="327"/>
      <w:bookmarkStart w:id="328" w:name="_Toc184313275"/>
      <w:bookmarkEnd w:id="328"/>
      <w:bookmarkStart w:id="329" w:name="_Toc184312104"/>
      <w:bookmarkEnd w:id="329"/>
      <w:bookmarkStart w:id="330" w:name="_Toc184313309"/>
      <w:bookmarkEnd w:id="330"/>
      <w:bookmarkStart w:id="331" w:name="_Toc184312067"/>
      <w:bookmarkEnd w:id="331"/>
      <w:bookmarkStart w:id="332" w:name="_Toc184312119"/>
      <w:bookmarkEnd w:id="332"/>
      <w:bookmarkStart w:id="333" w:name="_Toc184314414"/>
      <w:bookmarkEnd w:id="333"/>
      <w:bookmarkStart w:id="334" w:name="_Toc184312075"/>
      <w:bookmarkEnd w:id="334"/>
      <w:bookmarkStart w:id="335" w:name="_Toc184308073"/>
      <w:bookmarkEnd w:id="335"/>
      <w:bookmarkStart w:id="336" w:name="_Toc184310303"/>
      <w:bookmarkEnd w:id="336"/>
      <w:bookmarkStart w:id="337" w:name="_Toc184312079"/>
      <w:bookmarkEnd w:id="337"/>
      <w:bookmarkStart w:id="338" w:name="_Toc184314411"/>
      <w:bookmarkEnd w:id="338"/>
      <w:bookmarkStart w:id="339" w:name="_Toc184312082"/>
      <w:bookmarkEnd w:id="339"/>
      <w:bookmarkStart w:id="340" w:name="_Toc184308068"/>
      <w:bookmarkEnd w:id="340"/>
      <w:bookmarkStart w:id="341" w:name="_Toc184314429"/>
      <w:bookmarkEnd w:id="341"/>
      <w:bookmarkStart w:id="342" w:name="_Toc184314450"/>
      <w:bookmarkEnd w:id="342"/>
      <w:bookmarkStart w:id="343" w:name="_Toc184308078"/>
      <w:bookmarkEnd w:id="343"/>
      <w:bookmarkStart w:id="344" w:name="_Toc184312123"/>
      <w:bookmarkEnd w:id="344"/>
      <w:bookmarkStart w:id="345" w:name="_Toc184314482"/>
      <w:bookmarkEnd w:id="345"/>
      <w:bookmarkStart w:id="346" w:name="_Toc184310297"/>
      <w:bookmarkEnd w:id="346"/>
      <w:bookmarkStart w:id="347" w:name="_Toc184314415"/>
      <w:bookmarkEnd w:id="347"/>
      <w:bookmarkStart w:id="348" w:name="_Toc184313252"/>
      <w:bookmarkEnd w:id="348"/>
      <w:bookmarkStart w:id="349" w:name="_Toc184314469"/>
      <w:bookmarkEnd w:id="349"/>
      <w:bookmarkStart w:id="350" w:name="_Toc184313244"/>
      <w:bookmarkEnd w:id="350"/>
      <w:bookmarkStart w:id="351" w:name="_Toc184312128"/>
      <w:bookmarkEnd w:id="351"/>
      <w:bookmarkStart w:id="352" w:name="_Toc184313306"/>
      <w:bookmarkEnd w:id="352"/>
      <w:bookmarkStart w:id="353" w:name="_Toc184308050"/>
      <w:bookmarkEnd w:id="353"/>
      <w:bookmarkStart w:id="354" w:name="_Toc184313256"/>
      <w:bookmarkEnd w:id="354"/>
      <w:bookmarkStart w:id="355" w:name="_Toc184313243"/>
      <w:bookmarkEnd w:id="355"/>
      <w:bookmarkStart w:id="356" w:name="_Toc184308064"/>
      <w:bookmarkEnd w:id="356"/>
      <w:bookmarkStart w:id="357" w:name="_Toc184308065"/>
      <w:bookmarkEnd w:id="357"/>
      <w:bookmarkStart w:id="358" w:name="_Toc184308089"/>
      <w:bookmarkEnd w:id="358"/>
      <w:bookmarkStart w:id="359" w:name="_Toc184313249"/>
      <w:bookmarkEnd w:id="359"/>
      <w:bookmarkStart w:id="360" w:name="_Toc184310273"/>
      <w:bookmarkEnd w:id="360"/>
      <w:bookmarkStart w:id="361" w:name="_Toc184308037"/>
      <w:bookmarkEnd w:id="361"/>
      <w:bookmarkStart w:id="362" w:name="_Toc184313300"/>
      <w:bookmarkEnd w:id="362"/>
      <w:bookmarkStart w:id="363" w:name="_Toc184312121"/>
      <w:bookmarkEnd w:id="363"/>
      <w:bookmarkStart w:id="364" w:name="_Toc184310343"/>
      <w:bookmarkEnd w:id="364"/>
      <w:bookmarkStart w:id="365" w:name="_Toc184308099"/>
      <w:bookmarkEnd w:id="365"/>
      <w:bookmarkStart w:id="366" w:name="_Toc184313281"/>
      <w:bookmarkEnd w:id="366"/>
      <w:bookmarkStart w:id="367" w:name="_Toc184313307"/>
      <w:bookmarkEnd w:id="367"/>
      <w:bookmarkStart w:id="368" w:name="_Toc184313269"/>
      <w:bookmarkEnd w:id="368"/>
      <w:bookmarkStart w:id="369" w:name="_Toc184314476"/>
      <w:bookmarkEnd w:id="369"/>
      <w:bookmarkStart w:id="370" w:name="_Toc184313254"/>
      <w:bookmarkEnd w:id="370"/>
      <w:bookmarkStart w:id="371" w:name="_Toc184310329"/>
      <w:bookmarkEnd w:id="371"/>
      <w:bookmarkStart w:id="372" w:name="_Toc184310314"/>
      <w:bookmarkEnd w:id="372"/>
      <w:bookmarkStart w:id="373" w:name="_Toc184308054"/>
      <w:bookmarkEnd w:id="373"/>
      <w:bookmarkStart w:id="374" w:name="_Toc184308061"/>
      <w:bookmarkEnd w:id="374"/>
      <w:bookmarkStart w:id="375" w:name="_Toc184314423"/>
      <w:bookmarkEnd w:id="375"/>
      <w:bookmarkStart w:id="376" w:name="_Toc184314428"/>
      <w:bookmarkEnd w:id="376"/>
      <w:bookmarkStart w:id="377" w:name="_Toc184310325"/>
      <w:bookmarkEnd w:id="377"/>
      <w:bookmarkStart w:id="378" w:name="_Toc184314458"/>
      <w:bookmarkEnd w:id="378"/>
      <w:bookmarkStart w:id="379" w:name="_Toc184310291"/>
      <w:bookmarkEnd w:id="379"/>
      <w:bookmarkStart w:id="380" w:name="_Toc184308102"/>
      <w:bookmarkEnd w:id="380"/>
      <w:bookmarkStart w:id="381" w:name="_Toc184312132"/>
      <w:bookmarkEnd w:id="381"/>
      <w:bookmarkStart w:id="382" w:name="_Toc184310341"/>
      <w:bookmarkEnd w:id="382"/>
      <w:bookmarkStart w:id="383" w:name="_Toc184312083"/>
      <w:bookmarkEnd w:id="383"/>
      <w:bookmarkStart w:id="384" w:name="_Toc184312077"/>
      <w:bookmarkEnd w:id="384"/>
      <w:bookmarkStart w:id="385" w:name="_Toc184312105"/>
      <w:bookmarkEnd w:id="385"/>
      <w:bookmarkStart w:id="386" w:name="_Toc184310292"/>
      <w:bookmarkEnd w:id="386"/>
      <w:bookmarkStart w:id="387" w:name="_Toc184312069"/>
      <w:bookmarkEnd w:id="387"/>
      <w:bookmarkStart w:id="388" w:name="_Toc184314418"/>
      <w:bookmarkEnd w:id="388"/>
      <w:bookmarkStart w:id="389" w:name="_Toc184310323"/>
      <w:bookmarkEnd w:id="389"/>
      <w:bookmarkStart w:id="390" w:name="_Toc184308039"/>
      <w:bookmarkEnd w:id="390"/>
      <w:bookmarkStart w:id="391" w:name="_Toc184310317"/>
      <w:bookmarkEnd w:id="391"/>
      <w:bookmarkStart w:id="392" w:name="_Toc184308069"/>
      <w:bookmarkEnd w:id="392"/>
      <w:bookmarkStart w:id="393" w:name="_Toc184310277"/>
      <w:bookmarkEnd w:id="393"/>
      <w:bookmarkStart w:id="394" w:name="_Toc184313304"/>
      <w:bookmarkEnd w:id="394"/>
      <w:r>
        <w:rPr>
          <w:rFonts w:hint="eastAsia" w:ascii="宋体" w:hAnsi="宋体" w:cs="宋体"/>
          <w:b/>
          <w:sz w:val="36"/>
          <w:szCs w:val="36"/>
        </w:rPr>
        <w:t>评标办法</w:t>
      </w:r>
    </w:p>
    <w:p>
      <w:pPr>
        <w:snapToGrid w:val="0"/>
        <w:spacing w:line="360" w:lineRule="auto"/>
        <w:jc w:val="center"/>
      </w:pPr>
      <w:r>
        <w:rPr>
          <w:rFonts w:hint="eastAsia" w:ascii="宋体" w:hAnsi="宋体" w:cs="宋体"/>
          <w:b/>
          <w:sz w:val="32"/>
          <w:szCs w:val="20"/>
        </w:rPr>
        <w:t>评标办法前附表</w:t>
      </w:r>
    </w:p>
    <w:tbl>
      <w:tblPr>
        <w:tblStyle w:val="65"/>
        <w:tblpPr w:leftFromText="180" w:rightFromText="180" w:vertAnchor="page" w:horzAnchor="page" w:tblpX="1879" w:tblpY="2902"/>
        <w:tblOverlap w:val="never"/>
        <w:tblW w:w="93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
        <w:gridCol w:w="1157"/>
        <w:gridCol w:w="6823"/>
        <w:gridCol w:w="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 w:hRule="atLeast"/>
        </w:trPr>
        <w:tc>
          <w:tcPr>
            <w:tcW w:w="511" w:type="dxa"/>
            <w:tcBorders>
              <w:top w:val="single" w:color="auto" w:sz="4" w:space="0"/>
              <w:left w:val="single" w:color="auto" w:sz="4" w:space="0"/>
              <w:bottom w:val="single" w:color="auto" w:sz="4" w:space="0"/>
              <w:right w:val="single" w:color="auto" w:sz="4" w:space="0"/>
            </w:tcBorders>
            <w:vAlign w:val="center"/>
          </w:tcPr>
          <w:p>
            <w:pPr>
              <w:pStyle w:val="56"/>
              <w:spacing w:line="440" w:lineRule="exact"/>
              <w:ind w:firstLine="0"/>
              <w:jc w:val="center"/>
              <w:rPr>
                <w:rFonts w:ascii="仿宋" w:hAnsi="仿宋" w:eastAsia="仿宋" w:cs="仿宋"/>
                <w:b/>
                <w:szCs w:val="24"/>
              </w:rPr>
            </w:pPr>
            <w:r>
              <w:rPr>
                <w:rFonts w:hint="eastAsia" w:ascii="仿宋" w:hAnsi="仿宋" w:eastAsia="仿宋" w:cs="仿宋"/>
                <w:b/>
                <w:szCs w:val="24"/>
              </w:rPr>
              <w:t>序号</w:t>
            </w:r>
          </w:p>
        </w:tc>
        <w:tc>
          <w:tcPr>
            <w:tcW w:w="1157" w:type="dxa"/>
            <w:tcBorders>
              <w:top w:val="single" w:color="auto" w:sz="4" w:space="0"/>
              <w:left w:val="single" w:color="auto" w:sz="4" w:space="0"/>
              <w:bottom w:val="single" w:color="auto" w:sz="4" w:space="0"/>
              <w:right w:val="single" w:color="auto" w:sz="4" w:space="0"/>
            </w:tcBorders>
            <w:vAlign w:val="center"/>
          </w:tcPr>
          <w:p>
            <w:pPr>
              <w:pStyle w:val="56"/>
              <w:spacing w:line="440" w:lineRule="exact"/>
              <w:ind w:firstLine="0"/>
              <w:jc w:val="center"/>
              <w:rPr>
                <w:rFonts w:ascii="仿宋" w:hAnsi="仿宋" w:eastAsia="仿宋" w:cs="仿宋"/>
                <w:b/>
                <w:szCs w:val="24"/>
              </w:rPr>
            </w:pPr>
            <w:r>
              <w:rPr>
                <w:rFonts w:hint="eastAsia" w:ascii="仿宋" w:hAnsi="仿宋" w:eastAsia="仿宋" w:cs="仿宋"/>
                <w:b/>
                <w:szCs w:val="24"/>
              </w:rPr>
              <w:t>评审</w:t>
            </w:r>
          </w:p>
          <w:p>
            <w:pPr>
              <w:pStyle w:val="56"/>
              <w:spacing w:line="440" w:lineRule="exact"/>
              <w:ind w:firstLine="0"/>
              <w:jc w:val="center"/>
              <w:rPr>
                <w:rFonts w:ascii="仿宋" w:hAnsi="仿宋" w:eastAsia="仿宋" w:cs="仿宋"/>
                <w:b/>
                <w:szCs w:val="24"/>
              </w:rPr>
            </w:pPr>
            <w:r>
              <w:rPr>
                <w:rFonts w:hint="eastAsia" w:ascii="仿宋" w:hAnsi="仿宋" w:eastAsia="仿宋" w:cs="仿宋"/>
                <w:b/>
                <w:szCs w:val="24"/>
              </w:rPr>
              <w:t>内容</w:t>
            </w:r>
          </w:p>
        </w:tc>
        <w:tc>
          <w:tcPr>
            <w:tcW w:w="6823" w:type="dxa"/>
            <w:tcBorders>
              <w:top w:val="single" w:color="auto" w:sz="4" w:space="0"/>
              <w:left w:val="single" w:color="auto" w:sz="4" w:space="0"/>
              <w:bottom w:val="single" w:color="auto" w:sz="4" w:space="0"/>
              <w:right w:val="single" w:color="auto" w:sz="4" w:space="0"/>
            </w:tcBorders>
            <w:vAlign w:val="center"/>
          </w:tcPr>
          <w:p>
            <w:pPr>
              <w:pStyle w:val="56"/>
              <w:spacing w:line="440" w:lineRule="exact"/>
              <w:jc w:val="center"/>
              <w:rPr>
                <w:rFonts w:ascii="仿宋" w:hAnsi="仿宋" w:eastAsia="仿宋" w:cs="仿宋"/>
                <w:b/>
                <w:szCs w:val="24"/>
              </w:rPr>
            </w:pPr>
            <w:r>
              <w:rPr>
                <w:rFonts w:hint="eastAsia" w:ascii="仿宋" w:hAnsi="仿宋" w:eastAsia="仿宋" w:cs="仿宋"/>
                <w:b/>
                <w:szCs w:val="24"/>
              </w:rPr>
              <w:t>评分标准</w:t>
            </w:r>
          </w:p>
        </w:tc>
        <w:tc>
          <w:tcPr>
            <w:tcW w:w="836" w:type="dxa"/>
            <w:tcBorders>
              <w:top w:val="single" w:color="auto" w:sz="4" w:space="0"/>
              <w:left w:val="single" w:color="auto" w:sz="4" w:space="0"/>
              <w:bottom w:val="single" w:color="auto" w:sz="4" w:space="0"/>
              <w:right w:val="single" w:color="auto" w:sz="4" w:space="0"/>
            </w:tcBorders>
            <w:vAlign w:val="center"/>
          </w:tcPr>
          <w:p>
            <w:pPr>
              <w:pStyle w:val="56"/>
              <w:spacing w:line="440" w:lineRule="exact"/>
              <w:ind w:firstLine="0"/>
              <w:jc w:val="center"/>
              <w:rPr>
                <w:rFonts w:ascii="仿宋" w:hAnsi="仿宋" w:eastAsia="仿宋" w:cs="仿宋"/>
                <w:b/>
                <w:szCs w:val="24"/>
              </w:rPr>
            </w:pPr>
            <w:r>
              <w:rPr>
                <w:rFonts w:hint="eastAsia" w:ascii="仿宋" w:hAnsi="仿宋" w:eastAsia="仿宋" w:cs="仿宋"/>
                <w:b/>
                <w:szCs w:val="24"/>
              </w:rPr>
              <w:t>评分分值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511" w:type="dxa"/>
            <w:tcBorders>
              <w:top w:val="single" w:color="auto" w:sz="4" w:space="0"/>
              <w:left w:val="single" w:color="auto" w:sz="4" w:space="0"/>
              <w:right w:val="single" w:color="auto" w:sz="4" w:space="0"/>
            </w:tcBorders>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1</w:t>
            </w:r>
          </w:p>
        </w:tc>
        <w:tc>
          <w:tcPr>
            <w:tcW w:w="1157" w:type="dxa"/>
            <w:tcBorders>
              <w:top w:val="single" w:color="auto" w:sz="4" w:space="0"/>
              <w:left w:val="single" w:color="auto" w:sz="4" w:space="0"/>
              <w:right w:val="single" w:color="auto" w:sz="4" w:space="0"/>
            </w:tcBorders>
            <w:vAlign w:val="center"/>
          </w:tcPr>
          <w:p>
            <w:pPr>
              <w:pStyle w:val="342"/>
              <w:spacing w:before="78" w:line="230" w:lineRule="auto"/>
              <w:ind w:left="191" w:right="183"/>
              <w:jc w:val="center"/>
              <w:rPr>
                <w:rFonts w:ascii="仿宋" w:hAnsi="仿宋" w:eastAsia="仿宋" w:cs="仿宋"/>
              </w:rPr>
            </w:pPr>
            <w:r>
              <w:rPr>
                <w:rFonts w:hint="eastAsia" w:ascii="仿宋" w:hAnsi="仿宋" w:eastAsia="仿宋" w:cs="仿宋"/>
                <w:spacing w:val="-5"/>
              </w:rPr>
              <w:t>企业实力情况</w:t>
            </w:r>
          </w:p>
        </w:tc>
        <w:tc>
          <w:tcPr>
            <w:tcW w:w="6823" w:type="dxa"/>
            <w:tcBorders>
              <w:top w:val="single" w:color="auto" w:sz="4" w:space="0"/>
              <w:left w:val="single" w:color="auto" w:sz="4" w:space="0"/>
              <w:bottom w:val="single" w:color="auto" w:sz="4" w:space="0"/>
              <w:right w:val="single" w:color="auto" w:sz="4" w:space="0"/>
            </w:tcBorders>
          </w:tcPr>
          <w:p>
            <w:pPr>
              <w:pStyle w:val="342"/>
              <w:spacing w:before="27" w:line="229" w:lineRule="auto"/>
              <w:ind w:right="141"/>
              <w:rPr>
                <w:rFonts w:ascii="仿宋" w:hAnsi="仿宋" w:eastAsia="仿宋" w:cs="仿宋"/>
                <w:spacing w:val="-2"/>
              </w:rPr>
            </w:pPr>
            <w:r>
              <w:rPr>
                <w:rFonts w:hint="eastAsia" w:ascii="仿宋" w:hAnsi="仿宋" w:eastAsia="仿宋" w:cs="仿宋"/>
                <w:spacing w:val="-2"/>
              </w:rPr>
              <w:t>1、在有效期内的认证证书：投标人具有的ISO9</w:t>
            </w:r>
            <w:r>
              <w:rPr>
                <w:rFonts w:hint="eastAsia" w:ascii="仿宋" w:hAnsi="仿宋" w:eastAsia="仿宋" w:cs="仿宋"/>
                <w:spacing w:val="-3"/>
              </w:rPr>
              <w:t>001质量</w:t>
            </w:r>
            <w:r>
              <w:rPr>
                <w:rFonts w:hint="eastAsia" w:ascii="仿宋" w:hAnsi="仿宋" w:eastAsia="仿宋" w:cs="仿宋"/>
                <w:spacing w:val="-5"/>
              </w:rPr>
              <w:t>管理体系认证证书（</w:t>
            </w:r>
            <w:r>
              <w:rPr>
                <w:rFonts w:ascii="仿宋" w:hAnsi="仿宋" w:eastAsia="仿宋" w:cs="仿宋"/>
                <w:spacing w:val="-5"/>
              </w:rPr>
              <w:t>2</w:t>
            </w:r>
            <w:r>
              <w:rPr>
                <w:rFonts w:hint="eastAsia" w:ascii="仿宋" w:hAnsi="仿宋" w:eastAsia="仿宋" w:cs="仿宋"/>
                <w:spacing w:val="-5"/>
              </w:rPr>
              <w:t>分）、ISO14001环境管理体系认证</w:t>
            </w:r>
            <w:r>
              <w:rPr>
                <w:rFonts w:hint="eastAsia" w:ascii="仿宋" w:hAnsi="仿宋" w:eastAsia="仿宋" w:cs="仿宋"/>
                <w:spacing w:val="-1"/>
              </w:rPr>
              <w:t>证书（</w:t>
            </w:r>
            <w:r>
              <w:rPr>
                <w:rFonts w:ascii="仿宋" w:hAnsi="仿宋" w:eastAsia="仿宋" w:cs="仿宋"/>
                <w:spacing w:val="-1"/>
              </w:rPr>
              <w:t>2</w:t>
            </w:r>
            <w:r>
              <w:rPr>
                <w:rFonts w:hint="eastAsia" w:ascii="仿宋" w:hAnsi="仿宋" w:eastAsia="仿宋" w:cs="仿宋"/>
                <w:spacing w:val="-1"/>
              </w:rPr>
              <w:t>分）、职业健康安全管理体系认证</w:t>
            </w:r>
            <w:r>
              <w:rPr>
                <w:rFonts w:hint="eastAsia" w:ascii="仿宋" w:hAnsi="仿宋" w:eastAsia="仿宋" w:cs="仿宋"/>
                <w:spacing w:val="-2"/>
              </w:rPr>
              <w:t>证书OHSAS18001或ISO45001（</w:t>
            </w:r>
            <w:r>
              <w:rPr>
                <w:rFonts w:ascii="仿宋" w:hAnsi="仿宋" w:eastAsia="仿宋" w:cs="仿宋"/>
                <w:spacing w:val="-2"/>
              </w:rPr>
              <w:t>2</w:t>
            </w:r>
            <w:r>
              <w:rPr>
                <w:rFonts w:hint="eastAsia" w:ascii="仿宋" w:hAnsi="仿宋" w:eastAsia="仿宋" w:cs="仿宋"/>
                <w:spacing w:val="-2"/>
              </w:rPr>
              <w:t>分）。</w:t>
            </w:r>
          </w:p>
          <w:p>
            <w:pPr>
              <w:pStyle w:val="342"/>
              <w:spacing w:before="27" w:line="229" w:lineRule="auto"/>
              <w:ind w:right="141"/>
              <w:rPr>
                <w:rFonts w:ascii="仿宋" w:hAnsi="仿宋" w:eastAsia="仿宋" w:cs="仿宋"/>
              </w:rPr>
            </w:pPr>
            <w:r>
              <w:rPr>
                <w:rFonts w:hint="eastAsia" w:ascii="仿宋" w:hAnsi="仿宋" w:eastAsia="仿宋" w:cs="仿宋"/>
                <w:spacing w:val="-1"/>
              </w:rPr>
              <w:t>（投标文件需包含复印件加盖公章，否则不予认可）</w:t>
            </w:r>
          </w:p>
        </w:tc>
        <w:tc>
          <w:tcPr>
            <w:tcW w:w="836" w:type="dxa"/>
            <w:tcBorders>
              <w:top w:val="single" w:color="auto" w:sz="4" w:space="0"/>
              <w:left w:val="single" w:color="auto" w:sz="4" w:space="0"/>
              <w:right w:val="single" w:color="auto" w:sz="4" w:space="0"/>
            </w:tcBorders>
            <w:vAlign w:val="center"/>
          </w:tcPr>
          <w:p>
            <w:pPr>
              <w:pStyle w:val="56"/>
              <w:spacing w:line="440" w:lineRule="exact"/>
              <w:ind w:firstLine="0"/>
              <w:jc w:val="center"/>
              <w:rPr>
                <w:rFonts w:ascii="仿宋" w:hAnsi="仿宋" w:eastAsia="仿宋" w:cs="仿宋"/>
                <w:szCs w:val="24"/>
              </w:rPr>
            </w:pPr>
            <w:r>
              <w:rPr>
                <w:rFonts w:ascii="仿宋" w:hAnsi="仿宋" w:eastAsia="仿宋" w:cs="仿宋"/>
                <w:szCs w:val="24"/>
              </w:rPr>
              <w:t>6</w:t>
            </w:r>
            <w:r>
              <w:rPr>
                <w:rFonts w:hint="eastAsia" w:ascii="仿宋" w:hAnsi="仿宋" w:eastAsia="仿宋" w:cs="仿宋"/>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1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2</w:t>
            </w:r>
          </w:p>
        </w:tc>
        <w:tc>
          <w:tcPr>
            <w:tcW w:w="1157" w:type="dxa"/>
            <w:tcBorders>
              <w:top w:val="single" w:color="auto" w:sz="4" w:space="0"/>
              <w:left w:val="single" w:color="auto" w:sz="4" w:space="0"/>
              <w:bottom w:val="single" w:color="auto" w:sz="4" w:space="0"/>
              <w:right w:val="single" w:color="auto" w:sz="4" w:space="0"/>
            </w:tcBorders>
            <w:vAlign w:val="center"/>
          </w:tcPr>
          <w:p>
            <w:pPr>
              <w:pStyle w:val="342"/>
              <w:spacing w:before="78" w:line="230" w:lineRule="auto"/>
              <w:ind w:right="183"/>
              <w:jc w:val="center"/>
              <w:rPr>
                <w:rFonts w:ascii="仿宋" w:hAnsi="仿宋" w:eastAsia="仿宋" w:cs="仿宋"/>
              </w:rPr>
            </w:pPr>
            <w:r>
              <w:rPr>
                <w:rFonts w:hint="eastAsia" w:ascii="仿宋" w:hAnsi="仿宋" w:eastAsia="仿宋" w:cs="仿宋"/>
                <w:spacing w:val="-5"/>
              </w:rPr>
              <w:t>设备配</w:t>
            </w:r>
            <w:r>
              <w:rPr>
                <w:rFonts w:hint="eastAsia" w:ascii="仿宋" w:hAnsi="仿宋" w:eastAsia="仿宋" w:cs="仿宋"/>
              </w:rPr>
              <w:t>备</w:t>
            </w:r>
          </w:p>
        </w:tc>
        <w:tc>
          <w:tcPr>
            <w:tcW w:w="6823" w:type="dxa"/>
            <w:tcBorders>
              <w:top w:val="single" w:color="auto" w:sz="4" w:space="0"/>
              <w:left w:val="single" w:color="auto" w:sz="4" w:space="0"/>
              <w:bottom w:val="single" w:color="auto" w:sz="4" w:space="0"/>
              <w:right w:val="single" w:color="auto" w:sz="4" w:space="0"/>
            </w:tcBorders>
          </w:tcPr>
          <w:p>
            <w:pPr>
              <w:pStyle w:val="342"/>
              <w:spacing w:before="39" w:line="235" w:lineRule="auto"/>
              <w:ind w:left="114" w:right="103" w:firstLine="10"/>
              <w:rPr>
                <w:rFonts w:ascii="仿宋" w:hAnsi="仿宋" w:eastAsia="仿宋" w:cs="仿宋"/>
              </w:rPr>
            </w:pPr>
            <w:r>
              <w:rPr>
                <w:rFonts w:hint="eastAsia" w:ascii="仿宋" w:hAnsi="仿宋" w:eastAsia="仿宋" w:cs="仿宋"/>
                <w:spacing w:val="-4"/>
              </w:rPr>
              <w:t>1、投标人自有工作车辆，每辆得1分，最多得4分；抽</w:t>
            </w:r>
            <w:r>
              <w:rPr>
                <w:rFonts w:hint="eastAsia" w:ascii="仿宋" w:hAnsi="仿宋" w:eastAsia="仿宋" w:cs="仿宋"/>
                <w:spacing w:val="-8"/>
              </w:rPr>
              <w:t>粪车</w:t>
            </w:r>
            <w:r>
              <w:rPr>
                <w:rFonts w:hint="eastAsia" w:ascii="仿宋" w:hAnsi="仿宋" w:eastAsia="仿宋" w:cs="仿宋"/>
                <w:spacing w:val="-8"/>
                <w:lang w:val="en-US" w:eastAsia="zh-CN"/>
              </w:rPr>
              <w:t>1</w:t>
            </w:r>
            <w:r>
              <w:rPr>
                <w:rFonts w:hint="eastAsia" w:ascii="仿宋" w:hAnsi="仿宋" w:eastAsia="仿宋" w:cs="仿宋"/>
                <w:spacing w:val="-8"/>
              </w:rPr>
              <w:t>辆</w:t>
            </w:r>
            <w:r>
              <w:rPr>
                <w:rFonts w:hint="eastAsia" w:ascii="仿宋" w:hAnsi="仿宋" w:eastAsia="仿宋" w:cs="仿宋"/>
                <w:spacing w:val="-8"/>
                <w:lang w:val="en-US" w:eastAsia="zh-CN"/>
              </w:rPr>
              <w:t>得3</w:t>
            </w:r>
            <w:r>
              <w:rPr>
                <w:rFonts w:hint="eastAsia" w:ascii="仿宋" w:hAnsi="仿宋" w:eastAsia="仿宋" w:cs="仿宋"/>
                <w:spacing w:val="-8"/>
              </w:rPr>
              <w:t>分。本项目最高得7分。【投标</w:t>
            </w:r>
            <w:r>
              <w:rPr>
                <w:rFonts w:hint="eastAsia" w:ascii="仿宋" w:hAnsi="仿宋" w:eastAsia="仿宋" w:cs="仿宋"/>
                <w:spacing w:val="-5"/>
              </w:rPr>
              <w:t>文件需包含车辆购置发票（须同时提供装载车辆和设备的</w:t>
            </w:r>
            <w:r>
              <w:rPr>
                <w:rFonts w:hint="eastAsia" w:ascii="仿宋" w:hAnsi="仿宋" w:eastAsia="仿宋" w:cs="仿宋"/>
                <w:spacing w:val="-2"/>
              </w:rPr>
              <w:t>合照及车辆行驶证</w:t>
            </w:r>
            <w:r>
              <w:rPr>
                <w:rFonts w:hint="eastAsia" w:ascii="仿宋" w:hAnsi="仿宋" w:eastAsia="仿宋" w:cs="仿宋"/>
                <w:spacing w:val="16"/>
              </w:rPr>
              <w:t>），</w:t>
            </w:r>
            <w:r>
              <w:rPr>
                <w:rFonts w:hint="eastAsia" w:ascii="仿宋" w:hAnsi="仿宋" w:eastAsia="仿宋" w:cs="仿宋"/>
                <w:spacing w:val="-2"/>
              </w:rPr>
              <w:t>复印件加盖公章，否则不得分】</w:t>
            </w:r>
          </w:p>
          <w:p>
            <w:pPr>
              <w:pStyle w:val="342"/>
              <w:spacing w:before="28" w:line="237" w:lineRule="auto"/>
              <w:ind w:left="113" w:right="103" w:firstLine="4"/>
              <w:rPr>
                <w:rFonts w:ascii="仿宋" w:hAnsi="仿宋" w:eastAsia="仿宋" w:cs="仿宋"/>
              </w:rPr>
            </w:pPr>
            <w:r>
              <w:rPr>
                <w:rFonts w:hint="eastAsia" w:ascii="仿宋" w:hAnsi="仿宋" w:eastAsia="仿宋" w:cs="仿宋"/>
                <w:spacing w:val="1"/>
              </w:rPr>
              <w:t>2、投标人须具备</w:t>
            </w:r>
            <w:r>
              <w:rPr>
                <w:rFonts w:hint="eastAsia" w:ascii="仿宋" w:hAnsi="仿宋" w:eastAsia="仿宋" w:cs="仿宋"/>
              </w:rPr>
              <w:t>CCTV</w:t>
            </w:r>
            <w:r>
              <w:rPr>
                <w:rFonts w:hint="eastAsia" w:ascii="仿宋" w:hAnsi="仿宋" w:eastAsia="仿宋" w:cs="仿宋"/>
                <w:spacing w:val="1"/>
              </w:rPr>
              <w:t>管道检测设备、封堵气囊（大于</w:t>
            </w:r>
            <w:r>
              <w:rPr>
                <w:rFonts w:hint="eastAsia" w:ascii="仿宋" w:hAnsi="仿宋" w:eastAsia="仿宋" w:cs="仿宋"/>
                <w:spacing w:val="-1"/>
              </w:rPr>
              <w:t>等于DN1200）、气体检测仪、管道疏通设备（或下水道</w:t>
            </w:r>
            <w:r>
              <w:rPr>
                <w:rFonts w:hint="eastAsia" w:ascii="仿宋" w:hAnsi="仿宋" w:eastAsia="仿宋" w:cs="仿宋"/>
                <w:spacing w:val="-4"/>
              </w:rPr>
              <w:t>疏通清洗车</w:t>
            </w:r>
            <w:r>
              <w:rPr>
                <w:rFonts w:hint="eastAsia" w:ascii="仿宋" w:hAnsi="仿宋" w:eastAsia="仿宋" w:cs="仿宋"/>
                <w:spacing w:val="-11"/>
              </w:rPr>
              <w:t>），</w:t>
            </w:r>
            <w:r>
              <w:rPr>
                <w:rFonts w:hint="eastAsia" w:ascii="仿宋" w:hAnsi="仿宋" w:eastAsia="仿宋" w:cs="仿宋"/>
                <w:spacing w:val="-4"/>
              </w:rPr>
              <w:t>隔离式呼吸器、管道潜望镜等；一套设备</w:t>
            </w:r>
            <w:r>
              <w:rPr>
                <w:rFonts w:hint="eastAsia" w:ascii="仿宋" w:hAnsi="仿宋" w:eastAsia="仿宋" w:cs="仿宋"/>
                <w:spacing w:val="-7"/>
              </w:rPr>
              <w:t>齐全的得3分，不齐全的不得分。设备配备齐全1套且每</w:t>
            </w:r>
            <w:r>
              <w:rPr>
                <w:rFonts w:hint="eastAsia" w:ascii="仿宋" w:hAnsi="仿宋" w:eastAsia="仿宋" w:cs="仿宋"/>
                <w:spacing w:val="4"/>
              </w:rPr>
              <w:t>增加1套管道疏通设备（或下水道疏通清洗车）的加1</w:t>
            </w:r>
            <w:r>
              <w:rPr>
                <w:rFonts w:hint="eastAsia" w:ascii="仿宋" w:hAnsi="仿宋" w:eastAsia="仿宋" w:cs="仿宋"/>
                <w:spacing w:val="-4"/>
              </w:rPr>
              <w:t>分，增加一套CCTV管道检测设备的加1分。本项目最高</w:t>
            </w:r>
            <w:r>
              <w:rPr>
                <w:rFonts w:hint="eastAsia" w:ascii="仿宋" w:hAnsi="仿宋" w:eastAsia="仿宋" w:cs="仿宋"/>
                <w:spacing w:val="-9"/>
              </w:rPr>
              <w:t>得5分。</w:t>
            </w:r>
          </w:p>
          <w:p>
            <w:pPr>
              <w:pStyle w:val="342"/>
              <w:spacing w:before="25" w:line="231" w:lineRule="auto"/>
              <w:ind w:left="113" w:right="42" w:hanging="6"/>
              <w:jc w:val="both"/>
              <w:rPr>
                <w:rFonts w:ascii="仿宋" w:hAnsi="仿宋" w:eastAsia="仿宋" w:cs="仿宋"/>
              </w:rPr>
            </w:pPr>
            <w:r>
              <w:rPr>
                <w:rFonts w:hint="eastAsia" w:ascii="仿宋" w:hAnsi="仿宋" w:eastAsia="仿宋" w:cs="仿宋"/>
                <w:b/>
                <w:bCs/>
                <w:spacing w:val="-5"/>
              </w:rPr>
              <w:t>【投标文件需包含设备购置发票（管道疏通设备须同时提供装载车辆和设备的合照及车辆行驶证，下水道疏通清洗</w:t>
            </w:r>
            <w:r>
              <w:rPr>
                <w:rFonts w:hint="eastAsia" w:ascii="仿宋" w:hAnsi="仿宋" w:eastAsia="仿宋" w:cs="仿宋"/>
                <w:b/>
                <w:bCs/>
                <w:spacing w:val="-4"/>
              </w:rPr>
              <w:t>车须同时提供车辆照片及车辆行驶证</w:t>
            </w:r>
            <w:r>
              <w:rPr>
                <w:rFonts w:hint="eastAsia" w:ascii="仿宋" w:hAnsi="仿宋" w:eastAsia="仿宋" w:cs="仿宋"/>
                <w:b/>
                <w:bCs/>
                <w:spacing w:val="-50"/>
                <w:w w:val="79"/>
              </w:rPr>
              <w:t>），</w:t>
            </w:r>
            <w:r>
              <w:rPr>
                <w:rFonts w:hint="eastAsia" w:ascii="仿宋" w:hAnsi="仿宋" w:eastAsia="仿宋" w:cs="仿宋"/>
                <w:b/>
                <w:bCs/>
                <w:spacing w:val="-4"/>
              </w:rPr>
              <w:t>复印件加盖公章，</w:t>
            </w:r>
            <w:r>
              <w:rPr>
                <w:rFonts w:hint="eastAsia" w:ascii="仿宋" w:hAnsi="仿宋" w:eastAsia="仿宋" w:cs="仿宋"/>
                <w:b/>
                <w:bCs/>
                <w:spacing w:val="-2"/>
              </w:rPr>
              <w:t>否则不得分】</w:t>
            </w:r>
          </w:p>
        </w:tc>
        <w:tc>
          <w:tcPr>
            <w:tcW w:w="836" w:type="dxa"/>
            <w:tcBorders>
              <w:top w:val="single" w:color="auto" w:sz="4" w:space="0"/>
              <w:left w:val="single" w:color="auto" w:sz="4" w:space="0"/>
              <w:bottom w:val="single" w:color="auto" w:sz="4" w:space="0"/>
              <w:right w:val="single" w:color="auto" w:sz="4" w:space="0"/>
            </w:tcBorders>
            <w:vAlign w:val="center"/>
          </w:tcPr>
          <w:p>
            <w:pPr>
              <w:pStyle w:val="56"/>
              <w:spacing w:line="440" w:lineRule="exact"/>
              <w:ind w:firstLine="0"/>
              <w:rPr>
                <w:rFonts w:ascii="仿宋" w:hAnsi="仿宋" w:eastAsia="仿宋" w:cs="仿宋"/>
                <w:szCs w:val="24"/>
              </w:rPr>
            </w:pPr>
            <w:r>
              <w:rPr>
                <w:rFonts w:hint="eastAsia" w:ascii="仿宋" w:hAnsi="仿宋" w:eastAsia="仿宋" w:cs="仿宋"/>
                <w:szCs w:val="24"/>
              </w:rPr>
              <w:t>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3</w:t>
            </w:r>
          </w:p>
        </w:tc>
        <w:tc>
          <w:tcPr>
            <w:tcW w:w="1157" w:type="dxa"/>
            <w:tcBorders>
              <w:top w:val="single" w:color="auto" w:sz="4" w:space="0"/>
              <w:left w:val="single" w:color="auto" w:sz="4" w:space="0"/>
              <w:bottom w:val="single" w:color="auto" w:sz="4" w:space="0"/>
              <w:right w:val="single" w:color="auto" w:sz="4" w:space="0"/>
            </w:tcBorders>
            <w:vAlign w:val="center"/>
          </w:tcPr>
          <w:p>
            <w:pPr>
              <w:pStyle w:val="342"/>
              <w:spacing w:before="78" w:line="219" w:lineRule="auto"/>
              <w:ind w:firstLine="224" w:firstLineChars="100"/>
              <w:rPr>
                <w:rFonts w:ascii="仿宋" w:hAnsi="仿宋" w:eastAsia="仿宋" w:cs="仿宋"/>
              </w:rPr>
            </w:pPr>
            <w:r>
              <w:rPr>
                <w:rFonts w:hint="eastAsia" w:ascii="仿宋" w:hAnsi="仿宋" w:eastAsia="仿宋" w:cs="仿宋"/>
                <w:spacing w:val="-8"/>
              </w:rPr>
              <w:t>荣誉</w:t>
            </w:r>
          </w:p>
        </w:tc>
        <w:tc>
          <w:tcPr>
            <w:tcW w:w="6823" w:type="dxa"/>
            <w:tcBorders>
              <w:top w:val="single" w:color="auto" w:sz="4" w:space="0"/>
              <w:left w:val="single" w:color="auto" w:sz="4" w:space="0"/>
              <w:bottom w:val="single" w:color="auto" w:sz="4" w:space="0"/>
              <w:right w:val="single" w:color="auto" w:sz="4" w:space="0"/>
            </w:tcBorders>
          </w:tcPr>
          <w:p>
            <w:pPr>
              <w:pStyle w:val="342"/>
              <w:spacing w:before="40" w:line="235" w:lineRule="auto"/>
              <w:ind w:left="114" w:right="103" w:firstLine="1"/>
              <w:jc w:val="both"/>
              <w:rPr>
                <w:rFonts w:ascii="仿宋" w:hAnsi="仿宋" w:eastAsia="仿宋" w:cs="仿宋"/>
              </w:rPr>
            </w:pPr>
            <w:r>
              <w:rPr>
                <w:rFonts w:hint="eastAsia" w:ascii="仿宋" w:hAnsi="仿宋" w:eastAsia="仿宋" w:cs="仿宋"/>
                <w:spacing w:val="5"/>
              </w:rPr>
              <w:t>投标人获得</w:t>
            </w:r>
            <w:r>
              <w:rPr>
                <w:rFonts w:hint="eastAsia" w:ascii="仿宋" w:hAnsi="仿宋" w:eastAsia="仿宋" w:cs="仿宋"/>
                <w:spacing w:val="5"/>
                <w:lang w:val="en-US" w:eastAsia="zh-CN"/>
              </w:rPr>
              <w:t>政府部门</w:t>
            </w:r>
            <w:r>
              <w:rPr>
                <w:rFonts w:hint="eastAsia" w:ascii="仿宋" w:hAnsi="仿宋" w:eastAsia="仿宋" w:cs="仿宋"/>
                <w:spacing w:val="5"/>
              </w:rPr>
              <w:t>颁发</w:t>
            </w:r>
            <w:r>
              <w:rPr>
                <w:rFonts w:hint="eastAsia" w:ascii="仿宋" w:hAnsi="仿宋" w:eastAsia="仿宋" w:cs="仿宋"/>
              </w:rPr>
              <w:t>的市政设施管道类养护荣誉，每个得3分，最高得3分；</w:t>
            </w:r>
          </w:p>
          <w:p>
            <w:pPr>
              <w:pStyle w:val="342"/>
              <w:spacing w:before="40" w:line="235" w:lineRule="auto"/>
              <w:ind w:left="114" w:right="103" w:firstLine="1"/>
              <w:jc w:val="both"/>
              <w:rPr>
                <w:rFonts w:ascii="仿宋" w:hAnsi="仿宋" w:eastAsia="仿宋" w:cs="仿宋"/>
              </w:rPr>
            </w:pPr>
            <w:r>
              <w:rPr>
                <w:rFonts w:hint="eastAsia" w:ascii="仿宋" w:hAnsi="仿宋" w:eastAsia="仿宋" w:cs="仿宋"/>
                <w:b/>
                <w:bCs/>
                <w:spacing w:val="-1"/>
              </w:rPr>
              <w:t>（投标文件需包含复印件加盖公章，否则不予认可）</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4</w:t>
            </w:r>
          </w:p>
        </w:tc>
        <w:tc>
          <w:tcPr>
            <w:tcW w:w="1157" w:type="dxa"/>
            <w:tcBorders>
              <w:top w:val="single" w:color="auto" w:sz="4" w:space="0"/>
              <w:left w:val="single" w:color="auto" w:sz="4" w:space="0"/>
              <w:bottom w:val="single" w:color="auto" w:sz="4" w:space="0"/>
              <w:right w:val="single" w:color="auto" w:sz="4" w:space="0"/>
            </w:tcBorders>
            <w:vAlign w:val="center"/>
          </w:tcPr>
          <w:p>
            <w:pPr>
              <w:pStyle w:val="342"/>
              <w:spacing w:before="36" w:line="233" w:lineRule="auto"/>
              <w:ind w:left="113" w:right="103" w:firstLine="17"/>
              <w:jc w:val="center"/>
              <w:rPr>
                <w:rFonts w:ascii="仿宋" w:hAnsi="仿宋" w:eastAsia="仿宋" w:cs="仿宋"/>
                <w:spacing w:val="-1"/>
              </w:rPr>
            </w:pPr>
          </w:p>
          <w:p>
            <w:pPr>
              <w:pStyle w:val="342"/>
              <w:spacing w:before="36" w:line="233" w:lineRule="auto"/>
              <w:ind w:left="113" w:right="103" w:firstLine="17"/>
              <w:jc w:val="center"/>
              <w:rPr>
                <w:rFonts w:ascii="仿宋" w:hAnsi="仿宋" w:eastAsia="仿宋" w:cs="仿宋"/>
                <w:spacing w:val="-1"/>
              </w:rPr>
            </w:pPr>
            <w:r>
              <w:rPr>
                <w:rFonts w:hint="eastAsia" w:ascii="仿宋" w:hAnsi="仿宋" w:eastAsia="仿宋" w:cs="仿宋"/>
                <w:spacing w:val="-1"/>
              </w:rPr>
              <w:t>人员配 备</w:t>
            </w:r>
          </w:p>
        </w:tc>
        <w:tc>
          <w:tcPr>
            <w:tcW w:w="6823" w:type="dxa"/>
            <w:tcBorders>
              <w:top w:val="single" w:color="auto" w:sz="4" w:space="0"/>
              <w:left w:val="single" w:color="auto" w:sz="4" w:space="0"/>
              <w:bottom w:val="single" w:color="auto" w:sz="4" w:space="0"/>
              <w:right w:val="single" w:color="auto" w:sz="4" w:space="0"/>
            </w:tcBorders>
          </w:tcPr>
          <w:p>
            <w:pPr>
              <w:pStyle w:val="342"/>
              <w:spacing w:before="36" w:line="233" w:lineRule="auto"/>
              <w:ind w:left="113" w:right="103" w:firstLine="17"/>
              <w:rPr>
                <w:rFonts w:ascii="仿宋" w:hAnsi="仿宋" w:eastAsia="仿宋" w:cs="仿宋"/>
                <w:spacing w:val="-1"/>
              </w:rPr>
            </w:pPr>
            <w:r>
              <w:rPr>
                <w:rFonts w:hint="eastAsia" w:ascii="仿宋" w:hAnsi="仿宋" w:eastAsia="仿宋" w:cs="仿宋"/>
                <w:spacing w:val="-1"/>
              </w:rPr>
              <w:t>项目组成员：①具有机电类专业高级及以上职称或市政公用工程高级及以上职称或市政给排水高级职称及以上证书的，每个得 2 分，最多得 2 分；②有毒有害有限空间作业或水下有限空间操作员相关上岗资格证每个得 2 分，最多得 4</w:t>
            </w:r>
            <w:r>
              <w:rPr>
                <w:rFonts w:hint="eastAsia" w:ascii="仿宋" w:hAnsi="仿宋" w:eastAsia="仿宋" w:cs="仿宋"/>
                <w:b/>
                <w:bCs/>
                <w:spacing w:val="-1"/>
              </w:rPr>
              <w:t xml:space="preserve"> 分；③</w:t>
            </w:r>
            <w:r>
              <w:rPr>
                <w:rFonts w:hint="eastAsia" w:ascii="仿宋" w:hAnsi="仿宋" w:eastAsia="仿宋" w:cs="仿宋"/>
                <w:spacing w:val="-1"/>
              </w:rPr>
              <w:t>持管道工上岗证或配备下水道</w:t>
            </w:r>
            <w:r>
              <w:rPr>
                <w:rFonts w:hint="eastAsia" w:ascii="仿宋" w:hAnsi="仿宋" w:eastAsia="仿宋" w:cs="仿宋"/>
                <w:color w:val="auto"/>
                <w:spacing w:val="-1"/>
              </w:rPr>
              <w:t>养护工证书的 1 分，最 多得 3 分；④安全员需持有安全员证（C 证），每个得 1 分， 最多得 2 分；</w:t>
            </w:r>
            <w:r>
              <w:rPr>
                <w:rFonts w:hint="eastAsia" w:ascii="仿宋" w:hAnsi="仿宋" w:eastAsia="仿宋" w:cs="仿宋"/>
                <w:color w:val="auto"/>
              </w:rPr>
              <w:t>⑤承诺所投标项应急班组不得少于10人，最多得</w:t>
            </w:r>
            <w:r>
              <w:rPr>
                <w:rFonts w:ascii="仿宋" w:hAnsi="仿宋" w:eastAsia="仿宋" w:cs="仿宋"/>
                <w:color w:val="auto"/>
              </w:rPr>
              <w:t>2</w:t>
            </w:r>
            <w:r>
              <w:rPr>
                <w:rFonts w:hint="eastAsia" w:ascii="仿宋" w:hAnsi="仿宋" w:eastAsia="仿宋" w:cs="仿宋"/>
                <w:color w:val="auto"/>
              </w:rPr>
              <w:t>分。承诺得分，不满足或不承诺不得分。投标文件中提供相应承诺及个人社保缴纳证明复印件或扫</w:t>
            </w:r>
            <w:r>
              <w:rPr>
                <w:rFonts w:hint="eastAsia" w:ascii="仿宋" w:hAnsi="仿宋" w:eastAsia="仿宋" w:cs="仿宋"/>
              </w:rPr>
              <w:t>描打印件，否则不得分。）</w:t>
            </w:r>
            <w:r>
              <w:rPr>
                <w:rFonts w:hint="eastAsia" w:ascii="仿宋" w:hAnsi="仿宋" w:eastAsia="仿宋" w:cs="仿宋"/>
                <w:spacing w:val="-1"/>
              </w:rPr>
              <w:t>本项目最高得 13 分。</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ascii="仿宋" w:hAnsi="仿宋" w:eastAsia="仿宋" w:cs="仿宋"/>
                <w:sz w:val="24"/>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5</w:t>
            </w:r>
          </w:p>
        </w:tc>
        <w:tc>
          <w:tcPr>
            <w:tcW w:w="1157" w:type="dxa"/>
            <w:tcBorders>
              <w:top w:val="single" w:color="auto" w:sz="4" w:space="0"/>
              <w:left w:val="single" w:color="auto" w:sz="4" w:space="0"/>
              <w:bottom w:val="single" w:color="auto" w:sz="4" w:space="0"/>
              <w:right w:val="single" w:color="auto" w:sz="4" w:space="0"/>
            </w:tcBorders>
            <w:vAlign w:val="center"/>
          </w:tcPr>
          <w:p>
            <w:pPr>
              <w:pStyle w:val="342"/>
              <w:spacing w:before="36" w:line="233" w:lineRule="auto"/>
              <w:ind w:left="113" w:right="103" w:firstLine="17"/>
              <w:jc w:val="center"/>
              <w:rPr>
                <w:rFonts w:ascii="仿宋" w:hAnsi="仿宋" w:eastAsia="仿宋" w:cs="仿宋"/>
                <w:spacing w:val="-1"/>
              </w:rPr>
            </w:pPr>
            <w:r>
              <w:rPr>
                <w:rFonts w:hint="eastAsia" w:ascii="仿宋" w:hAnsi="仿宋" w:eastAsia="仿宋" w:cs="仿宋"/>
                <w:spacing w:val="-1"/>
              </w:rPr>
              <w:t>业绩</w:t>
            </w:r>
          </w:p>
        </w:tc>
        <w:tc>
          <w:tcPr>
            <w:tcW w:w="6823" w:type="dxa"/>
            <w:tcBorders>
              <w:top w:val="single" w:color="auto" w:sz="4" w:space="0"/>
              <w:left w:val="single" w:color="auto" w:sz="4" w:space="0"/>
              <w:bottom w:val="single" w:color="auto" w:sz="4" w:space="0"/>
              <w:right w:val="single" w:color="auto" w:sz="4" w:space="0"/>
            </w:tcBorders>
          </w:tcPr>
          <w:p>
            <w:pPr>
              <w:pStyle w:val="342"/>
              <w:spacing w:before="36" w:line="233" w:lineRule="auto"/>
              <w:ind w:left="113" w:right="103" w:firstLine="17"/>
              <w:rPr>
                <w:rFonts w:ascii="仿宋" w:hAnsi="仿宋" w:eastAsia="仿宋" w:cs="仿宋"/>
                <w:spacing w:val="-1"/>
              </w:rPr>
            </w:pPr>
            <w:r>
              <w:rPr>
                <w:rFonts w:hint="eastAsia" w:ascii="仿宋" w:hAnsi="仿宋" w:eastAsia="仿宋" w:cs="仿宋"/>
                <w:spacing w:val="-1"/>
              </w:rPr>
              <w:t>类似项目实施业绩：投标单位自 2020 年1月1日（以合  同签订时间为准）以来承接过市政雨污水管道养护项目或污水设施运维项目1个得0.5分，最高得1分。</w:t>
            </w:r>
          </w:p>
          <w:p>
            <w:pPr>
              <w:pStyle w:val="342"/>
              <w:spacing w:before="36" w:line="233" w:lineRule="auto"/>
              <w:ind w:left="113" w:right="103" w:firstLine="17"/>
              <w:rPr>
                <w:rFonts w:ascii="仿宋" w:hAnsi="仿宋" w:eastAsia="仿宋" w:cs="仿宋"/>
                <w:spacing w:val="-1"/>
              </w:rPr>
            </w:pPr>
            <w:r>
              <w:rPr>
                <w:rFonts w:hint="eastAsia" w:ascii="仿宋" w:hAnsi="仿宋" w:eastAsia="仿宋" w:cs="仿宋"/>
                <w:b/>
                <w:bCs/>
                <w:spacing w:val="-1"/>
              </w:rPr>
              <w:t>投标文件需包含证明材料（中标通知书和合同）复印件加盖公章， 否则不予认可。以上业绩不重复得分。</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ascii="仿宋" w:hAnsi="仿宋" w:eastAsia="仿宋" w:cs="仿宋"/>
                <w:sz w:val="24"/>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ascii="仿宋" w:hAnsi="仿宋" w:eastAsia="仿宋" w:cs="仿宋"/>
                <w:sz w:val="24"/>
              </w:rPr>
              <w:t>6</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pacing w:val="-1"/>
                <w:sz w:val="24"/>
              </w:rPr>
            </w:pPr>
            <w:r>
              <w:rPr>
                <w:rFonts w:hint="eastAsia" w:ascii="仿宋" w:hAnsi="仿宋" w:eastAsia="仿宋" w:cs="仿宋"/>
                <w:kern w:val="0"/>
                <w:sz w:val="24"/>
                <w:lang w:bidi="ar"/>
              </w:rPr>
              <w:t>反应速度</w:t>
            </w: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
                <w:bCs/>
                <w:spacing w:val="-1"/>
                <w:sz w:val="24"/>
              </w:rPr>
            </w:pPr>
            <w:r>
              <w:rPr>
                <w:rFonts w:hint="eastAsia" w:ascii="仿宋" w:hAnsi="仿宋" w:eastAsia="仿宋" w:cs="仿宋"/>
                <w:kern w:val="0"/>
                <w:sz w:val="24"/>
                <w:lang w:bidi="ar"/>
              </w:rPr>
              <w:t>投标人承诺响应及到达现场时间在20分钟以内，得2分；投标人承诺整改内容在24小时以内完成并回复的得3分，</w:t>
            </w:r>
            <w:r>
              <w:rPr>
                <w:rFonts w:hint="eastAsia" w:ascii="仿宋" w:hAnsi="仿宋" w:eastAsia="仿宋" w:cs="仿宋"/>
                <w:sz w:val="24"/>
              </w:rPr>
              <w:t>本项目最高得5分；不承诺不得分。（格式自拟）</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color w:val="FF0000"/>
                <w:sz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511"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sz w:val="24"/>
              </w:rPr>
            </w:pPr>
            <w:r>
              <w:rPr>
                <w:rFonts w:ascii="仿宋" w:hAnsi="仿宋" w:eastAsia="仿宋" w:cs="仿宋"/>
                <w:sz w:val="24"/>
              </w:rPr>
              <w:t>7</w:t>
            </w:r>
          </w:p>
        </w:tc>
        <w:tc>
          <w:tcPr>
            <w:tcW w:w="1157"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spacing w:val="-1"/>
                <w:sz w:val="24"/>
              </w:rPr>
            </w:pPr>
            <w:r>
              <w:rPr>
                <w:rFonts w:hint="eastAsia" w:ascii="仿宋" w:hAnsi="仿宋" w:eastAsia="仿宋" w:cs="仿宋"/>
                <w:sz w:val="24"/>
              </w:rPr>
              <w:t>项目实施方案</w:t>
            </w: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
                <w:bCs/>
                <w:spacing w:val="-1"/>
                <w:sz w:val="24"/>
              </w:rPr>
            </w:pPr>
            <w:r>
              <w:rPr>
                <w:rFonts w:hint="eastAsia" w:ascii="仿宋" w:hAnsi="仿宋" w:eastAsia="仿宋" w:cs="仿宋"/>
                <w:sz w:val="24"/>
              </w:rPr>
              <w:t>实施方案科学合理，切实可行，内容完整准确，思路清晰的得5分；较为科学合理，切实可行，内容较为完整准确，思路比较清晰的得3分；方案内容有欠缺或缺陷，思路存在偏差的得1分；方案内容不符合要求或未提供不得分。</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5分</w:t>
            </w:r>
          </w:p>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1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157"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pacing w:val="-1"/>
                <w:sz w:val="24"/>
              </w:rPr>
            </w:pP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
                <w:bCs/>
                <w:spacing w:val="-1"/>
                <w:sz w:val="24"/>
              </w:rPr>
            </w:pPr>
            <w:r>
              <w:rPr>
                <w:rFonts w:hint="eastAsia" w:ascii="仿宋" w:hAnsi="仿宋" w:eastAsia="仿宋" w:cs="仿宋"/>
                <w:sz w:val="24"/>
              </w:rPr>
              <w:t xml:space="preserve">管道维护管理制度及进度方案内容全面且详细具体，具有可执行性的得5分；管道维护管理制度及进度方案内容较为全面、详细具体，较有可执行性的得3分；管道维护管理制度及进度方案有欠缺或缺陷的得1分；管道维护管理制度及进度方案不符合要求或未提供不得分。 </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1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157"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pacing w:val="-1"/>
                <w:sz w:val="24"/>
              </w:rPr>
            </w:pP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b/>
                <w:bCs/>
                <w:spacing w:val="-1"/>
                <w:sz w:val="24"/>
              </w:rPr>
            </w:pPr>
            <w:r>
              <w:rPr>
                <w:rFonts w:hint="eastAsia" w:ascii="仿宋" w:hAnsi="仿宋" w:eastAsia="仿宋" w:cs="仿宋"/>
                <w:sz w:val="24"/>
              </w:rPr>
              <w:t>岗位职责明确、科学合理，工作流程详细具体，内部考核办法细致有效的得</w:t>
            </w:r>
            <w:r>
              <w:rPr>
                <w:rFonts w:ascii="仿宋" w:hAnsi="仿宋" w:eastAsia="仿宋" w:cs="仿宋"/>
                <w:sz w:val="24"/>
              </w:rPr>
              <w:t>5</w:t>
            </w:r>
            <w:r>
              <w:rPr>
                <w:rFonts w:hint="eastAsia" w:ascii="仿宋" w:hAnsi="仿宋" w:eastAsia="仿宋" w:cs="仿宋"/>
                <w:sz w:val="24"/>
              </w:rPr>
              <w:t xml:space="preserve">分；岗位职责较为明确、科学合理、工作流程较为详细具体，内部考核办法较为细致有效的得3分；主要岗位职责、工作流程及内部考核办法内容有欠缺或缺陷的得1分；内容不符合要求或未提供不得分。     </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ascii="仿宋" w:hAnsi="仿宋" w:eastAsia="仿宋" w:cs="仿宋"/>
                <w:sz w:val="24"/>
              </w:rPr>
              <w:t>8</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pacing w:val="-1"/>
                <w:sz w:val="24"/>
              </w:rPr>
            </w:pPr>
            <w:r>
              <w:rPr>
                <w:rFonts w:hint="eastAsia" w:ascii="仿宋" w:hAnsi="仿宋" w:eastAsia="仿宋" w:cs="仿宋"/>
                <w:sz w:val="24"/>
              </w:rPr>
              <w:t>应急预案</w:t>
            </w: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
                <w:bCs/>
                <w:spacing w:val="-1"/>
                <w:sz w:val="24"/>
              </w:rPr>
            </w:pPr>
            <w:r>
              <w:rPr>
                <w:rFonts w:hint="eastAsia" w:ascii="仿宋" w:hAnsi="仿宋" w:eastAsia="仿宋" w:cs="仿宋"/>
                <w:sz w:val="24"/>
              </w:rPr>
              <w:t>投标人针对本项目的突发应急事件（强降雨时道路积水、管道破损、下沉、设备故障应急处理等）的处理预案科学合理、及时有效的得5分；较为科学合理、及时有效的得3分；方案内容有欠缺或有缺陷的</w:t>
            </w:r>
            <w:r>
              <w:rPr>
                <w:rFonts w:hint="eastAsia" w:ascii="仿宋" w:hAnsi="仿宋" w:eastAsia="仿宋" w:cs="仿宋"/>
                <w:kern w:val="0"/>
                <w:sz w:val="24"/>
                <w:lang w:bidi="ar"/>
              </w:rPr>
              <w:t>得1分；</w:t>
            </w:r>
            <w:r>
              <w:rPr>
                <w:rFonts w:hint="eastAsia" w:ascii="仿宋" w:hAnsi="仿宋" w:eastAsia="仿宋" w:cs="仿宋"/>
                <w:sz w:val="24"/>
              </w:rPr>
              <w:t>方案内容不符合要求或未提供不得分。</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ascii="仿宋" w:hAnsi="仿宋" w:eastAsia="仿宋" w:cs="仿宋"/>
                <w:sz w:val="24"/>
              </w:rPr>
              <w:t>9</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pacing w:val="-1"/>
                <w:sz w:val="24"/>
              </w:rPr>
            </w:pPr>
            <w:r>
              <w:rPr>
                <w:rFonts w:hint="eastAsia" w:ascii="仿宋" w:hAnsi="仿宋" w:eastAsia="仿宋" w:cs="仿宋"/>
                <w:sz w:val="24"/>
              </w:rPr>
              <w:t>技术措施</w:t>
            </w: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
                <w:bCs/>
                <w:spacing w:val="-1"/>
                <w:sz w:val="24"/>
              </w:rPr>
            </w:pPr>
            <w:r>
              <w:rPr>
                <w:rFonts w:hint="eastAsia" w:ascii="仿宋" w:hAnsi="仿宋" w:eastAsia="仿宋" w:cs="仿宋"/>
                <w:sz w:val="24"/>
              </w:rPr>
              <w:t>技术</w:t>
            </w:r>
            <w:r>
              <w:rPr>
                <w:rFonts w:hint="eastAsia" w:ascii="仿宋" w:hAnsi="仿宋" w:eastAsia="仿宋" w:cs="仿宋"/>
                <w:kern w:val="0"/>
                <w:sz w:val="24"/>
              </w:rPr>
              <w:t>施工保证措施</w:t>
            </w:r>
            <w:r>
              <w:rPr>
                <w:rFonts w:hint="eastAsia" w:ascii="仿宋" w:hAnsi="仿宋" w:eastAsia="仿宋" w:cs="仿宋"/>
                <w:color w:val="000000"/>
                <w:kern w:val="0"/>
                <w:sz w:val="24"/>
                <w:lang w:bidi="ar"/>
              </w:rPr>
              <w:t>切合本项目采购需求，针对性、操作性强，计划安排科学合理的得5分；</w:t>
            </w:r>
            <w:r>
              <w:rPr>
                <w:rFonts w:hint="eastAsia" w:ascii="仿宋" w:hAnsi="仿宋" w:eastAsia="仿宋" w:cs="仿宋"/>
                <w:sz w:val="24"/>
              </w:rPr>
              <w:t>技术</w:t>
            </w:r>
            <w:r>
              <w:rPr>
                <w:rFonts w:hint="eastAsia" w:ascii="仿宋" w:hAnsi="仿宋" w:eastAsia="仿宋" w:cs="仿宋"/>
                <w:kern w:val="0"/>
                <w:sz w:val="24"/>
              </w:rPr>
              <w:t>施工保证措施</w:t>
            </w:r>
            <w:r>
              <w:rPr>
                <w:rFonts w:hint="eastAsia" w:ascii="仿宋" w:hAnsi="仿宋" w:eastAsia="仿宋" w:cs="仿宋"/>
                <w:color w:val="000000"/>
                <w:kern w:val="0"/>
                <w:sz w:val="24"/>
                <w:lang w:bidi="ar"/>
              </w:rPr>
              <w:t>较为切合本项目采购需求，针对性、操作性较强，计划安排较为科学合理的得3分；</w:t>
            </w:r>
            <w:r>
              <w:rPr>
                <w:rFonts w:hint="eastAsia" w:ascii="仿宋" w:hAnsi="仿宋" w:eastAsia="仿宋" w:cs="仿宋"/>
                <w:sz w:val="24"/>
              </w:rPr>
              <w:t>技术</w:t>
            </w:r>
            <w:r>
              <w:rPr>
                <w:rFonts w:hint="eastAsia" w:ascii="仿宋" w:hAnsi="仿宋" w:eastAsia="仿宋" w:cs="仿宋"/>
                <w:kern w:val="0"/>
                <w:sz w:val="24"/>
              </w:rPr>
              <w:t>施工保证措施</w:t>
            </w:r>
            <w:r>
              <w:rPr>
                <w:rFonts w:hint="eastAsia" w:ascii="仿宋" w:hAnsi="仿宋" w:eastAsia="仿宋" w:cs="仿宋"/>
                <w:color w:val="000000"/>
                <w:kern w:val="0"/>
                <w:sz w:val="24"/>
                <w:lang w:bidi="ar"/>
              </w:rPr>
              <w:t>与本项目切合度一般，针对性、操作性一般，计划安排一般的得1分；</w:t>
            </w:r>
            <w:r>
              <w:rPr>
                <w:rFonts w:hint="eastAsia" w:ascii="仿宋" w:hAnsi="仿宋" w:eastAsia="仿宋" w:cs="仿宋"/>
                <w:sz w:val="24"/>
              </w:rPr>
              <w:t>内容不符合要求或未提供不得分。</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质量措施</w:t>
            </w: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kern w:val="0"/>
                <w:sz w:val="24"/>
              </w:rPr>
              <w:t>施工质量保证措施</w:t>
            </w:r>
            <w:r>
              <w:rPr>
                <w:rFonts w:hint="eastAsia" w:ascii="仿宋" w:hAnsi="仿宋" w:eastAsia="仿宋" w:cs="仿宋"/>
                <w:color w:val="000000"/>
                <w:kern w:val="0"/>
                <w:sz w:val="24"/>
                <w:lang w:bidi="ar"/>
              </w:rPr>
              <w:t>切合本项目采购需求，针对性、操作性强，计划安排科学合理的得5分；</w:t>
            </w:r>
            <w:r>
              <w:rPr>
                <w:rFonts w:hint="eastAsia" w:ascii="仿宋" w:hAnsi="仿宋" w:eastAsia="仿宋" w:cs="仿宋"/>
                <w:kern w:val="0"/>
                <w:sz w:val="24"/>
              </w:rPr>
              <w:t>施工质量保证措施</w:t>
            </w:r>
            <w:r>
              <w:rPr>
                <w:rFonts w:hint="eastAsia" w:ascii="仿宋" w:hAnsi="仿宋" w:eastAsia="仿宋" w:cs="仿宋"/>
                <w:color w:val="000000"/>
                <w:kern w:val="0"/>
                <w:sz w:val="24"/>
                <w:lang w:bidi="ar"/>
              </w:rPr>
              <w:t>较为切合本项目采购需求，针对性、操作性较强，计划安排较为科学合理的得3分；</w:t>
            </w:r>
            <w:r>
              <w:rPr>
                <w:rFonts w:hint="eastAsia" w:ascii="仿宋" w:hAnsi="仿宋" w:eastAsia="仿宋" w:cs="仿宋"/>
                <w:kern w:val="0"/>
                <w:sz w:val="24"/>
              </w:rPr>
              <w:t>施工质量保证措施</w:t>
            </w:r>
            <w:r>
              <w:rPr>
                <w:rFonts w:hint="eastAsia" w:ascii="仿宋" w:hAnsi="仿宋" w:eastAsia="仿宋" w:cs="仿宋"/>
                <w:color w:val="000000"/>
                <w:kern w:val="0"/>
                <w:sz w:val="24"/>
                <w:lang w:bidi="ar"/>
              </w:rPr>
              <w:t>与本项目切合度一般，针对性、操作性一般，计划安排一般的得1分；</w:t>
            </w:r>
            <w:r>
              <w:rPr>
                <w:rFonts w:hint="eastAsia" w:ascii="仿宋" w:hAnsi="仿宋" w:eastAsia="仿宋" w:cs="仿宋"/>
                <w:sz w:val="24"/>
              </w:rPr>
              <w:t>内容不符合要求或未提供不得分。</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安全文明养护措施</w:t>
            </w: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安全文明养护措施</w:t>
            </w:r>
            <w:r>
              <w:rPr>
                <w:rFonts w:hint="eastAsia" w:ascii="仿宋" w:hAnsi="仿宋" w:eastAsia="仿宋" w:cs="仿宋"/>
                <w:color w:val="000000"/>
                <w:kern w:val="0"/>
                <w:sz w:val="24"/>
                <w:lang w:bidi="ar"/>
              </w:rPr>
              <w:t>切合本项目采购需求，针对性、操作性强，计划安排科学合理的得5分；</w:t>
            </w:r>
            <w:r>
              <w:rPr>
                <w:rFonts w:hint="eastAsia" w:ascii="仿宋" w:hAnsi="仿宋" w:eastAsia="仿宋" w:cs="仿宋"/>
                <w:sz w:val="24"/>
              </w:rPr>
              <w:t>安全文明养护措施</w:t>
            </w:r>
            <w:r>
              <w:rPr>
                <w:rFonts w:hint="eastAsia" w:ascii="仿宋" w:hAnsi="仿宋" w:eastAsia="仿宋" w:cs="仿宋"/>
                <w:color w:val="000000"/>
                <w:kern w:val="0"/>
                <w:sz w:val="24"/>
                <w:lang w:bidi="ar"/>
              </w:rPr>
              <w:t>较为切合本项目采购需求，针对性、操作性较强，计划安排较为科学合理的得3分；</w:t>
            </w:r>
            <w:r>
              <w:rPr>
                <w:rFonts w:hint="eastAsia" w:ascii="仿宋" w:hAnsi="仿宋" w:eastAsia="仿宋" w:cs="仿宋"/>
                <w:sz w:val="24"/>
              </w:rPr>
              <w:t>安全文明养护措施</w:t>
            </w:r>
            <w:r>
              <w:rPr>
                <w:rFonts w:hint="eastAsia" w:ascii="仿宋" w:hAnsi="仿宋" w:eastAsia="仿宋" w:cs="仿宋"/>
                <w:color w:val="000000"/>
                <w:kern w:val="0"/>
                <w:sz w:val="24"/>
                <w:lang w:bidi="ar"/>
              </w:rPr>
              <w:t>与本项目切合度一般，针对性、操作性一般，计划安排一般的得1分；</w:t>
            </w:r>
            <w:r>
              <w:rPr>
                <w:rFonts w:hint="eastAsia" w:ascii="仿宋" w:hAnsi="仿宋" w:eastAsia="仿宋" w:cs="仿宋"/>
                <w:sz w:val="24"/>
              </w:rPr>
              <w:t>内容不符合要求或未提供不得分。</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1"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sz w:val="24"/>
                <w:lang w:bidi="ar"/>
              </w:rPr>
            </w:pPr>
            <w:r>
              <w:rPr>
                <w:rFonts w:ascii="仿宋" w:hAnsi="仿宋" w:eastAsia="仿宋" w:cs="仿宋"/>
                <w:color w:val="000000"/>
                <w:kern w:val="0"/>
                <w:sz w:val="24"/>
                <w:lang w:bidi="ar"/>
              </w:rPr>
              <w:t>12</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管理制度</w:t>
            </w: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管理制度方案是否符合本项目的其针对性、操作性制度方案符合的得5分，管理制度方案是否符合本项目的其针对性、操作性制度方案较为符合的得3分，管理制度方案是否符合本项目的其针对性、操作性制度方案一般的得1分。</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color w:val="000000"/>
                <w:kern w:val="0"/>
                <w:sz w:val="24"/>
                <w:lang w:bidi="ar"/>
              </w:rPr>
              <w:t>巡查机制</w:t>
            </w: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kern w:val="0"/>
                <w:sz w:val="24"/>
              </w:rPr>
            </w:pPr>
            <w:r>
              <w:rPr>
                <w:rFonts w:hint="eastAsia" w:ascii="仿宋" w:hAnsi="仿宋" w:eastAsia="仿宋" w:cs="仿宋"/>
                <w:color w:val="000000"/>
                <w:kern w:val="0"/>
                <w:sz w:val="24"/>
                <w:lang w:bidi="ar"/>
              </w:rPr>
              <w:t>养护巡查机制是否符合本项目的其针对性、操作性制度方案符合的得5分，养护巡查机制是否符合本项目的其针对性、操作性制度方案较为符合的得3分，养护巡查机制是否符合本项目的其针对性、操作性制度方案一般的得1分。</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ascii="仿宋" w:hAnsi="仿宋" w:eastAsia="仿宋" w:cs="仿宋"/>
                <w:sz w:val="24"/>
              </w:rPr>
              <w:t>14</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pacing w:val="-1"/>
                <w:sz w:val="24"/>
              </w:rPr>
            </w:pPr>
            <w:r>
              <w:rPr>
                <w:rFonts w:hint="eastAsia" w:ascii="仿宋" w:hAnsi="仿宋" w:eastAsia="仿宋" w:cs="仿宋"/>
                <w:sz w:val="24"/>
              </w:rPr>
              <w:t>合理化建议</w:t>
            </w:r>
          </w:p>
        </w:tc>
        <w:tc>
          <w:tcPr>
            <w:tcW w:w="68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
                <w:bCs/>
                <w:spacing w:val="-1"/>
                <w:sz w:val="24"/>
              </w:rPr>
            </w:pPr>
            <w:bookmarkStart w:id="521" w:name="_GoBack"/>
            <w:r>
              <w:rPr>
                <w:rFonts w:hint="eastAsia" w:ascii="仿宋" w:hAnsi="仿宋" w:eastAsia="仿宋" w:cs="仿宋"/>
                <w:kern w:val="0"/>
                <w:sz w:val="24"/>
              </w:rPr>
              <w:t>合理化建议：科学、合理、有针对性</w:t>
            </w:r>
            <w:r>
              <w:rPr>
                <w:rFonts w:hint="eastAsia" w:ascii="仿宋" w:hAnsi="仿宋" w:eastAsia="仿宋" w:cs="仿宋"/>
                <w:sz w:val="24"/>
              </w:rPr>
              <w:t>得</w:t>
            </w:r>
            <w:r>
              <w:rPr>
                <w:rFonts w:ascii="仿宋" w:hAnsi="仿宋" w:eastAsia="仿宋" w:cs="仿宋"/>
                <w:sz w:val="24"/>
              </w:rPr>
              <w:t>5</w:t>
            </w:r>
            <w:r>
              <w:rPr>
                <w:rFonts w:hint="eastAsia" w:ascii="仿宋" w:hAnsi="仿宋" w:eastAsia="仿宋" w:cs="仿宋"/>
                <w:sz w:val="24"/>
              </w:rPr>
              <w:t>分，基本可行得</w:t>
            </w:r>
            <w:r>
              <w:rPr>
                <w:rFonts w:ascii="仿宋" w:hAnsi="仿宋" w:eastAsia="仿宋" w:cs="仿宋"/>
                <w:sz w:val="24"/>
              </w:rPr>
              <w:t>3</w:t>
            </w:r>
            <w:r>
              <w:rPr>
                <w:rFonts w:hint="eastAsia" w:ascii="仿宋" w:hAnsi="仿宋" w:eastAsia="仿宋" w:cs="仿宋"/>
                <w:sz w:val="24"/>
              </w:rPr>
              <w:t>分，一般可行得1份，不符合不得分。</w:t>
            </w:r>
            <w:bookmarkEnd w:id="521"/>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ascii="仿宋" w:hAnsi="仿宋" w:eastAsia="仿宋" w:cs="仿宋"/>
                <w:color w:val="FF0000"/>
                <w:sz w:val="24"/>
              </w:rPr>
              <w:t>5</w:t>
            </w:r>
            <w:r>
              <w:rPr>
                <w:rFonts w:hint="eastAsia" w:ascii="仿宋" w:hAnsi="仿宋" w:eastAsia="仿宋" w:cs="仿宋"/>
                <w:color w:val="FF000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ascii="仿宋" w:hAnsi="仿宋" w:eastAsia="仿宋" w:cs="仿宋"/>
                <w:sz w:val="24"/>
              </w:rPr>
              <w:t>15</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报价</w:t>
            </w:r>
          </w:p>
        </w:tc>
        <w:tc>
          <w:tcPr>
            <w:tcW w:w="6823" w:type="dxa"/>
            <w:tcBorders>
              <w:top w:val="single" w:color="auto" w:sz="4" w:space="0"/>
              <w:left w:val="single" w:color="auto" w:sz="4" w:space="0"/>
              <w:bottom w:val="single" w:color="auto" w:sz="4" w:space="0"/>
              <w:right w:val="single" w:color="auto" w:sz="4" w:space="0"/>
            </w:tcBorders>
          </w:tcPr>
          <w:p>
            <w:pPr>
              <w:spacing w:line="440" w:lineRule="exact"/>
              <w:jc w:val="left"/>
              <w:rPr>
                <w:rFonts w:ascii="仿宋" w:hAnsi="仿宋" w:eastAsia="仿宋" w:cs="仿宋"/>
                <w:kern w:val="0"/>
                <w:sz w:val="24"/>
              </w:rPr>
            </w:pPr>
            <w:r>
              <w:rPr>
                <w:rFonts w:hint="eastAsia" w:ascii="仿宋" w:hAnsi="仿宋" w:eastAsia="仿宋" w:cs="仿宋"/>
                <w:kern w:val="0"/>
                <w:sz w:val="24"/>
              </w:rPr>
              <w:t>有效投标报价的最低价作为评标基准价，其最低报价为满分；按［投标报价得分=（评标基准价/投标报价）*10］的计算公式计算。</w:t>
            </w:r>
          </w:p>
          <w:p>
            <w:pPr>
              <w:spacing w:line="440" w:lineRule="exact"/>
              <w:jc w:val="left"/>
              <w:rPr>
                <w:rFonts w:ascii="仿宋" w:hAnsi="仿宋" w:eastAsia="仿宋" w:cs="仿宋"/>
                <w:kern w:val="0"/>
                <w:sz w:val="24"/>
              </w:rPr>
            </w:pPr>
            <w:r>
              <w:rPr>
                <w:rFonts w:hint="eastAsia" w:ascii="仿宋" w:hAnsi="仿宋" w:eastAsia="仿宋" w:cs="仿宋"/>
                <w:kern w:val="0"/>
                <w:sz w:val="24"/>
              </w:rPr>
              <w:t>评标过程中，不得去掉报价中的最高报价和最低报价。</w:t>
            </w:r>
          </w:p>
          <w:p>
            <w:pPr>
              <w:pStyle w:val="133"/>
              <w:spacing w:before="0" w:line="440" w:lineRule="exact"/>
              <w:ind w:firstLine="0" w:firstLineChars="0"/>
              <w:rPr>
                <w:rFonts w:ascii="仿宋" w:hAnsi="仿宋" w:eastAsia="仿宋" w:cs="仿宋"/>
                <w:kern w:val="0"/>
                <w:szCs w:val="24"/>
              </w:rPr>
            </w:pPr>
            <w:r>
              <w:rPr>
                <w:rFonts w:hint="eastAsia" w:ascii="仿宋" w:hAnsi="仿宋" w:eastAsia="仿宋" w:cs="仿宋"/>
                <w:kern w:val="0"/>
                <w:szCs w:val="24"/>
              </w:rPr>
              <w:t>因落实政府采购政策需要进行价格调整的，以调整后的价格计算评标基准价和投标报价。</w:t>
            </w:r>
          </w:p>
        </w:tc>
        <w:tc>
          <w:tcPr>
            <w:tcW w:w="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bCs/>
                <w:sz w:val="24"/>
              </w:rPr>
              <w:t>10分</w:t>
            </w:r>
          </w:p>
        </w:tc>
      </w:tr>
    </w:tbl>
    <w:p>
      <w:pPr>
        <w:rPr>
          <w:rFonts w:ascii="宋体" w:hAnsi="宋体" w:cs="宋体"/>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8"/>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9"/>
    <w:p>
      <w:pPr>
        <w:spacing w:line="360" w:lineRule="auto"/>
        <w:outlineLvl w:val="0"/>
        <w:rPr>
          <w:rFonts w:ascii="宋体" w:hAnsi="宋体" w:cs="宋体"/>
          <w:b/>
          <w:sz w:val="36"/>
          <w:szCs w:val="36"/>
        </w:rPr>
      </w:pPr>
      <w:bookmarkStart w:id="395" w:name="第五部分"/>
      <w:bookmarkStart w:id="396" w:name="_Toc86217003"/>
    </w:p>
    <w:p>
      <w:pPr>
        <w:widowControl/>
        <w:adjustRightInd/>
        <w:jc w:val="left"/>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4"/>
        <w:ind w:firstLine="2843" w:firstLineChars="1180"/>
        <w:rPr>
          <w:rFonts w:ascii="宋体" w:hAnsi="宋体" w:eastAsia="宋体" w:cs="宋体"/>
          <w:b/>
          <w:szCs w:val="24"/>
        </w:rPr>
      </w:pPr>
      <w:r>
        <w:rPr>
          <w:rFonts w:hint="eastAsia" w:ascii="宋体" w:hAnsi="宋体" w:eastAsia="宋体" w:cs="宋体"/>
          <w:b/>
          <w:szCs w:val="24"/>
        </w:rPr>
        <w:t>第一部分 合同书</w:t>
      </w:r>
    </w:p>
    <w:p>
      <w:pPr>
        <w:spacing w:before="120" w:line="22" w:lineRule="atLeast"/>
        <w:rPr>
          <w:rFonts w:ascii="宋体" w:hAnsi="宋体" w:cs="宋体"/>
          <w:sz w:val="24"/>
        </w:rPr>
      </w:pPr>
    </w:p>
    <w:p>
      <w:pPr>
        <w:pStyle w:val="8"/>
        <w:rPr>
          <w:rFonts w:ascii="宋体" w:hAnsi="宋体" w:eastAsia="宋体" w:cs="宋体"/>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1"/>
        <w:spacing w:before="120" w:line="22" w:lineRule="atLeast"/>
        <w:rPr>
          <w:rFonts w:ascii="宋体" w:hAnsi="宋体" w:eastAsia="宋体" w:cs="宋体"/>
          <w:szCs w:val="24"/>
        </w:rPr>
      </w:pPr>
    </w:p>
    <w:p>
      <w:pPr>
        <w:pStyle w:val="601"/>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sz w:val="24"/>
        </w:rPr>
      </w:pPr>
      <w:bookmarkStart w:id="397" w:name="_Toc28855"/>
      <w:bookmarkStart w:id="398" w:name="_Toc15367"/>
      <w:bookmarkStart w:id="399" w:name="_Toc22967"/>
      <w:bookmarkStart w:id="400" w:name="_Toc19273"/>
      <w:bookmarkStart w:id="401" w:name="_Toc20421"/>
      <w:r>
        <w:rPr>
          <w:rFonts w:hint="eastAsia" w:ascii="宋体" w:hAnsi="宋体" w:cs="宋体"/>
          <w:b/>
          <w:sz w:val="24"/>
        </w:rPr>
        <w:t>1.1 合同组成部分</w:t>
      </w:r>
      <w:bookmarkEnd w:id="397"/>
      <w:bookmarkEnd w:id="398"/>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918"/>
      <w:bookmarkStart w:id="403" w:name="_Toc18585"/>
      <w:bookmarkStart w:id="404" w:name="_Toc6773"/>
      <w:bookmarkStart w:id="405" w:name="_Toc6311"/>
      <w:bookmarkStart w:id="406" w:name="_Toc22185"/>
      <w:r>
        <w:rPr>
          <w:rFonts w:hint="eastAsia" w:ascii="宋体" w:hAnsi="宋体" w:cs="宋体"/>
          <w:b/>
          <w:sz w:val="24"/>
        </w:rPr>
        <w:t>1.2 标的</w:t>
      </w:r>
      <w:bookmarkEnd w:id="402"/>
      <w:bookmarkEnd w:id="403"/>
      <w:bookmarkEnd w:id="404"/>
      <w:bookmarkEnd w:id="405"/>
      <w:bookmarkEnd w:id="406"/>
    </w:p>
    <w:p>
      <w:pPr>
        <w:spacing w:line="560" w:lineRule="exact"/>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（是/否）涉及货物。若涉及货物的的，则：</w:t>
      </w:r>
    </w:p>
    <w:p>
      <w:pPr>
        <w:spacing w:line="560" w:lineRule="exact"/>
        <w:ind w:firstLine="480" w:firstLineChars="200"/>
        <w:rPr>
          <w:rFonts w:ascii="宋体" w:hAnsi="宋体" w:cs="宋体"/>
          <w:sz w:val="24"/>
          <w:u w:val="single"/>
        </w:rPr>
      </w:pPr>
      <w:bookmarkStart w:id="407" w:name="_Toc13918"/>
      <w:bookmarkStart w:id="408" w:name="_Toc21124"/>
      <w:bookmarkStart w:id="409" w:name="_Toc1386"/>
      <w:bookmarkStart w:id="410" w:name="_Toc4929"/>
      <w:bookmarkStart w:id="411"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07"/>
      <w:bookmarkEnd w:id="408"/>
      <w:bookmarkEnd w:id="409"/>
      <w:bookmarkEnd w:id="410"/>
      <w:bookmarkEnd w:id="411"/>
    </w:p>
    <w:p>
      <w:pPr>
        <w:spacing w:line="560" w:lineRule="exact"/>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22"/>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pPr>
              <w:pStyle w:val="322"/>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pPr>
              <w:pStyle w:val="322"/>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s="宋体"/>
                <w:sz w:val="24"/>
                <w:szCs w:val="24"/>
              </w:rPr>
            </w:pPr>
          </w:p>
        </w:tc>
        <w:tc>
          <w:tcPr>
            <w:tcW w:w="3402" w:type="dxa"/>
            <w:vAlign w:val="center"/>
          </w:tcPr>
          <w:p>
            <w:pPr>
              <w:pStyle w:val="322"/>
              <w:spacing w:line="560" w:lineRule="exact"/>
              <w:ind w:firstLine="200"/>
              <w:jc w:val="center"/>
              <w:rPr>
                <w:rFonts w:hAnsi="宋体" w:cs="宋体"/>
                <w:sz w:val="24"/>
                <w:szCs w:val="24"/>
              </w:rPr>
            </w:pPr>
          </w:p>
        </w:tc>
        <w:tc>
          <w:tcPr>
            <w:tcW w:w="2552" w:type="dxa"/>
            <w:vAlign w:val="center"/>
          </w:tcPr>
          <w:p>
            <w:pPr>
              <w:pStyle w:val="32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s="宋体"/>
                <w:sz w:val="24"/>
                <w:szCs w:val="24"/>
              </w:rPr>
            </w:pPr>
          </w:p>
        </w:tc>
        <w:tc>
          <w:tcPr>
            <w:tcW w:w="3402" w:type="dxa"/>
            <w:vAlign w:val="center"/>
          </w:tcPr>
          <w:p>
            <w:pPr>
              <w:pStyle w:val="322"/>
              <w:spacing w:line="560" w:lineRule="exact"/>
              <w:ind w:firstLine="200"/>
              <w:jc w:val="center"/>
              <w:rPr>
                <w:rFonts w:hAnsi="宋体" w:cs="宋体"/>
                <w:sz w:val="24"/>
                <w:szCs w:val="24"/>
              </w:rPr>
            </w:pPr>
          </w:p>
        </w:tc>
        <w:tc>
          <w:tcPr>
            <w:tcW w:w="2552" w:type="dxa"/>
            <w:vAlign w:val="center"/>
          </w:tcPr>
          <w:p>
            <w:pPr>
              <w:pStyle w:val="32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s="宋体"/>
                <w:sz w:val="24"/>
                <w:szCs w:val="24"/>
              </w:rPr>
            </w:pPr>
          </w:p>
        </w:tc>
        <w:tc>
          <w:tcPr>
            <w:tcW w:w="3402" w:type="dxa"/>
            <w:vAlign w:val="center"/>
          </w:tcPr>
          <w:p>
            <w:pPr>
              <w:pStyle w:val="322"/>
              <w:spacing w:line="560" w:lineRule="exact"/>
              <w:ind w:firstLine="200"/>
              <w:jc w:val="center"/>
              <w:rPr>
                <w:rFonts w:hAnsi="宋体" w:cs="宋体"/>
                <w:sz w:val="24"/>
                <w:szCs w:val="24"/>
              </w:rPr>
            </w:pPr>
          </w:p>
        </w:tc>
        <w:tc>
          <w:tcPr>
            <w:tcW w:w="2552" w:type="dxa"/>
            <w:vAlign w:val="center"/>
          </w:tcPr>
          <w:p>
            <w:pPr>
              <w:pStyle w:val="32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s="宋体"/>
                <w:sz w:val="24"/>
                <w:szCs w:val="24"/>
              </w:rPr>
            </w:pPr>
          </w:p>
        </w:tc>
        <w:tc>
          <w:tcPr>
            <w:tcW w:w="3402" w:type="dxa"/>
            <w:vAlign w:val="center"/>
          </w:tcPr>
          <w:p>
            <w:pPr>
              <w:pStyle w:val="322"/>
              <w:spacing w:line="560" w:lineRule="exact"/>
              <w:ind w:firstLine="200"/>
              <w:jc w:val="center"/>
              <w:rPr>
                <w:rFonts w:hAnsi="宋体" w:cs="宋体"/>
                <w:sz w:val="24"/>
                <w:szCs w:val="24"/>
              </w:rPr>
            </w:pPr>
          </w:p>
        </w:tc>
        <w:tc>
          <w:tcPr>
            <w:tcW w:w="2552" w:type="dxa"/>
            <w:vAlign w:val="center"/>
          </w:tcPr>
          <w:p>
            <w:pPr>
              <w:pStyle w:val="32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pPr>
              <w:pStyle w:val="322"/>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pPr>
              <w:pStyle w:val="322"/>
              <w:spacing w:line="560" w:lineRule="exact"/>
              <w:ind w:firstLine="200"/>
              <w:jc w:val="center"/>
              <w:rPr>
                <w:rFonts w:hAnsi="宋体" w:cs="宋体"/>
                <w:sz w:val="24"/>
                <w:szCs w:val="24"/>
              </w:rPr>
            </w:pPr>
          </w:p>
        </w:tc>
      </w:tr>
    </w:tbl>
    <w:p>
      <w:pPr>
        <w:spacing w:line="560" w:lineRule="exact"/>
        <w:ind w:firstLine="480" w:firstLineChars="200"/>
        <w:rPr>
          <w:rFonts w:ascii="宋体" w:hAnsi="宋体" w:cs="宋体"/>
          <w:sz w:val="24"/>
        </w:rPr>
      </w:pPr>
      <w:bookmarkStart w:id="412" w:name="_Toc30506"/>
      <w:bookmarkStart w:id="413" w:name="_Toc14993"/>
      <w:bookmarkStart w:id="414" w:name="_Toc30158"/>
      <w:bookmarkStart w:id="415" w:name="_Toc3654"/>
      <w:bookmarkStart w:id="416" w:name="_Toc26916"/>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pStyle w:val="8"/>
        <w:rPr>
          <w:rFonts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pPr>
        <w:pStyle w:val="960"/>
        <w:spacing w:before="0" w:beforeAutospacing="0" w:after="0" w:afterAutospacing="0" w:line="360" w:lineRule="auto"/>
        <w:ind w:firstLine="480"/>
        <w:rPr>
          <w:b/>
        </w:rPr>
      </w:pPr>
      <w:bookmarkStart w:id="417" w:name="_Toc22618"/>
      <w:bookmarkStart w:id="418" w:name="_Toc10340"/>
      <w:bookmarkStart w:id="419" w:name="_Toc1814"/>
      <w:bookmarkStart w:id="420" w:name="_Toc31421"/>
      <w:bookmarkStart w:id="421" w:name="_Toc4760"/>
      <w:bookmarkStart w:id="422" w:name="_Toc8772"/>
      <w:bookmarkStart w:id="423" w:name="_Toc3625"/>
      <w:bookmarkStart w:id="424" w:name="_Toc11108"/>
      <w:r>
        <w:rPr>
          <w:rFonts w:hint="eastAsia"/>
          <w:b/>
        </w:rPr>
        <w:t>1.4履约保证金</w:t>
      </w:r>
    </w:p>
    <w:p>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8"/>
        <w:tabs>
          <w:tab w:val="left" w:pos="0"/>
        </w:tabs>
        <w:spacing w:line="560" w:lineRule="exact"/>
        <w:ind w:left="0" w:firstLine="480" w:firstLine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b/>
          <w:bCs/>
        </w:rPr>
      </w:pPr>
      <w:r>
        <w:rPr>
          <w:rFonts w:hint="eastAsia"/>
          <w:b/>
          <w:bCs/>
        </w:rPr>
        <w:t>1.6资金支付</w:t>
      </w:r>
    </w:p>
    <w:p>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bookmarkEnd w:id="420"/>
      <w:bookmarkEnd w:id="421"/>
      <w:bookmarkEnd w:id="422"/>
      <w:bookmarkEnd w:id="423"/>
      <w:bookmarkEnd w:id="424"/>
    </w:p>
    <w:p>
      <w:pPr>
        <w:spacing w:line="560" w:lineRule="exact"/>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bCs/>
          <w:sz w:val="24"/>
        </w:rPr>
      </w:pPr>
      <w:bookmarkStart w:id="425" w:name="_Toc24662"/>
      <w:bookmarkStart w:id="426" w:name="_Toc3079"/>
      <w:bookmarkStart w:id="427" w:name="_Toc8586"/>
      <w:bookmarkStart w:id="428" w:name="_Toc5698"/>
      <w:bookmarkStart w:id="429" w:name="_Toc2375"/>
      <w:r>
        <w:rPr>
          <w:rFonts w:hint="eastAsia" w:ascii="宋体" w:hAnsi="宋体" w:cs="宋体"/>
          <w:bCs/>
          <w:sz w:val="24"/>
        </w:rPr>
        <w:t>1.7.4若服务涉及货物的，则货物的：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sz w:val="24"/>
          <w:u w:val="single"/>
        </w:rPr>
      </w:pPr>
      <w:r>
        <w:rPr>
          <w:rFonts w:hint="eastAsia" w:ascii="宋体" w:hAnsi="宋体" w:cs="宋体"/>
          <w:b/>
          <w:sz w:val="24"/>
        </w:rPr>
        <w:t>1.8违约责任</w:t>
      </w:r>
      <w:bookmarkEnd w:id="425"/>
      <w:bookmarkEnd w:id="426"/>
      <w:bookmarkEnd w:id="427"/>
      <w:bookmarkEnd w:id="428"/>
      <w:bookmarkEnd w:id="429"/>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pPr>
        <w:pStyle w:val="8"/>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bookmarkStart w:id="430" w:name="_Toc30329"/>
      <w:bookmarkStart w:id="431" w:name="_Toc18683"/>
      <w:bookmarkStart w:id="432" w:name="_Toc32454"/>
      <w:bookmarkStart w:id="433" w:name="_Toc9497"/>
      <w:bookmarkStart w:id="434"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r>
        <w:rPr>
          <w:rFonts w:hint="eastAsia" w:ascii="宋体" w:hAnsi="宋体" w:cs="宋体"/>
          <w:color w:val="000000" w:themeColor="text1"/>
          <w:sz w:val="24"/>
          <w14:textFill>
            <w14:solidFill>
              <w14:schemeClr w14:val="tx1"/>
            </w14:solidFill>
          </w14:textFill>
        </w:rPr>
        <w:t>1.8.7、根据市级检查采纳的环卫类行业问题进行扣款，市级1000元/每件，区级500元/每件；</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1.8.8、区城市管理领导小组办公室每月组织养护项目“红黑榜”评比，黑榜标段每次扣款1万元；</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1.8.9、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1.8.10、标准落实：</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在日常养护过程中，经查实作业人员、作业设备未达到投标文件约定的，人员每少1%或设备每少1台的应扣除总合同价的1%；作业遍次未达到要求的，每次扣0.5万元 </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1.8.11、清退机制</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pPr>
        <w:spacing w:line="560" w:lineRule="exact"/>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1.8.12违约责任</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430"/>
    <w:bookmarkEnd w:id="431"/>
    <w:bookmarkEnd w:id="432"/>
    <w:bookmarkEnd w:id="433"/>
    <w:bookmarkEnd w:id="434"/>
    <w:p>
      <w:pPr>
        <w:spacing w:line="560" w:lineRule="exact"/>
        <w:ind w:firstLine="482" w:firstLineChars="200"/>
        <w:outlineLvl w:val="0"/>
        <w:rPr>
          <w:rFonts w:ascii="宋体" w:hAnsi="宋体" w:cs="宋体"/>
          <w:b/>
          <w:sz w:val="24"/>
        </w:rPr>
      </w:pPr>
      <w:bookmarkStart w:id="435" w:name="_Toc28375"/>
      <w:bookmarkStart w:id="436" w:name="_Toc15583"/>
      <w:bookmarkStart w:id="437" w:name="_Toc16021"/>
      <w:r>
        <w:rPr>
          <w:rFonts w:hint="eastAsia" w:ascii="宋体" w:hAnsi="宋体" w:cs="宋体"/>
          <w:b/>
          <w:sz w:val="24"/>
        </w:rPr>
        <w:t>1.9合同争议的解决</w:t>
      </w:r>
      <w:bookmarkEnd w:id="435"/>
      <w:bookmarkEnd w:id="436"/>
      <w:bookmarkEnd w:id="437"/>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8" w:name="_Toc11173"/>
      <w:bookmarkStart w:id="439" w:name="_Toc15322"/>
      <w:bookmarkStart w:id="440" w:name="_Toc7245"/>
      <w:r>
        <w:rPr>
          <w:rFonts w:hint="eastAsia" w:ascii="宋体" w:hAnsi="宋体" w:cs="宋体"/>
          <w:b/>
          <w:sz w:val="24"/>
        </w:rPr>
        <w:t>2.0 合同生效</w:t>
      </w:r>
      <w:bookmarkEnd w:id="438"/>
      <w:bookmarkEnd w:id="439"/>
      <w:bookmarkEnd w:id="440"/>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p>
    <w:p>
      <w:pPr>
        <w:widowControl/>
        <w:adjustRightInd/>
        <w:jc w:val="left"/>
        <w:rPr>
          <w:rFonts w:ascii="宋体" w:hAnsi="宋体" w:cs="宋体"/>
          <w:b/>
          <w:sz w:val="24"/>
        </w:rPr>
      </w:pPr>
      <w:r>
        <w:rPr>
          <w:rFonts w:hint="eastAsia" w:ascii="宋体" w:hAnsi="宋体" w:cs="宋体"/>
          <w:b/>
        </w:rPr>
        <w:br w:type="page"/>
      </w:r>
    </w:p>
    <w:p>
      <w:pPr>
        <w:pStyle w:val="4"/>
        <w:spacing w:line="560" w:lineRule="exact"/>
        <w:ind w:firstLine="482"/>
        <w:jc w:val="center"/>
        <w:rPr>
          <w:rFonts w:ascii="宋体" w:hAnsi="宋体" w:eastAsia="宋体" w:cs="宋体"/>
          <w:b/>
          <w:szCs w:val="24"/>
        </w:rPr>
      </w:pPr>
      <w:r>
        <w:rPr>
          <w:rFonts w:hint="eastAsia" w:ascii="宋体" w:hAnsi="宋体" w:eastAsia="宋体" w:cs="宋体"/>
          <w:b/>
          <w:szCs w:val="24"/>
        </w:rPr>
        <w:t>第二部分 合同一般条款</w:t>
      </w:r>
    </w:p>
    <w:p>
      <w:pPr>
        <w:spacing w:line="560" w:lineRule="exact"/>
        <w:ind w:firstLine="482" w:firstLineChars="200"/>
        <w:outlineLvl w:val="0"/>
        <w:rPr>
          <w:rFonts w:ascii="宋体" w:hAnsi="宋体" w:cs="宋体"/>
          <w:b/>
          <w:sz w:val="24"/>
        </w:rPr>
      </w:pPr>
      <w:bookmarkStart w:id="441" w:name="_Toc5228"/>
      <w:bookmarkStart w:id="442" w:name="_Toc19680"/>
      <w:bookmarkStart w:id="443" w:name="_Toc31297"/>
      <w:bookmarkStart w:id="444" w:name="_Toc25079"/>
      <w:bookmarkStart w:id="445" w:name="_Toc14021"/>
      <w:r>
        <w:rPr>
          <w:rFonts w:hint="eastAsia" w:ascii="宋体" w:hAnsi="宋体" w:cs="宋体"/>
          <w:b/>
          <w:sz w:val="24"/>
        </w:rPr>
        <w:t>2.1 定义</w:t>
      </w:r>
      <w:bookmarkEnd w:id="441"/>
      <w:bookmarkEnd w:id="442"/>
      <w:bookmarkEnd w:id="443"/>
      <w:bookmarkEnd w:id="444"/>
      <w:bookmarkEnd w:id="445"/>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pPr>
        <w:spacing w:line="560" w:lineRule="exact"/>
        <w:ind w:firstLine="482" w:firstLineChars="200"/>
        <w:outlineLvl w:val="0"/>
        <w:rPr>
          <w:rFonts w:ascii="宋体" w:hAnsi="宋体" w:cs="宋体"/>
          <w:b/>
          <w:sz w:val="24"/>
        </w:rPr>
      </w:pPr>
      <w:bookmarkStart w:id="446" w:name="_Toc23289"/>
      <w:bookmarkStart w:id="447" w:name="_Toc31402"/>
      <w:bookmarkStart w:id="448" w:name="_Toc19539"/>
      <w:bookmarkStart w:id="449" w:name="_Toc16752"/>
      <w:bookmarkStart w:id="450" w:name="_Toc3769"/>
      <w:r>
        <w:rPr>
          <w:rFonts w:hint="eastAsia" w:ascii="宋体" w:hAnsi="宋体" w:cs="宋体"/>
          <w:b/>
          <w:sz w:val="24"/>
        </w:rPr>
        <w:t>2.2 技术规范</w:t>
      </w:r>
      <w:bookmarkEnd w:id="446"/>
      <w:bookmarkEnd w:id="447"/>
      <w:bookmarkEnd w:id="448"/>
      <w:bookmarkEnd w:id="449"/>
      <w:bookmarkEnd w:id="450"/>
    </w:p>
    <w:p>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51" w:name="_Toc13673"/>
      <w:bookmarkStart w:id="452" w:name="_Toc9161"/>
      <w:bookmarkStart w:id="453" w:name="_Toc27945"/>
      <w:bookmarkStart w:id="454" w:name="_Toc12412"/>
      <w:bookmarkStart w:id="455" w:name="_Toc4133"/>
      <w:r>
        <w:rPr>
          <w:rFonts w:hint="eastAsia" w:ascii="宋体" w:hAnsi="宋体" w:cs="宋体"/>
          <w:b/>
          <w:sz w:val="24"/>
        </w:rPr>
        <w:t>2.3 知识产权</w:t>
      </w:r>
      <w:bookmarkEnd w:id="451"/>
      <w:bookmarkEnd w:id="452"/>
      <w:bookmarkEnd w:id="453"/>
      <w:bookmarkEnd w:id="454"/>
      <w:bookmarkEnd w:id="455"/>
    </w:p>
    <w:p>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cs="宋体"/>
          <w:b/>
          <w:sz w:val="24"/>
        </w:rPr>
      </w:pPr>
      <w:bookmarkStart w:id="456" w:name="_Toc22011"/>
      <w:bookmarkStart w:id="457" w:name="_Toc26555"/>
      <w:bookmarkStart w:id="458" w:name="_Toc15447"/>
      <w:bookmarkStart w:id="459" w:name="_Toc31233"/>
      <w:bookmarkStart w:id="460" w:name="_Toc32670"/>
      <w:r>
        <w:rPr>
          <w:rFonts w:hint="eastAsia" w:ascii="宋体" w:hAnsi="宋体" w:cs="宋体"/>
          <w:b/>
          <w:sz w:val="24"/>
        </w:rPr>
        <w:t>2.5 结算方式和付款条件</w:t>
      </w:r>
      <w:bookmarkEnd w:id="456"/>
      <w:bookmarkEnd w:id="457"/>
      <w:bookmarkEnd w:id="458"/>
      <w:bookmarkEnd w:id="459"/>
      <w:bookmarkEnd w:id="460"/>
    </w:p>
    <w:p>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61" w:name="_Toc13154"/>
      <w:bookmarkStart w:id="462" w:name="_Toc16163"/>
      <w:bookmarkStart w:id="463" w:name="_Toc30507"/>
      <w:bookmarkStart w:id="464" w:name="_Toc13467"/>
      <w:bookmarkStart w:id="465" w:name="_Toc18990"/>
      <w:r>
        <w:rPr>
          <w:rFonts w:hint="eastAsia" w:ascii="宋体" w:hAnsi="宋体" w:cs="宋体"/>
          <w:b/>
          <w:sz w:val="24"/>
        </w:rPr>
        <w:t>2.6 技术资料和保密义务</w:t>
      </w:r>
      <w:bookmarkEnd w:id="461"/>
      <w:bookmarkEnd w:id="462"/>
      <w:bookmarkEnd w:id="463"/>
      <w:bookmarkEnd w:id="464"/>
      <w:bookmarkEnd w:id="465"/>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66" w:name="_Toc19069"/>
      <w:r>
        <w:rPr>
          <w:rFonts w:hint="eastAsia" w:ascii="宋体" w:hAnsi="宋体" w:cs="宋体"/>
          <w:b/>
          <w:sz w:val="24"/>
        </w:rPr>
        <w:t>2.7 质量保证</w:t>
      </w:r>
      <w:bookmarkEnd w:id="466"/>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67" w:name="_Toc22267"/>
      <w:r>
        <w:rPr>
          <w:rFonts w:hint="eastAsia" w:ascii="宋体" w:hAnsi="宋体" w:cs="宋体"/>
          <w:b/>
          <w:sz w:val="24"/>
        </w:rPr>
        <w:t>2.8 延迟履行</w:t>
      </w:r>
      <w:bookmarkEnd w:id="467"/>
    </w:p>
    <w:p>
      <w:pPr>
        <w:spacing w:line="560" w:lineRule="exact"/>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宋体" w:hAnsi="宋体" w:cs="宋体"/>
          <w:b/>
          <w:sz w:val="24"/>
        </w:rPr>
      </w:pPr>
      <w:bookmarkStart w:id="468" w:name="_Toc10611"/>
      <w:r>
        <w:rPr>
          <w:rFonts w:hint="eastAsia" w:ascii="宋体" w:hAnsi="宋体" w:cs="宋体"/>
          <w:b/>
          <w:sz w:val="24"/>
        </w:rPr>
        <w:t>2.9 合同变更</w:t>
      </w:r>
      <w:bookmarkEnd w:id="468"/>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469" w:name="_Toc21830"/>
      <w:bookmarkStart w:id="470" w:name="_Toc23368"/>
      <w:bookmarkStart w:id="471" w:name="_Toc42"/>
      <w:bookmarkStart w:id="472" w:name="_Toc10663"/>
      <w:bookmarkStart w:id="473" w:name="_Toc26689"/>
      <w:r>
        <w:rPr>
          <w:rFonts w:hint="eastAsia" w:ascii="宋体" w:hAnsi="宋体" w:cs="宋体"/>
          <w:b/>
          <w:sz w:val="24"/>
        </w:rPr>
        <w:t>2.10 合同转让和分包</w:t>
      </w:r>
      <w:bookmarkEnd w:id="469"/>
      <w:bookmarkEnd w:id="470"/>
      <w:bookmarkEnd w:id="471"/>
      <w:bookmarkEnd w:id="472"/>
      <w:bookmarkEnd w:id="473"/>
    </w:p>
    <w:p>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宋体" w:hAnsi="宋体" w:cs="宋体"/>
          <w:b/>
          <w:sz w:val="24"/>
        </w:rPr>
      </w:pPr>
      <w:bookmarkStart w:id="474" w:name="_Toc4720"/>
      <w:bookmarkStart w:id="475" w:name="_Toc14371"/>
      <w:bookmarkStart w:id="476" w:name="_Toc25571"/>
      <w:bookmarkStart w:id="477" w:name="_Toc26633"/>
      <w:bookmarkStart w:id="478" w:name="_Toc32494"/>
      <w:r>
        <w:rPr>
          <w:rFonts w:hint="eastAsia" w:ascii="宋体" w:hAnsi="宋体" w:cs="宋体"/>
          <w:b/>
          <w:sz w:val="24"/>
        </w:rPr>
        <w:t>2.11 不可抗力</w:t>
      </w:r>
      <w:bookmarkEnd w:id="474"/>
      <w:bookmarkEnd w:id="475"/>
      <w:bookmarkEnd w:id="476"/>
      <w:bookmarkEnd w:id="477"/>
      <w:bookmarkEnd w:id="478"/>
    </w:p>
    <w:p>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479" w:name="_Toc14115"/>
      <w:bookmarkStart w:id="480" w:name="_Toc25783"/>
      <w:bookmarkStart w:id="481" w:name="_Toc24465"/>
      <w:bookmarkStart w:id="482" w:name="_Toc3638"/>
      <w:bookmarkStart w:id="483" w:name="_Toc23854"/>
      <w:r>
        <w:rPr>
          <w:rFonts w:hint="eastAsia" w:ascii="宋体" w:hAnsi="宋体" w:cs="宋体"/>
          <w:b/>
          <w:sz w:val="24"/>
        </w:rPr>
        <w:t>2.12 税费</w:t>
      </w:r>
      <w:bookmarkEnd w:id="479"/>
      <w:bookmarkEnd w:id="480"/>
      <w:bookmarkEnd w:id="481"/>
      <w:bookmarkEnd w:id="482"/>
      <w:bookmarkEnd w:id="483"/>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pPr>
        <w:spacing w:line="560" w:lineRule="exact"/>
        <w:ind w:firstLine="482" w:firstLineChars="200"/>
        <w:outlineLvl w:val="0"/>
        <w:rPr>
          <w:rFonts w:ascii="宋体" w:hAnsi="宋体" w:cs="宋体"/>
          <w:b/>
          <w:sz w:val="24"/>
        </w:rPr>
      </w:pPr>
      <w:bookmarkStart w:id="484" w:name="_Toc26883"/>
      <w:bookmarkStart w:id="485" w:name="_Toc7315"/>
      <w:bookmarkStart w:id="486" w:name="_Toc25525"/>
      <w:bookmarkStart w:id="487" w:name="_Toc30105"/>
      <w:bookmarkStart w:id="488" w:name="_Toc14814"/>
      <w:r>
        <w:rPr>
          <w:rFonts w:hint="eastAsia" w:ascii="宋体" w:hAnsi="宋体" w:cs="宋体"/>
          <w:b/>
          <w:sz w:val="24"/>
        </w:rPr>
        <w:t>2.13 乙方破产</w:t>
      </w:r>
      <w:bookmarkEnd w:id="484"/>
      <w:bookmarkEnd w:id="485"/>
      <w:bookmarkEnd w:id="486"/>
      <w:bookmarkEnd w:id="487"/>
      <w:bookmarkEnd w:id="488"/>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489" w:name="_Toc2016"/>
      <w:bookmarkStart w:id="490" w:name="_Toc1123"/>
      <w:bookmarkStart w:id="491" w:name="_Toc23323"/>
      <w:r>
        <w:rPr>
          <w:rFonts w:hint="eastAsia" w:ascii="宋体" w:hAnsi="宋体" w:cs="宋体"/>
          <w:b/>
          <w:sz w:val="24"/>
        </w:rPr>
        <w:t>2.14 合同中止、终止</w:t>
      </w:r>
      <w:bookmarkEnd w:id="489"/>
      <w:bookmarkEnd w:id="490"/>
      <w:bookmarkEnd w:id="491"/>
    </w:p>
    <w:p>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492" w:name="_Toc1969"/>
      <w:bookmarkStart w:id="493" w:name="_Toc14525"/>
      <w:bookmarkStart w:id="494" w:name="_Toc17363"/>
      <w:r>
        <w:rPr>
          <w:rFonts w:hint="eastAsia" w:ascii="宋体" w:hAnsi="宋体" w:cs="宋体"/>
          <w:b/>
          <w:sz w:val="24"/>
        </w:rPr>
        <w:t>2.15 检验和验收</w:t>
      </w:r>
      <w:bookmarkEnd w:id="492"/>
      <w:bookmarkEnd w:id="493"/>
      <w:bookmarkEnd w:id="494"/>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pPr>
        <w:spacing w:line="560" w:lineRule="exact"/>
        <w:ind w:firstLine="482" w:firstLineChars="200"/>
        <w:outlineLvl w:val="0"/>
        <w:rPr>
          <w:rFonts w:ascii="宋体" w:hAnsi="宋体" w:cs="宋体"/>
          <w:b/>
          <w:sz w:val="24"/>
        </w:rPr>
      </w:pPr>
      <w:bookmarkStart w:id="495" w:name="_Toc2308"/>
      <w:bookmarkStart w:id="496" w:name="_Toc31892"/>
      <w:bookmarkStart w:id="497" w:name="_Toc12666"/>
      <w:bookmarkStart w:id="498" w:name="_Toc25198"/>
      <w:bookmarkStart w:id="499" w:name="_Toc9808"/>
      <w:r>
        <w:rPr>
          <w:rFonts w:hint="eastAsia" w:ascii="宋体" w:hAnsi="宋体" w:cs="宋体"/>
          <w:b/>
          <w:sz w:val="24"/>
        </w:rPr>
        <w:t>2.16 通知和送达</w:t>
      </w:r>
      <w:bookmarkEnd w:id="495"/>
      <w:bookmarkEnd w:id="496"/>
      <w:bookmarkEnd w:id="497"/>
      <w:bookmarkEnd w:id="498"/>
      <w:bookmarkEnd w:id="499"/>
    </w:p>
    <w:p>
      <w:pPr>
        <w:spacing w:line="560" w:lineRule="exact"/>
        <w:ind w:firstLine="480" w:firstLineChars="200"/>
        <w:rPr>
          <w:rFonts w:ascii="宋体" w:hAnsi="宋体" w:cs="宋体"/>
          <w:sz w:val="24"/>
        </w:rPr>
      </w:pPr>
      <w:bookmarkStart w:id="500" w:name="_Toc18401"/>
      <w:bookmarkStart w:id="501" w:name="_Toc27674"/>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pPr>
        <w:spacing w:line="560" w:lineRule="exact"/>
        <w:ind w:firstLine="482" w:firstLineChars="200"/>
        <w:outlineLvl w:val="0"/>
        <w:rPr>
          <w:rFonts w:ascii="宋体" w:hAnsi="宋体" w:cs="宋体"/>
          <w:b/>
          <w:sz w:val="24"/>
        </w:rPr>
      </w:pPr>
      <w:bookmarkStart w:id="502" w:name="_Toc28906"/>
      <w:bookmarkStart w:id="503" w:name="_Toc20808"/>
      <w:bookmarkStart w:id="504" w:name="_Toc5063"/>
      <w:bookmarkStart w:id="505" w:name="_Toc27644"/>
      <w:bookmarkStart w:id="506" w:name="_Toc12254"/>
      <w:r>
        <w:rPr>
          <w:rFonts w:hint="eastAsia" w:ascii="宋体" w:hAnsi="宋体" w:cs="宋体"/>
          <w:b/>
          <w:sz w:val="24"/>
        </w:rPr>
        <w:t>2.17 合同使用的文字和适用的法律</w:t>
      </w:r>
      <w:bookmarkEnd w:id="502"/>
      <w:bookmarkEnd w:id="503"/>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pPr>
        <w:spacing w:line="560" w:lineRule="exact"/>
        <w:ind w:firstLine="482" w:firstLineChars="200"/>
        <w:outlineLvl w:val="0"/>
        <w:rPr>
          <w:rFonts w:ascii="宋体" w:hAnsi="宋体" w:cs="宋体"/>
          <w:b/>
          <w:sz w:val="24"/>
        </w:rPr>
      </w:pPr>
      <w:bookmarkStart w:id="507" w:name="_Toc4355"/>
      <w:bookmarkStart w:id="508" w:name="_Toc18540"/>
      <w:bookmarkStart w:id="509" w:name="_Toc30599"/>
      <w:r>
        <w:rPr>
          <w:rFonts w:hint="eastAsia" w:ascii="宋体" w:hAnsi="宋体" w:cs="宋体"/>
          <w:b/>
          <w:sz w:val="24"/>
        </w:rPr>
        <w:t>2.18 计量单位</w:t>
      </w:r>
      <w:bookmarkEnd w:id="507"/>
      <w:bookmarkEnd w:id="508"/>
      <w:bookmarkEnd w:id="509"/>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cs="宋体"/>
          <w:b/>
          <w:sz w:val="24"/>
        </w:rPr>
      </w:pPr>
      <w:r>
        <w:rPr>
          <w:rFonts w:hint="eastAsia" w:ascii="宋体" w:hAnsi="宋体" w:cs="宋体"/>
          <w:b/>
          <w:sz w:val="24"/>
        </w:rPr>
        <w:t>2.19合同份数</w:t>
      </w:r>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2.11.3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2.11.4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2.15.1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2.15.3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（3）落实政府采购政策需满足的资格要求………………………………（页码）</w:t>
      </w:r>
    </w:p>
    <w:p>
      <w:pPr>
        <w:snapToGrid w:val="0"/>
        <w:spacing w:line="360" w:lineRule="auto"/>
        <w:rPr>
          <w:rFonts w:ascii="宋体" w:hAnsi="宋体" w:cs="宋体"/>
          <w:sz w:val="24"/>
        </w:rPr>
      </w:pPr>
      <w:r>
        <w:rPr>
          <w:rFonts w:hint="eastAsia" w:ascii="宋体" w:hAnsi="宋体" w:cs="宋体"/>
          <w:sz w:val="24"/>
        </w:rPr>
        <w:t>（4）本项目的特定资格要求………………………………………………（页码）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杭州市临平区人民政府乔司街道办事处 、</w:t>
      </w:r>
      <w:r>
        <w:rPr>
          <w:rFonts w:hint="eastAsia" w:ascii="宋体" w:hAnsi="宋体" w:cs="宋体"/>
          <w:sz w:val="24"/>
          <w:lang w:eastAsia="zh-CN"/>
        </w:rPr>
        <w:t>深圳科宇工程顾问有限公司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乔司街道南区块雨水管道养护项目</w:t>
      </w:r>
      <w:r>
        <w:rPr>
          <w:rFonts w:hint="eastAsia" w:ascii="宋体" w:hAnsi="宋体" w:cs="宋体"/>
          <w:sz w:val="24"/>
        </w:rPr>
        <w:t>【招标编号：</w:t>
      </w:r>
      <w:r>
        <w:rPr>
          <w:rFonts w:hint="eastAsia" w:ascii="宋体" w:hAnsi="宋体" w:cs="宋体"/>
          <w:sz w:val="24"/>
          <w:lang w:eastAsia="zh-CN"/>
        </w:rPr>
        <w:t>KYZFCG-2023-006</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杭州市临平区人民政府乔司街道办事处 、</w:t>
      </w:r>
      <w:r>
        <w:rPr>
          <w:rFonts w:hint="eastAsia" w:ascii="宋体" w:hAnsi="宋体" w:cs="宋体"/>
          <w:sz w:val="24"/>
          <w:lang w:eastAsia="zh-CN"/>
        </w:rPr>
        <w:t>深圳科宇工程顾问有限公司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乔司街道南区块雨水管道养护项目</w:t>
      </w:r>
      <w:r>
        <w:rPr>
          <w:rFonts w:hint="eastAsia" w:ascii="宋体" w:hAnsi="宋体" w:cs="宋体"/>
          <w:sz w:val="24"/>
        </w:rPr>
        <w:t>【招标编号：</w:t>
      </w:r>
      <w:r>
        <w:rPr>
          <w:rFonts w:hint="eastAsia" w:ascii="宋体" w:hAnsi="宋体" w:cs="宋体"/>
          <w:sz w:val="24"/>
          <w:lang w:eastAsia="zh-CN"/>
        </w:rPr>
        <w:t>KYZFCG-2023-006</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1" w:name="_Hlk101257010"/>
      <w:r>
        <w:rPr>
          <w:rFonts w:hint="eastAsia" w:ascii="宋体" w:hAnsi="宋体" w:cs="宋体"/>
          <w:sz w:val="24"/>
        </w:rPr>
        <w:t>（如果有)</w:t>
      </w:r>
      <w:bookmarkEnd w:id="511"/>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8"/>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杭州市临平区人民政府乔司街道办事处 、</w:t>
      </w:r>
      <w:r>
        <w:rPr>
          <w:rFonts w:hint="eastAsia" w:ascii="宋体" w:hAnsi="宋体" w:cs="宋体"/>
          <w:sz w:val="24"/>
          <w:lang w:eastAsia="zh-CN"/>
        </w:rPr>
        <w:t>深圳科宇工程顾问有限公司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乔司街道南区块雨水管道养护项目</w:t>
      </w:r>
      <w:r>
        <w:rPr>
          <w:rFonts w:hint="eastAsia" w:ascii="宋体" w:hAnsi="宋体" w:cs="宋体"/>
          <w:sz w:val="24"/>
        </w:rPr>
        <w:t>【招标编号：</w:t>
      </w:r>
      <w:r>
        <w:rPr>
          <w:rFonts w:hint="eastAsia" w:ascii="宋体" w:hAnsi="宋体" w:cs="宋体"/>
          <w:sz w:val="24"/>
          <w:lang w:eastAsia="zh-CN"/>
        </w:rPr>
        <w:t>KYZFCG-2023-006</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杭州市临平区人民政府乔司街道办事处 、</w:t>
      </w:r>
      <w:r>
        <w:rPr>
          <w:rFonts w:hint="eastAsia" w:ascii="宋体" w:hAnsi="宋体" w:cs="宋体"/>
          <w:sz w:val="24"/>
          <w:lang w:eastAsia="zh-CN"/>
        </w:rPr>
        <w:t>深圳科宇工程顾问有限公司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乔司街道南区块雨水管道养护项目</w:t>
      </w:r>
      <w:r>
        <w:rPr>
          <w:rFonts w:hint="eastAsia" w:ascii="宋体" w:hAnsi="宋体" w:cs="宋体"/>
          <w:sz w:val="24"/>
        </w:rPr>
        <w:t>【招标编号：</w:t>
      </w:r>
      <w:r>
        <w:rPr>
          <w:rFonts w:hint="eastAsia" w:ascii="宋体" w:hAnsi="宋体" w:cs="宋体"/>
          <w:sz w:val="24"/>
          <w:lang w:eastAsia="zh-CN"/>
        </w:rPr>
        <w:t>KYZFCG-2023-006</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1"/>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sz w:val="24"/>
              </w:rPr>
            </w:pPr>
            <w:r>
              <w:rPr>
                <w:rFonts w:hint="eastAsia" w:hAnsi="宋体" w:cs="宋体"/>
                <w:bCs/>
                <w:sz w:val="24"/>
              </w:rPr>
              <w:t>正面：                                 反面：</w:t>
            </w:r>
          </w:p>
          <w:p>
            <w:pPr>
              <w:pStyle w:val="151"/>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center"/>
          </w:tcPr>
          <w:p>
            <w:pPr>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center"/>
          </w:tcPr>
          <w:p>
            <w:pP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center"/>
          </w:tcPr>
          <w:p>
            <w:pPr>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hint="eastAsia"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杭州市临平区人民政府乔司街道办事处 、</w:t>
      </w:r>
      <w:r>
        <w:rPr>
          <w:rFonts w:hint="eastAsia" w:ascii="宋体" w:hAnsi="宋体" w:cs="宋体"/>
          <w:sz w:val="24"/>
          <w:lang w:eastAsia="zh-CN"/>
        </w:rPr>
        <w:t>深圳科宇工程顾问有限公司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600" w:lineRule="exact"/>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600" w:lineRule="exact"/>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w:t>
      </w:r>
      <w:r>
        <w:rPr>
          <w:rFonts w:hint="eastAsia" w:ascii="仿宋_GB2312" w:hAnsi="仿宋" w:eastAsia="仿宋_GB2312" w:cs="仿宋_GB2312"/>
          <w:b/>
          <w:kern w:val="0"/>
          <w:sz w:val="24"/>
        </w:rPr>
        <w:t>本项目为费率报价</w:t>
      </w:r>
      <w:r>
        <w:rPr>
          <w:rFonts w:ascii="仿宋_GB2312" w:hAnsi="仿宋" w:eastAsia="仿宋_GB2312" w:cs="仿宋_GB2312"/>
          <w:b/>
          <w:kern w:val="0"/>
          <w:sz w:val="24"/>
          <w:lang w:val="zh-CN"/>
        </w:rPr>
        <w:t>)</w:t>
      </w:r>
    </w:p>
    <w:tbl>
      <w:tblPr>
        <w:tblStyle w:val="65"/>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98"/>
        <w:gridCol w:w="5107"/>
        <w:gridCol w:w="12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702" w:type="dxa"/>
            <w:vAlign w:val="center"/>
          </w:tcPr>
          <w:p>
            <w:pPr>
              <w:shd w:val="clear" w:color="auto" w:fill="FFFFFF"/>
              <w:tabs>
                <w:tab w:val="right" w:pos="-3426"/>
              </w:tabs>
              <w:snapToGrid w:val="0"/>
              <w:spacing w:line="360" w:lineRule="auto"/>
              <w:jc w:val="left"/>
              <w:rPr>
                <w:sz w:val="24"/>
              </w:rPr>
            </w:pPr>
            <w:r>
              <w:rPr>
                <w:rFonts w:hint="eastAsia"/>
                <w:sz w:val="24"/>
              </w:rPr>
              <w:t>序号</w:t>
            </w:r>
          </w:p>
        </w:tc>
        <w:tc>
          <w:tcPr>
            <w:tcW w:w="1198" w:type="dxa"/>
            <w:vAlign w:val="center"/>
          </w:tcPr>
          <w:p>
            <w:pPr>
              <w:shd w:val="clear" w:color="auto" w:fill="FFFFFF"/>
              <w:snapToGrid w:val="0"/>
              <w:spacing w:line="360" w:lineRule="auto"/>
              <w:jc w:val="center"/>
              <w:rPr>
                <w:sz w:val="24"/>
              </w:rPr>
            </w:pPr>
            <w:r>
              <w:rPr>
                <w:rFonts w:hint="eastAsia"/>
                <w:sz w:val="24"/>
              </w:rPr>
              <w:t>项目名称</w:t>
            </w:r>
          </w:p>
        </w:tc>
        <w:tc>
          <w:tcPr>
            <w:tcW w:w="5107" w:type="dxa"/>
            <w:vAlign w:val="center"/>
          </w:tcPr>
          <w:p>
            <w:pPr>
              <w:shd w:val="clear" w:color="auto" w:fill="FFFFFF"/>
              <w:snapToGrid w:val="0"/>
              <w:spacing w:line="360" w:lineRule="auto"/>
              <w:jc w:val="left"/>
              <w:rPr>
                <w:color w:val="FF0000"/>
                <w:sz w:val="24"/>
              </w:rPr>
            </w:pPr>
            <w:r>
              <w:rPr>
                <w:rFonts w:hint="eastAsia"/>
                <w:color w:val="FF0000"/>
                <w:szCs w:val="21"/>
                <w:highlight w:val="yellow"/>
              </w:rPr>
              <w:t>我单位投标报价为：按《浙江省市政工程预算定额（2018版）》相应定额子目，材料价按施工实际发生当月的《杭州造价信息》、《浙江省造价信息》，无价材料参考市场价格，人工材料补差按施工实际发生当季，进行组价后的    %计取。（最多保留两位小数）</w:t>
            </w:r>
          </w:p>
        </w:tc>
        <w:tc>
          <w:tcPr>
            <w:tcW w:w="1225" w:type="dxa"/>
            <w:vAlign w:val="center"/>
          </w:tcPr>
          <w:p>
            <w:pPr>
              <w:shd w:val="clear" w:color="auto" w:fill="FFFFFF"/>
              <w:snapToGrid w:val="0"/>
              <w:spacing w:line="360" w:lineRule="auto"/>
              <w:jc w:val="left"/>
              <w:rPr>
                <w:sz w:val="24"/>
              </w:rPr>
            </w:pPr>
            <w:r>
              <w:rPr>
                <w:rFonts w:hint="eastAsia"/>
                <w:sz w:val="24"/>
              </w:rPr>
              <w:t>服务期</w:t>
            </w:r>
          </w:p>
        </w:tc>
        <w:tc>
          <w:tcPr>
            <w:tcW w:w="1225" w:type="dxa"/>
            <w:vAlign w:val="center"/>
          </w:tcPr>
          <w:p>
            <w:pPr>
              <w:shd w:val="clear" w:color="auto" w:fill="FFFFFF"/>
              <w:snapToGrid w:val="0"/>
              <w:spacing w:line="360" w:lineRule="auto"/>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702" w:type="dxa"/>
            <w:vAlign w:val="center"/>
          </w:tcPr>
          <w:p>
            <w:pPr>
              <w:spacing w:line="600" w:lineRule="exact"/>
              <w:jc w:val="center"/>
              <w:rPr>
                <w:sz w:val="24"/>
              </w:rPr>
            </w:pPr>
            <w:r>
              <w:rPr>
                <w:rFonts w:hint="eastAsia" w:ascii="宋体" w:hAnsi="宋体" w:cs="宋体"/>
                <w:b/>
                <w:bCs/>
                <w:sz w:val="24"/>
              </w:rPr>
              <w:t>1</w:t>
            </w:r>
          </w:p>
        </w:tc>
        <w:tc>
          <w:tcPr>
            <w:tcW w:w="1198" w:type="dxa"/>
            <w:vAlign w:val="center"/>
          </w:tcPr>
          <w:p>
            <w:pPr>
              <w:spacing w:line="600" w:lineRule="exact"/>
              <w:jc w:val="center"/>
              <w:rPr>
                <w:sz w:val="24"/>
              </w:rPr>
            </w:pPr>
          </w:p>
        </w:tc>
        <w:tc>
          <w:tcPr>
            <w:tcW w:w="5107" w:type="dxa"/>
            <w:vAlign w:val="center"/>
          </w:tcPr>
          <w:p>
            <w:pPr>
              <w:rPr>
                <w:sz w:val="24"/>
                <w:u w:val="single"/>
              </w:rPr>
            </w:pPr>
          </w:p>
        </w:tc>
        <w:tc>
          <w:tcPr>
            <w:tcW w:w="1225" w:type="dxa"/>
            <w:vAlign w:val="center"/>
          </w:tcPr>
          <w:p>
            <w:pPr>
              <w:jc w:val="center"/>
              <w:rPr>
                <w:b/>
                <w:bCs/>
                <w:sz w:val="24"/>
              </w:rPr>
            </w:pPr>
          </w:p>
        </w:tc>
        <w:tc>
          <w:tcPr>
            <w:tcW w:w="1225" w:type="dxa"/>
            <w:vAlign w:val="center"/>
          </w:tcPr>
          <w:p>
            <w:pPr>
              <w:jc w:val="center"/>
              <w:rPr>
                <w:b/>
                <w:bCs/>
                <w:sz w:val="24"/>
              </w:rPr>
            </w:pPr>
            <w:r>
              <w:rPr>
                <w:rFonts w:hint="eastAsia"/>
                <w:b/>
                <w:bCs/>
                <w:sz w:val="24"/>
              </w:rPr>
              <w:t>（投标报价为折扣率，非下浮率，各投标单位仔细阅读招标文件后，进行报价）</w:t>
            </w:r>
          </w:p>
        </w:tc>
      </w:tr>
    </w:tbl>
    <w:p>
      <w:pPr>
        <w:snapToGrid w:val="0"/>
        <w:spacing w:line="600" w:lineRule="exact"/>
        <w:ind w:left="480"/>
        <w:rPr>
          <w:rFonts w:ascii="宋体" w:hAnsi="宋体" w:cs="宋体"/>
          <w:b/>
          <w:kern w:val="0"/>
          <w:sz w:val="24"/>
          <w:lang w:val="zh-CN"/>
        </w:rPr>
      </w:pPr>
      <w:r>
        <w:rPr>
          <w:rFonts w:hint="eastAsia" w:ascii="宋体" w:hAnsi="宋体" w:cs="宋体"/>
          <w:b/>
          <w:kern w:val="0"/>
          <w:sz w:val="24"/>
          <w:lang w:val="zh-CN"/>
        </w:rPr>
        <w:t>注：</w:t>
      </w:r>
    </w:p>
    <w:p>
      <w:pPr>
        <w:spacing w:line="600" w:lineRule="exact"/>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600" w:lineRule="exact"/>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600" w:lineRule="exact"/>
        <w:ind w:firstLine="480" w:firstLineChars="200"/>
        <w:jc w:val="left"/>
        <w:rPr>
          <w:rFonts w:ascii="宋体" w:hAnsi="宋体" w:cs="宋体"/>
          <w:sz w:val="32"/>
          <w:szCs w:val="32"/>
        </w:rPr>
        <w:sectPr>
          <w:headerReference r:id="rId21" w:type="first"/>
          <w:footerReference r:id="rId23" w:type="first"/>
          <w:headerReference r:id="rId20" w:type="default"/>
          <w:footerReference r:id="rId22" w:type="default"/>
          <w:pgSz w:w="11906" w:h="16838"/>
          <w:pgMar w:top="1247" w:right="1418" w:bottom="1276" w:left="1418" w:header="851" w:footer="992" w:gutter="0"/>
          <w:cols w:space="720" w:num="1"/>
          <w:titlePg/>
          <w:docGrid w:linePitch="312" w:charSpace="0"/>
        </w:sect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7"/>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2" w:name="OLE_LINK14"/>
      <w:bookmarkStart w:id="513" w:name="OLE_LINK13"/>
      <w:r>
        <w:rPr>
          <w:rFonts w:hint="eastAsia" w:ascii="宋体" w:hAnsi="宋体" w:cs="宋体"/>
          <w:b/>
          <w:spacing w:val="6"/>
          <w:sz w:val="32"/>
          <w:szCs w:val="32"/>
        </w:rPr>
        <w:t>残疾人福利性单位声明函</w:t>
      </w:r>
    </w:p>
    <w:bookmarkEnd w:id="512"/>
    <w:bookmarkEnd w:id="51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 xml:space="preserve">杭州市临平区人民政府乔司街道办事处 </w:t>
      </w:r>
      <w:r>
        <w:rPr>
          <w:rFonts w:hint="eastAsia" w:ascii="宋体" w:hAnsi="宋体" w:cs="宋体"/>
          <w:sz w:val="24"/>
        </w:rPr>
        <w:t>单位的</w:t>
      </w:r>
      <w:r>
        <w:rPr>
          <w:rFonts w:hint="eastAsia" w:ascii="宋体" w:hAnsi="宋体" w:cs="宋体"/>
          <w:sz w:val="24"/>
          <w:u w:val="single"/>
          <w:lang w:eastAsia="zh-CN"/>
        </w:rPr>
        <w:t>乔司街道南区块雨水管道养护项目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杭州市临平区人民政府乔司街道办事处 、</w:t>
      </w:r>
      <w:r>
        <w:rPr>
          <w:rFonts w:hint="eastAsia" w:ascii="宋体" w:hAnsi="宋体" w:cs="宋体"/>
          <w:sz w:val="24"/>
          <w:u w:val="single"/>
          <w:lang w:eastAsia="zh-CN"/>
        </w:rPr>
        <w:t>深圳科宇工程顾问有限公司</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乔司街道南区块雨水管道养护项目</w:t>
      </w:r>
      <w:r>
        <w:rPr>
          <w:rFonts w:hint="eastAsia" w:ascii="宋体" w:hAnsi="宋体" w:cs="宋体"/>
          <w:sz w:val="24"/>
        </w:rPr>
        <w:t>【招标编号：</w:t>
      </w:r>
      <w:r>
        <w:rPr>
          <w:rFonts w:ascii="宋体" w:hAnsi="宋体" w:cs="宋体"/>
          <w:sz w:val="24"/>
        </w:rPr>
        <w:t xml:space="preserve">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乔司街道南区块雨水管道养护项目</w:t>
      </w:r>
      <w:r>
        <w:rPr>
          <w:rFonts w:hint="eastAsia" w:ascii="宋体" w:hAnsi="宋体" w:cs="宋体"/>
          <w:sz w:val="24"/>
        </w:rPr>
        <w:t>【招标编号：</w:t>
      </w:r>
      <w:r>
        <w:rPr>
          <w:rFonts w:hint="eastAsia" w:ascii="宋体" w:hAnsi="宋体" w:cs="宋体"/>
          <w:sz w:val="24"/>
          <w:lang w:eastAsia="zh-CN"/>
        </w:rPr>
        <w:t>KYZFCG-2023-006</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乔司街道南区块雨水管道养护项目</w:t>
      </w:r>
      <w:r>
        <w:rPr>
          <w:rFonts w:hint="eastAsia" w:ascii="宋体" w:hAnsi="宋体" w:cs="宋体"/>
          <w:sz w:val="24"/>
        </w:rPr>
        <w:t>【招标编号：</w:t>
      </w:r>
      <w:r>
        <w:rPr>
          <w:rFonts w:ascii="宋体" w:hAnsi="宋体" w:cs="宋体"/>
          <w:sz w:val="24"/>
        </w:rPr>
        <w:t xml:space="preserve">    </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8"/>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rPr>
          <w:rFonts w:ascii="宋体" w:hAnsi="宋体" w:cs="宋体"/>
        </w:rPr>
      </w:pPr>
      <w:r>
        <w:rPr>
          <w:rFonts w:hint="eastAsia" w:ascii="宋体" w:hAnsi="宋体" w:cs="宋体"/>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杭州市临平区人民政府乔司街道办事处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乔司街道南区块雨水管道养护项目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131845147"/>
    <w:bookmarkStart w:id="519" w:name="_Toc36110187"/>
    <w:bookmarkStart w:id="520" w:name="_Toc164085800"/>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9CC78"/>
    <w:multiLevelType w:val="singleLevel"/>
    <w:tmpl w:val="A229CC78"/>
    <w:lvl w:ilvl="0" w:tentative="0">
      <w:start w:val="12"/>
      <w:numFmt w:val="decimal"/>
      <w:suff w:val="nothing"/>
      <w:lvlText w:val="%1、"/>
      <w:lvlJc w:val="left"/>
    </w:lvl>
  </w:abstractNum>
  <w:abstractNum w:abstractNumId="1">
    <w:nsid w:val="F7041AC3"/>
    <w:multiLevelType w:val="singleLevel"/>
    <w:tmpl w:val="F7041AC3"/>
    <w:lvl w:ilvl="0" w:tentative="0">
      <w:start w:val="3"/>
      <w:numFmt w:val="chineseCounting"/>
      <w:suff w:val="space"/>
      <w:lvlText w:val="第%1部分"/>
      <w:lvlJc w:val="left"/>
      <w:rPr>
        <w:rFonts w:hint="eastAsia"/>
      </w:rPr>
    </w:lvl>
  </w:abstractNum>
  <w:abstractNum w:abstractNumId="2">
    <w:nsid w:val="5D4C2595"/>
    <w:multiLevelType w:val="singleLevel"/>
    <w:tmpl w:val="5D4C2595"/>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kNmE2NjZjNzNmNjEwZmI5OWM1NWQyODM4ZDRkZjIifQ=="/>
    <w:docVar w:name="KSO_WPS_MARK_KEY" w:val="0c8adf94-d205-4985-a248-c1d0cfb2d04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4F6C"/>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B11"/>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84F"/>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280"/>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47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B3B"/>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657"/>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D38"/>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AA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1CA9"/>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CD3"/>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7686"/>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D04CB"/>
    <w:rsid w:val="04F66F48"/>
    <w:rsid w:val="05251E14"/>
    <w:rsid w:val="052F267F"/>
    <w:rsid w:val="055B3806"/>
    <w:rsid w:val="05A16594"/>
    <w:rsid w:val="05A7762D"/>
    <w:rsid w:val="060E5941"/>
    <w:rsid w:val="06110FAF"/>
    <w:rsid w:val="06493CA7"/>
    <w:rsid w:val="065A6178"/>
    <w:rsid w:val="066F1CF3"/>
    <w:rsid w:val="06930BB8"/>
    <w:rsid w:val="06D61CE8"/>
    <w:rsid w:val="07245D42"/>
    <w:rsid w:val="07264C62"/>
    <w:rsid w:val="0779354C"/>
    <w:rsid w:val="08061376"/>
    <w:rsid w:val="08452D77"/>
    <w:rsid w:val="085E2C0C"/>
    <w:rsid w:val="086401F8"/>
    <w:rsid w:val="08751CAA"/>
    <w:rsid w:val="087E4C40"/>
    <w:rsid w:val="088840F9"/>
    <w:rsid w:val="08A871D0"/>
    <w:rsid w:val="08D64E45"/>
    <w:rsid w:val="08D66AD6"/>
    <w:rsid w:val="08DA33A3"/>
    <w:rsid w:val="08E80F13"/>
    <w:rsid w:val="091874B6"/>
    <w:rsid w:val="09335624"/>
    <w:rsid w:val="0944690F"/>
    <w:rsid w:val="09535675"/>
    <w:rsid w:val="095F057D"/>
    <w:rsid w:val="09642282"/>
    <w:rsid w:val="09733572"/>
    <w:rsid w:val="09772C16"/>
    <w:rsid w:val="098353B5"/>
    <w:rsid w:val="09A92330"/>
    <w:rsid w:val="09B06B87"/>
    <w:rsid w:val="09C13146"/>
    <w:rsid w:val="09DF7D9A"/>
    <w:rsid w:val="09E04166"/>
    <w:rsid w:val="0A0538C3"/>
    <w:rsid w:val="0A1C0718"/>
    <w:rsid w:val="0A3E7710"/>
    <w:rsid w:val="0A5B7E63"/>
    <w:rsid w:val="0AA374A5"/>
    <w:rsid w:val="0AAB7649"/>
    <w:rsid w:val="0ABC5606"/>
    <w:rsid w:val="0AC41E4E"/>
    <w:rsid w:val="0B30404E"/>
    <w:rsid w:val="0B4C6C14"/>
    <w:rsid w:val="0B547599"/>
    <w:rsid w:val="0B631A88"/>
    <w:rsid w:val="0B683D45"/>
    <w:rsid w:val="0B7F3F11"/>
    <w:rsid w:val="0B884417"/>
    <w:rsid w:val="0BBA4FFF"/>
    <w:rsid w:val="0BF6188C"/>
    <w:rsid w:val="0BF73C91"/>
    <w:rsid w:val="0C170175"/>
    <w:rsid w:val="0C571A41"/>
    <w:rsid w:val="0C5C1171"/>
    <w:rsid w:val="0C5E1CBC"/>
    <w:rsid w:val="0C615B50"/>
    <w:rsid w:val="0C697941"/>
    <w:rsid w:val="0C8445DA"/>
    <w:rsid w:val="0C87121B"/>
    <w:rsid w:val="0C874EE1"/>
    <w:rsid w:val="0CC007F7"/>
    <w:rsid w:val="0CC617AC"/>
    <w:rsid w:val="0CE618DF"/>
    <w:rsid w:val="0CFE707A"/>
    <w:rsid w:val="0D001F5E"/>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20F7E"/>
    <w:rsid w:val="0E9D0089"/>
    <w:rsid w:val="0EB803EE"/>
    <w:rsid w:val="0EF94D4B"/>
    <w:rsid w:val="0F42451A"/>
    <w:rsid w:val="0F4958DC"/>
    <w:rsid w:val="0F515DF7"/>
    <w:rsid w:val="0F596BA8"/>
    <w:rsid w:val="0F6248D2"/>
    <w:rsid w:val="0F693536"/>
    <w:rsid w:val="0F7B0511"/>
    <w:rsid w:val="0F7B76D9"/>
    <w:rsid w:val="0F816ACD"/>
    <w:rsid w:val="0F9832DB"/>
    <w:rsid w:val="0FBD621E"/>
    <w:rsid w:val="0FBF3FD2"/>
    <w:rsid w:val="0FBF7FF3"/>
    <w:rsid w:val="10646583"/>
    <w:rsid w:val="107D4B15"/>
    <w:rsid w:val="108A3C80"/>
    <w:rsid w:val="10AA1E71"/>
    <w:rsid w:val="10C26171"/>
    <w:rsid w:val="10F33360"/>
    <w:rsid w:val="10FC16EA"/>
    <w:rsid w:val="110F1D40"/>
    <w:rsid w:val="11266F33"/>
    <w:rsid w:val="118963A1"/>
    <w:rsid w:val="11C6522A"/>
    <w:rsid w:val="11C87766"/>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3471F"/>
    <w:rsid w:val="14982588"/>
    <w:rsid w:val="149A5AD9"/>
    <w:rsid w:val="14A7619D"/>
    <w:rsid w:val="150536C3"/>
    <w:rsid w:val="150C1963"/>
    <w:rsid w:val="150F124A"/>
    <w:rsid w:val="151447A0"/>
    <w:rsid w:val="154A6454"/>
    <w:rsid w:val="15762120"/>
    <w:rsid w:val="15AF7257"/>
    <w:rsid w:val="16A8729C"/>
    <w:rsid w:val="16B33777"/>
    <w:rsid w:val="16BC70A7"/>
    <w:rsid w:val="16C6339E"/>
    <w:rsid w:val="172F2D79"/>
    <w:rsid w:val="17557BEF"/>
    <w:rsid w:val="17D349C1"/>
    <w:rsid w:val="1830729E"/>
    <w:rsid w:val="1870062C"/>
    <w:rsid w:val="18817102"/>
    <w:rsid w:val="18830A15"/>
    <w:rsid w:val="18852B28"/>
    <w:rsid w:val="188934B8"/>
    <w:rsid w:val="188B5321"/>
    <w:rsid w:val="18A230A3"/>
    <w:rsid w:val="19932372"/>
    <w:rsid w:val="19A20DD5"/>
    <w:rsid w:val="19AE03F1"/>
    <w:rsid w:val="19BC1336"/>
    <w:rsid w:val="1A071A03"/>
    <w:rsid w:val="1A1F16AE"/>
    <w:rsid w:val="1A3B5C77"/>
    <w:rsid w:val="1A6E148E"/>
    <w:rsid w:val="1A984BAD"/>
    <w:rsid w:val="1AB8220E"/>
    <w:rsid w:val="1AE4166C"/>
    <w:rsid w:val="1AF06CFB"/>
    <w:rsid w:val="1AF11B8D"/>
    <w:rsid w:val="1B11359C"/>
    <w:rsid w:val="1B2A271F"/>
    <w:rsid w:val="1B530544"/>
    <w:rsid w:val="1B601535"/>
    <w:rsid w:val="1B69558D"/>
    <w:rsid w:val="1B713184"/>
    <w:rsid w:val="1B7E36A3"/>
    <w:rsid w:val="1BA209CF"/>
    <w:rsid w:val="1BB4777D"/>
    <w:rsid w:val="1BD75AB8"/>
    <w:rsid w:val="1C0459C2"/>
    <w:rsid w:val="1C1B3B4A"/>
    <w:rsid w:val="1C88086E"/>
    <w:rsid w:val="1D266CE1"/>
    <w:rsid w:val="1D2914AB"/>
    <w:rsid w:val="1D3963AF"/>
    <w:rsid w:val="1D6A673C"/>
    <w:rsid w:val="1D9247AE"/>
    <w:rsid w:val="1DB26975"/>
    <w:rsid w:val="1DB567EC"/>
    <w:rsid w:val="1DC95C2B"/>
    <w:rsid w:val="1DCF0A61"/>
    <w:rsid w:val="1DF51A98"/>
    <w:rsid w:val="1E3D060F"/>
    <w:rsid w:val="1E3F7D2E"/>
    <w:rsid w:val="1E4134E4"/>
    <w:rsid w:val="1E5062B3"/>
    <w:rsid w:val="1E523514"/>
    <w:rsid w:val="1E714A66"/>
    <w:rsid w:val="1E802593"/>
    <w:rsid w:val="1E8B6156"/>
    <w:rsid w:val="1EA703CC"/>
    <w:rsid w:val="1EB7330C"/>
    <w:rsid w:val="1F0A0FF3"/>
    <w:rsid w:val="1F5771FF"/>
    <w:rsid w:val="1F6726AE"/>
    <w:rsid w:val="1FD52DD5"/>
    <w:rsid w:val="1FE868A9"/>
    <w:rsid w:val="20034907"/>
    <w:rsid w:val="20173E4B"/>
    <w:rsid w:val="204E48BC"/>
    <w:rsid w:val="207F2647"/>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522D8"/>
    <w:rsid w:val="236B425F"/>
    <w:rsid w:val="23836192"/>
    <w:rsid w:val="23901F29"/>
    <w:rsid w:val="239C0061"/>
    <w:rsid w:val="23A322C4"/>
    <w:rsid w:val="23B908A4"/>
    <w:rsid w:val="23E95BEF"/>
    <w:rsid w:val="23FD0064"/>
    <w:rsid w:val="245375B0"/>
    <w:rsid w:val="24642C0A"/>
    <w:rsid w:val="24B22173"/>
    <w:rsid w:val="24B95AD9"/>
    <w:rsid w:val="24BE24DA"/>
    <w:rsid w:val="24CF5825"/>
    <w:rsid w:val="24D663E6"/>
    <w:rsid w:val="24D77F2B"/>
    <w:rsid w:val="25102722"/>
    <w:rsid w:val="258B00E2"/>
    <w:rsid w:val="25997F8D"/>
    <w:rsid w:val="25A917A6"/>
    <w:rsid w:val="25BE27CC"/>
    <w:rsid w:val="25C63437"/>
    <w:rsid w:val="25F74A5C"/>
    <w:rsid w:val="2628662C"/>
    <w:rsid w:val="262D45DE"/>
    <w:rsid w:val="26871DC8"/>
    <w:rsid w:val="26A53EF9"/>
    <w:rsid w:val="26A94201"/>
    <w:rsid w:val="26AC274F"/>
    <w:rsid w:val="27044A29"/>
    <w:rsid w:val="271605E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35C23"/>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E1E8B"/>
    <w:rsid w:val="2E4B082A"/>
    <w:rsid w:val="2E5D4E86"/>
    <w:rsid w:val="2E5D790B"/>
    <w:rsid w:val="2E9A3C18"/>
    <w:rsid w:val="2EBB0FEE"/>
    <w:rsid w:val="2EC63002"/>
    <w:rsid w:val="2EEB0EA8"/>
    <w:rsid w:val="2F0A6B38"/>
    <w:rsid w:val="2F195A15"/>
    <w:rsid w:val="2F946CCB"/>
    <w:rsid w:val="2FD25781"/>
    <w:rsid w:val="2FDC745C"/>
    <w:rsid w:val="2FFD7934"/>
    <w:rsid w:val="30281C88"/>
    <w:rsid w:val="30733ACD"/>
    <w:rsid w:val="308415B4"/>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463B2"/>
    <w:rsid w:val="33E65AB8"/>
    <w:rsid w:val="33EB55CD"/>
    <w:rsid w:val="33EC4C02"/>
    <w:rsid w:val="340D2360"/>
    <w:rsid w:val="3410665D"/>
    <w:rsid w:val="34211214"/>
    <w:rsid w:val="342E63AB"/>
    <w:rsid w:val="343337E2"/>
    <w:rsid w:val="345A624E"/>
    <w:rsid w:val="34950E68"/>
    <w:rsid w:val="34986E94"/>
    <w:rsid w:val="34AF62C9"/>
    <w:rsid w:val="34CB4388"/>
    <w:rsid w:val="34FA6E12"/>
    <w:rsid w:val="354C5B73"/>
    <w:rsid w:val="354D7158"/>
    <w:rsid w:val="355042A7"/>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929BD"/>
    <w:rsid w:val="3BE67348"/>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4046"/>
    <w:rsid w:val="3E9A59DE"/>
    <w:rsid w:val="3EAF4836"/>
    <w:rsid w:val="3EC33DFA"/>
    <w:rsid w:val="3F060E16"/>
    <w:rsid w:val="3F1D1096"/>
    <w:rsid w:val="3F2F0234"/>
    <w:rsid w:val="3F6363FE"/>
    <w:rsid w:val="3F756B8F"/>
    <w:rsid w:val="3F95482B"/>
    <w:rsid w:val="3FED7D1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02BFC"/>
    <w:rsid w:val="44DE1391"/>
    <w:rsid w:val="451B225C"/>
    <w:rsid w:val="452410C9"/>
    <w:rsid w:val="45317DFB"/>
    <w:rsid w:val="456D3CE4"/>
    <w:rsid w:val="4579042C"/>
    <w:rsid w:val="457F0571"/>
    <w:rsid w:val="45851176"/>
    <w:rsid w:val="45C63B94"/>
    <w:rsid w:val="460E7DA5"/>
    <w:rsid w:val="46422483"/>
    <w:rsid w:val="46431172"/>
    <w:rsid w:val="4659254A"/>
    <w:rsid w:val="465B0637"/>
    <w:rsid w:val="465E3F0D"/>
    <w:rsid w:val="466A16E6"/>
    <w:rsid w:val="46893F2B"/>
    <w:rsid w:val="46C4686E"/>
    <w:rsid w:val="46E15980"/>
    <w:rsid w:val="477B778F"/>
    <w:rsid w:val="478203EC"/>
    <w:rsid w:val="47B025FA"/>
    <w:rsid w:val="4809698F"/>
    <w:rsid w:val="4811697D"/>
    <w:rsid w:val="487A3E25"/>
    <w:rsid w:val="488B5503"/>
    <w:rsid w:val="48937E21"/>
    <w:rsid w:val="489A0361"/>
    <w:rsid w:val="48B94FF3"/>
    <w:rsid w:val="48E37AAB"/>
    <w:rsid w:val="48E82EF8"/>
    <w:rsid w:val="48FD4B4C"/>
    <w:rsid w:val="490A68E0"/>
    <w:rsid w:val="491055FE"/>
    <w:rsid w:val="492D3516"/>
    <w:rsid w:val="495F5B3E"/>
    <w:rsid w:val="496F77D7"/>
    <w:rsid w:val="497654FD"/>
    <w:rsid w:val="49850F48"/>
    <w:rsid w:val="49B64211"/>
    <w:rsid w:val="49E56AF9"/>
    <w:rsid w:val="49F6167F"/>
    <w:rsid w:val="4A064FA0"/>
    <w:rsid w:val="4A16615C"/>
    <w:rsid w:val="4A4424D7"/>
    <w:rsid w:val="4A930919"/>
    <w:rsid w:val="4AB82D0F"/>
    <w:rsid w:val="4AEB7664"/>
    <w:rsid w:val="4AFD7C19"/>
    <w:rsid w:val="4B0567D1"/>
    <w:rsid w:val="4B0C4228"/>
    <w:rsid w:val="4B1911F8"/>
    <w:rsid w:val="4B236AAE"/>
    <w:rsid w:val="4B4A3568"/>
    <w:rsid w:val="4B707271"/>
    <w:rsid w:val="4B9739F7"/>
    <w:rsid w:val="4BEE2503"/>
    <w:rsid w:val="4C245A30"/>
    <w:rsid w:val="4C341C88"/>
    <w:rsid w:val="4CB6685F"/>
    <w:rsid w:val="4CC367FE"/>
    <w:rsid w:val="4CE358C3"/>
    <w:rsid w:val="4D077F3C"/>
    <w:rsid w:val="4D123355"/>
    <w:rsid w:val="4D2A3B31"/>
    <w:rsid w:val="4D312C52"/>
    <w:rsid w:val="4D905305"/>
    <w:rsid w:val="4D964A72"/>
    <w:rsid w:val="4D9C1254"/>
    <w:rsid w:val="4E72741A"/>
    <w:rsid w:val="4E793892"/>
    <w:rsid w:val="4E7B111D"/>
    <w:rsid w:val="4E800872"/>
    <w:rsid w:val="4EC569ED"/>
    <w:rsid w:val="4ED50EA1"/>
    <w:rsid w:val="4EEC050C"/>
    <w:rsid w:val="4F0C71D9"/>
    <w:rsid w:val="4F104EC3"/>
    <w:rsid w:val="4F47354A"/>
    <w:rsid w:val="4F911C54"/>
    <w:rsid w:val="4FE625E0"/>
    <w:rsid w:val="4FF37536"/>
    <w:rsid w:val="5021480F"/>
    <w:rsid w:val="50962ECB"/>
    <w:rsid w:val="50A42E38"/>
    <w:rsid w:val="50A4577F"/>
    <w:rsid w:val="50B73D1F"/>
    <w:rsid w:val="50BD5BC9"/>
    <w:rsid w:val="50C11EEE"/>
    <w:rsid w:val="50CD49B2"/>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C50DF"/>
    <w:rsid w:val="54013861"/>
    <w:rsid w:val="54487265"/>
    <w:rsid w:val="544D6070"/>
    <w:rsid w:val="545A5A76"/>
    <w:rsid w:val="545F7ABE"/>
    <w:rsid w:val="54605E1E"/>
    <w:rsid w:val="54B3506A"/>
    <w:rsid w:val="54CA0D16"/>
    <w:rsid w:val="54DD4057"/>
    <w:rsid w:val="54E7490F"/>
    <w:rsid w:val="550764A4"/>
    <w:rsid w:val="550B2BF6"/>
    <w:rsid w:val="55214EB5"/>
    <w:rsid w:val="55364EFD"/>
    <w:rsid w:val="555D4828"/>
    <w:rsid w:val="557A4C8B"/>
    <w:rsid w:val="558931E1"/>
    <w:rsid w:val="55894EC5"/>
    <w:rsid w:val="55923347"/>
    <w:rsid w:val="55925180"/>
    <w:rsid w:val="55983B1B"/>
    <w:rsid w:val="55A8376B"/>
    <w:rsid w:val="55D921E6"/>
    <w:rsid w:val="55DC29B6"/>
    <w:rsid w:val="55DD4241"/>
    <w:rsid w:val="562E3C06"/>
    <w:rsid w:val="566B6D1E"/>
    <w:rsid w:val="56FD7EE9"/>
    <w:rsid w:val="57032A2C"/>
    <w:rsid w:val="570F5219"/>
    <w:rsid w:val="57560E4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EE47B1"/>
    <w:rsid w:val="595E1678"/>
    <w:rsid w:val="596D5BD4"/>
    <w:rsid w:val="597E3DD8"/>
    <w:rsid w:val="59B00B81"/>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22898"/>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E6B1A"/>
    <w:rsid w:val="5EAB4ED3"/>
    <w:rsid w:val="5EFC7377"/>
    <w:rsid w:val="5F06174D"/>
    <w:rsid w:val="5F3A3602"/>
    <w:rsid w:val="5F45733B"/>
    <w:rsid w:val="5F6277C6"/>
    <w:rsid w:val="5F6D0B1D"/>
    <w:rsid w:val="5F8D0B82"/>
    <w:rsid w:val="5FCC5339"/>
    <w:rsid w:val="5FDA7816"/>
    <w:rsid w:val="5FE34A5B"/>
    <w:rsid w:val="5FFE1E36"/>
    <w:rsid w:val="60232584"/>
    <w:rsid w:val="602A74EF"/>
    <w:rsid w:val="607330CE"/>
    <w:rsid w:val="60825176"/>
    <w:rsid w:val="609F2AC4"/>
    <w:rsid w:val="60FA2EE8"/>
    <w:rsid w:val="61054A27"/>
    <w:rsid w:val="610A52BC"/>
    <w:rsid w:val="61100A88"/>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24833"/>
    <w:rsid w:val="635600A5"/>
    <w:rsid w:val="635B1DB5"/>
    <w:rsid w:val="63711FED"/>
    <w:rsid w:val="63880DDC"/>
    <w:rsid w:val="638D750D"/>
    <w:rsid w:val="639B13F6"/>
    <w:rsid w:val="63AC6CC0"/>
    <w:rsid w:val="64055776"/>
    <w:rsid w:val="64240056"/>
    <w:rsid w:val="643E143A"/>
    <w:rsid w:val="64491666"/>
    <w:rsid w:val="645B2E85"/>
    <w:rsid w:val="648B6EEF"/>
    <w:rsid w:val="64C158BF"/>
    <w:rsid w:val="64CE2EAA"/>
    <w:rsid w:val="653C3090"/>
    <w:rsid w:val="657F20DA"/>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87581"/>
    <w:rsid w:val="67EB1AB4"/>
    <w:rsid w:val="67FA1285"/>
    <w:rsid w:val="68551F4F"/>
    <w:rsid w:val="68741C6C"/>
    <w:rsid w:val="687C10C9"/>
    <w:rsid w:val="68840C16"/>
    <w:rsid w:val="68872541"/>
    <w:rsid w:val="68876EFB"/>
    <w:rsid w:val="68884654"/>
    <w:rsid w:val="689F444F"/>
    <w:rsid w:val="68A011E4"/>
    <w:rsid w:val="68B96DBB"/>
    <w:rsid w:val="68C87588"/>
    <w:rsid w:val="68CA2805"/>
    <w:rsid w:val="68E937A3"/>
    <w:rsid w:val="691664E5"/>
    <w:rsid w:val="693E15D3"/>
    <w:rsid w:val="69627681"/>
    <w:rsid w:val="6977531D"/>
    <w:rsid w:val="69CC2BFF"/>
    <w:rsid w:val="69FD55B8"/>
    <w:rsid w:val="6A064AD2"/>
    <w:rsid w:val="6A0B1C62"/>
    <w:rsid w:val="6A2406C8"/>
    <w:rsid w:val="6A400519"/>
    <w:rsid w:val="6AC408DF"/>
    <w:rsid w:val="6ADE0BD1"/>
    <w:rsid w:val="6AE96859"/>
    <w:rsid w:val="6B147746"/>
    <w:rsid w:val="6B24787C"/>
    <w:rsid w:val="6B573233"/>
    <w:rsid w:val="6B5B6274"/>
    <w:rsid w:val="6B935D53"/>
    <w:rsid w:val="6BBF3BA7"/>
    <w:rsid w:val="6C196F71"/>
    <w:rsid w:val="6C226FCB"/>
    <w:rsid w:val="6C31226F"/>
    <w:rsid w:val="6C552F0B"/>
    <w:rsid w:val="6C8C67B7"/>
    <w:rsid w:val="6C9D744C"/>
    <w:rsid w:val="6CA71D4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86180"/>
    <w:rsid w:val="6F8331F1"/>
    <w:rsid w:val="6FAE1A09"/>
    <w:rsid w:val="6FD75BF8"/>
    <w:rsid w:val="707723D0"/>
    <w:rsid w:val="70814D43"/>
    <w:rsid w:val="70F5661B"/>
    <w:rsid w:val="71360107"/>
    <w:rsid w:val="713B688E"/>
    <w:rsid w:val="716D5C60"/>
    <w:rsid w:val="71D43752"/>
    <w:rsid w:val="71F1796A"/>
    <w:rsid w:val="72154626"/>
    <w:rsid w:val="72262B5D"/>
    <w:rsid w:val="72283FF7"/>
    <w:rsid w:val="722E7212"/>
    <w:rsid w:val="723A0474"/>
    <w:rsid w:val="725923E4"/>
    <w:rsid w:val="72791CAD"/>
    <w:rsid w:val="72864BF7"/>
    <w:rsid w:val="729023FC"/>
    <w:rsid w:val="73046AB9"/>
    <w:rsid w:val="7312388B"/>
    <w:rsid w:val="73330ED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610C5"/>
    <w:rsid w:val="77052AA4"/>
    <w:rsid w:val="77136511"/>
    <w:rsid w:val="77340A39"/>
    <w:rsid w:val="77351FD0"/>
    <w:rsid w:val="77472422"/>
    <w:rsid w:val="777F31F2"/>
    <w:rsid w:val="77D1700D"/>
    <w:rsid w:val="77EC04CC"/>
    <w:rsid w:val="77F53293"/>
    <w:rsid w:val="781B5E53"/>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91390"/>
    <w:rsid w:val="7A3E5150"/>
    <w:rsid w:val="7A4670D6"/>
    <w:rsid w:val="7A534B63"/>
    <w:rsid w:val="7A615382"/>
    <w:rsid w:val="7A67303B"/>
    <w:rsid w:val="7AA67B70"/>
    <w:rsid w:val="7AAB1D04"/>
    <w:rsid w:val="7ABA4368"/>
    <w:rsid w:val="7AD05746"/>
    <w:rsid w:val="7B257FFD"/>
    <w:rsid w:val="7B273D20"/>
    <w:rsid w:val="7B343476"/>
    <w:rsid w:val="7B5A2978"/>
    <w:rsid w:val="7B5A7E4C"/>
    <w:rsid w:val="7B667AF9"/>
    <w:rsid w:val="7B7468F8"/>
    <w:rsid w:val="7BCE4A94"/>
    <w:rsid w:val="7BEE0103"/>
    <w:rsid w:val="7C0900CD"/>
    <w:rsid w:val="7C0A0FE4"/>
    <w:rsid w:val="7C254906"/>
    <w:rsid w:val="7C38637B"/>
    <w:rsid w:val="7C590818"/>
    <w:rsid w:val="7C7615DC"/>
    <w:rsid w:val="7C7C10F6"/>
    <w:rsid w:val="7C853BEA"/>
    <w:rsid w:val="7C881368"/>
    <w:rsid w:val="7C8E5621"/>
    <w:rsid w:val="7CE27788"/>
    <w:rsid w:val="7D0C32F1"/>
    <w:rsid w:val="7D0F408D"/>
    <w:rsid w:val="7D491C6C"/>
    <w:rsid w:val="7D5429C0"/>
    <w:rsid w:val="7D6E6D43"/>
    <w:rsid w:val="7DB06B11"/>
    <w:rsid w:val="7DB57A34"/>
    <w:rsid w:val="7DE60973"/>
    <w:rsid w:val="7DEF0916"/>
    <w:rsid w:val="7E1E5218"/>
    <w:rsid w:val="7E4F0C34"/>
    <w:rsid w:val="7E824FBB"/>
    <w:rsid w:val="7E9A4E1F"/>
    <w:rsid w:val="7EA7723A"/>
    <w:rsid w:val="7EAB0E6D"/>
    <w:rsid w:val="7EF56FBB"/>
    <w:rsid w:val="7F0768EB"/>
    <w:rsid w:val="7F143BEC"/>
    <w:rsid w:val="7F715AF2"/>
    <w:rsid w:val="7F886E69"/>
    <w:rsid w:val="7FE44850"/>
    <w:rsid w:val="7FEA03D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7"/>
    <w:qFormat/>
    <w:uiPriority w:val="0"/>
    <w:pPr>
      <w:spacing w:line="480" w:lineRule="exact"/>
      <w:ind w:firstLine="480" w:firstLineChars="200"/>
    </w:pPr>
    <w:rPr>
      <w:rFonts w:ascii="宋体" w:hAnsi="宋体"/>
      <w:sz w:val="24"/>
    </w:rPr>
  </w:style>
  <w:style w:type="paragraph" w:customStyle="1" w:styleId="3">
    <w:name w:val="正文文本首行缩进 21"/>
    <w:basedOn w:val="4"/>
    <w:qFormat/>
    <w:uiPriority w:val="99"/>
    <w:pPr>
      <w:tabs>
        <w:tab w:val="right" w:leader="dot" w:pos="8268"/>
      </w:tabs>
      <w:spacing w:line="200" w:lineRule="atLeast"/>
      <w:ind w:firstLine="420"/>
    </w:pPr>
    <w:rPr>
      <w:rFonts w:ascii="宋体" w:cs="宋体"/>
      <w:spacing w:val="-4"/>
      <w:sz w:val="18"/>
      <w:szCs w:val="18"/>
    </w:rPr>
  </w:style>
  <w:style w:type="paragraph" w:customStyle="1" w:styleId="4">
    <w:name w:val="正文缩进1"/>
    <w:basedOn w:val="5"/>
    <w:next w:val="2"/>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5">
    <w:name w:val="正文1"/>
    <w:basedOn w:val="6"/>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4"/>
    <w:qFormat/>
    <w:uiPriority w:val="0"/>
    <w:pPr>
      <w:shd w:val="clear" w:color="auto" w:fill="000080"/>
    </w:pPr>
  </w:style>
  <w:style w:type="paragraph" w:styleId="24">
    <w:name w:val="annotation text"/>
    <w:basedOn w:val="1"/>
    <w:link w:val="346"/>
    <w:qFormat/>
    <w:uiPriority w:val="99"/>
    <w:pPr>
      <w:jc w:val="left"/>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2"/>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next w:val="30"/>
    <w:link w:val="323"/>
    <w:qFormat/>
    <w:uiPriority w:val="0"/>
    <w:pPr>
      <w:ind w:firstLine="420"/>
    </w:pPr>
    <w:rPr>
      <w:rFonts w:hAnsi="Calibri" w:cs="Times New Roman"/>
      <w:snapToGrid/>
      <w:szCs w:val="20"/>
    </w:rPr>
  </w:style>
  <w:style w:type="paragraph" w:styleId="30">
    <w:name w:val="toc 6"/>
    <w:basedOn w:val="1"/>
    <w:next w:val="1"/>
    <w:qFormat/>
    <w:uiPriority w:val="0"/>
    <w:pPr>
      <w:ind w:left="2100" w:leftChars="1000"/>
    </w:p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127"/>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3"/>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2"/>
    <w:qFormat/>
    <w:uiPriority w:val="0"/>
    <w:rPr>
      <w:lang w:val="zh-CN"/>
    </w:rPr>
  </w:style>
  <w:style w:type="paragraph" w:styleId="43">
    <w:name w:val="Balloon Text"/>
    <w:basedOn w:val="1"/>
    <w:link w:val="190"/>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0"/>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98"/>
    <w:qFormat/>
    <w:uiPriority w:val="0"/>
    <w:rPr>
      <w:b/>
      <w:bCs/>
    </w:rPr>
  </w:style>
  <w:style w:type="paragraph" w:styleId="64">
    <w:name w:val="Body Text First Indent 2"/>
    <w:basedOn w:val="2"/>
    <w:next w:val="1"/>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文本首行缩进 2"/>
    <w:basedOn w:val="4"/>
    <w:qFormat/>
    <w:uiPriority w:val="99"/>
    <w:pPr>
      <w:spacing w:line="200" w:lineRule="atLeast"/>
      <w:ind w:firstLine="420"/>
    </w:pPr>
    <w:rPr>
      <w:rFonts w:ascii="宋体" w:hAnsi="Courier New" w:cs="宋体"/>
      <w:spacing w:val="-4"/>
      <w:sz w:val="18"/>
      <w:szCs w:val="18"/>
    </w:rPr>
  </w:style>
  <w:style w:type="paragraph" w:customStyle="1" w:styleId="83">
    <w:name w:val="正文文本首行缩进 211"/>
    <w:basedOn w:val="2"/>
    <w:qFormat/>
    <w:uiPriority w:val="99"/>
    <w:pPr>
      <w:spacing w:line="200" w:lineRule="atLeast"/>
      <w:ind w:firstLine="420"/>
    </w:pPr>
    <w:rPr>
      <w:rFonts w:hAnsi="Courier New"/>
      <w:spacing w:val="-4"/>
      <w:sz w:val="18"/>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3"/>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8"/>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40"/>
    <w:qFormat/>
    <w:uiPriority w:val="0"/>
    <w:rPr>
      <w:rFonts w:ascii="宋体"/>
      <w:kern w:val="2"/>
      <w:sz w:val="24"/>
      <w:szCs w:val="21"/>
      <w:lang w:val="zh-CN"/>
    </w:rPr>
  </w:style>
  <w:style w:type="character" w:customStyle="1" w:styleId="184">
    <w:name w:val="标题 9 字符"/>
    <w:link w:val="16"/>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3"/>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0"/>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3"/>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5"/>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11"/>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21"/>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7"/>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12"/>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5"/>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60"/>
    <w:qFormat/>
    <w:uiPriority w:val="0"/>
    <w:rPr>
      <w:rFonts w:ascii="黑体" w:hAnsi="Courier New" w:eastAsia="黑体"/>
    </w:rPr>
  </w:style>
  <w:style w:type="character" w:customStyle="1" w:styleId="304">
    <w:name w:val="正文文本 2 字符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11"/>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4"/>
    <w:qFormat/>
    <w:uiPriority w:val="0"/>
    <w:rPr>
      <w:b/>
      <w:bCs/>
      <w:kern w:val="2"/>
      <w:sz w:val="24"/>
      <w:szCs w:val="24"/>
    </w:rPr>
  </w:style>
  <w:style w:type="character" w:customStyle="1" w:styleId="310">
    <w:name w:val="正文文本缩进 2 字符"/>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9"/>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11"/>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6"/>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4"/>
    <w:qFormat/>
    <w:uiPriority w:val="99"/>
    <w:rPr>
      <w:kern w:val="2"/>
      <w:sz w:val="21"/>
      <w:szCs w:val="24"/>
    </w:rPr>
  </w:style>
  <w:style w:type="character" w:customStyle="1" w:styleId="347">
    <w:name w:val="签名 字符"/>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5"/>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0"/>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8"/>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1"/>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8"/>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9"/>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2"/>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9"/>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1"/>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7"/>
    <w:qFormat/>
    <w:uiPriority w:val="0"/>
    <w:pPr>
      <w:tabs>
        <w:tab w:val="left" w:pos="840"/>
      </w:tabs>
      <w:adjustRightInd/>
      <w:ind w:left="840" w:hanging="420"/>
    </w:pPr>
  </w:style>
  <w:style w:type="paragraph" w:customStyle="1" w:styleId="628">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11"/>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9"/>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9"/>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3"/>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qFormat/>
    <w:uiPriority w:val="0"/>
    <w:pPr>
      <w:tabs>
        <w:tab w:val="left" w:pos="1080"/>
      </w:tabs>
      <w:ind w:left="1080" w:hanging="1080"/>
    </w:pPr>
  </w:style>
  <w:style w:type="paragraph" w:customStyle="1" w:styleId="897">
    <w:name w:val="数字标题1"/>
    <w:basedOn w:val="7"/>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2"/>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37013</Words>
  <Characters>39195</Characters>
  <Lines>326</Lines>
  <Paragraphs>92</Paragraphs>
  <TotalTime>7</TotalTime>
  <ScaleCrop>false</ScaleCrop>
  <LinksUpToDate>false</LinksUpToDate>
  <CharactersWithSpaces>44709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社会猪</cp:lastModifiedBy>
  <cp:lastPrinted>2023-07-04T01:30:00Z</cp:lastPrinted>
  <dcterms:modified xsi:type="dcterms:W3CDTF">2023-08-31T02:15:31Z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174593048BB04AD0A33D9797DC86834B</vt:lpwstr>
  </property>
</Properties>
</file>