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6D92">
      <w:pPr>
        <w:spacing w:line="360" w:lineRule="auto"/>
        <w:jc w:val="both"/>
        <w:rPr>
          <w:rFonts w:hint="eastAsia" w:ascii="宋体" w:hAnsi="宋体" w:eastAsia="宋体" w:cs="宋体"/>
          <w:b/>
          <w:color w:val="auto"/>
          <w:spacing w:val="80"/>
          <w:sz w:val="24"/>
          <w:highlight w:val="none"/>
          <w14:shadow w14:blurRad="50800" w14:dist="38100" w14:dir="2700000" w14:sx="100000" w14:sy="100000" w14:kx="0" w14:ky="0" w14:algn="tl">
            <w14:srgbClr w14:val="000000">
              <w14:alpha w14:val="60000"/>
            </w14:srgbClr>
          </w14:shadow>
        </w:rPr>
      </w:pPr>
    </w:p>
    <w:p w14:paraId="496E84AF">
      <w:pPr>
        <w:spacing w:line="360" w:lineRule="auto"/>
        <w:jc w:val="center"/>
        <w:rPr>
          <w:rFonts w:hint="eastAsia" w:ascii="宋体" w:hAnsi="宋体" w:eastAsia="宋体" w:cs="宋体"/>
          <w:b/>
          <w:color w:val="auto"/>
          <w:spacing w:val="80"/>
          <w:sz w:val="24"/>
          <w:highlight w:val="none"/>
          <w14:shadow w14:blurRad="50800" w14:dist="38100" w14:dir="2700000" w14:sx="100000" w14:sy="100000" w14:kx="0" w14:ky="0" w14:algn="tl">
            <w14:srgbClr w14:val="000000">
              <w14:alpha w14:val="60000"/>
            </w14:srgbClr>
          </w14:shadow>
        </w:rPr>
      </w:pPr>
    </w:p>
    <w:p w14:paraId="2B10B0C3">
      <w:pPr>
        <w:spacing w:line="360" w:lineRule="auto"/>
        <w:jc w:val="center"/>
        <w:rPr>
          <w:rFonts w:hint="default" w:ascii="宋体" w:hAnsi="宋体" w:eastAsia="宋体" w:cs="宋体"/>
          <w:b/>
          <w:color w:val="auto"/>
          <w:spacing w:val="80"/>
          <w:sz w:val="52"/>
          <w:szCs w:val="52"/>
          <w:highlight w:val="none"/>
          <w:lang w:val="en-US"/>
        </w:rPr>
      </w:pPr>
      <w:r>
        <w:rPr>
          <w:rFonts w:hint="eastAsia" w:ascii="宋体" w:hAnsi="宋体" w:eastAsia="宋体" w:cs="宋体"/>
          <w:b/>
          <w:color w:val="auto"/>
          <w:spacing w:val="80"/>
          <w:sz w:val="52"/>
          <w:szCs w:val="52"/>
          <w:highlight w:val="none"/>
          <w:lang w:eastAsia="zh-CN"/>
        </w:rPr>
        <w:t>巴里坤县边境乡镇基础设施建设项目（二期）</w:t>
      </w:r>
      <w:r>
        <w:rPr>
          <w:rFonts w:hint="eastAsia" w:ascii="宋体" w:hAnsi="宋体" w:cs="宋体"/>
          <w:b/>
          <w:color w:val="auto"/>
          <w:spacing w:val="80"/>
          <w:sz w:val="52"/>
          <w:szCs w:val="52"/>
          <w:highlight w:val="none"/>
          <w:lang w:val="en-US" w:eastAsia="zh-CN"/>
        </w:rPr>
        <w:t>污水处理设备</w:t>
      </w:r>
    </w:p>
    <w:p w14:paraId="1904E94E">
      <w:pPr>
        <w:pStyle w:val="16"/>
        <w:rPr>
          <w:rFonts w:hint="eastAsia" w:ascii="宋体" w:hAnsi="宋体" w:eastAsia="宋体" w:cs="宋体"/>
          <w:highlight w:val="none"/>
        </w:rPr>
      </w:pPr>
    </w:p>
    <w:p w14:paraId="10A8E4C0">
      <w:pPr>
        <w:pStyle w:val="24"/>
        <w:rPr>
          <w:rFonts w:hint="eastAsia" w:ascii="宋体" w:hAnsi="宋体" w:eastAsia="宋体" w:cs="宋体"/>
          <w:highlight w:val="none"/>
        </w:rPr>
      </w:pPr>
    </w:p>
    <w:p w14:paraId="772E99CA">
      <w:pPr>
        <w:spacing w:line="360" w:lineRule="auto"/>
        <w:jc w:val="center"/>
        <w:rPr>
          <w:rFonts w:hint="eastAsia" w:ascii="宋体" w:hAnsi="宋体" w:eastAsia="宋体" w:cs="宋体"/>
          <w:b/>
          <w:color w:val="auto"/>
          <w:spacing w:val="80"/>
          <w:sz w:val="24"/>
          <w:highlight w:val="none"/>
        </w:rPr>
      </w:pPr>
    </w:p>
    <w:p w14:paraId="708158A8">
      <w:pPr>
        <w:spacing w:line="360" w:lineRule="auto"/>
        <w:jc w:val="center"/>
        <w:rPr>
          <w:rFonts w:hint="eastAsia" w:ascii="宋体" w:hAnsi="宋体" w:eastAsia="宋体" w:cs="宋体"/>
          <w:b/>
          <w:color w:val="auto"/>
          <w:spacing w:val="80"/>
          <w:sz w:val="98"/>
          <w:szCs w:val="84"/>
          <w:highlight w:val="none"/>
        </w:rPr>
      </w:pPr>
      <w:r>
        <w:rPr>
          <w:rFonts w:hint="eastAsia" w:ascii="宋体" w:hAnsi="宋体" w:eastAsia="宋体" w:cs="宋体"/>
          <w:b/>
          <w:color w:val="auto"/>
          <w:spacing w:val="80"/>
          <w:sz w:val="98"/>
          <w:szCs w:val="84"/>
          <w:highlight w:val="none"/>
        </w:rPr>
        <w:t>招标文件</w:t>
      </w:r>
    </w:p>
    <w:p w14:paraId="6C74E436">
      <w:pPr>
        <w:spacing w:line="50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b w:val="0"/>
          <w:bCs w:val="0"/>
          <w:sz w:val="28"/>
          <w:szCs w:val="28"/>
          <w:highlight w:val="none"/>
          <w:u w:val="none"/>
          <w:lang w:val="en-US" w:eastAsia="zh-CN"/>
        </w:rPr>
        <w:t>项目编号：XJMTZBCG(2025)-014</w:t>
      </w:r>
    </w:p>
    <w:p w14:paraId="6321990F">
      <w:pPr>
        <w:spacing w:line="500" w:lineRule="exact"/>
        <w:jc w:val="center"/>
        <w:rPr>
          <w:rFonts w:hint="eastAsia" w:ascii="宋体" w:hAnsi="宋体" w:eastAsia="宋体" w:cs="宋体"/>
          <w:color w:val="auto"/>
          <w:sz w:val="24"/>
          <w:highlight w:val="none"/>
        </w:rPr>
      </w:pPr>
    </w:p>
    <w:p w14:paraId="43CF3A66">
      <w:pPr>
        <w:spacing w:line="500" w:lineRule="exact"/>
        <w:jc w:val="center"/>
        <w:rPr>
          <w:rFonts w:hint="eastAsia" w:ascii="宋体" w:hAnsi="宋体" w:eastAsia="宋体" w:cs="宋体"/>
          <w:color w:val="auto"/>
          <w:sz w:val="24"/>
          <w:highlight w:val="none"/>
        </w:rPr>
      </w:pPr>
    </w:p>
    <w:p w14:paraId="5BCAB129">
      <w:pPr>
        <w:spacing w:line="500" w:lineRule="exact"/>
        <w:jc w:val="center"/>
        <w:rPr>
          <w:rFonts w:hint="eastAsia" w:ascii="宋体" w:hAnsi="宋体" w:eastAsia="宋体" w:cs="宋体"/>
          <w:color w:val="auto"/>
          <w:sz w:val="24"/>
          <w:highlight w:val="none"/>
        </w:rPr>
      </w:pPr>
    </w:p>
    <w:p w14:paraId="4436BC47">
      <w:pPr>
        <w:spacing w:line="500" w:lineRule="exact"/>
        <w:jc w:val="center"/>
        <w:rPr>
          <w:rFonts w:hint="eastAsia" w:ascii="宋体" w:hAnsi="宋体" w:eastAsia="宋体" w:cs="宋体"/>
          <w:color w:val="auto"/>
          <w:sz w:val="24"/>
          <w:highlight w:val="none"/>
        </w:rPr>
      </w:pPr>
    </w:p>
    <w:p w14:paraId="4E9D38F0">
      <w:pPr>
        <w:spacing w:line="500" w:lineRule="exact"/>
        <w:jc w:val="center"/>
        <w:rPr>
          <w:rFonts w:hint="eastAsia" w:ascii="宋体" w:hAnsi="宋体" w:eastAsia="宋体" w:cs="宋体"/>
          <w:color w:val="auto"/>
          <w:sz w:val="24"/>
          <w:highlight w:val="none"/>
        </w:rPr>
      </w:pPr>
    </w:p>
    <w:p w14:paraId="559F4884">
      <w:pPr>
        <w:spacing w:line="500" w:lineRule="exact"/>
        <w:jc w:val="center"/>
        <w:rPr>
          <w:rFonts w:hint="eastAsia" w:ascii="宋体" w:hAnsi="宋体" w:eastAsia="宋体" w:cs="宋体"/>
          <w:color w:val="auto"/>
          <w:sz w:val="24"/>
          <w:highlight w:val="none"/>
        </w:rPr>
      </w:pPr>
    </w:p>
    <w:p w14:paraId="67F5A8EF">
      <w:pPr>
        <w:spacing w:line="240" w:lineRule="atLeast"/>
        <w:ind w:firstLine="640" w:firstLineChars="2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   购   人：</w:t>
      </w:r>
      <w:r>
        <w:rPr>
          <w:rFonts w:hint="eastAsia" w:ascii="宋体" w:hAnsi="宋体" w:cs="宋体"/>
          <w:b/>
          <w:color w:val="auto"/>
          <w:sz w:val="32"/>
          <w:szCs w:val="32"/>
          <w:highlight w:val="none"/>
          <w:lang w:val="en-US" w:eastAsia="zh-CN"/>
        </w:rPr>
        <w:t>巴里坤哈萨克自治县博尔羌吉镇人民政府</w:t>
      </w:r>
    </w:p>
    <w:p w14:paraId="73646C8C">
      <w:pPr>
        <w:spacing w:line="240" w:lineRule="atLeast"/>
        <w:ind w:firstLine="640" w:firstLineChars="200"/>
        <w:rPr>
          <w:rFonts w:hint="eastAsia" w:ascii="宋体" w:hAnsi="宋体" w:eastAsia="宋体" w:cs="宋体"/>
          <w:b/>
          <w:color w:val="auto"/>
          <w:sz w:val="32"/>
          <w:szCs w:val="32"/>
          <w:highlight w:val="none"/>
          <w:lang w:val="en-US" w:eastAsia="zh-CN"/>
        </w:rPr>
      </w:pPr>
    </w:p>
    <w:p w14:paraId="5FED5AA8">
      <w:pPr>
        <w:spacing w:line="240" w:lineRule="atLeast"/>
        <w:ind w:firstLine="640" w:firstLineChars="200"/>
        <w:rPr>
          <w:rFonts w:hint="eastAsia" w:ascii="宋体" w:hAnsi="宋体" w:eastAsia="宋体" w:cs="宋体"/>
          <w:b/>
          <w:color w:val="auto"/>
          <w:sz w:val="32"/>
          <w:szCs w:val="32"/>
          <w:highlight w:val="none"/>
          <w:lang w:val="en-US" w:eastAsia="zh-CN"/>
        </w:rPr>
      </w:pPr>
    </w:p>
    <w:p w14:paraId="7A8D87AD">
      <w:pPr>
        <w:spacing w:line="500" w:lineRule="exact"/>
        <w:ind w:firstLine="640" w:firstLineChars="200"/>
        <w:rPr>
          <w:rFonts w:hint="eastAsia" w:ascii="宋体" w:hAnsi="宋体" w:eastAsia="宋体" w:cs="宋体"/>
          <w:color w:val="auto"/>
          <w:sz w:val="28"/>
          <w:szCs w:val="28"/>
          <w:highlight w:val="none"/>
          <w:lang w:eastAsia="zh-CN"/>
        </w:rPr>
      </w:pPr>
      <w:r>
        <w:rPr>
          <w:rFonts w:hint="eastAsia" w:ascii="宋体" w:hAnsi="宋体" w:eastAsia="宋体" w:cs="宋体"/>
          <w:b/>
          <w:color w:val="auto"/>
          <w:sz w:val="32"/>
          <w:szCs w:val="32"/>
          <w:highlight w:val="none"/>
        </w:rPr>
        <w:t>招标代理机构：</w:t>
      </w:r>
      <w:r>
        <w:rPr>
          <w:rFonts w:hint="eastAsia" w:ascii="宋体" w:hAnsi="宋体" w:eastAsia="宋体" w:cs="宋体"/>
          <w:b/>
          <w:color w:val="auto"/>
          <w:sz w:val="32"/>
          <w:szCs w:val="32"/>
          <w:highlight w:val="none"/>
          <w:lang w:eastAsia="zh-CN"/>
        </w:rPr>
        <w:t>新疆蒙泰工程项目管理有限公司</w:t>
      </w:r>
    </w:p>
    <w:p w14:paraId="28BA2449">
      <w:pPr>
        <w:spacing w:line="500" w:lineRule="exact"/>
        <w:jc w:val="center"/>
        <w:rPr>
          <w:rFonts w:hint="eastAsia" w:ascii="宋体" w:hAnsi="宋体" w:eastAsia="宋体" w:cs="宋体"/>
          <w:b/>
          <w:color w:val="auto"/>
          <w:sz w:val="32"/>
          <w:szCs w:val="32"/>
          <w:highlight w:val="none"/>
        </w:rPr>
      </w:pPr>
    </w:p>
    <w:p w14:paraId="137750CA">
      <w:pPr>
        <w:spacing w:line="440" w:lineRule="exact"/>
        <w:jc w:val="center"/>
        <w:rPr>
          <w:rFonts w:hint="eastAsia" w:ascii="宋体" w:hAnsi="宋体" w:eastAsia="宋体" w:cs="宋体"/>
          <w:b/>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567" w:gutter="0"/>
          <w:cols w:space="720" w:num="1"/>
          <w:titlePg/>
          <w:docGrid w:type="linesAndChars" w:linePitch="312" w:charSpace="0"/>
        </w:sectPr>
      </w:pPr>
    </w:p>
    <w:p w14:paraId="6A55D54B">
      <w:pPr>
        <w:spacing w:line="440" w:lineRule="exact"/>
        <w:jc w:val="center"/>
        <w:rPr>
          <w:rFonts w:hint="eastAsia" w:ascii="宋体" w:hAnsi="宋体" w:eastAsia="宋体" w:cs="宋体"/>
          <w:b/>
          <w:color w:val="auto"/>
          <w:sz w:val="24"/>
          <w:highlight w:val="none"/>
        </w:rPr>
      </w:pPr>
    </w:p>
    <w:p w14:paraId="7242037F">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5DE314D2">
      <w:pPr>
        <w:pStyle w:val="16"/>
        <w:rPr>
          <w:rFonts w:hint="eastAsia" w:ascii="宋体" w:hAnsi="宋体" w:eastAsia="宋体" w:cs="宋体"/>
          <w:highlight w:val="none"/>
        </w:rPr>
      </w:pPr>
    </w:p>
    <w:p w14:paraId="44C825DB">
      <w:pPr>
        <w:pStyle w:val="30"/>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TOC \o "1-2" \h \z \u </w:instrText>
      </w:r>
      <w:r>
        <w:rPr>
          <w:rFonts w:hint="eastAsia" w:ascii="宋体" w:hAnsi="宋体" w:eastAsia="宋体" w:cs="宋体"/>
          <w:b/>
          <w:color w:val="auto"/>
          <w:sz w:val="24"/>
          <w:highlight w:val="none"/>
        </w:rPr>
        <w:fldChar w:fldCharType="separate"/>
      </w: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"_Toc5715644"</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第一部分  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B9BDFA">
      <w:pPr>
        <w:pStyle w:val="30"/>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"_Toc5715645"</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BA95D73">
      <w:pPr>
        <w:pStyle w:val="30"/>
        <w:tabs>
          <w:tab w:val="right" w:leader="dot" w:pos="9402"/>
        </w:tabs>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"_Toc5715646"</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第三部分  投标说明</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13163205">
      <w:pPr>
        <w:pStyle w:val="38"/>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"_Toc5715647"</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第一章  投标人资格要求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D8556F">
      <w:pPr>
        <w:pStyle w:val="38"/>
        <w:tabs>
          <w:tab w:val="right" w:leader="dot" w:pos="9402"/>
        </w:tabs>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"_Toc5715648"</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第二章  投标文件的编写及编制顺序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71139232">
      <w:pPr>
        <w:pStyle w:val="38"/>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"_Toc5715649"</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第三章  投标文件的递交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638547">
      <w:pPr>
        <w:pStyle w:val="38"/>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"_Toc5715650"</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第四章  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EA89BE">
      <w:pPr>
        <w:pStyle w:val="38"/>
        <w:tabs>
          <w:tab w:val="right" w:leader="dot" w:pos="9402"/>
        </w:tabs>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"_Toc5715651"</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第五章  定标</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0199339D">
      <w:pPr>
        <w:pStyle w:val="38"/>
        <w:tabs>
          <w:tab w:val="right" w:leader="dot" w:pos="9402"/>
        </w:tabs>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"_Toc5715652"</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第六章  授予合同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69EEDBFE">
      <w:pPr>
        <w:pStyle w:val="38"/>
        <w:tabs>
          <w:tab w:val="right" w:leader="dot" w:pos="9402"/>
        </w:tabs>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"_Toc5715653"</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 xml:space="preserve">第七章 </w:t>
      </w:r>
      <w:r>
        <w:rPr>
          <w:rStyle w:val="59"/>
          <w:rFonts w:hint="eastAsia" w:ascii="宋体" w:hAnsi="宋体" w:eastAsia="宋体" w:cs="宋体"/>
          <w:color w:val="auto"/>
          <w:sz w:val="28"/>
          <w:szCs w:val="28"/>
          <w:highlight w:val="none"/>
          <w:lang w:val="en-US" w:eastAsia="zh-CN"/>
        </w:rPr>
        <w:t xml:space="preserve"> </w:t>
      </w:r>
      <w:r>
        <w:rPr>
          <w:rStyle w:val="59"/>
          <w:rFonts w:hint="eastAsia" w:ascii="宋体" w:hAnsi="宋体" w:eastAsia="宋体" w:cs="宋体"/>
          <w:color w:val="auto"/>
          <w:sz w:val="28"/>
          <w:szCs w:val="28"/>
          <w:highlight w:val="none"/>
        </w:rPr>
        <w:t>质疑</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16253B5C">
      <w:pPr>
        <w:pStyle w:val="30"/>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"_Toc5715654"</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第四部分  采购货物清单及技术规格要求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B471DA4">
      <w:pPr>
        <w:pStyle w:val="30"/>
        <w:tabs>
          <w:tab w:val="right" w:leader="dot" w:pos="9402"/>
        </w:tabs>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"_Toc5715655"</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第五部分  合同条款（范本）</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624595FF">
      <w:pPr>
        <w:pStyle w:val="30"/>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"_Toc5715656"</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第六部分  附 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DD2034D">
      <w:pPr>
        <w:pStyle w:val="30"/>
        <w:tabs>
          <w:tab w:val="right" w:leader="dot" w:pos="9402"/>
        </w:tabs>
        <w:rPr>
          <w:rFonts w:hint="eastAsia"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rPr>
        <w:fldChar w:fldCharType="begin"/>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instrText xml:space="preserve">HYPERLINK \l "_Toc5715658"</w:instrText>
      </w:r>
      <w:r>
        <w:rPr>
          <w:rStyle w:val="59"/>
          <w:rFonts w:hint="eastAsia" w:ascii="宋体" w:hAnsi="宋体" w:eastAsia="宋体" w:cs="宋体"/>
          <w:color w:val="auto"/>
          <w:sz w:val="28"/>
          <w:szCs w:val="28"/>
          <w:highlight w:val="none"/>
        </w:rPr>
        <w:instrText xml:space="preserve"> </w:instrText>
      </w:r>
      <w:r>
        <w:rPr>
          <w:rFonts w:hint="eastAsia" w:ascii="宋体" w:hAnsi="宋体" w:eastAsia="宋体" w:cs="宋体"/>
          <w:color w:val="auto"/>
          <w:sz w:val="28"/>
          <w:szCs w:val="28"/>
          <w:highlight w:val="none"/>
        </w:rPr>
        <w:fldChar w:fldCharType="separate"/>
      </w:r>
      <w:r>
        <w:rPr>
          <w:rStyle w:val="59"/>
          <w:rFonts w:hint="eastAsia" w:ascii="宋体" w:hAnsi="宋体" w:eastAsia="宋体" w:cs="宋体"/>
          <w:color w:val="auto"/>
          <w:sz w:val="28"/>
          <w:szCs w:val="28"/>
          <w:highlight w:val="none"/>
        </w:rPr>
        <w:t>第七部分  评标办法和细则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_Toc5715658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AF7CFA3">
      <w:pPr>
        <w:spacing w:line="360" w:lineRule="auto"/>
        <w:ind w:firstLine="480"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fldChar w:fldCharType="end"/>
      </w:r>
    </w:p>
    <w:p w14:paraId="59C6D383">
      <w:pPr>
        <w:spacing w:line="360" w:lineRule="auto"/>
        <w:ind w:firstLine="480" w:firstLineChars="200"/>
        <w:jc w:val="center"/>
        <w:rPr>
          <w:rFonts w:hint="eastAsia" w:ascii="宋体" w:hAnsi="宋体" w:eastAsia="宋体" w:cs="宋体"/>
          <w:b/>
          <w:color w:val="auto"/>
          <w:sz w:val="24"/>
          <w:highlight w:val="none"/>
        </w:rPr>
      </w:pPr>
    </w:p>
    <w:p w14:paraId="01AF9C8A">
      <w:pPr>
        <w:spacing w:line="360" w:lineRule="auto"/>
        <w:ind w:firstLine="480" w:firstLineChars="200"/>
        <w:jc w:val="center"/>
        <w:rPr>
          <w:rFonts w:hint="eastAsia" w:ascii="宋体" w:hAnsi="宋体" w:eastAsia="宋体" w:cs="宋体"/>
          <w:b/>
          <w:color w:val="auto"/>
          <w:sz w:val="24"/>
          <w:highlight w:val="none"/>
        </w:rPr>
      </w:pPr>
    </w:p>
    <w:p w14:paraId="0F5EB50A">
      <w:pPr>
        <w:spacing w:line="360" w:lineRule="auto"/>
        <w:ind w:firstLine="480" w:firstLineChars="200"/>
        <w:jc w:val="center"/>
        <w:rPr>
          <w:rFonts w:hint="eastAsia" w:ascii="宋体" w:hAnsi="宋体" w:eastAsia="宋体" w:cs="宋体"/>
          <w:b/>
          <w:color w:val="auto"/>
          <w:sz w:val="24"/>
          <w:highlight w:val="none"/>
        </w:rPr>
      </w:pPr>
    </w:p>
    <w:p w14:paraId="0ED9E641">
      <w:pPr>
        <w:spacing w:line="360" w:lineRule="auto"/>
        <w:jc w:val="both"/>
        <w:rPr>
          <w:rFonts w:hint="eastAsia" w:ascii="宋体" w:hAnsi="宋体" w:eastAsia="宋体" w:cs="宋体"/>
          <w:b/>
          <w:color w:val="auto"/>
          <w:sz w:val="24"/>
          <w:highlight w:val="none"/>
        </w:rPr>
        <w:sectPr>
          <w:footerReference r:id="rId10" w:type="first"/>
          <w:footerReference r:id="rId9" w:type="default"/>
          <w:pgSz w:w="11906" w:h="16838"/>
          <w:pgMar w:top="1440" w:right="1080" w:bottom="1440" w:left="1080" w:header="851" w:footer="567" w:gutter="0"/>
          <w:cols w:space="720" w:num="1"/>
          <w:titlePg/>
          <w:docGrid w:type="linesAndChars" w:linePitch="312" w:charSpace="0"/>
        </w:sectPr>
      </w:pPr>
    </w:p>
    <w:p w14:paraId="0F3A7C33">
      <w:pPr>
        <w:spacing w:line="360" w:lineRule="auto"/>
        <w:jc w:val="center"/>
        <w:rPr>
          <w:rFonts w:hint="eastAsia" w:ascii="宋体" w:hAnsi="宋体" w:eastAsia="宋体" w:cs="宋体"/>
          <w:b/>
          <w:bCs/>
          <w:color w:val="auto"/>
          <w:sz w:val="32"/>
          <w:szCs w:val="32"/>
          <w:highlight w:val="none"/>
        </w:rPr>
      </w:pPr>
    </w:p>
    <w:p w14:paraId="3B28E34C">
      <w:pPr>
        <w:spacing w:line="360" w:lineRule="auto"/>
        <w:jc w:val="center"/>
        <w:rPr>
          <w:rFonts w:hint="eastAsia" w:ascii="宋体" w:hAnsi="宋体" w:eastAsia="宋体" w:cs="宋体"/>
          <w:b/>
          <w:bCs/>
          <w:color w:val="auto"/>
          <w:sz w:val="32"/>
          <w:szCs w:val="32"/>
          <w:highlight w:val="none"/>
        </w:rPr>
      </w:pPr>
    </w:p>
    <w:p w14:paraId="0A2FA17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公开招标公告</w:t>
      </w:r>
    </w:p>
    <w:p w14:paraId="7A3319DB">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项目概况：</w:t>
      </w:r>
      <w:r>
        <w:rPr>
          <w:rFonts w:hint="eastAsia" w:hAnsi="宋体" w:cs="宋体"/>
          <w:sz w:val="24"/>
          <w:szCs w:val="24"/>
          <w:highlight w:val="none"/>
          <w:u w:val="single"/>
          <w:lang w:eastAsia="zh-CN"/>
        </w:rPr>
        <w:t>巴里坤县边境乡镇基础设施建设项目（二期）污水处理设备</w:t>
      </w:r>
      <w:r>
        <w:rPr>
          <w:rFonts w:hint="eastAsia" w:ascii="宋体" w:hAnsi="宋体" w:eastAsia="宋体" w:cs="宋体"/>
          <w:sz w:val="24"/>
          <w:szCs w:val="24"/>
          <w:highlight w:val="none"/>
          <w:lang w:eastAsia="zh-CN"/>
        </w:rPr>
        <w:t>的潜在投标人应在政采云平台https://www.zcygov.cn/ 获取招标文件，并于</w:t>
      </w:r>
      <w:r>
        <w:rPr>
          <w:rFonts w:hint="eastAsia" w:ascii="宋体" w:hAnsi="宋体" w:eastAsia="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日10:</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w:t>
      </w:r>
      <w:r>
        <w:rPr>
          <w:rFonts w:hint="eastAsia" w:ascii="宋体" w:hAnsi="宋体" w:eastAsia="宋体" w:cs="宋体"/>
          <w:sz w:val="24"/>
          <w:szCs w:val="24"/>
          <w:highlight w:val="none"/>
          <w:lang w:eastAsia="zh-CN"/>
        </w:rPr>
        <w:t>（北京时间）前递交投标文件。</w:t>
      </w:r>
    </w:p>
    <w:p w14:paraId="5945CE4C">
      <w:pPr>
        <w:pStyle w:val="96"/>
        <w:rPr>
          <w:rFonts w:hint="eastAsia" w:ascii="宋体" w:hAnsi="宋体" w:eastAsia="宋体" w:cs="宋体"/>
          <w:highlight w:val="none"/>
        </w:rPr>
      </w:pPr>
    </w:p>
    <w:p w14:paraId="510351D3">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outlineLvl w:val="1"/>
        <w:rPr>
          <w:rFonts w:hint="eastAsia" w:ascii="宋体" w:hAnsi="宋体" w:eastAsia="宋体" w:cs="宋体"/>
          <w:sz w:val="24"/>
          <w:szCs w:val="24"/>
          <w:highlight w:val="none"/>
        </w:rPr>
      </w:pPr>
      <w:bookmarkStart w:id="0" w:name="_Toc19291"/>
      <w:bookmarkStart w:id="1" w:name="_Toc5949"/>
      <w:r>
        <w:rPr>
          <w:rStyle w:val="50"/>
          <w:rFonts w:hint="eastAsia" w:ascii="宋体" w:hAnsi="宋体" w:eastAsia="宋体" w:cs="宋体"/>
          <w:sz w:val="24"/>
          <w:szCs w:val="24"/>
          <w:highlight w:val="none"/>
        </w:rPr>
        <w:t>一、项目基本情况</w:t>
      </w:r>
      <w:bookmarkEnd w:id="0"/>
      <w:bookmarkEnd w:id="1"/>
    </w:p>
    <w:p w14:paraId="3DF9960F">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项目编号：XJMTZBCG(2025)-014</w:t>
      </w:r>
    </w:p>
    <w:p w14:paraId="4B9FC57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hAnsi="宋体" w:cs="宋体"/>
          <w:sz w:val="24"/>
          <w:szCs w:val="24"/>
          <w:highlight w:val="none"/>
          <w:lang w:eastAsia="zh-CN"/>
        </w:rPr>
        <w:t>巴里坤县边境乡镇基础设施建设项目（二期）污水处理设备</w:t>
      </w:r>
    </w:p>
    <w:p w14:paraId="76AE265B">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1B37819C">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hAnsi="宋体" w:cs="宋体"/>
          <w:sz w:val="24"/>
          <w:szCs w:val="24"/>
          <w:highlight w:val="none"/>
          <w:lang w:val="en-US" w:eastAsia="zh-CN"/>
        </w:rPr>
        <w:t>3500000</w:t>
      </w:r>
      <w:r>
        <w:rPr>
          <w:rFonts w:hint="eastAsia" w:ascii="宋体" w:hAnsi="宋体" w:eastAsia="宋体" w:cs="宋体"/>
          <w:sz w:val="24"/>
          <w:szCs w:val="24"/>
          <w:highlight w:val="none"/>
          <w:lang w:val="en-US" w:eastAsia="zh-CN"/>
        </w:rPr>
        <w:t>.00元</w:t>
      </w:r>
    </w:p>
    <w:p w14:paraId="5357734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最高限价（元）：</w:t>
      </w:r>
      <w:r>
        <w:rPr>
          <w:rFonts w:hint="eastAsia" w:hAnsi="宋体" w:cs="宋体"/>
          <w:sz w:val="24"/>
          <w:szCs w:val="24"/>
          <w:highlight w:val="none"/>
          <w:lang w:val="en-US" w:eastAsia="zh-CN"/>
        </w:rPr>
        <w:t>3500000</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w:t>
      </w:r>
    </w:p>
    <w:p w14:paraId="482D8AA4">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val="en-US" w:eastAsia="zh-CN"/>
        </w:rPr>
        <w:t>新建</w:t>
      </w:r>
      <w:r>
        <w:rPr>
          <w:rFonts w:hint="eastAsia" w:hAnsi="宋体" w:cs="宋体"/>
          <w:sz w:val="24"/>
          <w:szCs w:val="24"/>
          <w:highlight w:val="none"/>
          <w:u w:val="none"/>
          <w:lang w:val="en-US" w:eastAsia="zh-CN"/>
        </w:rPr>
        <w:t>日处理量500立方米的污水处理设施（详见采购需求）</w:t>
      </w:r>
    </w:p>
    <w:p w14:paraId="3080F6E1">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标项名称</w:t>
      </w:r>
      <w:r>
        <w:rPr>
          <w:rFonts w:hint="eastAsia" w:ascii="宋体" w:hAnsi="宋体" w:eastAsia="宋体" w:cs="宋体"/>
          <w:sz w:val="24"/>
          <w:szCs w:val="24"/>
          <w:highlight w:val="none"/>
          <w:lang w:eastAsia="zh-CN"/>
        </w:rPr>
        <w:t>:</w:t>
      </w:r>
      <w:r>
        <w:rPr>
          <w:rFonts w:hint="eastAsia" w:hAnsi="宋体" w:cs="宋体"/>
          <w:sz w:val="24"/>
          <w:szCs w:val="24"/>
          <w:highlight w:val="none"/>
          <w:lang w:eastAsia="zh-CN"/>
        </w:rPr>
        <w:t>巴里坤县边境乡镇基础设施建设项目（二期）污水处理设备</w:t>
      </w:r>
    </w:p>
    <w:p w14:paraId="110ECE88">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合同履约期限：</w:t>
      </w:r>
      <w:r>
        <w:rPr>
          <w:rFonts w:hint="eastAsia" w:ascii="宋体" w:hAnsi="宋体" w:eastAsia="宋体" w:cs="宋体"/>
          <w:color w:val="auto"/>
          <w:sz w:val="24"/>
          <w:highlight w:val="none"/>
          <w:lang w:val="en-US" w:eastAsia="zh-CN"/>
        </w:rPr>
        <w:t>自合同签订之日起至202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hAnsi="宋体" w:eastAsia="宋体" w:cs="宋体"/>
          <w:color w:val="auto"/>
          <w:sz w:val="24"/>
          <w:highlight w:val="none"/>
          <w:lang w:val="en-US" w:eastAsia="zh-CN"/>
        </w:rPr>
        <w:t>9</w:t>
      </w:r>
      <w:r>
        <w:rPr>
          <w:rFonts w:hint="eastAsia" w:ascii="宋体" w:hAnsi="宋体" w:eastAsia="宋体" w:cs="宋体"/>
          <w:color w:val="auto"/>
          <w:sz w:val="24"/>
          <w:highlight w:val="none"/>
          <w:lang w:val="en-US" w:eastAsia="zh-CN"/>
        </w:rPr>
        <w:t>月</w:t>
      </w:r>
      <w:r>
        <w:rPr>
          <w:rFonts w:hint="eastAsia" w:hAnsi="宋体" w:cs="宋体"/>
          <w:color w:val="auto"/>
          <w:sz w:val="24"/>
          <w:highlight w:val="none"/>
          <w:lang w:val="en-US" w:eastAsia="zh-CN"/>
        </w:rPr>
        <w:t>30日</w:t>
      </w:r>
      <w:r>
        <w:rPr>
          <w:rFonts w:hint="eastAsia" w:ascii="宋体" w:hAnsi="宋体" w:eastAsia="宋体" w:cs="宋体"/>
          <w:color w:val="auto"/>
          <w:sz w:val="24"/>
          <w:highlight w:val="none"/>
          <w:lang w:val="en-US" w:eastAsia="zh-CN"/>
        </w:rPr>
        <w:t>前完成所有工作</w:t>
      </w:r>
    </w:p>
    <w:p w14:paraId="00D6F5CF">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本项目（否）接受联合体投标。</w:t>
      </w:r>
    </w:p>
    <w:p w14:paraId="47D07B0A">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outlineLvl w:val="1"/>
        <w:rPr>
          <w:rFonts w:hint="eastAsia" w:ascii="宋体" w:hAnsi="宋体" w:eastAsia="宋体" w:cs="宋体"/>
          <w:color w:val="auto"/>
          <w:sz w:val="24"/>
          <w:szCs w:val="24"/>
          <w:highlight w:val="none"/>
        </w:rPr>
      </w:pPr>
      <w:bookmarkStart w:id="2" w:name="_Toc4765"/>
      <w:bookmarkStart w:id="3" w:name="_Toc29032"/>
      <w:r>
        <w:rPr>
          <w:rStyle w:val="50"/>
          <w:rFonts w:hint="eastAsia" w:ascii="宋体" w:hAnsi="宋体" w:eastAsia="宋体" w:cs="宋体"/>
          <w:sz w:val="24"/>
          <w:szCs w:val="24"/>
          <w:highlight w:val="none"/>
        </w:rPr>
        <w:t>二、申请人的资格要求</w:t>
      </w:r>
      <w:r>
        <w:rPr>
          <w:rStyle w:val="50"/>
          <w:rFonts w:hint="eastAsia" w:ascii="宋体" w:hAnsi="宋体" w:eastAsia="宋体" w:cs="宋体"/>
          <w:color w:val="auto"/>
          <w:sz w:val="24"/>
          <w:szCs w:val="24"/>
          <w:highlight w:val="none"/>
        </w:rPr>
        <w:t>：</w:t>
      </w:r>
      <w:bookmarkEnd w:id="2"/>
      <w:bookmarkEnd w:id="3"/>
    </w:p>
    <w:p w14:paraId="59DC8FD2">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48DF9AD">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：标项1：供应商为</w:t>
      </w:r>
      <w:r>
        <w:rPr>
          <w:rFonts w:hint="eastAsia" w:hAnsi="宋体" w:cs="宋体"/>
          <w:color w:val="auto"/>
          <w:sz w:val="24"/>
          <w:szCs w:val="24"/>
          <w:highlight w:val="none"/>
          <w:lang w:val="en-US" w:eastAsia="zh-CN"/>
        </w:rPr>
        <w:t>中小</w:t>
      </w:r>
      <w:r>
        <w:rPr>
          <w:rFonts w:hint="eastAsia" w:ascii="宋体" w:hAnsi="宋体" w:eastAsia="宋体" w:cs="宋体"/>
          <w:color w:val="auto"/>
          <w:sz w:val="24"/>
          <w:szCs w:val="24"/>
          <w:highlight w:val="none"/>
          <w:lang w:eastAsia="zh-CN"/>
        </w:rPr>
        <w:t>企业</w:t>
      </w:r>
    </w:p>
    <w:p w14:paraId="471B0E8B">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682360E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4.一体化污水处理设备（冻土层2.5米，投标供应商所提供的设备能承受2.5米厚度冻土层重力，需要提供承诺函，此项为实质性要求。未单独提供承诺函的将被认为无效投标。）</w:t>
      </w:r>
    </w:p>
    <w:p w14:paraId="61F85DB2">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5.单位负责人为同一人或者存在控股、管理关系的不同投标人，不得参加同一标段投标或者未划分标段的同一招标项目投标；</w:t>
      </w:r>
    </w:p>
    <w:p w14:paraId="1BDB6464">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outlineLvl w:val="1"/>
        <w:rPr>
          <w:rFonts w:hint="eastAsia" w:ascii="宋体" w:hAnsi="宋体" w:eastAsia="宋体" w:cs="宋体"/>
          <w:color w:val="auto"/>
          <w:sz w:val="24"/>
          <w:szCs w:val="24"/>
          <w:highlight w:val="none"/>
        </w:rPr>
      </w:pPr>
      <w:bookmarkStart w:id="4" w:name="_Toc26614"/>
      <w:bookmarkStart w:id="5" w:name="_Toc3444"/>
      <w:r>
        <w:rPr>
          <w:rStyle w:val="50"/>
          <w:rFonts w:hint="eastAsia" w:ascii="宋体" w:hAnsi="宋体" w:eastAsia="宋体" w:cs="宋体"/>
          <w:color w:val="auto"/>
          <w:sz w:val="24"/>
          <w:szCs w:val="24"/>
          <w:highlight w:val="none"/>
        </w:rPr>
        <w:t>三、获取招标文件</w:t>
      </w:r>
      <w:bookmarkEnd w:id="4"/>
      <w:bookmarkEnd w:id="5"/>
    </w:p>
    <w:p w14:paraId="323A16D3">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p>
    <w:p w14:paraId="1EBF41BE">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p>
    <w:p w14:paraId="043A003A">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日至202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w:t>
      </w:r>
      <w:r>
        <w:rPr>
          <w:rFonts w:hint="eastAsia"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0至1</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0至</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w:t>
      </w:r>
      <w:r>
        <w:rPr>
          <w:rFonts w:hint="eastAsia"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（北京时间，法定节假日除外）</w:t>
      </w:r>
    </w:p>
    <w:p w14:paraId="13A610D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地点：政采云平台https://www.zcygov.cn/</w:t>
      </w:r>
    </w:p>
    <w:p w14:paraId="10920BCD">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方式：供应商登录政采云平台https://www.zcygov.cn/在线申请获取采购文件（进入“项目采购”应用，在获取采购文件菜单中选择项目，申请获取采购文件）</w:t>
      </w:r>
    </w:p>
    <w:p w14:paraId="3670D7E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售价（元）：</w:t>
      </w:r>
      <w:r>
        <w:rPr>
          <w:rFonts w:hint="eastAsia" w:ascii="宋体" w:hAnsi="宋体" w:eastAsia="宋体" w:cs="宋体"/>
          <w:sz w:val="24"/>
          <w:szCs w:val="24"/>
          <w:highlight w:val="none"/>
          <w:lang w:val="en-US" w:eastAsia="zh-CN"/>
        </w:rPr>
        <w:t>0</w:t>
      </w:r>
    </w:p>
    <w:p w14:paraId="5CE327A3">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outlineLvl w:val="1"/>
        <w:rPr>
          <w:rFonts w:hint="eastAsia" w:ascii="宋体" w:hAnsi="宋体" w:eastAsia="宋体" w:cs="宋体"/>
          <w:sz w:val="24"/>
          <w:szCs w:val="24"/>
          <w:highlight w:val="none"/>
        </w:rPr>
      </w:pPr>
      <w:bookmarkStart w:id="6" w:name="_Toc984"/>
      <w:bookmarkStart w:id="7" w:name="_Toc5501"/>
      <w:r>
        <w:rPr>
          <w:rStyle w:val="50"/>
          <w:rFonts w:hint="eastAsia" w:ascii="宋体" w:hAnsi="宋体" w:eastAsia="宋体" w:cs="宋体"/>
          <w:sz w:val="24"/>
          <w:szCs w:val="24"/>
          <w:highlight w:val="none"/>
        </w:rPr>
        <w:t>四、提交投标文件截止时间、开标时间和地点</w:t>
      </w:r>
      <w:bookmarkEnd w:id="6"/>
      <w:bookmarkEnd w:id="7"/>
    </w:p>
    <w:p w14:paraId="3213ED1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提交投标文件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日10:</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p>
    <w:p w14:paraId="60C90DF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投标地点：政采云平台https://www.zcygov.cn/ </w:t>
      </w:r>
    </w:p>
    <w:p w14:paraId="7005B3C4">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日10:</w:t>
      </w: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p>
    <w:p w14:paraId="61C6552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开标地点：政采云平台https://www.zcygov.cn/</w:t>
      </w:r>
    </w:p>
    <w:p w14:paraId="147E6771">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outlineLvl w:val="1"/>
        <w:rPr>
          <w:rFonts w:hint="eastAsia" w:ascii="宋体" w:hAnsi="宋体" w:eastAsia="宋体" w:cs="宋体"/>
          <w:color w:val="auto"/>
          <w:sz w:val="24"/>
          <w:szCs w:val="24"/>
          <w:highlight w:val="none"/>
        </w:rPr>
      </w:pPr>
      <w:bookmarkStart w:id="8" w:name="_Toc14175"/>
      <w:bookmarkStart w:id="9" w:name="_Toc8831"/>
      <w:r>
        <w:rPr>
          <w:rStyle w:val="50"/>
          <w:rFonts w:hint="eastAsia" w:ascii="宋体" w:hAnsi="宋体" w:eastAsia="宋体" w:cs="宋体"/>
          <w:color w:val="auto"/>
          <w:sz w:val="24"/>
          <w:szCs w:val="24"/>
          <w:highlight w:val="none"/>
        </w:rPr>
        <w:t>五、公告期限</w:t>
      </w:r>
      <w:bookmarkEnd w:id="8"/>
      <w:bookmarkEnd w:id="9"/>
    </w:p>
    <w:p w14:paraId="5C75032B">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474E8EF">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jc w:val="both"/>
        <w:outlineLvl w:val="1"/>
        <w:rPr>
          <w:rStyle w:val="50"/>
          <w:rFonts w:hint="eastAsia" w:ascii="宋体" w:hAnsi="宋体" w:eastAsia="宋体" w:cs="宋体"/>
          <w:sz w:val="24"/>
          <w:szCs w:val="24"/>
          <w:highlight w:val="none"/>
        </w:rPr>
      </w:pPr>
      <w:bookmarkStart w:id="10" w:name="_Toc23745"/>
      <w:bookmarkStart w:id="11" w:name="_Toc30918"/>
      <w:r>
        <w:rPr>
          <w:rStyle w:val="50"/>
          <w:rFonts w:hint="eastAsia" w:ascii="宋体" w:hAnsi="宋体" w:eastAsia="宋体" w:cs="宋体"/>
          <w:sz w:val="24"/>
          <w:szCs w:val="24"/>
          <w:highlight w:val="none"/>
          <w:lang w:val="en-US" w:eastAsia="zh-CN"/>
        </w:rPr>
        <w:t>六、</w:t>
      </w:r>
      <w:r>
        <w:rPr>
          <w:rStyle w:val="50"/>
          <w:rFonts w:hint="eastAsia" w:ascii="宋体" w:hAnsi="宋体" w:eastAsia="宋体" w:cs="宋体"/>
          <w:sz w:val="24"/>
          <w:szCs w:val="24"/>
          <w:highlight w:val="none"/>
        </w:rPr>
        <w:t>其他补充事宜</w:t>
      </w:r>
      <w:bookmarkEnd w:id="10"/>
      <w:bookmarkEnd w:id="11"/>
    </w:p>
    <w:p w14:paraId="5FCA2292">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A618F45">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2.本项目实行网上投标，采用电子投标文件(供应商须使用CA加密设备通过政采云电子投标客户端制作投标文件)。若供应商参与投标，自行承担投标一切费用。</w:t>
      </w:r>
    </w:p>
    <w:p w14:paraId="2FC7C661">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CC44113">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59C9366">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5.供应商在开标时须使用制作加密电子投标文件所使用的CA锁及电脑，电脑须提前配置好浏览器（建议使用谷歌浏览器），以便开标时解锁。</w:t>
      </w:r>
    </w:p>
    <w:p w14:paraId="4414FD3F">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特别提示：</w:t>
      </w:r>
      <w:r>
        <w:rPr>
          <w:rFonts w:hint="eastAsia" w:ascii="宋体" w:hAnsi="宋体" w:eastAsia="宋体" w:cs="宋体"/>
          <w:sz w:val="24"/>
          <w:szCs w:val="24"/>
          <w:highlight w:val="none"/>
        </w:rPr>
        <w:t xml:space="preserve"> </w:t>
      </w:r>
    </w:p>
    <w:p w14:paraId="47540BD9">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采购限额标准以上，200万元以下的货物和服务采购项目、400万元以下的工程采购项目，适宜由中小企业提供的，采购人应当专门面向中小企业采购。</w:t>
      </w:r>
    </w:p>
    <w:p w14:paraId="0CD40EA1">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738E72BF">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2A5075E">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A688BA1">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jc w:val="both"/>
        <w:outlineLvl w:val="1"/>
        <w:rPr>
          <w:rFonts w:hint="eastAsia" w:ascii="宋体" w:hAnsi="宋体" w:eastAsia="宋体" w:cs="宋体"/>
          <w:sz w:val="24"/>
          <w:szCs w:val="24"/>
          <w:highlight w:val="none"/>
        </w:rPr>
      </w:pPr>
      <w:r>
        <w:rPr>
          <w:rStyle w:val="50"/>
          <w:rFonts w:hint="eastAsia" w:ascii="宋体" w:hAnsi="宋体" w:eastAsia="宋体" w:cs="宋体"/>
          <w:sz w:val="24"/>
          <w:szCs w:val="24"/>
          <w:highlight w:val="none"/>
        </w:rPr>
        <w:t>七、对本次采购提出询问，请按以下方式联系</w:t>
      </w:r>
    </w:p>
    <w:p w14:paraId="1AF8D186">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outlineLvl w:val="2"/>
        <w:rPr>
          <w:rFonts w:hint="eastAsia" w:ascii="宋体" w:hAnsi="宋体" w:eastAsia="宋体" w:cs="宋体"/>
          <w:sz w:val="24"/>
          <w:szCs w:val="24"/>
          <w:highlight w:val="none"/>
        </w:rPr>
      </w:pPr>
      <w:bookmarkStart w:id="12" w:name="_Toc4615"/>
      <w:bookmarkStart w:id="13" w:name="_Toc11879"/>
      <w:bookmarkStart w:id="14" w:name="_Toc1184"/>
      <w:r>
        <w:rPr>
          <w:rFonts w:hint="eastAsia" w:ascii="宋体" w:hAnsi="宋体" w:eastAsia="宋体" w:cs="宋体"/>
          <w:sz w:val="24"/>
          <w:szCs w:val="24"/>
          <w:highlight w:val="none"/>
        </w:rPr>
        <w:t>1.采购人信息</w:t>
      </w:r>
      <w:bookmarkEnd w:id="12"/>
      <w:bookmarkEnd w:id="13"/>
      <w:bookmarkEnd w:id="14"/>
    </w:p>
    <w:p w14:paraId="73645AD2">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Style w:val="64"/>
          <w:rFonts w:hint="eastAsia" w:hAnsi="宋体" w:cs="宋体"/>
          <w:sz w:val="24"/>
          <w:szCs w:val="24"/>
          <w:highlight w:val="none"/>
          <w:lang w:eastAsia="zh-CN"/>
        </w:rPr>
        <w:t>巴里坤哈萨克自治县博尔羌吉镇人民政府</w:t>
      </w:r>
    </w:p>
    <w:p w14:paraId="0B2EC9EF">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hAnsi="宋体" w:cs="宋体"/>
          <w:sz w:val="24"/>
          <w:szCs w:val="24"/>
          <w:highlight w:val="none"/>
          <w:lang w:val="en-US" w:eastAsia="zh-CN"/>
        </w:rPr>
        <w:t>巴里坤县博尔羌吉镇</w:t>
      </w:r>
    </w:p>
    <w:p w14:paraId="0D06AE1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w:t>
      </w:r>
      <w:r>
        <w:rPr>
          <w:rFonts w:hint="eastAsia" w:ascii="宋体" w:hAnsi="宋体" w:eastAsia="宋体" w:cs="宋体"/>
          <w:color w:val="auto"/>
          <w:sz w:val="24"/>
          <w:szCs w:val="24"/>
          <w:highlight w:val="none"/>
        </w:rPr>
        <w:t>式：</w:t>
      </w:r>
      <w:r>
        <w:rPr>
          <w:rFonts w:hint="eastAsia" w:hAnsi="宋体" w:cs="宋体"/>
          <w:color w:val="auto"/>
          <w:sz w:val="24"/>
          <w:highlight w:val="none"/>
          <w:lang w:val="en-US" w:eastAsia="zh-CN"/>
        </w:rPr>
        <w:t>17799359996</w:t>
      </w:r>
    </w:p>
    <w:p w14:paraId="5A0C6A3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outlineLvl w:val="2"/>
        <w:rPr>
          <w:rFonts w:hint="eastAsia" w:ascii="宋体" w:hAnsi="宋体" w:eastAsia="宋体" w:cs="宋体"/>
          <w:sz w:val="24"/>
          <w:szCs w:val="24"/>
          <w:highlight w:val="none"/>
        </w:rPr>
      </w:pPr>
      <w:bookmarkStart w:id="15" w:name="_Toc19546"/>
      <w:bookmarkStart w:id="16" w:name="_Toc18372"/>
      <w:bookmarkStart w:id="17" w:name="_Toc21806"/>
      <w:r>
        <w:rPr>
          <w:rFonts w:hint="eastAsia" w:ascii="宋体" w:hAnsi="宋体" w:eastAsia="宋体" w:cs="宋体"/>
          <w:sz w:val="24"/>
          <w:szCs w:val="24"/>
          <w:highlight w:val="none"/>
        </w:rPr>
        <w:t>2.采购代理机构信息</w:t>
      </w:r>
      <w:bookmarkEnd w:id="15"/>
      <w:bookmarkEnd w:id="16"/>
      <w:bookmarkEnd w:id="17"/>
    </w:p>
    <w:p w14:paraId="27F728F9">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新疆蒙泰工程项目管理有限公司</w:t>
      </w:r>
    </w:p>
    <w:p w14:paraId="635DB372">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sz w:val="24"/>
          <w:szCs w:val="24"/>
          <w:highlight w:val="none"/>
        </w:rPr>
        <w:t>地 址：</w:t>
      </w:r>
      <w:r>
        <w:rPr>
          <w:rFonts w:hint="eastAsia" w:ascii="宋体" w:hAnsi="宋体" w:cs="宋体"/>
          <w:color w:val="auto"/>
          <w:sz w:val="24"/>
          <w:highlight w:val="none"/>
          <w:lang w:eastAsia="zh-CN"/>
        </w:rPr>
        <w:t>新疆哈密市伊州区阿牙南路39号方盛翰林小区20栋底商2层201号商铺</w:t>
      </w:r>
    </w:p>
    <w:p w14:paraId="0D8650A8">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hAnsi="宋体" w:cs="宋体"/>
          <w:color w:val="000000"/>
          <w:sz w:val="24"/>
          <w:highlight w:val="none"/>
          <w:lang w:val="en-US" w:eastAsia="zh-CN"/>
        </w:rPr>
        <w:t>18099348337</w:t>
      </w:r>
    </w:p>
    <w:p w14:paraId="650CB1DE">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outlineLvl w:val="2"/>
        <w:rPr>
          <w:rFonts w:hint="eastAsia" w:ascii="宋体" w:hAnsi="宋体" w:eastAsia="宋体" w:cs="宋体"/>
          <w:sz w:val="24"/>
          <w:szCs w:val="24"/>
          <w:highlight w:val="none"/>
        </w:rPr>
      </w:pPr>
      <w:bookmarkStart w:id="18" w:name="_Toc24571"/>
      <w:bookmarkStart w:id="19" w:name="_Toc5408"/>
      <w:bookmarkStart w:id="20" w:name="_Toc8914"/>
      <w:r>
        <w:rPr>
          <w:rFonts w:hint="eastAsia" w:ascii="宋体" w:hAnsi="宋体" w:eastAsia="宋体" w:cs="宋体"/>
          <w:sz w:val="24"/>
          <w:szCs w:val="24"/>
          <w:highlight w:val="none"/>
        </w:rPr>
        <w:t>3.项目联系方式</w:t>
      </w:r>
      <w:bookmarkEnd w:id="18"/>
      <w:bookmarkEnd w:id="19"/>
      <w:bookmarkEnd w:id="20"/>
    </w:p>
    <w:p w14:paraId="76261483">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Style w:val="64"/>
          <w:rFonts w:hint="eastAsia" w:hAnsi="宋体" w:eastAsia="宋体" w:cs="宋体"/>
          <w:sz w:val="24"/>
          <w:szCs w:val="24"/>
          <w:highlight w:val="none"/>
          <w:lang w:eastAsia="zh-CN"/>
        </w:rPr>
        <w:t>吴越</w:t>
      </w:r>
    </w:p>
    <w:p w14:paraId="46FE4E73">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18099348337</w:t>
      </w:r>
    </w:p>
    <w:p w14:paraId="018954FB">
      <w:pPr>
        <w:spacing w:line="360" w:lineRule="auto"/>
        <w:ind w:firstLine="5280" w:firstLineChars="2200"/>
        <w:jc w:val="left"/>
        <w:rPr>
          <w:rFonts w:hint="eastAsia" w:ascii="宋体" w:hAnsi="宋体" w:eastAsia="宋体" w:cs="宋体"/>
          <w:color w:val="0000FF"/>
          <w:sz w:val="24"/>
          <w:szCs w:val="24"/>
          <w:highlight w:val="none"/>
        </w:rPr>
      </w:pPr>
    </w:p>
    <w:p w14:paraId="5B9FE2A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br w:type="page"/>
      </w:r>
      <w:bookmarkStart w:id="21" w:name="_Toc5715644"/>
      <w:r>
        <w:rPr>
          <w:rFonts w:hint="eastAsia" w:ascii="宋体" w:hAnsi="宋体" w:eastAsia="宋体" w:cs="宋体"/>
          <w:b/>
          <w:bCs/>
          <w:color w:val="auto"/>
          <w:sz w:val="32"/>
          <w:szCs w:val="32"/>
          <w:highlight w:val="none"/>
        </w:rPr>
        <w:t>第一部分  投标人须知前附表</w:t>
      </w:r>
      <w:bookmarkEnd w:id="21"/>
    </w:p>
    <w:tbl>
      <w:tblPr>
        <w:tblStyle w:val="47"/>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95"/>
        <w:gridCol w:w="7260"/>
      </w:tblGrid>
      <w:tr w14:paraId="7D60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716" w:type="dxa"/>
            <w:tcBorders>
              <w:top w:val="single" w:color="auto" w:sz="4" w:space="0"/>
              <w:left w:val="single" w:color="auto" w:sz="4" w:space="0"/>
              <w:bottom w:val="single" w:color="auto" w:sz="4" w:space="0"/>
              <w:right w:val="single" w:color="auto" w:sz="4" w:space="0"/>
            </w:tcBorders>
            <w:vAlign w:val="center"/>
          </w:tcPr>
          <w:p w14:paraId="0278FD2A">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项号</w:t>
            </w:r>
          </w:p>
        </w:tc>
        <w:tc>
          <w:tcPr>
            <w:tcW w:w="1995" w:type="dxa"/>
            <w:tcBorders>
              <w:top w:val="single" w:color="auto" w:sz="4" w:space="0"/>
              <w:left w:val="single" w:color="auto" w:sz="4" w:space="0"/>
              <w:bottom w:val="single" w:color="auto" w:sz="4" w:space="0"/>
              <w:right w:val="single" w:color="auto" w:sz="4" w:space="0"/>
            </w:tcBorders>
            <w:vAlign w:val="center"/>
          </w:tcPr>
          <w:p w14:paraId="7485590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260" w:type="dxa"/>
            <w:tcBorders>
              <w:top w:val="single" w:color="auto" w:sz="4" w:space="0"/>
              <w:left w:val="single" w:color="auto" w:sz="4" w:space="0"/>
              <w:bottom w:val="single" w:color="auto" w:sz="4" w:space="0"/>
              <w:right w:val="single" w:color="auto" w:sz="4" w:space="0"/>
            </w:tcBorders>
            <w:vAlign w:val="center"/>
          </w:tcPr>
          <w:p w14:paraId="79FC81F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14:paraId="1567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CBB5D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95" w:type="dxa"/>
            <w:tcBorders>
              <w:top w:val="single" w:color="auto" w:sz="4" w:space="0"/>
              <w:left w:val="single" w:color="auto" w:sz="4" w:space="0"/>
              <w:bottom w:val="single" w:color="auto" w:sz="4" w:space="0"/>
              <w:right w:val="single" w:color="auto" w:sz="4" w:space="0"/>
            </w:tcBorders>
            <w:vAlign w:val="center"/>
          </w:tcPr>
          <w:p w14:paraId="617D1B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A24B4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tc>
        <w:tc>
          <w:tcPr>
            <w:tcW w:w="7260" w:type="dxa"/>
            <w:tcBorders>
              <w:top w:val="single" w:color="auto" w:sz="4" w:space="0"/>
              <w:left w:val="single" w:color="auto" w:sz="4" w:space="0"/>
              <w:bottom w:val="single" w:color="auto" w:sz="4" w:space="0"/>
              <w:right w:val="single" w:color="auto" w:sz="4" w:space="0"/>
            </w:tcBorders>
            <w:vAlign w:val="center"/>
          </w:tcPr>
          <w:p w14:paraId="0C92D9E1">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巴里坤县边境乡镇基础设施建设项目（二期）污水处理设备</w:t>
            </w:r>
          </w:p>
          <w:p w14:paraId="1F22D06F">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项目编号：XJMTZBCG(2025)-014</w:t>
            </w:r>
          </w:p>
        </w:tc>
      </w:tr>
      <w:tr w14:paraId="4A69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B5189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95" w:type="dxa"/>
            <w:tcBorders>
              <w:top w:val="single" w:color="auto" w:sz="4" w:space="0"/>
              <w:left w:val="single" w:color="auto" w:sz="4" w:space="0"/>
              <w:bottom w:val="single" w:color="auto" w:sz="4" w:space="0"/>
              <w:right w:val="single" w:color="auto" w:sz="4" w:space="0"/>
            </w:tcBorders>
            <w:vAlign w:val="center"/>
          </w:tcPr>
          <w:p w14:paraId="298A0D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7260" w:type="dxa"/>
            <w:tcBorders>
              <w:top w:val="single" w:color="auto" w:sz="4" w:space="0"/>
              <w:left w:val="single" w:color="auto" w:sz="4" w:space="0"/>
              <w:bottom w:val="single" w:color="auto" w:sz="4" w:space="0"/>
              <w:right w:val="single" w:color="auto" w:sz="4" w:space="0"/>
            </w:tcBorders>
            <w:vAlign w:val="center"/>
          </w:tcPr>
          <w:p w14:paraId="1FDC37F0">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巴里坤哈萨克自治县博尔羌吉镇人民政府</w:t>
            </w:r>
          </w:p>
          <w:p w14:paraId="76A26D59">
            <w:pPr>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17799359996</w:t>
            </w:r>
          </w:p>
        </w:tc>
      </w:tr>
      <w:tr w14:paraId="6F9F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68CDF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95" w:type="dxa"/>
            <w:tcBorders>
              <w:top w:val="single" w:color="auto" w:sz="4" w:space="0"/>
              <w:left w:val="single" w:color="auto" w:sz="4" w:space="0"/>
              <w:bottom w:val="single" w:color="auto" w:sz="4" w:space="0"/>
              <w:right w:val="single" w:color="auto" w:sz="4" w:space="0"/>
            </w:tcBorders>
            <w:vAlign w:val="center"/>
          </w:tcPr>
          <w:p w14:paraId="2211ED0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p w14:paraId="3F7ED7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14:paraId="5662224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7260" w:type="dxa"/>
            <w:tcBorders>
              <w:top w:val="single" w:color="auto" w:sz="4" w:space="0"/>
              <w:left w:val="single" w:color="auto" w:sz="4" w:space="0"/>
              <w:bottom w:val="single" w:color="auto" w:sz="4" w:space="0"/>
              <w:right w:val="single" w:color="auto" w:sz="4" w:space="0"/>
            </w:tcBorders>
            <w:vAlign w:val="center"/>
          </w:tcPr>
          <w:p w14:paraId="12F6F373">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代理机构：</w:t>
            </w:r>
            <w:r>
              <w:rPr>
                <w:rFonts w:hint="eastAsia" w:ascii="宋体" w:hAnsi="宋体" w:eastAsia="宋体" w:cs="宋体"/>
                <w:color w:val="auto"/>
                <w:sz w:val="24"/>
                <w:highlight w:val="none"/>
                <w:lang w:eastAsia="zh-CN"/>
              </w:rPr>
              <w:t>新疆蒙泰工程项目管理有限公司</w:t>
            </w:r>
          </w:p>
          <w:p w14:paraId="15F3D24E">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吴越</w:t>
            </w:r>
          </w:p>
          <w:p w14:paraId="170C279B">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18099348337</w:t>
            </w:r>
          </w:p>
        </w:tc>
      </w:tr>
      <w:tr w14:paraId="7296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7437B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95" w:type="dxa"/>
            <w:tcBorders>
              <w:top w:val="single" w:color="auto" w:sz="4" w:space="0"/>
              <w:left w:val="single" w:color="auto" w:sz="4" w:space="0"/>
              <w:bottom w:val="single" w:color="auto" w:sz="4" w:space="0"/>
              <w:right w:val="single" w:color="auto" w:sz="4" w:space="0"/>
            </w:tcBorders>
            <w:vAlign w:val="center"/>
          </w:tcPr>
          <w:p w14:paraId="783C2C2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w:t>
            </w:r>
          </w:p>
        </w:tc>
        <w:tc>
          <w:tcPr>
            <w:tcW w:w="7260" w:type="dxa"/>
            <w:tcBorders>
              <w:top w:val="single" w:color="auto" w:sz="4" w:space="0"/>
              <w:left w:val="single" w:color="auto" w:sz="4" w:space="0"/>
              <w:bottom w:val="single" w:color="auto" w:sz="4" w:space="0"/>
              <w:right w:val="single" w:color="auto" w:sz="4" w:space="0"/>
            </w:tcBorders>
            <w:vAlign w:val="center"/>
          </w:tcPr>
          <w:p w14:paraId="47307717">
            <w:pP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新建日处理量500立方米的污水处理设施</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注：具体参数详见招标文件</w:t>
            </w:r>
          </w:p>
        </w:tc>
      </w:tr>
      <w:tr w14:paraId="3216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9249F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95" w:type="dxa"/>
            <w:tcBorders>
              <w:top w:val="single" w:color="auto" w:sz="4" w:space="0"/>
              <w:left w:val="single" w:color="auto" w:sz="4" w:space="0"/>
              <w:bottom w:val="single" w:color="auto" w:sz="4" w:space="0"/>
              <w:right w:val="single" w:color="auto" w:sz="4" w:space="0"/>
            </w:tcBorders>
            <w:vAlign w:val="center"/>
          </w:tcPr>
          <w:p w14:paraId="20C80FA0">
            <w:pPr>
              <w:jc w:val="center"/>
              <w:rPr>
                <w:rFonts w:hint="eastAsia" w:ascii="宋体" w:hAnsi="宋体" w:eastAsia="宋体" w:cs="宋体"/>
                <w:color w:val="0000FF"/>
                <w:sz w:val="24"/>
                <w:highlight w:val="none"/>
              </w:rPr>
            </w:pPr>
            <w:r>
              <w:rPr>
                <w:rFonts w:hint="eastAsia" w:ascii="宋体" w:hAnsi="宋体" w:eastAsia="宋体" w:cs="宋体"/>
                <w:color w:val="auto"/>
                <w:sz w:val="24"/>
                <w:highlight w:val="none"/>
              </w:rPr>
              <w:t>资金来源</w:t>
            </w:r>
          </w:p>
        </w:tc>
        <w:tc>
          <w:tcPr>
            <w:tcW w:w="7260" w:type="dxa"/>
            <w:tcBorders>
              <w:top w:val="single" w:color="auto" w:sz="4" w:space="0"/>
              <w:left w:val="single" w:color="auto" w:sz="4" w:space="0"/>
              <w:bottom w:val="single" w:color="auto" w:sz="4" w:space="0"/>
              <w:right w:val="single" w:color="auto" w:sz="4" w:space="0"/>
            </w:tcBorders>
            <w:vAlign w:val="center"/>
          </w:tcPr>
          <w:p w14:paraId="296EE160">
            <w:pPr>
              <w:rPr>
                <w:rFonts w:hint="default" w:ascii="宋体" w:hAnsi="宋体" w:eastAsia="宋体" w:cs="宋体"/>
                <w:color w:val="0000FF"/>
                <w:sz w:val="24"/>
                <w:highlight w:val="none"/>
                <w:lang w:val="en-US" w:eastAsia="zh-CN"/>
              </w:rPr>
            </w:pPr>
            <w:r>
              <w:rPr>
                <w:rFonts w:hint="eastAsia" w:ascii="宋体" w:hAnsi="宋体" w:cs="宋体"/>
                <w:kern w:val="0"/>
                <w:sz w:val="24"/>
                <w:szCs w:val="24"/>
                <w:highlight w:val="none"/>
                <w:lang w:val="en-US" w:eastAsia="zh-CN" w:bidi="ar"/>
              </w:rPr>
              <w:t>援疆资金及县财政资金</w:t>
            </w:r>
          </w:p>
        </w:tc>
      </w:tr>
      <w:tr w14:paraId="5FAD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84B14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95" w:type="dxa"/>
            <w:tcBorders>
              <w:top w:val="single" w:color="auto" w:sz="4" w:space="0"/>
              <w:left w:val="single" w:color="auto" w:sz="4" w:space="0"/>
              <w:bottom w:val="single" w:color="auto" w:sz="4" w:space="0"/>
              <w:right w:val="single" w:color="auto" w:sz="4" w:space="0"/>
            </w:tcBorders>
            <w:vAlign w:val="center"/>
          </w:tcPr>
          <w:p w14:paraId="3591C9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7260" w:type="dxa"/>
            <w:tcBorders>
              <w:top w:val="single" w:color="auto" w:sz="4" w:space="0"/>
              <w:left w:val="single" w:color="auto" w:sz="4" w:space="0"/>
              <w:bottom w:val="single" w:color="auto" w:sz="4" w:space="0"/>
              <w:right w:val="single" w:color="auto" w:sz="4" w:space="0"/>
            </w:tcBorders>
            <w:vAlign w:val="center"/>
          </w:tcPr>
          <w:p w14:paraId="3301760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p>
        </w:tc>
      </w:tr>
      <w:tr w14:paraId="16D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287D6D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95" w:type="dxa"/>
            <w:tcBorders>
              <w:top w:val="single" w:color="auto" w:sz="4" w:space="0"/>
              <w:left w:val="single" w:color="auto" w:sz="4" w:space="0"/>
              <w:bottom w:val="single" w:color="auto" w:sz="4" w:space="0"/>
              <w:right w:val="single" w:color="auto" w:sz="4" w:space="0"/>
            </w:tcBorders>
            <w:vAlign w:val="center"/>
          </w:tcPr>
          <w:p w14:paraId="631E31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投标人资格</w:t>
            </w:r>
          </w:p>
        </w:tc>
        <w:tc>
          <w:tcPr>
            <w:tcW w:w="7260" w:type="dxa"/>
            <w:tcBorders>
              <w:top w:val="single" w:color="auto" w:sz="4" w:space="0"/>
              <w:left w:val="single" w:color="auto" w:sz="4" w:space="0"/>
              <w:bottom w:val="single" w:color="auto" w:sz="4" w:space="0"/>
              <w:right w:val="single" w:color="auto" w:sz="4" w:space="0"/>
            </w:tcBorders>
            <w:vAlign w:val="center"/>
          </w:tcPr>
          <w:p w14:paraId="13D03A29">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3053309C">
            <w:pP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：标项1：供应商为</w:t>
            </w:r>
            <w:r>
              <w:rPr>
                <w:rFonts w:hint="eastAsia" w:ascii="宋体" w:hAnsi="宋体" w:cs="宋体"/>
                <w:color w:val="auto"/>
                <w:sz w:val="24"/>
                <w:highlight w:val="none"/>
                <w:lang w:val="en-US" w:eastAsia="zh-CN"/>
              </w:rPr>
              <w:t>中小</w:t>
            </w: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val="en-US" w:eastAsia="zh-CN"/>
              </w:rPr>
              <w:t xml:space="preserve"> </w:t>
            </w:r>
          </w:p>
          <w:p w14:paraId="37D4AD71">
            <w:pP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35C4142F">
            <w:pPr>
              <w:pStyle w:val="46"/>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4.一体化污水处理设备（冻土层2.5米，投标供应商所提供的设备能承受2.5米厚度冻土层重力，需要提供承诺函，此项为实质性要求。未单独提供承诺函的将被认为无效投标。）</w:t>
            </w:r>
          </w:p>
          <w:p w14:paraId="756FF985">
            <w:pPr>
              <w:pStyle w:val="46"/>
              <w:ind w:left="0" w:leftChars="0" w:firstLine="0" w:firstLineChars="0"/>
              <w:jc w:val="left"/>
              <w:rPr>
                <w:rFonts w:hint="eastAsia"/>
                <w:highlight w:val="none"/>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.单位负责人为同一人或者存在控股、管理关系的不同投标人，不得参加同一标段投标或者未划分标段的同一招标项目投标；</w:t>
            </w:r>
          </w:p>
        </w:tc>
      </w:tr>
      <w:tr w14:paraId="0B8E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B7321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95" w:type="dxa"/>
            <w:tcBorders>
              <w:top w:val="single" w:color="auto" w:sz="4" w:space="0"/>
              <w:left w:val="single" w:color="auto" w:sz="4" w:space="0"/>
              <w:bottom w:val="single" w:color="auto" w:sz="4" w:space="0"/>
              <w:right w:val="single" w:color="auto" w:sz="4" w:space="0"/>
            </w:tcBorders>
            <w:vAlign w:val="center"/>
          </w:tcPr>
          <w:p w14:paraId="4BDAF52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联合体</w:t>
            </w:r>
          </w:p>
        </w:tc>
        <w:tc>
          <w:tcPr>
            <w:tcW w:w="7260" w:type="dxa"/>
            <w:tcBorders>
              <w:top w:val="single" w:color="auto" w:sz="4" w:space="0"/>
              <w:left w:val="single" w:color="auto" w:sz="4" w:space="0"/>
              <w:bottom w:val="single" w:color="auto" w:sz="4" w:space="0"/>
              <w:right w:val="single" w:color="auto" w:sz="4" w:space="0"/>
            </w:tcBorders>
            <w:vAlign w:val="center"/>
          </w:tcPr>
          <w:p w14:paraId="180490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tc>
      </w:tr>
      <w:tr w14:paraId="208F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ED1A10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95" w:type="dxa"/>
            <w:tcBorders>
              <w:top w:val="single" w:color="auto" w:sz="4" w:space="0"/>
              <w:left w:val="single" w:color="auto" w:sz="4" w:space="0"/>
              <w:bottom w:val="single" w:color="auto" w:sz="4" w:space="0"/>
              <w:right w:val="single" w:color="auto" w:sz="4" w:space="0"/>
            </w:tcBorders>
            <w:vAlign w:val="center"/>
          </w:tcPr>
          <w:p w14:paraId="2FF231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260" w:type="dxa"/>
            <w:tcBorders>
              <w:top w:val="single" w:color="auto" w:sz="4" w:space="0"/>
              <w:left w:val="single" w:color="auto" w:sz="4" w:space="0"/>
              <w:bottom w:val="single" w:color="auto" w:sz="4" w:space="0"/>
              <w:right w:val="single" w:color="auto" w:sz="4" w:space="0"/>
            </w:tcBorders>
            <w:vAlign w:val="center"/>
          </w:tcPr>
          <w:p w14:paraId="1264A2F9">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日历日（从投标截止之日算起）</w:t>
            </w:r>
          </w:p>
        </w:tc>
      </w:tr>
      <w:tr w14:paraId="2D1C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887E24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95" w:type="dxa"/>
            <w:tcBorders>
              <w:top w:val="single" w:color="auto" w:sz="4" w:space="0"/>
              <w:left w:val="single" w:color="auto" w:sz="4" w:space="0"/>
              <w:bottom w:val="single" w:color="auto" w:sz="4" w:space="0"/>
              <w:right w:val="single" w:color="auto" w:sz="4" w:space="0"/>
            </w:tcBorders>
            <w:vAlign w:val="center"/>
          </w:tcPr>
          <w:p w14:paraId="3F24DB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项目实施地点</w:t>
            </w:r>
          </w:p>
        </w:tc>
        <w:tc>
          <w:tcPr>
            <w:tcW w:w="7260" w:type="dxa"/>
            <w:tcBorders>
              <w:top w:val="single" w:color="auto" w:sz="4" w:space="0"/>
              <w:left w:val="single" w:color="auto" w:sz="4" w:space="0"/>
              <w:bottom w:val="single" w:color="auto" w:sz="4" w:space="0"/>
              <w:right w:val="single" w:color="auto" w:sz="4" w:space="0"/>
            </w:tcBorders>
            <w:vAlign w:val="center"/>
          </w:tcPr>
          <w:p w14:paraId="48466D38">
            <w:pPr>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博尔羌吉镇</w:t>
            </w:r>
          </w:p>
        </w:tc>
      </w:tr>
      <w:tr w14:paraId="2CEC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2DFEE3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95" w:type="dxa"/>
            <w:tcBorders>
              <w:top w:val="single" w:color="auto" w:sz="4" w:space="0"/>
              <w:left w:val="single" w:color="auto" w:sz="4" w:space="0"/>
              <w:bottom w:val="single" w:color="auto" w:sz="4" w:space="0"/>
              <w:right w:val="single" w:color="auto" w:sz="4" w:space="0"/>
            </w:tcBorders>
            <w:vAlign w:val="center"/>
          </w:tcPr>
          <w:p w14:paraId="54D588EC">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合同履约期限</w:t>
            </w:r>
          </w:p>
        </w:tc>
        <w:tc>
          <w:tcPr>
            <w:tcW w:w="7260" w:type="dxa"/>
            <w:tcBorders>
              <w:top w:val="single" w:color="auto" w:sz="4" w:space="0"/>
              <w:left w:val="single" w:color="auto" w:sz="4" w:space="0"/>
              <w:bottom w:val="single" w:color="auto" w:sz="4" w:space="0"/>
              <w:right w:val="single" w:color="auto" w:sz="4" w:space="0"/>
            </w:tcBorders>
            <w:vAlign w:val="center"/>
          </w:tcPr>
          <w:p w14:paraId="5993B494">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自合同签订之日起至202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年9月</w:t>
            </w:r>
            <w:r>
              <w:rPr>
                <w:rFonts w:hint="eastAsia" w:ascii="宋体" w:hAnsi="宋体" w:cs="宋体"/>
                <w:color w:val="auto"/>
                <w:sz w:val="24"/>
                <w:highlight w:val="none"/>
                <w:lang w:val="en-US" w:eastAsia="zh-CN"/>
              </w:rPr>
              <w:t>30日</w:t>
            </w:r>
            <w:r>
              <w:rPr>
                <w:rFonts w:hint="eastAsia" w:ascii="宋体" w:hAnsi="宋体" w:eastAsia="宋体" w:cs="宋体"/>
                <w:color w:val="auto"/>
                <w:sz w:val="24"/>
                <w:highlight w:val="none"/>
                <w:lang w:val="en-US" w:eastAsia="zh-CN"/>
              </w:rPr>
              <w:t>前完成所有工作</w:t>
            </w:r>
          </w:p>
        </w:tc>
      </w:tr>
      <w:tr w14:paraId="553C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72377E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95" w:type="dxa"/>
            <w:tcBorders>
              <w:top w:val="single" w:color="auto" w:sz="4" w:space="0"/>
              <w:left w:val="single" w:color="auto" w:sz="4" w:space="0"/>
              <w:bottom w:val="single" w:color="auto" w:sz="4" w:space="0"/>
              <w:right w:val="single" w:color="auto" w:sz="4" w:space="0"/>
            </w:tcBorders>
            <w:vAlign w:val="center"/>
          </w:tcPr>
          <w:p w14:paraId="35C18D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7260" w:type="dxa"/>
            <w:tcBorders>
              <w:top w:val="single" w:color="auto" w:sz="4" w:space="0"/>
              <w:left w:val="single" w:color="auto" w:sz="4" w:space="0"/>
              <w:bottom w:val="single" w:color="auto" w:sz="4" w:space="0"/>
              <w:right w:val="single" w:color="auto" w:sz="4" w:space="0"/>
            </w:tcBorders>
            <w:vAlign w:val="center"/>
          </w:tcPr>
          <w:p w14:paraId="735B51CA">
            <w:pP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调试运行无误后开始计算5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质保</w:t>
            </w:r>
          </w:p>
        </w:tc>
      </w:tr>
      <w:tr w14:paraId="5657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C5B8C6B">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1995" w:type="dxa"/>
            <w:tcBorders>
              <w:top w:val="single" w:color="auto" w:sz="4" w:space="0"/>
              <w:left w:val="single" w:color="auto" w:sz="4" w:space="0"/>
              <w:bottom w:val="single" w:color="auto" w:sz="4" w:space="0"/>
              <w:right w:val="single" w:color="auto" w:sz="4" w:space="0"/>
            </w:tcBorders>
            <w:vAlign w:val="center"/>
          </w:tcPr>
          <w:p w14:paraId="1603BB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7260" w:type="dxa"/>
            <w:tcBorders>
              <w:top w:val="single" w:color="auto" w:sz="4" w:space="0"/>
              <w:left w:val="single" w:color="auto" w:sz="4" w:space="0"/>
              <w:bottom w:val="single" w:color="auto" w:sz="4" w:space="0"/>
              <w:right w:val="single" w:color="auto" w:sz="4" w:space="0"/>
            </w:tcBorders>
            <w:vAlign w:val="center"/>
          </w:tcPr>
          <w:p w14:paraId="2AE4F346">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本项目约定预付款为30%，设备发货前付至50%，设备调试合格投入使用后一次性付清。</w:t>
            </w:r>
          </w:p>
        </w:tc>
      </w:tr>
      <w:tr w14:paraId="4C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847FA85">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995" w:type="dxa"/>
            <w:tcBorders>
              <w:top w:val="single" w:color="auto" w:sz="4" w:space="0"/>
              <w:left w:val="single" w:color="auto" w:sz="4" w:space="0"/>
              <w:bottom w:val="single" w:color="auto" w:sz="4" w:space="0"/>
              <w:right w:val="single" w:color="auto" w:sz="4" w:space="0"/>
            </w:tcBorders>
            <w:vAlign w:val="center"/>
          </w:tcPr>
          <w:p w14:paraId="41B17CB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履约保证金</w:t>
            </w:r>
          </w:p>
        </w:tc>
        <w:tc>
          <w:tcPr>
            <w:tcW w:w="7260" w:type="dxa"/>
            <w:tcBorders>
              <w:top w:val="single" w:color="auto" w:sz="4" w:space="0"/>
              <w:left w:val="single" w:color="auto" w:sz="4" w:space="0"/>
              <w:bottom w:val="single" w:color="auto" w:sz="4" w:space="0"/>
              <w:right w:val="single" w:color="auto" w:sz="4" w:space="0"/>
            </w:tcBorders>
            <w:vAlign w:val="center"/>
          </w:tcPr>
          <w:p w14:paraId="7CAF92FE">
            <w:pPr>
              <w:numPr>
                <w:ilvl w:val="0"/>
                <w:numId w:val="0"/>
              </w:num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承包人提供履约担保的形式:</w:t>
            </w:r>
            <w:r>
              <w:rPr>
                <w:rFonts w:hint="eastAsia" w:ascii="宋体" w:hAnsi="宋体" w:eastAsia="宋体" w:cs="宋体"/>
                <w:color w:val="auto"/>
                <w:sz w:val="24"/>
                <w:highlight w:val="none"/>
                <w:lang w:val="en-US" w:eastAsia="zh-CN"/>
              </w:rPr>
              <w:t xml:space="preserve">现金、银行出具的银行保函、保兑支票、银行汇票或现金支票。 </w:t>
            </w:r>
          </w:p>
          <w:p w14:paraId="61247981">
            <w:pPr>
              <w:numPr>
                <w:ilvl w:val="0"/>
                <w:numId w:val="0"/>
              </w:num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金额为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工程中标价的10%，签订合同之日起5日内交付至甲方指定账户。</w:t>
            </w:r>
          </w:p>
          <w:p w14:paraId="264721DF">
            <w:pPr>
              <w:numPr>
                <w:ilvl w:val="0"/>
                <w:numId w:val="0"/>
              </w:num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因承包人原因导致工期延长的，继续提供履约担保所增加的费用由承包人承担；费用按工期延长的时间同比例计算，因承包人原因无法进行履约担保的，视为放弃本工程，终止合同；由此造成的工期及经济损失由承包人全部承担。</w:t>
            </w:r>
          </w:p>
        </w:tc>
      </w:tr>
      <w:tr w14:paraId="187F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00F800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1995" w:type="dxa"/>
            <w:tcBorders>
              <w:top w:val="single" w:color="auto" w:sz="4" w:space="0"/>
              <w:left w:val="single" w:color="auto" w:sz="4" w:space="0"/>
              <w:bottom w:val="single" w:color="auto" w:sz="4" w:space="0"/>
              <w:right w:val="single" w:color="auto" w:sz="4" w:space="0"/>
            </w:tcBorders>
            <w:vAlign w:val="center"/>
          </w:tcPr>
          <w:p w14:paraId="3E2A58F6">
            <w:pPr>
              <w:pStyle w:val="284"/>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7260" w:type="dxa"/>
            <w:tcBorders>
              <w:top w:val="single" w:color="auto" w:sz="4" w:space="0"/>
              <w:left w:val="single" w:color="auto" w:sz="4" w:space="0"/>
              <w:bottom w:val="single" w:color="auto" w:sz="4" w:space="0"/>
              <w:right w:val="single" w:color="auto" w:sz="4" w:space="0"/>
            </w:tcBorders>
            <w:vAlign w:val="center"/>
          </w:tcPr>
          <w:p w14:paraId="1C98A878">
            <w:pPr>
              <w:pStyle w:val="284"/>
              <w:adjustRightInd w:val="0"/>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报价应包含招标文件中所需设备报价（含税金）、运输费、保险费用、施工、安装、调试费、拆装、培训、备品备件、售后服务、税款、测试、质检、检验等直至交付业主正常使用前的一切费用。</w:t>
            </w:r>
          </w:p>
          <w:p w14:paraId="55AAD72D">
            <w:pPr>
              <w:pStyle w:val="284"/>
              <w:adjustRightInd w:val="0"/>
              <w:snapToGrid w:val="0"/>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注：投标人的报价明显低于其他投标人报价，或者明显低于市场价，使得其报价可能低于其个别成本的，应当要求其在评标现场合理的时间内提供说明，必要时提交相关证明材料（</w:t>
            </w:r>
            <w:r>
              <w:rPr>
                <w:rFonts w:hint="eastAsia" w:ascii="宋体" w:hAnsi="宋体" w:eastAsia="宋体" w:cs="宋体"/>
                <w:b/>
                <w:bCs/>
                <w:color w:val="auto"/>
                <w:sz w:val="24"/>
                <w:szCs w:val="24"/>
                <w:highlight w:val="none"/>
                <w:lang w:val="en-US" w:eastAsia="zh-CN"/>
              </w:rPr>
              <w:t>注：分别由制造商盖章的最终报价的分项报价清单</w:t>
            </w:r>
            <w:r>
              <w:rPr>
                <w:rFonts w:hint="eastAsia" w:ascii="宋体" w:hAnsi="宋体" w:eastAsia="宋体" w:cs="宋体"/>
                <w:b/>
                <w:bCs/>
                <w:color w:val="auto"/>
                <w:sz w:val="24"/>
                <w:szCs w:val="24"/>
                <w:highlight w:val="none"/>
                <w:lang w:eastAsia="zh-CN"/>
              </w:rPr>
              <w:t>）;投标人不能证明其报价合理性的，评标委员会将其作为无效投标处理，自行承担相关责任。</w:t>
            </w:r>
          </w:p>
        </w:tc>
      </w:tr>
      <w:tr w14:paraId="574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E0B2F61">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1995" w:type="dxa"/>
            <w:tcBorders>
              <w:top w:val="single" w:color="auto" w:sz="4" w:space="0"/>
              <w:left w:val="single" w:color="auto" w:sz="4" w:space="0"/>
              <w:bottom w:val="single" w:color="auto" w:sz="4" w:space="0"/>
              <w:right w:val="single" w:color="auto" w:sz="4" w:space="0"/>
            </w:tcBorders>
            <w:vAlign w:val="center"/>
          </w:tcPr>
          <w:p w14:paraId="19A3BAD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tc>
        <w:tc>
          <w:tcPr>
            <w:tcW w:w="7260" w:type="dxa"/>
            <w:tcBorders>
              <w:top w:val="single" w:color="auto" w:sz="4" w:space="0"/>
              <w:left w:val="single" w:color="auto" w:sz="4" w:space="0"/>
              <w:bottom w:val="single" w:color="auto" w:sz="4" w:space="0"/>
              <w:right w:val="single" w:color="auto" w:sz="4" w:space="0"/>
            </w:tcBorders>
            <w:vAlign w:val="center"/>
          </w:tcPr>
          <w:p w14:paraId="2C6B992B">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r>
              <w:rPr>
                <w:rFonts w:hint="eastAsia" w:cs="宋体"/>
                <w:color w:val="auto"/>
                <w:sz w:val="24"/>
                <w:szCs w:val="24"/>
                <w:highlight w:val="none"/>
                <w:lang w:eastAsia="zh-CN"/>
              </w:rPr>
              <w:t>：</w:t>
            </w:r>
          </w:p>
          <w:p w14:paraId="2441AE2B">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eastAsia="zh-CN"/>
              </w:rPr>
              <w:t>（一）具有独立承担民事责任的能力。（提供合法有效的法人营业执照）</w:t>
            </w:r>
          </w:p>
          <w:p w14:paraId="6848D8C4">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eastAsia="zh-CN"/>
              </w:rPr>
              <w:t>（二）具有良好的商业信誉和健全的财务会计制度。（提供202</w:t>
            </w:r>
            <w:r>
              <w:rPr>
                <w:rFonts w:hint="eastAsia" w:cs="宋体"/>
                <w:color w:val="auto"/>
                <w:sz w:val="24"/>
                <w:szCs w:val="24"/>
                <w:highlight w:val="none"/>
                <w:lang w:val="en-US" w:eastAsia="zh-CN"/>
              </w:rPr>
              <w:t>4</w:t>
            </w:r>
            <w:r>
              <w:rPr>
                <w:rFonts w:hint="eastAsia" w:cs="宋体"/>
                <w:color w:val="auto"/>
                <w:sz w:val="24"/>
                <w:szCs w:val="24"/>
                <w:highlight w:val="none"/>
                <w:lang w:eastAsia="zh-CN"/>
              </w:rPr>
              <w:t>年度或近期的财务状况报告（表）或其基本开户银行出具的资信证明复印件，本年度新成立或成立不满一年的组织和自然人无法提供财务状况报告（表）的，可提供银行出具的资信证明复印件；）</w:t>
            </w:r>
          </w:p>
          <w:p w14:paraId="3517B59E">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eastAsia="zh-CN"/>
              </w:rPr>
              <w:t>（三）具有履行合同所必需的设备和专业技术能力。（根据项目需求提供履行合同所必需的设备和专业技术能力的加盖单位公章的书面承诺函）</w:t>
            </w:r>
          </w:p>
          <w:p w14:paraId="004DEF88">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eastAsia="zh-CN"/>
              </w:rPr>
              <w:t>（四）有依法缴纳税收和社会保障资金的良好记录。（提供参加本次政府采购活动前近半年内任意一个月的依法缴纳税收和社会保障资金的相关材料）</w:t>
            </w:r>
          </w:p>
          <w:p w14:paraId="70F45512">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eastAsia="zh-CN"/>
              </w:rPr>
              <w:t>（五）参加政府采购活动前三年内，在经营活动中没有重大违法记录。（提供参加本次政府采购活动前3年内在经营活动中没有重大违法记录的书面承诺函并加盖单位公章）</w:t>
            </w:r>
          </w:p>
          <w:p w14:paraId="76EA4407">
            <w:pPr>
              <w:pStyle w:val="284"/>
              <w:ind w:firstLine="0" w:firstLineChars="0"/>
              <w:rPr>
                <w:rFonts w:hint="eastAsia" w:cs="宋体"/>
                <w:color w:val="auto"/>
                <w:sz w:val="24"/>
                <w:szCs w:val="24"/>
                <w:highlight w:val="none"/>
                <w:lang w:eastAsia="zh-CN"/>
              </w:rPr>
            </w:pPr>
            <w:r>
              <w:rPr>
                <w:rFonts w:hint="eastAsia" w:cs="宋体"/>
                <w:color w:val="auto"/>
                <w:sz w:val="24"/>
                <w:szCs w:val="24"/>
                <w:highlight w:val="none"/>
                <w:lang w:eastAsia="zh-CN"/>
              </w:rPr>
              <w:t>（六）法律、行政法规规定的其他条件。（提供承诺函）</w:t>
            </w:r>
          </w:p>
          <w:p w14:paraId="2FAC4984">
            <w:pPr>
              <w:pStyle w:val="284"/>
              <w:ind w:firstLine="0" w:firstLineChars="0"/>
              <w:rPr>
                <w:rFonts w:hint="default" w:ascii="宋体" w:hAnsi="宋体" w:eastAsia="宋体" w:cs="宋体"/>
                <w:sz w:val="24"/>
                <w:highlight w:val="none"/>
                <w:lang w:val="en-US" w:eastAsia="zh-CN"/>
              </w:rPr>
            </w:pPr>
            <w:r>
              <w:rPr>
                <w:rFonts w:hint="eastAsia" w:cs="宋体"/>
                <w:sz w:val="24"/>
                <w:highlight w:val="none"/>
                <w:lang w:val="en-US" w:eastAsia="zh-CN"/>
              </w:rPr>
              <w:t>2、</w:t>
            </w:r>
            <w:r>
              <w:rPr>
                <w:rFonts w:hint="eastAsia" w:ascii="宋体" w:hAnsi="宋体" w:eastAsia="宋体" w:cs="宋体"/>
                <w:sz w:val="24"/>
                <w:highlight w:val="none"/>
              </w:rPr>
              <w:t>法人授权委托书、被授权人身份证或法人身份证、</w:t>
            </w:r>
            <w:r>
              <w:rPr>
                <w:rFonts w:hint="eastAsia" w:ascii="宋体" w:hAnsi="宋体" w:eastAsia="宋体" w:cs="宋体"/>
                <w:color w:val="000000"/>
                <w:sz w:val="24"/>
                <w:szCs w:val="24"/>
                <w:highlight w:val="none"/>
                <w:lang w:eastAsia="zh-CN"/>
              </w:rPr>
              <w:t>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sz w:val="24"/>
                <w:highlight w:val="none"/>
              </w:rPr>
              <w:t>投标保证金交纳凭证</w:t>
            </w:r>
            <w:r>
              <w:rPr>
                <w:rFonts w:hint="eastAsia" w:ascii="宋体" w:hAnsi="宋体" w:cs="宋体"/>
                <w:color w:val="auto"/>
                <w:sz w:val="24"/>
                <w:highlight w:val="none"/>
                <w:lang w:eastAsia="zh-CN"/>
              </w:rPr>
              <w:t>（保证金转账凭证</w:t>
            </w:r>
            <w:r>
              <w:rPr>
                <w:rFonts w:hint="eastAsia" w:ascii="宋体" w:hAnsi="宋体" w:cs="宋体"/>
                <w:color w:val="auto"/>
                <w:sz w:val="24"/>
                <w:highlight w:val="none"/>
                <w:lang w:val="en-US" w:eastAsia="zh-CN"/>
              </w:rPr>
              <w:t>或保函凭证</w:t>
            </w:r>
            <w:r>
              <w:rPr>
                <w:rFonts w:hint="eastAsia" w:ascii="宋体" w:hAnsi="宋体" w:cs="宋体"/>
                <w:color w:val="auto"/>
                <w:sz w:val="24"/>
                <w:highlight w:val="none"/>
                <w:lang w:eastAsia="zh-CN"/>
              </w:rPr>
              <w:t>需法人签字</w:t>
            </w:r>
            <w:r>
              <w:rPr>
                <w:rFonts w:hint="eastAsia" w:ascii="宋体" w:hAnsi="宋体" w:cs="宋体"/>
                <w:color w:val="auto"/>
                <w:sz w:val="24"/>
                <w:highlight w:val="none"/>
                <w:lang w:val="en-US" w:eastAsia="zh-CN"/>
              </w:rPr>
              <w:t>确认</w:t>
            </w:r>
            <w:r>
              <w:rPr>
                <w:rFonts w:hint="eastAsia" w:ascii="宋体" w:hAnsi="宋体" w:cs="宋体"/>
                <w:color w:val="auto"/>
                <w:sz w:val="24"/>
                <w:highlight w:val="none"/>
                <w:lang w:eastAsia="zh-CN"/>
              </w:rPr>
              <w:t>；后附单位基本账户信息）</w:t>
            </w:r>
          </w:p>
          <w:p w14:paraId="25A24ADD">
            <w:pP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6EFC34A0">
            <w:pPr>
              <w:pStyle w:val="284"/>
              <w:ind w:firstLine="0" w:firstLineChars="0"/>
              <w:rPr>
                <w:rFonts w:hint="eastAsia"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sz w:val="24"/>
                <w:szCs w:val="24"/>
                <w:highlight w:val="none"/>
                <w:lang w:val="en-US" w:eastAsia="zh-CN"/>
              </w:rPr>
              <w:t>一体化污水处理设备（冻土层2.5米，投标供应商所提供的设备能承受2.5米厚度冻土层重力，需要提供承诺函，此项为实质性要求。未单独提供承诺函的将被认为无效投标。）</w:t>
            </w:r>
          </w:p>
          <w:p w14:paraId="31717288">
            <w:pPr>
              <w:pStyle w:val="284"/>
              <w:ind w:firstLine="0" w:firstLineChars="0"/>
              <w:rPr>
                <w:rFonts w:hint="eastAsia" w:cs="宋体"/>
                <w:color w:val="auto"/>
                <w:sz w:val="24"/>
                <w:szCs w:val="24"/>
                <w:highlight w:val="none"/>
                <w:lang w:val="en-US" w:eastAsia="zh-CN"/>
              </w:rPr>
            </w:pPr>
            <w:r>
              <w:rPr>
                <w:rFonts w:hint="eastAsia" w:cs="宋体"/>
                <w:color w:val="auto"/>
                <w:sz w:val="24"/>
                <w:szCs w:val="24"/>
                <w:highlight w:val="none"/>
                <w:lang w:val="en-US" w:eastAsia="zh-CN"/>
              </w:rPr>
              <w:t>5.单位负责人为同一人或者存在控股、管理关系的不同投标人，不得参加同一标段投标或者未划分标段的同一招标项目投标；（</w:t>
            </w:r>
            <w:r>
              <w:rPr>
                <w:rFonts w:hint="eastAsia" w:cs="宋体"/>
                <w:color w:val="auto"/>
                <w:sz w:val="24"/>
                <w:szCs w:val="24"/>
                <w:highlight w:val="none"/>
                <w:lang w:eastAsia="zh-CN"/>
              </w:rPr>
              <w:t>提供承诺函</w:t>
            </w:r>
            <w:r>
              <w:rPr>
                <w:rFonts w:hint="eastAsia" w:cs="宋体"/>
                <w:color w:val="auto"/>
                <w:sz w:val="24"/>
                <w:szCs w:val="24"/>
                <w:highlight w:val="none"/>
                <w:lang w:val="en-US" w:eastAsia="zh-CN"/>
              </w:rPr>
              <w:t>）</w:t>
            </w:r>
          </w:p>
          <w:p w14:paraId="5AFCE399">
            <w:pPr>
              <w:pStyle w:val="284"/>
              <w:ind w:firstLine="0" w:firstLineChars="0"/>
              <w:rPr>
                <w:rFonts w:hint="default" w:cs="宋体"/>
                <w:color w:val="auto"/>
                <w:sz w:val="24"/>
                <w:szCs w:val="24"/>
                <w:highlight w:val="none"/>
                <w:lang w:val="en-US" w:eastAsia="zh-CN"/>
              </w:rPr>
            </w:pPr>
            <w:r>
              <w:rPr>
                <w:rFonts w:hint="eastAsia" w:cs="宋体"/>
                <w:color w:val="auto"/>
                <w:sz w:val="24"/>
                <w:szCs w:val="24"/>
                <w:highlight w:val="none"/>
                <w:lang w:val="en-US" w:eastAsia="zh-CN"/>
              </w:rPr>
              <w:t>6.供应商应为中小企业，提供中小企业声明函。</w:t>
            </w:r>
          </w:p>
          <w:p w14:paraId="41861677">
            <w:pPr>
              <w:pStyle w:val="284"/>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sz w:val="24"/>
                <w:highlight w:val="none"/>
              </w:rPr>
              <w:t>投标人须在资格审查时上传相应加盖公章的扫描件用于核对，不上传视为对</w:t>
            </w:r>
            <w:r>
              <w:rPr>
                <w:rFonts w:hint="eastAsia" w:ascii="宋体" w:hAnsi="宋体" w:eastAsia="宋体" w:cs="宋体"/>
                <w:b/>
                <w:sz w:val="24"/>
                <w:highlight w:val="none"/>
                <w:lang w:bidi="zh-CN"/>
              </w:rPr>
              <w:t>招标</w:t>
            </w:r>
            <w:r>
              <w:rPr>
                <w:rFonts w:hint="eastAsia" w:ascii="宋体" w:hAnsi="宋体" w:eastAsia="宋体" w:cs="宋体"/>
                <w:b/>
                <w:sz w:val="24"/>
                <w:highlight w:val="none"/>
              </w:rPr>
              <w:t>文件资格审查内容的不响应，投标无效，文件将被拒绝。</w:t>
            </w:r>
          </w:p>
        </w:tc>
      </w:tr>
      <w:tr w14:paraId="144F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716" w:type="dxa"/>
            <w:tcBorders>
              <w:left w:val="single" w:color="auto" w:sz="4" w:space="0"/>
              <w:bottom w:val="single" w:color="auto" w:sz="4" w:space="0"/>
              <w:right w:val="single" w:color="auto" w:sz="4" w:space="0"/>
            </w:tcBorders>
            <w:vAlign w:val="center"/>
          </w:tcPr>
          <w:p w14:paraId="3CCB4B35">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995" w:type="dxa"/>
            <w:tcBorders>
              <w:left w:val="single" w:color="auto" w:sz="4" w:space="0"/>
              <w:bottom w:val="single" w:color="auto" w:sz="4" w:space="0"/>
              <w:right w:val="single" w:color="auto" w:sz="4" w:space="0"/>
            </w:tcBorders>
            <w:vAlign w:val="center"/>
          </w:tcPr>
          <w:p w14:paraId="52B51833">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保证金缴纳</w:t>
            </w:r>
          </w:p>
        </w:tc>
        <w:tc>
          <w:tcPr>
            <w:tcW w:w="7260" w:type="dxa"/>
            <w:tcBorders>
              <w:top w:val="single" w:color="auto" w:sz="4" w:space="0"/>
              <w:left w:val="single" w:color="auto" w:sz="4" w:space="0"/>
              <w:bottom w:val="single" w:color="auto" w:sz="4" w:space="0"/>
              <w:right w:val="single" w:color="auto" w:sz="4" w:space="0"/>
            </w:tcBorders>
            <w:vAlign w:val="center"/>
          </w:tcPr>
          <w:p w14:paraId="66B7564A">
            <w:pPr>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投标保证金：柒万元整（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70000.00 元），在缴纳保证金时一定要注明项目名称。</w:t>
            </w:r>
          </w:p>
          <w:p w14:paraId="6C038AC8">
            <w:pPr>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单位名称：哈密市公共资源交易服务中心</w:t>
            </w:r>
          </w:p>
          <w:p w14:paraId="4DBA44C2">
            <w:pPr>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投标保证金递交到：哈密市公共资源交易服务中心</w:t>
            </w:r>
          </w:p>
          <w:p w14:paraId="27E459B5">
            <w:pPr>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银行户名：哈密市公共资源交易服务中心</w:t>
            </w:r>
          </w:p>
          <w:p w14:paraId="1CD08977">
            <w:pPr>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单位账号开户行名称：工行新疆哈密解放路支行</w:t>
            </w:r>
          </w:p>
          <w:p w14:paraId="77DE46CF">
            <w:pPr>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保证金存入账（卡）号：9558833011000060937</w:t>
            </w:r>
          </w:p>
          <w:p w14:paraId="5FE5C266">
            <w:pPr>
              <w:overflowPunct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保证金缴纳方式：各投标单位自行选择电子保函(通过公共资源交易平台办理)、银行电汇、网银转账、银行保函的方式缴纳投标保证金。投标保证金的各种缴纳方式均须从总公司基本账户支出，其他账户支出的保证金无效。 </w:t>
            </w:r>
          </w:p>
        </w:tc>
      </w:tr>
      <w:tr w14:paraId="64EC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6" w:type="dxa"/>
            <w:tcBorders>
              <w:left w:val="single" w:color="auto" w:sz="4" w:space="0"/>
              <w:bottom w:val="single" w:color="auto" w:sz="4" w:space="0"/>
              <w:right w:val="single" w:color="auto" w:sz="4" w:space="0"/>
            </w:tcBorders>
            <w:vAlign w:val="center"/>
          </w:tcPr>
          <w:p w14:paraId="60AF0EF7">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1995" w:type="dxa"/>
            <w:tcBorders>
              <w:left w:val="single" w:color="auto" w:sz="4" w:space="0"/>
              <w:bottom w:val="single" w:color="auto" w:sz="4" w:space="0"/>
              <w:right w:val="single" w:color="auto" w:sz="4" w:space="0"/>
            </w:tcBorders>
            <w:vAlign w:val="center"/>
          </w:tcPr>
          <w:p w14:paraId="5EA9FE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w:t>
            </w:r>
          </w:p>
        </w:tc>
        <w:tc>
          <w:tcPr>
            <w:tcW w:w="7260" w:type="dxa"/>
            <w:tcBorders>
              <w:top w:val="single" w:color="auto" w:sz="4" w:space="0"/>
              <w:left w:val="single" w:color="auto" w:sz="4" w:space="0"/>
              <w:bottom w:val="single" w:color="auto" w:sz="4" w:space="0"/>
              <w:right w:val="single" w:color="auto" w:sz="4" w:space="0"/>
            </w:tcBorders>
            <w:vAlign w:val="center"/>
          </w:tcPr>
          <w:p w14:paraId="163C8848">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不组织</w:t>
            </w:r>
          </w:p>
        </w:tc>
      </w:tr>
      <w:tr w14:paraId="2F79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16" w:type="dxa"/>
            <w:tcBorders>
              <w:left w:val="single" w:color="auto" w:sz="4" w:space="0"/>
              <w:bottom w:val="single" w:color="auto" w:sz="4" w:space="0"/>
              <w:right w:val="single" w:color="auto" w:sz="4" w:space="0"/>
            </w:tcBorders>
            <w:vAlign w:val="center"/>
          </w:tcPr>
          <w:p w14:paraId="2DDFDD7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995" w:type="dxa"/>
            <w:tcBorders>
              <w:left w:val="single" w:color="auto" w:sz="4" w:space="0"/>
              <w:bottom w:val="single" w:color="auto" w:sz="4" w:space="0"/>
              <w:right w:val="single" w:color="auto" w:sz="4" w:space="0"/>
            </w:tcBorders>
            <w:vAlign w:val="center"/>
          </w:tcPr>
          <w:p w14:paraId="0B595D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文件的澄清</w:t>
            </w:r>
          </w:p>
        </w:tc>
        <w:tc>
          <w:tcPr>
            <w:tcW w:w="7260" w:type="dxa"/>
            <w:tcBorders>
              <w:top w:val="single" w:color="auto" w:sz="4" w:space="0"/>
              <w:left w:val="single" w:color="auto" w:sz="4" w:space="0"/>
              <w:bottom w:val="single" w:color="auto" w:sz="4" w:space="0"/>
              <w:right w:val="single" w:color="auto" w:sz="4" w:space="0"/>
            </w:tcBorders>
            <w:vAlign w:val="center"/>
          </w:tcPr>
          <w:p w14:paraId="3A411B0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投标人如有质疑请于</w:t>
            </w:r>
            <w:r>
              <w:rPr>
                <w:rFonts w:hint="eastAsia" w:ascii="宋体" w:hAnsi="宋体" w:cs="宋体"/>
                <w:color w:val="auto"/>
                <w:sz w:val="24"/>
                <w:highlight w:val="none"/>
                <w:lang w:val="en-US" w:eastAsia="zh-CN"/>
              </w:rPr>
              <w:t>开标前十日</w:t>
            </w:r>
            <w:r>
              <w:rPr>
                <w:rFonts w:hint="eastAsia" w:ascii="宋体" w:hAnsi="宋体" w:eastAsia="宋体" w:cs="宋体"/>
                <w:color w:val="auto"/>
                <w:sz w:val="24"/>
                <w:highlight w:val="none"/>
              </w:rPr>
              <w:t>以书面的形式向采购代理机构提出，代理机构做统一澄清。</w:t>
            </w:r>
          </w:p>
        </w:tc>
      </w:tr>
      <w:tr w14:paraId="39E3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16" w:type="dxa"/>
            <w:tcBorders>
              <w:top w:val="single" w:color="auto" w:sz="4" w:space="0"/>
              <w:left w:val="single" w:color="auto" w:sz="4" w:space="0"/>
              <w:right w:val="single" w:color="auto" w:sz="4" w:space="0"/>
            </w:tcBorders>
            <w:vAlign w:val="center"/>
          </w:tcPr>
          <w:p w14:paraId="0FBB25A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995" w:type="dxa"/>
            <w:tcBorders>
              <w:top w:val="single" w:color="auto" w:sz="4" w:space="0"/>
              <w:left w:val="single" w:color="auto" w:sz="4" w:space="0"/>
              <w:bottom w:val="single" w:color="auto" w:sz="4" w:space="0"/>
              <w:right w:val="single" w:color="auto" w:sz="4" w:space="0"/>
            </w:tcBorders>
            <w:vAlign w:val="center"/>
          </w:tcPr>
          <w:p w14:paraId="443C3D66">
            <w:pPr>
              <w:jc w:val="center"/>
              <w:rPr>
                <w:rFonts w:hint="eastAsia" w:ascii="宋体" w:hAnsi="宋体" w:eastAsia="宋体" w:cs="宋体"/>
                <w:color w:val="auto"/>
                <w:sz w:val="24"/>
                <w:highlight w:val="none"/>
              </w:rPr>
            </w:pPr>
            <w:r>
              <w:rPr>
                <w:rFonts w:hint="eastAsia" w:ascii="宋体" w:hAnsi="宋体" w:eastAsia="宋体" w:cs="宋体"/>
                <w:color w:val="auto"/>
                <w:spacing w:val="-14"/>
                <w:sz w:val="24"/>
                <w:highlight w:val="none"/>
              </w:rPr>
              <w:t>投标文件</w:t>
            </w:r>
            <w:r>
              <w:rPr>
                <w:rFonts w:hint="eastAsia" w:ascii="宋体" w:hAnsi="宋体" w:eastAsia="宋体" w:cs="宋体"/>
                <w:color w:val="auto"/>
                <w:sz w:val="24"/>
                <w:highlight w:val="none"/>
              </w:rPr>
              <w:t>份数</w:t>
            </w:r>
          </w:p>
        </w:tc>
        <w:tc>
          <w:tcPr>
            <w:tcW w:w="7260" w:type="dxa"/>
            <w:tcBorders>
              <w:top w:val="single" w:color="auto" w:sz="4" w:space="0"/>
              <w:left w:val="single" w:color="auto" w:sz="4" w:space="0"/>
              <w:bottom w:val="single" w:color="auto" w:sz="4" w:space="0"/>
              <w:right w:val="single" w:color="auto" w:sz="4" w:space="0"/>
            </w:tcBorders>
            <w:vAlign w:val="center"/>
          </w:tcPr>
          <w:p w14:paraId="2315E4BF">
            <w:pPr>
              <w:rPr>
                <w:rFonts w:hint="eastAsia" w:ascii="宋体" w:hAnsi="宋体" w:eastAsia="宋体" w:cs="宋体"/>
                <w:color w:val="auto"/>
                <w:sz w:val="24"/>
                <w:highlight w:val="none"/>
              </w:rPr>
            </w:pPr>
            <w:r>
              <w:rPr>
                <w:rFonts w:hint="eastAsia" w:ascii="宋体" w:hAnsi="宋体" w:cs="宋体"/>
                <w:color w:val="auto"/>
                <w:sz w:val="24"/>
                <w:highlight w:val="none"/>
              </w:rPr>
              <w:t>投标文件不得以活页方式装订，必须为不可拆装的方式</w:t>
            </w:r>
            <w:r>
              <w:rPr>
                <w:rFonts w:hint="eastAsia" w:ascii="宋体" w:hAnsi="宋体" w:cs="宋体"/>
                <w:color w:val="auto"/>
                <w:sz w:val="24"/>
                <w:highlight w:val="none"/>
                <w:lang w:eastAsia="zh-CN"/>
              </w:rPr>
              <w:t>（可为双</w:t>
            </w:r>
            <w:r>
              <w:rPr>
                <w:rFonts w:hint="eastAsia" w:ascii="宋体" w:hAnsi="宋体" w:eastAsia="宋体" w:cs="宋体"/>
                <w:color w:val="auto"/>
                <w:sz w:val="24"/>
                <w:highlight w:val="none"/>
                <w:lang w:eastAsia="zh-CN"/>
              </w:rPr>
              <w:t>面打印）</w:t>
            </w:r>
            <w:r>
              <w:rPr>
                <w:rFonts w:hint="eastAsia" w:ascii="宋体" w:hAnsi="宋体" w:eastAsia="宋体" w:cs="宋体"/>
                <w:b w:val="0"/>
                <w:bCs w:val="0"/>
                <w:color w:val="auto"/>
                <w:sz w:val="24"/>
                <w:highlight w:val="none"/>
                <w:lang w:val="en-US" w:eastAsia="zh-CN"/>
              </w:rPr>
              <w:t>开标结束后</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日内前三名投标企业</w:t>
            </w:r>
            <w:r>
              <w:rPr>
                <w:rFonts w:hint="eastAsia" w:ascii="宋体" w:hAnsi="宋体" w:eastAsia="宋体" w:cs="宋体"/>
                <w:color w:val="auto"/>
                <w:sz w:val="24"/>
                <w:highlight w:val="none"/>
              </w:rPr>
              <w:t>提供纸质版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一正一副</w:t>
            </w:r>
            <w:r>
              <w:rPr>
                <w:rFonts w:hint="eastAsia" w:ascii="宋体" w:hAnsi="宋体" w:eastAsia="宋体" w:cs="宋体"/>
                <w:color w:val="auto"/>
                <w:sz w:val="24"/>
                <w:highlight w:val="none"/>
              </w:rPr>
              <w:t>，电子版文件一份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PDF格式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，需与纸质版文件一致，以U盘</w:t>
            </w:r>
            <w:r>
              <w:rPr>
                <w:rFonts w:hint="eastAsia" w:ascii="宋体" w:hAnsi="宋体" w:eastAsia="宋体" w:cs="宋体"/>
                <w:color w:val="auto"/>
                <w:sz w:val="24"/>
                <w:highlight w:val="none"/>
                <w:lang w:eastAsia="zh-CN"/>
              </w:rPr>
              <w:t>或光盘</w:t>
            </w:r>
            <w:r>
              <w:rPr>
                <w:rFonts w:hint="eastAsia" w:ascii="宋体" w:hAnsi="宋体" w:eastAsia="宋体" w:cs="宋体"/>
                <w:color w:val="auto"/>
                <w:sz w:val="24"/>
                <w:highlight w:val="none"/>
              </w:rPr>
              <w:t>方式。印章齐全）至招标代理公司处</w:t>
            </w:r>
            <w:r>
              <w:rPr>
                <w:rFonts w:hint="eastAsia" w:ascii="宋体" w:hAnsi="宋体" w:eastAsia="宋体" w:cs="宋体"/>
                <w:color w:val="auto"/>
                <w:sz w:val="24"/>
                <w:highlight w:val="none"/>
                <w:lang w:eastAsia="zh-CN"/>
              </w:rPr>
              <w:t>（地址：</w:t>
            </w:r>
            <w:r>
              <w:rPr>
                <w:rFonts w:hint="eastAsia" w:ascii="宋体" w:hAnsi="宋体" w:cs="宋体"/>
                <w:color w:val="auto"/>
                <w:sz w:val="24"/>
                <w:highlight w:val="none"/>
                <w:lang w:eastAsia="zh-CN"/>
              </w:rPr>
              <w:t>新疆哈密市伊州区阿牙南路39号方盛翰林小区20栋底商2层201号商铺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邮费自付</w:t>
            </w:r>
            <w:r>
              <w:rPr>
                <w:rFonts w:hint="eastAsia" w:ascii="宋体" w:hAnsi="宋体" w:eastAsia="宋体" w:cs="宋体"/>
                <w:color w:val="auto"/>
                <w:sz w:val="24"/>
                <w:highlight w:val="none"/>
              </w:rPr>
              <w:t>。</w:t>
            </w:r>
          </w:p>
        </w:tc>
      </w:tr>
      <w:tr w14:paraId="1E07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6" w:type="dxa"/>
            <w:tcBorders>
              <w:left w:val="single" w:color="auto" w:sz="4" w:space="0"/>
              <w:bottom w:val="single" w:color="auto" w:sz="4" w:space="0"/>
              <w:right w:val="single" w:color="auto" w:sz="4" w:space="0"/>
            </w:tcBorders>
            <w:vAlign w:val="center"/>
          </w:tcPr>
          <w:p w14:paraId="05E7E385">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p>
        </w:tc>
        <w:tc>
          <w:tcPr>
            <w:tcW w:w="1995" w:type="dxa"/>
            <w:tcBorders>
              <w:top w:val="single" w:color="auto" w:sz="4" w:space="0"/>
              <w:left w:val="single" w:color="auto" w:sz="4" w:space="0"/>
              <w:bottom w:val="single" w:color="auto" w:sz="4" w:space="0"/>
              <w:right w:val="single" w:color="auto" w:sz="4" w:space="0"/>
            </w:tcBorders>
            <w:vAlign w:val="center"/>
          </w:tcPr>
          <w:p w14:paraId="6A80803F">
            <w:pPr>
              <w:spacing w:line="276" w:lineRule="auto"/>
              <w:jc w:val="center"/>
              <w:rPr>
                <w:rFonts w:hint="eastAsia" w:ascii="宋体" w:hAnsi="宋体" w:eastAsia="宋体" w:cs="宋体"/>
                <w:color w:val="auto"/>
                <w:sz w:val="24"/>
                <w:highlight w:val="none"/>
              </w:rPr>
            </w:pPr>
            <w:r>
              <w:rPr>
                <w:rFonts w:hint="eastAsia" w:ascii="宋体" w:hAnsi="宋体" w:eastAsia="宋体" w:cs="宋体"/>
                <w:sz w:val="24"/>
                <w:highlight w:val="none"/>
              </w:rPr>
              <w:t>采用电子招标投标</w:t>
            </w:r>
          </w:p>
        </w:tc>
        <w:tc>
          <w:tcPr>
            <w:tcW w:w="7260" w:type="dxa"/>
            <w:tcBorders>
              <w:top w:val="single" w:color="auto" w:sz="4" w:space="0"/>
              <w:left w:val="single" w:color="auto" w:sz="4" w:space="0"/>
              <w:bottom w:val="single" w:color="auto" w:sz="4" w:space="0"/>
              <w:right w:val="single" w:color="auto" w:sz="4" w:space="0"/>
            </w:tcBorders>
            <w:vAlign w:val="center"/>
          </w:tcPr>
          <w:p w14:paraId="598231EF">
            <w:pPr>
              <w:pStyle w:val="284"/>
              <w:spacing w:line="276" w:lineRule="auto"/>
              <w:ind w:left="0" w:leftChars="0" w:firstLine="0" w:firstLineChars="0"/>
              <w:rPr>
                <w:rFonts w:hint="eastAsia" w:ascii="宋体" w:hAnsi="宋体" w:eastAsia="宋体" w:cs="宋体"/>
                <w:sz w:val="24"/>
                <w:highlight w:val="none"/>
              </w:rPr>
            </w:pPr>
            <w:r>
              <w:rPr>
                <w:rFonts w:hint="eastAsia" w:ascii="宋体" w:hAnsi="宋体" w:eastAsia="宋体" w:cs="宋体"/>
                <w:b/>
                <w:bCs/>
                <w:sz w:val="24"/>
                <w:highlight w:val="none"/>
              </w:rPr>
              <w:t>1、投标文件解密时间：</w:t>
            </w:r>
            <w:r>
              <w:rPr>
                <w:rFonts w:hint="eastAsia" w:ascii="宋体" w:hAnsi="宋体" w:eastAsia="宋体" w:cs="宋体"/>
                <w:sz w:val="24"/>
                <w:highlight w:val="none"/>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205C6CC8">
            <w:pPr>
              <w:pStyle w:val="284"/>
              <w:spacing w:line="276" w:lineRule="auto"/>
              <w:ind w:left="0" w:leftChars="0" w:firstLine="0" w:firstLineChars="0"/>
              <w:rPr>
                <w:rFonts w:hint="eastAsia" w:ascii="宋体" w:hAnsi="宋体" w:eastAsia="宋体" w:cs="宋体"/>
                <w:sz w:val="24"/>
                <w:highlight w:val="none"/>
              </w:rPr>
            </w:pPr>
            <w:r>
              <w:rPr>
                <w:rFonts w:hint="eastAsia" w:ascii="宋体" w:hAnsi="宋体" w:eastAsia="宋体" w:cs="宋体"/>
                <w:b/>
                <w:bCs/>
                <w:sz w:val="24"/>
                <w:highlight w:val="none"/>
              </w:rPr>
              <w:t>2、投标人报价CA签字确认：</w:t>
            </w:r>
            <w:r>
              <w:rPr>
                <w:rFonts w:hint="eastAsia" w:ascii="宋体" w:hAnsi="宋体" w:eastAsia="宋体" w:cs="宋体"/>
                <w:sz w:val="24"/>
                <w:highlight w:val="none"/>
              </w:rPr>
              <w:t>报价文件开启后将开启签字时段，投标人须在20分钟内用CA证书对报价进行签字确认。</w:t>
            </w:r>
          </w:p>
          <w:p w14:paraId="2C94C4D8">
            <w:pPr>
              <w:pStyle w:val="284"/>
              <w:spacing w:line="276" w:lineRule="auto"/>
              <w:ind w:left="0" w:leftChars="0"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3、备注:</w:t>
            </w:r>
          </w:p>
          <w:p w14:paraId="2337A46A">
            <w:pPr>
              <w:pStyle w:val="284"/>
              <w:spacing w:line="276"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（1）本次采购采用电子交易方式，电子交易平台为“政府采购云平台（www.zcygov.cn）”。投标人参与本项目电子交易活动前，应注册成为政府采购平台投标人。编制电子投标文件前还需申领CA证书并绑定帐号.</w:t>
            </w:r>
          </w:p>
          <w:p w14:paraId="50609155">
            <w:pPr>
              <w:pStyle w:val="284"/>
              <w:spacing w:line="276"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73AFFC3C">
            <w:pPr>
              <w:pStyle w:val="284"/>
              <w:spacing w:line="276"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（3）投标人应当在投标截止时间前，将“电子招投标投标人客户端”生成的“电子加密投标文件”上传电子交易平台。</w:t>
            </w:r>
          </w:p>
          <w:p w14:paraId="32E9E8D4">
            <w:pPr>
              <w:pStyle w:val="284"/>
              <w:spacing w:line="276" w:lineRule="auto"/>
              <w:ind w:firstLine="0" w:firstLineChars="0"/>
              <w:rPr>
                <w:rFonts w:hint="eastAsia" w:ascii="宋体" w:hAnsi="宋体" w:eastAsia="宋体" w:cs="宋体"/>
                <w:b/>
                <w:bCs w:val="0"/>
                <w:color w:val="auto"/>
                <w:sz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）服务与支持。各政府采购代理机构（含集采机构）及投标人对不见面开评标系统的技术操作咨询，可通过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Style w:val="59"/>
                <w:rFonts w:hint="eastAsia" w:ascii="宋体" w:hAnsi="宋体" w:eastAsia="宋体" w:cs="宋体"/>
                <w:color w:val="auto"/>
                <w:sz w:val="24"/>
                <w:szCs w:val="24"/>
                <w:highlight w:val="none"/>
              </w:rPr>
              <w:t>https://edu.zcygov.cn/luban/xinjiang-e-biding</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自助查询，也可在政采云帮助中心常见问题解答和操作流程讲解视频中自助查询，网址为：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 \l "/help" </w:instrText>
            </w:r>
            <w:r>
              <w:rPr>
                <w:rFonts w:hint="eastAsia" w:ascii="宋体" w:hAnsi="宋体" w:eastAsia="宋体" w:cs="宋体"/>
                <w:sz w:val="24"/>
                <w:szCs w:val="24"/>
                <w:highlight w:val="none"/>
              </w:rPr>
              <w:fldChar w:fldCharType="separate"/>
            </w:r>
            <w:r>
              <w:rPr>
                <w:rStyle w:val="59"/>
                <w:rFonts w:hint="eastAsia" w:ascii="宋体" w:hAnsi="宋体" w:eastAsia="宋体" w:cs="宋体"/>
                <w:color w:val="auto"/>
                <w:sz w:val="24"/>
                <w:szCs w:val="24"/>
                <w:highlight w:val="none"/>
              </w:rPr>
              <w:t>https://service.zcygov.cn/#/help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r w14:paraId="5970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16" w:type="dxa"/>
            <w:tcBorders>
              <w:left w:val="single" w:color="auto" w:sz="4" w:space="0"/>
              <w:bottom w:val="single" w:color="auto" w:sz="4" w:space="0"/>
              <w:right w:val="single" w:color="auto" w:sz="4" w:space="0"/>
            </w:tcBorders>
            <w:vAlign w:val="center"/>
          </w:tcPr>
          <w:p w14:paraId="32489906">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p>
        </w:tc>
        <w:tc>
          <w:tcPr>
            <w:tcW w:w="1995" w:type="dxa"/>
            <w:tcBorders>
              <w:top w:val="single" w:color="auto" w:sz="4" w:space="0"/>
              <w:left w:val="single" w:color="auto" w:sz="4" w:space="0"/>
              <w:bottom w:val="single" w:color="auto" w:sz="4" w:space="0"/>
              <w:right w:val="single" w:color="auto" w:sz="4" w:space="0"/>
            </w:tcBorders>
            <w:vAlign w:val="center"/>
          </w:tcPr>
          <w:p w14:paraId="6516489D">
            <w:pPr>
              <w:autoSpaceDE w:val="0"/>
              <w:autoSpaceDN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投标文件</w:t>
            </w:r>
          </w:p>
        </w:tc>
        <w:tc>
          <w:tcPr>
            <w:tcW w:w="7260" w:type="dxa"/>
            <w:tcBorders>
              <w:top w:val="single" w:color="auto" w:sz="4" w:space="0"/>
              <w:left w:val="single" w:color="auto" w:sz="4" w:space="0"/>
              <w:bottom w:val="single" w:color="auto" w:sz="4" w:space="0"/>
              <w:right w:val="single" w:color="auto" w:sz="4" w:space="0"/>
            </w:tcBorders>
            <w:vAlign w:val="center"/>
          </w:tcPr>
          <w:p w14:paraId="29168143">
            <w:pPr>
              <w:keepNext w:val="0"/>
              <w:keepLines w:val="0"/>
              <w:widowControl/>
              <w:suppressLineNumbers w:val="0"/>
              <w:jc w:val="left"/>
              <w:rPr>
                <w:rFonts w:hint="eastAsia" w:ascii="宋体" w:hAnsi="宋体" w:eastAsia="宋体" w:cs="宋体"/>
                <w:b/>
                <w:bCs w:val="0"/>
                <w:color w:val="auto"/>
                <w:sz w:val="24"/>
                <w:highlight w:val="none"/>
                <w:lang w:eastAsia="zh-CN"/>
              </w:rPr>
            </w:pPr>
            <w:r>
              <w:rPr>
                <w:rFonts w:hint="eastAsia" w:ascii="宋体" w:hAnsi="宋体" w:eastAsia="宋体" w:cs="宋体"/>
                <w:color w:val="000000"/>
                <w:kern w:val="0"/>
                <w:sz w:val="24"/>
                <w:szCs w:val="24"/>
                <w:highlight w:val="none"/>
                <w:lang w:val="en-US" w:eastAsia="zh-CN" w:bidi="ar"/>
              </w:rPr>
              <w:t>加密版投标文件：使用 CA 锁上传到系统的文件。本项目采用电子评标，请各投标人务必制作好电子投标文件。电子投标文件必须于递交投标文件截止时间前上传到“政府采购云平台”</w:t>
            </w:r>
          </w:p>
        </w:tc>
      </w:tr>
      <w:tr w14:paraId="50F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2413273">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1995" w:type="dxa"/>
            <w:tcBorders>
              <w:top w:val="single" w:color="auto" w:sz="4" w:space="0"/>
              <w:left w:val="single" w:color="auto" w:sz="4" w:space="0"/>
              <w:bottom w:val="single" w:color="auto" w:sz="4" w:space="0"/>
              <w:right w:val="single" w:color="auto" w:sz="4" w:space="0"/>
            </w:tcBorders>
            <w:vAlign w:val="center"/>
          </w:tcPr>
          <w:p w14:paraId="63FD549C">
            <w:pPr>
              <w:ind w:right="-126" w:rightChars="-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投标文件递交地点</w:t>
            </w:r>
          </w:p>
        </w:tc>
        <w:tc>
          <w:tcPr>
            <w:tcW w:w="7260" w:type="dxa"/>
            <w:tcBorders>
              <w:top w:val="single" w:color="auto" w:sz="4" w:space="0"/>
              <w:left w:val="single" w:color="auto" w:sz="4" w:space="0"/>
              <w:bottom w:val="single" w:color="auto" w:sz="4" w:space="0"/>
              <w:right w:val="single" w:color="auto" w:sz="4" w:space="0"/>
            </w:tcBorders>
            <w:vAlign w:val="center"/>
          </w:tcPr>
          <w:p w14:paraId="51D5DF62">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政采云平台(https://www.zcygov.cn)不见面开标大厅</w:t>
            </w:r>
          </w:p>
          <w:p w14:paraId="63BC3265">
            <w:pPr>
              <w:keepNext w:val="0"/>
              <w:keepLines w:val="0"/>
              <w:widowControl/>
              <w:suppressLineNumbers w:val="0"/>
              <w:jc w:val="left"/>
              <w:rPr>
                <w:rFonts w:hint="eastAsia" w:ascii="宋体" w:hAnsi="宋体" w:eastAsia="宋体" w:cs="宋体"/>
                <w:highlight w:val="none"/>
                <w:lang w:eastAsia="zh-CN"/>
              </w:rPr>
            </w:pPr>
            <w:r>
              <w:rPr>
                <w:rFonts w:hint="eastAsia" w:ascii="宋体" w:hAnsi="宋体" w:eastAsia="宋体" w:cs="宋体"/>
                <w:color w:val="000000"/>
                <w:kern w:val="0"/>
                <w:sz w:val="24"/>
                <w:szCs w:val="24"/>
                <w:highlight w:val="none"/>
                <w:lang w:val="en-US" w:eastAsia="zh-CN" w:bidi="ar"/>
              </w:rPr>
              <w:t>注：投标人应在投标截止时间前将“电子加密投标文件”成功上传递交至“政府采购云平台”，否则投标无效。</w:t>
            </w:r>
          </w:p>
        </w:tc>
      </w:tr>
      <w:tr w14:paraId="7EB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C95E4AF">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1995" w:type="dxa"/>
            <w:tcBorders>
              <w:top w:val="single" w:color="auto" w:sz="4" w:space="0"/>
              <w:left w:val="single" w:color="auto" w:sz="4" w:space="0"/>
              <w:bottom w:val="single" w:color="auto" w:sz="4" w:space="0"/>
              <w:right w:val="single" w:color="auto" w:sz="4" w:space="0"/>
            </w:tcBorders>
            <w:vAlign w:val="center"/>
          </w:tcPr>
          <w:p w14:paraId="2F8464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p>
        </w:tc>
        <w:tc>
          <w:tcPr>
            <w:tcW w:w="7260" w:type="dxa"/>
            <w:tcBorders>
              <w:top w:val="single" w:color="auto" w:sz="4" w:space="0"/>
              <w:left w:val="single" w:color="auto" w:sz="4" w:space="0"/>
              <w:bottom w:val="single" w:color="auto" w:sz="4" w:space="0"/>
              <w:right w:val="single" w:color="auto" w:sz="4" w:space="0"/>
            </w:tcBorders>
            <w:vAlign w:val="center"/>
          </w:tcPr>
          <w:p w14:paraId="719B1D35">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2024年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highlight w:val="none"/>
                <w:lang w:eastAsia="zh-CN"/>
              </w:rPr>
              <w:t>10: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eastAsia="zh-CN"/>
              </w:rPr>
              <w:t>0（北京时间）</w:t>
            </w:r>
          </w:p>
        </w:tc>
      </w:tr>
      <w:tr w14:paraId="4DEC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DD4625A">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1995" w:type="dxa"/>
            <w:tcBorders>
              <w:top w:val="single" w:color="auto" w:sz="4" w:space="0"/>
              <w:left w:val="single" w:color="auto" w:sz="4" w:space="0"/>
              <w:bottom w:val="single" w:color="auto" w:sz="4" w:space="0"/>
              <w:right w:val="single" w:color="auto" w:sz="4" w:space="0"/>
            </w:tcBorders>
            <w:vAlign w:val="center"/>
          </w:tcPr>
          <w:p w14:paraId="7BC4DF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p>
        </w:tc>
        <w:tc>
          <w:tcPr>
            <w:tcW w:w="7260" w:type="dxa"/>
            <w:tcBorders>
              <w:top w:val="single" w:color="auto" w:sz="4" w:space="0"/>
              <w:left w:val="single" w:color="auto" w:sz="4" w:space="0"/>
              <w:bottom w:val="single" w:color="auto" w:sz="4" w:space="0"/>
              <w:right w:val="single" w:color="auto" w:sz="4" w:space="0"/>
            </w:tcBorders>
            <w:vAlign w:val="center"/>
          </w:tcPr>
          <w:p w14:paraId="6B87D81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政采云平台https://www.zcygov.cn/</w:t>
            </w:r>
          </w:p>
        </w:tc>
      </w:tr>
      <w:tr w14:paraId="3A33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AF84A3D">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1995" w:type="dxa"/>
            <w:tcBorders>
              <w:top w:val="single" w:color="auto" w:sz="4" w:space="0"/>
              <w:left w:val="single" w:color="auto" w:sz="4" w:space="0"/>
              <w:bottom w:val="single" w:color="auto" w:sz="4" w:space="0"/>
              <w:right w:val="single" w:color="auto" w:sz="4" w:space="0"/>
            </w:tcBorders>
            <w:vAlign w:val="center"/>
          </w:tcPr>
          <w:p w14:paraId="689AF6FB">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w:t>
            </w:r>
          </w:p>
        </w:tc>
        <w:tc>
          <w:tcPr>
            <w:tcW w:w="7260" w:type="dxa"/>
            <w:tcBorders>
              <w:top w:val="single" w:color="auto" w:sz="4" w:space="0"/>
              <w:left w:val="single" w:color="auto" w:sz="4" w:space="0"/>
              <w:bottom w:val="single" w:color="auto" w:sz="4" w:space="0"/>
              <w:right w:val="single" w:color="auto" w:sz="4" w:space="0"/>
            </w:tcBorders>
            <w:vAlign w:val="center"/>
          </w:tcPr>
          <w:p w14:paraId="01D1AB3E">
            <w:pP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3500000.00</w:t>
            </w:r>
            <w:r>
              <w:rPr>
                <w:rFonts w:hint="eastAsia" w:ascii="宋体" w:hAnsi="宋体" w:eastAsia="宋体" w:cs="宋体"/>
                <w:b/>
                <w:color w:val="auto"/>
                <w:sz w:val="24"/>
                <w:highlight w:val="none"/>
                <w:lang w:val="en-US" w:eastAsia="zh-CN"/>
              </w:rPr>
              <w:t>元</w:t>
            </w:r>
          </w:p>
          <w:p w14:paraId="3AED1BC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注：超过此最高限价按照废标处理</w:t>
            </w:r>
          </w:p>
        </w:tc>
      </w:tr>
      <w:tr w14:paraId="4B48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56E7574">
            <w:pPr>
              <w:jc w:val="center"/>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1995" w:type="dxa"/>
            <w:tcBorders>
              <w:top w:val="single" w:color="auto" w:sz="4" w:space="0"/>
              <w:left w:val="single" w:color="auto" w:sz="4" w:space="0"/>
              <w:bottom w:val="single" w:color="auto" w:sz="4" w:space="0"/>
              <w:right w:val="single" w:color="auto" w:sz="4" w:space="0"/>
            </w:tcBorders>
            <w:vAlign w:val="center"/>
          </w:tcPr>
          <w:p w14:paraId="14619F6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小微企业（监狱企业、残疾人福利性单位视同小微企业）价格扣除</w:t>
            </w:r>
          </w:p>
        </w:tc>
        <w:tc>
          <w:tcPr>
            <w:tcW w:w="7260" w:type="dxa"/>
            <w:tcBorders>
              <w:top w:val="single" w:color="auto" w:sz="4" w:space="0"/>
              <w:left w:val="single" w:color="auto" w:sz="4" w:space="0"/>
              <w:bottom w:val="single" w:color="auto" w:sz="4" w:space="0"/>
              <w:right w:val="single" w:color="auto" w:sz="4" w:space="0"/>
            </w:tcBorders>
            <w:vAlign w:val="center"/>
          </w:tcPr>
          <w:p w14:paraId="3D5AF290">
            <w:pPr>
              <w:widowControl/>
              <w:numPr>
                <w:ilvl w:val="0"/>
                <w:numId w:val="14"/>
              </w:numPr>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超过200万元的货物和服务采购项目、超过400万元的工程采购项目中适宜由中小企业提供的，预留该部分采购项目预算总额的30%以上专门面向中小企业采购，其中预留给小微企业的比例不低于60%。</w:t>
            </w:r>
          </w:p>
          <w:p w14:paraId="5530DA91">
            <w:pPr>
              <w:widowControl/>
              <w:numPr>
                <w:ilvl w:val="0"/>
                <w:numId w:val="14"/>
              </w:numPr>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B62D86D">
            <w:pPr>
              <w:widowControl/>
              <w:numPr>
                <w:ilvl w:val="0"/>
                <w:numId w:val="14"/>
              </w:numPr>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C2B85F5">
            <w:pPr>
              <w:widowControl/>
              <w:numPr>
                <w:ilvl w:val="0"/>
                <w:numId w:val="14"/>
              </w:numPr>
              <w:ind w:left="0" w:leftChars="0" w:firstLine="0" w:firstLineChars="0"/>
              <w:jc w:val="left"/>
              <w:rPr>
                <w:rFonts w:hint="eastAsia" w:ascii="宋体" w:hAnsi="宋体" w:eastAsia="宋体" w:cs="宋体"/>
                <w:b/>
                <w:bCs w:val="0"/>
                <w:color w:val="auto"/>
                <w:sz w:val="24"/>
                <w:highlight w:val="none"/>
              </w:rPr>
            </w:pPr>
            <w:r>
              <w:rPr>
                <w:rFonts w:hint="eastAsia" w:ascii="宋体" w:hAnsi="宋体" w:eastAsia="宋体" w:cs="宋体"/>
                <w:b w:val="0"/>
                <w:bCs/>
                <w:color w:val="auto"/>
                <w:sz w:val="24"/>
                <w:highlight w:val="none"/>
              </w:rPr>
              <w:t>本次采购标的对应的中小企业划分标准所属行业：</w:t>
            </w:r>
            <w:r>
              <w:rPr>
                <w:rFonts w:hint="eastAsia" w:ascii="宋体" w:hAnsi="宋体" w:eastAsia="宋体" w:cs="宋体"/>
                <w:b/>
                <w:bCs w:val="0"/>
                <w:color w:val="auto"/>
                <w:sz w:val="24"/>
                <w:highlight w:val="none"/>
              </w:rPr>
              <w:t>工业</w:t>
            </w:r>
            <w:r>
              <w:rPr>
                <w:rFonts w:hint="eastAsia" w:ascii="宋体" w:hAnsi="宋体" w:eastAsia="宋体" w:cs="宋体"/>
                <w:b w:val="0"/>
                <w:bCs/>
                <w:color w:val="auto"/>
                <w:sz w:val="24"/>
                <w:highlight w:val="none"/>
              </w:rPr>
              <w:t>。</w:t>
            </w:r>
            <w:r>
              <w:rPr>
                <w:rFonts w:hint="eastAsia" w:ascii="宋体" w:hAnsi="宋体" w:eastAsia="宋体" w:cs="宋体"/>
                <w:b/>
                <w:bCs w:val="0"/>
                <w:color w:val="auto"/>
                <w:sz w:val="24"/>
                <w:highlight w:val="none"/>
              </w:rPr>
              <w:t>从业人员1000人以下或营业收入40000万元以下的为</w:t>
            </w:r>
            <w:bookmarkStart w:id="50" w:name="_GoBack"/>
            <w:bookmarkEnd w:id="50"/>
            <w:r>
              <w:rPr>
                <w:rFonts w:hint="eastAsia" w:ascii="宋体" w:hAnsi="宋体" w:eastAsia="宋体" w:cs="宋体"/>
                <w:b/>
                <w:bCs w:val="0"/>
                <w:color w:val="auto"/>
                <w:sz w:val="24"/>
                <w:highlight w:val="none"/>
              </w:rPr>
              <w:t>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E1C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16" w:type="dxa"/>
            <w:tcBorders>
              <w:left w:val="single" w:color="auto" w:sz="4" w:space="0"/>
              <w:bottom w:val="single" w:color="auto" w:sz="4" w:space="0"/>
              <w:right w:val="single" w:color="auto" w:sz="4" w:space="0"/>
            </w:tcBorders>
            <w:vAlign w:val="center"/>
          </w:tcPr>
          <w:p w14:paraId="4628F5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9255" w:type="dxa"/>
            <w:gridSpan w:val="2"/>
            <w:tcBorders>
              <w:top w:val="single" w:color="auto" w:sz="4" w:space="0"/>
              <w:left w:val="single" w:color="auto" w:sz="4" w:space="0"/>
              <w:bottom w:val="single" w:color="auto" w:sz="4" w:space="0"/>
              <w:right w:val="single" w:color="auto" w:sz="4" w:space="0"/>
            </w:tcBorders>
            <w:vAlign w:val="center"/>
          </w:tcPr>
          <w:p w14:paraId="4EB25034">
            <w:pPr>
              <w:pStyle w:val="191"/>
              <w:snapToGrid w:val="0"/>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1、为保证本项目产品质量及良好的售后服务，货物或产品必须符合国家技术标准。</w:t>
            </w:r>
          </w:p>
          <w:p w14:paraId="3FCAA88E">
            <w:pPr>
              <w:pStyle w:val="191"/>
              <w:snapToGrid w:val="0"/>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2、投标人应认真阅读招标文件中的每一个条款及要求，因误读招标文件而造成的后果，采购人概不负责。</w:t>
            </w:r>
          </w:p>
          <w:p w14:paraId="7C413D7B">
            <w:pPr>
              <w:pStyle w:val="191"/>
              <w:snapToGrid w:val="0"/>
              <w:ind w:firstLine="0" w:firstLineChars="0"/>
              <w:rPr>
                <w:rFonts w:hint="eastAsia" w:ascii="宋体" w:hAnsi="宋体" w:eastAsia="宋体" w:cs="宋体"/>
                <w:highlight w:val="none"/>
                <w:lang w:val="en-US" w:eastAsia="zh-CN"/>
              </w:rPr>
            </w:pPr>
            <w:r>
              <w:rPr>
                <w:rFonts w:hint="eastAsia" w:ascii="宋体" w:hAnsi="宋体" w:eastAsia="宋体" w:cs="宋体"/>
                <w:b/>
                <w:bCs/>
                <w:sz w:val="24"/>
                <w:highlight w:val="none"/>
              </w:rPr>
              <w:t>3、文件内容若有与本表不符部分，以本表为准。</w:t>
            </w:r>
          </w:p>
        </w:tc>
      </w:tr>
    </w:tbl>
    <w:p w14:paraId="6475CEB0">
      <w:pPr>
        <w:pStyle w:val="2"/>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b w:val="0"/>
          <w:color w:val="auto"/>
          <w:sz w:val="32"/>
          <w:szCs w:val="32"/>
          <w:highlight w:val="none"/>
        </w:rPr>
      </w:pPr>
      <w:bookmarkStart w:id="22" w:name="_Toc5715645"/>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第二部分  投标人须知</w:t>
      </w:r>
      <w:bookmarkEnd w:id="22"/>
    </w:p>
    <w:p w14:paraId="66A879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A7CED4F">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是采购人在本项目投标过程中的规范性文件，仅适用于本次招标中所叙述项目的货物及安装服务采购等内容。和采购人组织的答疑纪要一起是各投标人（以下简称投标人）编制投标文件的依据，也是采购人与中标人签订合同的依据，并作为供货合同的附件之一，与供货合同具有同等的法律效力（除非合同另有约定的部分，以正式合同内容为准）。</w:t>
      </w:r>
    </w:p>
    <w:p w14:paraId="258D54AE">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01897F2">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下列术语和缩写的定义为：</w:t>
      </w:r>
    </w:p>
    <w:p w14:paraId="7B680822">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en-US"/>
        </w:rPr>
        <w:t xml:space="preserve">2.1 </w:t>
      </w:r>
      <w:r>
        <w:rPr>
          <w:rFonts w:hint="eastAsia" w:ascii="宋体" w:hAnsi="宋体" w:eastAsia="宋体" w:cs="宋体"/>
          <w:color w:val="auto"/>
          <w:sz w:val="24"/>
          <w:highlight w:val="none"/>
          <w:lang w:bidi="zh-CN"/>
        </w:rPr>
        <w:t>“ 采购人”系指对本招标文件中所列货物有需求的</w:t>
      </w:r>
      <w:r>
        <w:rPr>
          <w:rFonts w:hint="eastAsia" w:ascii="宋体" w:hAnsi="宋体" w:cs="宋体"/>
          <w:b/>
          <w:bCs/>
          <w:color w:val="auto"/>
          <w:sz w:val="24"/>
          <w:highlight w:val="none"/>
          <w:lang w:eastAsia="zh-CN"/>
        </w:rPr>
        <w:t>巴里坤哈萨克自治县博尔羌吉镇人民政府</w:t>
      </w:r>
      <w:r>
        <w:rPr>
          <w:rFonts w:hint="eastAsia" w:ascii="宋体" w:hAnsi="宋体" w:eastAsia="宋体" w:cs="宋体"/>
          <w:b/>
          <w:color w:val="auto"/>
          <w:sz w:val="24"/>
          <w:highlight w:val="none"/>
          <w:lang w:bidi="zh-CN"/>
        </w:rPr>
        <w:t>；</w:t>
      </w:r>
      <w:r>
        <w:rPr>
          <w:rFonts w:hint="eastAsia" w:ascii="宋体" w:hAnsi="宋体" w:eastAsia="宋体" w:cs="宋体"/>
          <w:color w:val="auto"/>
          <w:sz w:val="24"/>
          <w:highlight w:val="none"/>
          <w:lang w:bidi="zh-CN"/>
        </w:rPr>
        <w:t>“投标人”系指符合</w:t>
      </w: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bidi="zh-CN"/>
        </w:rPr>
        <w:t>文件要求并且通过资格审查进入</w:t>
      </w: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bidi="zh-CN"/>
        </w:rPr>
        <w:t>程序的投标人；采购代理机构”系指</w:t>
      </w:r>
      <w:r>
        <w:rPr>
          <w:rFonts w:hint="eastAsia" w:ascii="宋体" w:hAnsi="宋体" w:eastAsia="宋体" w:cs="宋体"/>
          <w:b/>
          <w:color w:val="auto"/>
          <w:sz w:val="24"/>
          <w:highlight w:val="none"/>
          <w:lang w:bidi="zh-CN"/>
        </w:rPr>
        <w:t>新疆蒙泰工程项目管理有限公司</w:t>
      </w:r>
      <w:r>
        <w:rPr>
          <w:rFonts w:hint="eastAsia" w:ascii="宋体" w:hAnsi="宋体" w:eastAsia="宋体" w:cs="宋体"/>
          <w:color w:val="auto"/>
          <w:sz w:val="24"/>
          <w:highlight w:val="none"/>
          <w:lang w:bidi="zh-CN"/>
        </w:rPr>
        <w:t>；“投标文件”系指投标人为响应</w:t>
      </w:r>
      <w:r>
        <w:rPr>
          <w:rFonts w:hint="eastAsia" w:ascii="宋体" w:hAnsi="宋体" w:eastAsia="宋体" w:cs="宋体"/>
          <w:color w:val="auto"/>
          <w:sz w:val="24"/>
          <w:highlight w:val="none"/>
        </w:rPr>
        <w:t>招标</w:t>
      </w:r>
      <w:r>
        <w:rPr>
          <w:rFonts w:hint="eastAsia" w:ascii="宋体" w:hAnsi="宋体" w:eastAsia="宋体" w:cs="宋体"/>
          <w:color w:val="auto"/>
          <w:sz w:val="24"/>
          <w:highlight w:val="none"/>
          <w:lang w:bidi="zh-CN"/>
        </w:rPr>
        <w:t>文件而编制、递交的投标文件。</w:t>
      </w:r>
    </w:p>
    <w:p w14:paraId="517F0B8C">
      <w:pPr>
        <w:pStyle w:val="193"/>
        <w:keepNext w:val="0"/>
        <w:keepLines w:val="0"/>
        <w:pageBreakBefore w:val="0"/>
        <w:widowControl w:val="0"/>
        <w:kinsoku/>
        <w:wordWrap/>
        <w:overflowPunct/>
        <w:topLinePunct w:val="0"/>
        <w:autoSpaceDE/>
        <w:autoSpaceDN/>
        <w:bidi w:val="0"/>
        <w:spacing w:line="440" w:lineRule="exact"/>
        <w:ind w:firstLine="48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2.2  “买方”系</w:t>
      </w:r>
      <w:r>
        <w:rPr>
          <w:rFonts w:hint="eastAsia" w:ascii="宋体" w:hAnsi="宋体" w:cs="宋体"/>
          <w:b/>
          <w:bCs/>
          <w:color w:val="auto"/>
          <w:sz w:val="24"/>
          <w:highlight w:val="none"/>
          <w:lang w:eastAsia="zh-CN"/>
        </w:rPr>
        <w:t>巴里坤哈萨克自治县博尔羌吉镇人民政府</w:t>
      </w:r>
      <w:r>
        <w:rPr>
          <w:rFonts w:hint="eastAsia" w:ascii="宋体" w:hAnsi="宋体" w:eastAsia="宋体" w:cs="宋体"/>
          <w:color w:val="auto"/>
          <w:sz w:val="24"/>
          <w:highlight w:val="none"/>
          <w:lang w:bidi="zh-CN"/>
        </w:rPr>
        <w:t>，“卖方”系指中标投标人。</w:t>
      </w:r>
    </w:p>
    <w:p w14:paraId="24A92F0E">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2.3  “合同”系指买卖双方签署规定的，买卖双方权利与义务的协议，以及所有的附件、附录和投标文件所提到的构成合同的所有文件。</w:t>
      </w:r>
    </w:p>
    <w:p w14:paraId="3EC1ED48">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2.4  “货物”系指卖方按招标文件规定须向买方提供的货物所需一切设备、 软件系统、手册及其它有关说明资料和材料。</w:t>
      </w:r>
    </w:p>
    <w:p w14:paraId="6049E9E0">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2.5  “服务”系指根据本合同规定卖方必须承担的安装、调试、技术协助、 技术培训以及其他类似的附随义务。</w:t>
      </w:r>
    </w:p>
    <w:p w14:paraId="23FD4E7F">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2.6  “附随服务”系指根据本合同规定卖方必须承担与货物有关的辅助服务， 如送货上门、免费维护以及合同中规定卖方应承担的义务，以及合同中未规定， 但依有利于合同履行原则，应当由卖方承担的其它义务。</w:t>
      </w:r>
    </w:p>
    <w:p w14:paraId="7DE20331">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2.7  同一品牌同一型号产品只能有一家供应商参加；如果有多家代理商参加同一品牌同一型号产品投标的，作为一个供应商计算，评审后得分最高的同品牌投标人获得中标人推荐资格；评审得分相同的，由报价最低的同品牌投标人获得中标人推荐资格。</w:t>
      </w:r>
    </w:p>
    <w:p w14:paraId="04922310">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38AAD80F">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  无论投标结果如何，与参与招标、投标活动有关的所有费用将由投标人自行承担。</w:t>
      </w:r>
    </w:p>
    <w:p w14:paraId="55901BBD">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  投标人被视为熟悉本采购项目的各种情况以及履行合同有关的一切情况。</w:t>
      </w:r>
    </w:p>
    <w:p w14:paraId="79C149B4">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投标人应承担其编制投标文件与递交投标文件所涉及的一切费用，不论投标结果如何，采购人对上述费用不做任何补偿。</w:t>
      </w:r>
    </w:p>
    <w:p w14:paraId="6410707C">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  与相关联工作间的联系协调工作，如有费用发生已包含在投标价格内。</w:t>
      </w:r>
    </w:p>
    <w:p w14:paraId="7745E7CD">
      <w:pPr>
        <w:keepNext w:val="0"/>
        <w:keepLines w:val="0"/>
        <w:pageBreakBefore w:val="0"/>
        <w:widowControl w:val="0"/>
        <w:kinsoku/>
        <w:wordWrap/>
        <w:overflowPunct/>
        <w:topLinePunct w:val="0"/>
        <w:autoSpaceDE/>
        <w:autoSpaceDN/>
        <w:bidi w:val="0"/>
        <w:spacing w:line="440" w:lineRule="exact"/>
        <w:ind w:firstLine="470"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4、招标文件的构成</w:t>
      </w:r>
    </w:p>
    <w:p w14:paraId="1E41F1B9">
      <w:pPr>
        <w:keepNext w:val="0"/>
        <w:keepLines w:val="0"/>
        <w:pageBreakBefore w:val="0"/>
        <w:widowControl w:val="0"/>
        <w:kinsoku/>
        <w:wordWrap/>
        <w:overflowPunct/>
        <w:topLinePunct w:val="0"/>
        <w:autoSpaceDE/>
        <w:autoSpaceDN/>
        <w:bidi w:val="0"/>
        <w:spacing w:line="44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  招标文件由下述部分组成</w:t>
      </w:r>
    </w:p>
    <w:p w14:paraId="6A0517B6">
      <w:pPr>
        <w:keepNext w:val="0"/>
        <w:keepLines w:val="0"/>
        <w:pageBreakBefore w:val="0"/>
        <w:widowControl w:val="0"/>
        <w:kinsoku/>
        <w:wordWrap/>
        <w:overflowPunct/>
        <w:topLinePunct w:val="0"/>
        <w:autoSpaceDE/>
        <w:autoSpaceDN/>
        <w:bidi w:val="0"/>
        <w:spacing w:line="440" w:lineRule="exact"/>
        <w:ind w:firstLine="1188" w:firstLineChars="4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投标人须知前附表</w:t>
      </w:r>
    </w:p>
    <w:p w14:paraId="0A7B41F1">
      <w:pPr>
        <w:keepNext w:val="0"/>
        <w:keepLines w:val="0"/>
        <w:pageBreakBefore w:val="0"/>
        <w:widowControl w:val="0"/>
        <w:kinsoku/>
        <w:wordWrap/>
        <w:overflowPunct/>
        <w:topLinePunct w:val="0"/>
        <w:autoSpaceDE/>
        <w:autoSpaceDN/>
        <w:bidi w:val="0"/>
        <w:spacing w:line="440" w:lineRule="exact"/>
        <w:ind w:firstLine="1156" w:firstLineChars="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271CF05D">
      <w:pPr>
        <w:keepNext w:val="0"/>
        <w:keepLines w:val="0"/>
        <w:pageBreakBefore w:val="0"/>
        <w:widowControl w:val="0"/>
        <w:kinsoku/>
        <w:wordWrap/>
        <w:overflowPunct/>
        <w:topLinePunct w:val="0"/>
        <w:autoSpaceDE/>
        <w:autoSpaceDN/>
        <w:bidi w:val="0"/>
        <w:spacing w:line="440" w:lineRule="exact"/>
        <w:ind w:firstLine="1156" w:firstLineChars="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投标说明</w:t>
      </w:r>
    </w:p>
    <w:p w14:paraId="4B075102">
      <w:pPr>
        <w:keepNext w:val="0"/>
        <w:keepLines w:val="0"/>
        <w:pageBreakBefore w:val="0"/>
        <w:widowControl w:val="0"/>
        <w:kinsoku/>
        <w:wordWrap/>
        <w:overflowPunct/>
        <w:topLinePunct w:val="0"/>
        <w:autoSpaceDE/>
        <w:autoSpaceDN/>
        <w:bidi w:val="0"/>
        <w:spacing w:line="440" w:lineRule="exact"/>
        <w:ind w:firstLine="1156" w:firstLineChars="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采购货物清单及技术规格要求</w:t>
      </w:r>
    </w:p>
    <w:p w14:paraId="5FC34BE1">
      <w:pPr>
        <w:keepNext w:val="0"/>
        <w:keepLines w:val="0"/>
        <w:pageBreakBefore w:val="0"/>
        <w:widowControl w:val="0"/>
        <w:kinsoku/>
        <w:wordWrap/>
        <w:overflowPunct/>
        <w:topLinePunct w:val="0"/>
        <w:autoSpaceDE/>
        <w:autoSpaceDN/>
        <w:bidi w:val="0"/>
        <w:spacing w:line="440" w:lineRule="exact"/>
        <w:ind w:firstLine="1156" w:firstLineChars="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合同条款</w:t>
      </w:r>
    </w:p>
    <w:p w14:paraId="57D0327E">
      <w:pPr>
        <w:keepNext w:val="0"/>
        <w:keepLines w:val="0"/>
        <w:pageBreakBefore w:val="0"/>
        <w:widowControl w:val="0"/>
        <w:kinsoku/>
        <w:wordWrap/>
        <w:overflowPunct/>
        <w:topLinePunct w:val="0"/>
        <w:autoSpaceDE/>
        <w:autoSpaceDN/>
        <w:bidi w:val="0"/>
        <w:spacing w:line="440" w:lineRule="exact"/>
        <w:ind w:firstLine="1156" w:firstLineChars="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附 表</w:t>
      </w:r>
    </w:p>
    <w:p w14:paraId="7D143076">
      <w:pPr>
        <w:keepNext w:val="0"/>
        <w:keepLines w:val="0"/>
        <w:pageBreakBefore w:val="0"/>
        <w:widowControl w:val="0"/>
        <w:kinsoku/>
        <w:wordWrap/>
        <w:overflowPunct/>
        <w:topLinePunct w:val="0"/>
        <w:autoSpaceDE/>
        <w:autoSpaceDN/>
        <w:bidi w:val="0"/>
        <w:spacing w:line="440" w:lineRule="exact"/>
        <w:ind w:firstLine="1156" w:firstLineChars="482"/>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rPr>
        <w:t xml:space="preserve">第七部分  </w:t>
      </w:r>
      <w:r>
        <w:rPr>
          <w:rFonts w:hint="eastAsia" w:ascii="宋体" w:hAnsi="宋体" w:eastAsia="宋体" w:cs="宋体"/>
          <w:color w:val="auto"/>
          <w:sz w:val="24"/>
          <w:highlight w:val="none"/>
          <w:lang w:bidi="zh-CN"/>
        </w:rPr>
        <w:t>评定办法和细则</w:t>
      </w:r>
    </w:p>
    <w:p w14:paraId="44DEB3A2">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4.2  一切有效的招标文件的澄清和修改的书面文件均是招标文件不可分割的部分。</w:t>
      </w:r>
    </w:p>
    <w:p w14:paraId="6DAE5A6D">
      <w:pPr>
        <w:pStyle w:val="193"/>
        <w:keepNext w:val="0"/>
        <w:keepLines w:val="0"/>
        <w:pageBreakBefore w:val="0"/>
        <w:widowControl w:val="0"/>
        <w:kinsoku/>
        <w:wordWrap/>
        <w:overflowPunct/>
        <w:topLinePunct w:val="0"/>
        <w:autoSpaceDE/>
        <w:autoSpaceDN/>
        <w:bidi w:val="0"/>
        <w:spacing w:line="440" w:lineRule="exact"/>
        <w:ind w:firstLine="470"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 招标文件的澄清</w:t>
      </w:r>
    </w:p>
    <w:p w14:paraId="45E7D680">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  招标文件中的标题或题名仅起引导作用，而不应视为对招标文件内容的理解和解释。</w:t>
      </w:r>
    </w:p>
    <w:p w14:paraId="515E59F0">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  除非有特殊要求，招标文件不单独提供招标货物使用地的自然环境、气候条件、公用设施等情况，投标人被视为熟悉上述与履行合同有关的一切情况。</w:t>
      </w:r>
    </w:p>
    <w:p w14:paraId="198D10FF">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  招标文件的解释权归招标人和招标代理机构。</w:t>
      </w:r>
    </w:p>
    <w:p w14:paraId="7939C2C5">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  任何要求对招标文件进行澄清的投标人，均应将需澄清的内容以书面形式或扫描件送达采购代理机构，采购代理机构将予以答复（答复中不包括问题的来源），答复内容将发送投标人联系邮箱，不再另行通知，请各投标人务必关注联系邮箱，否则，所造成的一切风险由投标人自行承担。</w:t>
      </w:r>
    </w:p>
    <w:p w14:paraId="7365EFB8">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rPr>
        <w:t>5.5  为了使投标人</w:t>
      </w:r>
      <w:r>
        <w:rPr>
          <w:rFonts w:hint="eastAsia" w:ascii="宋体" w:hAnsi="宋体" w:eastAsia="宋体" w:cs="宋体"/>
          <w:color w:val="auto"/>
          <w:sz w:val="24"/>
          <w:highlight w:val="none"/>
          <w:lang w:bidi="zh-CN"/>
        </w:rPr>
        <w:t>有足够的时间准备投标文件,各投标人须在</w:t>
      </w:r>
      <w:r>
        <w:rPr>
          <w:rFonts w:hint="eastAsia" w:ascii="宋体" w:hAnsi="宋体" w:eastAsia="宋体" w:cs="宋体"/>
          <w:b/>
          <w:color w:val="auto"/>
          <w:sz w:val="24"/>
          <w:highlight w:val="none"/>
          <w:u w:val="single"/>
          <w:lang w:bidi="zh-CN"/>
        </w:rPr>
        <w:t>须知前附表要求时间</w:t>
      </w:r>
      <w:r>
        <w:rPr>
          <w:rFonts w:hint="eastAsia" w:ascii="宋体" w:hAnsi="宋体" w:eastAsia="宋体" w:cs="宋体"/>
          <w:b/>
          <w:color w:val="auto"/>
          <w:sz w:val="24"/>
          <w:highlight w:val="none"/>
          <w:lang w:bidi="zh-CN"/>
        </w:rPr>
        <w:t>前</w:t>
      </w:r>
      <w:r>
        <w:rPr>
          <w:rFonts w:hint="eastAsia" w:ascii="宋体" w:hAnsi="宋体" w:eastAsia="宋体" w:cs="宋体"/>
          <w:color w:val="auto"/>
          <w:sz w:val="24"/>
          <w:highlight w:val="none"/>
          <w:lang w:bidi="zh-CN"/>
        </w:rPr>
        <w:t>(超过该时间收到的需澄清的内容,采购代理机构有权不予答复）准备需澄清的内容，以书面形式送达采购代理机构。</w:t>
      </w:r>
    </w:p>
    <w:p w14:paraId="1FD9CF0D">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6、招标文件的修改或补充</w:t>
      </w:r>
    </w:p>
    <w:p w14:paraId="623E0C57">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en-US"/>
        </w:rPr>
        <w:t xml:space="preserve">6.1  </w:t>
      </w:r>
      <w:r>
        <w:rPr>
          <w:rFonts w:hint="eastAsia" w:ascii="宋体" w:hAnsi="宋体" w:eastAsia="宋体" w:cs="宋体"/>
          <w:color w:val="auto"/>
          <w:sz w:val="24"/>
          <w:highlight w:val="none"/>
          <w:lang w:bidi="zh-CN"/>
        </w:rPr>
        <w:t>特殊情形的，在递交投标文件截止期15日前，采购代理机构可主动地或在解答投标人提出的澄清问题时对招标文件进行澄清和修改。</w:t>
      </w:r>
    </w:p>
    <w:p w14:paraId="49B9DFD8">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6.2  招标文件的澄清和修改将以书面公布的形式通知所有购买招标文件的投标人，并对其具有约束力。</w:t>
      </w:r>
    </w:p>
    <w:p w14:paraId="733D5254">
      <w:pPr>
        <w:keepNext w:val="0"/>
        <w:keepLines w:val="0"/>
        <w:pageBreakBefore w:val="0"/>
        <w:widowControl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6.3  为使投标人在准备投标文件时有充分的时间对招标文件的澄清和修改部分进行研究，采购代理机构可在递交投标文件截止期15日前通知投标人，适当延长递交投标文件截止期。</w:t>
      </w:r>
    </w:p>
    <w:p w14:paraId="18073CAF">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en-US"/>
        </w:rPr>
        <w:t xml:space="preserve">6.4  </w:t>
      </w:r>
      <w:r>
        <w:rPr>
          <w:rFonts w:hint="eastAsia" w:ascii="宋体" w:hAnsi="宋体" w:eastAsia="宋体" w:cs="宋体"/>
          <w:color w:val="auto"/>
          <w:sz w:val="24"/>
          <w:highlight w:val="none"/>
          <w:lang w:bidi="zh-CN"/>
        </w:rPr>
        <w:t>招标文件的澄清和修改文件是招标文件的组成部分，投标人需按照招标文件的澄清和修改文件的要求参与招标，投标人没有作出实质性响应是投标人的风险，并可能导致其投标文件被拒绝。</w:t>
      </w:r>
    </w:p>
    <w:p w14:paraId="5666C8BD">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7、索赔</w:t>
      </w:r>
    </w:p>
    <w:p w14:paraId="628DD458">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投标人提供的设备未能达到标书规定的性能要求，或者有明显缺陷及损坏的设备，采购人将保留退货索赔或提出更换新设备的权利。</w:t>
      </w:r>
    </w:p>
    <w:p w14:paraId="4DEA9FDA">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8、验收</w:t>
      </w:r>
    </w:p>
    <w:p w14:paraId="6E3622A9">
      <w:pPr>
        <w:keepNext w:val="0"/>
        <w:keepLines w:val="0"/>
        <w:pageBreakBefore w:val="0"/>
        <w:widowControl w:val="0"/>
        <w:kinsoku/>
        <w:wordWrap/>
        <w:overflowPunct/>
        <w:topLinePunct w:val="0"/>
        <w:autoSpaceDE/>
        <w:autoSpaceDN/>
        <w:bidi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履约验收：货物验收时，按提供的样品或由第三方组织有关专业机构及人员会同</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按国家的相关标准检验。若不符合中标时技术参数要求，采购人有权拒签验收，并退货。使用单位非因不可抗力因素而拒绝验收或无故刁难、超过规定期限的，视同验收，并在政府采购验收单上签字。如有短缺、规格质量不符、资料不全等，由</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人在5日内无偿给予更换、补齐，并承担由此产生的全部费用。</w:t>
      </w:r>
    </w:p>
    <w:p w14:paraId="39143BF5">
      <w:pPr>
        <w:keepNext w:val="0"/>
        <w:keepLines w:val="0"/>
        <w:pageBreakBefore w:val="0"/>
        <w:widowControl w:val="0"/>
        <w:kinsoku/>
        <w:wordWrap/>
        <w:overflowPunct/>
        <w:topLinePunct w:val="0"/>
        <w:autoSpaceDE/>
        <w:autoSpaceDN/>
        <w:bidi w:val="0"/>
        <w:spacing w:line="440" w:lineRule="exact"/>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9、产品售后服务要求</w:t>
      </w:r>
    </w:p>
    <w:p w14:paraId="1A76F0F4">
      <w:pPr>
        <w:keepNext w:val="0"/>
        <w:keepLines w:val="0"/>
        <w:pageBreakBefore w:val="0"/>
        <w:widowControl w:val="0"/>
        <w:kinsoku/>
        <w:wordWrap/>
        <w:overflowPunct/>
        <w:topLinePunct w:val="0"/>
        <w:autoSpaceDE/>
        <w:autoSpaceDN/>
        <w:bidi w:val="0"/>
        <w:adjustRightIn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质量与售后服务、技术指标要求：投标人应保证其提供的货物是全新的、未使用过的，采用的是最佳材料和一流工艺，并在各个方面符合合同规定的质量、规格和性能要求。投标人应保证其货物经过正确安装、合理操作和维护保养，在货物寿命期内运转良好。在规定的质量保证期内，卖方应对由于设计、工艺或材料的缺陷而造成的任何缺陷或故障负责。除合同中另有规定者外，出现上述情况，投标人应在收到采购人通知后，免费负责修理或更换有缺陷的零部件或整机。对造成的损失买方保留索赔的权利。</w:t>
      </w:r>
    </w:p>
    <w:p w14:paraId="4A89103E">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rPr>
        <w:t xml:space="preserve">9.2  </w:t>
      </w:r>
      <w:r>
        <w:rPr>
          <w:rFonts w:hint="eastAsia" w:ascii="宋体" w:hAnsi="宋体" w:eastAsia="宋体" w:cs="宋体"/>
          <w:color w:val="auto"/>
          <w:sz w:val="24"/>
          <w:highlight w:val="none"/>
        </w:rPr>
        <w:t>投标人应保证</w:t>
      </w:r>
      <w:r>
        <w:rPr>
          <w:rFonts w:hint="eastAsia" w:ascii="宋体" w:hAnsi="宋体" w:eastAsia="宋体" w:cs="宋体"/>
          <w:color w:val="auto"/>
          <w:sz w:val="24"/>
          <w:highlight w:val="none"/>
          <w:lang w:bidi="zh-CN"/>
        </w:rPr>
        <w:t>招标</w:t>
      </w:r>
      <w:r>
        <w:rPr>
          <w:rFonts w:hint="eastAsia" w:ascii="宋体" w:hAnsi="宋体" w:eastAsia="宋体" w:cs="宋体"/>
          <w:color w:val="auto"/>
          <w:sz w:val="24"/>
          <w:highlight w:val="none"/>
        </w:rPr>
        <w:t>文件中涉及到的所有内容，不会出现因第三方提出侵犯其专利权、商标权或其它知识产权而引发法律或经济纠纷，否则由投标人承担全部责任，投标人须拥有所</w:t>
      </w:r>
      <w:r>
        <w:rPr>
          <w:rFonts w:hint="eastAsia" w:ascii="宋体" w:hAnsi="宋体" w:eastAsia="宋体" w:cs="宋体"/>
          <w:color w:val="auto"/>
          <w:sz w:val="24"/>
          <w:highlight w:val="none"/>
          <w:lang w:bidi="zh-CN"/>
        </w:rPr>
        <w:t>招标</w:t>
      </w:r>
      <w:r>
        <w:rPr>
          <w:rFonts w:hint="eastAsia" w:ascii="宋体" w:hAnsi="宋体" w:eastAsia="宋体" w:cs="宋体"/>
          <w:color w:val="auto"/>
          <w:sz w:val="24"/>
          <w:highlight w:val="none"/>
        </w:rPr>
        <w:t>的物的所有权或合法处分权，一切因标的物的所有权或合法处分权而引起的法律和经济纠纷由投标人自行负责，与本项目采购代理机构、采购人无关。</w:t>
      </w:r>
    </w:p>
    <w:p w14:paraId="528704BD">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  投标人提供的设备应运行安全可靠，使用寿命长，维护费用低，可一年四季全天候运行。</w:t>
      </w:r>
    </w:p>
    <w:p w14:paraId="79BCA837">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  投标人应将货物免费运至合同中规定的现场，供货方负责派工程技术人员到用户现场进行设备安装、调试，保证正常使用。安装完毕后投标人应派专业技术人员应对采购人的技术人员进行使用操作、维修、保养等技术的现场培训，直至采购人的技术人员能熟练独立工作。投标人委派的专业技术人员所需费均由投标人自行承担。</w:t>
      </w:r>
    </w:p>
    <w:p w14:paraId="0B56FE28">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rPr>
        <w:t xml:space="preserve">9.5 </w:t>
      </w:r>
      <w:r>
        <w:rPr>
          <w:rFonts w:hint="eastAsia" w:ascii="宋体" w:hAnsi="宋体" w:eastAsia="宋体" w:cs="宋体"/>
          <w:color w:val="auto"/>
          <w:sz w:val="24"/>
          <w:highlight w:val="none"/>
        </w:rPr>
        <w:t>服务期间如出现无法确定的故障，投标人要协同解决故障，不得以任何理由相互推诿。质保期后，要求能提供广泛、及时、优惠的技术服务及时提供质量可靠的各种配件。</w:t>
      </w:r>
    </w:p>
    <w:p w14:paraId="2F0118DC">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rPr>
        <w:t xml:space="preserve">9.6  </w:t>
      </w:r>
      <w:r>
        <w:rPr>
          <w:rFonts w:hint="eastAsia" w:ascii="宋体" w:hAnsi="宋体" w:eastAsia="宋体" w:cs="宋体"/>
          <w:color w:val="auto"/>
          <w:sz w:val="24"/>
          <w:highlight w:val="none"/>
        </w:rPr>
        <w:t>产品售后服务要求：</w:t>
      </w:r>
      <w:r>
        <w:rPr>
          <w:rFonts w:hint="eastAsia" w:ascii="宋体" w:hAnsi="宋体" w:eastAsia="宋体" w:cs="宋体"/>
          <w:b/>
          <w:bCs/>
          <w:color w:val="auto"/>
          <w:sz w:val="24"/>
          <w:highlight w:val="none"/>
        </w:rPr>
        <w:t>（具体售后服务要求详见后附的采购需求及技术参数）</w:t>
      </w:r>
      <w:r>
        <w:rPr>
          <w:rFonts w:hint="eastAsia" w:ascii="宋体" w:hAnsi="宋体" w:eastAsia="宋体" w:cs="宋体"/>
          <w:color w:val="auto"/>
          <w:sz w:val="24"/>
          <w:highlight w:val="none"/>
        </w:rPr>
        <w:t>。</w:t>
      </w:r>
    </w:p>
    <w:p w14:paraId="56CABC57">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rPr>
        <w:t xml:space="preserve">9.7  </w:t>
      </w:r>
      <w:r>
        <w:rPr>
          <w:rFonts w:hint="eastAsia" w:ascii="宋体" w:hAnsi="宋体" w:eastAsia="宋体" w:cs="宋体"/>
          <w:color w:val="auto"/>
          <w:sz w:val="24"/>
          <w:highlight w:val="none"/>
        </w:rPr>
        <w:t>投标人应充分考虑现场环境条件，并提供配套的设备，所投设备必须达到国家强制性安全要求、及相关标准。</w:t>
      </w:r>
    </w:p>
    <w:p w14:paraId="783259EB">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iCs/>
          <w:color w:val="auto"/>
          <w:sz w:val="24"/>
          <w:highlight w:val="none"/>
        </w:rPr>
        <w:t xml:space="preserve">9.8  </w:t>
      </w:r>
      <w:r>
        <w:rPr>
          <w:rFonts w:hint="eastAsia" w:ascii="宋体" w:hAnsi="宋体" w:eastAsia="宋体" w:cs="宋体"/>
          <w:color w:val="auto"/>
          <w:sz w:val="24"/>
          <w:highlight w:val="none"/>
        </w:rPr>
        <w:t>随机资料及随机配件齐全。</w:t>
      </w:r>
    </w:p>
    <w:p w14:paraId="337757FD">
      <w:pPr>
        <w:keepNext w:val="0"/>
        <w:keepLines w:val="0"/>
        <w:pageBreakBefore w:val="0"/>
        <w:widowControl w:val="0"/>
        <w:kinsoku/>
        <w:wordWrap/>
        <w:overflowPunct/>
        <w:topLinePunct w:val="0"/>
        <w:autoSpaceDE/>
        <w:autoSpaceDN/>
        <w:bidi w:val="0"/>
        <w:adjustRightInd w:val="0"/>
        <w:spacing w:line="440" w:lineRule="exact"/>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10、代理服务费</w:t>
      </w:r>
    </w:p>
    <w:p w14:paraId="6B94FEF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人领取</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通知书后30日内与采购人签订合同。</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向代理机构支付服务费时，需提供与采购人签订合同的复印件。</w:t>
      </w:r>
    </w:p>
    <w:p w14:paraId="6643D7C9">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代理报酬以中标价为基准</w:t>
      </w:r>
      <w:r>
        <w:rPr>
          <w:rFonts w:hint="eastAsia" w:ascii="宋体" w:hAnsi="宋体" w:cs="宋体"/>
          <w:b w:val="0"/>
          <w:bCs w:val="0"/>
          <w:sz w:val="24"/>
          <w:szCs w:val="24"/>
          <w:highlight w:val="none"/>
          <w:lang w:eastAsia="zh-CN"/>
        </w:rPr>
        <w:t>根据</w:t>
      </w:r>
      <w:r>
        <w:rPr>
          <w:rFonts w:hint="eastAsia" w:ascii="宋体" w:hAnsi="宋体" w:eastAsia="宋体" w:cs="宋体"/>
          <w:b w:val="0"/>
          <w:bCs w:val="0"/>
          <w:color w:val="auto"/>
          <w:sz w:val="24"/>
          <w:szCs w:val="24"/>
          <w:highlight w:val="none"/>
        </w:rPr>
        <w:t>《国家发展改革委关于进一步放开建设项目专业服务价格的通知》（发改价格【2015】299号）</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参照国家发展计划委员会计价格【2002】1980号文标准计取，</w:t>
      </w:r>
      <w:r>
        <w:rPr>
          <w:rFonts w:hint="eastAsia" w:ascii="宋体" w:hAnsi="宋体" w:cs="宋体"/>
          <w:color w:val="auto"/>
          <w:sz w:val="24"/>
          <w:highlight w:val="none"/>
          <w:lang w:eastAsia="zh-CN"/>
        </w:rPr>
        <w:t>由</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人支付。</w:t>
      </w:r>
    </w:p>
    <w:p w14:paraId="41D9D46E">
      <w:pPr>
        <w:keepNext w:val="0"/>
        <w:keepLines w:val="0"/>
        <w:pageBreakBefore w:val="0"/>
        <w:widowControl w:val="0"/>
        <w:kinsoku/>
        <w:wordWrap/>
        <w:overflowPunct/>
        <w:topLinePunct w:val="0"/>
        <w:autoSpaceDE/>
        <w:autoSpaceDN/>
        <w:bidi w:val="0"/>
        <w:adjustRightInd w:val="0"/>
        <w:spacing w:line="440" w:lineRule="exact"/>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保密</w:t>
      </w:r>
    </w:p>
    <w:p w14:paraId="34CADA7E">
      <w:pPr>
        <w:keepNext w:val="0"/>
        <w:keepLines w:val="0"/>
        <w:pageBreakBefore w:val="0"/>
        <w:widowControl w:val="0"/>
        <w:kinsoku/>
        <w:wordWrap/>
        <w:overflowPunct/>
        <w:topLinePunct w:val="0"/>
        <w:autoSpaceDE/>
        <w:autoSpaceDN/>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招投标双方应为对方在投标文件和招标文件中涉及的商业和技术等秘密保密，违者应对由此造成的后果承担责任。</w:t>
      </w:r>
    </w:p>
    <w:p w14:paraId="655FC631">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招标</w:t>
      </w:r>
      <w:r>
        <w:rPr>
          <w:rFonts w:hint="eastAsia" w:ascii="宋体" w:hAnsi="宋体" w:eastAsia="宋体" w:cs="宋体"/>
          <w:b/>
          <w:color w:val="auto"/>
          <w:sz w:val="24"/>
          <w:highlight w:val="none"/>
        </w:rPr>
        <w:t xml:space="preserve">文件的约束力 </w:t>
      </w:r>
    </w:p>
    <w:p w14:paraId="0CF4067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l、投标人一旦参加</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会议，即被认为接受了本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文件中的所有条款和规定。</w:t>
      </w:r>
    </w:p>
    <w:p w14:paraId="298495D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投标人如认为本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文件含有倾向性或排斥潜在投标人的条款而使自己的权益受到损害的，请以书面形式向采购人提出，否则，将视为对本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文件要求无任何异议，并不得因此在招标会开始后提出任何异议。</w:t>
      </w:r>
    </w:p>
    <w:p w14:paraId="11AC597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文件由</w:t>
      </w:r>
      <w:r>
        <w:rPr>
          <w:rFonts w:hint="eastAsia" w:ascii="宋体" w:hAnsi="宋体" w:eastAsia="宋体" w:cs="宋体"/>
          <w:color w:val="auto"/>
          <w:sz w:val="24"/>
          <w:highlight w:val="none"/>
          <w:lang w:eastAsia="zh-CN"/>
        </w:rPr>
        <w:t>新疆蒙泰工程项目管理有限公司</w:t>
      </w:r>
      <w:r>
        <w:rPr>
          <w:rFonts w:hint="eastAsia" w:ascii="宋体" w:hAnsi="宋体" w:eastAsia="宋体" w:cs="宋体"/>
          <w:color w:val="auto"/>
          <w:sz w:val="24"/>
          <w:highlight w:val="none"/>
        </w:rPr>
        <w:t>负责解释。</w:t>
      </w:r>
      <w:r>
        <w:rPr>
          <w:rFonts w:hint="eastAsia" w:ascii="宋体" w:hAnsi="宋体" w:eastAsia="宋体" w:cs="宋体"/>
          <w:color w:val="auto"/>
          <w:sz w:val="24"/>
          <w:szCs w:val="24"/>
          <w:highlight w:val="none"/>
        </w:rPr>
        <w:br w:type="page"/>
      </w:r>
    </w:p>
    <w:p w14:paraId="285E78A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第三部分  投标说明</w:t>
      </w:r>
    </w:p>
    <w:p w14:paraId="627D25AA">
      <w:pPr>
        <w:pStyle w:val="3"/>
        <w:spacing w:line="360" w:lineRule="auto"/>
        <w:jc w:val="center"/>
        <w:rPr>
          <w:rFonts w:hint="eastAsia" w:ascii="宋体" w:hAnsi="宋体" w:eastAsia="宋体" w:cs="宋体"/>
          <w:b/>
          <w:bCs/>
          <w:color w:val="auto"/>
          <w:sz w:val="28"/>
          <w:szCs w:val="28"/>
          <w:highlight w:val="none"/>
        </w:rPr>
      </w:pPr>
      <w:bookmarkStart w:id="23" w:name="_Toc5715647"/>
      <w:r>
        <w:rPr>
          <w:rFonts w:hint="eastAsia" w:ascii="宋体" w:hAnsi="宋体" w:eastAsia="宋体" w:cs="宋体"/>
          <w:b/>
          <w:bCs/>
          <w:color w:val="auto"/>
          <w:sz w:val="28"/>
          <w:szCs w:val="28"/>
          <w:highlight w:val="none"/>
        </w:rPr>
        <w:t>第一章  投标人资格要求</w:t>
      </w:r>
      <w:bookmarkEnd w:id="23"/>
    </w:p>
    <w:p w14:paraId="07958B3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1、投标资格</w:t>
      </w:r>
    </w:p>
    <w:p w14:paraId="0B7DC003">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color w:val="auto"/>
          <w:sz w:val="24"/>
          <w:highlight w:val="none"/>
        </w:rPr>
        <w:t>1.1投标人必须提交能够证明其具有履行本项目合同能力的资质证明文件，作为投标文件的一部分。</w:t>
      </w:r>
    </w:p>
    <w:p w14:paraId="6AEFB9CE">
      <w:pPr>
        <w:numPr>
          <w:ilvl w:val="0"/>
          <w:numId w:val="15"/>
        </w:numPr>
        <w:spacing w:line="44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rPr>
        <w:t>满足《中华人民共和国政府采购法》第二十二条规定</w:t>
      </w:r>
      <w:r>
        <w:rPr>
          <w:rFonts w:hint="eastAsia" w:ascii="宋体" w:hAnsi="宋体" w:cs="宋体"/>
          <w:b w:val="0"/>
          <w:bCs/>
          <w:sz w:val="24"/>
          <w:highlight w:val="none"/>
          <w:lang w:eastAsia="zh-CN"/>
        </w:rPr>
        <w:t>：</w:t>
      </w:r>
    </w:p>
    <w:p w14:paraId="709B94D4">
      <w:pPr>
        <w:numPr>
          <w:ilvl w:val="0"/>
          <w:numId w:val="0"/>
        </w:numPr>
        <w:spacing w:line="440" w:lineRule="exact"/>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（一）具有独立承担民事责任的能力。（提供合法有效的法人营业执照）</w:t>
      </w:r>
    </w:p>
    <w:p w14:paraId="6B1B687F">
      <w:pPr>
        <w:numPr>
          <w:ilvl w:val="0"/>
          <w:numId w:val="0"/>
        </w:numPr>
        <w:spacing w:line="440" w:lineRule="exact"/>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（二）具有良好的商业信誉和健全的财务会计制度。（提供202</w:t>
      </w:r>
      <w:r>
        <w:rPr>
          <w:rFonts w:hint="eastAsia" w:ascii="宋体" w:hAnsi="宋体" w:cs="宋体"/>
          <w:b w:val="0"/>
          <w:bCs/>
          <w:sz w:val="24"/>
          <w:highlight w:val="none"/>
          <w:lang w:val="en-US" w:eastAsia="zh-CN"/>
        </w:rPr>
        <w:t>4</w:t>
      </w:r>
      <w:r>
        <w:rPr>
          <w:rFonts w:hint="eastAsia" w:ascii="宋体" w:hAnsi="宋体" w:eastAsia="宋体" w:cs="宋体"/>
          <w:b w:val="0"/>
          <w:bCs/>
          <w:sz w:val="24"/>
          <w:highlight w:val="none"/>
          <w:lang w:eastAsia="zh-CN"/>
        </w:rPr>
        <w:t>年度或近期的财务状况报告（表）或其基本开户银行出具的资信证明复印件，本年度新成立或成立不满一年的组织和自然人无法提供财务状况报告（表）的，可提供银行出具的资信证明复印件；）</w:t>
      </w:r>
    </w:p>
    <w:p w14:paraId="4AA12EE3">
      <w:pPr>
        <w:numPr>
          <w:ilvl w:val="0"/>
          <w:numId w:val="0"/>
        </w:numPr>
        <w:spacing w:line="440" w:lineRule="exact"/>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（三）具有履行合同所必需的设备和专业技术能力。（根据项目需求提供履行合同所必需的设备和专业技术能力的加盖单位公章的书面承诺函）</w:t>
      </w:r>
    </w:p>
    <w:p w14:paraId="2B13F922">
      <w:pPr>
        <w:numPr>
          <w:ilvl w:val="0"/>
          <w:numId w:val="0"/>
        </w:numPr>
        <w:spacing w:line="440" w:lineRule="exact"/>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（四）有依法缴纳税收和社会保障资金的良好记录。（提供参加本次政府采购活动前近半年内任意一个月的依法缴纳税收和社会保障资金的相关材料）</w:t>
      </w:r>
    </w:p>
    <w:p w14:paraId="1597AB7D">
      <w:pPr>
        <w:numPr>
          <w:ilvl w:val="0"/>
          <w:numId w:val="0"/>
        </w:numPr>
        <w:spacing w:line="440" w:lineRule="exact"/>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（五）参加政府采购活动前三年内，在经营活动中没有重大违法记录。（提供参加本次政府采购活动前3年内在经营活动中没有重大违法记录的书面承诺函并加盖单位公章）</w:t>
      </w:r>
    </w:p>
    <w:p w14:paraId="4FF6B257">
      <w:pPr>
        <w:numPr>
          <w:ilvl w:val="0"/>
          <w:numId w:val="0"/>
        </w:numPr>
        <w:spacing w:line="440" w:lineRule="exact"/>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（六）法律、行政法规规定的其他条件。（提供承诺函）</w:t>
      </w:r>
    </w:p>
    <w:p w14:paraId="2B757601">
      <w:pPr>
        <w:numPr>
          <w:ilvl w:val="0"/>
          <w:numId w:val="15"/>
        </w:numPr>
        <w:spacing w:line="44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rPr>
        <w:t>法人授权委托书、被授权人身份证或法人身份证、</w:t>
      </w:r>
      <w:r>
        <w:rPr>
          <w:rFonts w:hint="eastAsia" w:ascii="宋体" w:hAnsi="宋体" w:eastAsia="宋体" w:cs="宋体"/>
          <w:b w:val="0"/>
          <w:bCs/>
          <w:sz w:val="24"/>
          <w:highlight w:val="none"/>
          <w:lang w:eastAsia="zh-CN"/>
        </w:rPr>
        <w:t>中小企业声明函、</w:t>
      </w:r>
      <w:r>
        <w:rPr>
          <w:rFonts w:hint="eastAsia" w:ascii="宋体" w:hAnsi="宋体" w:eastAsia="宋体" w:cs="宋体"/>
          <w:b w:val="0"/>
          <w:bCs/>
          <w:sz w:val="24"/>
          <w:highlight w:val="none"/>
        </w:rPr>
        <w:t>投标保证金交纳凭证</w:t>
      </w:r>
      <w:r>
        <w:rPr>
          <w:rFonts w:hint="eastAsia" w:ascii="宋体" w:hAnsi="宋体" w:eastAsia="宋体" w:cs="宋体"/>
          <w:b w:val="0"/>
          <w:bCs/>
          <w:sz w:val="24"/>
          <w:highlight w:val="none"/>
          <w:lang w:eastAsia="zh-CN"/>
        </w:rPr>
        <w:t>（保证金转账凭证</w:t>
      </w:r>
      <w:r>
        <w:rPr>
          <w:rFonts w:hint="eastAsia" w:ascii="宋体" w:hAnsi="宋体" w:eastAsia="宋体" w:cs="宋体"/>
          <w:b w:val="0"/>
          <w:bCs/>
          <w:sz w:val="24"/>
          <w:highlight w:val="none"/>
          <w:lang w:val="en-US" w:eastAsia="zh-CN"/>
        </w:rPr>
        <w:t>或保函凭证</w:t>
      </w:r>
      <w:r>
        <w:rPr>
          <w:rFonts w:hint="eastAsia" w:ascii="宋体" w:hAnsi="宋体" w:eastAsia="宋体" w:cs="宋体"/>
          <w:b w:val="0"/>
          <w:bCs/>
          <w:sz w:val="24"/>
          <w:highlight w:val="none"/>
          <w:lang w:eastAsia="zh-CN"/>
        </w:rPr>
        <w:t>需法人签字</w:t>
      </w:r>
      <w:r>
        <w:rPr>
          <w:rFonts w:hint="eastAsia" w:ascii="宋体" w:hAnsi="宋体" w:eastAsia="宋体" w:cs="宋体"/>
          <w:b w:val="0"/>
          <w:bCs/>
          <w:sz w:val="24"/>
          <w:highlight w:val="none"/>
          <w:lang w:val="en-US" w:eastAsia="zh-CN"/>
        </w:rPr>
        <w:t>确认</w:t>
      </w:r>
      <w:r>
        <w:rPr>
          <w:rFonts w:hint="eastAsia" w:ascii="宋体" w:hAnsi="宋体" w:eastAsia="宋体" w:cs="宋体"/>
          <w:b w:val="0"/>
          <w:bCs/>
          <w:sz w:val="24"/>
          <w:highlight w:val="none"/>
          <w:lang w:eastAsia="zh-CN"/>
        </w:rPr>
        <w:t>；后附单位基本账户信息）</w:t>
      </w:r>
    </w:p>
    <w:p w14:paraId="64717533">
      <w:pPr>
        <w:numPr>
          <w:ilvl w:val="0"/>
          <w:numId w:val="15"/>
        </w:numPr>
        <w:spacing w:line="44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3C394B5C">
      <w:pPr>
        <w:numPr>
          <w:ilvl w:val="0"/>
          <w:numId w:val="15"/>
        </w:numPr>
        <w:spacing w:line="440" w:lineRule="exact"/>
        <w:ind w:firstLine="480" w:firstLineChars="200"/>
        <w:rPr>
          <w:rFonts w:hint="default" w:ascii="宋体" w:hAnsi="宋体" w:eastAsia="宋体" w:cs="宋体"/>
          <w:b w:val="0"/>
          <w:bCs/>
          <w:sz w:val="24"/>
          <w:highlight w:val="none"/>
          <w:lang w:eastAsia="zh-CN"/>
        </w:rPr>
      </w:pPr>
      <w:r>
        <w:rPr>
          <w:rFonts w:hint="default" w:ascii="宋体" w:hAnsi="宋体" w:eastAsia="宋体" w:cs="宋体"/>
          <w:b w:val="0"/>
          <w:bCs/>
          <w:sz w:val="24"/>
          <w:highlight w:val="none"/>
          <w:lang w:eastAsia="zh-CN"/>
        </w:rPr>
        <w:t>一体化污水处理设备（冻土层2.5米，投标供应商所提供的设备能承受2.5米厚度冻土层重力，需要提供承诺函，此项为实质性要求。未单独提供承诺函的将被认为无效投标。）</w:t>
      </w:r>
    </w:p>
    <w:p w14:paraId="4EA25AB6">
      <w:pPr>
        <w:numPr>
          <w:ilvl w:val="0"/>
          <w:numId w:val="15"/>
        </w:numPr>
        <w:spacing w:line="440" w:lineRule="exact"/>
        <w:ind w:firstLine="480" w:firstLineChars="200"/>
        <w:rPr>
          <w:rFonts w:hint="eastAsia" w:ascii="宋体" w:hAnsi="宋体" w:eastAsia="宋体" w:cs="宋体"/>
          <w:b w:val="0"/>
          <w:bCs/>
          <w:sz w:val="24"/>
          <w:highlight w:val="none"/>
          <w:lang w:eastAsia="zh-CN"/>
        </w:rPr>
      </w:pPr>
      <w:r>
        <w:rPr>
          <w:rFonts w:hint="default" w:ascii="宋体" w:hAnsi="宋体" w:eastAsia="宋体" w:cs="宋体"/>
          <w:b w:val="0"/>
          <w:bCs/>
          <w:sz w:val="24"/>
          <w:highlight w:val="none"/>
          <w:lang w:eastAsia="zh-CN"/>
        </w:rPr>
        <w:t>单位负责人为同一人或者存在控股、管理关系的不同投标人，不得参加同一标段投标或者未划分标段的同一招标项目投标；</w:t>
      </w:r>
    </w:p>
    <w:p w14:paraId="13BCF92F">
      <w:pPr>
        <w:spacing w:line="44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注: 以上资格证明文件，在投标文件中须放入加盖公章的复印件，投标人须在资格审查时上传相应加盖公章的扫描件用于核对，不上传视为对</w:t>
      </w:r>
      <w:r>
        <w:rPr>
          <w:rFonts w:hint="eastAsia" w:ascii="宋体" w:hAnsi="宋体" w:eastAsia="宋体" w:cs="宋体"/>
          <w:b/>
          <w:sz w:val="24"/>
          <w:highlight w:val="none"/>
          <w:lang w:bidi="zh-CN"/>
        </w:rPr>
        <w:t>招标</w:t>
      </w:r>
      <w:r>
        <w:rPr>
          <w:rFonts w:hint="eastAsia" w:ascii="宋体" w:hAnsi="宋体" w:eastAsia="宋体" w:cs="宋体"/>
          <w:b/>
          <w:sz w:val="24"/>
          <w:highlight w:val="none"/>
        </w:rPr>
        <w:t>文件资格审查内容的不响应，投标无效，文件将被拒绝。</w:t>
      </w:r>
    </w:p>
    <w:p w14:paraId="3279FFC1">
      <w:pPr>
        <w:pStyle w:val="3"/>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  投标文件的编写及编制顺序</w:t>
      </w:r>
    </w:p>
    <w:p w14:paraId="3341679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2、要求</w:t>
      </w:r>
    </w:p>
    <w:p w14:paraId="2252EE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投标人应详细阅读招标文件中的条款、规范、表示、条件和格式等所有内容，按招标文件的要求份数提供投标文件，并保证所提供全部材料的真实性，以使其投标对招标文件做出实质性响应。否则，其投标会被拒绝。</w:t>
      </w:r>
    </w:p>
    <w:p w14:paraId="5F0E76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开标、评标、授标均以项目为单位，投标人根据公司的自身实力进行投标，并在所投项目密封袋上清楚标明所投项目的名称。</w:t>
      </w:r>
    </w:p>
    <w:p w14:paraId="0A88C29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3、投标文件语言和度量单位</w:t>
      </w:r>
    </w:p>
    <w:p w14:paraId="2759DC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招标文件及投标人和采购方就本次采购交换的文件和往来信件，须以中文书写。</w:t>
      </w:r>
    </w:p>
    <w:p w14:paraId="523E1B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除在招标文件的技术规格中另有规定外，计量单位应使用中华人民共和国法定计量单位。</w:t>
      </w:r>
    </w:p>
    <w:p w14:paraId="55A06A84">
      <w:pPr>
        <w:spacing w:line="360" w:lineRule="auto"/>
        <w:ind w:firstLine="480" w:firstLineChars="200"/>
        <w:jc w:val="left"/>
        <w:rPr>
          <w:rFonts w:hint="eastAsia" w:ascii="宋体" w:hAnsi="宋体" w:eastAsia="宋体" w:cs="宋体"/>
          <w:b/>
          <w:color w:val="auto"/>
          <w:sz w:val="24"/>
          <w:highlight w:val="none"/>
        </w:rPr>
      </w:pPr>
      <w:bookmarkStart w:id="24" w:name="_Toc205342862"/>
      <w:bookmarkStart w:id="25" w:name="_Toc48791219"/>
      <w:bookmarkStart w:id="26" w:name="_Toc49019220"/>
      <w:bookmarkStart w:id="27" w:name="_Toc47262053"/>
      <w:bookmarkStart w:id="28" w:name="_Toc47261869"/>
      <w:bookmarkStart w:id="29" w:name="_Toc47261674"/>
      <w:bookmarkStart w:id="30" w:name="_Toc47418715"/>
      <w:bookmarkStart w:id="31" w:name="_Toc47261054"/>
      <w:bookmarkStart w:id="32" w:name="_Toc47418239"/>
      <w:bookmarkStart w:id="33" w:name="_Toc47418922"/>
      <w:bookmarkStart w:id="34" w:name="_Toc48995835"/>
      <w:r>
        <w:rPr>
          <w:rFonts w:hint="eastAsia" w:ascii="宋体" w:hAnsi="宋体" w:eastAsia="宋体" w:cs="宋体"/>
          <w:b/>
          <w:color w:val="auto"/>
          <w:sz w:val="24"/>
          <w:highlight w:val="none"/>
        </w:rPr>
        <w:t>4、投标文件的编制</w:t>
      </w:r>
      <w:bookmarkEnd w:id="24"/>
      <w:bookmarkEnd w:id="25"/>
      <w:bookmarkEnd w:id="26"/>
      <w:bookmarkEnd w:id="27"/>
      <w:bookmarkEnd w:id="28"/>
      <w:bookmarkEnd w:id="29"/>
      <w:bookmarkEnd w:id="30"/>
      <w:bookmarkEnd w:id="31"/>
      <w:bookmarkEnd w:id="32"/>
      <w:bookmarkEnd w:id="33"/>
      <w:bookmarkEnd w:id="34"/>
    </w:p>
    <w:p w14:paraId="4F060047">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 投标文件的构成</w:t>
      </w:r>
    </w:p>
    <w:p w14:paraId="0AF9CB51">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4.1.1投标人应认真阅读招标文件的所有内容，按招标文件的要求提供投标文件，并保证提供的全部资料的真实性，以使其投标对招标文件作出实质性响应，否则，其投标将被拒绝。</w:t>
      </w:r>
    </w:p>
    <w:p w14:paraId="6733A0DF">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投标文件以加密形式上传投标文件，按照以下三部分内容编制投标文件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投标文件</w:t>
      </w:r>
      <w:r>
        <w:rPr>
          <w:rFonts w:hint="eastAsia" w:ascii="宋体" w:hAnsi="宋体" w:eastAsia="宋体" w:cs="宋体"/>
          <w:b/>
          <w:bCs/>
          <w:sz w:val="24"/>
          <w:highlight w:val="none"/>
          <w:lang w:eastAsia="zh-CN"/>
        </w:rPr>
        <w:t>包含以下</w:t>
      </w:r>
      <w:r>
        <w:rPr>
          <w:rFonts w:hint="eastAsia" w:ascii="宋体" w:hAnsi="宋体" w:eastAsia="宋体" w:cs="宋体"/>
          <w:b/>
          <w:bCs/>
          <w:sz w:val="24"/>
          <w:highlight w:val="none"/>
          <w:lang w:val="en-US" w:eastAsia="zh-CN"/>
        </w:rPr>
        <w:t>三部分，</w:t>
      </w:r>
      <w:r>
        <w:rPr>
          <w:rFonts w:hint="eastAsia" w:ascii="宋体" w:hAnsi="宋体" w:eastAsia="宋体" w:cs="宋体"/>
          <w:b/>
          <w:bCs/>
          <w:sz w:val="24"/>
          <w:highlight w:val="none"/>
          <w:lang w:eastAsia="zh-CN"/>
        </w:rPr>
        <w:t>不分册）</w:t>
      </w:r>
      <w:r>
        <w:rPr>
          <w:rFonts w:hint="eastAsia" w:ascii="宋体" w:hAnsi="宋体" w:eastAsia="宋体" w:cs="宋体"/>
          <w:sz w:val="24"/>
          <w:highlight w:val="none"/>
        </w:rPr>
        <w:t>：</w:t>
      </w:r>
    </w:p>
    <w:p w14:paraId="293E07B2">
      <w:pPr>
        <w:spacing w:line="360" w:lineRule="auto"/>
        <w:ind w:firstLine="480" w:firstLineChars="20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4.2  投标报价文件</w:t>
      </w:r>
    </w:p>
    <w:p w14:paraId="50C3BC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4.2.1  报价一览表</w:t>
      </w:r>
    </w:p>
    <w:p w14:paraId="237756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  报价分类明细表</w:t>
      </w:r>
    </w:p>
    <w:p w14:paraId="77225BF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   商务投标文件</w:t>
      </w:r>
    </w:p>
    <w:p w14:paraId="63910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投标人必须按要求如实、准确、完整的提供评估因素要求的各类文件资料。投标文件包括以下部分（但不局限于以下部分）：</w:t>
      </w:r>
    </w:p>
    <w:p w14:paraId="7D48DA86">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4.3.</w:t>
      </w:r>
      <w:r>
        <w:rPr>
          <w:rFonts w:hint="eastAsia" w:ascii="宋体" w:hAnsi="宋体" w:eastAsia="宋体" w:cs="宋体"/>
          <w:b/>
          <w:bCs/>
          <w:color w:val="auto"/>
          <w:sz w:val="24"/>
          <w:highlight w:val="none"/>
          <w:lang w:val="en-US" w:eastAsia="zh-CN"/>
        </w:rPr>
        <w:t xml:space="preserve">1 </w:t>
      </w:r>
      <w:r>
        <w:rPr>
          <w:rFonts w:hint="eastAsia" w:ascii="宋体" w:hAnsi="宋体" w:eastAsia="宋体" w:cs="宋体"/>
          <w:b/>
          <w:bCs/>
          <w:color w:val="auto"/>
          <w:sz w:val="24"/>
          <w:highlight w:val="none"/>
        </w:rPr>
        <w:t>企业简介（</w:t>
      </w:r>
      <w:r>
        <w:rPr>
          <w:rFonts w:hint="eastAsia" w:ascii="宋体" w:hAnsi="宋体" w:eastAsia="宋体" w:cs="宋体"/>
          <w:b/>
          <w:bCs/>
          <w:color w:val="auto"/>
          <w:sz w:val="24"/>
          <w:highlight w:val="none"/>
          <w:lang w:eastAsia="zh-CN"/>
        </w:rPr>
        <w:t>格式自拟</w:t>
      </w:r>
      <w:r>
        <w:rPr>
          <w:rFonts w:hint="eastAsia" w:ascii="宋体" w:hAnsi="宋体" w:eastAsia="宋体" w:cs="宋体"/>
          <w:b/>
          <w:bCs/>
          <w:color w:val="auto"/>
          <w:sz w:val="24"/>
          <w:highlight w:val="none"/>
        </w:rPr>
        <w:t>）</w:t>
      </w:r>
    </w:p>
    <w:p w14:paraId="6D1B754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4.3.2</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投标人的承诺函（按附件的格式提供）</w:t>
      </w:r>
    </w:p>
    <w:p w14:paraId="3D889655">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4.3.3 营业执照</w:t>
      </w:r>
    </w:p>
    <w:p w14:paraId="29EE9CFD">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4.3.4 法人授权委托书、被授权人身份证或法人身份证</w:t>
      </w:r>
      <w:r>
        <w:rPr>
          <w:rFonts w:hint="eastAsia" w:ascii="宋体" w:hAnsi="宋体" w:eastAsia="宋体" w:cs="宋体"/>
          <w:b/>
          <w:bCs/>
          <w:color w:val="auto"/>
          <w:sz w:val="24"/>
          <w:highlight w:val="none"/>
        </w:rPr>
        <w:t>（按附件的格式提供）</w:t>
      </w:r>
    </w:p>
    <w:p w14:paraId="41742622">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4.3.5 中小企业声明函</w:t>
      </w:r>
      <w:r>
        <w:rPr>
          <w:rFonts w:hint="eastAsia" w:ascii="宋体" w:hAnsi="宋体" w:eastAsia="宋体" w:cs="宋体"/>
          <w:b/>
          <w:bCs/>
          <w:color w:val="auto"/>
          <w:sz w:val="24"/>
          <w:highlight w:val="none"/>
        </w:rPr>
        <w:t>（按附件的格式提供）</w:t>
      </w:r>
    </w:p>
    <w:p w14:paraId="3CC54FC8">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4.3.6 投标保证金交纳凭证（保证金转账凭证或保函凭证需法人签字确认；后附单位基本账户信息）</w:t>
      </w:r>
    </w:p>
    <w:p w14:paraId="24B27248">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4.3.</w:t>
      </w:r>
      <w:r>
        <w:rPr>
          <w:rFonts w:hint="eastAsia" w:ascii="宋体" w:hAnsi="宋体" w:eastAsia="宋体" w:cs="宋体"/>
          <w:b/>
          <w:bCs/>
          <w:color w:val="auto"/>
          <w:sz w:val="24"/>
          <w:highlight w:val="none"/>
          <w:lang w:val="en-US" w:eastAsia="zh-CN"/>
        </w:rPr>
        <w:t>7 售后服务承诺详述、维修以及售后服务联系人、联系方式等详述；</w:t>
      </w:r>
    </w:p>
    <w:p w14:paraId="7E0DFA84">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4.3.</w:t>
      </w:r>
      <w:r>
        <w:rPr>
          <w:rFonts w:hint="eastAsia" w:ascii="宋体" w:hAnsi="宋体" w:eastAsia="宋体" w:cs="宋体"/>
          <w:b/>
          <w:bCs/>
          <w:color w:val="auto"/>
          <w:sz w:val="24"/>
          <w:highlight w:val="none"/>
          <w:lang w:val="en-US" w:eastAsia="zh-CN"/>
        </w:rPr>
        <w:t>8 202</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年</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月1日起至今</w:t>
      </w:r>
      <w:r>
        <w:rPr>
          <w:rFonts w:hint="eastAsia" w:ascii="宋体" w:hAnsi="宋体" w:eastAsia="宋体" w:cs="宋体"/>
          <w:b/>
          <w:bCs/>
          <w:color w:val="auto"/>
          <w:sz w:val="24"/>
          <w:highlight w:val="none"/>
        </w:rPr>
        <w:t>的业绩表（提供证明材料：合同复印件</w:t>
      </w:r>
      <w:r>
        <w:rPr>
          <w:rFonts w:hint="eastAsia" w:ascii="宋体" w:hAnsi="宋体" w:eastAsia="宋体" w:cs="宋体"/>
          <w:b/>
          <w:bCs/>
          <w:color w:val="auto"/>
          <w:sz w:val="24"/>
          <w:highlight w:val="none"/>
          <w:lang w:eastAsia="zh-CN"/>
        </w:rPr>
        <w:t>或</w:t>
      </w:r>
      <w:r>
        <w:rPr>
          <w:rFonts w:hint="eastAsia" w:ascii="宋体" w:hAnsi="宋体" w:eastAsia="宋体" w:cs="宋体"/>
          <w:b/>
          <w:bCs/>
          <w:color w:val="auto"/>
          <w:sz w:val="24"/>
          <w:highlight w:val="none"/>
        </w:rPr>
        <w:t xml:space="preserve">中标通知书复印件） </w:t>
      </w:r>
    </w:p>
    <w:p w14:paraId="200CE2E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 xml:space="preserve"> 商务条款偏离表；乙方如对商务条款有偏离意向，必须在标书中注明偏离事项，凡是未注明偏离意向的标书视认为响应本标书条款.包括付款方式、质保期等。 </w:t>
      </w:r>
    </w:p>
    <w:p w14:paraId="6D4BFC0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w:t>
      </w:r>
      <w:r>
        <w:rPr>
          <w:rFonts w:hint="eastAsia" w:ascii="宋体" w:hAnsi="宋体" w:eastAsia="宋体" w:cs="宋体"/>
          <w:b/>
          <w:bCs/>
          <w:color w:val="auto"/>
          <w:sz w:val="24"/>
          <w:highlight w:val="none"/>
          <w:lang w:val="en-US" w:eastAsia="zh-CN"/>
        </w:rPr>
        <w:t xml:space="preserve">10 </w:t>
      </w:r>
      <w:r>
        <w:rPr>
          <w:rFonts w:hint="eastAsia" w:ascii="宋体" w:hAnsi="宋体" w:eastAsia="宋体" w:cs="宋体"/>
          <w:b/>
          <w:bCs/>
          <w:color w:val="auto"/>
          <w:sz w:val="24"/>
          <w:highlight w:val="none"/>
        </w:rPr>
        <w:t>维修保养计划：列出质保期后维修保养收费标准并提供收费维保</w:t>
      </w:r>
      <w:r>
        <w:rPr>
          <w:rFonts w:hint="eastAsia" w:ascii="宋体" w:hAnsi="宋体" w:eastAsia="宋体" w:cs="宋体"/>
          <w:b/>
          <w:bCs/>
          <w:color w:val="auto"/>
          <w:sz w:val="24"/>
          <w:highlight w:val="none"/>
        </w:rPr>
        <w:drawing>
          <wp:anchor distT="0" distB="0" distL="114300" distR="114300" simplePos="0" relativeHeight="251659264" behindDoc="1" locked="1" layoutInCell="1" allowOverlap="1">
            <wp:simplePos x="0" y="0"/>
            <wp:positionH relativeFrom="column">
              <wp:posOffset>609600</wp:posOffset>
            </wp:positionH>
            <wp:positionV relativeFrom="paragraph">
              <wp:posOffset>1917700</wp:posOffset>
            </wp:positionV>
            <wp:extent cx="1117600" cy="355600"/>
            <wp:effectExtent l="0" t="0" r="6350" b="6350"/>
            <wp:wrapNone/>
            <wp:docPr id="1" name="Picture 2" descr="133087646140472306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1330876461404723068593"/>
                    <pic:cNvPicPr>
                      <a:picLocks noChangeAspect="1"/>
                    </pic:cNvPicPr>
                  </pic:nvPicPr>
                  <pic:blipFill>
                    <a:blip r:embed="rId14"/>
                    <a:stretch>
                      <a:fillRect/>
                    </a:stretch>
                  </pic:blipFill>
                  <pic:spPr>
                    <a:xfrm>
                      <a:off x="0" y="0"/>
                      <a:ext cx="1117600" cy="355600"/>
                    </a:xfrm>
                    <a:prstGeom prst="rect">
                      <a:avLst/>
                    </a:prstGeom>
                    <a:noFill/>
                    <a:ln w="12700">
                      <a:noFill/>
                    </a:ln>
                  </pic:spPr>
                </pic:pic>
              </a:graphicData>
            </a:graphic>
          </wp:anchor>
        </w:drawing>
      </w:r>
      <w:r>
        <w:rPr>
          <w:rFonts w:hint="eastAsia" w:ascii="宋体" w:hAnsi="宋体" w:eastAsia="宋体" w:cs="宋体"/>
          <w:b/>
          <w:bCs/>
          <w:color w:val="auto"/>
          <w:sz w:val="24"/>
          <w:highlight w:val="none"/>
        </w:rPr>
        <w:t>标准的详细内容（单列，不在投标总价之中）。免费质保期内维护内容及维修保养计划，其免费维保的标准应按照收费维保的标准执行；</w:t>
      </w:r>
    </w:p>
    <w:p w14:paraId="6FE1C38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4.3.11 </w:t>
      </w:r>
      <w:r>
        <w:rPr>
          <w:rFonts w:hint="eastAsia" w:ascii="宋体" w:hAnsi="宋体" w:eastAsia="宋体" w:cs="宋体"/>
          <w:b/>
          <w:bCs/>
          <w:color w:val="auto"/>
          <w:sz w:val="24"/>
          <w:highlight w:val="none"/>
        </w:rPr>
        <w:t>其它需说明的事项</w:t>
      </w:r>
    </w:p>
    <w:p w14:paraId="1F59A1A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4.4  技术投标文件</w:t>
      </w:r>
    </w:p>
    <w:p w14:paraId="756D1A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4.4.1 技术参数、功能偏离表（按附件的格式提供，正、副本中均应附入）。</w:t>
      </w:r>
    </w:p>
    <w:p w14:paraId="6DAFB8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4.4.2 所投产品技术方案详细说明。</w:t>
      </w:r>
    </w:p>
    <w:p w14:paraId="0A7DA1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 所投产品相关技术人员的配备情况（要求详细说明项目实施方案）</w:t>
      </w:r>
    </w:p>
    <w:p w14:paraId="1C836A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 投标人认为需要说明的其他部分。</w:t>
      </w:r>
    </w:p>
    <w:p w14:paraId="2C588E3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4.5  投标文件格式</w:t>
      </w:r>
    </w:p>
    <w:p w14:paraId="180717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4.5.1 本项目要求按照上述内容编制标书，并按照标书中所附的投标文件规格编写，并要求打印装订成册。</w:t>
      </w:r>
    </w:p>
    <w:p w14:paraId="7157BD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4.5.2 投标人应按招标文件的内容与要求和提供的格式编写其投标文件，投标人不得缺少或留空任何招标文件要求填写的表格或提交的资料。</w:t>
      </w:r>
      <w:r>
        <w:rPr>
          <w:rFonts w:hint="eastAsia" w:ascii="宋体" w:hAnsi="宋体" w:eastAsia="宋体" w:cs="宋体"/>
          <w:color w:val="auto"/>
          <w:kern w:val="0"/>
          <w:sz w:val="24"/>
          <w:highlight w:val="none"/>
        </w:rPr>
        <w:t>如招标文件没有提供格式的，投标人可自行设置。</w:t>
      </w:r>
    </w:p>
    <w:p w14:paraId="75FE69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4.5.3投标人应将投标文件按规定的顺序编排、并应编制目录、逐页标注连续页码，并装定成册</w:t>
      </w:r>
      <w:r>
        <w:rPr>
          <w:rFonts w:hint="eastAsia" w:ascii="宋体" w:hAnsi="宋体" w:eastAsia="宋体" w:cs="宋体"/>
          <w:b/>
          <w:color w:val="auto"/>
          <w:sz w:val="24"/>
          <w:highlight w:val="none"/>
        </w:rPr>
        <w:t>。不得采用活页装订（否则视为无效标处理）</w:t>
      </w:r>
    </w:p>
    <w:p w14:paraId="58669C8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5、投标报价</w:t>
      </w:r>
    </w:p>
    <w:p w14:paraId="3F71FA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投标人应在投标明细报价表上标明本次采购拟提供货物的单价和总价。如单价和总价不符，以单价累计为准。小写和大写不符，以大写为准。投标人如果不同意上述修改原则，其投标将被拒绝。投标人应在明细报价表标明所有报价均以到达现场（招标文件规定的地点）并安装合格的全部费用，必须包括招标文件中所需设备报价（含税金）、运输费、保险费用、施工安装调试费、验收、拆装、培训、备品备件、保险、售后服务、税款、测试、质检、检验、行政许可及相关证书等直至交付业主正常使用前的一切费用。</w:t>
      </w:r>
    </w:p>
    <w:p w14:paraId="6691E9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5.1.1投标文件中开标一览表（报价表）内容与投标文件中相应内容不一致的，以开标一览表（报价表）为准；</w:t>
      </w:r>
    </w:p>
    <w:p w14:paraId="6DB260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5.1.2大写金额和小写金额不一致的，以大写金额为准；</w:t>
      </w:r>
    </w:p>
    <w:p w14:paraId="1B1995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5.1.3单价金额小数点或者百分比有明显错位的，以开标一览表的总价为准，并修改单价；</w:t>
      </w:r>
    </w:p>
    <w:p w14:paraId="3E75E0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5.1.4总价金额与单价汇总金额不一致的，以单价金额计算结果为准。</w:t>
      </w:r>
    </w:p>
    <w:p w14:paraId="1BAE6B0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5.1.5同时出现两种以上不一致的，按照前款规定的顺序修正。修正后的报价按照财政令第87号第五十一条第二款的规定经投标人确认后产生约束力，投标人不确认的其投标无效。</w:t>
      </w:r>
      <w:r>
        <w:rPr>
          <w:rFonts w:hint="eastAsia" w:ascii="宋体" w:hAnsi="宋体" w:eastAsia="宋体" w:cs="宋体"/>
          <w:color w:val="auto"/>
          <w:sz w:val="24"/>
          <w:highlight w:val="none"/>
          <w:lang w:val="en-US" w:eastAsia="zh-CN"/>
        </w:rPr>
        <w:t xml:space="preserve">  </w:t>
      </w:r>
    </w:p>
    <w:p w14:paraId="3332CC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5.1.6 投标明细报价表必须列清设备是包含明细内容，不得只报出设备总价，否则视为实质性不响应招标文件。</w:t>
      </w:r>
    </w:p>
    <w:p w14:paraId="48769E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 投标人如果免费提供某项产品、部件或服务，除在价格栏中填写“0”外，还必须在备注栏中声明免费或赠送。</w:t>
      </w:r>
    </w:p>
    <w:p w14:paraId="111FA1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投标报价时应注意下列几点：</w:t>
      </w:r>
    </w:p>
    <w:p w14:paraId="493A4F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5.3.1本项目如非因重大需求变化导致成本增加，不得追加费用，投标人应该考虑但没有考虑到的任何费用将由投标人自行承担。</w:t>
      </w:r>
    </w:p>
    <w:p w14:paraId="7E5BC4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5.3.2投标人应在明细报价表标明所有报价均以到达现场（招标文件规定的地点）并安装合格的全部费用，必须包括招标文件中所需设备报价（含税金）、运输费、装卸、保管、运输、施工安装调试费、拆装、培训、备品备件、保险、售后服务、税款、测试、质检、检验等直至交付业主正常使用前的一切费用。</w:t>
      </w:r>
    </w:p>
    <w:p w14:paraId="058EEA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5.3.3招标文件中特别要求的备品备件、易损件和专用工具的费用。</w:t>
      </w:r>
    </w:p>
    <w:p w14:paraId="2661AE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5.3.4投标人提供的在中华人民共和国制造的货物，其货物的投标价即货到交货地点的交货价格，包括制造、组装该货物所使用的零部件及原材料已付的全部关税、销售税和其他税。</w:t>
      </w:r>
    </w:p>
    <w:p w14:paraId="3B92D9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 投标人应对投标货物提供完整的详细的书面说明。</w:t>
      </w:r>
    </w:p>
    <w:p w14:paraId="09EBCE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 报价超过最高限价的，该报价为无效报价，不进入商务评比。</w:t>
      </w:r>
    </w:p>
    <w:p w14:paraId="3B1CE9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 评标委员会认为投标人的报价明显低于其他通过符合性审查投标人的报价，有可能影响产品质量或者不能诚信履约的，应当要求该投标人在评标现场合理的时间内提供书面说明，必要时提供相关证明材料；投标人不能证明其报价合理性的，评标委员会应当将其作为无效投标处理。</w:t>
      </w:r>
    </w:p>
    <w:p w14:paraId="6ABDB87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6、招标文件规定的技术文件</w:t>
      </w:r>
    </w:p>
    <w:p w14:paraId="088EF5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投标人须提交证明拟供货物和服务符合招标文件规定的文件资料，作为投标文件的一部分。</w:t>
      </w:r>
    </w:p>
    <w:p w14:paraId="030231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6.2  证明货物和服务与招标文件要求一致的文件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可以是文字资料、图纸和数据等，</w:t>
      </w:r>
      <w:r>
        <w:rPr>
          <w:rFonts w:hint="eastAsia" w:ascii="宋体" w:hAnsi="宋体" w:eastAsia="宋体" w:cs="宋体"/>
          <w:color w:val="auto"/>
          <w:sz w:val="24"/>
          <w:highlight w:val="none"/>
          <w:lang w:eastAsia="zh-CN"/>
        </w:rPr>
        <w:t>它包括：</w:t>
      </w:r>
    </w:p>
    <w:p w14:paraId="0E0292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（1）货物主要技术指标和性能的详细说明。</w:t>
      </w:r>
    </w:p>
    <w:p w14:paraId="38F024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（2）货物从采购人开始使用至“投标人须知前附表”中规定的周期内正常、连续地使用所必须的备品备件和专用工具清单，包括备品备件和专用工具的供货来源及现行价格。</w:t>
      </w:r>
    </w:p>
    <w:p w14:paraId="770C2B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30CE5A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  没有按要求提供资料或提供资料不完全的，将被视为对招标文件没有做出实质性响应，其风险由投标人自行承担。</w:t>
      </w:r>
    </w:p>
    <w:p w14:paraId="5C95F9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  投标人提供的设备必须是正规厂家生产的高质量产品，不能提供劣质三无产品（无厂址,无商标,无合格证）。</w:t>
      </w:r>
    </w:p>
    <w:p w14:paraId="68DC6AC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7、投标有效期</w:t>
      </w:r>
    </w:p>
    <w:p w14:paraId="39ED69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投标文件从投标之日起，投标有效期</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天。</w:t>
      </w:r>
    </w:p>
    <w:p w14:paraId="284F2E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在特殊情况下，采购方可与投标人协商延长投标文件的有效期。</w:t>
      </w:r>
    </w:p>
    <w:p w14:paraId="56B1D690">
      <w:pPr>
        <w:spacing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8、投标文件的签署规定</w:t>
      </w:r>
      <w:r>
        <w:rPr>
          <w:rFonts w:hint="eastAsia" w:ascii="宋体" w:hAnsi="宋体" w:eastAsia="宋体" w:cs="宋体"/>
          <w:b/>
          <w:color w:val="auto"/>
          <w:sz w:val="24"/>
          <w:highlight w:val="none"/>
          <w:lang w:val="en-US" w:eastAsia="zh-CN"/>
        </w:rPr>
        <w:t xml:space="preserve"> </w:t>
      </w:r>
    </w:p>
    <w:p w14:paraId="10F556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投标文件的页面必须用印刷体打印。</w:t>
      </w:r>
    </w:p>
    <w:p w14:paraId="544C21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投标文件应清楚工整，一般不准修改。个别非实质性修改之处应由投标人的被授权人或法人代表签章。</w:t>
      </w:r>
    </w:p>
    <w:p w14:paraId="488166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投标文件应由法人代表或授权代表在规定的签章处逐一签署并加盖单位公章。所有投标人签字、法人代表签字、法人代表授权人签字和其它签字处必须加盖具有法律效力的投标人的印章后，投标文件方为有效。</w:t>
      </w:r>
    </w:p>
    <w:p w14:paraId="47EE8F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所有投标文件必须提交纸制版正本</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套和副本</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套，电子版一份，（投标文件一律不退），并在封面标记“正本”和“副本”。</w:t>
      </w:r>
    </w:p>
    <w:p w14:paraId="1E50CA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8.5  投标文件的正本与副本应当完全一致。当正本和副本之间出现差异时，以正本为准。</w:t>
      </w:r>
    </w:p>
    <w:p w14:paraId="55BFB5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8.6  电报、电话、传真、电子邮件等形式的投标概不接受。</w:t>
      </w:r>
    </w:p>
    <w:p w14:paraId="7D4DFC2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9、投标文件的修改和撤销</w:t>
      </w:r>
    </w:p>
    <w:p w14:paraId="5334AC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投标人在递交投标文件后，可在规定的投标截止时间之前，对其投标文件以书面通知的形式进行修改或撤销。该通知须有投标代理人的签字，并得到采购方的确认。</w:t>
      </w:r>
    </w:p>
    <w:p w14:paraId="3B0D1F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投标人对投标文件修改的书面材料或撤消通知应按招标文件要求进行密封、标注和递交，并注明“修改投标文件”或“撤消投标”字样，修改或撤消的内容须按招标文件的要求签署、盖章，并作为投标文件和组成部分。</w:t>
      </w:r>
    </w:p>
    <w:p w14:paraId="08F7A5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  对投标文件修改的书面材料应于投标截止日前送达采购方，投标截止时间以后不得修改投标文件。</w:t>
      </w:r>
    </w:p>
    <w:p w14:paraId="2889D8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  投标人不得在开标后至投标有期满前撤销投标文件，否则采购方将没收其投标保证金。</w:t>
      </w:r>
    </w:p>
    <w:p w14:paraId="0958230E">
      <w:pPr>
        <w:pStyle w:val="3"/>
        <w:spacing w:line="360" w:lineRule="auto"/>
        <w:jc w:val="center"/>
        <w:rPr>
          <w:rFonts w:hint="eastAsia" w:ascii="宋体" w:hAnsi="宋体" w:eastAsia="宋体" w:cs="宋体"/>
          <w:color w:val="auto"/>
          <w:sz w:val="28"/>
          <w:szCs w:val="28"/>
          <w:highlight w:val="none"/>
        </w:rPr>
      </w:pPr>
      <w:bookmarkStart w:id="35" w:name="_Toc5715649"/>
      <w:r>
        <w:rPr>
          <w:rFonts w:hint="eastAsia" w:ascii="宋体" w:hAnsi="宋体" w:eastAsia="宋体" w:cs="宋体"/>
          <w:color w:val="auto"/>
          <w:sz w:val="28"/>
          <w:szCs w:val="28"/>
          <w:highlight w:val="none"/>
        </w:rPr>
        <w:t>第三章  投标文件的递交</w:t>
      </w:r>
      <w:bookmarkEnd w:id="35"/>
    </w:p>
    <w:p w14:paraId="5BF727F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10、投标文件的密封和标记</w:t>
      </w:r>
    </w:p>
    <w:p w14:paraId="4CE236D0">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10.1电子投标文件的递交</w:t>
      </w:r>
    </w:p>
    <w:p w14:paraId="1A06D57C">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10.1.1投标人应当按照《操作手册》规定，在递交招标文件截止时间前制作并上传电子投标文件。</w:t>
      </w:r>
    </w:p>
    <w:p w14:paraId="309C553E">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10.2递交投标文件截止时间</w:t>
      </w:r>
    </w:p>
    <w:p w14:paraId="587B5D15">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10.2.1投标人上传电子投标文件的时间不得迟于招标公告中规定的递交招标文件截止时间。</w:t>
      </w:r>
    </w:p>
    <w:p w14:paraId="0F3AA88F">
      <w:pPr>
        <w:overflowPunct w:val="0"/>
        <w:spacing w:line="44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10.2.2投标人应充分考虑到网络环境、网络带宽等风险因素，如因投标人自身原因造成的电子投标文件上传不成功由投标人自行承担全部责任</w:t>
      </w:r>
      <w:r>
        <w:rPr>
          <w:rFonts w:hint="eastAsia" w:ascii="宋体" w:hAnsi="宋体" w:eastAsia="宋体" w:cs="宋体"/>
          <w:bCs/>
          <w:highlight w:val="none"/>
        </w:rPr>
        <w:t>。</w:t>
      </w:r>
    </w:p>
    <w:p w14:paraId="57AA37ED">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10.3迟交的投标文件</w:t>
      </w:r>
    </w:p>
    <w:p w14:paraId="014FBA04">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10.3.1拒绝在规定的投标文件接收截止时间后接收投标文件。：</w:t>
      </w:r>
    </w:p>
    <w:p w14:paraId="52CFB2D3">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10.4 发生下列情况之一的投标文件被视为无效：</w:t>
      </w:r>
    </w:p>
    <w:p w14:paraId="2508BB3D">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与招标文件有重大偏离的投标文件；</w:t>
      </w:r>
    </w:p>
    <w:p w14:paraId="20F1ECCC">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投标文件应盖而未盖公章或非本公司公章的、不按正确位置盖章的；法定代表人授权书、资格声明函等填写不完整或有涂改未加盖公章的；</w:t>
      </w:r>
    </w:p>
    <w:p w14:paraId="02076905">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无“报价一览表”的投标文件；</w:t>
      </w:r>
    </w:p>
    <w:p w14:paraId="7247F91E">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“报价一览表”没有加盖公章的；</w:t>
      </w:r>
    </w:p>
    <w:p w14:paraId="2819BD2A">
      <w:pPr>
        <w:overflowPunct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 未按规定交纳投标保证金的投标文件；</w:t>
      </w:r>
    </w:p>
    <w:p w14:paraId="27CB85BF">
      <w:pPr>
        <w:overflowPunct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（6） 出现影响采购公正的违法违规行为的投标性文件；</w:t>
      </w:r>
    </w:p>
    <w:p w14:paraId="08BBB10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11、投标文件递交截止时间及开标时间和地点</w:t>
      </w:r>
    </w:p>
    <w:p w14:paraId="48E991A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11.1  </w:t>
      </w:r>
      <w:r>
        <w:rPr>
          <w:rFonts w:hint="eastAsia" w:ascii="宋体" w:hAnsi="宋体" w:eastAsia="宋体" w:cs="宋体"/>
          <w:b/>
          <w:bCs/>
          <w:sz w:val="24"/>
          <w:highlight w:val="none"/>
        </w:rPr>
        <w:t>投标人应在投标截止时间前将“电子加密投标文件”成功上传递交至“政府采购云平台”，否则投标无效</w:t>
      </w:r>
      <w:r>
        <w:rPr>
          <w:rFonts w:hint="eastAsia" w:ascii="宋体" w:hAnsi="宋体" w:eastAsia="宋体" w:cs="宋体"/>
          <w:b/>
          <w:sz w:val="24"/>
          <w:highlight w:val="none"/>
        </w:rPr>
        <w:t>。</w:t>
      </w:r>
    </w:p>
    <w:p w14:paraId="5C4929F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  开标时间：同投标文件递交截止时间。</w:t>
      </w:r>
    </w:p>
    <w:p w14:paraId="59C09000">
      <w:pPr>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11.3  开标地点：</w:t>
      </w:r>
      <w:r>
        <w:rPr>
          <w:rFonts w:hint="eastAsia" w:ascii="宋体" w:hAnsi="宋体" w:eastAsia="宋体" w:cs="宋体"/>
          <w:b/>
          <w:color w:val="auto"/>
          <w:sz w:val="24"/>
          <w:highlight w:val="none"/>
          <w:lang w:eastAsia="zh-CN"/>
        </w:rPr>
        <w:t>政采云平台https://www.zcygov.cn/</w:t>
      </w:r>
    </w:p>
    <w:p w14:paraId="3BD092A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11.4  所有投标文件派人送交，都必须在采购方规定的投标截止时间之前送达招标文件指定的地点，在此之后送达的投标文件，为无效投标，投标文件将一律被拒绝。</w:t>
      </w:r>
      <w:r>
        <w:rPr>
          <w:rFonts w:hint="eastAsia" w:ascii="宋体" w:hAnsi="宋体" w:eastAsia="宋体" w:cs="宋体"/>
          <w:color w:val="auto"/>
          <w:sz w:val="24"/>
          <w:highlight w:val="none"/>
          <w:lang w:eastAsia="zh-CN"/>
        </w:rPr>
        <w:t>本项目不接受以邮寄的方式递交投标文件。</w:t>
      </w:r>
    </w:p>
    <w:p w14:paraId="02546E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出现因招标文件的修改而推迟投标截止时间的情况时，投标人则须按采购方的书面修改通知重新规定的投标时间递交。</w:t>
      </w:r>
    </w:p>
    <w:p w14:paraId="3FC8E22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12、投标保证金</w:t>
      </w:r>
    </w:p>
    <w:p w14:paraId="076F7B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投标保证金是为了保护采购方免遭因投标人的行为而蒙受损失</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采购方在因投标人的行为受到损害时可根据本须知的规定没收投标人的投标保证金。</w:t>
      </w:r>
    </w:p>
    <w:p w14:paraId="1844D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投标保证金的货币为人民币，</w:t>
      </w:r>
      <w:r>
        <w:rPr>
          <w:rFonts w:hint="eastAsia" w:ascii="宋体" w:hAnsi="宋体" w:eastAsia="宋体" w:cs="宋体"/>
          <w:color w:val="auto"/>
          <w:sz w:val="24"/>
          <w:highlight w:val="none"/>
          <w:lang w:val="en-US" w:eastAsia="zh-CN"/>
        </w:rPr>
        <w:t>各投标单位自行选择电子保函(通过公共资源交易平台办理)、银行电汇、网银转账、银行保函的方式缴纳投标保证金</w:t>
      </w:r>
      <w:r>
        <w:rPr>
          <w:rFonts w:hint="eastAsia" w:ascii="宋体" w:hAnsi="宋体" w:eastAsia="宋体" w:cs="宋体"/>
          <w:color w:val="auto"/>
          <w:sz w:val="24"/>
          <w:highlight w:val="none"/>
        </w:rPr>
        <w:t>并采用从其基本账户通过网银转账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银行电汇转出</w:t>
      </w:r>
      <w:r>
        <w:rPr>
          <w:rFonts w:hint="eastAsia" w:ascii="宋体" w:hAnsi="宋体" w:eastAsia="宋体" w:cs="宋体"/>
          <w:color w:val="auto"/>
          <w:sz w:val="24"/>
          <w:highlight w:val="none"/>
          <w:lang w:val="en-US" w:eastAsia="zh-CN"/>
        </w:rPr>
        <w:t>或电子保函</w:t>
      </w:r>
      <w:r>
        <w:rPr>
          <w:rFonts w:hint="eastAsia" w:ascii="宋体" w:hAnsi="宋体" w:eastAsia="宋体" w:cs="宋体"/>
          <w:color w:val="auto"/>
          <w:sz w:val="24"/>
          <w:highlight w:val="none"/>
        </w:rPr>
        <w:t>形式缴纳。</w:t>
      </w:r>
      <w:r>
        <w:rPr>
          <w:rFonts w:hint="eastAsia" w:ascii="宋体" w:hAnsi="宋体" w:eastAsia="宋体" w:cs="宋体"/>
          <w:color w:val="auto"/>
          <w:sz w:val="24"/>
          <w:highlight w:val="none"/>
          <w:lang w:val="en-US" w:eastAsia="zh-CN"/>
        </w:rPr>
        <w:t xml:space="preserve">投标保证金的各种缴纳方式均须从总公司基本账户支出，其他账户支出的保证金无效。 </w:t>
      </w:r>
    </w:p>
    <w:p w14:paraId="41F812AC">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12.3  投标保证金金额：</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0000.00（</w:t>
      </w:r>
      <w:r>
        <w:rPr>
          <w:rFonts w:hint="eastAsia" w:ascii="宋体" w:hAnsi="宋体" w:cs="宋体"/>
          <w:b/>
          <w:bCs/>
          <w:color w:val="auto"/>
          <w:sz w:val="24"/>
          <w:highlight w:val="none"/>
          <w:lang w:val="en-US" w:eastAsia="zh-CN"/>
        </w:rPr>
        <w:t>柒</w:t>
      </w:r>
      <w:r>
        <w:rPr>
          <w:rFonts w:hint="eastAsia" w:ascii="宋体" w:hAnsi="宋体" w:eastAsia="宋体" w:cs="宋体"/>
          <w:b/>
          <w:bCs/>
          <w:color w:val="auto"/>
          <w:sz w:val="24"/>
          <w:highlight w:val="none"/>
          <w:lang w:val="en-US" w:eastAsia="zh-CN"/>
        </w:rPr>
        <w:t>万元整）</w:t>
      </w:r>
    </w:p>
    <w:p w14:paraId="1B4A76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  递交投标保证金截止时间：</w:t>
      </w:r>
      <w:r>
        <w:rPr>
          <w:rFonts w:hint="eastAsia" w:ascii="宋体" w:hAnsi="宋体" w:eastAsia="宋体" w:cs="宋体"/>
          <w:b/>
          <w:bCs/>
          <w:color w:val="auto"/>
          <w:sz w:val="24"/>
          <w:highlight w:val="none"/>
        </w:rPr>
        <w:t>同投标文件递交截止时间</w:t>
      </w:r>
      <w:r>
        <w:rPr>
          <w:rFonts w:hint="eastAsia" w:ascii="宋体" w:hAnsi="宋体" w:eastAsia="宋体" w:cs="宋体"/>
          <w:color w:val="auto"/>
          <w:sz w:val="24"/>
          <w:highlight w:val="none"/>
        </w:rPr>
        <w:t>，凡未提交投标保证金的投标，将视为自动放弃投标，投标将被拒绝。</w:t>
      </w:r>
    </w:p>
    <w:p w14:paraId="651F38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12.5  资格审查时没有提供投标保证金递交证明原件的投标</w:t>
      </w:r>
      <w:r>
        <w:rPr>
          <w:rFonts w:hint="eastAsia" w:ascii="宋体" w:hAnsi="宋体" w:cs="宋体"/>
          <w:color w:val="auto"/>
          <w:sz w:val="24"/>
          <w:highlight w:val="none"/>
          <w:lang w:eastAsia="zh-CN"/>
        </w:rPr>
        <w:t>（保证金转账凭证</w:t>
      </w:r>
      <w:r>
        <w:rPr>
          <w:rFonts w:hint="eastAsia" w:ascii="宋体" w:hAnsi="宋体" w:cs="宋体"/>
          <w:color w:val="auto"/>
          <w:sz w:val="24"/>
          <w:highlight w:val="none"/>
          <w:lang w:val="en-US" w:eastAsia="zh-CN"/>
        </w:rPr>
        <w:t>或保函凭证</w:t>
      </w:r>
      <w:r>
        <w:rPr>
          <w:rFonts w:hint="eastAsia" w:ascii="宋体" w:hAnsi="宋体" w:cs="宋体"/>
          <w:color w:val="auto"/>
          <w:sz w:val="24"/>
          <w:highlight w:val="none"/>
          <w:lang w:eastAsia="zh-CN"/>
        </w:rPr>
        <w:t>需法人签字</w:t>
      </w:r>
      <w:r>
        <w:rPr>
          <w:rFonts w:hint="eastAsia" w:ascii="宋体" w:hAnsi="宋体" w:cs="宋体"/>
          <w:color w:val="auto"/>
          <w:sz w:val="24"/>
          <w:highlight w:val="none"/>
          <w:lang w:val="en-US" w:eastAsia="zh-CN"/>
        </w:rPr>
        <w:t>确认</w:t>
      </w:r>
      <w:r>
        <w:rPr>
          <w:rFonts w:hint="eastAsia" w:ascii="宋体" w:hAnsi="宋体" w:cs="宋体"/>
          <w:color w:val="auto"/>
          <w:sz w:val="24"/>
          <w:highlight w:val="none"/>
          <w:lang w:eastAsia="zh-CN"/>
        </w:rPr>
        <w:t>；后附单位基本账户信息）</w:t>
      </w:r>
      <w:r>
        <w:rPr>
          <w:rFonts w:hint="eastAsia" w:ascii="宋体" w:hAnsi="宋体" w:eastAsia="宋体" w:cs="宋体"/>
          <w:color w:val="auto"/>
          <w:sz w:val="24"/>
          <w:highlight w:val="none"/>
        </w:rPr>
        <w:t>，将被视为非响应性投标予以拒绝。</w:t>
      </w:r>
    </w:p>
    <w:p w14:paraId="274EC9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 下列任何情况发生时，投标保证金将被没收。</w:t>
      </w:r>
    </w:p>
    <w:p w14:paraId="3EB1B60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投标人在投标截止期后，招标有效期内撤回投标；</w:t>
      </w:r>
    </w:p>
    <w:p w14:paraId="1B959E4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中标方未按投标人须知规定缴纳招标代理费；</w:t>
      </w:r>
    </w:p>
    <w:p w14:paraId="5A7E74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以他人名义投标或者以其他方式弄虚作假，骗取</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w:t>
      </w:r>
    </w:p>
    <w:p w14:paraId="2894CD1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打架斗殴，扰乱招标标场秩序；</w:t>
      </w:r>
    </w:p>
    <w:p w14:paraId="49987D4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  本招标文件中或《政府采购货物和服务招标投标管理办法》第七十五条规定的其他不予退还投标保证金的情形。</w:t>
      </w:r>
    </w:p>
    <w:p w14:paraId="27F6A96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上述不予退还投标保证金的情况并给代理机构造成损失的，还要承担赔偿责任。</w:t>
      </w:r>
    </w:p>
    <w:p w14:paraId="4581D0F3">
      <w:pPr>
        <w:spacing w:line="360" w:lineRule="auto"/>
        <w:ind w:firstLine="480" w:firstLineChars="200"/>
        <w:rPr>
          <w:rFonts w:hint="eastAsia" w:ascii="宋体" w:hAnsi="宋体" w:eastAsia="宋体" w:cs="宋体"/>
          <w:color w:val="auto"/>
          <w:sz w:val="24"/>
          <w:highlight w:val="none"/>
        </w:rPr>
      </w:pPr>
    </w:p>
    <w:p w14:paraId="1807A284">
      <w:pPr>
        <w:pStyle w:val="3"/>
        <w:spacing w:line="360" w:lineRule="auto"/>
        <w:jc w:val="center"/>
        <w:rPr>
          <w:rFonts w:hint="eastAsia" w:ascii="宋体" w:hAnsi="宋体" w:eastAsia="宋体" w:cs="宋体"/>
          <w:color w:val="auto"/>
          <w:sz w:val="28"/>
          <w:szCs w:val="28"/>
          <w:highlight w:val="none"/>
        </w:rPr>
      </w:pPr>
      <w:bookmarkStart w:id="36" w:name="_Toc5715650"/>
      <w:r>
        <w:rPr>
          <w:rFonts w:hint="eastAsia" w:ascii="宋体" w:hAnsi="宋体" w:eastAsia="宋体" w:cs="宋体"/>
          <w:color w:val="auto"/>
          <w:sz w:val="28"/>
          <w:szCs w:val="28"/>
          <w:highlight w:val="none"/>
        </w:rPr>
        <w:t>第四章  开标</w:t>
      </w:r>
      <w:bookmarkEnd w:id="36"/>
    </w:p>
    <w:p w14:paraId="1FE5B685">
      <w:pPr>
        <w:spacing w:line="360" w:lineRule="auto"/>
        <w:ind w:firstLine="480" w:firstLineChars="200"/>
        <w:jc w:val="left"/>
        <w:rPr>
          <w:rFonts w:hint="eastAsia" w:ascii="宋体" w:hAnsi="宋体" w:eastAsia="宋体" w:cs="宋体"/>
          <w:b/>
          <w:color w:val="auto"/>
          <w:sz w:val="24"/>
          <w:highlight w:val="none"/>
          <w:lang w:bidi="en-US"/>
        </w:rPr>
      </w:pPr>
      <w:r>
        <w:rPr>
          <w:rFonts w:hint="eastAsia" w:ascii="宋体" w:hAnsi="宋体" w:eastAsia="宋体" w:cs="宋体"/>
          <w:b/>
          <w:color w:val="auto"/>
          <w:sz w:val="24"/>
          <w:highlight w:val="none"/>
          <w:lang w:bidi="en-US"/>
        </w:rPr>
        <w:t>13.开标</w:t>
      </w:r>
    </w:p>
    <w:p w14:paraId="27F22CF4">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sz w:val="24"/>
          <w:highlight w:val="none"/>
          <w:lang w:bidi="en-US"/>
        </w:rPr>
        <w:t>13.1</w:t>
      </w:r>
      <w:r>
        <w:rPr>
          <w:rFonts w:hint="eastAsia" w:ascii="宋体" w:hAnsi="宋体" w:eastAsia="宋体" w:cs="宋体"/>
          <w:color w:val="000000"/>
          <w:sz w:val="24"/>
          <w:highlight w:val="none"/>
        </w:rPr>
        <w:t>采购代理机构在招标文件规定的时间和地点组织招标活动，邀请下载招标文件并参与竞争的投标人参加开标，投标人未参加开标的，视同认可开标结果。</w:t>
      </w:r>
    </w:p>
    <w:p w14:paraId="37E3BCE8">
      <w:pPr>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投标人不足3家的，不得开标。</w:t>
      </w:r>
    </w:p>
    <w:p w14:paraId="638D57CF">
      <w:pPr>
        <w:spacing w:line="360" w:lineRule="auto"/>
        <w:ind w:firstLine="360" w:firstLineChars="150"/>
        <w:jc w:val="left"/>
        <w:rPr>
          <w:rFonts w:hint="eastAsia" w:ascii="宋体" w:hAnsi="宋体" w:eastAsia="宋体" w:cs="宋体"/>
          <w:b/>
          <w:color w:val="auto"/>
          <w:sz w:val="24"/>
          <w:highlight w:val="none"/>
          <w:lang w:bidi="en-US"/>
        </w:rPr>
      </w:pPr>
      <w:r>
        <w:rPr>
          <w:rFonts w:hint="eastAsia" w:ascii="宋体" w:hAnsi="宋体" w:eastAsia="宋体" w:cs="宋体"/>
          <w:b/>
          <w:color w:val="auto"/>
          <w:sz w:val="24"/>
          <w:highlight w:val="none"/>
          <w:lang w:bidi="en-US"/>
        </w:rPr>
        <w:t>14.招标会议程序：</w:t>
      </w:r>
    </w:p>
    <w:p w14:paraId="541F6CEA">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14.1 开标一般按照以下程序进行：</w:t>
      </w:r>
    </w:p>
    <w:p w14:paraId="46629C80">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1、在招标文件确定的投标截止时间停止接受投标文件。记录人将“投标文件递交记录表”提交开标会主持人，确认投标人数量是否符合开标要求；</w:t>
      </w:r>
    </w:p>
    <w:p w14:paraId="420AFF4A">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2、主持人宣布开标会开始，宣布开标纪律；</w:t>
      </w:r>
    </w:p>
    <w:p w14:paraId="1A410529">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3、公布在投标截止时间递交投标文件的投标人名称；</w:t>
      </w:r>
    </w:p>
    <w:p w14:paraId="5ACCB2DC">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4、宣布主持人、开标人、唱标人、记录人、监督人、公证机构等工作人员姓名；</w:t>
      </w:r>
    </w:p>
    <w:p w14:paraId="28106D21">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val="en-US" w:eastAsia="zh-CN" w:bidi="en-US"/>
        </w:rPr>
        <w:t>5</w:t>
      </w:r>
      <w:r>
        <w:rPr>
          <w:rFonts w:hint="eastAsia" w:ascii="宋体" w:hAnsi="宋体" w:eastAsia="宋体" w:cs="宋体"/>
          <w:sz w:val="24"/>
          <w:highlight w:val="none"/>
          <w:lang w:bidi="en-US"/>
        </w:rPr>
        <w:t>、</w:t>
      </w:r>
      <w:r>
        <w:rPr>
          <w:rFonts w:hint="eastAsia" w:ascii="宋体" w:hAnsi="宋体" w:eastAsia="宋体" w:cs="宋体"/>
          <w:sz w:val="24"/>
          <w:highlight w:val="none"/>
          <w:lang w:eastAsia="zh-CN" w:bidi="en-US"/>
        </w:rPr>
        <w:t>电子解密</w:t>
      </w:r>
      <w:r>
        <w:rPr>
          <w:rFonts w:hint="eastAsia" w:ascii="宋体" w:hAnsi="宋体" w:eastAsia="宋体" w:cs="宋体"/>
          <w:sz w:val="24"/>
          <w:highlight w:val="none"/>
          <w:lang w:bidi="en-US"/>
        </w:rPr>
        <w:t>、唱标人公布投标人名称、投标报价及其他内容；</w:t>
      </w:r>
    </w:p>
    <w:p w14:paraId="66DE492D">
      <w:pPr>
        <w:spacing w:line="440" w:lineRule="exact"/>
        <w:ind w:firstLine="360" w:firstLineChars="150"/>
        <w:rPr>
          <w:rFonts w:hint="eastAsia" w:ascii="宋体" w:hAnsi="宋体" w:eastAsia="宋体" w:cs="宋体"/>
          <w:color w:val="auto"/>
          <w:sz w:val="24"/>
          <w:highlight w:val="none"/>
          <w:lang w:bidi="en-US"/>
        </w:rPr>
      </w:pPr>
      <w:r>
        <w:rPr>
          <w:rFonts w:hint="eastAsia" w:ascii="宋体" w:hAnsi="宋体" w:eastAsia="宋体" w:cs="宋体"/>
          <w:sz w:val="24"/>
          <w:highlight w:val="none"/>
          <w:lang w:val="en-US" w:eastAsia="zh-CN" w:bidi="en-US"/>
        </w:rPr>
        <w:t>6</w:t>
      </w:r>
      <w:r>
        <w:rPr>
          <w:rFonts w:hint="eastAsia" w:ascii="宋体" w:hAnsi="宋体" w:eastAsia="宋体" w:cs="宋体"/>
          <w:sz w:val="24"/>
          <w:highlight w:val="none"/>
          <w:lang w:bidi="en-US"/>
        </w:rPr>
        <w:t>、开标结束，进行评标。招标人或者招标代理机构应当对上述开标过程做好记录，存档备查。</w:t>
      </w:r>
    </w:p>
    <w:p w14:paraId="6806EAF5">
      <w:pPr>
        <w:spacing w:line="360" w:lineRule="auto"/>
        <w:ind w:firstLine="360" w:firstLineChars="150"/>
        <w:rPr>
          <w:rFonts w:hint="eastAsia" w:ascii="宋体" w:hAnsi="宋体" w:eastAsia="宋体" w:cs="宋体"/>
          <w:color w:val="auto"/>
          <w:sz w:val="24"/>
          <w:highlight w:val="none"/>
          <w:lang w:bidi="en-US"/>
        </w:rPr>
      </w:pPr>
      <w:r>
        <w:rPr>
          <w:rFonts w:hint="eastAsia" w:ascii="宋体" w:hAnsi="宋体" w:eastAsia="宋体" w:cs="宋体"/>
          <w:color w:val="auto"/>
          <w:sz w:val="24"/>
          <w:highlight w:val="none"/>
          <w:lang w:bidi="en-US"/>
        </w:rPr>
        <w:t>14.2  有下列情形之一的，监督人应当场宣布投标无效：</w:t>
      </w:r>
    </w:p>
    <w:p w14:paraId="4140BB24">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1、投标人资质审查未通过的；</w:t>
      </w:r>
    </w:p>
    <w:p w14:paraId="17A580F8">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2、投标保证金提交不符合规定的；</w:t>
      </w:r>
    </w:p>
    <w:p w14:paraId="5161BE43">
      <w:pPr>
        <w:spacing w:line="440" w:lineRule="exact"/>
        <w:ind w:firstLine="360" w:firstLineChars="150"/>
        <w:rPr>
          <w:rFonts w:hint="eastAsia" w:ascii="宋体" w:hAnsi="宋体" w:eastAsia="宋体" w:cs="宋体"/>
          <w:sz w:val="24"/>
          <w:highlight w:val="none"/>
          <w:lang w:bidi="en-US"/>
        </w:rPr>
      </w:pPr>
      <w:r>
        <w:rPr>
          <w:rFonts w:hint="eastAsia" w:ascii="宋体" w:hAnsi="宋体" w:eastAsia="宋体" w:cs="宋体"/>
          <w:sz w:val="24"/>
          <w:highlight w:val="none"/>
          <w:lang w:bidi="en-US"/>
        </w:rPr>
        <w:t>3、投标总报价高于招标控制价（即最高投标限价）的。</w:t>
      </w:r>
    </w:p>
    <w:p w14:paraId="01172C95">
      <w:pPr>
        <w:spacing w:line="440" w:lineRule="exact"/>
        <w:ind w:firstLine="360" w:firstLineChars="150"/>
        <w:rPr>
          <w:rFonts w:hint="eastAsia" w:ascii="宋体" w:hAnsi="宋体" w:eastAsia="宋体" w:cs="宋体"/>
          <w:sz w:val="24"/>
          <w:highlight w:val="none"/>
          <w:lang w:bidi="zh-CN"/>
        </w:rPr>
      </w:pPr>
      <w:r>
        <w:rPr>
          <w:rFonts w:hint="eastAsia" w:ascii="宋体" w:hAnsi="宋体" w:eastAsia="宋体" w:cs="宋体"/>
          <w:sz w:val="24"/>
          <w:highlight w:val="none"/>
          <w:lang w:bidi="en-US"/>
        </w:rPr>
        <w:t xml:space="preserve">14.3 </w:t>
      </w:r>
      <w:r>
        <w:rPr>
          <w:rFonts w:hint="eastAsia" w:ascii="宋体" w:hAnsi="宋体" w:eastAsia="宋体" w:cs="宋体"/>
          <w:sz w:val="24"/>
          <w:highlight w:val="none"/>
          <w:lang w:bidi="zh-CN"/>
        </w:rPr>
        <w:t>在评审过程中，评审小组可以根据招标文件和招标情况变动采购需求中的技术、服务要求以及合同草案条款，但不得变动招标文件中的实质性内容。对招标文件作出的变动是招标文件的有效组成部分，评审小组应当及时以书面形式同时通知所有参加投标的投标人。投标人应当按照招标文件的变动情况和评审小组的要求重新提交投标文件，并由其法定代表人或授权代表签字或者加盖公章。由授权代表签字的，应当附法定代表人授权书。投标人为自然人的，应当由本人签字并附身份证明。</w:t>
      </w:r>
    </w:p>
    <w:p w14:paraId="06E49C17">
      <w:pPr>
        <w:rPr>
          <w:rFonts w:hint="eastAsia" w:ascii="宋体" w:hAnsi="宋体" w:eastAsia="宋体" w:cs="宋体"/>
          <w:highlight w:val="none"/>
        </w:rPr>
      </w:pPr>
    </w:p>
    <w:p w14:paraId="6656A77B">
      <w:pPr>
        <w:pStyle w:val="3"/>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第五章  定标</w:t>
      </w:r>
    </w:p>
    <w:p w14:paraId="7A9F5FF7">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15、定标标准</w:t>
      </w:r>
    </w:p>
    <w:p w14:paraId="05E00D13">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15.1  由评审小组采用综合评分法对投标人的投标文件和报价进行综合评分。综合评分法，是指投标文件满足招标文件全部实质性要求且按评审因素的量化指标评审得分最高的投标人为中标候选投标人的评审方法。</w:t>
      </w:r>
    </w:p>
    <w:p w14:paraId="1E5FFB97">
      <w:pPr>
        <w:spacing w:line="360" w:lineRule="auto"/>
        <w:ind w:firstLine="472" w:firstLineChars="200"/>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 xml:space="preserve">15.1.1 </w:t>
      </w:r>
      <w:r>
        <w:rPr>
          <w:rFonts w:hint="eastAsia" w:ascii="宋体" w:hAnsi="宋体" w:eastAsia="宋体" w:cs="宋体"/>
          <w:color w:val="auto"/>
          <w:spacing w:val="-2"/>
          <w:sz w:val="24"/>
          <w:highlight w:val="none"/>
          <w:lang w:val="en-US" w:eastAsia="zh-CN"/>
        </w:rPr>
        <w:t xml:space="preserve"> </w:t>
      </w:r>
      <w:r>
        <w:rPr>
          <w:rFonts w:hint="eastAsia" w:ascii="宋体" w:hAnsi="宋体" w:eastAsia="宋体" w:cs="宋体"/>
          <w:color w:val="auto"/>
          <w:spacing w:val="-2"/>
          <w:sz w:val="24"/>
          <w:highlight w:val="none"/>
        </w:rPr>
        <w:t>评标基准价为有效报价的最低价，即所有算术修正后的投标报价由低到高进行排序，除报价明显低于其他通过符合性审查投标人的报价又不能做出合理解释的投标报价被拒绝外，其满足招标文件要求且投标价格最低的投标报价为评标基准价，其价格分为满分。其他投标人的价格分统一按照下列公式计算：</w:t>
      </w:r>
    </w:p>
    <w:p w14:paraId="0593D894">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lang w:val="en-US" w:eastAsia="zh-CN"/>
        </w:rPr>
        <w:t xml:space="preserve">    </w:t>
      </w:r>
      <w:r>
        <w:rPr>
          <w:rFonts w:hint="eastAsia" w:ascii="宋体" w:hAnsi="宋体" w:eastAsia="宋体" w:cs="宋体"/>
          <w:color w:val="auto"/>
          <w:spacing w:val="-2"/>
          <w:sz w:val="24"/>
          <w:highlight w:val="none"/>
        </w:rPr>
        <w:t xml:space="preserve">投标报价得分=(评标基准价／投标报价)×价格分值×100% </w:t>
      </w:r>
    </w:p>
    <w:p w14:paraId="0E10582D">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15.1.2  评标过程中，不得去掉报价中的最高报价和最低报价。</w:t>
      </w:r>
    </w:p>
    <w:p w14:paraId="484ECF46">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15.1.3  评审小组根据依据此原则按由高到低排序向采购人推荐1-3家投标中标候选人,或拒绝所有投标人，采购人根据专家推荐意见与建议，确定和公布最终中标投标人。</w:t>
      </w:r>
    </w:p>
    <w:p w14:paraId="4DCB9050">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15.2  原则上应将排名第一的投标人确定为中标投标人，若有以下情形之一者也可确定推荐排名第二的投标人为中标人：</w:t>
      </w:r>
    </w:p>
    <w:p w14:paraId="054BE008">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15.2.1 排名第一的中标候选人放弃中标；</w:t>
      </w:r>
    </w:p>
    <w:p w14:paraId="5FD1F0B7">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15.2.2 排名第一的中标候选人因不可抗力提出不能履行合同。</w:t>
      </w:r>
    </w:p>
    <w:p w14:paraId="7554CD13">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15.2.3 在接到中标通知</w:t>
      </w:r>
      <w:r>
        <w:rPr>
          <w:rFonts w:hint="eastAsia" w:ascii="宋体" w:hAnsi="宋体" w:eastAsia="宋体" w:cs="宋体"/>
          <w:color w:val="auto"/>
          <w:spacing w:val="-2"/>
          <w:sz w:val="24"/>
          <w:highlight w:val="none"/>
          <w:lang w:val="en-US" w:eastAsia="zh-CN"/>
        </w:rPr>
        <w:t>30</w:t>
      </w:r>
      <w:r>
        <w:rPr>
          <w:rFonts w:hint="eastAsia" w:ascii="宋体" w:hAnsi="宋体" w:eastAsia="宋体" w:cs="宋体"/>
          <w:color w:val="auto"/>
          <w:spacing w:val="-2"/>
          <w:sz w:val="24"/>
          <w:highlight w:val="none"/>
        </w:rPr>
        <w:t>日内第一中标排序人未能如期签订合同。如果第二中标排序人不能满足此条要求（满足其他中标条件），采购人选择与中标排名第三的中标候选人进行技术、商务评审。</w:t>
      </w:r>
    </w:p>
    <w:p w14:paraId="2637CC71">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15.3  评审组无义务向投标人进行任何有关招标、评审的解释工作。</w:t>
      </w:r>
    </w:p>
    <w:p w14:paraId="70A70BF7">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15.4  在确定和公布最终中标中标人前，采购人认为必要时，可以对认为有必要了解或核实的问题进行考查、核实。</w:t>
      </w:r>
    </w:p>
    <w:p w14:paraId="03604B6E">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15.5  如果确定该投标人无条件圆满履行合同，评审小组将对下一个可能中标的投标人资格做出类似的审查。</w:t>
      </w:r>
    </w:p>
    <w:p w14:paraId="0AA5401E">
      <w:pPr>
        <w:spacing w:line="360" w:lineRule="auto"/>
        <w:ind w:firstLine="472" w:firstLineChars="200"/>
        <w:rPr>
          <w:rFonts w:hint="eastAsia" w:ascii="宋体" w:hAnsi="宋体" w:eastAsia="宋体" w:cs="宋体"/>
          <w:b/>
          <w:color w:val="auto"/>
          <w:spacing w:val="-2"/>
          <w:sz w:val="24"/>
          <w:highlight w:val="none"/>
        </w:rPr>
      </w:pPr>
      <w:r>
        <w:rPr>
          <w:rFonts w:hint="eastAsia" w:ascii="宋体" w:hAnsi="宋体" w:eastAsia="宋体" w:cs="宋体"/>
          <w:b/>
          <w:color w:val="auto"/>
          <w:spacing w:val="-2"/>
          <w:sz w:val="24"/>
          <w:highlight w:val="none"/>
        </w:rPr>
        <w:t>16. 结果公示</w:t>
      </w:r>
    </w:p>
    <w:p w14:paraId="2188CF84">
      <w:pPr>
        <w:spacing w:line="360" w:lineRule="auto"/>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依法必须进行招标的项目，招标人在“新疆政府采购网”公示中标候选人。公示内容包括：中标候选人及其投标报价、评标委员会成员。公示期一个工作日。</w:t>
      </w:r>
    </w:p>
    <w:p w14:paraId="63AEB174">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17、中标通知书</w:t>
      </w:r>
    </w:p>
    <w:p w14:paraId="68C2F2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公示期若无异议，</w:t>
      </w:r>
      <w:r>
        <w:rPr>
          <w:rFonts w:hint="eastAsia" w:ascii="宋体" w:hAnsi="宋体" w:eastAsia="宋体" w:cs="宋体"/>
          <w:color w:val="auto"/>
          <w:sz w:val="24"/>
          <w:highlight w:val="none"/>
          <w:lang w:eastAsia="zh-CN"/>
        </w:rPr>
        <w:t>新疆蒙泰工程项目管理有限公司</w:t>
      </w:r>
      <w:r>
        <w:rPr>
          <w:rFonts w:hint="eastAsia" w:ascii="宋体" w:hAnsi="宋体" w:eastAsia="宋体" w:cs="宋体"/>
          <w:color w:val="auto"/>
          <w:sz w:val="24"/>
          <w:highlight w:val="none"/>
        </w:rPr>
        <w:t>将以书面形式发出《中标通知书》。《中标通知书》将作为签订合同的依据。</w:t>
      </w:r>
    </w:p>
    <w:p w14:paraId="58D42AC1">
      <w:pPr>
        <w:pStyle w:val="3"/>
        <w:spacing w:line="360" w:lineRule="auto"/>
        <w:jc w:val="center"/>
        <w:rPr>
          <w:rFonts w:hint="eastAsia" w:ascii="宋体" w:hAnsi="宋体" w:eastAsia="宋体" w:cs="宋体"/>
          <w:color w:val="auto"/>
          <w:sz w:val="28"/>
          <w:szCs w:val="28"/>
          <w:highlight w:val="none"/>
        </w:rPr>
      </w:pPr>
    </w:p>
    <w:p w14:paraId="79324B6B">
      <w:pPr>
        <w:pStyle w:val="3"/>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第六章  授予合同</w:t>
      </w:r>
    </w:p>
    <w:p w14:paraId="61FAB7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18、签订合同</w:t>
      </w:r>
    </w:p>
    <w:p w14:paraId="138CC2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方收到采购方的《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通知书》后</w:t>
      </w:r>
      <w:r>
        <w:rPr>
          <w:rFonts w:hint="eastAsia" w:ascii="宋体" w:hAnsi="宋体" w:eastAsia="宋体" w:cs="宋体"/>
          <w:color w:val="auto"/>
          <w:sz w:val="24"/>
          <w:highlight w:val="none"/>
          <w:lang w:val="en-US" w:eastAsia="zh-CN"/>
        </w:rPr>
        <w:t>30日内</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文件的约定和</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人响应文件中的承诺与采购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签订书面合同，所签订的合同不得对</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文件和</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人的响应文件作实质性修改。</w:t>
      </w:r>
    </w:p>
    <w:p w14:paraId="497C21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18.2采购方在授予合同时，有权对招标文件中规定的货物和服务的数量在10%的幅度内予以增加或减少。但不得对单价更改。</w:t>
      </w:r>
    </w:p>
    <w:p w14:paraId="2095F9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18.3如中标方拒签合同，则按违约处理。采购方没收其投标保证金。</w:t>
      </w:r>
    </w:p>
    <w:p w14:paraId="565C04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18.4招标文件、中标人投标文件及其澄清文件等，均为签订经济合同的依据。</w:t>
      </w:r>
    </w:p>
    <w:p w14:paraId="6C4B6137">
      <w:pPr>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18.5不允许中标人将中标项目分包或转交他人承担，特殊情况下，中标人必须与采购方协商后共同决定将合同标的中的部分由第三方承担供货和服务责任，但中标人必须对合同标的全部内容向采购方负责，并保证第三方提供的供货和服务符合招标文件的约定和投标文件的承诺及相关约定。</w:t>
      </w:r>
    </w:p>
    <w:p w14:paraId="582D2D81">
      <w:pPr>
        <w:pStyle w:val="3"/>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第七章 质疑</w:t>
      </w:r>
    </w:p>
    <w:p w14:paraId="217C29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19.质疑</w:t>
      </w:r>
    </w:p>
    <w:p w14:paraId="062EA4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采购程序受《中华人民共和国政府采购法》、《政府采购法实施条例》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《政府采购货物和服务招标投标管理办法》（财政部第87号令）和相关法律法规的约束，并受到严格的内部监督，以确保授予合同过程的公平、公正。</w:t>
      </w:r>
    </w:p>
    <w:p w14:paraId="6F355A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投标人已经参与了投标，并于开标后对招标文件提出质疑的，其质疑应当被视为无效质疑。</w:t>
      </w:r>
    </w:p>
    <w:p w14:paraId="1D22FD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  投标人对开标过程（接受投标文件、查验投标人资格、开标唱标）有异议的，应当在开标现场提出，由监督组及招标人、招标代理机构作出答复或更正，对开标过程未提出质疑的，在开标程序结束后或招标工作结束后，其对开标过程的质疑视为无效。</w:t>
      </w:r>
    </w:p>
    <w:p w14:paraId="045619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  投标人认为中标结果使自己的权益受到损害的，可以在知道或者应知其权益受到损害之日起七个工作日内，以书面形式向代理机构提出质疑。</w:t>
      </w:r>
    </w:p>
    <w:p w14:paraId="057EE8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  质疑应严格按照招标程序以质疑函书面格式向代理机构提出，质疑函须经法定代表人签字并加盖公章。</w:t>
      </w:r>
    </w:p>
    <w:p w14:paraId="651271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  按照“谁主张、谁举证”的原则，质疑时应当提供相关证明材料。质疑材料按照一式二份提供。</w:t>
      </w:r>
    </w:p>
    <w:p w14:paraId="033139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19.7  有下列情形之一的，属于无效质疑，代理机构可不予受理：</w:t>
      </w:r>
    </w:p>
    <w:p w14:paraId="1A325E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 未在有效期限内提出质疑的；</w:t>
      </w:r>
    </w:p>
    <w:p w14:paraId="31CE95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 质疑未以书面形式提出的；</w:t>
      </w:r>
    </w:p>
    <w:p w14:paraId="21BA67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 质疑函没有法定代表人签署并加盖单位公章的；</w:t>
      </w:r>
    </w:p>
    <w:p w14:paraId="25C923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 质疑事项已经进入投诉或者诉讼程序的；</w:t>
      </w:r>
    </w:p>
    <w:p w14:paraId="631AB5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 其它不符合受理条件的情形。</w:t>
      </w:r>
    </w:p>
    <w:p w14:paraId="2547B9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19.8  代理机构将在收到书面质疑后7个工作日内作出答复或相关处理决定，并以书面形式通知质疑投标企业和其他有关部门。</w:t>
      </w:r>
    </w:p>
    <w:p w14:paraId="7462AA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19.9  投标人进行虚假和恶意质疑的，代理机构可以提请行业行政监管部门将其列入不良记录名单，在一至三年内禁止参加本地区招投标活动，并将处理决定在相关媒体上公布。</w:t>
      </w:r>
    </w:p>
    <w:p w14:paraId="33542B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19.10 投标人对代理机构的答复不满意以及代理机构未在规定的时间内做出答复的，可以在答复期满后15个工作日内向行业行政监管部门进行投诉。</w:t>
      </w:r>
    </w:p>
    <w:p w14:paraId="6C04195B">
      <w:pPr>
        <w:pStyle w:val="2"/>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bookmarkStart w:id="37" w:name="_Toc5715654"/>
      <w:r>
        <w:rPr>
          <w:rFonts w:hint="eastAsia" w:ascii="宋体" w:hAnsi="宋体" w:eastAsia="宋体" w:cs="宋体"/>
          <w:color w:val="auto"/>
          <w:sz w:val="32"/>
          <w:szCs w:val="32"/>
          <w:highlight w:val="none"/>
        </w:rPr>
        <w:t>第四部分  采购货物清单及技术规格要求</w:t>
      </w:r>
      <w:bookmarkEnd w:id="37"/>
    </w:p>
    <w:tbl>
      <w:tblPr>
        <w:tblStyle w:val="47"/>
        <w:tblW w:w="95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362"/>
        <w:gridCol w:w="3159"/>
        <w:gridCol w:w="909"/>
        <w:gridCol w:w="431"/>
        <w:gridCol w:w="538"/>
        <w:gridCol w:w="169"/>
        <w:gridCol w:w="2121"/>
        <w:gridCol w:w="130"/>
        <w:gridCol w:w="31"/>
      </w:tblGrid>
      <w:tr w14:paraId="1185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444" w:hRule="atLeast"/>
        </w:trPr>
        <w:tc>
          <w:tcPr>
            <w:tcW w:w="9532" w:type="dxa"/>
            <w:gridSpan w:val="9"/>
            <w:tcBorders>
              <w:top w:val="nil"/>
              <w:left w:val="nil"/>
              <w:bottom w:val="nil"/>
              <w:right w:val="nil"/>
            </w:tcBorders>
            <w:shd w:val="clear" w:color="auto" w:fill="auto"/>
            <w:vAlign w:val="top"/>
          </w:tcPr>
          <w:p w14:paraId="70849E93">
            <w:pPr>
              <w:keepNext w:val="0"/>
              <w:keepLines w:val="0"/>
              <w:widowControl/>
              <w:suppressLineNumbers w:val="0"/>
              <w:jc w:val="center"/>
              <w:rPr>
                <w:rFonts w:hint="eastAsia" w:ascii="宋体" w:hAnsi="宋体" w:eastAsia="宋体" w:cs="宋体"/>
                <w:b/>
                <w:bCs/>
                <w:i w:val="0"/>
                <w:iCs w:val="0"/>
                <w:color w:val="000000"/>
                <w:sz w:val="26"/>
                <w:szCs w:val="26"/>
                <w:highlight w:val="none"/>
                <w:u w:val="none"/>
              </w:rPr>
            </w:pPr>
            <w:r>
              <w:rPr>
                <w:rFonts w:hint="eastAsia" w:ascii="宋体" w:hAnsi="宋体" w:eastAsia="宋体" w:cs="宋体"/>
                <w:b/>
                <w:bCs/>
                <w:i w:val="0"/>
                <w:iCs w:val="0"/>
                <w:color w:val="000000"/>
                <w:kern w:val="0"/>
                <w:sz w:val="26"/>
                <w:szCs w:val="26"/>
                <w:highlight w:val="none"/>
                <w:u w:val="none"/>
                <w:lang w:val="en-US" w:eastAsia="zh-CN" w:bidi="ar"/>
              </w:rPr>
              <w:t>500T/D调节池及回用池配套设备清单</w:t>
            </w:r>
          </w:p>
        </w:tc>
      </w:tr>
      <w:tr w14:paraId="6469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222" w:hRule="atLeast"/>
        </w:trPr>
        <w:tc>
          <w:tcPr>
            <w:tcW w:w="713" w:type="dxa"/>
            <w:tcBorders>
              <w:top w:val="nil"/>
              <w:left w:val="nil"/>
              <w:bottom w:val="nil"/>
              <w:right w:val="nil"/>
            </w:tcBorders>
            <w:shd w:val="clear" w:color="auto" w:fill="auto"/>
            <w:vAlign w:val="top"/>
          </w:tcPr>
          <w:p w14:paraId="617A6F6A">
            <w:pPr>
              <w:jc w:val="both"/>
              <w:rPr>
                <w:rFonts w:hint="eastAsia" w:ascii="宋体" w:hAnsi="宋体" w:eastAsia="宋体" w:cs="宋体"/>
                <w:i w:val="0"/>
                <w:iCs w:val="0"/>
                <w:color w:val="000000"/>
                <w:sz w:val="22"/>
                <w:szCs w:val="22"/>
                <w:highlight w:val="none"/>
                <w:u w:val="none"/>
              </w:rPr>
            </w:pPr>
          </w:p>
        </w:tc>
        <w:tc>
          <w:tcPr>
            <w:tcW w:w="1362" w:type="dxa"/>
            <w:tcBorders>
              <w:top w:val="nil"/>
              <w:left w:val="nil"/>
              <w:bottom w:val="nil"/>
              <w:right w:val="nil"/>
            </w:tcBorders>
            <w:shd w:val="clear" w:color="auto" w:fill="auto"/>
            <w:vAlign w:val="top"/>
          </w:tcPr>
          <w:p w14:paraId="102136C3">
            <w:pPr>
              <w:jc w:val="both"/>
              <w:rPr>
                <w:rFonts w:hint="eastAsia" w:ascii="宋体" w:hAnsi="宋体" w:eastAsia="宋体" w:cs="宋体"/>
                <w:i w:val="0"/>
                <w:iCs w:val="0"/>
                <w:color w:val="000000"/>
                <w:sz w:val="22"/>
                <w:szCs w:val="22"/>
                <w:highlight w:val="none"/>
                <w:u w:val="none"/>
              </w:rPr>
            </w:pPr>
          </w:p>
        </w:tc>
        <w:tc>
          <w:tcPr>
            <w:tcW w:w="3159" w:type="dxa"/>
            <w:tcBorders>
              <w:top w:val="nil"/>
              <w:left w:val="nil"/>
              <w:bottom w:val="nil"/>
              <w:right w:val="nil"/>
            </w:tcBorders>
            <w:shd w:val="clear" w:color="auto" w:fill="auto"/>
            <w:vAlign w:val="top"/>
          </w:tcPr>
          <w:p w14:paraId="13EDB963">
            <w:pPr>
              <w:jc w:val="both"/>
              <w:rPr>
                <w:rFonts w:hint="eastAsia" w:ascii="宋体" w:hAnsi="宋体" w:eastAsia="宋体" w:cs="宋体"/>
                <w:i w:val="0"/>
                <w:iCs w:val="0"/>
                <w:color w:val="000000"/>
                <w:sz w:val="22"/>
                <w:szCs w:val="22"/>
                <w:highlight w:val="none"/>
                <w:u w:val="none"/>
              </w:rPr>
            </w:pPr>
          </w:p>
        </w:tc>
        <w:tc>
          <w:tcPr>
            <w:tcW w:w="909" w:type="dxa"/>
            <w:tcBorders>
              <w:top w:val="nil"/>
              <w:left w:val="nil"/>
              <w:bottom w:val="nil"/>
              <w:right w:val="nil"/>
            </w:tcBorders>
            <w:shd w:val="clear" w:color="auto" w:fill="auto"/>
            <w:vAlign w:val="top"/>
          </w:tcPr>
          <w:p w14:paraId="68AADA10">
            <w:pPr>
              <w:jc w:val="both"/>
              <w:rPr>
                <w:rFonts w:hint="eastAsia" w:ascii="宋体" w:hAnsi="宋体" w:eastAsia="宋体" w:cs="宋体"/>
                <w:i w:val="0"/>
                <w:iCs w:val="0"/>
                <w:color w:val="000000"/>
                <w:sz w:val="22"/>
                <w:szCs w:val="22"/>
                <w:highlight w:val="none"/>
                <w:u w:val="none"/>
              </w:rPr>
            </w:pPr>
          </w:p>
        </w:tc>
        <w:tc>
          <w:tcPr>
            <w:tcW w:w="1138" w:type="dxa"/>
            <w:gridSpan w:val="3"/>
            <w:tcBorders>
              <w:top w:val="nil"/>
              <w:left w:val="nil"/>
              <w:bottom w:val="nil"/>
              <w:right w:val="nil"/>
            </w:tcBorders>
            <w:shd w:val="clear" w:color="auto" w:fill="auto"/>
            <w:vAlign w:val="top"/>
          </w:tcPr>
          <w:p w14:paraId="19F96703">
            <w:pPr>
              <w:jc w:val="both"/>
              <w:rPr>
                <w:rFonts w:hint="eastAsia" w:ascii="宋体" w:hAnsi="宋体" w:eastAsia="宋体" w:cs="宋体"/>
                <w:i w:val="0"/>
                <w:iCs w:val="0"/>
                <w:color w:val="000000"/>
                <w:sz w:val="22"/>
                <w:szCs w:val="22"/>
                <w:highlight w:val="none"/>
                <w:u w:val="none"/>
              </w:rPr>
            </w:pPr>
          </w:p>
        </w:tc>
        <w:tc>
          <w:tcPr>
            <w:tcW w:w="2251" w:type="dxa"/>
            <w:gridSpan w:val="2"/>
            <w:tcBorders>
              <w:top w:val="nil"/>
              <w:left w:val="nil"/>
              <w:bottom w:val="nil"/>
              <w:right w:val="nil"/>
            </w:tcBorders>
            <w:shd w:val="clear" w:color="auto" w:fill="auto"/>
            <w:vAlign w:val="top"/>
          </w:tcPr>
          <w:p w14:paraId="25324256">
            <w:pPr>
              <w:jc w:val="both"/>
              <w:rPr>
                <w:rFonts w:hint="eastAsia" w:ascii="宋体" w:hAnsi="宋体" w:eastAsia="宋体" w:cs="宋体"/>
                <w:i w:val="0"/>
                <w:iCs w:val="0"/>
                <w:color w:val="000000"/>
                <w:sz w:val="22"/>
                <w:szCs w:val="22"/>
                <w:highlight w:val="none"/>
                <w:u w:val="none"/>
              </w:rPr>
            </w:pPr>
          </w:p>
        </w:tc>
      </w:tr>
      <w:tr w14:paraId="5698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CA2E87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4C57ED">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017559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规格参数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4FA53005">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6D197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4DCCA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133A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125E0FB">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5A10A5C">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★格栅井、调节池</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47A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规模：500t/d</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0A3A0E34">
            <w:pPr>
              <w:jc w:val="both"/>
              <w:rPr>
                <w:rFonts w:hint="eastAsia" w:ascii="宋体" w:hAnsi="宋体" w:eastAsia="宋体" w:cs="宋体"/>
                <w:i w:val="0"/>
                <w:iCs w:val="0"/>
                <w:color w:val="000000"/>
                <w:sz w:val="22"/>
                <w:szCs w:val="22"/>
                <w:highlight w:val="none"/>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85B224">
            <w:pPr>
              <w:jc w:val="both"/>
              <w:rPr>
                <w:rFonts w:hint="eastAsia" w:ascii="宋体" w:hAnsi="宋体" w:eastAsia="宋体" w:cs="宋体"/>
                <w:i w:val="0"/>
                <w:iCs w:val="0"/>
                <w:color w:val="000000"/>
                <w:sz w:val="22"/>
                <w:szCs w:val="22"/>
                <w:highlight w:val="none"/>
                <w:u w:val="none"/>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D04DEA">
            <w:pPr>
              <w:jc w:val="both"/>
              <w:rPr>
                <w:rFonts w:hint="eastAsia" w:ascii="宋体" w:hAnsi="宋体" w:eastAsia="宋体" w:cs="宋体"/>
                <w:i w:val="0"/>
                <w:iCs w:val="0"/>
                <w:color w:val="000000"/>
                <w:sz w:val="22"/>
                <w:szCs w:val="22"/>
                <w:highlight w:val="none"/>
                <w:u w:val="none"/>
              </w:rPr>
            </w:pPr>
          </w:p>
        </w:tc>
      </w:tr>
      <w:tr w14:paraId="58FB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2D3C0CD">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8EBA9FF">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进水总管</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2C217D2">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DN300,从管井至调节池，长度20m左右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44E507EF">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E759EC">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80C623">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碳钢防腐/HDPE</w:t>
            </w:r>
          </w:p>
        </w:tc>
      </w:tr>
      <w:tr w14:paraId="030F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6705A42">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500B644">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机械格栅</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405F5F85">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沟宽B=0.8m，沟深：6m,栅隙5mm,N=0.75kw，机身、耙齿、轴等均为SS304材质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7A7155A">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67E849">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6DE9B0">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不锈钢304</w:t>
            </w:r>
          </w:p>
        </w:tc>
      </w:tr>
      <w:tr w14:paraId="352A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3F7B02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A6C7E4">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潜水搅拌机</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3EB10E9">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N=1.1kW，配套提升系统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180A6D7A">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D1EEEF">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F7B1C1">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不锈钢304</w:t>
            </w:r>
          </w:p>
        </w:tc>
      </w:tr>
      <w:tr w14:paraId="3ABE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2E4AC1D">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510049">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清水池</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57640D5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6B0067F0">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A2928C">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90610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0217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7CE00109">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49862C">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回用水泵</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7C628A4">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Q=30m3/h,H=50m,变频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2BB2DA5E">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C19EE3">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09A1F15">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3719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725CF09">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C4910D">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液位计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F359713">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带信号输出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C6CBB03">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430730">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FF1E27C">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1F81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637A6F6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BDF948">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管阀件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943E4D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DN80,至回用池外1m</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671F4F3">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BF5AF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F6B54A">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2CED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7FAFF0A6">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93182D0">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控制柜</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A168DA6">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1200×600×350mm，变频控制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DA68D47">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13311C">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5EEB461">
            <w:pPr>
              <w:keepNext w:val="0"/>
              <w:keepLines w:val="0"/>
              <w:widowControl/>
              <w:suppressLineNumbers w:val="0"/>
              <w:jc w:val="both"/>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0535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1" w:type="dxa"/>
          <w:trHeight w:val="476" w:hRule="atLeast"/>
        </w:trPr>
        <w:tc>
          <w:tcPr>
            <w:tcW w:w="9532"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453B5162">
            <w:pPr>
              <w:keepNext w:val="0"/>
              <w:keepLines w:val="0"/>
              <w:widowControl/>
              <w:suppressLineNumbers w:val="0"/>
              <w:jc w:val="both"/>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招标文件技术指标参数要求均为项目的参考指标，并不局限于某一品牌。投标人在投标中可以选用替代指标，但这些替代技术指标要实质上相当于或优于招标文件中的要求。</w:t>
            </w:r>
          </w:p>
        </w:tc>
      </w:tr>
      <w:tr w14:paraId="09F2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451" w:hRule="atLeast"/>
        </w:trPr>
        <w:tc>
          <w:tcPr>
            <w:tcW w:w="9532" w:type="dxa"/>
            <w:gridSpan w:val="9"/>
            <w:tcBorders>
              <w:top w:val="nil"/>
              <w:left w:val="nil"/>
              <w:bottom w:val="nil"/>
              <w:right w:val="nil"/>
            </w:tcBorders>
            <w:shd w:val="clear" w:color="auto" w:fill="auto"/>
            <w:vAlign w:val="top"/>
          </w:tcPr>
          <w:p w14:paraId="5E0969F3">
            <w:pPr>
              <w:keepNext w:val="0"/>
              <w:keepLines w:val="0"/>
              <w:widowControl/>
              <w:suppressLineNumbers w:val="0"/>
              <w:jc w:val="center"/>
              <w:rPr>
                <w:rFonts w:hint="eastAsia" w:ascii="宋体" w:hAnsi="宋体" w:eastAsia="宋体" w:cs="宋体"/>
                <w:b/>
                <w:bCs/>
                <w:i w:val="0"/>
                <w:iCs w:val="0"/>
                <w:color w:val="000000"/>
                <w:sz w:val="26"/>
                <w:szCs w:val="26"/>
                <w:highlight w:val="none"/>
                <w:u w:val="none"/>
              </w:rPr>
            </w:pPr>
            <w:r>
              <w:rPr>
                <w:rFonts w:hint="eastAsia" w:ascii="宋体" w:hAnsi="宋体" w:eastAsia="宋体" w:cs="宋体"/>
                <w:b/>
                <w:bCs/>
                <w:i w:val="0"/>
                <w:iCs w:val="0"/>
                <w:color w:val="000000"/>
                <w:kern w:val="0"/>
                <w:sz w:val="26"/>
                <w:szCs w:val="26"/>
                <w:highlight w:val="none"/>
                <w:u w:val="none"/>
                <w:lang w:val="en-US" w:eastAsia="zh-CN" w:bidi="ar"/>
              </w:rPr>
              <w:t>200T/D生活污水处理工程设备清单</w:t>
            </w:r>
          </w:p>
        </w:tc>
      </w:tr>
      <w:tr w14:paraId="544D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1" w:type="dxa"/>
          <w:trHeight w:val="222" w:hRule="atLeast"/>
        </w:trPr>
        <w:tc>
          <w:tcPr>
            <w:tcW w:w="713" w:type="dxa"/>
            <w:tcBorders>
              <w:top w:val="nil"/>
              <w:left w:val="nil"/>
              <w:bottom w:val="nil"/>
              <w:right w:val="nil"/>
            </w:tcBorders>
            <w:shd w:val="clear" w:color="auto" w:fill="auto"/>
            <w:vAlign w:val="top"/>
          </w:tcPr>
          <w:p w14:paraId="49F2469E">
            <w:pPr>
              <w:jc w:val="both"/>
              <w:rPr>
                <w:rFonts w:hint="eastAsia" w:ascii="宋体" w:hAnsi="宋体" w:eastAsia="宋体" w:cs="宋体"/>
                <w:i w:val="0"/>
                <w:iCs w:val="0"/>
                <w:color w:val="000000"/>
                <w:sz w:val="22"/>
                <w:szCs w:val="22"/>
                <w:highlight w:val="none"/>
                <w:u w:val="none"/>
              </w:rPr>
            </w:pPr>
          </w:p>
        </w:tc>
        <w:tc>
          <w:tcPr>
            <w:tcW w:w="1362" w:type="dxa"/>
            <w:tcBorders>
              <w:top w:val="nil"/>
              <w:left w:val="nil"/>
              <w:bottom w:val="nil"/>
              <w:right w:val="nil"/>
            </w:tcBorders>
            <w:shd w:val="clear" w:color="auto" w:fill="auto"/>
            <w:vAlign w:val="top"/>
          </w:tcPr>
          <w:p w14:paraId="30743964">
            <w:pPr>
              <w:jc w:val="both"/>
              <w:rPr>
                <w:rFonts w:hint="eastAsia" w:ascii="宋体" w:hAnsi="宋体" w:eastAsia="宋体" w:cs="宋体"/>
                <w:i w:val="0"/>
                <w:iCs w:val="0"/>
                <w:color w:val="000000"/>
                <w:sz w:val="22"/>
                <w:szCs w:val="22"/>
                <w:highlight w:val="none"/>
                <w:u w:val="none"/>
              </w:rPr>
            </w:pPr>
          </w:p>
        </w:tc>
        <w:tc>
          <w:tcPr>
            <w:tcW w:w="4068" w:type="dxa"/>
            <w:gridSpan w:val="2"/>
            <w:tcBorders>
              <w:top w:val="nil"/>
              <w:left w:val="nil"/>
              <w:bottom w:val="nil"/>
              <w:right w:val="nil"/>
            </w:tcBorders>
            <w:shd w:val="clear" w:color="auto" w:fill="auto"/>
            <w:vAlign w:val="top"/>
          </w:tcPr>
          <w:p w14:paraId="48E2715C">
            <w:pPr>
              <w:jc w:val="both"/>
              <w:rPr>
                <w:rFonts w:hint="eastAsia" w:ascii="宋体" w:hAnsi="宋体" w:eastAsia="宋体" w:cs="宋体"/>
                <w:i w:val="0"/>
                <w:iCs w:val="0"/>
                <w:color w:val="000000"/>
                <w:sz w:val="22"/>
                <w:szCs w:val="22"/>
                <w:highlight w:val="none"/>
                <w:u w:val="none"/>
              </w:rPr>
            </w:pPr>
          </w:p>
        </w:tc>
        <w:tc>
          <w:tcPr>
            <w:tcW w:w="431" w:type="dxa"/>
            <w:tcBorders>
              <w:top w:val="nil"/>
              <w:left w:val="nil"/>
              <w:bottom w:val="nil"/>
              <w:right w:val="nil"/>
            </w:tcBorders>
            <w:shd w:val="clear" w:color="auto" w:fill="auto"/>
            <w:vAlign w:val="top"/>
          </w:tcPr>
          <w:p w14:paraId="398EC75D">
            <w:pPr>
              <w:jc w:val="both"/>
              <w:rPr>
                <w:rFonts w:hint="eastAsia" w:ascii="宋体" w:hAnsi="宋体" w:eastAsia="宋体" w:cs="宋体"/>
                <w:i w:val="0"/>
                <w:iCs w:val="0"/>
                <w:color w:val="000000"/>
                <w:sz w:val="22"/>
                <w:szCs w:val="22"/>
                <w:highlight w:val="none"/>
                <w:u w:val="none"/>
              </w:rPr>
            </w:pPr>
          </w:p>
        </w:tc>
        <w:tc>
          <w:tcPr>
            <w:tcW w:w="538" w:type="dxa"/>
            <w:tcBorders>
              <w:top w:val="nil"/>
              <w:left w:val="nil"/>
              <w:bottom w:val="nil"/>
              <w:right w:val="nil"/>
            </w:tcBorders>
            <w:shd w:val="clear" w:color="auto" w:fill="auto"/>
            <w:vAlign w:val="top"/>
          </w:tcPr>
          <w:p w14:paraId="50886824">
            <w:pPr>
              <w:jc w:val="both"/>
              <w:rPr>
                <w:rFonts w:hint="eastAsia" w:ascii="宋体" w:hAnsi="宋体" w:eastAsia="宋体" w:cs="宋体"/>
                <w:i w:val="0"/>
                <w:iCs w:val="0"/>
                <w:color w:val="000000"/>
                <w:sz w:val="22"/>
                <w:szCs w:val="22"/>
                <w:highlight w:val="none"/>
                <w:u w:val="none"/>
              </w:rPr>
            </w:pPr>
          </w:p>
        </w:tc>
        <w:tc>
          <w:tcPr>
            <w:tcW w:w="2290" w:type="dxa"/>
            <w:gridSpan w:val="2"/>
            <w:tcBorders>
              <w:top w:val="nil"/>
              <w:left w:val="nil"/>
              <w:bottom w:val="nil"/>
              <w:right w:val="nil"/>
            </w:tcBorders>
            <w:shd w:val="clear" w:color="auto" w:fill="auto"/>
            <w:vAlign w:val="top"/>
          </w:tcPr>
          <w:p w14:paraId="39867D11">
            <w:pPr>
              <w:jc w:val="both"/>
              <w:rPr>
                <w:rFonts w:hint="eastAsia" w:ascii="宋体" w:hAnsi="宋体" w:eastAsia="宋体" w:cs="宋体"/>
                <w:i w:val="0"/>
                <w:iCs w:val="0"/>
                <w:color w:val="000000"/>
                <w:sz w:val="22"/>
                <w:szCs w:val="22"/>
                <w:highlight w:val="none"/>
                <w:u w:val="none"/>
              </w:rPr>
            </w:pPr>
          </w:p>
        </w:tc>
      </w:tr>
      <w:tr w14:paraId="40D6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3521694D">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480A21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31C6BA">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规格参数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top"/>
          </w:tcPr>
          <w:p w14:paraId="5B98A125">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14:paraId="618B9CDB">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B4034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504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1" w:type="dxa"/>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69476A8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D13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调节池</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FAFC97">
            <w:pPr>
              <w:jc w:val="both"/>
              <w:rPr>
                <w:rFonts w:hint="eastAsia" w:ascii="宋体" w:hAnsi="宋体" w:eastAsia="宋体" w:cs="宋体"/>
                <w:i w:val="0"/>
                <w:iCs w:val="0"/>
                <w:color w:val="000000"/>
                <w:sz w:val="22"/>
                <w:szCs w:val="22"/>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top"/>
          </w:tcPr>
          <w:p w14:paraId="4E57CB65">
            <w:pPr>
              <w:jc w:val="both"/>
              <w:rPr>
                <w:rFonts w:hint="eastAsia" w:ascii="宋体" w:hAnsi="宋体" w:eastAsia="宋体" w:cs="宋体"/>
                <w:i w:val="0"/>
                <w:iCs w:val="0"/>
                <w:color w:val="000000"/>
                <w:sz w:val="22"/>
                <w:szCs w:val="22"/>
                <w:highlight w:val="none"/>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14:paraId="14E3A10C">
            <w:pPr>
              <w:jc w:val="both"/>
              <w:rPr>
                <w:rFonts w:hint="eastAsia" w:ascii="宋体" w:hAnsi="宋体" w:eastAsia="宋体" w:cs="宋体"/>
                <w:i w:val="0"/>
                <w:iCs w:val="0"/>
                <w:color w:val="000000"/>
                <w:sz w:val="22"/>
                <w:szCs w:val="22"/>
                <w:highlight w:val="none"/>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9C78DB">
            <w:pPr>
              <w:jc w:val="both"/>
              <w:rPr>
                <w:rFonts w:hint="eastAsia" w:ascii="宋体" w:hAnsi="宋体" w:eastAsia="宋体" w:cs="宋体"/>
                <w:i w:val="0"/>
                <w:iCs w:val="0"/>
                <w:color w:val="000000"/>
                <w:sz w:val="22"/>
                <w:szCs w:val="22"/>
                <w:highlight w:val="none"/>
                <w:u w:val="none"/>
              </w:rPr>
            </w:pPr>
          </w:p>
        </w:tc>
      </w:tr>
      <w:tr w14:paraId="4BB5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1" w:type="dxa"/>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2C250F1">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02F1FD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★调节池提升泵</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80233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Q=10m3/h，H=10m,自耦安装</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top"/>
          </w:tcPr>
          <w:p w14:paraId="593DBD3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14:paraId="01DA2FD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D7ECB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一用一备</w:t>
            </w:r>
          </w:p>
        </w:tc>
      </w:tr>
      <w:tr w14:paraId="4BD2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1" w:type="dxa"/>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490E3B4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A1E20D">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水泵管阀及导杆</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6EDFFA">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DN50,导杆不低于镀锌材质</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top"/>
          </w:tcPr>
          <w:p w14:paraId="38BB9CA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14:paraId="5D2A8F7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79F0C0">
            <w:pPr>
              <w:jc w:val="both"/>
              <w:rPr>
                <w:rFonts w:hint="eastAsia" w:ascii="宋体" w:hAnsi="宋体" w:eastAsia="宋体" w:cs="宋体"/>
                <w:i w:val="0"/>
                <w:iCs w:val="0"/>
                <w:color w:val="000000"/>
                <w:sz w:val="22"/>
                <w:szCs w:val="22"/>
                <w:highlight w:val="none"/>
                <w:u w:val="none"/>
              </w:rPr>
            </w:pPr>
          </w:p>
        </w:tc>
      </w:tr>
      <w:tr w14:paraId="1938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1" w:type="dxa"/>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42959C4C">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337B">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液位计</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D81BAD">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带信号输出</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top"/>
          </w:tcPr>
          <w:p w14:paraId="33A29C6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14:paraId="37F40644">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5C45A2">
            <w:pPr>
              <w:jc w:val="both"/>
              <w:rPr>
                <w:rFonts w:hint="eastAsia" w:ascii="宋体" w:hAnsi="宋体" w:eastAsia="宋体" w:cs="宋体"/>
                <w:i w:val="0"/>
                <w:iCs w:val="0"/>
                <w:color w:val="000000"/>
                <w:sz w:val="22"/>
                <w:szCs w:val="22"/>
                <w:highlight w:val="none"/>
                <w:u w:val="none"/>
              </w:rPr>
            </w:pPr>
          </w:p>
        </w:tc>
      </w:tr>
      <w:tr w14:paraId="4A1E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1" w:type="dxa"/>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0A3B6F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432580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一体化处理设备</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5AC7B6">
            <w:pPr>
              <w:jc w:val="both"/>
              <w:rPr>
                <w:rFonts w:hint="eastAsia" w:ascii="宋体" w:hAnsi="宋体" w:eastAsia="宋体" w:cs="宋体"/>
                <w:i w:val="0"/>
                <w:iCs w:val="0"/>
                <w:color w:val="000000"/>
                <w:sz w:val="22"/>
                <w:szCs w:val="22"/>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top"/>
          </w:tcPr>
          <w:p w14:paraId="37B90286">
            <w:pPr>
              <w:jc w:val="both"/>
              <w:rPr>
                <w:rFonts w:hint="eastAsia" w:ascii="宋体" w:hAnsi="宋体" w:eastAsia="宋体" w:cs="宋体"/>
                <w:i w:val="0"/>
                <w:iCs w:val="0"/>
                <w:color w:val="000000"/>
                <w:sz w:val="22"/>
                <w:szCs w:val="22"/>
                <w:highlight w:val="none"/>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14:paraId="13C0B7FC">
            <w:pPr>
              <w:jc w:val="both"/>
              <w:rPr>
                <w:rFonts w:hint="eastAsia" w:ascii="宋体" w:hAnsi="宋体" w:eastAsia="宋体" w:cs="宋体"/>
                <w:i w:val="0"/>
                <w:iCs w:val="0"/>
                <w:color w:val="000000"/>
                <w:sz w:val="22"/>
                <w:szCs w:val="22"/>
                <w:highlight w:val="none"/>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34023D">
            <w:pPr>
              <w:jc w:val="both"/>
              <w:rPr>
                <w:rFonts w:hint="eastAsia" w:ascii="宋体" w:hAnsi="宋体" w:eastAsia="宋体" w:cs="宋体"/>
                <w:i w:val="0"/>
                <w:iCs w:val="0"/>
                <w:color w:val="000000"/>
                <w:sz w:val="22"/>
                <w:szCs w:val="22"/>
                <w:highlight w:val="none"/>
                <w:u w:val="none"/>
              </w:rPr>
            </w:pPr>
          </w:p>
        </w:tc>
      </w:tr>
      <w:tr w14:paraId="581E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6CE0140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8CC828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★一体化箱体</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494381C0">
            <w:pPr>
              <w:keepNext w:val="0"/>
              <w:keepLines w:val="0"/>
              <w:widowControl/>
              <w:suppressLineNumbers w:val="0"/>
              <w:jc w:val="both"/>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设备尺寸：Φ3*16.5</w:t>
            </w:r>
            <w:r>
              <w:rPr>
                <w:rFonts w:hint="eastAsia" w:ascii="宋体" w:hAnsi="宋体" w:eastAsia="宋体" w:cs="宋体"/>
                <w:i w:val="0"/>
                <w:iCs w:val="0"/>
                <w:color w:val="000000"/>
                <w:kern w:val="0"/>
                <w:sz w:val="22"/>
                <w:szCs w:val="22"/>
                <w:highlight w:val="none"/>
                <w:u w:val="none"/>
                <w:lang w:val="en-US" w:eastAsia="zh-CN" w:bidi="ar"/>
              </w:rPr>
              <w:t>m</w:t>
            </w:r>
            <w:r>
              <w:rPr>
                <w:rFonts w:hint="eastAsia" w:ascii="宋体" w:hAnsi="宋体" w:cs="宋体"/>
                <w:i w:val="0"/>
                <w:iCs w:val="0"/>
                <w:color w:val="000000"/>
                <w:kern w:val="0"/>
                <w:sz w:val="22"/>
                <w:szCs w:val="22"/>
                <w:highlight w:val="none"/>
                <w:u w:val="none"/>
                <w:lang w:val="en-US" w:eastAsia="zh-CN" w:bidi="ar"/>
              </w:rPr>
              <w:t>（含四套检修通道设备总高为5.1m）；材质：高膜量聚丙烯；弹性模量：≥1500MPA；材料密度：0.90~0.91g/m³；吸水率：≤0.01%；分子量：80000~150000g/mol；厚度：45mm；设备内部环圈加固；检修孔：φ630mm*2100mm/4套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270E570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95DA3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7B4BA8">
            <w:pPr>
              <w:keepNext w:val="0"/>
              <w:keepLines w:val="0"/>
              <w:widowControl/>
              <w:suppressLineNumbers w:val="0"/>
              <w:jc w:val="both"/>
              <w:rPr>
                <w:rFonts w:hint="eastAsia" w:ascii="宋体" w:hAnsi="宋体" w:eastAsia="宋体" w:cs="宋体"/>
                <w:i w:val="0"/>
                <w:iCs w:val="0"/>
                <w:color w:val="000000"/>
                <w:sz w:val="22"/>
                <w:szCs w:val="22"/>
                <w:highlight w:val="none"/>
                <w:u w:val="none"/>
              </w:rPr>
            </w:pPr>
          </w:p>
        </w:tc>
      </w:tr>
      <w:tr w14:paraId="5D46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91014B5">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1CDBC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★潜水搅拌机</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780105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N=0.85kW，配套提升系统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2FA2791A">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FC2534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6BE05A">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不锈钢304</w:t>
            </w:r>
          </w:p>
        </w:tc>
      </w:tr>
      <w:tr w14:paraId="28FD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119EEE4D">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B65F0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缺氧池曝气</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097A5A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DN50,含管阀</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78EBEE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9AABA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A2629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w:t>
            </w:r>
          </w:p>
        </w:tc>
      </w:tr>
      <w:tr w14:paraId="7546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32B3CB">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D6D70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缺氧池填料支架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FEED7FF">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10#槽钢+Φ1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螺纹钢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1FEE91A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72B4E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4D6B4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碳钢防腐</w:t>
            </w:r>
          </w:p>
        </w:tc>
      </w:tr>
      <w:tr w14:paraId="364C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70ADB7A1">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477BD8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缺氧池生物填料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3F5F8C5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φ150，组合填料，片重</w:t>
            </w:r>
            <w:r>
              <w:rPr>
                <w:rFonts w:hint="eastAsia" w:ascii="宋体" w:hAnsi="宋体" w:cs="宋体"/>
                <w:i w:val="0"/>
                <w:iCs w:val="0"/>
                <w:color w:val="auto"/>
                <w:kern w:val="0"/>
                <w:sz w:val="22"/>
                <w:szCs w:val="22"/>
                <w:highlight w:val="none"/>
                <w:u w:val="none"/>
                <w:lang w:val="en-US" w:eastAsia="zh-CN" w:bidi="ar"/>
              </w:rPr>
              <w:t>2.8</w:t>
            </w:r>
            <w:r>
              <w:rPr>
                <w:rFonts w:hint="eastAsia" w:ascii="宋体" w:hAnsi="宋体" w:eastAsia="宋体" w:cs="宋体"/>
                <w:i w:val="0"/>
                <w:iCs w:val="0"/>
                <w:color w:val="auto"/>
                <w:kern w:val="0"/>
                <w:sz w:val="22"/>
                <w:szCs w:val="22"/>
                <w:highlight w:val="none"/>
                <w:u w:val="none"/>
                <w:lang w:val="en-US" w:eastAsia="zh-CN" w:bidi="ar"/>
              </w:rPr>
              <w:t>g，丝重</w:t>
            </w:r>
            <w:r>
              <w:rPr>
                <w:rFonts w:hint="eastAsia" w:ascii="宋体" w:hAnsi="宋体" w:cs="宋体"/>
                <w:i w:val="0"/>
                <w:iCs w:val="0"/>
                <w:color w:val="auto"/>
                <w:kern w:val="0"/>
                <w:sz w:val="22"/>
                <w:szCs w:val="22"/>
                <w:highlight w:val="none"/>
                <w:u w:val="none"/>
                <w:lang w:val="en-US" w:eastAsia="zh-CN" w:bidi="ar"/>
              </w:rPr>
              <w:t>1.4</w:t>
            </w:r>
            <w:r>
              <w:rPr>
                <w:rFonts w:hint="eastAsia" w:ascii="宋体" w:hAnsi="宋体" w:eastAsia="宋体" w:cs="宋体"/>
                <w:i w:val="0"/>
                <w:iCs w:val="0"/>
                <w:color w:val="auto"/>
                <w:kern w:val="0"/>
                <w:sz w:val="22"/>
                <w:szCs w:val="22"/>
                <w:highlight w:val="none"/>
                <w:u w:val="none"/>
                <w:lang w:val="en-US" w:eastAsia="zh-CN" w:bidi="ar"/>
              </w:rPr>
              <w:t>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C4FD536">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631AD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CCD709">
            <w:pPr>
              <w:jc w:val="both"/>
              <w:rPr>
                <w:rFonts w:hint="eastAsia" w:ascii="宋体" w:hAnsi="宋体" w:eastAsia="宋体" w:cs="宋体"/>
                <w:i w:val="0"/>
                <w:iCs w:val="0"/>
                <w:color w:val="auto"/>
                <w:sz w:val="22"/>
                <w:szCs w:val="22"/>
                <w:highlight w:val="none"/>
                <w:u w:val="none"/>
              </w:rPr>
            </w:pPr>
          </w:p>
        </w:tc>
      </w:tr>
      <w:tr w14:paraId="7539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214521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F7667A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微孔曝气装置</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A4F710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φ215mm,ABS+三元乙丙，氧转移率：15%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1D3DCE0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8B2E21">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83148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含管道及支架</w:t>
            </w:r>
          </w:p>
        </w:tc>
      </w:tr>
      <w:tr w14:paraId="3BCD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E63216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C423EB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好氧池填料支架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5B98D50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10#槽钢+Φ1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螺纹钢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20333D9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236CF1">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59A58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碳钢防腐</w:t>
            </w:r>
          </w:p>
        </w:tc>
      </w:tr>
      <w:tr w14:paraId="7076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AD826B4">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D86D7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好氧池生物填料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A53E78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φ150，组合填料，片重</w:t>
            </w:r>
            <w:r>
              <w:rPr>
                <w:rFonts w:hint="eastAsia" w:ascii="宋体" w:hAnsi="宋体" w:cs="宋体"/>
                <w:i w:val="0"/>
                <w:iCs w:val="0"/>
                <w:color w:val="auto"/>
                <w:kern w:val="0"/>
                <w:sz w:val="22"/>
                <w:szCs w:val="22"/>
                <w:highlight w:val="none"/>
                <w:u w:val="none"/>
                <w:lang w:val="en-US" w:eastAsia="zh-CN" w:bidi="ar"/>
              </w:rPr>
              <w:t>2.8</w:t>
            </w:r>
            <w:r>
              <w:rPr>
                <w:rFonts w:hint="eastAsia" w:ascii="宋体" w:hAnsi="宋体" w:eastAsia="宋体" w:cs="宋体"/>
                <w:i w:val="0"/>
                <w:iCs w:val="0"/>
                <w:color w:val="auto"/>
                <w:kern w:val="0"/>
                <w:sz w:val="22"/>
                <w:szCs w:val="22"/>
                <w:highlight w:val="none"/>
                <w:u w:val="none"/>
                <w:lang w:val="en-US" w:eastAsia="zh-CN" w:bidi="ar"/>
              </w:rPr>
              <w:t>g，丝重</w:t>
            </w:r>
            <w:r>
              <w:rPr>
                <w:rFonts w:hint="eastAsia" w:ascii="宋体" w:hAnsi="宋体" w:cs="宋体"/>
                <w:i w:val="0"/>
                <w:iCs w:val="0"/>
                <w:color w:val="auto"/>
                <w:kern w:val="0"/>
                <w:sz w:val="22"/>
                <w:szCs w:val="22"/>
                <w:highlight w:val="none"/>
                <w:u w:val="none"/>
                <w:lang w:val="en-US" w:eastAsia="zh-CN" w:bidi="ar"/>
              </w:rPr>
              <w:t>1.4</w:t>
            </w:r>
            <w:r>
              <w:rPr>
                <w:rFonts w:hint="eastAsia" w:ascii="宋体" w:hAnsi="宋体" w:eastAsia="宋体" w:cs="宋体"/>
                <w:i w:val="0"/>
                <w:iCs w:val="0"/>
                <w:color w:val="auto"/>
                <w:kern w:val="0"/>
                <w:sz w:val="22"/>
                <w:szCs w:val="22"/>
                <w:highlight w:val="none"/>
                <w:u w:val="none"/>
                <w:lang w:val="en-US" w:eastAsia="zh-CN" w:bidi="ar"/>
              </w:rPr>
              <w:t>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10F1973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1C58E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52080F">
            <w:pPr>
              <w:jc w:val="both"/>
              <w:rPr>
                <w:rFonts w:hint="eastAsia" w:ascii="宋体" w:hAnsi="宋体" w:eastAsia="宋体" w:cs="宋体"/>
                <w:i w:val="0"/>
                <w:iCs w:val="0"/>
                <w:color w:val="auto"/>
                <w:sz w:val="22"/>
                <w:szCs w:val="22"/>
                <w:highlight w:val="none"/>
                <w:u w:val="none"/>
              </w:rPr>
            </w:pPr>
          </w:p>
        </w:tc>
      </w:tr>
      <w:tr w14:paraId="373A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39EC95">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E11DC4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★溶氧仪</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A7F96F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0-20mg/L，4-20mA信号输出,手持式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DD8D46F">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A683F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29BE1F">
            <w:pPr>
              <w:jc w:val="both"/>
              <w:rPr>
                <w:rFonts w:hint="eastAsia" w:ascii="宋体" w:hAnsi="宋体" w:eastAsia="宋体" w:cs="宋体"/>
                <w:i w:val="0"/>
                <w:iCs w:val="0"/>
                <w:color w:val="auto"/>
                <w:sz w:val="22"/>
                <w:szCs w:val="22"/>
                <w:highlight w:val="none"/>
                <w:u w:val="none"/>
              </w:rPr>
            </w:pPr>
          </w:p>
        </w:tc>
      </w:tr>
      <w:tr w14:paraId="04CA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943AC5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58CFD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斜管填料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3F393131">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Φ50×1000mm,片厚</w:t>
            </w:r>
            <w:r>
              <w:rPr>
                <w:rFonts w:hint="eastAsia" w:ascii="宋体" w:hAnsi="宋体" w:cs="宋体"/>
                <w:i w:val="0"/>
                <w:iCs w:val="0"/>
                <w:color w:val="auto"/>
                <w:kern w:val="0"/>
                <w:sz w:val="22"/>
                <w:szCs w:val="22"/>
                <w:highlight w:val="none"/>
                <w:u w:val="none"/>
                <w:lang w:val="en-US" w:eastAsia="zh-CN" w:bidi="ar"/>
              </w:rPr>
              <w:t>0.9</w:t>
            </w:r>
            <w:r>
              <w:rPr>
                <w:rFonts w:hint="eastAsia" w:ascii="宋体" w:hAnsi="宋体" w:eastAsia="宋体" w:cs="宋体"/>
                <w:i w:val="0"/>
                <w:iCs w:val="0"/>
                <w:color w:val="auto"/>
                <w:kern w:val="0"/>
                <w:sz w:val="22"/>
                <w:szCs w:val="22"/>
                <w:highlight w:val="none"/>
                <w:u w:val="none"/>
                <w:lang w:val="en-US" w:eastAsia="zh-CN" w:bidi="ar"/>
              </w:rPr>
              <w:t>mm</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4B7CD50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m3</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5DCCFC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EA369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乙丙共聚</w:t>
            </w:r>
          </w:p>
        </w:tc>
      </w:tr>
      <w:tr w14:paraId="7AC1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1C6A9D5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368B6B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斜管填料支架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9C836C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10#槽钢+Φ</w:t>
            </w:r>
            <w:r>
              <w:rPr>
                <w:rFonts w:hint="eastAsia" w:ascii="宋体" w:hAnsi="宋体" w:cs="宋体"/>
                <w:i w:val="0"/>
                <w:iCs w:val="0"/>
                <w:color w:val="auto"/>
                <w:kern w:val="0"/>
                <w:sz w:val="22"/>
                <w:szCs w:val="22"/>
                <w:highlight w:val="none"/>
                <w:u w:val="none"/>
                <w:lang w:val="en-US" w:eastAsia="zh-CN" w:bidi="ar"/>
              </w:rPr>
              <w:t>12</w:t>
            </w:r>
            <w:r>
              <w:rPr>
                <w:rFonts w:hint="eastAsia" w:ascii="宋体" w:hAnsi="宋体" w:eastAsia="宋体" w:cs="宋体"/>
                <w:i w:val="0"/>
                <w:iCs w:val="0"/>
                <w:color w:val="auto"/>
                <w:kern w:val="0"/>
                <w:sz w:val="22"/>
                <w:szCs w:val="22"/>
                <w:highlight w:val="none"/>
                <w:u w:val="none"/>
                <w:lang w:val="en-US" w:eastAsia="zh-CN" w:bidi="ar"/>
              </w:rPr>
              <w:t>螺纹钢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7330A3F">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B33AC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917856">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碳钢防腐</w:t>
            </w:r>
          </w:p>
        </w:tc>
      </w:tr>
      <w:tr w14:paraId="2B79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448816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ACB22AB">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★混合液回流泵</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142BFAF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Q=12m3/h，H=10m,自耦安装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F63E14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0BC66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D4D4FB">
            <w:pPr>
              <w:jc w:val="both"/>
              <w:rPr>
                <w:rFonts w:hint="eastAsia" w:ascii="宋体" w:hAnsi="宋体" w:eastAsia="宋体" w:cs="宋体"/>
                <w:i w:val="0"/>
                <w:iCs w:val="0"/>
                <w:color w:val="auto"/>
                <w:sz w:val="22"/>
                <w:szCs w:val="22"/>
                <w:highlight w:val="none"/>
                <w:u w:val="none"/>
              </w:rPr>
            </w:pPr>
          </w:p>
        </w:tc>
      </w:tr>
      <w:tr w14:paraId="61ED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34DD4E81">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0E8AA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★污泥泵</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329A53E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Q=10m3/h，H=10m,自耦安装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B0879DF">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15771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50D6001">
            <w:pPr>
              <w:jc w:val="both"/>
              <w:rPr>
                <w:rFonts w:hint="eastAsia" w:ascii="宋体" w:hAnsi="宋体" w:eastAsia="宋体" w:cs="宋体"/>
                <w:i w:val="0"/>
                <w:iCs w:val="0"/>
                <w:color w:val="auto"/>
                <w:sz w:val="22"/>
                <w:szCs w:val="22"/>
                <w:highlight w:val="none"/>
                <w:u w:val="none"/>
              </w:rPr>
            </w:pPr>
          </w:p>
        </w:tc>
      </w:tr>
      <w:tr w14:paraId="41FA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0BB800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FD901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水泵管阀及导杆</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DC133C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配套，导杆不低于镀锌材质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66E17D6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F81DAA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91478F">
            <w:pPr>
              <w:jc w:val="both"/>
              <w:rPr>
                <w:rFonts w:hint="eastAsia" w:ascii="宋体" w:hAnsi="宋体" w:eastAsia="宋体" w:cs="宋体"/>
                <w:i w:val="0"/>
                <w:iCs w:val="0"/>
                <w:color w:val="auto"/>
                <w:sz w:val="22"/>
                <w:szCs w:val="22"/>
                <w:highlight w:val="none"/>
                <w:u w:val="none"/>
              </w:rPr>
            </w:pPr>
          </w:p>
        </w:tc>
      </w:tr>
      <w:tr w14:paraId="34A3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46830CA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36F091C">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深度处理</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CCD16BC">
            <w:pPr>
              <w:jc w:val="both"/>
              <w:rPr>
                <w:rFonts w:hint="eastAsia" w:ascii="宋体" w:hAnsi="宋体" w:eastAsia="宋体" w:cs="宋体"/>
                <w:i w:val="0"/>
                <w:iCs w:val="0"/>
                <w:color w:val="auto"/>
                <w:sz w:val="22"/>
                <w:szCs w:val="22"/>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4BC1FEF">
            <w:pPr>
              <w:jc w:val="both"/>
              <w:rPr>
                <w:rFonts w:hint="eastAsia" w:ascii="宋体" w:hAnsi="宋体" w:eastAsia="宋体" w:cs="宋体"/>
                <w:i w:val="0"/>
                <w:iCs w:val="0"/>
                <w:color w:val="auto"/>
                <w:sz w:val="22"/>
                <w:szCs w:val="22"/>
                <w:highlight w:val="none"/>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142F27">
            <w:pPr>
              <w:jc w:val="both"/>
              <w:rPr>
                <w:rFonts w:hint="eastAsia" w:ascii="宋体" w:hAnsi="宋体" w:eastAsia="宋体" w:cs="宋体"/>
                <w:i w:val="0"/>
                <w:iCs w:val="0"/>
                <w:color w:val="auto"/>
                <w:sz w:val="22"/>
                <w:szCs w:val="22"/>
                <w:highlight w:val="none"/>
                <w:u w:val="none"/>
              </w:rPr>
            </w:pP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AA32A7">
            <w:pPr>
              <w:jc w:val="both"/>
              <w:rPr>
                <w:rFonts w:hint="eastAsia" w:ascii="宋体" w:hAnsi="宋体" w:eastAsia="宋体" w:cs="宋体"/>
                <w:i w:val="0"/>
                <w:iCs w:val="0"/>
                <w:color w:val="auto"/>
                <w:sz w:val="22"/>
                <w:szCs w:val="22"/>
                <w:highlight w:val="none"/>
                <w:u w:val="none"/>
              </w:rPr>
            </w:pPr>
          </w:p>
        </w:tc>
      </w:tr>
      <w:tr w14:paraId="0F9E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2DA4A">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398D2B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★过滤进水泵</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18A1593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Q=10m3/h，H=22m，立式多级离心泵</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62DF664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0D0E2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04DFA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过流不锈钢</w:t>
            </w:r>
          </w:p>
        </w:tc>
      </w:tr>
      <w:tr w14:paraId="304D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CEA43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866A2DD">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过滤器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8B394C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DN1200，直段</w:t>
            </w:r>
            <w:r>
              <w:rPr>
                <w:rFonts w:hint="eastAsia" w:ascii="宋体" w:hAnsi="宋体" w:cs="宋体"/>
                <w:i w:val="0"/>
                <w:iCs w:val="0"/>
                <w:color w:val="auto"/>
                <w:kern w:val="0"/>
                <w:sz w:val="22"/>
                <w:szCs w:val="22"/>
                <w:highlight w:val="none"/>
                <w:u w:val="none"/>
                <w:lang w:val="en-US" w:eastAsia="zh-CN" w:bidi="ar"/>
              </w:rPr>
              <w:t>2.0</w:t>
            </w:r>
            <w:r>
              <w:rPr>
                <w:rFonts w:hint="eastAsia" w:ascii="宋体" w:hAnsi="宋体" w:eastAsia="宋体" w:cs="宋体"/>
                <w:i w:val="0"/>
                <w:iCs w:val="0"/>
                <w:color w:val="auto"/>
                <w:kern w:val="0"/>
                <w:sz w:val="22"/>
                <w:szCs w:val="22"/>
                <w:highlight w:val="none"/>
                <w:u w:val="none"/>
                <w:lang w:val="en-US" w:eastAsia="zh-CN" w:bidi="ar"/>
              </w:rPr>
              <w:t>m，板厚8mm，封头10mm，碳钢衬胶，含配管及电动阀门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675B65D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B792D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EC0662">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碳钢衬胶</w:t>
            </w:r>
          </w:p>
        </w:tc>
      </w:tr>
      <w:tr w14:paraId="19B0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7E6F11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7F4DC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石英砂滤料</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95467A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按级配，滤料层高1000mm以上</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9DB9CF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3E0F02">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08ECA9">
            <w:pPr>
              <w:jc w:val="both"/>
              <w:rPr>
                <w:rFonts w:hint="eastAsia" w:ascii="宋体" w:hAnsi="宋体" w:eastAsia="宋体" w:cs="宋体"/>
                <w:i w:val="0"/>
                <w:iCs w:val="0"/>
                <w:color w:val="auto"/>
                <w:sz w:val="22"/>
                <w:szCs w:val="22"/>
                <w:highlight w:val="none"/>
                <w:u w:val="none"/>
              </w:rPr>
            </w:pPr>
          </w:p>
        </w:tc>
      </w:tr>
      <w:tr w14:paraId="1ADA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C72789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DC286F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电动阀系</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4A83893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DN32×1台，DN50×2台，DN80×2台，共5台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4A4B739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492B3F">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7C248B">
            <w:pPr>
              <w:jc w:val="both"/>
              <w:rPr>
                <w:rFonts w:hint="eastAsia" w:ascii="宋体" w:hAnsi="宋体" w:eastAsia="宋体" w:cs="宋体"/>
                <w:i w:val="0"/>
                <w:iCs w:val="0"/>
                <w:color w:val="auto"/>
                <w:sz w:val="22"/>
                <w:szCs w:val="22"/>
                <w:highlight w:val="none"/>
                <w:u w:val="none"/>
              </w:rPr>
            </w:pPr>
          </w:p>
        </w:tc>
      </w:tr>
      <w:tr w14:paraId="51F4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7D86FC">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D31AB64">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差压变送器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DC3EAA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带4-20mA信号输出，实现自动反冲洗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1712C3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70723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902C96">
            <w:pPr>
              <w:jc w:val="both"/>
              <w:rPr>
                <w:rFonts w:hint="eastAsia" w:ascii="宋体" w:hAnsi="宋体" w:eastAsia="宋体" w:cs="宋体"/>
                <w:i w:val="0"/>
                <w:iCs w:val="0"/>
                <w:color w:val="auto"/>
                <w:sz w:val="22"/>
                <w:szCs w:val="22"/>
                <w:highlight w:val="none"/>
                <w:u w:val="none"/>
              </w:rPr>
            </w:pPr>
          </w:p>
        </w:tc>
      </w:tr>
      <w:tr w14:paraId="001B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25E72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A6E3F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★反洗泵</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69FE71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Q=40m3/h，H=20m</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9DABEA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E10A0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83EAAA">
            <w:pPr>
              <w:jc w:val="both"/>
              <w:rPr>
                <w:rFonts w:hint="eastAsia" w:ascii="宋体" w:hAnsi="宋体" w:eastAsia="宋体" w:cs="宋体"/>
                <w:i w:val="0"/>
                <w:iCs w:val="0"/>
                <w:color w:val="auto"/>
                <w:sz w:val="22"/>
                <w:szCs w:val="22"/>
                <w:highlight w:val="none"/>
                <w:u w:val="none"/>
              </w:rPr>
            </w:pPr>
          </w:p>
        </w:tc>
      </w:tr>
      <w:tr w14:paraId="77E8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3A5EC23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A935CA">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管道混合器</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1E2D60E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静态管道混合器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0E60B97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15D0F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85CE6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UPVC/碳钢防腐</w:t>
            </w:r>
          </w:p>
        </w:tc>
      </w:tr>
      <w:tr w14:paraId="07C0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774068F4">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4E3A0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流量计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1D55E4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DN80×1台，DN80×1台，共2台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0DD773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7187D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F0F301">
            <w:pPr>
              <w:jc w:val="both"/>
              <w:rPr>
                <w:rFonts w:hint="eastAsia" w:ascii="宋体" w:hAnsi="宋体" w:eastAsia="宋体" w:cs="宋体"/>
                <w:i w:val="0"/>
                <w:iCs w:val="0"/>
                <w:color w:val="auto"/>
                <w:sz w:val="22"/>
                <w:szCs w:val="22"/>
                <w:highlight w:val="none"/>
                <w:u w:val="none"/>
              </w:rPr>
            </w:pPr>
          </w:p>
        </w:tc>
      </w:tr>
      <w:tr w14:paraId="359C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C718E1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84D68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液位计</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328C827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带信号输出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EA0D10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F602D8">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F49924">
            <w:pPr>
              <w:jc w:val="both"/>
              <w:rPr>
                <w:rFonts w:hint="eastAsia" w:ascii="宋体" w:hAnsi="宋体" w:eastAsia="宋体" w:cs="宋体"/>
                <w:i w:val="0"/>
                <w:iCs w:val="0"/>
                <w:color w:val="auto"/>
                <w:sz w:val="22"/>
                <w:szCs w:val="22"/>
                <w:highlight w:val="none"/>
                <w:u w:val="none"/>
              </w:rPr>
            </w:pPr>
          </w:p>
        </w:tc>
      </w:tr>
      <w:tr w14:paraId="1ADE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69F3187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F11938C">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设备间</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48885268">
            <w:pPr>
              <w:jc w:val="both"/>
              <w:rPr>
                <w:rFonts w:hint="eastAsia" w:ascii="宋体" w:hAnsi="宋体" w:eastAsia="宋体" w:cs="宋体"/>
                <w:i w:val="0"/>
                <w:iCs w:val="0"/>
                <w:color w:val="auto"/>
                <w:sz w:val="22"/>
                <w:szCs w:val="22"/>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14A9D8FA">
            <w:pPr>
              <w:jc w:val="both"/>
              <w:rPr>
                <w:rFonts w:hint="eastAsia" w:ascii="宋体" w:hAnsi="宋体" w:eastAsia="宋体" w:cs="宋体"/>
                <w:i w:val="0"/>
                <w:iCs w:val="0"/>
                <w:color w:val="auto"/>
                <w:sz w:val="22"/>
                <w:szCs w:val="22"/>
                <w:highlight w:val="none"/>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8D9238">
            <w:pPr>
              <w:jc w:val="both"/>
              <w:rPr>
                <w:rFonts w:hint="eastAsia" w:ascii="宋体" w:hAnsi="宋体" w:eastAsia="宋体" w:cs="宋体"/>
                <w:i w:val="0"/>
                <w:iCs w:val="0"/>
                <w:color w:val="auto"/>
                <w:sz w:val="22"/>
                <w:szCs w:val="22"/>
                <w:highlight w:val="none"/>
                <w:u w:val="none"/>
              </w:rPr>
            </w:pP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7DA491">
            <w:pPr>
              <w:jc w:val="both"/>
              <w:rPr>
                <w:rFonts w:hint="eastAsia" w:ascii="宋体" w:hAnsi="宋体" w:eastAsia="宋体" w:cs="宋体"/>
                <w:i w:val="0"/>
                <w:iCs w:val="0"/>
                <w:color w:val="auto"/>
                <w:sz w:val="22"/>
                <w:szCs w:val="22"/>
                <w:highlight w:val="none"/>
                <w:u w:val="none"/>
              </w:rPr>
            </w:pPr>
          </w:p>
        </w:tc>
      </w:tr>
      <w:tr w14:paraId="2018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318EF14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8303C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★曝气风机</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6A6050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Q=3m3/min，P=0.03MPa，转速≤1300rpm</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C35F1C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F27A2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4B78B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一用一备</w:t>
            </w:r>
          </w:p>
        </w:tc>
      </w:tr>
      <w:tr w14:paraId="23F2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7D0FE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AE988E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★自动加药装置</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955290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配药量：500L,计量泵流量：24L/h，自动投加，成套装置</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05889D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50354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23613C">
            <w:pPr>
              <w:jc w:val="both"/>
              <w:rPr>
                <w:rFonts w:hint="eastAsia" w:ascii="宋体" w:hAnsi="宋体" w:eastAsia="宋体" w:cs="宋体"/>
                <w:i w:val="0"/>
                <w:iCs w:val="0"/>
                <w:color w:val="auto"/>
                <w:sz w:val="22"/>
                <w:szCs w:val="22"/>
                <w:highlight w:val="none"/>
                <w:u w:val="none"/>
              </w:rPr>
            </w:pPr>
          </w:p>
        </w:tc>
      </w:tr>
      <w:tr w14:paraId="32BD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002474">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C4145F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★就地控制柜</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E22160B">
            <w:pPr>
              <w:keepNext w:val="0"/>
              <w:keepLines w:val="0"/>
              <w:widowControl/>
              <w:suppressLineNumbers w:val="0"/>
              <w:jc w:val="both"/>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室外防雨，柜壳</w:t>
            </w:r>
            <w:r>
              <w:rPr>
                <w:rFonts w:hint="eastAsia" w:ascii="宋体" w:hAnsi="宋体" w:cs="宋体"/>
                <w:i w:val="0"/>
                <w:iCs w:val="0"/>
                <w:color w:val="auto"/>
                <w:kern w:val="0"/>
                <w:sz w:val="22"/>
                <w:szCs w:val="22"/>
                <w:highlight w:val="none"/>
                <w:u w:val="none"/>
                <w:lang w:val="en-US" w:eastAsia="zh-CN" w:bidi="ar"/>
              </w:rPr>
              <w:t>：碳钢喷塑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6CCCE0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07967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2DF919">
            <w:pPr>
              <w:jc w:val="both"/>
              <w:rPr>
                <w:rFonts w:hint="eastAsia" w:ascii="宋体" w:hAnsi="宋体" w:eastAsia="宋体" w:cs="宋体"/>
                <w:i w:val="0"/>
                <w:iCs w:val="0"/>
                <w:color w:val="auto"/>
                <w:sz w:val="22"/>
                <w:szCs w:val="22"/>
                <w:highlight w:val="none"/>
                <w:u w:val="none"/>
              </w:rPr>
            </w:pPr>
          </w:p>
        </w:tc>
      </w:tr>
      <w:tr w14:paraId="0517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B303E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4B8DF31B">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★PLC控制柜</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F5DAF7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自动/手动，PLC控制，可编程，配套触摸屏，具有10个以上参数设置对话框。并配置10/100M自适应工业以太网接口模块，柜壳：碳钢喷塑</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607C826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DA5A5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0ADB7D">
            <w:pPr>
              <w:jc w:val="both"/>
              <w:rPr>
                <w:rFonts w:hint="eastAsia" w:ascii="宋体" w:hAnsi="宋体" w:eastAsia="宋体" w:cs="宋体"/>
                <w:i w:val="0"/>
                <w:iCs w:val="0"/>
                <w:color w:val="auto"/>
                <w:sz w:val="22"/>
                <w:szCs w:val="22"/>
                <w:highlight w:val="none"/>
                <w:u w:val="none"/>
              </w:rPr>
            </w:pPr>
          </w:p>
        </w:tc>
      </w:tr>
      <w:tr w14:paraId="2870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F547D3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8AC63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安装系统</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18E12A1">
            <w:pPr>
              <w:jc w:val="both"/>
              <w:rPr>
                <w:rFonts w:hint="eastAsia" w:ascii="宋体" w:hAnsi="宋体" w:eastAsia="宋体" w:cs="宋体"/>
                <w:i w:val="0"/>
                <w:iCs w:val="0"/>
                <w:color w:val="auto"/>
                <w:sz w:val="22"/>
                <w:szCs w:val="22"/>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482EB998">
            <w:pPr>
              <w:jc w:val="both"/>
              <w:rPr>
                <w:rFonts w:hint="eastAsia" w:ascii="宋体" w:hAnsi="宋体" w:eastAsia="宋体" w:cs="宋体"/>
                <w:i w:val="0"/>
                <w:iCs w:val="0"/>
                <w:color w:val="auto"/>
                <w:sz w:val="22"/>
                <w:szCs w:val="22"/>
                <w:highlight w:val="none"/>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0450D8">
            <w:pPr>
              <w:jc w:val="both"/>
              <w:rPr>
                <w:rFonts w:hint="eastAsia" w:ascii="宋体" w:hAnsi="宋体" w:eastAsia="宋体" w:cs="宋体"/>
                <w:i w:val="0"/>
                <w:iCs w:val="0"/>
                <w:color w:val="auto"/>
                <w:sz w:val="22"/>
                <w:szCs w:val="22"/>
                <w:highlight w:val="none"/>
                <w:u w:val="none"/>
              </w:rPr>
            </w:pP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0D5DC8">
            <w:pPr>
              <w:jc w:val="both"/>
              <w:rPr>
                <w:rFonts w:hint="eastAsia" w:ascii="宋体" w:hAnsi="宋体" w:eastAsia="宋体" w:cs="宋体"/>
                <w:i w:val="0"/>
                <w:iCs w:val="0"/>
                <w:color w:val="auto"/>
                <w:sz w:val="22"/>
                <w:szCs w:val="22"/>
                <w:highlight w:val="none"/>
                <w:u w:val="none"/>
              </w:rPr>
            </w:pPr>
          </w:p>
        </w:tc>
      </w:tr>
      <w:tr w14:paraId="2635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CA91DA5">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76693AE">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安装管阀件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428004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配套污水站内全系统，UPVC/不锈钢/碳钢防腐</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6E95C1C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4278E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9BA4B1">
            <w:pPr>
              <w:jc w:val="both"/>
              <w:rPr>
                <w:rFonts w:hint="eastAsia" w:ascii="宋体" w:hAnsi="宋体" w:eastAsia="宋体" w:cs="宋体"/>
                <w:i w:val="0"/>
                <w:iCs w:val="0"/>
                <w:color w:val="auto"/>
                <w:sz w:val="22"/>
                <w:szCs w:val="22"/>
                <w:highlight w:val="none"/>
                <w:u w:val="none"/>
              </w:rPr>
            </w:pPr>
          </w:p>
        </w:tc>
      </w:tr>
      <w:tr w14:paraId="0236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1C51E918">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EC1F7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电线、电缆</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5FB69C1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招标方将主电源接至主柜进线端，从控制柜至设备间内部电缆由投标单位供货、施工，数量：满足污水站内整个系统运行使用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71326F25">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F85B9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30B850">
            <w:pPr>
              <w:jc w:val="both"/>
              <w:rPr>
                <w:rFonts w:hint="eastAsia" w:ascii="宋体" w:hAnsi="宋体" w:eastAsia="宋体" w:cs="宋体"/>
                <w:i w:val="0"/>
                <w:iCs w:val="0"/>
                <w:color w:val="auto"/>
                <w:sz w:val="22"/>
                <w:szCs w:val="22"/>
                <w:highlight w:val="none"/>
                <w:u w:val="none"/>
              </w:rPr>
            </w:pPr>
          </w:p>
        </w:tc>
      </w:tr>
      <w:tr w14:paraId="2C17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A6C88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C2100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线管、桥架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AB40A76">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镀锌，Φ32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9A46D1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41E331">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13C1FE">
            <w:pPr>
              <w:jc w:val="both"/>
              <w:rPr>
                <w:rFonts w:hint="eastAsia" w:ascii="宋体" w:hAnsi="宋体" w:eastAsia="宋体" w:cs="宋体"/>
                <w:i w:val="0"/>
                <w:iCs w:val="0"/>
                <w:color w:val="auto"/>
                <w:sz w:val="22"/>
                <w:szCs w:val="22"/>
                <w:highlight w:val="none"/>
                <w:u w:val="none"/>
              </w:rPr>
            </w:pPr>
          </w:p>
        </w:tc>
      </w:tr>
      <w:tr w14:paraId="6F41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49F4078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EA4AD2">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固定件</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18649F2B">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0C2FF5A4">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F1C7EE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90F56D">
            <w:pPr>
              <w:jc w:val="both"/>
              <w:rPr>
                <w:rFonts w:hint="eastAsia" w:ascii="宋体" w:hAnsi="宋体" w:eastAsia="宋体" w:cs="宋体"/>
                <w:i w:val="0"/>
                <w:iCs w:val="0"/>
                <w:color w:val="auto"/>
                <w:sz w:val="22"/>
                <w:szCs w:val="22"/>
                <w:highlight w:val="none"/>
                <w:u w:val="none"/>
              </w:rPr>
            </w:pPr>
          </w:p>
        </w:tc>
      </w:tr>
      <w:tr w14:paraId="3D6C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B36A06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BF7B270">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防腐</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0D5F387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环氧煤沥青</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0A9062D3">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7C95E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945F84">
            <w:pPr>
              <w:jc w:val="both"/>
              <w:rPr>
                <w:rFonts w:hint="eastAsia" w:ascii="宋体" w:hAnsi="宋体" w:eastAsia="宋体" w:cs="宋体"/>
                <w:i w:val="0"/>
                <w:iCs w:val="0"/>
                <w:color w:val="auto"/>
                <w:sz w:val="22"/>
                <w:szCs w:val="22"/>
                <w:highlight w:val="none"/>
                <w:u w:val="none"/>
              </w:rPr>
            </w:pPr>
          </w:p>
        </w:tc>
      </w:tr>
      <w:tr w14:paraId="17DC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33C2A8C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5CA0D29">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保温</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E3DAAFD">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地上或埋深小于2.</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m管道需保温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437DD01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A74CA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710610">
            <w:pPr>
              <w:jc w:val="both"/>
              <w:rPr>
                <w:rFonts w:hint="eastAsia" w:ascii="宋体" w:hAnsi="宋体" w:eastAsia="宋体" w:cs="宋体"/>
                <w:i w:val="0"/>
                <w:iCs w:val="0"/>
                <w:color w:val="auto"/>
                <w:sz w:val="22"/>
                <w:szCs w:val="22"/>
                <w:highlight w:val="none"/>
                <w:u w:val="none"/>
              </w:rPr>
            </w:pPr>
          </w:p>
        </w:tc>
      </w:tr>
      <w:tr w14:paraId="5378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8DF3CB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564B3F7">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其它</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3D14A4D3">
            <w:pPr>
              <w:jc w:val="both"/>
              <w:rPr>
                <w:rFonts w:hint="eastAsia" w:ascii="宋体" w:hAnsi="宋体" w:eastAsia="宋体" w:cs="宋体"/>
                <w:i w:val="0"/>
                <w:iCs w:val="0"/>
                <w:color w:val="auto"/>
                <w:sz w:val="22"/>
                <w:szCs w:val="22"/>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11142DCE">
            <w:pPr>
              <w:jc w:val="both"/>
              <w:rPr>
                <w:rFonts w:hint="eastAsia" w:ascii="宋体" w:hAnsi="宋体" w:eastAsia="宋体" w:cs="宋体"/>
                <w:i w:val="0"/>
                <w:iCs w:val="0"/>
                <w:color w:val="auto"/>
                <w:sz w:val="22"/>
                <w:szCs w:val="22"/>
                <w:highlight w:val="none"/>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AF3693">
            <w:pPr>
              <w:jc w:val="both"/>
              <w:rPr>
                <w:rFonts w:hint="eastAsia" w:ascii="宋体" w:hAnsi="宋体" w:eastAsia="宋体" w:cs="宋体"/>
                <w:i w:val="0"/>
                <w:iCs w:val="0"/>
                <w:color w:val="auto"/>
                <w:sz w:val="22"/>
                <w:szCs w:val="22"/>
                <w:highlight w:val="none"/>
                <w:u w:val="none"/>
              </w:rPr>
            </w:pP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F273561">
            <w:pPr>
              <w:jc w:val="both"/>
              <w:rPr>
                <w:rFonts w:hint="eastAsia" w:ascii="宋体" w:hAnsi="宋体" w:eastAsia="宋体" w:cs="宋体"/>
                <w:i w:val="0"/>
                <w:iCs w:val="0"/>
                <w:color w:val="auto"/>
                <w:sz w:val="22"/>
                <w:szCs w:val="22"/>
                <w:highlight w:val="none"/>
                <w:u w:val="none"/>
              </w:rPr>
            </w:pPr>
          </w:p>
        </w:tc>
      </w:tr>
      <w:tr w14:paraId="40D5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A35F1AC">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00BC4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运输及吊装</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24021D36">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至项目现场</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CD6883A">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0499F1">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998CAE">
            <w:pPr>
              <w:jc w:val="both"/>
              <w:rPr>
                <w:rFonts w:hint="eastAsia" w:ascii="宋体" w:hAnsi="宋体" w:eastAsia="宋体" w:cs="宋体"/>
                <w:i w:val="0"/>
                <w:iCs w:val="0"/>
                <w:color w:val="auto"/>
                <w:sz w:val="22"/>
                <w:szCs w:val="22"/>
                <w:highlight w:val="none"/>
                <w:u w:val="none"/>
              </w:rPr>
            </w:pPr>
          </w:p>
        </w:tc>
      </w:tr>
      <w:tr w14:paraId="0C54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3D5E6EC6">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D5203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75CC1AB6">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含污水站内所有清单内容安装（不限于清单内容）、现场项目部等临时设施建设、现场管理人员配备等，应满足甲方及监理单位管理要求。现场施工人员及管理人员食宿、保险等应含入报价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0D0CFC97">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A28F79">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065F01">
            <w:pPr>
              <w:jc w:val="both"/>
              <w:rPr>
                <w:rFonts w:hint="eastAsia" w:ascii="宋体" w:hAnsi="宋体" w:eastAsia="宋体" w:cs="宋体"/>
                <w:i w:val="0"/>
                <w:iCs w:val="0"/>
                <w:color w:val="auto"/>
                <w:sz w:val="22"/>
                <w:szCs w:val="22"/>
                <w:highlight w:val="none"/>
                <w:u w:val="none"/>
              </w:rPr>
            </w:pPr>
          </w:p>
        </w:tc>
      </w:tr>
      <w:tr w14:paraId="2CF7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D50B4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2AF823">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调试</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1BFE2730">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提供污泥、菌种，直至出水达到合格标准</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39C885EC">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24E3E6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D24B62">
            <w:pPr>
              <w:jc w:val="both"/>
              <w:rPr>
                <w:rFonts w:hint="eastAsia" w:ascii="宋体" w:hAnsi="宋体" w:eastAsia="宋体" w:cs="宋体"/>
                <w:i w:val="0"/>
                <w:iCs w:val="0"/>
                <w:color w:val="auto"/>
                <w:sz w:val="22"/>
                <w:szCs w:val="22"/>
                <w:highlight w:val="none"/>
                <w:u w:val="none"/>
              </w:rPr>
            </w:pPr>
          </w:p>
        </w:tc>
      </w:tr>
      <w:tr w14:paraId="485D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B528B61">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AAB77F">
            <w:pPr>
              <w:keepNext w:val="0"/>
              <w:keepLines w:val="0"/>
              <w:widowControl/>
              <w:suppressLineNumbers w:val="0"/>
              <w:jc w:val="both"/>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培训服务</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top"/>
          </w:tcPr>
          <w:p w14:paraId="6B905C8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现场操作人员培训，提供2人7天以上培训服务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top"/>
          </w:tcPr>
          <w:p w14:paraId="5C5B475F">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99E886">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68D4E8">
            <w:pPr>
              <w:jc w:val="both"/>
              <w:rPr>
                <w:rFonts w:hint="eastAsia" w:ascii="宋体" w:hAnsi="宋体" w:eastAsia="宋体" w:cs="宋体"/>
                <w:i w:val="0"/>
                <w:iCs w:val="0"/>
                <w:color w:val="auto"/>
                <w:sz w:val="22"/>
                <w:szCs w:val="22"/>
                <w:highlight w:val="none"/>
                <w:u w:val="none"/>
              </w:rPr>
            </w:pPr>
          </w:p>
        </w:tc>
      </w:tr>
      <w:tr w14:paraId="3EA3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1" w:type="dxa"/>
          <w:trHeight w:val="451" w:hRule="atLeast"/>
        </w:trPr>
        <w:tc>
          <w:tcPr>
            <w:tcW w:w="9402" w:type="dxa"/>
            <w:gridSpan w:val="8"/>
            <w:tcBorders>
              <w:top w:val="nil"/>
              <w:left w:val="nil"/>
              <w:bottom w:val="nil"/>
              <w:right w:val="nil"/>
            </w:tcBorders>
            <w:shd w:val="clear" w:color="auto" w:fill="auto"/>
            <w:vAlign w:val="top"/>
          </w:tcPr>
          <w:p w14:paraId="2A6B1E4E">
            <w:pPr>
              <w:keepNext w:val="0"/>
              <w:keepLines w:val="0"/>
              <w:widowControl/>
              <w:suppressLineNumbers w:val="0"/>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招标文件技术指标参数要求均为项目的参考指标，并不局限于某一品牌。投标人在投标中可以选用替代指标，但这些替代技术指标要实质上相当于或优于招标文件中的要求。</w:t>
            </w:r>
          </w:p>
        </w:tc>
      </w:tr>
      <w:tr w14:paraId="0D2A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13" w:type="dxa"/>
            <w:tcBorders>
              <w:top w:val="nil"/>
              <w:left w:val="nil"/>
              <w:bottom w:val="nil"/>
              <w:right w:val="nil"/>
            </w:tcBorders>
            <w:shd w:val="clear" w:color="auto" w:fill="auto"/>
            <w:vAlign w:val="top"/>
          </w:tcPr>
          <w:p w14:paraId="6B1EF6B5">
            <w:pPr>
              <w:jc w:val="both"/>
              <w:rPr>
                <w:rFonts w:hint="eastAsia" w:ascii="宋体" w:hAnsi="宋体" w:eastAsia="宋体" w:cs="宋体"/>
                <w:i w:val="0"/>
                <w:iCs w:val="0"/>
                <w:color w:val="000000"/>
                <w:sz w:val="22"/>
                <w:szCs w:val="22"/>
                <w:highlight w:val="none"/>
                <w:u w:val="none"/>
              </w:rPr>
            </w:pPr>
          </w:p>
        </w:tc>
        <w:tc>
          <w:tcPr>
            <w:tcW w:w="4521" w:type="dxa"/>
            <w:gridSpan w:val="2"/>
            <w:tcBorders>
              <w:top w:val="nil"/>
              <w:left w:val="nil"/>
              <w:bottom w:val="nil"/>
              <w:right w:val="nil"/>
            </w:tcBorders>
            <w:shd w:val="clear" w:color="auto" w:fill="auto"/>
            <w:vAlign w:val="top"/>
          </w:tcPr>
          <w:p w14:paraId="52CE86AE">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注：当地海拔1677m。</w:t>
            </w:r>
          </w:p>
        </w:tc>
        <w:tc>
          <w:tcPr>
            <w:tcW w:w="909" w:type="dxa"/>
            <w:tcBorders>
              <w:top w:val="nil"/>
              <w:left w:val="nil"/>
              <w:bottom w:val="nil"/>
              <w:right w:val="nil"/>
            </w:tcBorders>
            <w:shd w:val="clear" w:color="auto" w:fill="auto"/>
            <w:vAlign w:val="top"/>
          </w:tcPr>
          <w:p w14:paraId="237D228A">
            <w:pPr>
              <w:jc w:val="both"/>
              <w:rPr>
                <w:rFonts w:hint="eastAsia" w:ascii="宋体" w:hAnsi="宋体" w:eastAsia="宋体" w:cs="宋体"/>
                <w:i w:val="0"/>
                <w:iCs w:val="0"/>
                <w:color w:val="auto"/>
                <w:sz w:val="22"/>
                <w:szCs w:val="22"/>
                <w:highlight w:val="none"/>
                <w:u w:val="none"/>
              </w:rPr>
            </w:pPr>
          </w:p>
        </w:tc>
        <w:tc>
          <w:tcPr>
            <w:tcW w:w="1138" w:type="dxa"/>
            <w:gridSpan w:val="3"/>
            <w:tcBorders>
              <w:top w:val="nil"/>
              <w:left w:val="nil"/>
              <w:bottom w:val="nil"/>
              <w:right w:val="nil"/>
            </w:tcBorders>
            <w:shd w:val="clear" w:color="auto" w:fill="auto"/>
            <w:vAlign w:val="top"/>
          </w:tcPr>
          <w:p w14:paraId="63DF5D2B">
            <w:pPr>
              <w:jc w:val="both"/>
              <w:rPr>
                <w:rFonts w:hint="eastAsia" w:ascii="宋体" w:hAnsi="宋体" w:eastAsia="宋体" w:cs="宋体"/>
                <w:i w:val="0"/>
                <w:iCs w:val="0"/>
                <w:color w:val="auto"/>
                <w:sz w:val="22"/>
                <w:szCs w:val="22"/>
                <w:highlight w:val="none"/>
                <w:u w:val="none"/>
              </w:rPr>
            </w:pPr>
          </w:p>
        </w:tc>
        <w:tc>
          <w:tcPr>
            <w:tcW w:w="2282" w:type="dxa"/>
            <w:gridSpan w:val="3"/>
            <w:tcBorders>
              <w:top w:val="nil"/>
              <w:left w:val="nil"/>
              <w:bottom w:val="nil"/>
              <w:right w:val="nil"/>
            </w:tcBorders>
            <w:shd w:val="clear" w:color="auto" w:fill="auto"/>
            <w:vAlign w:val="top"/>
          </w:tcPr>
          <w:p w14:paraId="1A3A643C">
            <w:pPr>
              <w:jc w:val="both"/>
              <w:rPr>
                <w:rFonts w:hint="eastAsia" w:ascii="宋体" w:hAnsi="宋体" w:eastAsia="宋体" w:cs="宋体"/>
                <w:i w:val="0"/>
                <w:iCs w:val="0"/>
                <w:color w:val="auto"/>
                <w:sz w:val="22"/>
                <w:szCs w:val="22"/>
                <w:highlight w:val="none"/>
                <w:u w:val="none"/>
              </w:rPr>
            </w:pPr>
          </w:p>
        </w:tc>
      </w:tr>
    </w:tbl>
    <w:tbl>
      <w:tblPr>
        <w:tblStyle w:val="47"/>
        <w:tblpPr w:leftFromText="180" w:rightFromText="180" w:vertAnchor="text" w:horzAnchor="page" w:tblpX="1194" w:tblpY="604"/>
        <w:tblOverlap w:val="never"/>
        <w:tblW w:w="9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849"/>
        <w:gridCol w:w="2948"/>
        <w:gridCol w:w="1125"/>
        <w:gridCol w:w="1082"/>
        <w:gridCol w:w="1768"/>
      </w:tblGrid>
      <w:tr w14:paraId="62A1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28" w:type="dxa"/>
            <w:gridSpan w:val="6"/>
            <w:tcBorders>
              <w:top w:val="nil"/>
              <w:left w:val="nil"/>
              <w:bottom w:val="nil"/>
              <w:right w:val="nil"/>
            </w:tcBorders>
            <w:shd w:val="clear" w:color="auto" w:fill="auto"/>
            <w:vAlign w:val="center"/>
          </w:tcPr>
          <w:p w14:paraId="69A719F9">
            <w:pPr>
              <w:keepNext w:val="0"/>
              <w:keepLines w:val="0"/>
              <w:widowControl/>
              <w:suppressLineNumbers w:val="0"/>
              <w:jc w:val="center"/>
              <w:textAlignment w:val="center"/>
              <w:rPr>
                <w:rFonts w:hint="eastAsia" w:ascii="宋体" w:hAnsi="宋体" w:eastAsia="宋体" w:cs="宋体"/>
                <w:b/>
                <w:bCs/>
                <w:i w:val="0"/>
                <w:iCs w:val="0"/>
                <w:color w:val="000000"/>
                <w:sz w:val="26"/>
                <w:szCs w:val="26"/>
                <w:highlight w:val="none"/>
                <w:u w:val="none"/>
              </w:rPr>
            </w:pPr>
            <w:r>
              <w:rPr>
                <w:rFonts w:hint="eastAsia" w:ascii="宋体" w:hAnsi="宋体" w:eastAsia="宋体" w:cs="宋体"/>
                <w:b/>
                <w:bCs/>
                <w:i w:val="0"/>
                <w:iCs w:val="0"/>
                <w:color w:val="000000"/>
                <w:kern w:val="0"/>
                <w:sz w:val="26"/>
                <w:szCs w:val="26"/>
                <w:highlight w:val="none"/>
                <w:u w:val="none"/>
                <w:lang w:val="en-US" w:eastAsia="zh-CN" w:bidi="ar"/>
              </w:rPr>
              <w:t>300T/D生活污水处理工程设备清单</w:t>
            </w:r>
          </w:p>
        </w:tc>
      </w:tr>
      <w:tr w14:paraId="7EC1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nil"/>
              <w:left w:val="nil"/>
              <w:bottom w:val="nil"/>
              <w:right w:val="nil"/>
            </w:tcBorders>
            <w:shd w:val="clear" w:color="auto" w:fill="auto"/>
            <w:noWrap/>
            <w:vAlign w:val="center"/>
          </w:tcPr>
          <w:p w14:paraId="58B30049">
            <w:pPr>
              <w:jc w:val="center"/>
              <w:rPr>
                <w:rFonts w:hint="eastAsia" w:ascii="宋体" w:hAnsi="宋体" w:eastAsia="宋体" w:cs="宋体"/>
                <w:i w:val="0"/>
                <w:iCs w:val="0"/>
                <w:color w:val="000000"/>
                <w:sz w:val="22"/>
                <w:szCs w:val="22"/>
                <w:highlight w:val="none"/>
                <w:u w:val="none"/>
              </w:rPr>
            </w:pPr>
          </w:p>
        </w:tc>
        <w:tc>
          <w:tcPr>
            <w:tcW w:w="1849" w:type="dxa"/>
            <w:tcBorders>
              <w:top w:val="nil"/>
              <w:left w:val="nil"/>
              <w:bottom w:val="nil"/>
              <w:right w:val="nil"/>
            </w:tcBorders>
            <w:shd w:val="clear" w:color="auto" w:fill="auto"/>
            <w:noWrap/>
            <w:vAlign w:val="center"/>
          </w:tcPr>
          <w:p w14:paraId="676FBABC">
            <w:pPr>
              <w:jc w:val="center"/>
              <w:rPr>
                <w:rFonts w:hint="eastAsia" w:ascii="宋体" w:hAnsi="宋体" w:eastAsia="宋体" w:cs="宋体"/>
                <w:i w:val="0"/>
                <w:iCs w:val="0"/>
                <w:color w:val="000000"/>
                <w:sz w:val="22"/>
                <w:szCs w:val="22"/>
                <w:highlight w:val="none"/>
                <w:u w:val="none"/>
              </w:rPr>
            </w:pPr>
          </w:p>
        </w:tc>
        <w:tc>
          <w:tcPr>
            <w:tcW w:w="2948" w:type="dxa"/>
            <w:tcBorders>
              <w:top w:val="nil"/>
              <w:left w:val="nil"/>
              <w:bottom w:val="nil"/>
              <w:right w:val="nil"/>
            </w:tcBorders>
            <w:shd w:val="clear" w:color="auto" w:fill="auto"/>
            <w:vAlign w:val="center"/>
          </w:tcPr>
          <w:p w14:paraId="47965AB9">
            <w:pPr>
              <w:jc w:val="center"/>
              <w:rPr>
                <w:rFonts w:hint="eastAsia" w:ascii="宋体" w:hAnsi="宋体" w:eastAsia="宋体" w:cs="宋体"/>
                <w:i w:val="0"/>
                <w:iCs w:val="0"/>
                <w:color w:val="000000"/>
                <w:sz w:val="22"/>
                <w:szCs w:val="22"/>
                <w:highlight w:val="none"/>
                <w:u w:val="none"/>
              </w:rPr>
            </w:pPr>
          </w:p>
        </w:tc>
        <w:tc>
          <w:tcPr>
            <w:tcW w:w="1125" w:type="dxa"/>
            <w:tcBorders>
              <w:top w:val="nil"/>
              <w:left w:val="nil"/>
              <w:bottom w:val="nil"/>
              <w:right w:val="nil"/>
            </w:tcBorders>
            <w:shd w:val="clear" w:color="auto" w:fill="auto"/>
            <w:noWrap/>
            <w:vAlign w:val="center"/>
          </w:tcPr>
          <w:p w14:paraId="54E25710">
            <w:pPr>
              <w:jc w:val="center"/>
              <w:rPr>
                <w:rFonts w:hint="eastAsia" w:ascii="宋体" w:hAnsi="宋体" w:eastAsia="宋体" w:cs="宋体"/>
                <w:i w:val="0"/>
                <w:iCs w:val="0"/>
                <w:color w:val="000000"/>
                <w:sz w:val="22"/>
                <w:szCs w:val="22"/>
                <w:highlight w:val="none"/>
                <w:u w:val="none"/>
              </w:rPr>
            </w:pPr>
          </w:p>
        </w:tc>
        <w:tc>
          <w:tcPr>
            <w:tcW w:w="1082" w:type="dxa"/>
            <w:tcBorders>
              <w:top w:val="nil"/>
              <w:left w:val="nil"/>
              <w:bottom w:val="nil"/>
              <w:right w:val="nil"/>
            </w:tcBorders>
            <w:shd w:val="clear" w:color="auto" w:fill="auto"/>
            <w:noWrap/>
            <w:vAlign w:val="center"/>
          </w:tcPr>
          <w:p w14:paraId="64379D7F">
            <w:pPr>
              <w:jc w:val="center"/>
              <w:rPr>
                <w:rFonts w:hint="eastAsia" w:ascii="宋体" w:hAnsi="宋体" w:eastAsia="宋体" w:cs="宋体"/>
                <w:i w:val="0"/>
                <w:iCs w:val="0"/>
                <w:color w:val="000000"/>
                <w:sz w:val="22"/>
                <w:szCs w:val="22"/>
                <w:highlight w:val="none"/>
                <w:u w:val="none"/>
              </w:rPr>
            </w:pPr>
          </w:p>
        </w:tc>
        <w:tc>
          <w:tcPr>
            <w:tcW w:w="1768" w:type="dxa"/>
            <w:tcBorders>
              <w:top w:val="nil"/>
              <w:left w:val="nil"/>
              <w:bottom w:val="nil"/>
              <w:right w:val="nil"/>
            </w:tcBorders>
            <w:shd w:val="clear" w:color="auto" w:fill="auto"/>
            <w:vAlign w:val="center"/>
          </w:tcPr>
          <w:p w14:paraId="4397CFD7">
            <w:pPr>
              <w:jc w:val="center"/>
              <w:rPr>
                <w:rFonts w:hint="eastAsia" w:ascii="宋体" w:hAnsi="宋体" w:eastAsia="宋体" w:cs="宋体"/>
                <w:i w:val="0"/>
                <w:iCs w:val="0"/>
                <w:color w:val="000000"/>
                <w:sz w:val="22"/>
                <w:szCs w:val="22"/>
                <w:highlight w:val="none"/>
                <w:u w:val="none"/>
              </w:rPr>
            </w:pPr>
          </w:p>
        </w:tc>
      </w:tr>
      <w:tr w14:paraId="19D2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7F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44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9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规格参数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35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9C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29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6679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77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调节池</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A3CE">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6FC3">
            <w:pPr>
              <w:jc w:val="center"/>
              <w:rPr>
                <w:rFonts w:hint="eastAsia" w:ascii="宋体" w:hAnsi="宋体" w:eastAsia="宋体" w:cs="宋体"/>
                <w:i w:val="0"/>
                <w:iCs w:val="0"/>
                <w:color w:val="000000"/>
                <w:sz w:val="22"/>
                <w:szCs w:val="22"/>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E103">
            <w:pPr>
              <w:jc w:val="center"/>
              <w:rPr>
                <w:rFonts w:hint="eastAsia" w:ascii="宋体" w:hAnsi="宋体" w:eastAsia="宋体" w:cs="宋体"/>
                <w:i w:val="0"/>
                <w:iCs w:val="0"/>
                <w:color w:val="000000"/>
                <w:sz w:val="22"/>
                <w:szCs w:val="22"/>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4AFA">
            <w:pPr>
              <w:jc w:val="center"/>
              <w:rPr>
                <w:rFonts w:hint="eastAsia" w:ascii="宋体" w:hAnsi="宋体" w:eastAsia="宋体" w:cs="宋体"/>
                <w:i w:val="0"/>
                <w:iCs w:val="0"/>
                <w:color w:val="000000"/>
                <w:sz w:val="22"/>
                <w:szCs w:val="22"/>
                <w:highlight w:val="none"/>
                <w:u w:val="none"/>
              </w:rPr>
            </w:pPr>
          </w:p>
        </w:tc>
      </w:tr>
      <w:tr w14:paraId="1C32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1E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24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★调节池提升泵</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A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Q=15m3/h，H=10m,自耦安装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68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F4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C1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一用一备</w:t>
            </w:r>
          </w:p>
        </w:tc>
      </w:tr>
      <w:tr w14:paraId="5302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B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0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水泵管阀及导杆</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C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DN50,导杆不低于镀锌材质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9F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EA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D35A">
            <w:pPr>
              <w:jc w:val="center"/>
              <w:rPr>
                <w:rFonts w:hint="eastAsia" w:ascii="宋体" w:hAnsi="宋体" w:eastAsia="宋体" w:cs="宋体"/>
                <w:i w:val="0"/>
                <w:iCs w:val="0"/>
                <w:color w:val="000000"/>
                <w:sz w:val="22"/>
                <w:szCs w:val="22"/>
                <w:highlight w:val="none"/>
                <w:u w:val="none"/>
              </w:rPr>
            </w:pPr>
          </w:p>
        </w:tc>
      </w:tr>
      <w:tr w14:paraId="2704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2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6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液位计</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B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带信号输出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F6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DB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671">
            <w:pPr>
              <w:jc w:val="center"/>
              <w:rPr>
                <w:rFonts w:hint="eastAsia" w:ascii="宋体" w:hAnsi="宋体" w:eastAsia="宋体" w:cs="宋体"/>
                <w:i w:val="0"/>
                <w:iCs w:val="0"/>
                <w:color w:val="000000"/>
                <w:sz w:val="22"/>
                <w:szCs w:val="22"/>
                <w:highlight w:val="none"/>
                <w:u w:val="none"/>
              </w:rPr>
            </w:pPr>
          </w:p>
        </w:tc>
      </w:tr>
      <w:tr w14:paraId="6FF2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E7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B3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一体化处理设备</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AE8">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386E">
            <w:pPr>
              <w:jc w:val="center"/>
              <w:rPr>
                <w:rFonts w:hint="eastAsia" w:ascii="宋体" w:hAnsi="宋体" w:eastAsia="宋体" w:cs="宋体"/>
                <w:i w:val="0"/>
                <w:iCs w:val="0"/>
                <w:color w:val="000000"/>
                <w:sz w:val="22"/>
                <w:szCs w:val="22"/>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9442">
            <w:pPr>
              <w:jc w:val="center"/>
              <w:rPr>
                <w:rFonts w:hint="eastAsia" w:ascii="宋体" w:hAnsi="宋体" w:eastAsia="宋体" w:cs="宋体"/>
                <w:i w:val="0"/>
                <w:iCs w:val="0"/>
                <w:color w:val="000000"/>
                <w:sz w:val="22"/>
                <w:szCs w:val="22"/>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7909">
            <w:pPr>
              <w:jc w:val="center"/>
              <w:rPr>
                <w:rFonts w:hint="eastAsia" w:ascii="宋体" w:hAnsi="宋体" w:eastAsia="宋体" w:cs="宋体"/>
                <w:i w:val="0"/>
                <w:iCs w:val="0"/>
                <w:color w:val="000000"/>
                <w:sz w:val="22"/>
                <w:szCs w:val="22"/>
                <w:highlight w:val="none"/>
                <w:u w:val="none"/>
              </w:rPr>
            </w:pPr>
          </w:p>
        </w:tc>
      </w:tr>
      <w:tr w14:paraId="0014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94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E6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★一体化箱体</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3D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设备尺寸：Φ3*16.5</w:t>
            </w:r>
            <w:r>
              <w:rPr>
                <w:rFonts w:hint="eastAsia" w:ascii="宋体" w:hAnsi="宋体" w:eastAsia="宋体" w:cs="宋体"/>
                <w:i w:val="0"/>
                <w:iCs w:val="0"/>
                <w:color w:val="000000"/>
                <w:kern w:val="0"/>
                <w:sz w:val="22"/>
                <w:szCs w:val="22"/>
                <w:highlight w:val="none"/>
                <w:u w:val="none"/>
                <w:lang w:val="en-US" w:eastAsia="zh-CN" w:bidi="ar"/>
              </w:rPr>
              <w:t>m</w:t>
            </w:r>
            <w:r>
              <w:rPr>
                <w:rFonts w:hint="eastAsia" w:ascii="宋体" w:hAnsi="宋体" w:cs="宋体"/>
                <w:i w:val="0"/>
                <w:iCs w:val="0"/>
                <w:color w:val="000000"/>
                <w:kern w:val="0"/>
                <w:sz w:val="22"/>
                <w:szCs w:val="22"/>
                <w:highlight w:val="none"/>
                <w:u w:val="none"/>
                <w:lang w:val="en-US" w:eastAsia="zh-CN" w:bidi="ar"/>
              </w:rPr>
              <w:t>（含四套检修通道设备总高为5.1m）；材质：高膜量聚丙烯；弹性模量：≥1500MPA；材料密度：0.90~0.91g/m³；吸水率：≤0.01%；分子量：80000~150000g/mol；厚度：45mm；设备内部环圈加固；检修孔：φ630mm*2100mm/4套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F2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17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8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26C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D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C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★潜水搅拌机</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5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N=0.85kW，配套提升系统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E0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2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不锈钢304</w:t>
            </w:r>
          </w:p>
        </w:tc>
      </w:tr>
      <w:tr w14:paraId="16DF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AF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2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缺氧池曝气</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36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DN65,含管阀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EF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29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B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w:t>
            </w:r>
          </w:p>
        </w:tc>
      </w:tr>
      <w:tr w14:paraId="0392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B9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1C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缺氧池填料支架</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8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10#槽钢+Φ14螺纹钢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6B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13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9E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碳钢防腐</w:t>
            </w:r>
          </w:p>
        </w:tc>
      </w:tr>
      <w:tr w14:paraId="3688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C8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91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缺氧池生物填料</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5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φ150，组合填料，片重3g，丝重1.6g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42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BE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297D">
            <w:pPr>
              <w:jc w:val="center"/>
              <w:rPr>
                <w:rFonts w:hint="eastAsia" w:ascii="宋体" w:hAnsi="宋体" w:eastAsia="宋体" w:cs="宋体"/>
                <w:i w:val="0"/>
                <w:iCs w:val="0"/>
                <w:color w:val="000000"/>
                <w:sz w:val="22"/>
                <w:szCs w:val="22"/>
                <w:highlight w:val="none"/>
                <w:u w:val="none"/>
              </w:rPr>
            </w:pPr>
          </w:p>
        </w:tc>
      </w:tr>
      <w:tr w14:paraId="5C03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59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B3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微孔曝气装置</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8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φ215mm,ABS+三元乙丙，氧转移率：15%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3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B5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F7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含管道及支架</w:t>
            </w:r>
          </w:p>
        </w:tc>
      </w:tr>
      <w:tr w14:paraId="7E90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13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DE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好氧池填料支架</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B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10#槽钢+Φ14螺纹钢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93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E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B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碳钢防腐</w:t>
            </w:r>
          </w:p>
        </w:tc>
      </w:tr>
      <w:tr w14:paraId="2F6C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E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2E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好氧池生物填料</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AE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φ150，组合填料，片重3g，丝重1.6g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35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A5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86B">
            <w:pPr>
              <w:jc w:val="center"/>
              <w:rPr>
                <w:rFonts w:hint="eastAsia" w:ascii="宋体" w:hAnsi="宋体" w:eastAsia="宋体" w:cs="宋体"/>
                <w:i w:val="0"/>
                <w:iCs w:val="0"/>
                <w:color w:val="000000"/>
                <w:sz w:val="22"/>
                <w:szCs w:val="22"/>
                <w:highlight w:val="none"/>
                <w:u w:val="none"/>
              </w:rPr>
            </w:pPr>
          </w:p>
        </w:tc>
      </w:tr>
      <w:tr w14:paraId="2F0A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75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斜管填料</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E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Φ50×1000mm,片厚1.0mm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81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F6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9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乙丙共聚</w:t>
            </w:r>
          </w:p>
        </w:tc>
      </w:tr>
      <w:tr w14:paraId="5DF0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0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12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斜管填料支架</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A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10#槽钢+Φ14螺纹钢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EE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70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F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碳钢防腐</w:t>
            </w:r>
          </w:p>
        </w:tc>
      </w:tr>
      <w:tr w14:paraId="2192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E7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4A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★混合液回流泵</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6A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Q=15m3/h，H=10m,自耦安装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2F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E5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330">
            <w:pPr>
              <w:jc w:val="center"/>
              <w:rPr>
                <w:rFonts w:hint="eastAsia" w:ascii="宋体" w:hAnsi="宋体" w:eastAsia="宋体" w:cs="宋体"/>
                <w:i w:val="0"/>
                <w:iCs w:val="0"/>
                <w:color w:val="000000"/>
                <w:sz w:val="22"/>
                <w:szCs w:val="22"/>
                <w:highlight w:val="none"/>
                <w:u w:val="none"/>
              </w:rPr>
            </w:pPr>
          </w:p>
        </w:tc>
      </w:tr>
      <w:tr w14:paraId="4E2E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26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4A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★污泥泵</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D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Q=10m3/h，H=10m,自耦安装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53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41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AC3">
            <w:pPr>
              <w:jc w:val="center"/>
              <w:rPr>
                <w:rFonts w:hint="eastAsia" w:ascii="宋体" w:hAnsi="宋体" w:eastAsia="宋体" w:cs="宋体"/>
                <w:i w:val="0"/>
                <w:iCs w:val="0"/>
                <w:color w:val="000000"/>
                <w:sz w:val="22"/>
                <w:szCs w:val="22"/>
                <w:highlight w:val="none"/>
                <w:u w:val="none"/>
              </w:rPr>
            </w:pPr>
          </w:p>
        </w:tc>
      </w:tr>
      <w:tr w14:paraId="734B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DF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77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水泵管阀及导杆</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FC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配套，导杆不低于镀锌材质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DE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49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3983">
            <w:pPr>
              <w:jc w:val="center"/>
              <w:rPr>
                <w:rFonts w:hint="eastAsia" w:ascii="宋体" w:hAnsi="宋体" w:eastAsia="宋体" w:cs="宋体"/>
                <w:i w:val="0"/>
                <w:iCs w:val="0"/>
                <w:color w:val="000000"/>
                <w:sz w:val="22"/>
                <w:szCs w:val="22"/>
                <w:highlight w:val="none"/>
                <w:u w:val="none"/>
              </w:rPr>
            </w:pPr>
          </w:p>
        </w:tc>
      </w:tr>
      <w:tr w14:paraId="1FBF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00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9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深度处理</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903">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3836">
            <w:pPr>
              <w:jc w:val="center"/>
              <w:rPr>
                <w:rFonts w:hint="eastAsia" w:ascii="宋体" w:hAnsi="宋体" w:eastAsia="宋体" w:cs="宋体"/>
                <w:i w:val="0"/>
                <w:iCs w:val="0"/>
                <w:color w:val="000000"/>
                <w:sz w:val="22"/>
                <w:szCs w:val="22"/>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B160">
            <w:pPr>
              <w:jc w:val="center"/>
              <w:rPr>
                <w:rFonts w:hint="eastAsia" w:ascii="宋体" w:hAnsi="宋体" w:eastAsia="宋体" w:cs="宋体"/>
                <w:i w:val="0"/>
                <w:iCs w:val="0"/>
                <w:color w:val="000000"/>
                <w:sz w:val="22"/>
                <w:szCs w:val="22"/>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66E3">
            <w:pPr>
              <w:jc w:val="center"/>
              <w:rPr>
                <w:rFonts w:hint="eastAsia" w:ascii="宋体" w:hAnsi="宋体" w:eastAsia="宋体" w:cs="宋体"/>
                <w:i w:val="0"/>
                <w:iCs w:val="0"/>
                <w:color w:val="000000"/>
                <w:sz w:val="22"/>
                <w:szCs w:val="22"/>
                <w:highlight w:val="none"/>
                <w:u w:val="none"/>
              </w:rPr>
            </w:pPr>
          </w:p>
        </w:tc>
      </w:tr>
      <w:tr w14:paraId="5BE7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8B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C0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★过滤进水泵</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ED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Q=15m3/h，H=22m，立式多级离心泵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66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60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1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过流不锈钢</w:t>
            </w:r>
          </w:p>
        </w:tc>
      </w:tr>
      <w:tr w14:paraId="7FBC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8C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9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过滤器</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DD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DN1500，直段2m，板厚8mm，封头10mm，碳钢衬胶，含配管及电动阀门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24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E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F2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碳钢衬胶</w:t>
            </w:r>
          </w:p>
        </w:tc>
      </w:tr>
      <w:tr w14:paraId="3D06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9E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84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石英砂滤料</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B1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按级配，滤料层高1000mm以上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08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9E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2B0">
            <w:pPr>
              <w:jc w:val="center"/>
              <w:rPr>
                <w:rFonts w:hint="eastAsia" w:ascii="宋体" w:hAnsi="宋体" w:eastAsia="宋体" w:cs="宋体"/>
                <w:i w:val="0"/>
                <w:iCs w:val="0"/>
                <w:color w:val="000000"/>
                <w:sz w:val="22"/>
                <w:szCs w:val="22"/>
                <w:highlight w:val="none"/>
                <w:u w:val="none"/>
              </w:rPr>
            </w:pPr>
          </w:p>
        </w:tc>
      </w:tr>
      <w:tr w14:paraId="1A3A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A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22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电动阀系</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A3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DN40×1台，DN65×2台，DN100×2台，共5台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F5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46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7C18">
            <w:pPr>
              <w:jc w:val="center"/>
              <w:rPr>
                <w:rFonts w:hint="eastAsia" w:ascii="宋体" w:hAnsi="宋体" w:eastAsia="宋体" w:cs="宋体"/>
                <w:i w:val="0"/>
                <w:iCs w:val="0"/>
                <w:color w:val="000000"/>
                <w:sz w:val="22"/>
                <w:szCs w:val="22"/>
                <w:highlight w:val="none"/>
                <w:u w:val="none"/>
              </w:rPr>
            </w:pPr>
          </w:p>
        </w:tc>
      </w:tr>
      <w:tr w14:paraId="34FB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5A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10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差压变送器</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B0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带4-20mA信号输出，实现自动反冲洗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CD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36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FB57">
            <w:pPr>
              <w:jc w:val="center"/>
              <w:rPr>
                <w:rFonts w:hint="eastAsia" w:ascii="宋体" w:hAnsi="宋体" w:eastAsia="宋体" w:cs="宋体"/>
                <w:i w:val="0"/>
                <w:iCs w:val="0"/>
                <w:color w:val="000000"/>
                <w:sz w:val="22"/>
                <w:szCs w:val="22"/>
                <w:highlight w:val="none"/>
                <w:u w:val="none"/>
              </w:rPr>
            </w:pPr>
          </w:p>
        </w:tc>
      </w:tr>
      <w:tr w14:paraId="155C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8A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BE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★反洗泵</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Q=60m3/h，H=20m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2F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8C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762">
            <w:pPr>
              <w:jc w:val="center"/>
              <w:rPr>
                <w:rFonts w:hint="eastAsia" w:ascii="宋体" w:hAnsi="宋体" w:eastAsia="宋体" w:cs="宋体"/>
                <w:i w:val="0"/>
                <w:iCs w:val="0"/>
                <w:color w:val="000000"/>
                <w:sz w:val="22"/>
                <w:szCs w:val="22"/>
                <w:highlight w:val="none"/>
                <w:u w:val="none"/>
              </w:rPr>
            </w:pPr>
          </w:p>
        </w:tc>
      </w:tr>
      <w:tr w14:paraId="2CF0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E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6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管道混合器</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2C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静态管道混合器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48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F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60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UPVC/碳钢防腐</w:t>
            </w:r>
          </w:p>
        </w:tc>
      </w:tr>
      <w:tr w14:paraId="73AB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DC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71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流量计</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3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DN65×1台，DN100×1台，共2台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9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1C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4F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有机玻璃</w:t>
            </w:r>
          </w:p>
        </w:tc>
      </w:tr>
      <w:tr w14:paraId="0BF7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48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FC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液位计</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AF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带信号输出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8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7D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1F9D">
            <w:pPr>
              <w:jc w:val="center"/>
              <w:rPr>
                <w:rFonts w:hint="eastAsia" w:ascii="宋体" w:hAnsi="宋体" w:eastAsia="宋体" w:cs="宋体"/>
                <w:i w:val="0"/>
                <w:iCs w:val="0"/>
                <w:color w:val="000000"/>
                <w:sz w:val="22"/>
                <w:szCs w:val="22"/>
                <w:highlight w:val="none"/>
                <w:u w:val="none"/>
              </w:rPr>
            </w:pPr>
          </w:p>
        </w:tc>
      </w:tr>
      <w:tr w14:paraId="6DF4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50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FD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设备间</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6997">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78B9">
            <w:pPr>
              <w:jc w:val="center"/>
              <w:rPr>
                <w:rFonts w:hint="eastAsia" w:ascii="宋体" w:hAnsi="宋体" w:eastAsia="宋体" w:cs="宋体"/>
                <w:i w:val="0"/>
                <w:iCs w:val="0"/>
                <w:color w:val="000000"/>
                <w:sz w:val="22"/>
                <w:szCs w:val="22"/>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64B5">
            <w:pPr>
              <w:jc w:val="center"/>
              <w:rPr>
                <w:rFonts w:hint="eastAsia" w:ascii="宋体" w:hAnsi="宋体" w:eastAsia="宋体" w:cs="宋体"/>
                <w:i w:val="0"/>
                <w:iCs w:val="0"/>
                <w:color w:val="000000"/>
                <w:sz w:val="22"/>
                <w:szCs w:val="22"/>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DFB2">
            <w:pPr>
              <w:jc w:val="center"/>
              <w:rPr>
                <w:rFonts w:hint="eastAsia" w:ascii="宋体" w:hAnsi="宋体" w:eastAsia="宋体" w:cs="宋体"/>
                <w:i w:val="0"/>
                <w:iCs w:val="0"/>
                <w:color w:val="000000"/>
                <w:sz w:val="22"/>
                <w:szCs w:val="22"/>
                <w:highlight w:val="none"/>
                <w:u w:val="none"/>
              </w:rPr>
            </w:pPr>
          </w:p>
        </w:tc>
      </w:tr>
      <w:tr w14:paraId="0E16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B7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3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★曝气风机</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9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Q=4.1m3/min，P=0.03MPa，转速≤1300rpm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2A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B9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96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一用一备</w:t>
            </w:r>
          </w:p>
        </w:tc>
      </w:tr>
      <w:tr w14:paraId="6C28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7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4B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★自动加药装置</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4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配药量：500L,计量泵流量：50L/h，自动投加，成套装置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01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F2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0D0">
            <w:pPr>
              <w:jc w:val="center"/>
              <w:rPr>
                <w:rFonts w:hint="eastAsia" w:ascii="宋体" w:hAnsi="宋体" w:eastAsia="宋体" w:cs="宋体"/>
                <w:i w:val="0"/>
                <w:iCs w:val="0"/>
                <w:color w:val="000000"/>
                <w:sz w:val="22"/>
                <w:szCs w:val="22"/>
                <w:highlight w:val="none"/>
                <w:u w:val="none"/>
              </w:rPr>
            </w:pPr>
          </w:p>
        </w:tc>
      </w:tr>
      <w:tr w14:paraId="5A95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43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17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★就地控制柜</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1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室外防雨，柜壳不锈钢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C1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EA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4F90">
            <w:pPr>
              <w:jc w:val="center"/>
              <w:rPr>
                <w:rFonts w:hint="eastAsia" w:ascii="宋体" w:hAnsi="宋体" w:eastAsia="宋体" w:cs="宋体"/>
                <w:i w:val="0"/>
                <w:iCs w:val="0"/>
                <w:color w:val="000000"/>
                <w:sz w:val="22"/>
                <w:szCs w:val="22"/>
                <w:highlight w:val="none"/>
                <w:u w:val="none"/>
              </w:rPr>
            </w:pPr>
          </w:p>
        </w:tc>
      </w:tr>
      <w:tr w14:paraId="5EBE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F2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3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★PLC控制柜</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1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自动/手动，PLC控制，可编程，配套触摸屏，具有10个以上参数设置对话框。并配置10/100M自适应工业以太网接口模块，柜壳：碳钢喷塑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B6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D9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54C5">
            <w:pPr>
              <w:jc w:val="center"/>
              <w:rPr>
                <w:rFonts w:hint="eastAsia" w:ascii="宋体" w:hAnsi="宋体" w:eastAsia="宋体" w:cs="宋体"/>
                <w:i w:val="0"/>
                <w:iCs w:val="0"/>
                <w:color w:val="000000"/>
                <w:sz w:val="22"/>
                <w:szCs w:val="22"/>
                <w:highlight w:val="none"/>
                <w:u w:val="none"/>
              </w:rPr>
            </w:pPr>
          </w:p>
        </w:tc>
      </w:tr>
      <w:tr w14:paraId="2FFB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6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39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安装系统</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203">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A239">
            <w:pPr>
              <w:jc w:val="center"/>
              <w:rPr>
                <w:rFonts w:hint="eastAsia" w:ascii="宋体" w:hAnsi="宋体" w:eastAsia="宋体" w:cs="宋体"/>
                <w:i w:val="0"/>
                <w:iCs w:val="0"/>
                <w:color w:val="000000"/>
                <w:sz w:val="22"/>
                <w:szCs w:val="22"/>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6213">
            <w:pPr>
              <w:jc w:val="center"/>
              <w:rPr>
                <w:rFonts w:hint="eastAsia" w:ascii="宋体" w:hAnsi="宋体" w:eastAsia="宋体" w:cs="宋体"/>
                <w:i w:val="0"/>
                <w:iCs w:val="0"/>
                <w:color w:val="000000"/>
                <w:sz w:val="22"/>
                <w:szCs w:val="22"/>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0628">
            <w:pPr>
              <w:jc w:val="center"/>
              <w:rPr>
                <w:rFonts w:hint="eastAsia" w:ascii="宋体" w:hAnsi="宋体" w:eastAsia="宋体" w:cs="宋体"/>
                <w:i w:val="0"/>
                <w:iCs w:val="0"/>
                <w:color w:val="000000"/>
                <w:sz w:val="22"/>
                <w:szCs w:val="22"/>
                <w:highlight w:val="none"/>
                <w:u w:val="none"/>
              </w:rPr>
            </w:pPr>
          </w:p>
        </w:tc>
      </w:tr>
      <w:tr w14:paraId="69D6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B1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DA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安装管阀件</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5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配套污水站内全系统，UPVC/不锈钢/碳钢防腐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1A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A6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E9E9">
            <w:pPr>
              <w:jc w:val="center"/>
              <w:rPr>
                <w:rFonts w:hint="eastAsia" w:ascii="宋体" w:hAnsi="宋体" w:eastAsia="宋体" w:cs="宋体"/>
                <w:i w:val="0"/>
                <w:iCs w:val="0"/>
                <w:color w:val="000000"/>
                <w:sz w:val="22"/>
                <w:szCs w:val="22"/>
                <w:highlight w:val="none"/>
                <w:u w:val="none"/>
              </w:rPr>
            </w:pPr>
          </w:p>
        </w:tc>
      </w:tr>
      <w:tr w14:paraId="2D7F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0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C8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电线、电缆</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65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招标方将主电源接至主柜进线端，从控制柜至设备间内部电缆由投标单位供货、施工，数量：满足污水站内整个系统运行使用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A3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20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72B2">
            <w:pPr>
              <w:jc w:val="center"/>
              <w:rPr>
                <w:rFonts w:hint="eastAsia" w:ascii="宋体" w:hAnsi="宋体" w:eastAsia="宋体" w:cs="宋体"/>
                <w:i w:val="0"/>
                <w:iCs w:val="0"/>
                <w:color w:val="000000"/>
                <w:sz w:val="22"/>
                <w:szCs w:val="22"/>
                <w:highlight w:val="none"/>
                <w:u w:val="none"/>
              </w:rPr>
            </w:pPr>
          </w:p>
        </w:tc>
      </w:tr>
      <w:tr w14:paraId="082F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D3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F5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线管、桥架</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1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镀锌，Φ32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1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0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D79E">
            <w:pPr>
              <w:jc w:val="center"/>
              <w:rPr>
                <w:rFonts w:hint="eastAsia" w:ascii="宋体" w:hAnsi="宋体" w:eastAsia="宋体" w:cs="宋体"/>
                <w:i w:val="0"/>
                <w:iCs w:val="0"/>
                <w:color w:val="000000"/>
                <w:sz w:val="22"/>
                <w:szCs w:val="22"/>
                <w:highlight w:val="none"/>
                <w:u w:val="none"/>
              </w:rPr>
            </w:pPr>
          </w:p>
        </w:tc>
      </w:tr>
      <w:tr w14:paraId="2278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1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C1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固定件</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8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镀锌（水上）/S304（水下）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78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1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813">
            <w:pPr>
              <w:jc w:val="center"/>
              <w:rPr>
                <w:rFonts w:hint="eastAsia" w:ascii="宋体" w:hAnsi="宋体" w:eastAsia="宋体" w:cs="宋体"/>
                <w:i w:val="0"/>
                <w:iCs w:val="0"/>
                <w:color w:val="000000"/>
                <w:sz w:val="22"/>
                <w:szCs w:val="22"/>
                <w:highlight w:val="none"/>
                <w:u w:val="none"/>
              </w:rPr>
            </w:pPr>
          </w:p>
        </w:tc>
      </w:tr>
      <w:tr w14:paraId="0EEF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37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2D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防腐</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DD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环氧煤沥青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A3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AC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8C66">
            <w:pPr>
              <w:jc w:val="center"/>
              <w:rPr>
                <w:rFonts w:hint="eastAsia" w:ascii="宋体" w:hAnsi="宋体" w:eastAsia="宋体" w:cs="宋体"/>
                <w:i w:val="0"/>
                <w:iCs w:val="0"/>
                <w:color w:val="000000"/>
                <w:sz w:val="22"/>
                <w:szCs w:val="22"/>
                <w:highlight w:val="none"/>
                <w:u w:val="none"/>
              </w:rPr>
            </w:pPr>
          </w:p>
        </w:tc>
      </w:tr>
      <w:tr w14:paraId="6F34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F3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FB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保温</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A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地上或埋深小于2.3m管道需保温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4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8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851">
            <w:pPr>
              <w:jc w:val="center"/>
              <w:rPr>
                <w:rFonts w:hint="eastAsia" w:ascii="宋体" w:hAnsi="宋体" w:eastAsia="宋体" w:cs="宋体"/>
                <w:i w:val="0"/>
                <w:iCs w:val="0"/>
                <w:color w:val="000000"/>
                <w:sz w:val="22"/>
                <w:szCs w:val="22"/>
                <w:highlight w:val="none"/>
                <w:u w:val="none"/>
              </w:rPr>
            </w:pPr>
          </w:p>
        </w:tc>
      </w:tr>
      <w:tr w14:paraId="1BFB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7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其它</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5EAA">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0243">
            <w:pPr>
              <w:jc w:val="center"/>
              <w:rPr>
                <w:rFonts w:hint="eastAsia" w:ascii="宋体" w:hAnsi="宋体" w:eastAsia="宋体" w:cs="宋体"/>
                <w:i w:val="0"/>
                <w:iCs w:val="0"/>
                <w:color w:val="000000"/>
                <w:sz w:val="22"/>
                <w:szCs w:val="22"/>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9A5D">
            <w:pPr>
              <w:jc w:val="center"/>
              <w:rPr>
                <w:rFonts w:hint="eastAsia" w:ascii="宋体" w:hAnsi="宋体" w:eastAsia="宋体" w:cs="宋体"/>
                <w:i w:val="0"/>
                <w:iCs w:val="0"/>
                <w:color w:val="000000"/>
                <w:sz w:val="22"/>
                <w:szCs w:val="22"/>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EDC3">
            <w:pPr>
              <w:jc w:val="center"/>
              <w:rPr>
                <w:rFonts w:hint="eastAsia" w:ascii="宋体" w:hAnsi="宋体" w:eastAsia="宋体" w:cs="宋体"/>
                <w:i w:val="0"/>
                <w:iCs w:val="0"/>
                <w:color w:val="000000"/>
                <w:sz w:val="22"/>
                <w:szCs w:val="22"/>
                <w:highlight w:val="none"/>
                <w:u w:val="none"/>
              </w:rPr>
            </w:pPr>
          </w:p>
        </w:tc>
      </w:tr>
      <w:tr w14:paraId="6142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3E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E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运输及吊装</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7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至项目现场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59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37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6AA2">
            <w:pPr>
              <w:jc w:val="center"/>
              <w:rPr>
                <w:rFonts w:hint="eastAsia" w:ascii="宋体" w:hAnsi="宋体" w:eastAsia="宋体" w:cs="宋体"/>
                <w:i w:val="0"/>
                <w:iCs w:val="0"/>
                <w:color w:val="000000"/>
                <w:sz w:val="22"/>
                <w:szCs w:val="22"/>
                <w:highlight w:val="none"/>
                <w:u w:val="none"/>
              </w:rPr>
            </w:pPr>
          </w:p>
        </w:tc>
      </w:tr>
      <w:tr w14:paraId="5224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DF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7E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79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含污水站内所有清单内容安装（不限于清单内容）、现场项目部等临时设施建设、现场管理人员配备等，应满足甲方及监理单位管理要求。现场施工人员及管理人员食宿、保险等应含入报价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7E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43F">
            <w:pPr>
              <w:jc w:val="center"/>
              <w:rPr>
                <w:rFonts w:hint="eastAsia" w:ascii="宋体" w:hAnsi="宋体" w:eastAsia="宋体" w:cs="宋体"/>
                <w:i w:val="0"/>
                <w:iCs w:val="0"/>
                <w:color w:val="000000"/>
                <w:sz w:val="22"/>
                <w:szCs w:val="22"/>
                <w:highlight w:val="none"/>
                <w:u w:val="none"/>
              </w:rPr>
            </w:pPr>
          </w:p>
        </w:tc>
      </w:tr>
      <w:tr w14:paraId="1B87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5A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E0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调试</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3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提供污泥、菌种，直至出水达到合格标准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4C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7A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0A12">
            <w:pPr>
              <w:jc w:val="center"/>
              <w:rPr>
                <w:rFonts w:hint="eastAsia" w:ascii="宋体" w:hAnsi="宋体" w:eastAsia="宋体" w:cs="宋体"/>
                <w:i w:val="0"/>
                <w:iCs w:val="0"/>
                <w:color w:val="000000"/>
                <w:sz w:val="22"/>
                <w:szCs w:val="22"/>
                <w:highlight w:val="none"/>
                <w:u w:val="none"/>
              </w:rPr>
            </w:pPr>
          </w:p>
        </w:tc>
      </w:tr>
      <w:tr w14:paraId="5763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EB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F1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培训服务</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C6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现场操作人员培训，提供2人7天以上培训服务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CE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BE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CA0B">
            <w:pPr>
              <w:jc w:val="center"/>
              <w:rPr>
                <w:rFonts w:hint="eastAsia" w:ascii="宋体" w:hAnsi="宋体" w:eastAsia="宋体" w:cs="宋体"/>
                <w:i w:val="0"/>
                <w:iCs w:val="0"/>
                <w:color w:val="000000"/>
                <w:sz w:val="22"/>
                <w:szCs w:val="22"/>
                <w:highlight w:val="none"/>
                <w:u w:val="none"/>
              </w:rPr>
            </w:pPr>
          </w:p>
        </w:tc>
      </w:tr>
      <w:tr w14:paraId="3EE9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28" w:type="dxa"/>
            <w:gridSpan w:val="6"/>
            <w:tcBorders>
              <w:top w:val="nil"/>
              <w:left w:val="nil"/>
              <w:bottom w:val="nil"/>
              <w:right w:val="nil"/>
            </w:tcBorders>
            <w:shd w:val="clear" w:color="auto" w:fill="auto"/>
            <w:vAlign w:val="center"/>
          </w:tcPr>
          <w:p w14:paraId="0E6AD8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招标文件技术指标参数要求均为项目的参考指标，并不局限于某一品牌。投标人在投标中可以选用替代指标，但这些替代技术指标要实质上相当于或优于招标文件中的要求。</w:t>
            </w:r>
          </w:p>
        </w:tc>
      </w:tr>
      <w:tr w14:paraId="0EDA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nil"/>
              <w:left w:val="nil"/>
              <w:bottom w:val="nil"/>
              <w:right w:val="nil"/>
            </w:tcBorders>
            <w:shd w:val="clear" w:color="auto" w:fill="auto"/>
            <w:noWrap/>
            <w:vAlign w:val="center"/>
          </w:tcPr>
          <w:p w14:paraId="65FA4A06">
            <w:pPr>
              <w:jc w:val="center"/>
              <w:rPr>
                <w:rFonts w:hint="eastAsia" w:ascii="宋体" w:hAnsi="宋体" w:eastAsia="宋体" w:cs="宋体"/>
                <w:i w:val="0"/>
                <w:iCs w:val="0"/>
                <w:color w:val="000000"/>
                <w:sz w:val="22"/>
                <w:szCs w:val="22"/>
                <w:highlight w:val="none"/>
                <w:u w:val="none"/>
              </w:rPr>
            </w:pPr>
          </w:p>
        </w:tc>
        <w:tc>
          <w:tcPr>
            <w:tcW w:w="1849" w:type="dxa"/>
            <w:tcBorders>
              <w:top w:val="nil"/>
              <w:left w:val="nil"/>
              <w:bottom w:val="nil"/>
              <w:right w:val="nil"/>
            </w:tcBorders>
            <w:shd w:val="clear" w:color="auto" w:fill="auto"/>
            <w:noWrap/>
            <w:vAlign w:val="center"/>
          </w:tcPr>
          <w:p w14:paraId="01E4DC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注：当地海拔1677m。</w:t>
            </w:r>
          </w:p>
        </w:tc>
        <w:tc>
          <w:tcPr>
            <w:tcW w:w="2948" w:type="dxa"/>
            <w:tcBorders>
              <w:top w:val="nil"/>
              <w:left w:val="nil"/>
              <w:bottom w:val="nil"/>
              <w:right w:val="nil"/>
            </w:tcBorders>
            <w:shd w:val="clear" w:color="auto" w:fill="auto"/>
            <w:vAlign w:val="center"/>
          </w:tcPr>
          <w:p w14:paraId="5C7D8079">
            <w:pPr>
              <w:jc w:val="center"/>
              <w:rPr>
                <w:rFonts w:hint="eastAsia" w:ascii="宋体" w:hAnsi="宋体" w:eastAsia="宋体" w:cs="宋体"/>
                <w:i w:val="0"/>
                <w:iCs w:val="0"/>
                <w:color w:val="000000"/>
                <w:sz w:val="22"/>
                <w:szCs w:val="22"/>
                <w:highlight w:val="none"/>
                <w:u w:val="none"/>
              </w:rPr>
            </w:pPr>
          </w:p>
        </w:tc>
        <w:tc>
          <w:tcPr>
            <w:tcW w:w="1125" w:type="dxa"/>
            <w:tcBorders>
              <w:top w:val="nil"/>
              <w:left w:val="nil"/>
              <w:bottom w:val="nil"/>
              <w:right w:val="nil"/>
            </w:tcBorders>
            <w:shd w:val="clear" w:color="auto" w:fill="auto"/>
            <w:noWrap/>
            <w:vAlign w:val="center"/>
          </w:tcPr>
          <w:p w14:paraId="5585FA5C">
            <w:pPr>
              <w:jc w:val="center"/>
              <w:rPr>
                <w:rFonts w:hint="eastAsia" w:ascii="宋体" w:hAnsi="宋体" w:eastAsia="宋体" w:cs="宋体"/>
                <w:i w:val="0"/>
                <w:iCs w:val="0"/>
                <w:color w:val="000000"/>
                <w:sz w:val="22"/>
                <w:szCs w:val="22"/>
                <w:highlight w:val="none"/>
                <w:u w:val="none"/>
              </w:rPr>
            </w:pPr>
          </w:p>
        </w:tc>
        <w:tc>
          <w:tcPr>
            <w:tcW w:w="1082" w:type="dxa"/>
            <w:tcBorders>
              <w:top w:val="nil"/>
              <w:left w:val="nil"/>
              <w:bottom w:val="nil"/>
              <w:right w:val="nil"/>
            </w:tcBorders>
            <w:shd w:val="clear" w:color="auto" w:fill="auto"/>
            <w:noWrap/>
            <w:vAlign w:val="center"/>
          </w:tcPr>
          <w:p w14:paraId="4941AF85">
            <w:pPr>
              <w:jc w:val="center"/>
              <w:rPr>
                <w:rFonts w:hint="eastAsia" w:ascii="宋体" w:hAnsi="宋体" w:eastAsia="宋体" w:cs="宋体"/>
                <w:i w:val="0"/>
                <w:iCs w:val="0"/>
                <w:color w:val="000000"/>
                <w:sz w:val="22"/>
                <w:szCs w:val="22"/>
                <w:highlight w:val="none"/>
                <w:u w:val="none"/>
              </w:rPr>
            </w:pPr>
          </w:p>
        </w:tc>
        <w:tc>
          <w:tcPr>
            <w:tcW w:w="1768" w:type="dxa"/>
            <w:tcBorders>
              <w:top w:val="nil"/>
              <w:left w:val="nil"/>
              <w:bottom w:val="nil"/>
              <w:right w:val="nil"/>
            </w:tcBorders>
            <w:shd w:val="clear" w:color="auto" w:fill="auto"/>
            <w:vAlign w:val="center"/>
          </w:tcPr>
          <w:p w14:paraId="1971E644">
            <w:pPr>
              <w:jc w:val="center"/>
              <w:rPr>
                <w:rFonts w:hint="eastAsia" w:ascii="宋体" w:hAnsi="宋体" w:eastAsia="宋体" w:cs="宋体"/>
                <w:i w:val="0"/>
                <w:iCs w:val="0"/>
                <w:color w:val="000000"/>
                <w:sz w:val="22"/>
                <w:szCs w:val="22"/>
                <w:highlight w:val="none"/>
                <w:u w:val="none"/>
              </w:rPr>
            </w:pPr>
          </w:p>
        </w:tc>
      </w:tr>
    </w:tbl>
    <w:p w14:paraId="6A7F39D3">
      <w:pPr>
        <w:rPr>
          <w:rFonts w:hint="eastAsia"/>
          <w:highlight w:val="none"/>
        </w:rPr>
      </w:pPr>
    </w:p>
    <w:p w14:paraId="1937FD2F">
      <w:pPr>
        <w:rPr>
          <w:rFonts w:hint="eastAsia"/>
          <w:highlight w:val="none"/>
        </w:rPr>
      </w:pPr>
    </w:p>
    <w:p w14:paraId="3B688E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文件技术指标参数要求均为项目的参考指标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其中标“★”货物为主要标的物</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，并不局限于某一品牌。投标人在投标中可以选用替代指标，但这些替代技术指标要实质上相当于或优于</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文件中的要求。</w:t>
      </w:r>
    </w:p>
    <w:p w14:paraId="54EBA8B5">
      <w:pPr>
        <w:widowControl/>
        <w:numPr>
          <w:ilvl w:val="0"/>
          <w:numId w:val="0"/>
        </w:numPr>
        <w:spacing w:line="560" w:lineRule="exact"/>
        <w:jc w:val="both"/>
        <w:rPr>
          <w:rFonts w:hint="eastAsia" w:ascii="宋体" w:hAnsi="宋体" w:eastAsia="宋体" w:cs="宋体"/>
          <w:b/>
          <w:bCs/>
          <w:color w:val="auto"/>
          <w:sz w:val="32"/>
          <w:szCs w:val="32"/>
          <w:highlight w:val="none"/>
        </w:rPr>
      </w:pPr>
    </w:p>
    <w:p w14:paraId="4AB9CFDF">
      <w:pPr>
        <w:widowControl/>
        <w:numPr>
          <w:ilvl w:val="0"/>
          <w:numId w:val="0"/>
        </w:numPr>
        <w:spacing w:line="560" w:lineRule="exact"/>
        <w:jc w:val="both"/>
        <w:rPr>
          <w:rFonts w:hint="eastAsia" w:ascii="宋体" w:hAnsi="宋体" w:eastAsia="宋体" w:cs="宋体"/>
          <w:b/>
          <w:bCs/>
          <w:color w:val="auto"/>
          <w:sz w:val="32"/>
          <w:szCs w:val="32"/>
          <w:highlight w:val="none"/>
        </w:rPr>
      </w:pPr>
    </w:p>
    <w:p w14:paraId="363712F9">
      <w:pPr>
        <w:pStyle w:val="46"/>
        <w:ind w:left="0" w:leftChars="0" w:firstLine="0" w:firstLineChars="0"/>
        <w:rPr>
          <w:rFonts w:hint="eastAsia"/>
          <w:highlight w:val="none"/>
        </w:rPr>
      </w:pPr>
    </w:p>
    <w:p w14:paraId="45AB7379">
      <w:pPr>
        <w:widowControl/>
        <w:numPr>
          <w:ilvl w:val="0"/>
          <w:numId w:val="0"/>
        </w:numPr>
        <w:spacing w:line="560" w:lineRule="exact"/>
        <w:jc w:val="center"/>
        <w:rPr>
          <w:rFonts w:hint="eastAsia" w:ascii="宋体" w:hAnsi="宋体" w:eastAsia="宋体" w:cs="宋体"/>
          <w:b/>
          <w:bCs/>
          <w:color w:val="auto"/>
          <w:sz w:val="32"/>
          <w:szCs w:val="32"/>
          <w:highlight w:val="none"/>
        </w:rPr>
      </w:pPr>
    </w:p>
    <w:p w14:paraId="4B8B4CD6">
      <w:pPr>
        <w:widowControl/>
        <w:numPr>
          <w:ilvl w:val="0"/>
          <w:numId w:val="0"/>
        </w:numPr>
        <w:spacing w:line="560" w:lineRule="exact"/>
        <w:jc w:val="center"/>
        <w:rPr>
          <w:rFonts w:hint="eastAsia" w:ascii="宋体" w:hAnsi="宋体" w:eastAsia="宋体" w:cs="宋体"/>
          <w:b/>
          <w:bCs/>
          <w:color w:val="auto"/>
          <w:sz w:val="32"/>
          <w:szCs w:val="32"/>
          <w:highlight w:val="none"/>
        </w:rPr>
      </w:pPr>
    </w:p>
    <w:p w14:paraId="161BAF0B">
      <w:pPr>
        <w:widowControl/>
        <w:numPr>
          <w:ilvl w:val="0"/>
          <w:numId w:val="0"/>
        </w:numPr>
        <w:spacing w:line="560" w:lineRule="exact"/>
        <w:jc w:val="center"/>
        <w:rPr>
          <w:rFonts w:hint="eastAsia" w:ascii="宋体" w:hAnsi="宋体" w:eastAsia="宋体" w:cs="宋体"/>
          <w:b/>
          <w:bCs/>
          <w:color w:val="auto"/>
          <w:sz w:val="32"/>
          <w:szCs w:val="32"/>
          <w:highlight w:val="none"/>
        </w:rPr>
      </w:pPr>
    </w:p>
    <w:p w14:paraId="54DFC416">
      <w:pPr>
        <w:widowControl/>
        <w:numPr>
          <w:ilvl w:val="0"/>
          <w:numId w:val="0"/>
        </w:numPr>
        <w:spacing w:line="560" w:lineRule="exact"/>
        <w:jc w:val="center"/>
        <w:rPr>
          <w:rFonts w:hint="eastAsia" w:ascii="宋体" w:hAnsi="宋体" w:eastAsia="宋体" w:cs="宋体"/>
          <w:b/>
          <w:bCs/>
          <w:color w:val="auto"/>
          <w:sz w:val="32"/>
          <w:szCs w:val="32"/>
          <w:highlight w:val="none"/>
        </w:rPr>
      </w:pPr>
    </w:p>
    <w:p w14:paraId="437C0D64">
      <w:pPr>
        <w:widowControl/>
        <w:numPr>
          <w:ilvl w:val="0"/>
          <w:numId w:val="0"/>
        </w:numPr>
        <w:spacing w:line="560" w:lineRule="exact"/>
        <w:jc w:val="center"/>
        <w:rPr>
          <w:rFonts w:hint="eastAsia" w:ascii="宋体" w:hAnsi="宋体" w:eastAsia="宋体" w:cs="宋体"/>
          <w:b/>
          <w:bCs/>
          <w:color w:val="auto"/>
          <w:sz w:val="32"/>
          <w:szCs w:val="32"/>
          <w:highlight w:val="none"/>
        </w:rPr>
      </w:pPr>
    </w:p>
    <w:p w14:paraId="71E73577">
      <w:pPr>
        <w:widowControl/>
        <w:numPr>
          <w:ilvl w:val="0"/>
          <w:numId w:val="0"/>
        </w:numPr>
        <w:spacing w:line="560" w:lineRule="exact"/>
        <w:jc w:val="center"/>
        <w:rPr>
          <w:rFonts w:hint="eastAsia" w:ascii="宋体" w:hAnsi="宋体" w:eastAsia="宋体" w:cs="宋体"/>
          <w:b/>
          <w:bCs/>
          <w:color w:val="auto"/>
          <w:sz w:val="32"/>
          <w:szCs w:val="32"/>
          <w:highlight w:val="none"/>
        </w:rPr>
      </w:pPr>
    </w:p>
    <w:p w14:paraId="57736F41">
      <w:pPr>
        <w:widowControl/>
        <w:numPr>
          <w:ilvl w:val="0"/>
          <w:numId w:val="0"/>
        </w:numPr>
        <w:spacing w:line="560" w:lineRule="exact"/>
        <w:jc w:val="center"/>
        <w:rPr>
          <w:rFonts w:hint="eastAsia" w:ascii="宋体" w:hAnsi="宋体" w:eastAsia="宋体" w:cs="宋体"/>
          <w:b/>
          <w:bCs/>
          <w:color w:val="auto"/>
          <w:sz w:val="32"/>
          <w:szCs w:val="32"/>
          <w:highlight w:val="none"/>
        </w:rPr>
      </w:pPr>
    </w:p>
    <w:p w14:paraId="39FDDACE">
      <w:pPr>
        <w:widowControl/>
        <w:numPr>
          <w:ilvl w:val="0"/>
          <w:numId w:val="0"/>
        </w:numPr>
        <w:spacing w:line="560" w:lineRule="exact"/>
        <w:jc w:val="center"/>
        <w:rPr>
          <w:rFonts w:hint="eastAsia" w:ascii="宋体" w:hAnsi="宋体" w:eastAsia="宋体" w:cs="宋体"/>
          <w:b/>
          <w:bCs/>
          <w:color w:val="auto"/>
          <w:sz w:val="32"/>
          <w:szCs w:val="32"/>
          <w:highlight w:val="none"/>
        </w:rPr>
      </w:pPr>
    </w:p>
    <w:p w14:paraId="142D08F4">
      <w:pPr>
        <w:widowControl/>
        <w:numPr>
          <w:ilvl w:val="0"/>
          <w:numId w:val="0"/>
        </w:numPr>
        <w:spacing w:line="560" w:lineRule="exact"/>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2"/>
          <w:szCs w:val="32"/>
          <w:highlight w:val="none"/>
        </w:rPr>
        <w:t>第五部分  合同条款（范本）</w:t>
      </w:r>
    </w:p>
    <w:p w14:paraId="4F088E3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1、定义</w:t>
      </w:r>
    </w:p>
    <w:p w14:paraId="42C32C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“合同”系指买方和卖方（以下简称合同双方）已达成的协议，即由双方签订的合同格式文件，包括所有的招标文件、投标文件、招标答疑纪录、澄清说明、附件、附录和组成合同的所有其他文件。</w:t>
      </w:r>
    </w:p>
    <w:p w14:paraId="459142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“合同价格”系指根据合同规定，在卖方全面正确地履行合同义务时，买方应支付给卖方的款项。</w:t>
      </w:r>
    </w:p>
    <w:p w14:paraId="3277FF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“货物”系指卖方按合同要求，须向买方提供的一切设备、机械、仪器仪表、备品备件、工具、手册、其它技术资料和其它材料。</w:t>
      </w:r>
    </w:p>
    <w:p w14:paraId="294BA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“服务”系指合同规定卖方必须承担的</w:t>
      </w:r>
      <w:r>
        <w:rPr>
          <w:rFonts w:hint="eastAsia" w:ascii="宋体" w:hAnsi="宋体" w:cs="宋体"/>
          <w:color w:val="auto"/>
          <w:sz w:val="24"/>
          <w:highlight w:val="none"/>
          <w:lang w:val="en-US" w:eastAsia="zh-CN"/>
        </w:rPr>
        <w:t>基础施工，设备</w:t>
      </w:r>
      <w:r>
        <w:rPr>
          <w:rFonts w:hint="eastAsia" w:ascii="宋体" w:hAnsi="宋体" w:eastAsia="宋体" w:cs="宋体"/>
          <w:color w:val="auto"/>
          <w:sz w:val="24"/>
          <w:highlight w:val="none"/>
        </w:rPr>
        <w:t>安装、调试、技术协助、校准、培训以及其他类似义务。</w:t>
      </w:r>
    </w:p>
    <w:p w14:paraId="79B1BC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“甲方”、“买方”、“采购方”均系指通过招标采购，接受合同货物及服务的自治区各行政事业单位、社会团体(采购单位)及社会代理机构。</w:t>
      </w:r>
    </w:p>
    <w:p w14:paraId="13E9E6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“乙方”、“卖方”系指中标后提供合同货物和服务的经济实体。</w:t>
      </w:r>
    </w:p>
    <w:p w14:paraId="2649C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  “现场”系指将要进行货物安装和运转的地点。</w:t>
      </w:r>
    </w:p>
    <w:p w14:paraId="59ED2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  “验收”系指买方依据国家技术规范及本合同的约定，对内技术规格规定接受合同货物所依据的程序和条件。</w:t>
      </w:r>
    </w:p>
    <w:p w14:paraId="573C0D1E">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2、适用范围</w:t>
      </w:r>
    </w:p>
    <w:p w14:paraId="499A26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本合同条款仅适用于本次采购活动。</w:t>
      </w:r>
    </w:p>
    <w:p w14:paraId="130EFF1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3、原产地</w:t>
      </w:r>
    </w:p>
    <w:p w14:paraId="6A656E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原产地系指货物的生产地，或提供辅助服务的来源地。</w:t>
      </w:r>
    </w:p>
    <w:p w14:paraId="5CFEB92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4、技术规格和标准</w:t>
      </w:r>
    </w:p>
    <w:p w14:paraId="546C08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4.1本合同项下所供货物的技术规格应与本招标文件技术规格规定的标准相一致。若技术规格中无相应规定，货物则应符合相应的国家标准或有关权威部门最新颁布的相应的正式标准。</w:t>
      </w:r>
    </w:p>
    <w:p w14:paraId="0B3BB12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5、专利权</w:t>
      </w:r>
    </w:p>
    <w:p w14:paraId="227811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00988183">
      <w:pPr>
        <w:spacing w:line="360" w:lineRule="auto"/>
        <w:ind w:firstLine="477" w:firstLineChars="19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6、包装</w:t>
      </w:r>
    </w:p>
    <w:p w14:paraId="29A7A4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000CEE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  每件包装应附有详细装箱单和质量证书等文件   </w:t>
      </w:r>
    </w:p>
    <w:p w14:paraId="62FC203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7、运输标记</w:t>
      </w:r>
    </w:p>
    <w:p w14:paraId="423886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7.1</w:t>
      </w:r>
      <w:r>
        <w:rPr>
          <w:rFonts w:hint="eastAsia" w:ascii="宋体" w:hAnsi="宋体" w:eastAsia="宋体" w:cs="宋体"/>
          <w:color w:val="auto"/>
          <w:sz w:val="24"/>
          <w:highlight w:val="none"/>
        </w:rPr>
        <w:t>卖方应在每一包装箱侧面用不易褪色的油漆以醒目的中文印刷字体标明：收货人、合同号、收货人代号、目的地、货物的名称、品名号、箱数、毛重／净重(公斤)、尺寸(长×宽×高，以厘米计)等信息。</w:t>
      </w:r>
    </w:p>
    <w:p w14:paraId="1B4F8EF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8、卖方的交货价</w:t>
      </w:r>
    </w:p>
    <w:p w14:paraId="62F77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卖方应在合同规定的交货期前10天以传真或电话等方式通知买方货物名称、数量、包装件数、总毛重、总体积(立方米)和备妥待运日期，以及货物在运输和仓储中的特殊要求和注意事项。</w:t>
      </w:r>
    </w:p>
    <w:p w14:paraId="67DE5F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卖方负责安排自发运地至买方现场的运输，费用包含在合同总价中。</w:t>
      </w:r>
    </w:p>
    <w:p w14:paraId="355C1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交货日期以货物到达买方现场为准。</w:t>
      </w:r>
    </w:p>
    <w:p w14:paraId="626312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卖方装运的货物必须符合合同规定的货物名称、型号规格、数量或重量否则，一切后果均由卖方承担。</w:t>
      </w:r>
    </w:p>
    <w:p w14:paraId="5F781D78">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9、装运通知</w:t>
      </w:r>
    </w:p>
    <w:p w14:paraId="759BE7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卖方应在货物装运完成24小时内以传真或电话通知买方，如果包装件重量超过20吨或尺寸达到或超过12米长、2．7米宽和3米高，卖方应将其重量或尺寸通知买方。若货物中有易燃品或危险品，卖方也须将详细情况通知买方。</w:t>
      </w:r>
    </w:p>
    <w:p w14:paraId="0F58218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10、保险</w:t>
      </w:r>
    </w:p>
    <w:p w14:paraId="750C67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在合同价条件下，由卖方负责办理保险。</w:t>
      </w:r>
    </w:p>
    <w:p w14:paraId="1654FAE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11、合同价款的支付方式</w:t>
      </w:r>
    </w:p>
    <w:p w14:paraId="5984A4D0">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11.1  合同价款的支付方式以双方协商为准。（另有规定者外）。</w:t>
      </w:r>
    </w:p>
    <w:p w14:paraId="5FA2C448">
      <w:pPr>
        <w:tabs>
          <w:tab w:val="left" w:pos="5274"/>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12、技术资料</w:t>
      </w:r>
      <w:r>
        <w:rPr>
          <w:rFonts w:hint="eastAsia" w:ascii="宋体" w:hAnsi="宋体" w:eastAsia="宋体" w:cs="宋体"/>
          <w:b/>
          <w:color w:val="auto"/>
          <w:sz w:val="24"/>
          <w:highlight w:val="none"/>
        </w:rPr>
        <w:tab/>
      </w:r>
    </w:p>
    <w:p w14:paraId="3F335E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除招标文件的技术规范书中另有规定的外，卖方应准备与合同设备或仪器相符的中文技术资料，并随同设备同时到达买方，如图纸、操作手册、使用说明、维修指南或服务手册等。</w:t>
      </w:r>
    </w:p>
    <w:p w14:paraId="23F873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上述一套完整的资料应包装好随每批货物一起发运。</w:t>
      </w:r>
    </w:p>
    <w:p w14:paraId="7C6D579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13、价格</w:t>
      </w:r>
    </w:p>
    <w:p w14:paraId="705330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13.1除合同中另有规定者外，卖方为其所供货物和服务而要求买方支付的金额应与其投标报价一致。</w:t>
      </w:r>
    </w:p>
    <w:p w14:paraId="084EA36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14、质量保证</w:t>
      </w:r>
    </w:p>
    <w:p w14:paraId="0F7448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有缺陷的零部件或整机。对造成的损失买方保留索赔的权利。</w:t>
      </w:r>
    </w:p>
    <w:p w14:paraId="56F86E70">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15、检验</w:t>
      </w:r>
    </w:p>
    <w:p w14:paraId="5454B6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40A307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7AE60F3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16、索赔   </w:t>
      </w:r>
    </w:p>
    <w:p w14:paraId="493AAE4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16.1  卖方对所供货物与合同约定相一致负完全责任。在买方已于规定的检验、安装、调试和验收测试期限内提出索赔时，卖方应按买方同意的下述一种或多种方法解决索赔事宜</w:t>
      </w:r>
      <w:r>
        <w:rPr>
          <w:rFonts w:hint="eastAsia" w:ascii="宋体" w:hAnsi="宋体" w:eastAsia="宋体" w:cs="宋体"/>
          <w:color w:val="auto"/>
          <w:sz w:val="24"/>
          <w:highlight w:val="none"/>
          <w:lang w:eastAsia="zh-CN"/>
        </w:rPr>
        <w:t>：</w:t>
      </w:r>
    </w:p>
    <w:p w14:paraId="29D0CF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(1)根据货物的疵劣和受损程度以及买方遭受损失的金额，经双方同意降低货价。</w:t>
      </w:r>
    </w:p>
    <w:p w14:paraId="5C3ADD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(2)更换有缺陷的零件、部件和设备，或修理缺陷部分，以达到合同规定的规格、质量和性能，卖方承担一切费用和风险并负担买方遭受的一切直接费用。同时卖方应相应延长被更换货物的质量保证期。</w:t>
      </w:r>
    </w:p>
    <w:p w14:paraId="74C1EE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若卖方未能在买方依据合法证据正式提出书面索赔通知的10天内或买方同意的更长时间内，按买方同意的上述任何一种方式响应和处理索赔事宜，卖方向买方赔偿违约部分金额的10%的违约金。</w:t>
      </w:r>
    </w:p>
    <w:p w14:paraId="5C49A6D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17、延期交货与核定损失额</w:t>
      </w:r>
    </w:p>
    <w:p w14:paraId="78F795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17.1  如果卖方未能按合同规定的时间按期交货(不可抗力除外)，在卖方同意支付核定损失额的条件下，买方将同意延长交货期。核定损失额的支付将从未付款中扣除。核定损失额比率为每迟交7天，按迟交货物金额的5‰，不满7天按7天计算，但是，核定损失额的支付不得超过迟交货物部分合同金额的5％。如果卖方在买方同意延长的时间内仍不能交货，买方有权因卖方违约终止合同，而卖方仍有义务支付上述迟交核定损失金额。          </w:t>
      </w:r>
    </w:p>
    <w:p w14:paraId="12BBE8D4">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18、不可抗力</w:t>
      </w:r>
    </w:p>
    <w:p w14:paraId="584AA4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43DDD7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6BFE140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19、仲裁</w:t>
      </w:r>
    </w:p>
    <w:p w14:paraId="5F5AD5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在执行本合同中发生的或与本合同有关的争端，双方应通过友好协商解决，经协商在30天内不能达成协议时，应提交仲裁。</w:t>
      </w:r>
    </w:p>
    <w:p w14:paraId="136A56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仲裁应由买方所在地仲裁机构，根据其仲裁程序和规则进行。</w:t>
      </w:r>
    </w:p>
    <w:p w14:paraId="7039ED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  仲裁裁决为最终决定，并对双方具有约束力。</w:t>
      </w:r>
    </w:p>
    <w:p w14:paraId="438D65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  除另有裁决外，仲裁费应由败诉方负担。</w:t>
      </w:r>
    </w:p>
    <w:p w14:paraId="1DCFA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  在仲裁期间，除正在进行的仲裁部分外，合同其它部分继续执行。</w:t>
      </w:r>
    </w:p>
    <w:p w14:paraId="6772E46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20、违约终止合同</w:t>
      </w:r>
    </w:p>
    <w:p w14:paraId="1D11E4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  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063C37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(1)如果卖方未能在合同规定的期限内或买方准许的任何延期内交付部分或全部货物。</w:t>
      </w:r>
    </w:p>
    <w:p w14:paraId="32598A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(2)卖方未能履行合同项下的其它义务。</w:t>
      </w:r>
    </w:p>
    <w:p w14:paraId="657EA5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  一旦买方根据第21.1款终止部分或全部合同，买方可以按其认为适当的条件和方式采购类似未交付部分的货物。卖方应承担买方购买类似货物的价格差及额外费用。但是，卖方应继续履行合同中未终止的部分。</w:t>
      </w:r>
    </w:p>
    <w:p w14:paraId="39E3FCF5">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21、变更指示</w:t>
      </w:r>
    </w:p>
    <w:p w14:paraId="7E262B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买卖双方经友好协商可对某些条款作出更改和调整，但不得对招投标内容做出实质性更改，且需以书面形式确认变更内容</w:t>
      </w:r>
    </w:p>
    <w:p w14:paraId="3B309A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13C91D59">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22、合同修改</w:t>
      </w:r>
    </w:p>
    <w:p w14:paraId="4B86A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欲对合同条款做出任何改动或偏离，均须由买卖双方签署书面的合同修改书。</w:t>
      </w:r>
    </w:p>
    <w:p w14:paraId="5463D0B4">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23、转让与分包</w:t>
      </w:r>
    </w:p>
    <w:p w14:paraId="777FA0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除买方事先同意外，卖方不得部分转让或全部转让其应履行的合同项下的义务。</w:t>
      </w:r>
    </w:p>
    <w:p w14:paraId="4D4BC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卖方应书面通知买方本合同项下所授予的所有分包合同。但该通知不解除卖方承担的本合同项下的任何责任或义务。</w:t>
      </w:r>
    </w:p>
    <w:p w14:paraId="435A9A1D">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24、适用法律</w:t>
      </w:r>
    </w:p>
    <w:p w14:paraId="19B558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本合同应按中华人民共和国的相关法律解释。</w:t>
      </w:r>
    </w:p>
    <w:p w14:paraId="32EE2BA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25、通知</w:t>
      </w:r>
    </w:p>
    <w:p w14:paraId="16C823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本合同任何一方给另一方的通知都应以书面或电传、电报、传真的形式发送，而另一方应以书面形式确认并发送到对方明确的地址。</w:t>
      </w:r>
    </w:p>
    <w:p w14:paraId="4C440C01">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26、合同文件及资料的使用</w:t>
      </w:r>
    </w:p>
    <w:p w14:paraId="7B74B2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除了买、卖方为执行合同所雇人员外，在未经买、卖双方同意的情况下，买、卖方不得将合同、合同中的规定、有关规格、计划、图纸、式样透露给任何人。买、卖方须在对外保密的前提下，对其雇用人员提供有关情况，所提供的情况仅限于执行本合同必不可少的范围内。</w:t>
      </w:r>
    </w:p>
    <w:p w14:paraId="797920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26.2除非执行合同需要，在事先末得到买、卖方同意的情况下，买、卖方不得将与本合同有关的任何文件和资料给第三方使用。</w:t>
      </w:r>
    </w:p>
    <w:p w14:paraId="5C542215">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
          <w:color w:val="auto"/>
          <w:sz w:val="24"/>
          <w:highlight w:val="none"/>
        </w:rPr>
        <w:t>27、合同生效及其他</w:t>
      </w:r>
    </w:p>
    <w:p w14:paraId="261D64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本合同应在买方和卖方签字盖章后生效。</w:t>
      </w:r>
    </w:p>
    <w:p w14:paraId="2C332B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卖方须按技术规格中的规定，向买方提供与合同项下货物有关的现场安装调试、技术服务、培训等其他相关服务。</w:t>
      </w:r>
    </w:p>
    <w:p w14:paraId="6A047D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商务合同应包括买方最后确认的价格条款和付款方式。</w:t>
      </w:r>
    </w:p>
    <w:p w14:paraId="2EE9FD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27.4下述文件将作为合同附件，为本合同不可分割的组成部分，并与本合具有同等效力；</w:t>
      </w:r>
    </w:p>
    <w:p w14:paraId="396E2CB7">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 (2)中标通知书；(3)中标人的投标文件及询标过程中的书面答疑记录。</w:t>
      </w:r>
    </w:p>
    <w:p w14:paraId="6C325F9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28、质量保证</w:t>
      </w:r>
    </w:p>
    <w:p w14:paraId="452AE3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因乙方原因造成甲方不能按时使用（根据合同有关条款）所购设备或服务时，乙方应根据合同规定向甲方做出赔偿。</w:t>
      </w:r>
    </w:p>
    <w:p w14:paraId="1AFB3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中标方对合同项下货物按甲方要求提供的质保，质保期限自验收合格双方签字时算起。在保修期内，中标方需提供免费的维修零配件及人工。质保期结束后，以当时（或低于）市场价维修。</w:t>
      </w:r>
    </w:p>
    <w:p w14:paraId="2A1A5DD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29、投标报价  </w:t>
      </w:r>
    </w:p>
    <w:p w14:paraId="7B0398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投标报价：</w:t>
      </w:r>
      <w:r>
        <w:rPr>
          <w:rFonts w:hint="eastAsia" w:ascii="宋体" w:hAnsi="宋体" w:eastAsia="宋体" w:cs="宋体"/>
          <w:color w:val="auto"/>
          <w:sz w:val="24"/>
          <w:highlight w:val="none"/>
          <w:lang w:val="en-US" w:eastAsia="zh-CN"/>
        </w:rPr>
        <w:t>一次报价，</w:t>
      </w:r>
      <w:r>
        <w:rPr>
          <w:rFonts w:hint="eastAsia" w:ascii="宋体" w:hAnsi="宋体" w:eastAsia="宋体" w:cs="宋体"/>
          <w:color w:val="auto"/>
          <w:sz w:val="24"/>
          <w:highlight w:val="none"/>
        </w:rPr>
        <w:t>内容见须知前附表。</w:t>
      </w:r>
    </w:p>
    <w:p w14:paraId="384B42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投标货币：人民币</w:t>
      </w:r>
    </w:p>
    <w:p w14:paraId="7D27E8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29.3  列出详细的易损件、专用工具的清单，并分项报价（应包括在总价内）。清单内容应包括：名称、数量、单价、总价</w:t>
      </w:r>
    </w:p>
    <w:p w14:paraId="6803026E">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30、特殊要求</w:t>
      </w:r>
    </w:p>
    <w:p w14:paraId="518E24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合同特殊条款是对合同一般条款的补充和修改，如果两者之间有不一致之处时，应以特殊条款为准。</w:t>
      </w:r>
    </w:p>
    <w:p w14:paraId="2B20EDE7">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31、其它要求</w:t>
      </w:r>
    </w:p>
    <w:p w14:paraId="624494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本合同为范本，采购人与中标单位可根据项目情况增加或修改本合同。</w:t>
      </w:r>
    </w:p>
    <w:p w14:paraId="52C45874">
      <w:pPr>
        <w:spacing w:line="360" w:lineRule="auto"/>
        <w:ind w:firstLine="480" w:firstLineChars="200"/>
        <w:rPr>
          <w:rFonts w:hint="eastAsia" w:ascii="宋体" w:hAnsi="宋体" w:eastAsia="宋体" w:cs="宋体"/>
          <w:color w:val="auto"/>
          <w:sz w:val="24"/>
          <w:highlight w:val="none"/>
        </w:rPr>
      </w:pPr>
    </w:p>
    <w:p w14:paraId="4DDBABCE">
      <w:pPr>
        <w:pStyle w:val="2"/>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bookmarkStart w:id="38" w:name="_Toc5715656"/>
      <w:r>
        <w:rPr>
          <w:rFonts w:hint="eastAsia" w:ascii="宋体" w:hAnsi="宋体" w:eastAsia="宋体" w:cs="宋体"/>
          <w:color w:val="auto"/>
          <w:sz w:val="32"/>
          <w:szCs w:val="32"/>
          <w:highlight w:val="none"/>
        </w:rPr>
        <w:t>第六部分  附 表</w:t>
      </w:r>
      <w:bookmarkEnd w:id="38"/>
    </w:p>
    <w:p w14:paraId="15065109">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附表一                           </w:t>
      </w:r>
    </w:p>
    <w:p w14:paraId="4ED4BF39">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承诺函</w:t>
      </w:r>
    </w:p>
    <w:p w14:paraId="5D34474B">
      <w:pPr>
        <w:spacing w:line="440" w:lineRule="exact"/>
        <w:jc w:val="center"/>
        <w:rPr>
          <w:rFonts w:hint="eastAsia" w:ascii="宋体" w:hAnsi="宋体" w:eastAsia="宋体" w:cs="宋体"/>
          <w:b/>
          <w:color w:val="auto"/>
          <w:sz w:val="28"/>
          <w:szCs w:val="28"/>
          <w:highlight w:val="none"/>
        </w:rPr>
      </w:pPr>
    </w:p>
    <w:p w14:paraId="22F4B58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新疆蒙泰工程项目管理有限公司</w:t>
      </w:r>
      <w:r>
        <w:rPr>
          <w:rFonts w:hint="eastAsia" w:ascii="宋体" w:hAnsi="宋体" w:eastAsia="宋体" w:cs="宋体"/>
          <w:color w:val="auto"/>
          <w:sz w:val="24"/>
          <w:highlight w:val="none"/>
          <w:u w:val="single"/>
        </w:rPr>
        <w:t>：</w:t>
      </w:r>
    </w:p>
    <w:p w14:paraId="7713827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(投标人全称）</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(全权代表姓名）（职务、职称)</w:t>
      </w:r>
      <w:r>
        <w:rPr>
          <w:rFonts w:hint="eastAsia" w:ascii="宋体" w:hAnsi="宋体" w:eastAsia="宋体" w:cs="宋体"/>
          <w:color w:val="auto"/>
          <w:sz w:val="24"/>
          <w:highlight w:val="none"/>
        </w:rPr>
        <w:t>为全权代表，参加贵方组织的</w:t>
      </w:r>
      <w:r>
        <w:rPr>
          <w:rFonts w:hint="eastAsia" w:ascii="宋体" w:hAnsi="宋体" w:eastAsia="宋体" w:cs="宋体"/>
          <w:color w:val="auto"/>
          <w:sz w:val="24"/>
          <w:highlight w:val="none"/>
          <w:u w:val="single"/>
        </w:rPr>
        <w:t>（采购编号、釆购项目名称、包号）</w:t>
      </w:r>
      <w:r>
        <w:rPr>
          <w:rFonts w:hint="eastAsia" w:ascii="宋体" w:hAnsi="宋体" w:eastAsia="宋体" w:cs="宋体"/>
          <w:color w:val="auto"/>
          <w:sz w:val="24"/>
          <w:highlight w:val="none"/>
        </w:rPr>
        <w:t>招标的有关活动，有能力提供项目中的货物及相关服务，并保证所提交的所有文件和说明是真实、有效和准确的。</w:t>
      </w:r>
    </w:p>
    <w:p w14:paraId="1065EF9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为此我方同意在投标人须知前列表规定的投标日期起遵守本承诺函中的承诺且在投标有效期满之前均具有约束力。</w:t>
      </w:r>
    </w:p>
    <w:p w14:paraId="0667155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1、我方承诺已经具备《中华人民共和国政府采购法》中规定的参加政府采购活动的投标人应当具备的条件：</w:t>
      </w:r>
    </w:p>
    <w:p w14:paraId="110B918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6A4F2C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（2）遵守国家法律、行政法规，具有良好的信誉和商业道德；</w:t>
      </w:r>
    </w:p>
    <w:p w14:paraId="2B4C611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（3）具有履行合同的能力和良好的履行合同记录；</w:t>
      </w:r>
    </w:p>
    <w:p w14:paraId="6FE9BBD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（4）具有良好的资金、财务状况及依法缴纳税收和社会保障资金的记录；</w:t>
      </w:r>
    </w:p>
    <w:p w14:paraId="3C986F4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（5）产品及生产所需装备符合中国政府规定相应技术标准和环保标准；</w:t>
      </w:r>
    </w:p>
    <w:p w14:paraId="10E225F0">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（6）没有违反政府采购法规、政策的记录；</w:t>
      </w:r>
    </w:p>
    <w:p w14:paraId="627769B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（7）没有发生重大经济纠纷、经济犯罪和走私犯罪记录。</w:t>
      </w:r>
    </w:p>
    <w:p w14:paraId="4628647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2、提供投标须知规定的全部投标文件，包括：投标文件正本</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份，电子版1份；投标人须知前列表要求的投标人提交的全部文件；投标保证金已交纳；按招标文件要求提供和交付的货物和服务的报价详见商务报价表。</w:t>
      </w:r>
    </w:p>
    <w:p w14:paraId="234A736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3、保证忠实地执行双方所签订的合同，并承担合同规定的责任和义务。</w:t>
      </w:r>
    </w:p>
    <w:p w14:paraId="39A499F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4、保证遵守招标文件中的其他有关条款。</w:t>
      </w:r>
    </w:p>
    <w:p w14:paraId="1FC308E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5、如果在招标后规定的投标有效期内撤回投标文件或者有其他违约行为， 我们的投标保证金可不予退还。</w:t>
      </w:r>
    </w:p>
    <w:p w14:paraId="5F84650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6、我们完全理解贵方不一定要接受最低报价或收到的任何投标。</w:t>
      </w:r>
    </w:p>
    <w:p w14:paraId="5D1EF82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7、我方愿意向贵方提供真实完整的任何与该项目有关的数据、情况和技术资料。若贵方需要，我方愿意提供我方作出的一切承诺的证明材料。</w:t>
      </w:r>
    </w:p>
    <w:p w14:paraId="7EA0793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8、我方已详细审核全部招标文件，包括招标的修改文件（如有的话）、参考资料及有关附件，确认无误。</w:t>
      </w:r>
    </w:p>
    <w:p w14:paraId="6B21C33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9、我方将严格遵守《中华人民共和国政府采购法》第七十七条规定：投标人有下列情形之一的，处以采购金额5%以</w:t>
      </w:r>
      <w:r>
        <w:rPr>
          <w:rFonts w:hint="eastAsia" w:ascii="宋体" w:hAnsi="宋体" w:cs="宋体"/>
          <w:color w:val="auto"/>
          <w:sz w:val="24"/>
          <w:highlight w:val="none"/>
          <w:lang w:val="en-US" w:eastAsia="zh-CN"/>
        </w:rPr>
        <w:t>上-</w:t>
      </w:r>
      <w:r>
        <w:rPr>
          <w:rFonts w:hint="eastAsia" w:ascii="宋体" w:hAnsi="宋体" w:eastAsia="宋体" w:cs="宋体"/>
          <w:color w:val="auto"/>
          <w:sz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354FAC4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(一）提供虚假材料谋取中标的；</w:t>
      </w:r>
    </w:p>
    <w:p w14:paraId="617706C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(二）采取不正当手段诋毁、排挤其他投标人的；</w:t>
      </w:r>
    </w:p>
    <w:p w14:paraId="30B9184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(三）与采购单位、其它投标人或者釆购代理机构恶意串通的；</w:t>
      </w:r>
    </w:p>
    <w:p w14:paraId="2D57030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(四）向采购人、采购代理机构行贿或者提供其他不正当利益的；</w:t>
      </w:r>
    </w:p>
    <w:p w14:paraId="79D56CE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(五）在招标采购过程中与采购人进行协商的；</w:t>
      </w:r>
    </w:p>
    <w:p w14:paraId="22155CD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(六）拒绝有关部门监督检查或提供虚假情况的。</w:t>
      </w:r>
    </w:p>
    <w:p w14:paraId="017262C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10、我方的投标文件在中标后</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天内有效。</w:t>
      </w:r>
    </w:p>
    <w:p w14:paraId="7005AC92">
      <w:pPr>
        <w:ind w:firstLine="480" w:firstLineChars="200"/>
        <w:rPr>
          <w:rFonts w:hint="eastAsia" w:ascii="宋体" w:hAnsi="宋体" w:eastAsia="宋体" w:cs="宋体"/>
          <w:color w:val="auto"/>
          <w:sz w:val="24"/>
          <w:highlight w:val="none"/>
        </w:rPr>
      </w:pPr>
    </w:p>
    <w:p w14:paraId="5B4760F6">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投标人（盖章）：     </w:t>
      </w:r>
    </w:p>
    <w:p w14:paraId="2A9AA3B0">
      <w:pPr>
        <w:wordWrap w:val="0"/>
        <w:spacing w:line="480" w:lineRule="auto"/>
        <w:ind w:firstLine="435"/>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7E2930AD">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日     期：      </w:t>
      </w:r>
    </w:p>
    <w:p w14:paraId="1B0288C8">
      <w:pPr>
        <w:ind w:firstLine="560" w:firstLineChars="200"/>
        <w:rPr>
          <w:rFonts w:hint="eastAsia" w:ascii="宋体" w:hAnsi="宋体" w:eastAsia="宋体" w:cs="宋体"/>
          <w:color w:val="auto"/>
          <w:sz w:val="28"/>
          <w:szCs w:val="28"/>
          <w:highlight w:val="none"/>
        </w:rPr>
      </w:pPr>
    </w:p>
    <w:p w14:paraId="63251874">
      <w:pPr>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注：未按照本承诺函要求填报的承诺函将被视为非实质性响应，从而导致其被拒绝。</w:t>
      </w:r>
    </w:p>
    <w:p w14:paraId="47113B5E">
      <w:pPr>
        <w:spacing w:line="480" w:lineRule="auto"/>
        <w:rPr>
          <w:rFonts w:hint="eastAsia" w:ascii="宋体" w:hAnsi="宋体" w:eastAsia="宋体" w:cs="宋体"/>
          <w:b/>
          <w:color w:val="auto"/>
          <w:sz w:val="24"/>
          <w:highlight w:val="none"/>
        </w:rPr>
      </w:pPr>
    </w:p>
    <w:p w14:paraId="353FDC95">
      <w:pPr>
        <w:spacing w:line="44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附表二-1：</w:t>
      </w:r>
    </w:p>
    <w:p w14:paraId="042C8F5E">
      <w:pPr>
        <w:spacing w:line="440" w:lineRule="exact"/>
        <w:jc w:val="center"/>
        <w:rPr>
          <w:rFonts w:hint="eastAsia" w:ascii="宋体" w:hAnsi="宋体" w:eastAsia="宋体" w:cs="宋体"/>
          <w:b/>
          <w:color w:val="auto"/>
          <w:sz w:val="28"/>
          <w:szCs w:val="28"/>
          <w:highlight w:val="none"/>
        </w:rPr>
      </w:pPr>
    </w:p>
    <w:p w14:paraId="0A106027">
      <w:pPr>
        <w:spacing w:line="440" w:lineRule="exact"/>
        <w:jc w:val="center"/>
        <w:rPr>
          <w:rFonts w:hint="eastAsia" w:ascii="宋体" w:hAnsi="宋体" w:eastAsia="宋体" w:cs="宋体"/>
          <w:b/>
          <w:color w:val="auto"/>
          <w:sz w:val="28"/>
          <w:szCs w:val="28"/>
          <w:highlight w:val="none"/>
        </w:rPr>
      </w:pPr>
    </w:p>
    <w:p w14:paraId="0D7442A2">
      <w:pPr>
        <w:spacing w:line="360" w:lineRule="auto"/>
        <w:jc w:val="center"/>
        <w:outlineLvl w:val="1"/>
        <w:rPr>
          <w:rFonts w:hint="eastAsia" w:ascii="宋体" w:hAnsi="宋体" w:eastAsia="宋体" w:cs="宋体"/>
          <w:b/>
          <w:color w:val="auto"/>
          <w:sz w:val="28"/>
          <w:szCs w:val="28"/>
          <w:highlight w:val="none"/>
        </w:rPr>
      </w:pPr>
      <w:bookmarkStart w:id="39" w:name="_Toc514926105"/>
      <w:bookmarkStart w:id="40" w:name="_Toc514783643"/>
      <w:bookmarkStart w:id="41" w:name="_Toc5715657"/>
      <w:r>
        <w:rPr>
          <w:rFonts w:hint="eastAsia" w:ascii="宋体" w:hAnsi="宋体" w:eastAsia="宋体" w:cs="宋体"/>
          <w:b/>
          <w:color w:val="auto"/>
          <w:sz w:val="28"/>
          <w:szCs w:val="28"/>
          <w:highlight w:val="none"/>
        </w:rPr>
        <w:t>法定代表人身份证明</w:t>
      </w:r>
      <w:bookmarkEnd w:id="39"/>
      <w:bookmarkEnd w:id="40"/>
      <w:bookmarkEnd w:id="41"/>
    </w:p>
    <w:p w14:paraId="54E02D0E">
      <w:pPr>
        <w:spacing w:line="360" w:lineRule="auto"/>
        <w:rPr>
          <w:rFonts w:hint="eastAsia" w:ascii="宋体" w:hAnsi="宋体" w:eastAsia="宋体" w:cs="宋体"/>
          <w:color w:val="auto"/>
          <w:sz w:val="28"/>
          <w:szCs w:val="28"/>
          <w:highlight w:val="none"/>
        </w:rPr>
      </w:pPr>
    </w:p>
    <w:p w14:paraId="1A2805F9">
      <w:pPr>
        <w:spacing w:line="360" w:lineRule="auto"/>
        <w:rPr>
          <w:rFonts w:hint="eastAsia" w:ascii="宋体" w:hAnsi="宋体" w:eastAsia="宋体" w:cs="宋体"/>
          <w:color w:val="auto"/>
          <w:sz w:val="28"/>
          <w:szCs w:val="28"/>
          <w:highlight w:val="none"/>
        </w:rPr>
      </w:pPr>
    </w:p>
    <w:p w14:paraId="2CB6F3B1">
      <w:pPr>
        <w:spacing w:line="360" w:lineRule="auto"/>
        <w:rPr>
          <w:rFonts w:hint="eastAsia" w:ascii="宋体" w:hAnsi="宋体" w:eastAsia="宋体" w:cs="宋体"/>
          <w:color w:val="auto"/>
          <w:sz w:val="28"/>
          <w:szCs w:val="28"/>
          <w:highlight w:val="none"/>
        </w:rPr>
      </w:pPr>
    </w:p>
    <w:p w14:paraId="07EC0615">
      <w:pPr>
        <w:spacing w:line="360" w:lineRule="auto"/>
        <w:ind w:firstLine="708" w:firstLineChars="295"/>
        <w:rPr>
          <w:rFonts w:hint="eastAsia" w:ascii="宋体" w:hAnsi="宋体" w:eastAsia="宋体" w:cs="宋体"/>
          <w:color w:val="auto"/>
          <w:sz w:val="24"/>
          <w:highlight w:val="none"/>
          <w:u w:val="single"/>
        </w:rPr>
      </w:pPr>
      <w:bookmarkStart w:id="42" w:name="_Toc221952014"/>
      <w:r>
        <w:rPr>
          <w:rFonts w:hint="eastAsia" w:ascii="宋体" w:hAnsi="宋体" w:eastAsia="宋体" w:cs="宋体"/>
          <w:color w:val="auto"/>
          <w:sz w:val="24"/>
          <w:highlight w:val="none"/>
        </w:rPr>
        <w:t>投标人名称：</w:t>
      </w:r>
      <w:bookmarkEnd w:id="42"/>
      <w:r>
        <w:rPr>
          <w:rFonts w:hint="eastAsia" w:ascii="宋体" w:hAnsi="宋体" w:eastAsia="宋体" w:cs="宋体"/>
          <w:color w:val="auto"/>
          <w:sz w:val="24"/>
          <w:highlight w:val="none"/>
          <w:u w:val="single"/>
        </w:rPr>
        <w:t xml:space="preserve">                                </w:t>
      </w:r>
    </w:p>
    <w:p w14:paraId="56E69ABF">
      <w:pPr>
        <w:spacing w:line="360" w:lineRule="auto"/>
        <w:ind w:firstLine="708" w:firstLineChars="295"/>
        <w:rPr>
          <w:rFonts w:hint="eastAsia" w:ascii="宋体" w:hAnsi="宋体" w:eastAsia="宋体" w:cs="宋体"/>
          <w:color w:val="auto"/>
          <w:sz w:val="24"/>
          <w:highlight w:val="none"/>
          <w:u w:val="single"/>
        </w:rPr>
      </w:pPr>
      <w:bookmarkStart w:id="43" w:name="_Toc221952016"/>
      <w:r>
        <w:rPr>
          <w:rFonts w:hint="eastAsia" w:ascii="宋体" w:hAnsi="宋体" w:eastAsia="宋体" w:cs="宋体"/>
          <w:color w:val="auto"/>
          <w:sz w:val="24"/>
          <w:highlight w:val="none"/>
        </w:rPr>
        <w:t>地      址：</w:t>
      </w:r>
      <w:bookmarkEnd w:id="43"/>
      <w:r>
        <w:rPr>
          <w:rFonts w:hint="eastAsia" w:ascii="宋体" w:hAnsi="宋体" w:eastAsia="宋体" w:cs="宋体"/>
          <w:color w:val="auto"/>
          <w:sz w:val="24"/>
          <w:highlight w:val="none"/>
          <w:u w:val="single"/>
        </w:rPr>
        <w:t xml:space="preserve">                                </w:t>
      </w:r>
    </w:p>
    <w:p w14:paraId="7D06739E">
      <w:pPr>
        <w:spacing w:line="360" w:lineRule="auto"/>
        <w:ind w:firstLine="708" w:firstLineChars="295"/>
        <w:rPr>
          <w:rFonts w:hint="eastAsia" w:ascii="宋体" w:hAnsi="宋体" w:eastAsia="宋体" w:cs="宋体"/>
          <w:color w:val="auto"/>
          <w:sz w:val="24"/>
          <w:highlight w:val="none"/>
        </w:rPr>
      </w:pPr>
      <w:bookmarkStart w:id="44" w:name="_Toc221952017"/>
      <w:r>
        <w:rPr>
          <w:rFonts w:hint="eastAsia" w:ascii="宋体" w:hAnsi="宋体" w:eastAsia="宋体" w:cs="宋体"/>
          <w:color w:val="auto"/>
          <w:sz w:val="24"/>
          <w:highlight w:val="none"/>
        </w:rPr>
        <w:t>成 立时 间：</w:t>
      </w:r>
      <w:r>
        <w:rPr>
          <w:rFonts w:hint="eastAsia" w:ascii="宋体" w:hAnsi="宋体" w:eastAsia="宋体" w:cs="宋体"/>
          <w:color w:val="auto"/>
          <w:sz w:val="24"/>
          <w:highlight w:val="none"/>
          <w:u w:val="single"/>
        </w:rPr>
        <w:t xml:space="preserve">             年    月   日</w:t>
      </w:r>
      <w:bookmarkEnd w:id="44"/>
      <w:r>
        <w:rPr>
          <w:rFonts w:hint="eastAsia" w:ascii="宋体" w:hAnsi="宋体" w:eastAsia="宋体" w:cs="宋体"/>
          <w:color w:val="auto"/>
          <w:sz w:val="24"/>
          <w:highlight w:val="none"/>
          <w:u w:val="single"/>
        </w:rPr>
        <w:t xml:space="preserve">      </w:t>
      </w:r>
    </w:p>
    <w:p w14:paraId="598995BC">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p>
    <w:p w14:paraId="3251AB38">
      <w:pPr>
        <w:spacing w:line="360" w:lineRule="auto"/>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0FB61941">
      <w:pPr>
        <w:spacing w:line="360" w:lineRule="auto"/>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43EF4CE">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bookmarkStart w:id="45" w:name="_Toc221952020"/>
      <w:r>
        <w:rPr>
          <w:rFonts w:hint="eastAsia" w:ascii="宋体" w:hAnsi="宋体" w:eastAsia="宋体" w:cs="宋体"/>
          <w:color w:val="auto"/>
          <w:sz w:val="24"/>
          <w:highlight w:val="none"/>
        </w:rPr>
        <w:t xml:space="preserve">系 </w:t>
      </w:r>
      <w:r>
        <w:rPr>
          <w:rFonts w:hint="eastAsia" w:ascii="宋体" w:hAnsi="宋体" w:eastAsia="宋体" w:cs="宋体"/>
          <w:color w:val="auto"/>
          <w:sz w:val="24"/>
          <w:highlight w:val="none"/>
          <w:u w:val="single"/>
        </w:rPr>
        <w:t xml:space="preserve">( 供 应 商 名 称 ) </w:t>
      </w:r>
      <w:r>
        <w:rPr>
          <w:rFonts w:hint="eastAsia" w:ascii="宋体" w:hAnsi="宋体" w:eastAsia="宋体" w:cs="宋体"/>
          <w:color w:val="auto"/>
          <w:sz w:val="24"/>
          <w:highlight w:val="none"/>
        </w:rPr>
        <w:t>的法定代表人。</w:t>
      </w:r>
      <w:bookmarkEnd w:id="45"/>
    </w:p>
    <w:p w14:paraId="40977FBE">
      <w:pPr>
        <w:spacing w:line="360" w:lineRule="auto"/>
        <w:ind w:firstLine="1200" w:firstLineChars="500"/>
        <w:rPr>
          <w:rFonts w:hint="eastAsia" w:ascii="宋体" w:hAnsi="宋体" w:eastAsia="宋体" w:cs="宋体"/>
          <w:color w:val="auto"/>
          <w:sz w:val="24"/>
          <w:highlight w:val="none"/>
        </w:rPr>
      </w:pPr>
      <w:bookmarkStart w:id="46" w:name="_Toc221952021"/>
      <w:r>
        <w:rPr>
          <w:rFonts w:hint="eastAsia" w:ascii="宋体" w:hAnsi="宋体" w:eastAsia="宋体" w:cs="宋体"/>
          <w:color w:val="auto"/>
          <w:sz w:val="24"/>
          <w:highlight w:val="none"/>
        </w:rPr>
        <w:t>特此证明。</w:t>
      </w:r>
      <w:bookmarkEnd w:id="46"/>
    </w:p>
    <w:p w14:paraId="1E3C44F4">
      <w:pPr>
        <w:spacing w:line="360" w:lineRule="auto"/>
        <w:ind w:firstLine="840" w:firstLineChars="350"/>
        <w:rPr>
          <w:rFonts w:hint="eastAsia" w:ascii="宋体" w:hAnsi="宋体" w:eastAsia="宋体" w:cs="宋体"/>
          <w:color w:val="auto"/>
          <w:sz w:val="24"/>
          <w:highlight w:val="none"/>
        </w:rPr>
      </w:pPr>
    </w:p>
    <w:p w14:paraId="76B42EDE">
      <w:pPr>
        <w:spacing w:line="360" w:lineRule="auto"/>
        <w:ind w:firstLine="840" w:firstLineChars="350"/>
        <w:rPr>
          <w:rFonts w:hint="eastAsia" w:ascii="宋体" w:hAnsi="宋体" w:eastAsia="宋体" w:cs="宋体"/>
          <w:color w:val="auto"/>
          <w:sz w:val="24"/>
          <w:highlight w:val="none"/>
        </w:rPr>
      </w:pPr>
    </w:p>
    <w:p w14:paraId="4A27F112">
      <w:pPr>
        <w:spacing w:line="360" w:lineRule="auto"/>
        <w:ind w:firstLine="840" w:firstLineChars="35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附：法人身份证正反面复印件（必须与本证明复印在同一页）</w:t>
      </w:r>
    </w:p>
    <w:p w14:paraId="5A2C09DD">
      <w:pPr>
        <w:spacing w:line="360" w:lineRule="auto"/>
        <w:rPr>
          <w:rFonts w:hint="eastAsia" w:ascii="宋体" w:hAnsi="宋体" w:eastAsia="宋体" w:cs="宋体"/>
          <w:color w:val="auto"/>
          <w:sz w:val="24"/>
          <w:highlight w:val="none"/>
        </w:rPr>
      </w:pPr>
    </w:p>
    <w:p w14:paraId="753784FA">
      <w:pPr>
        <w:spacing w:line="360" w:lineRule="auto"/>
        <w:jc w:val="right"/>
        <w:rPr>
          <w:rFonts w:hint="eastAsia" w:ascii="宋体" w:hAnsi="宋体" w:eastAsia="宋体" w:cs="宋体"/>
          <w:color w:val="auto"/>
          <w:sz w:val="24"/>
          <w:highlight w:val="none"/>
        </w:rPr>
      </w:pPr>
    </w:p>
    <w:p w14:paraId="657FE151">
      <w:pPr>
        <w:wordWrap w:val="0"/>
        <w:spacing w:line="360" w:lineRule="auto"/>
        <w:jc w:val="right"/>
        <w:rPr>
          <w:rFonts w:hint="eastAsia" w:ascii="宋体" w:hAnsi="宋体" w:eastAsia="宋体" w:cs="宋体"/>
          <w:color w:val="auto"/>
          <w:sz w:val="24"/>
          <w:highlight w:val="none"/>
        </w:rPr>
      </w:pPr>
      <w:bookmarkStart w:id="47" w:name="_Toc221952022"/>
      <w:r>
        <w:rPr>
          <w:rFonts w:hint="eastAsia" w:ascii="宋体" w:hAnsi="宋体" w:eastAsia="宋体" w:cs="宋体"/>
          <w:color w:val="auto"/>
          <w:sz w:val="24"/>
          <w:highlight w:val="none"/>
        </w:rPr>
        <w:t>投标人：（盖章）</w:t>
      </w:r>
      <w:bookmarkEnd w:id="47"/>
    </w:p>
    <w:p w14:paraId="25EDDED6">
      <w:pPr>
        <w:spacing w:line="360" w:lineRule="auto"/>
        <w:jc w:val="right"/>
        <w:rPr>
          <w:rFonts w:hint="eastAsia" w:ascii="宋体" w:hAnsi="宋体" w:eastAsia="宋体" w:cs="宋体"/>
          <w:color w:val="auto"/>
          <w:sz w:val="24"/>
          <w:highlight w:val="none"/>
        </w:rPr>
      </w:pPr>
    </w:p>
    <w:p w14:paraId="2795548E">
      <w:pPr>
        <w:wordWrap w:val="0"/>
        <w:spacing w:line="360" w:lineRule="auto"/>
        <w:jc w:val="right"/>
        <w:rPr>
          <w:rFonts w:hint="eastAsia" w:ascii="宋体" w:hAnsi="宋体" w:eastAsia="宋体" w:cs="宋体"/>
          <w:color w:val="auto"/>
          <w:sz w:val="24"/>
          <w:highlight w:val="none"/>
        </w:rPr>
      </w:pPr>
      <w:bookmarkStart w:id="48" w:name="_Toc221952023"/>
      <w:r>
        <w:rPr>
          <w:rFonts w:hint="eastAsia" w:ascii="宋体" w:hAnsi="宋体" w:eastAsia="宋体" w:cs="宋体"/>
          <w:color w:val="auto"/>
          <w:sz w:val="24"/>
          <w:highlight w:val="none"/>
        </w:rPr>
        <w:t>年  月  日</w:t>
      </w:r>
      <w:bookmarkEnd w:id="48"/>
    </w:p>
    <w:p w14:paraId="6FF29E2A">
      <w:pPr>
        <w:spacing w:line="360" w:lineRule="auto"/>
        <w:rPr>
          <w:rFonts w:hint="eastAsia" w:ascii="宋体" w:hAnsi="宋体" w:eastAsia="宋体" w:cs="宋体"/>
          <w:color w:val="auto"/>
          <w:sz w:val="24"/>
          <w:highlight w:val="none"/>
        </w:rPr>
      </w:pPr>
    </w:p>
    <w:p w14:paraId="75DFE730">
      <w:pPr>
        <w:spacing w:line="360" w:lineRule="auto"/>
        <w:rPr>
          <w:rFonts w:hint="eastAsia" w:ascii="宋体" w:hAnsi="宋体" w:eastAsia="宋体" w:cs="宋体"/>
          <w:color w:val="auto"/>
          <w:sz w:val="24"/>
          <w:highlight w:val="none"/>
        </w:rPr>
      </w:pPr>
    </w:p>
    <w:p w14:paraId="35EF1EC2">
      <w:pPr>
        <w:spacing w:line="440" w:lineRule="exact"/>
        <w:rPr>
          <w:rFonts w:hint="eastAsia" w:ascii="宋体" w:hAnsi="宋体" w:eastAsia="宋体" w:cs="宋体"/>
          <w:color w:val="auto"/>
          <w:sz w:val="28"/>
          <w:szCs w:val="28"/>
          <w:highlight w:val="none"/>
        </w:rPr>
      </w:pPr>
      <w:r>
        <w:rPr>
          <w:rFonts w:hint="eastAsia" w:ascii="宋体" w:hAnsi="宋体" w:eastAsia="宋体" w:cs="宋体"/>
          <w:b/>
          <w:color w:val="auto"/>
          <w:szCs w:val="21"/>
          <w:highlight w:val="none"/>
        </w:rPr>
        <w:t>注：如是法定代表人参加投标，法定代表人还应单独携带一份，用于开标查验资质及身份。</w:t>
      </w:r>
      <w:r>
        <w:rPr>
          <w:rFonts w:hint="eastAsia" w:ascii="宋体" w:hAnsi="宋体" w:eastAsia="宋体" w:cs="宋体"/>
          <w:b/>
          <w:color w:val="auto"/>
          <w:szCs w:val="21"/>
          <w:highlight w:val="none"/>
        </w:rPr>
        <w:br w:type="page"/>
      </w:r>
      <w:r>
        <w:rPr>
          <w:rFonts w:hint="eastAsia" w:ascii="宋体" w:hAnsi="宋体" w:eastAsia="宋体" w:cs="宋体"/>
          <w:b/>
          <w:color w:val="auto"/>
          <w:sz w:val="28"/>
          <w:szCs w:val="28"/>
          <w:highlight w:val="none"/>
        </w:rPr>
        <w:t>附表二-2：</w:t>
      </w:r>
    </w:p>
    <w:p w14:paraId="46314A56">
      <w:pPr>
        <w:spacing w:line="360" w:lineRule="auto"/>
        <w:jc w:val="center"/>
        <w:rPr>
          <w:rFonts w:hint="eastAsia" w:ascii="宋体" w:hAnsi="宋体" w:eastAsia="宋体" w:cs="宋体"/>
          <w:b/>
          <w:color w:val="auto"/>
          <w:szCs w:val="21"/>
          <w:highlight w:val="none"/>
        </w:rPr>
      </w:pPr>
    </w:p>
    <w:p w14:paraId="5886F53E">
      <w:pPr>
        <w:spacing w:line="440" w:lineRule="exact"/>
        <w:jc w:val="center"/>
        <w:rPr>
          <w:rFonts w:hint="eastAsia" w:ascii="宋体" w:hAnsi="宋体" w:eastAsia="宋体" w:cs="宋体"/>
          <w:b/>
          <w:color w:val="auto"/>
          <w:sz w:val="24"/>
          <w:highlight w:val="none"/>
        </w:rPr>
      </w:pPr>
    </w:p>
    <w:p w14:paraId="51F67682">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法人代表授权书格式 </w:t>
      </w:r>
    </w:p>
    <w:p w14:paraId="35809C23">
      <w:pPr>
        <w:spacing w:line="440" w:lineRule="exact"/>
        <w:jc w:val="center"/>
        <w:rPr>
          <w:rFonts w:hint="eastAsia" w:ascii="宋体" w:hAnsi="宋体" w:eastAsia="宋体" w:cs="宋体"/>
          <w:b/>
          <w:color w:val="auto"/>
          <w:sz w:val="24"/>
          <w:highlight w:val="none"/>
        </w:rPr>
      </w:pPr>
    </w:p>
    <w:p w14:paraId="750439F5">
      <w:pPr>
        <w:spacing w:line="48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本授权书声明：注册于</w:t>
      </w:r>
      <w:r>
        <w:rPr>
          <w:rFonts w:hint="eastAsia" w:ascii="宋体" w:hAnsi="宋体" w:eastAsia="宋体" w:cs="宋体"/>
          <w:color w:val="auto"/>
          <w:sz w:val="24"/>
          <w:highlight w:val="none"/>
          <w:u w:val="single"/>
        </w:rPr>
        <w:t>（地区的名称）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公司名称），</w:t>
      </w:r>
      <w:r>
        <w:rPr>
          <w:rFonts w:hint="eastAsia" w:ascii="宋体" w:hAnsi="宋体" w:eastAsia="宋体" w:cs="宋体"/>
          <w:color w:val="auto"/>
          <w:sz w:val="24"/>
          <w:highlight w:val="none"/>
        </w:rPr>
        <w:t>在下面签字的法人代表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代表本公司授权在下面签字的</w:t>
      </w:r>
      <w:r>
        <w:rPr>
          <w:rFonts w:hint="eastAsia" w:ascii="宋体" w:hAnsi="宋体" w:eastAsia="宋体" w:cs="宋体"/>
          <w:color w:val="auto"/>
          <w:sz w:val="24"/>
          <w:highlight w:val="none"/>
          <w:u w:val="single"/>
        </w:rPr>
        <w:t>（被授权人的姓名、职务、身份证号）</w:t>
      </w:r>
      <w:r>
        <w:rPr>
          <w:rFonts w:hint="eastAsia" w:ascii="宋体" w:hAnsi="宋体" w:eastAsia="宋体" w:cs="宋体"/>
          <w:color w:val="auto"/>
          <w:sz w:val="24"/>
          <w:highlight w:val="none"/>
        </w:rPr>
        <w:t>为本公司的合法代理人，就</w:t>
      </w:r>
      <w:r>
        <w:rPr>
          <w:rFonts w:hint="eastAsia" w:ascii="宋体" w:hAnsi="宋体" w:eastAsia="宋体" w:cs="宋体"/>
          <w:color w:val="auto"/>
          <w:sz w:val="24"/>
          <w:highlight w:val="none"/>
          <w:u w:val="single"/>
        </w:rPr>
        <w:t>（项目名称/编号）</w:t>
      </w:r>
      <w:r>
        <w:rPr>
          <w:rFonts w:hint="eastAsia" w:ascii="宋体" w:hAnsi="宋体" w:eastAsia="宋体" w:cs="宋体"/>
          <w:color w:val="auto"/>
          <w:sz w:val="24"/>
          <w:highlight w:val="none"/>
        </w:rPr>
        <w:t>的投标，以本公司的名义处理一切与之有关的事务。</w:t>
      </w:r>
    </w:p>
    <w:p w14:paraId="0362DD36">
      <w:pPr>
        <w:spacing w:line="48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本授权书于年月日签字生效，特此声明。</w:t>
      </w:r>
    </w:p>
    <w:p w14:paraId="46756971">
      <w:pPr>
        <w:spacing w:line="480" w:lineRule="auto"/>
        <w:ind w:firstLine="435"/>
        <w:rPr>
          <w:rFonts w:hint="eastAsia" w:ascii="宋体" w:hAnsi="宋体" w:eastAsia="宋体" w:cs="宋体"/>
          <w:color w:val="auto"/>
          <w:sz w:val="24"/>
          <w:highlight w:val="none"/>
        </w:rPr>
      </w:pPr>
    </w:p>
    <w:p w14:paraId="299EAAAB">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投标人（盖章）：     </w:t>
      </w:r>
    </w:p>
    <w:p w14:paraId="32066919">
      <w:pPr>
        <w:wordWrap w:val="0"/>
        <w:spacing w:line="480" w:lineRule="auto"/>
        <w:ind w:firstLine="435"/>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44A2324A">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日     期：      </w:t>
      </w:r>
    </w:p>
    <w:p w14:paraId="53E28A36">
      <w:pPr>
        <w:wordWrap w:val="0"/>
        <w:spacing w:line="480" w:lineRule="auto"/>
        <w:ind w:firstLine="435"/>
        <w:jc w:val="right"/>
        <w:rPr>
          <w:rFonts w:hint="eastAsia" w:ascii="宋体" w:hAnsi="宋体" w:eastAsia="宋体" w:cs="宋体"/>
          <w:color w:val="auto"/>
          <w:sz w:val="28"/>
          <w:szCs w:val="28"/>
          <w:highlight w:val="none"/>
          <w:u w:val="single"/>
        </w:rPr>
      </w:pPr>
    </w:p>
    <w:p w14:paraId="384029DE">
      <w:pPr>
        <w:spacing w:line="480" w:lineRule="auto"/>
        <w:ind w:firstLine="435"/>
        <w:rPr>
          <w:rFonts w:hint="eastAsia" w:ascii="宋体" w:hAnsi="宋体" w:eastAsia="宋体" w:cs="宋体"/>
          <w:color w:val="auto"/>
          <w:sz w:val="28"/>
          <w:szCs w:val="28"/>
          <w:highlight w:val="none"/>
          <w:u w:val="single"/>
        </w:rPr>
      </w:pPr>
    </w:p>
    <w:p w14:paraId="1C5AB70C">
      <w:pPr>
        <w:spacing w:line="480" w:lineRule="auto"/>
        <w:ind w:firstLine="3612" w:firstLineChars="1505"/>
        <w:rPr>
          <w:rFonts w:hint="eastAsia" w:ascii="宋体" w:hAnsi="宋体" w:eastAsia="宋体" w:cs="宋体"/>
          <w:color w:val="auto"/>
          <w:sz w:val="24"/>
          <w:highlight w:val="none"/>
        </w:rPr>
      </w:pPr>
    </w:p>
    <w:p w14:paraId="1438AA8B">
      <w:pPr>
        <w:spacing w:line="480" w:lineRule="auto"/>
        <w:ind w:firstLine="3612" w:firstLineChars="1505"/>
        <w:rPr>
          <w:rFonts w:hint="eastAsia" w:ascii="宋体" w:hAnsi="宋体" w:eastAsia="宋体" w:cs="宋体"/>
          <w:color w:val="auto"/>
          <w:sz w:val="24"/>
          <w:highlight w:val="none"/>
        </w:rPr>
      </w:pPr>
    </w:p>
    <w:p w14:paraId="0864154B">
      <w:pPr>
        <w:spacing w:line="480" w:lineRule="auto"/>
        <w:jc w:val="center"/>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被授权人身份证复印件（必须与本证明复印在同一页）</w:t>
      </w:r>
    </w:p>
    <w:p w14:paraId="535EEEAD">
      <w:pPr>
        <w:spacing w:line="360" w:lineRule="auto"/>
        <w:ind w:firstLine="4214" w:firstLineChars="1505"/>
        <w:jc w:val="right"/>
        <w:rPr>
          <w:rFonts w:hint="eastAsia" w:ascii="宋体" w:hAnsi="宋体" w:eastAsia="宋体" w:cs="宋体"/>
          <w:color w:val="auto"/>
          <w:sz w:val="28"/>
          <w:szCs w:val="28"/>
          <w:highlight w:val="none"/>
        </w:rPr>
      </w:pPr>
    </w:p>
    <w:p w14:paraId="0B63EC25">
      <w:pPr>
        <w:spacing w:line="360" w:lineRule="auto"/>
        <w:rPr>
          <w:rFonts w:hint="eastAsia" w:ascii="宋体" w:hAnsi="宋体" w:eastAsia="宋体" w:cs="宋体"/>
          <w:color w:val="auto"/>
          <w:sz w:val="28"/>
          <w:szCs w:val="28"/>
          <w:highlight w:val="none"/>
        </w:rPr>
      </w:pPr>
    </w:p>
    <w:p w14:paraId="76F5808E">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注：法人代表本人作为公司代理人前来参加投标的投标人，可不提供此项证明文件。</w:t>
      </w:r>
    </w:p>
    <w:p w14:paraId="5B4A789F">
      <w:pPr>
        <w:spacing w:line="440" w:lineRule="exact"/>
        <w:rPr>
          <w:rFonts w:hint="eastAsia" w:ascii="宋体" w:hAnsi="宋体" w:eastAsia="宋体" w:cs="宋体"/>
          <w:b/>
          <w:color w:val="auto"/>
          <w:sz w:val="28"/>
          <w:szCs w:val="28"/>
          <w:highlight w:val="none"/>
        </w:rPr>
      </w:pPr>
    </w:p>
    <w:p w14:paraId="0450C26C">
      <w:pPr>
        <w:spacing w:line="440" w:lineRule="exact"/>
        <w:rPr>
          <w:rFonts w:hint="eastAsia" w:ascii="宋体" w:hAnsi="宋体" w:eastAsia="宋体" w:cs="宋体"/>
          <w:b/>
          <w:color w:val="auto"/>
          <w:sz w:val="28"/>
          <w:szCs w:val="28"/>
          <w:highlight w:val="none"/>
        </w:rPr>
      </w:pPr>
    </w:p>
    <w:p w14:paraId="63430A6E">
      <w:pPr>
        <w:spacing w:line="440" w:lineRule="exact"/>
        <w:rPr>
          <w:rFonts w:hint="eastAsia" w:ascii="宋体" w:hAnsi="宋体" w:eastAsia="宋体" w:cs="宋体"/>
          <w:b/>
          <w:color w:val="auto"/>
          <w:sz w:val="28"/>
          <w:szCs w:val="28"/>
          <w:highlight w:val="none"/>
        </w:rPr>
      </w:pPr>
    </w:p>
    <w:p w14:paraId="0829DCFE">
      <w:pPr>
        <w:spacing w:line="440" w:lineRule="exact"/>
        <w:rPr>
          <w:rFonts w:hint="eastAsia" w:ascii="宋体" w:hAnsi="宋体" w:eastAsia="宋体" w:cs="宋体"/>
          <w:b/>
          <w:color w:val="auto"/>
          <w:sz w:val="24"/>
          <w:highlight w:val="none"/>
          <w:lang w:val="zh-CN"/>
        </w:rPr>
      </w:pPr>
      <w:r>
        <w:rPr>
          <w:rFonts w:hint="eastAsia" w:ascii="宋体" w:hAnsi="宋体" w:eastAsia="宋体" w:cs="宋体"/>
          <w:b/>
          <w:color w:val="auto"/>
          <w:sz w:val="28"/>
          <w:szCs w:val="28"/>
          <w:highlight w:val="none"/>
        </w:rPr>
        <w:t>附表三：</w:t>
      </w:r>
    </w:p>
    <w:p w14:paraId="4D27CC6F">
      <w:pPr>
        <w:spacing w:line="440" w:lineRule="exact"/>
        <w:jc w:val="center"/>
        <w:rPr>
          <w:rFonts w:hint="eastAsia" w:ascii="宋体" w:hAnsi="宋体" w:eastAsia="宋体" w:cs="宋体"/>
          <w:b/>
          <w:color w:val="auto"/>
          <w:sz w:val="24"/>
          <w:highlight w:val="none"/>
        </w:rPr>
      </w:pPr>
    </w:p>
    <w:p w14:paraId="33A5F69C">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投标报价一览表</w:t>
      </w:r>
    </w:p>
    <w:p w14:paraId="65AE8F34">
      <w:pPr>
        <w:wordWrap w:val="0"/>
        <w:spacing w:line="440" w:lineRule="exact"/>
        <w:ind w:right="960" w:firstLine="360" w:firstLineChars="150"/>
        <w:rPr>
          <w:rFonts w:hint="eastAsia" w:ascii="宋体" w:hAnsi="宋体" w:eastAsia="宋体" w:cs="宋体"/>
          <w:color w:val="auto"/>
          <w:sz w:val="24"/>
          <w:highlight w:val="none"/>
        </w:rPr>
      </w:pPr>
    </w:p>
    <w:p w14:paraId="465C2B26">
      <w:pPr>
        <w:wordWrap w:val="0"/>
        <w:spacing w:line="440" w:lineRule="exact"/>
        <w:ind w:right="960" w:firstLine="360" w:firstLineChars="15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项目名称：                                           </w:t>
      </w:r>
    </w:p>
    <w:tbl>
      <w:tblPr>
        <w:tblStyle w:val="47"/>
        <w:tblW w:w="0" w:type="auto"/>
        <w:jc w:val="center"/>
        <w:tblLayout w:type="fixed"/>
        <w:tblCellMar>
          <w:top w:w="0" w:type="dxa"/>
          <w:left w:w="0" w:type="dxa"/>
          <w:bottom w:w="0" w:type="dxa"/>
          <w:right w:w="0" w:type="dxa"/>
        </w:tblCellMar>
      </w:tblPr>
      <w:tblGrid>
        <w:gridCol w:w="2905"/>
        <w:gridCol w:w="5826"/>
      </w:tblGrid>
      <w:tr w14:paraId="1D59C5DB">
        <w:tblPrEx>
          <w:tblCellMar>
            <w:top w:w="0" w:type="dxa"/>
            <w:left w:w="0" w:type="dxa"/>
            <w:bottom w:w="0" w:type="dxa"/>
            <w:right w:w="0" w:type="dxa"/>
          </w:tblCellMar>
        </w:tblPrEx>
        <w:trPr>
          <w:trHeight w:val="624"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FF87367">
            <w:pPr>
              <w:ind w:right="48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w:t>
            </w:r>
          </w:p>
        </w:tc>
        <w:tc>
          <w:tcPr>
            <w:tcW w:w="5826" w:type="dxa"/>
            <w:tcBorders>
              <w:top w:val="single" w:color="000000" w:sz="4" w:space="0"/>
              <w:bottom w:val="single" w:color="000000" w:sz="4" w:space="0"/>
              <w:right w:val="single" w:color="000000" w:sz="4" w:space="0"/>
            </w:tcBorders>
            <w:tcMar>
              <w:left w:w="0" w:type="dxa"/>
              <w:right w:w="0" w:type="dxa"/>
            </w:tcMar>
            <w:vAlign w:val="center"/>
          </w:tcPr>
          <w:p w14:paraId="5FC59B88">
            <w:pPr>
              <w:ind w:right="480"/>
              <w:jc w:val="center"/>
              <w:rPr>
                <w:rFonts w:hint="eastAsia" w:ascii="宋体" w:hAnsi="宋体" w:eastAsia="宋体" w:cs="宋体"/>
                <w:b/>
                <w:color w:val="auto"/>
                <w:sz w:val="24"/>
                <w:highlight w:val="none"/>
              </w:rPr>
            </w:pPr>
          </w:p>
        </w:tc>
      </w:tr>
      <w:tr w14:paraId="5756AB5D">
        <w:tblPrEx>
          <w:tblCellMar>
            <w:top w:w="0" w:type="dxa"/>
            <w:left w:w="0" w:type="dxa"/>
            <w:bottom w:w="0" w:type="dxa"/>
            <w:right w:w="0" w:type="dxa"/>
          </w:tblCellMar>
        </w:tblPrEx>
        <w:trPr>
          <w:trHeight w:val="624" w:hRule="atLeast"/>
          <w:jc w:val="center"/>
        </w:trPr>
        <w:tc>
          <w:tcPr>
            <w:tcW w:w="2905" w:type="dxa"/>
            <w:vMerge w:val="restart"/>
            <w:tcBorders>
              <w:left w:val="single" w:color="000000" w:sz="4" w:space="0"/>
              <w:right w:val="single" w:color="000000" w:sz="4" w:space="0"/>
            </w:tcBorders>
            <w:tcMar>
              <w:left w:w="0" w:type="dxa"/>
              <w:right w:w="0" w:type="dxa"/>
            </w:tcMar>
            <w:vAlign w:val="center"/>
          </w:tcPr>
          <w:p w14:paraId="0774219C">
            <w:pPr>
              <w:ind w:right="48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投标总报价(元)</w:t>
            </w:r>
          </w:p>
        </w:tc>
        <w:tc>
          <w:tcPr>
            <w:tcW w:w="5826" w:type="dxa"/>
            <w:tcBorders>
              <w:bottom w:val="single" w:color="000000" w:sz="4" w:space="0"/>
              <w:right w:val="single" w:color="000000" w:sz="4" w:space="0"/>
            </w:tcBorders>
            <w:tcMar>
              <w:left w:w="0" w:type="dxa"/>
              <w:right w:w="0" w:type="dxa"/>
            </w:tcMar>
            <w:vAlign w:val="center"/>
          </w:tcPr>
          <w:p w14:paraId="5A1915A2">
            <w:pPr>
              <w:ind w:right="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大写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 xml:space="preserve">                   </w:t>
            </w:r>
          </w:p>
        </w:tc>
      </w:tr>
      <w:tr w14:paraId="19215A80">
        <w:tblPrEx>
          <w:tblCellMar>
            <w:top w:w="0" w:type="dxa"/>
            <w:left w:w="0" w:type="dxa"/>
            <w:bottom w:w="0" w:type="dxa"/>
            <w:right w:w="0" w:type="dxa"/>
          </w:tblCellMar>
        </w:tblPrEx>
        <w:trPr>
          <w:trHeight w:val="624" w:hRule="atLeast"/>
          <w:jc w:val="center"/>
        </w:trPr>
        <w:tc>
          <w:tcPr>
            <w:tcW w:w="2905" w:type="dxa"/>
            <w:vMerge w:val="continue"/>
            <w:tcBorders>
              <w:left w:val="single" w:color="000000" w:sz="4" w:space="0"/>
              <w:bottom w:val="single" w:color="000000" w:sz="4" w:space="0"/>
              <w:right w:val="single" w:color="000000" w:sz="4" w:space="0"/>
            </w:tcBorders>
            <w:tcMar>
              <w:left w:w="0" w:type="dxa"/>
              <w:right w:w="0" w:type="dxa"/>
            </w:tcMar>
            <w:vAlign w:val="center"/>
          </w:tcPr>
          <w:p w14:paraId="30ADCAEE">
            <w:pPr>
              <w:ind w:right="480"/>
              <w:jc w:val="center"/>
              <w:rPr>
                <w:rFonts w:hint="eastAsia" w:ascii="宋体" w:hAnsi="宋体" w:eastAsia="宋体" w:cs="宋体"/>
                <w:b/>
                <w:color w:val="auto"/>
                <w:sz w:val="24"/>
                <w:highlight w:val="none"/>
              </w:rPr>
            </w:pPr>
          </w:p>
        </w:tc>
        <w:tc>
          <w:tcPr>
            <w:tcW w:w="5826" w:type="dxa"/>
            <w:tcBorders>
              <w:bottom w:val="single" w:color="000000" w:sz="4" w:space="0"/>
              <w:right w:val="single" w:color="000000" w:sz="4" w:space="0"/>
            </w:tcBorders>
            <w:tcMar>
              <w:left w:w="0" w:type="dxa"/>
              <w:right w:w="0" w:type="dxa"/>
            </w:tcMar>
            <w:vAlign w:val="center"/>
          </w:tcPr>
          <w:p w14:paraId="4E6D3252">
            <w:pPr>
              <w:ind w:right="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小写</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w:t>
            </w:r>
          </w:p>
        </w:tc>
      </w:tr>
      <w:tr w14:paraId="7EA8680D">
        <w:tblPrEx>
          <w:tblCellMar>
            <w:top w:w="0" w:type="dxa"/>
            <w:left w:w="0" w:type="dxa"/>
            <w:bottom w:w="0" w:type="dxa"/>
            <w:right w:w="0" w:type="dxa"/>
          </w:tblCellMar>
        </w:tblPrEx>
        <w:trPr>
          <w:trHeight w:val="67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30E36E4">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合同履约期限</w:t>
            </w:r>
          </w:p>
        </w:tc>
        <w:tc>
          <w:tcPr>
            <w:tcW w:w="582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107F72C">
            <w:pPr>
              <w:ind w:right="480"/>
              <w:jc w:val="center"/>
              <w:rPr>
                <w:rFonts w:hint="eastAsia" w:ascii="宋体" w:hAnsi="宋体" w:eastAsia="宋体" w:cs="宋体"/>
                <w:b/>
                <w:color w:val="auto"/>
                <w:sz w:val="24"/>
                <w:highlight w:val="none"/>
              </w:rPr>
            </w:pPr>
          </w:p>
        </w:tc>
      </w:tr>
      <w:tr w14:paraId="191F3A07">
        <w:tblPrEx>
          <w:tblCellMar>
            <w:top w:w="0" w:type="dxa"/>
            <w:left w:w="0" w:type="dxa"/>
            <w:bottom w:w="0" w:type="dxa"/>
            <w:right w:w="0" w:type="dxa"/>
          </w:tblCellMar>
        </w:tblPrEx>
        <w:trPr>
          <w:trHeight w:val="67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6F5BA3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质保期</w:t>
            </w:r>
          </w:p>
        </w:tc>
        <w:tc>
          <w:tcPr>
            <w:tcW w:w="582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A6734C5">
            <w:pPr>
              <w:ind w:right="480"/>
              <w:jc w:val="center"/>
              <w:rPr>
                <w:rFonts w:hint="eastAsia" w:ascii="宋体" w:hAnsi="宋体" w:eastAsia="宋体" w:cs="宋体"/>
                <w:b/>
                <w:color w:val="auto"/>
                <w:sz w:val="24"/>
                <w:highlight w:val="none"/>
              </w:rPr>
            </w:pPr>
          </w:p>
        </w:tc>
      </w:tr>
      <w:tr w14:paraId="28BC9BA3">
        <w:tblPrEx>
          <w:tblCellMar>
            <w:top w:w="0" w:type="dxa"/>
            <w:left w:w="0" w:type="dxa"/>
            <w:bottom w:w="0" w:type="dxa"/>
            <w:right w:w="0" w:type="dxa"/>
          </w:tblCellMar>
        </w:tblPrEx>
        <w:trPr>
          <w:trHeight w:val="675" w:hRule="atLeast"/>
          <w:jc w:val="center"/>
        </w:trPr>
        <w:tc>
          <w:tcPr>
            <w:tcW w:w="2905"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1605F57">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使用寿命</w:t>
            </w:r>
          </w:p>
        </w:tc>
        <w:tc>
          <w:tcPr>
            <w:tcW w:w="582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9D68795">
            <w:pPr>
              <w:ind w:right="480"/>
              <w:jc w:val="center"/>
              <w:rPr>
                <w:rFonts w:hint="eastAsia" w:ascii="宋体" w:hAnsi="宋体" w:eastAsia="宋体" w:cs="宋体"/>
                <w:b/>
                <w:color w:val="auto"/>
                <w:sz w:val="24"/>
                <w:highlight w:val="none"/>
              </w:rPr>
            </w:pPr>
          </w:p>
        </w:tc>
      </w:tr>
    </w:tbl>
    <w:p w14:paraId="6E821622">
      <w:pPr>
        <w:rPr>
          <w:rFonts w:hint="eastAsia" w:ascii="宋体" w:hAnsi="宋体" w:eastAsia="宋体" w:cs="宋体"/>
          <w:color w:val="auto"/>
          <w:sz w:val="24"/>
          <w:highlight w:val="none"/>
        </w:rPr>
      </w:pPr>
    </w:p>
    <w:p w14:paraId="72715DF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注：1、如果按单价计算的结果与总价不一致，以单价为准修正总价。</w:t>
      </w:r>
    </w:p>
    <w:p w14:paraId="7360907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2、如果不提供详细分项报价将视为没有实质性投标文件。</w:t>
      </w:r>
    </w:p>
    <w:p w14:paraId="42435F7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3、以上所有报价不得高于招标文件规定的最高限价。</w:t>
      </w:r>
    </w:p>
    <w:p w14:paraId="360470A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合同履约期限</w:t>
      </w:r>
      <w:r>
        <w:rPr>
          <w:rFonts w:hint="eastAsia" w:ascii="宋体" w:hAnsi="宋体" w:eastAsia="宋体" w:cs="宋体"/>
          <w:color w:val="auto"/>
          <w:sz w:val="24"/>
          <w:highlight w:val="none"/>
        </w:rPr>
        <w:t>、质保期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使用寿命</w:t>
      </w:r>
      <w:r>
        <w:rPr>
          <w:rFonts w:hint="eastAsia" w:ascii="宋体" w:hAnsi="宋体" w:eastAsia="宋体" w:cs="宋体"/>
          <w:color w:val="auto"/>
          <w:sz w:val="24"/>
          <w:highlight w:val="none"/>
        </w:rPr>
        <w:t>必须响应招标文件。</w:t>
      </w:r>
    </w:p>
    <w:p w14:paraId="46F81BD6">
      <w:pPr>
        <w:spacing w:line="440" w:lineRule="exact"/>
        <w:ind w:right="480"/>
        <w:jc w:val="right"/>
        <w:rPr>
          <w:rFonts w:hint="eastAsia" w:ascii="宋体" w:hAnsi="宋体" w:eastAsia="宋体" w:cs="宋体"/>
          <w:b/>
          <w:color w:val="auto"/>
          <w:sz w:val="24"/>
          <w:highlight w:val="none"/>
        </w:rPr>
      </w:pPr>
    </w:p>
    <w:p w14:paraId="29B674A6">
      <w:pPr>
        <w:wordWrap w:val="0"/>
        <w:spacing w:line="480" w:lineRule="auto"/>
        <w:ind w:firstLine="6000" w:firstLineChars="2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投标人（盖章）：     </w:t>
      </w:r>
    </w:p>
    <w:p w14:paraId="52A5D03C">
      <w:pPr>
        <w:wordWrap w:val="0"/>
        <w:spacing w:line="480" w:lineRule="auto"/>
        <w:ind w:firstLine="6000" w:firstLineChars="2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5F2C2594">
      <w:pPr>
        <w:wordWrap w:val="0"/>
        <w:spacing w:line="480" w:lineRule="auto"/>
        <w:ind w:firstLine="6000" w:firstLineChars="2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日     期：      </w:t>
      </w:r>
    </w:p>
    <w:p w14:paraId="3253D894">
      <w:pPr>
        <w:spacing w:line="440" w:lineRule="exact"/>
        <w:ind w:right="480"/>
        <w:jc w:val="center"/>
        <w:rPr>
          <w:rFonts w:hint="eastAsia" w:ascii="宋体" w:hAnsi="宋体" w:eastAsia="宋体" w:cs="宋体"/>
          <w:b/>
          <w:color w:val="auto"/>
          <w:sz w:val="28"/>
          <w:szCs w:val="28"/>
          <w:highlight w:val="none"/>
        </w:rPr>
      </w:pPr>
    </w:p>
    <w:p w14:paraId="12561F4A">
      <w:pPr>
        <w:spacing w:line="440" w:lineRule="exact"/>
        <w:rPr>
          <w:rFonts w:hint="eastAsia" w:ascii="宋体" w:hAnsi="宋体" w:eastAsia="宋体" w:cs="宋体"/>
          <w:b/>
          <w:color w:val="auto"/>
          <w:sz w:val="24"/>
          <w:highlight w:val="none"/>
          <w:lang w:val="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附表四：</w:t>
      </w:r>
    </w:p>
    <w:p w14:paraId="46BE4D20">
      <w:pPr>
        <w:spacing w:line="440" w:lineRule="exact"/>
        <w:jc w:val="both"/>
        <w:rPr>
          <w:rFonts w:hint="eastAsia" w:ascii="宋体" w:hAnsi="宋体" w:eastAsia="宋体" w:cs="宋体"/>
          <w:b/>
          <w:color w:val="auto"/>
          <w:sz w:val="28"/>
          <w:szCs w:val="28"/>
          <w:highlight w:val="none"/>
        </w:rPr>
      </w:pPr>
    </w:p>
    <w:p w14:paraId="7109606E">
      <w:pPr>
        <w:spacing w:line="440" w:lineRule="exact"/>
        <w:ind w:firstLine="4116" w:firstLineChars="147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明细报价表</w:t>
      </w:r>
    </w:p>
    <w:p w14:paraId="2DBBFFA4">
      <w:pPr>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单位：元</w:t>
      </w:r>
    </w:p>
    <w:tbl>
      <w:tblPr>
        <w:tblStyle w:val="47"/>
        <w:tblW w:w="0" w:type="auto"/>
        <w:jc w:val="center"/>
        <w:tblLayout w:type="fixed"/>
        <w:tblCellMar>
          <w:top w:w="0" w:type="dxa"/>
          <w:left w:w="0" w:type="dxa"/>
          <w:bottom w:w="0" w:type="dxa"/>
          <w:right w:w="0" w:type="dxa"/>
        </w:tblCellMar>
      </w:tblPr>
      <w:tblGrid>
        <w:gridCol w:w="2465"/>
        <w:gridCol w:w="1455"/>
        <w:gridCol w:w="2056"/>
        <w:gridCol w:w="870"/>
        <w:gridCol w:w="780"/>
        <w:gridCol w:w="825"/>
        <w:gridCol w:w="944"/>
      </w:tblGrid>
      <w:tr w14:paraId="7E3CE7C9">
        <w:tblPrEx>
          <w:tblCellMar>
            <w:top w:w="0" w:type="dxa"/>
            <w:left w:w="0" w:type="dxa"/>
            <w:bottom w:w="0" w:type="dxa"/>
            <w:right w:w="0" w:type="dxa"/>
          </w:tblCellMar>
        </w:tblPrEx>
        <w:trPr>
          <w:trHeight w:val="567" w:hRule="atLeast"/>
          <w:jc w:val="center"/>
        </w:trPr>
        <w:tc>
          <w:tcPr>
            <w:tcW w:w="2465" w:type="dxa"/>
            <w:tcBorders>
              <w:top w:val="single" w:color="000000" w:sz="4" w:space="0"/>
              <w:left w:val="single" w:color="000000" w:sz="6" w:space="0"/>
              <w:bottom w:val="single" w:color="000000" w:sz="6" w:space="0"/>
              <w:right w:val="single" w:color="auto" w:sz="4" w:space="0"/>
            </w:tcBorders>
            <w:tcMar>
              <w:left w:w="0" w:type="dxa"/>
              <w:right w:w="0" w:type="dxa"/>
            </w:tcMar>
            <w:vAlign w:val="center"/>
          </w:tcPr>
          <w:p w14:paraId="7248B4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名称</w:t>
            </w: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A8B84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内容简述</w:t>
            </w: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CC4A2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r>
              <w:rPr>
                <w:rFonts w:hint="eastAsia" w:ascii="宋体" w:hAnsi="宋体" w:eastAsia="宋体" w:cs="宋体"/>
                <w:color w:val="auto"/>
                <w:sz w:val="24"/>
                <w:highlight w:val="none"/>
                <w:lang w:eastAsia="zh-CN"/>
              </w:rPr>
              <w:t>、型号及</w:t>
            </w:r>
            <w:r>
              <w:rPr>
                <w:rFonts w:hint="eastAsia" w:ascii="宋体" w:hAnsi="宋体" w:eastAsia="宋体" w:cs="宋体"/>
                <w:color w:val="auto"/>
                <w:sz w:val="24"/>
                <w:highlight w:val="none"/>
              </w:rPr>
              <w:t>产地</w:t>
            </w:r>
          </w:p>
        </w:tc>
        <w:tc>
          <w:tcPr>
            <w:tcW w:w="870" w:type="dxa"/>
            <w:tcBorders>
              <w:top w:val="single" w:color="000000" w:sz="4" w:space="0"/>
              <w:left w:val="single" w:color="auto" w:sz="4" w:space="0"/>
              <w:bottom w:val="single" w:color="000000" w:sz="6" w:space="0"/>
              <w:right w:val="single" w:color="000000" w:sz="6" w:space="0"/>
            </w:tcBorders>
            <w:tcMar>
              <w:left w:w="0" w:type="dxa"/>
              <w:right w:w="0" w:type="dxa"/>
            </w:tcMar>
            <w:vAlign w:val="center"/>
          </w:tcPr>
          <w:p w14:paraId="468C798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80"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38EE3E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25"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42A6D34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944" w:type="dxa"/>
            <w:tcBorders>
              <w:top w:val="single" w:color="000000" w:sz="4" w:space="0"/>
              <w:left w:val="single" w:color="000000" w:sz="6" w:space="0"/>
              <w:bottom w:val="single" w:color="000000" w:sz="6" w:space="0"/>
              <w:right w:val="single" w:color="000000" w:sz="4" w:space="0"/>
            </w:tcBorders>
            <w:tcMar>
              <w:left w:w="0" w:type="dxa"/>
              <w:right w:w="0" w:type="dxa"/>
            </w:tcMar>
            <w:vAlign w:val="center"/>
          </w:tcPr>
          <w:p w14:paraId="15B0E30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合价</w:t>
            </w:r>
          </w:p>
        </w:tc>
      </w:tr>
      <w:tr w14:paraId="575788B4">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1885829D">
            <w:pPr>
              <w:widowControl/>
              <w:jc w:val="left"/>
              <w:rPr>
                <w:rFonts w:hint="eastAsia" w:ascii="宋体" w:hAnsi="宋体" w:eastAsia="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FB4F023">
            <w:pPr>
              <w:jc w:val="center"/>
              <w:rPr>
                <w:rFonts w:hint="eastAsia" w:ascii="宋体" w:hAnsi="宋体" w:eastAsia="宋体" w:cs="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7E35E58">
            <w:pPr>
              <w:jc w:val="center"/>
              <w:rPr>
                <w:rFonts w:hint="eastAsia" w:ascii="宋体" w:hAnsi="宋体" w:eastAsia="宋体" w:cs="宋体"/>
                <w:color w:val="auto"/>
                <w:sz w:val="24"/>
                <w:highlight w:val="none"/>
              </w:rPr>
            </w:pPr>
          </w:p>
        </w:tc>
        <w:tc>
          <w:tcPr>
            <w:tcW w:w="870"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08627FCB">
            <w:pPr>
              <w:jc w:val="center"/>
              <w:rPr>
                <w:rFonts w:hint="eastAsia" w:ascii="宋体" w:hAnsi="宋体" w:eastAsia="宋体" w:cs="宋体"/>
                <w:color w:val="auto"/>
                <w:sz w:val="24"/>
                <w:highlight w:val="none"/>
              </w:rPr>
            </w:pPr>
          </w:p>
        </w:tc>
        <w:tc>
          <w:tcPr>
            <w:tcW w:w="7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23BAD6F">
            <w:pPr>
              <w:jc w:val="center"/>
              <w:rPr>
                <w:rFonts w:hint="eastAsia" w:ascii="宋体" w:hAnsi="宋体" w:eastAsia="宋体" w:cs="宋体"/>
                <w:color w:val="auto"/>
                <w:sz w:val="24"/>
                <w:highlight w:val="none"/>
              </w:rPr>
            </w:pPr>
          </w:p>
        </w:tc>
        <w:tc>
          <w:tcPr>
            <w:tcW w:w="82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138F26A">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7D0A972A">
            <w:pPr>
              <w:jc w:val="center"/>
              <w:rPr>
                <w:rFonts w:hint="eastAsia" w:ascii="宋体" w:hAnsi="宋体" w:eastAsia="宋体" w:cs="宋体"/>
                <w:color w:val="auto"/>
                <w:sz w:val="24"/>
                <w:highlight w:val="none"/>
              </w:rPr>
            </w:pPr>
          </w:p>
        </w:tc>
      </w:tr>
      <w:tr w14:paraId="77E75699">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3AAE9FFC">
            <w:pPr>
              <w:widowControl/>
              <w:jc w:val="left"/>
              <w:rPr>
                <w:rFonts w:hint="eastAsia" w:ascii="宋体" w:hAnsi="宋体" w:eastAsia="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6234651">
            <w:pPr>
              <w:jc w:val="center"/>
              <w:rPr>
                <w:rFonts w:hint="eastAsia" w:ascii="宋体" w:hAnsi="宋体" w:eastAsia="宋体" w:cs="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A888A70">
            <w:pPr>
              <w:jc w:val="center"/>
              <w:rPr>
                <w:rFonts w:hint="eastAsia" w:ascii="宋体" w:hAnsi="宋体" w:eastAsia="宋体" w:cs="宋体"/>
                <w:color w:val="auto"/>
                <w:sz w:val="24"/>
                <w:highlight w:val="none"/>
              </w:rPr>
            </w:pPr>
          </w:p>
        </w:tc>
        <w:tc>
          <w:tcPr>
            <w:tcW w:w="870"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60027379">
            <w:pPr>
              <w:jc w:val="center"/>
              <w:rPr>
                <w:rFonts w:hint="eastAsia" w:ascii="宋体" w:hAnsi="宋体" w:eastAsia="宋体" w:cs="宋体"/>
                <w:color w:val="auto"/>
                <w:sz w:val="24"/>
                <w:highlight w:val="none"/>
              </w:rPr>
            </w:pPr>
          </w:p>
        </w:tc>
        <w:tc>
          <w:tcPr>
            <w:tcW w:w="7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37ED191">
            <w:pPr>
              <w:jc w:val="center"/>
              <w:rPr>
                <w:rFonts w:hint="eastAsia" w:ascii="宋体" w:hAnsi="宋体" w:eastAsia="宋体" w:cs="宋体"/>
                <w:color w:val="auto"/>
                <w:sz w:val="24"/>
                <w:highlight w:val="none"/>
              </w:rPr>
            </w:pPr>
          </w:p>
        </w:tc>
        <w:tc>
          <w:tcPr>
            <w:tcW w:w="82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8F7CF84">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1B64DE06">
            <w:pPr>
              <w:jc w:val="center"/>
              <w:rPr>
                <w:rFonts w:hint="eastAsia" w:ascii="宋体" w:hAnsi="宋体" w:eastAsia="宋体" w:cs="宋体"/>
                <w:color w:val="auto"/>
                <w:sz w:val="24"/>
                <w:highlight w:val="none"/>
              </w:rPr>
            </w:pPr>
          </w:p>
        </w:tc>
      </w:tr>
      <w:tr w14:paraId="017819AF">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6A9A288B">
            <w:pPr>
              <w:widowControl/>
              <w:jc w:val="left"/>
              <w:rPr>
                <w:rFonts w:hint="eastAsia" w:ascii="宋体" w:hAnsi="宋体" w:eastAsia="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175D4A5">
            <w:pPr>
              <w:jc w:val="center"/>
              <w:rPr>
                <w:rFonts w:hint="eastAsia" w:ascii="宋体" w:hAnsi="宋体" w:eastAsia="宋体" w:cs="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BD29FEB">
            <w:pPr>
              <w:jc w:val="center"/>
              <w:rPr>
                <w:rFonts w:hint="eastAsia" w:ascii="宋体" w:hAnsi="宋体" w:eastAsia="宋体" w:cs="宋体"/>
                <w:color w:val="auto"/>
                <w:sz w:val="24"/>
                <w:highlight w:val="none"/>
              </w:rPr>
            </w:pPr>
          </w:p>
        </w:tc>
        <w:tc>
          <w:tcPr>
            <w:tcW w:w="870"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3CD04607">
            <w:pPr>
              <w:jc w:val="center"/>
              <w:rPr>
                <w:rFonts w:hint="eastAsia" w:ascii="宋体" w:hAnsi="宋体" w:eastAsia="宋体" w:cs="宋体"/>
                <w:color w:val="auto"/>
                <w:sz w:val="24"/>
                <w:highlight w:val="none"/>
              </w:rPr>
            </w:pPr>
          </w:p>
        </w:tc>
        <w:tc>
          <w:tcPr>
            <w:tcW w:w="7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F35C8A0">
            <w:pPr>
              <w:jc w:val="center"/>
              <w:rPr>
                <w:rFonts w:hint="eastAsia" w:ascii="宋体" w:hAnsi="宋体" w:eastAsia="宋体" w:cs="宋体"/>
                <w:color w:val="auto"/>
                <w:sz w:val="24"/>
                <w:highlight w:val="none"/>
              </w:rPr>
            </w:pPr>
          </w:p>
        </w:tc>
        <w:tc>
          <w:tcPr>
            <w:tcW w:w="82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270FF60">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55FBDFEC">
            <w:pPr>
              <w:jc w:val="center"/>
              <w:rPr>
                <w:rFonts w:hint="eastAsia" w:ascii="宋体" w:hAnsi="宋体" w:eastAsia="宋体" w:cs="宋体"/>
                <w:color w:val="auto"/>
                <w:sz w:val="24"/>
                <w:highlight w:val="none"/>
              </w:rPr>
            </w:pPr>
          </w:p>
        </w:tc>
      </w:tr>
      <w:tr w14:paraId="45F3030F">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2E510870">
            <w:pPr>
              <w:widowControl/>
              <w:jc w:val="left"/>
              <w:rPr>
                <w:rFonts w:hint="eastAsia" w:ascii="宋体" w:hAnsi="宋体" w:eastAsia="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4F16995">
            <w:pPr>
              <w:jc w:val="center"/>
              <w:rPr>
                <w:rFonts w:hint="eastAsia" w:ascii="宋体" w:hAnsi="宋体" w:eastAsia="宋体" w:cs="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8E285F2">
            <w:pPr>
              <w:jc w:val="center"/>
              <w:rPr>
                <w:rFonts w:hint="eastAsia" w:ascii="宋体" w:hAnsi="宋体" w:eastAsia="宋体" w:cs="宋体"/>
                <w:color w:val="auto"/>
                <w:sz w:val="24"/>
                <w:highlight w:val="none"/>
              </w:rPr>
            </w:pPr>
          </w:p>
        </w:tc>
        <w:tc>
          <w:tcPr>
            <w:tcW w:w="870"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537D8E81">
            <w:pPr>
              <w:jc w:val="center"/>
              <w:rPr>
                <w:rFonts w:hint="eastAsia" w:ascii="宋体" w:hAnsi="宋体" w:eastAsia="宋体" w:cs="宋体"/>
                <w:color w:val="auto"/>
                <w:sz w:val="24"/>
                <w:highlight w:val="none"/>
              </w:rPr>
            </w:pPr>
          </w:p>
        </w:tc>
        <w:tc>
          <w:tcPr>
            <w:tcW w:w="7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282CAEB">
            <w:pPr>
              <w:jc w:val="center"/>
              <w:rPr>
                <w:rFonts w:hint="eastAsia" w:ascii="宋体" w:hAnsi="宋体" w:eastAsia="宋体" w:cs="宋体"/>
                <w:color w:val="auto"/>
                <w:sz w:val="24"/>
                <w:highlight w:val="none"/>
              </w:rPr>
            </w:pPr>
          </w:p>
        </w:tc>
        <w:tc>
          <w:tcPr>
            <w:tcW w:w="82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7FF3DD8">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309CCFC2">
            <w:pPr>
              <w:jc w:val="center"/>
              <w:rPr>
                <w:rFonts w:hint="eastAsia" w:ascii="宋体" w:hAnsi="宋体" w:eastAsia="宋体" w:cs="宋体"/>
                <w:color w:val="auto"/>
                <w:sz w:val="24"/>
                <w:highlight w:val="none"/>
              </w:rPr>
            </w:pPr>
          </w:p>
        </w:tc>
      </w:tr>
      <w:tr w14:paraId="4D2491F8">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2F89DF43">
            <w:pPr>
              <w:widowControl/>
              <w:jc w:val="left"/>
              <w:rPr>
                <w:rFonts w:hint="eastAsia" w:ascii="宋体" w:hAnsi="宋体" w:eastAsia="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3A4C881">
            <w:pPr>
              <w:jc w:val="center"/>
              <w:rPr>
                <w:rFonts w:hint="eastAsia" w:ascii="宋体" w:hAnsi="宋体" w:eastAsia="宋体" w:cs="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EF17202">
            <w:pPr>
              <w:jc w:val="center"/>
              <w:rPr>
                <w:rFonts w:hint="eastAsia" w:ascii="宋体" w:hAnsi="宋体" w:eastAsia="宋体" w:cs="宋体"/>
                <w:color w:val="auto"/>
                <w:sz w:val="24"/>
                <w:highlight w:val="none"/>
              </w:rPr>
            </w:pPr>
          </w:p>
        </w:tc>
        <w:tc>
          <w:tcPr>
            <w:tcW w:w="870"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3B12A5C0">
            <w:pPr>
              <w:jc w:val="center"/>
              <w:rPr>
                <w:rFonts w:hint="eastAsia" w:ascii="宋体" w:hAnsi="宋体" w:eastAsia="宋体" w:cs="宋体"/>
                <w:color w:val="auto"/>
                <w:sz w:val="24"/>
                <w:highlight w:val="none"/>
              </w:rPr>
            </w:pPr>
          </w:p>
        </w:tc>
        <w:tc>
          <w:tcPr>
            <w:tcW w:w="7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D3FBDFF">
            <w:pPr>
              <w:jc w:val="center"/>
              <w:rPr>
                <w:rFonts w:hint="eastAsia" w:ascii="宋体" w:hAnsi="宋体" w:eastAsia="宋体" w:cs="宋体"/>
                <w:color w:val="auto"/>
                <w:sz w:val="24"/>
                <w:highlight w:val="none"/>
              </w:rPr>
            </w:pPr>
          </w:p>
        </w:tc>
        <w:tc>
          <w:tcPr>
            <w:tcW w:w="82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A5C6545">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77052F95">
            <w:pPr>
              <w:jc w:val="center"/>
              <w:rPr>
                <w:rFonts w:hint="eastAsia" w:ascii="宋体" w:hAnsi="宋体" w:eastAsia="宋体" w:cs="宋体"/>
                <w:color w:val="auto"/>
                <w:sz w:val="24"/>
                <w:highlight w:val="none"/>
              </w:rPr>
            </w:pPr>
          </w:p>
        </w:tc>
      </w:tr>
      <w:tr w14:paraId="0316D97E">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6" w:space="0"/>
              <w:right w:val="single" w:color="auto" w:sz="4" w:space="0"/>
            </w:tcBorders>
            <w:tcMar>
              <w:left w:w="0" w:type="dxa"/>
              <w:right w:w="0" w:type="dxa"/>
            </w:tcMar>
            <w:vAlign w:val="center"/>
          </w:tcPr>
          <w:p w14:paraId="040A6542">
            <w:pPr>
              <w:widowControl/>
              <w:jc w:val="left"/>
              <w:rPr>
                <w:rFonts w:hint="eastAsia" w:ascii="宋体" w:hAnsi="宋体" w:eastAsia="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8D0FBC">
            <w:pPr>
              <w:jc w:val="center"/>
              <w:rPr>
                <w:rFonts w:hint="eastAsia" w:ascii="宋体" w:hAnsi="宋体" w:eastAsia="宋体" w:cs="宋体"/>
                <w:color w:val="auto"/>
                <w:sz w:val="24"/>
                <w:highlight w:val="none"/>
              </w:rPr>
            </w:pPr>
          </w:p>
        </w:tc>
        <w:tc>
          <w:tcPr>
            <w:tcW w:w="205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F9E2C62">
            <w:pPr>
              <w:jc w:val="center"/>
              <w:rPr>
                <w:rFonts w:hint="eastAsia" w:ascii="宋体" w:hAnsi="宋体" w:eastAsia="宋体" w:cs="宋体"/>
                <w:color w:val="auto"/>
                <w:sz w:val="24"/>
                <w:highlight w:val="none"/>
              </w:rPr>
            </w:pPr>
          </w:p>
        </w:tc>
        <w:tc>
          <w:tcPr>
            <w:tcW w:w="870" w:type="dxa"/>
            <w:tcBorders>
              <w:top w:val="single" w:color="000000" w:sz="6" w:space="0"/>
              <w:left w:val="single" w:color="auto" w:sz="4" w:space="0"/>
              <w:bottom w:val="single" w:color="000000" w:sz="6" w:space="0"/>
              <w:right w:val="single" w:color="000000" w:sz="6" w:space="0"/>
            </w:tcBorders>
            <w:tcMar>
              <w:left w:w="0" w:type="dxa"/>
              <w:right w:w="0" w:type="dxa"/>
            </w:tcMar>
            <w:vAlign w:val="center"/>
          </w:tcPr>
          <w:p w14:paraId="2A3F0AAD">
            <w:pPr>
              <w:jc w:val="center"/>
              <w:rPr>
                <w:rFonts w:hint="eastAsia" w:ascii="宋体" w:hAnsi="宋体" w:eastAsia="宋体" w:cs="宋体"/>
                <w:color w:val="auto"/>
                <w:sz w:val="24"/>
                <w:highlight w:val="none"/>
              </w:rPr>
            </w:pPr>
          </w:p>
        </w:tc>
        <w:tc>
          <w:tcPr>
            <w:tcW w:w="7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EACD496">
            <w:pPr>
              <w:jc w:val="center"/>
              <w:rPr>
                <w:rFonts w:hint="eastAsia" w:ascii="宋体" w:hAnsi="宋体" w:eastAsia="宋体" w:cs="宋体"/>
                <w:color w:val="auto"/>
                <w:sz w:val="24"/>
                <w:highlight w:val="none"/>
              </w:rPr>
            </w:pPr>
          </w:p>
        </w:tc>
        <w:tc>
          <w:tcPr>
            <w:tcW w:w="82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E3A53E4">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400A1DD1">
            <w:pPr>
              <w:jc w:val="center"/>
              <w:rPr>
                <w:rFonts w:hint="eastAsia" w:ascii="宋体" w:hAnsi="宋体" w:eastAsia="宋体" w:cs="宋体"/>
                <w:color w:val="auto"/>
                <w:sz w:val="24"/>
                <w:highlight w:val="none"/>
              </w:rPr>
            </w:pPr>
          </w:p>
        </w:tc>
      </w:tr>
      <w:tr w14:paraId="5125D292">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65E85181">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运、保等杂费(元)</w:t>
            </w:r>
          </w:p>
        </w:tc>
        <w:tc>
          <w:tcPr>
            <w:tcW w:w="5161" w:type="dxa"/>
            <w:gridSpan w:val="4"/>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5490C6D0">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w:t>
            </w:r>
          </w:p>
        </w:tc>
        <w:tc>
          <w:tcPr>
            <w:tcW w:w="825"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2BC59CAB">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51009F6A">
            <w:pPr>
              <w:jc w:val="center"/>
              <w:rPr>
                <w:rFonts w:hint="eastAsia" w:ascii="宋体" w:hAnsi="宋体" w:eastAsia="宋体" w:cs="宋体"/>
                <w:color w:val="auto"/>
                <w:sz w:val="24"/>
                <w:highlight w:val="none"/>
              </w:rPr>
            </w:pPr>
          </w:p>
        </w:tc>
      </w:tr>
      <w:tr w14:paraId="6314757F">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162AE8F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检测费</w:t>
            </w:r>
            <w:r>
              <w:rPr>
                <w:rFonts w:hint="eastAsia" w:ascii="宋体" w:hAnsi="宋体" w:eastAsia="宋体" w:cs="宋体"/>
                <w:color w:val="auto"/>
                <w:sz w:val="24"/>
                <w:highlight w:val="none"/>
                <w:lang w:eastAsia="zh-CN"/>
              </w:rPr>
              <w:t>、安装费</w:t>
            </w:r>
            <w:r>
              <w:rPr>
                <w:rFonts w:hint="eastAsia" w:ascii="宋体" w:hAnsi="宋体" w:eastAsia="宋体" w:cs="宋体"/>
                <w:color w:val="auto"/>
                <w:sz w:val="24"/>
                <w:highlight w:val="none"/>
              </w:rPr>
              <w:t>（元）</w:t>
            </w:r>
          </w:p>
        </w:tc>
        <w:tc>
          <w:tcPr>
            <w:tcW w:w="5161" w:type="dxa"/>
            <w:gridSpan w:val="4"/>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5362A13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w:t>
            </w:r>
          </w:p>
        </w:tc>
        <w:tc>
          <w:tcPr>
            <w:tcW w:w="825"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7DD64A36">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32F3B378">
            <w:pPr>
              <w:jc w:val="center"/>
              <w:rPr>
                <w:rFonts w:hint="eastAsia" w:ascii="宋体" w:hAnsi="宋体" w:eastAsia="宋体" w:cs="宋体"/>
                <w:color w:val="auto"/>
                <w:sz w:val="24"/>
                <w:highlight w:val="none"/>
              </w:rPr>
            </w:pPr>
          </w:p>
        </w:tc>
      </w:tr>
      <w:tr w14:paraId="7C5A2904">
        <w:tblPrEx>
          <w:tblCellMar>
            <w:top w:w="0" w:type="dxa"/>
            <w:left w:w="0" w:type="dxa"/>
            <w:bottom w:w="0" w:type="dxa"/>
            <w:right w:w="0" w:type="dxa"/>
          </w:tblCellMar>
        </w:tblPrEx>
        <w:trPr>
          <w:cantSplit/>
          <w:trHeight w:val="567" w:hRule="atLeast"/>
          <w:jc w:val="center"/>
        </w:trPr>
        <w:tc>
          <w:tcPr>
            <w:tcW w:w="2465"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1DBF5B59">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其他费用（元）</w:t>
            </w:r>
          </w:p>
        </w:tc>
        <w:tc>
          <w:tcPr>
            <w:tcW w:w="5161" w:type="dxa"/>
            <w:gridSpan w:val="4"/>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085B2454">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包含：</w:t>
            </w:r>
          </w:p>
        </w:tc>
        <w:tc>
          <w:tcPr>
            <w:tcW w:w="825"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77735052">
            <w:pPr>
              <w:jc w:val="center"/>
              <w:rPr>
                <w:rFonts w:hint="eastAsia" w:ascii="宋体" w:hAnsi="宋体" w:eastAsia="宋体" w:cs="宋体"/>
                <w:color w:val="auto"/>
                <w:sz w:val="24"/>
                <w:highlight w:val="none"/>
              </w:rPr>
            </w:pPr>
          </w:p>
        </w:tc>
        <w:tc>
          <w:tcPr>
            <w:tcW w:w="944" w:type="dxa"/>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2D5A3C42">
            <w:pPr>
              <w:jc w:val="center"/>
              <w:rPr>
                <w:rFonts w:hint="eastAsia" w:ascii="宋体" w:hAnsi="宋体" w:eastAsia="宋体" w:cs="宋体"/>
                <w:color w:val="auto"/>
                <w:sz w:val="24"/>
                <w:highlight w:val="none"/>
              </w:rPr>
            </w:pPr>
          </w:p>
        </w:tc>
      </w:tr>
      <w:tr w14:paraId="54CB7FBA">
        <w:tblPrEx>
          <w:tblCellMar>
            <w:top w:w="0" w:type="dxa"/>
            <w:left w:w="0" w:type="dxa"/>
            <w:bottom w:w="0" w:type="dxa"/>
            <w:right w:w="0" w:type="dxa"/>
          </w:tblCellMar>
        </w:tblPrEx>
        <w:trPr>
          <w:cantSplit/>
          <w:trHeight w:val="567" w:hRule="atLeast"/>
          <w:jc w:val="center"/>
        </w:trPr>
        <w:tc>
          <w:tcPr>
            <w:tcW w:w="2465" w:type="dxa"/>
            <w:vMerge w:val="restart"/>
            <w:tcBorders>
              <w:top w:val="single" w:color="000000" w:sz="6" w:space="0"/>
              <w:left w:val="single" w:color="000000" w:sz="6" w:space="0"/>
              <w:right w:val="single" w:color="000000" w:sz="6" w:space="0"/>
            </w:tcBorders>
            <w:tcMar>
              <w:left w:w="0" w:type="dxa"/>
              <w:right w:w="0" w:type="dxa"/>
            </w:tcMar>
            <w:vAlign w:val="center"/>
          </w:tcPr>
          <w:p w14:paraId="4F2D7688">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投标总报价（元）</w:t>
            </w:r>
          </w:p>
        </w:tc>
        <w:tc>
          <w:tcPr>
            <w:tcW w:w="6930" w:type="dxa"/>
            <w:gridSpan w:val="6"/>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10B3415E">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3B8F8884">
        <w:tblPrEx>
          <w:tblCellMar>
            <w:top w:w="0" w:type="dxa"/>
            <w:left w:w="0" w:type="dxa"/>
            <w:bottom w:w="0" w:type="dxa"/>
            <w:right w:w="0" w:type="dxa"/>
          </w:tblCellMar>
        </w:tblPrEx>
        <w:trPr>
          <w:cantSplit/>
          <w:trHeight w:val="567" w:hRule="atLeast"/>
          <w:jc w:val="center"/>
        </w:trPr>
        <w:tc>
          <w:tcPr>
            <w:tcW w:w="2465" w:type="dxa"/>
            <w:vMerge w:val="continue"/>
            <w:tcBorders>
              <w:left w:val="single" w:color="000000" w:sz="6" w:space="0"/>
              <w:bottom w:val="single" w:color="000000" w:sz="4" w:space="0"/>
              <w:right w:val="single" w:color="000000" w:sz="6" w:space="0"/>
            </w:tcBorders>
            <w:tcMar>
              <w:left w:w="0" w:type="dxa"/>
              <w:right w:w="0" w:type="dxa"/>
            </w:tcMar>
            <w:vAlign w:val="center"/>
          </w:tcPr>
          <w:p w14:paraId="5CDE93C1">
            <w:pPr>
              <w:jc w:val="center"/>
              <w:rPr>
                <w:rFonts w:hint="eastAsia" w:ascii="宋体" w:hAnsi="宋体" w:eastAsia="宋体" w:cs="宋体"/>
                <w:color w:val="auto"/>
                <w:sz w:val="24"/>
                <w:highlight w:val="none"/>
              </w:rPr>
            </w:pPr>
          </w:p>
        </w:tc>
        <w:tc>
          <w:tcPr>
            <w:tcW w:w="6930" w:type="dxa"/>
            <w:gridSpan w:val="6"/>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0A14D119">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bl>
    <w:p w14:paraId="22737B22">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注：1、本表投标总报价应与《投标报价一览表》中投标总报价相符。</w:t>
      </w:r>
    </w:p>
    <w:p w14:paraId="51301C94">
      <w:pPr>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2、如上表中有关费用供应商免费提供，请注明“免费”字样。</w:t>
      </w:r>
    </w:p>
    <w:p w14:paraId="211E8651">
      <w:pPr>
        <w:spacing w:line="44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明细报价表中“</w:t>
      </w:r>
      <w:r>
        <w:rPr>
          <w:rFonts w:hint="eastAsia" w:ascii="宋体" w:hAnsi="宋体" w:eastAsia="宋体" w:cs="宋体"/>
          <w:b/>
          <w:color w:val="auto"/>
          <w:sz w:val="24"/>
          <w:highlight w:val="none"/>
          <w:lang w:eastAsia="zh-CN"/>
        </w:rPr>
        <w:t>产品</w:t>
      </w:r>
      <w:r>
        <w:rPr>
          <w:rFonts w:hint="eastAsia" w:ascii="宋体" w:hAnsi="宋体" w:eastAsia="宋体" w:cs="宋体"/>
          <w:b/>
          <w:color w:val="auto"/>
          <w:sz w:val="24"/>
          <w:highlight w:val="none"/>
        </w:rPr>
        <w:t>名称”必须列明报价，不得只报出一个总价，否则视为实质性不响应</w:t>
      </w:r>
      <w:r>
        <w:rPr>
          <w:rFonts w:hint="eastAsia" w:ascii="宋体" w:hAnsi="宋体" w:eastAsia="宋体" w:cs="宋体"/>
          <w:b/>
          <w:color w:val="auto"/>
          <w:sz w:val="24"/>
          <w:highlight w:val="none"/>
          <w:lang w:eastAsia="zh-CN"/>
        </w:rPr>
        <w:t>招标文件</w:t>
      </w:r>
      <w:r>
        <w:rPr>
          <w:rFonts w:hint="eastAsia" w:ascii="宋体" w:hAnsi="宋体" w:eastAsia="宋体" w:cs="宋体"/>
          <w:b/>
          <w:color w:val="auto"/>
          <w:sz w:val="24"/>
          <w:highlight w:val="none"/>
        </w:rPr>
        <w:t>。</w:t>
      </w:r>
    </w:p>
    <w:p w14:paraId="3905E438">
      <w:pPr>
        <w:spacing w:line="360" w:lineRule="auto"/>
        <w:ind w:firstLine="480" w:firstLineChars="20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响应单位(盖章)</w:t>
      </w:r>
    </w:p>
    <w:p w14:paraId="3AEDBC9E">
      <w:pPr>
        <w:spacing w:line="360" w:lineRule="auto"/>
        <w:ind w:firstLine="480" w:firstLineChars="20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法人或授权代表（签字或盖章）：</w:t>
      </w:r>
    </w:p>
    <w:p w14:paraId="64E7F3ED">
      <w:pPr>
        <w:spacing w:line="440" w:lineRule="exact"/>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541F8258">
      <w:pPr>
        <w:spacing w:line="44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附件五：</w:t>
      </w:r>
    </w:p>
    <w:p w14:paraId="0DA6CB4E">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商务条款偏离表</w:t>
      </w:r>
    </w:p>
    <w:p w14:paraId="5A21352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994"/>
      </w:tblGrid>
      <w:tr w14:paraId="6323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3" w:type="dxa"/>
            <w:shd w:val="clear" w:color="auto" w:fill="F3F3F3"/>
            <w:vAlign w:val="center"/>
          </w:tcPr>
          <w:p w14:paraId="44DFD47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6165" w:type="dxa"/>
            <w:shd w:val="clear" w:color="auto" w:fill="F3F3F3"/>
            <w:vAlign w:val="center"/>
          </w:tcPr>
          <w:p w14:paraId="597949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主要商务条款</w:t>
            </w:r>
          </w:p>
        </w:tc>
        <w:tc>
          <w:tcPr>
            <w:tcW w:w="886" w:type="dxa"/>
            <w:shd w:val="clear" w:color="auto" w:fill="F3F3F3"/>
            <w:vAlign w:val="center"/>
          </w:tcPr>
          <w:p w14:paraId="0318F1B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w:t>
            </w:r>
          </w:p>
          <w:p w14:paraId="64BB33D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w:t>
            </w:r>
          </w:p>
        </w:tc>
        <w:tc>
          <w:tcPr>
            <w:tcW w:w="1994" w:type="dxa"/>
            <w:shd w:val="clear" w:color="auto" w:fill="F3F3F3"/>
            <w:vAlign w:val="center"/>
          </w:tcPr>
          <w:p w14:paraId="7EABDB9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7F2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8EE0F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165" w:type="dxa"/>
            <w:vAlign w:val="center"/>
          </w:tcPr>
          <w:p w14:paraId="28749F58">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完全理解并接受对合格投标人、合格的货物、工程和服务要求</w:t>
            </w:r>
          </w:p>
        </w:tc>
        <w:tc>
          <w:tcPr>
            <w:tcW w:w="886" w:type="dxa"/>
            <w:vAlign w:val="center"/>
          </w:tcPr>
          <w:p w14:paraId="5549092A">
            <w:pPr>
              <w:pStyle w:val="354"/>
              <w:keepNext w:val="0"/>
              <w:adjustRightInd/>
              <w:spacing w:before="0" w:after="0" w:line="240" w:lineRule="auto"/>
              <w:rPr>
                <w:rFonts w:hint="eastAsia" w:ascii="宋体" w:hAnsi="宋体" w:eastAsia="宋体" w:cs="宋体"/>
                <w:color w:val="auto"/>
                <w:spacing w:val="0"/>
                <w:kern w:val="2"/>
                <w:szCs w:val="24"/>
                <w:highlight w:val="none"/>
              </w:rPr>
            </w:pPr>
          </w:p>
        </w:tc>
        <w:tc>
          <w:tcPr>
            <w:tcW w:w="1994" w:type="dxa"/>
            <w:vAlign w:val="center"/>
          </w:tcPr>
          <w:p w14:paraId="661DB805">
            <w:pPr>
              <w:jc w:val="center"/>
              <w:rPr>
                <w:rFonts w:hint="eastAsia" w:ascii="宋体" w:hAnsi="宋体" w:eastAsia="宋体" w:cs="宋体"/>
                <w:color w:val="auto"/>
                <w:sz w:val="24"/>
                <w:highlight w:val="none"/>
              </w:rPr>
            </w:pPr>
          </w:p>
        </w:tc>
      </w:tr>
      <w:tr w14:paraId="64F3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2797D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165" w:type="dxa"/>
            <w:vAlign w:val="center"/>
          </w:tcPr>
          <w:p w14:paraId="6623288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完全理解并接受对投标人的各项须知、规约要求和责任义务</w:t>
            </w:r>
          </w:p>
        </w:tc>
        <w:tc>
          <w:tcPr>
            <w:tcW w:w="886" w:type="dxa"/>
            <w:vAlign w:val="center"/>
          </w:tcPr>
          <w:p w14:paraId="3CDB8421">
            <w:pPr>
              <w:jc w:val="center"/>
              <w:rPr>
                <w:rFonts w:hint="eastAsia" w:ascii="宋体" w:hAnsi="宋体" w:eastAsia="宋体" w:cs="宋体"/>
                <w:color w:val="auto"/>
                <w:sz w:val="24"/>
                <w:highlight w:val="none"/>
              </w:rPr>
            </w:pPr>
          </w:p>
        </w:tc>
        <w:tc>
          <w:tcPr>
            <w:tcW w:w="1994" w:type="dxa"/>
            <w:vAlign w:val="center"/>
          </w:tcPr>
          <w:p w14:paraId="7E2EAA2E">
            <w:pPr>
              <w:ind w:right="-35"/>
              <w:jc w:val="center"/>
              <w:rPr>
                <w:rFonts w:hint="eastAsia" w:ascii="宋体" w:hAnsi="宋体" w:eastAsia="宋体" w:cs="宋体"/>
                <w:color w:val="auto"/>
                <w:sz w:val="24"/>
                <w:highlight w:val="none"/>
              </w:rPr>
            </w:pPr>
          </w:p>
        </w:tc>
      </w:tr>
      <w:tr w14:paraId="49BB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18047D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165" w:type="dxa"/>
            <w:vAlign w:val="center"/>
          </w:tcPr>
          <w:p w14:paraId="110C12F8">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同意接受合同范本所列述的各项条款</w:t>
            </w:r>
          </w:p>
        </w:tc>
        <w:tc>
          <w:tcPr>
            <w:tcW w:w="886" w:type="dxa"/>
            <w:vAlign w:val="center"/>
          </w:tcPr>
          <w:p w14:paraId="0A791B63">
            <w:pPr>
              <w:jc w:val="center"/>
              <w:rPr>
                <w:rFonts w:hint="eastAsia" w:ascii="宋体" w:hAnsi="宋体" w:eastAsia="宋体" w:cs="宋体"/>
                <w:color w:val="auto"/>
                <w:sz w:val="24"/>
                <w:highlight w:val="none"/>
              </w:rPr>
            </w:pPr>
          </w:p>
        </w:tc>
        <w:tc>
          <w:tcPr>
            <w:tcW w:w="1994" w:type="dxa"/>
            <w:vAlign w:val="center"/>
          </w:tcPr>
          <w:p w14:paraId="7D5D9BD8">
            <w:pPr>
              <w:ind w:right="-35"/>
              <w:jc w:val="center"/>
              <w:rPr>
                <w:rFonts w:hint="eastAsia" w:ascii="宋体" w:hAnsi="宋体" w:eastAsia="宋体" w:cs="宋体"/>
                <w:color w:val="auto"/>
                <w:sz w:val="24"/>
                <w:highlight w:val="none"/>
              </w:rPr>
            </w:pPr>
          </w:p>
        </w:tc>
      </w:tr>
      <w:tr w14:paraId="7C2C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054701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165" w:type="dxa"/>
            <w:vAlign w:val="center"/>
          </w:tcPr>
          <w:p w14:paraId="7BE858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同意按本项目要求缴付相关款项</w:t>
            </w:r>
          </w:p>
        </w:tc>
        <w:tc>
          <w:tcPr>
            <w:tcW w:w="886" w:type="dxa"/>
            <w:vAlign w:val="center"/>
          </w:tcPr>
          <w:p w14:paraId="2F702B1B">
            <w:pPr>
              <w:jc w:val="center"/>
              <w:rPr>
                <w:rFonts w:hint="eastAsia" w:ascii="宋体" w:hAnsi="宋体" w:eastAsia="宋体" w:cs="宋体"/>
                <w:color w:val="auto"/>
                <w:sz w:val="24"/>
                <w:highlight w:val="none"/>
              </w:rPr>
            </w:pPr>
          </w:p>
        </w:tc>
        <w:tc>
          <w:tcPr>
            <w:tcW w:w="1994" w:type="dxa"/>
            <w:vAlign w:val="center"/>
          </w:tcPr>
          <w:p w14:paraId="22D52BA6">
            <w:pPr>
              <w:ind w:right="-35"/>
              <w:jc w:val="center"/>
              <w:rPr>
                <w:rFonts w:hint="eastAsia" w:ascii="宋体" w:hAnsi="宋体" w:eastAsia="宋体" w:cs="宋体"/>
                <w:color w:val="auto"/>
                <w:sz w:val="24"/>
                <w:highlight w:val="none"/>
              </w:rPr>
            </w:pPr>
          </w:p>
        </w:tc>
      </w:tr>
      <w:tr w14:paraId="0F1C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3" w:type="dxa"/>
            <w:vAlign w:val="center"/>
          </w:tcPr>
          <w:p w14:paraId="149B6A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165" w:type="dxa"/>
            <w:vAlign w:val="center"/>
          </w:tcPr>
          <w:p w14:paraId="7A4A89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可提供货物供货来源证明或供货渠道与品质的合法性证明</w:t>
            </w:r>
          </w:p>
        </w:tc>
        <w:tc>
          <w:tcPr>
            <w:tcW w:w="886" w:type="dxa"/>
            <w:vAlign w:val="center"/>
          </w:tcPr>
          <w:p w14:paraId="2B193D1B">
            <w:pPr>
              <w:jc w:val="center"/>
              <w:rPr>
                <w:rFonts w:hint="eastAsia" w:ascii="宋体" w:hAnsi="宋体" w:eastAsia="宋体" w:cs="宋体"/>
                <w:color w:val="auto"/>
                <w:sz w:val="24"/>
                <w:highlight w:val="none"/>
              </w:rPr>
            </w:pPr>
          </w:p>
        </w:tc>
        <w:tc>
          <w:tcPr>
            <w:tcW w:w="1994" w:type="dxa"/>
            <w:vAlign w:val="center"/>
          </w:tcPr>
          <w:p w14:paraId="7D66D816">
            <w:pPr>
              <w:ind w:right="-35"/>
              <w:jc w:val="center"/>
              <w:rPr>
                <w:rFonts w:hint="eastAsia" w:ascii="宋体" w:hAnsi="宋体" w:eastAsia="宋体" w:cs="宋体"/>
                <w:color w:val="auto"/>
                <w:sz w:val="24"/>
                <w:highlight w:val="none"/>
              </w:rPr>
            </w:pPr>
          </w:p>
        </w:tc>
      </w:tr>
      <w:tr w14:paraId="2F5D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3" w:type="dxa"/>
            <w:vAlign w:val="center"/>
          </w:tcPr>
          <w:p w14:paraId="54A2E7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165" w:type="dxa"/>
            <w:vAlign w:val="center"/>
          </w:tcPr>
          <w:p w14:paraId="09A99D9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投标有效期：投标/响应有效期为自递交投标/响应文件起至确定正式中标止不少于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60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天，中标单位有效期至项目验收之日</w:t>
            </w:r>
          </w:p>
        </w:tc>
        <w:tc>
          <w:tcPr>
            <w:tcW w:w="886" w:type="dxa"/>
            <w:vAlign w:val="center"/>
          </w:tcPr>
          <w:p w14:paraId="27AA0F09">
            <w:pPr>
              <w:jc w:val="center"/>
              <w:rPr>
                <w:rFonts w:hint="eastAsia" w:ascii="宋体" w:hAnsi="宋体" w:eastAsia="宋体" w:cs="宋体"/>
                <w:color w:val="auto"/>
                <w:sz w:val="24"/>
                <w:highlight w:val="none"/>
              </w:rPr>
            </w:pPr>
          </w:p>
        </w:tc>
        <w:tc>
          <w:tcPr>
            <w:tcW w:w="1994" w:type="dxa"/>
            <w:vAlign w:val="center"/>
          </w:tcPr>
          <w:p w14:paraId="2C9AF63B">
            <w:pPr>
              <w:ind w:right="-35"/>
              <w:jc w:val="center"/>
              <w:rPr>
                <w:rFonts w:hint="eastAsia" w:ascii="宋体" w:hAnsi="宋体" w:eastAsia="宋体" w:cs="宋体"/>
                <w:color w:val="auto"/>
                <w:sz w:val="24"/>
                <w:highlight w:val="none"/>
              </w:rPr>
            </w:pPr>
          </w:p>
        </w:tc>
      </w:tr>
      <w:tr w14:paraId="74D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06F3EE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165" w:type="dxa"/>
            <w:vAlign w:val="center"/>
          </w:tcPr>
          <w:p w14:paraId="684F59E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投标内容均涵盖招标要求及一切费用和伴随服务</w:t>
            </w:r>
          </w:p>
        </w:tc>
        <w:tc>
          <w:tcPr>
            <w:tcW w:w="886" w:type="dxa"/>
            <w:vAlign w:val="center"/>
          </w:tcPr>
          <w:p w14:paraId="4FCADC66">
            <w:pPr>
              <w:jc w:val="center"/>
              <w:rPr>
                <w:rFonts w:hint="eastAsia" w:ascii="宋体" w:hAnsi="宋体" w:eastAsia="宋体" w:cs="宋体"/>
                <w:color w:val="auto"/>
                <w:sz w:val="24"/>
                <w:highlight w:val="none"/>
              </w:rPr>
            </w:pPr>
          </w:p>
        </w:tc>
        <w:tc>
          <w:tcPr>
            <w:tcW w:w="1994" w:type="dxa"/>
            <w:vAlign w:val="center"/>
          </w:tcPr>
          <w:p w14:paraId="5BFE8A48">
            <w:pPr>
              <w:pStyle w:val="354"/>
              <w:keepNext w:val="0"/>
              <w:adjustRightInd/>
              <w:spacing w:before="0" w:after="0" w:line="240" w:lineRule="auto"/>
              <w:rPr>
                <w:rFonts w:hint="eastAsia" w:ascii="宋体" w:hAnsi="宋体" w:eastAsia="宋体" w:cs="宋体"/>
                <w:color w:val="auto"/>
                <w:spacing w:val="0"/>
                <w:kern w:val="2"/>
                <w:szCs w:val="24"/>
                <w:highlight w:val="none"/>
              </w:rPr>
            </w:pPr>
          </w:p>
        </w:tc>
      </w:tr>
      <w:tr w14:paraId="548D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79E2BD5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6165" w:type="dxa"/>
            <w:vAlign w:val="center"/>
          </w:tcPr>
          <w:p w14:paraId="168D5E0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同意接受本项目供货期或相关进度安排要求</w:t>
            </w:r>
          </w:p>
        </w:tc>
        <w:tc>
          <w:tcPr>
            <w:tcW w:w="886" w:type="dxa"/>
            <w:vAlign w:val="center"/>
          </w:tcPr>
          <w:p w14:paraId="166411F5">
            <w:pPr>
              <w:jc w:val="center"/>
              <w:rPr>
                <w:rFonts w:hint="eastAsia" w:ascii="宋体" w:hAnsi="宋体" w:eastAsia="宋体" w:cs="宋体"/>
                <w:color w:val="auto"/>
                <w:sz w:val="24"/>
                <w:highlight w:val="none"/>
              </w:rPr>
            </w:pPr>
          </w:p>
        </w:tc>
        <w:tc>
          <w:tcPr>
            <w:tcW w:w="1994" w:type="dxa"/>
            <w:vAlign w:val="center"/>
          </w:tcPr>
          <w:p w14:paraId="3344D6DB">
            <w:pPr>
              <w:jc w:val="center"/>
              <w:rPr>
                <w:rFonts w:hint="eastAsia" w:ascii="宋体" w:hAnsi="宋体" w:eastAsia="宋体" w:cs="宋体"/>
                <w:color w:val="auto"/>
                <w:sz w:val="24"/>
                <w:highlight w:val="none"/>
              </w:rPr>
            </w:pPr>
          </w:p>
        </w:tc>
      </w:tr>
      <w:tr w14:paraId="6BE6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58BB475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6165" w:type="dxa"/>
            <w:vAlign w:val="center"/>
          </w:tcPr>
          <w:p w14:paraId="6B10A211">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同意接受本项目的验收要求及验收标准</w:t>
            </w:r>
          </w:p>
        </w:tc>
        <w:tc>
          <w:tcPr>
            <w:tcW w:w="886" w:type="dxa"/>
            <w:vAlign w:val="center"/>
          </w:tcPr>
          <w:p w14:paraId="73E34C9D">
            <w:pPr>
              <w:jc w:val="center"/>
              <w:rPr>
                <w:rFonts w:hint="eastAsia" w:ascii="宋体" w:hAnsi="宋体" w:eastAsia="宋体" w:cs="宋体"/>
                <w:color w:val="auto"/>
                <w:sz w:val="24"/>
                <w:highlight w:val="none"/>
              </w:rPr>
            </w:pPr>
          </w:p>
        </w:tc>
        <w:tc>
          <w:tcPr>
            <w:tcW w:w="1994" w:type="dxa"/>
            <w:vAlign w:val="center"/>
          </w:tcPr>
          <w:p w14:paraId="236F5048">
            <w:pPr>
              <w:jc w:val="center"/>
              <w:rPr>
                <w:rFonts w:hint="eastAsia" w:ascii="宋体" w:hAnsi="宋体" w:eastAsia="宋体" w:cs="宋体"/>
                <w:color w:val="auto"/>
                <w:sz w:val="24"/>
                <w:highlight w:val="none"/>
              </w:rPr>
            </w:pPr>
          </w:p>
        </w:tc>
      </w:tr>
      <w:tr w14:paraId="4FA4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7D261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165" w:type="dxa"/>
            <w:vAlign w:val="center"/>
          </w:tcPr>
          <w:p w14:paraId="184285B8">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同意接受本项目供货期服务的各项要求</w:t>
            </w:r>
          </w:p>
        </w:tc>
        <w:tc>
          <w:tcPr>
            <w:tcW w:w="886" w:type="dxa"/>
            <w:vAlign w:val="center"/>
          </w:tcPr>
          <w:p w14:paraId="3A425198">
            <w:pPr>
              <w:jc w:val="center"/>
              <w:rPr>
                <w:rFonts w:hint="eastAsia" w:ascii="宋体" w:hAnsi="宋体" w:eastAsia="宋体" w:cs="宋体"/>
                <w:color w:val="auto"/>
                <w:sz w:val="24"/>
                <w:highlight w:val="none"/>
              </w:rPr>
            </w:pPr>
          </w:p>
        </w:tc>
        <w:tc>
          <w:tcPr>
            <w:tcW w:w="1994" w:type="dxa"/>
            <w:vAlign w:val="center"/>
          </w:tcPr>
          <w:p w14:paraId="04D4E3FB">
            <w:pPr>
              <w:jc w:val="center"/>
              <w:rPr>
                <w:rFonts w:hint="eastAsia" w:ascii="宋体" w:hAnsi="宋体" w:eastAsia="宋体" w:cs="宋体"/>
                <w:color w:val="auto"/>
                <w:sz w:val="24"/>
                <w:highlight w:val="none"/>
              </w:rPr>
            </w:pPr>
          </w:p>
        </w:tc>
      </w:tr>
      <w:tr w14:paraId="4E04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3" w:type="dxa"/>
            <w:vAlign w:val="center"/>
          </w:tcPr>
          <w:p w14:paraId="209841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165" w:type="dxa"/>
            <w:vAlign w:val="center"/>
          </w:tcPr>
          <w:p w14:paraId="5E21C25B">
            <w:pPr>
              <w:pStyle w:val="32"/>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同意采购方以任何形式对我方的投标/投标文件内容的真实性和有效性进行审查、验证</w:t>
            </w:r>
          </w:p>
        </w:tc>
        <w:tc>
          <w:tcPr>
            <w:tcW w:w="886" w:type="dxa"/>
            <w:vAlign w:val="center"/>
          </w:tcPr>
          <w:p w14:paraId="1CE780C8">
            <w:pPr>
              <w:pStyle w:val="183"/>
              <w:ind w:left="0" w:firstLine="0"/>
              <w:rPr>
                <w:rFonts w:hint="eastAsia" w:ascii="宋体" w:hAnsi="宋体" w:eastAsia="宋体" w:cs="宋体"/>
                <w:color w:val="auto"/>
                <w:sz w:val="24"/>
                <w:szCs w:val="24"/>
                <w:highlight w:val="none"/>
              </w:rPr>
            </w:pPr>
          </w:p>
        </w:tc>
        <w:tc>
          <w:tcPr>
            <w:tcW w:w="1994" w:type="dxa"/>
            <w:vAlign w:val="center"/>
          </w:tcPr>
          <w:p w14:paraId="2498E5A7">
            <w:pPr>
              <w:pStyle w:val="354"/>
              <w:keepNext w:val="0"/>
              <w:adjustRightInd/>
              <w:spacing w:before="0" w:after="0" w:line="240" w:lineRule="auto"/>
              <w:jc w:val="both"/>
              <w:rPr>
                <w:rFonts w:hint="eastAsia" w:ascii="宋体" w:hAnsi="宋体" w:eastAsia="宋体" w:cs="宋体"/>
                <w:color w:val="auto"/>
                <w:spacing w:val="0"/>
                <w:kern w:val="2"/>
                <w:szCs w:val="24"/>
                <w:highlight w:val="none"/>
              </w:rPr>
            </w:pPr>
          </w:p>
        </w:tc>
      </w:tr>
      <w:tr w14:paraId="4E75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vAlign w:val="center"/>
          </w:tcPr>
          <w:p w14:paraId="2B273F8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165" w:type="dxa"/>
            <w:vAlign w:val="center"/>
          </w:tcPr>
          <w:p w14:paraId="61ECBB4A">
            <w:pPr>
              <w:pStyle w:val="32"/>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同意接受本项目付款的各项要求</w:t>
            </w:r>
          </w:p>
        </w:tc>
        <w:tc>
          <w:tcPr>
            <w:tcW w:w="886" w:type="dxa"/>
            <w:vAlign w:val="center"/>
          </w:tcPr>
          <w:p w14:paraId="4D0D1550">
            <w:pPr>
              <w:pStyle w:val="183"/>
              <w:ind w:left="0" w:firstLine="0"/>
              <w:rPr>
                <w:rFonts w:hint="eastAsia" w:ascii="宋体" w:hAnsi="宋体" w:eastAsia="宋体" w:cs="宋体"/>
                <w:color w:val="auto"/>
                <w:sz w:val="24"/>
                <w:szCs w:val="24"/>
                <w:highlight w:val="none"/>
              </w:rPr>
            </w:pPr>
          </w:p>
        </w:tc>
        <w:tc>
          <w:tcPr>
            <w:tcW w:w="1994" w:type="dxa"/>
            <w:vAlign w:val="center"/>
          </w:tcPr>
          <w:p w14:paraId="3C00E087">
            <w:pPr>
              <w:pStyle w:val="354"/>
              <w:keepNext w:val="0"/>
              <w:adjustRightInd/>
              <w:spacing w:before="0" w:after="0" w:line="240" w:lineRule="auto"/>
              <w:jc w:val="both"/>
              <w:rPr>
                <w:rFonts w:hint="eastAsia" w:ascii="宋体" w:hAnsi="宋体" w:eastAsia="宋体" w:cs="宋体"/>
                <w:color w:val="auto"/>
                <w:spacing w:val="0"/>
                <w:kern w:val="2"/>
                <w:szCs w:val="24"/>
                <w:highlight w:val="none"/>
              </w:rPr>
            </w:pPr>
          </w:p>
        </w:tc>
      </w:tr>
      <w:tr w14:paraId="506B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3" w:type="dxa"/>
            <w:vAlign w:val="center"/>
          </w:tcPr>
          <w:p w14:paraId="2F9B90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9045" w:type="dxa"/>
            <w:gridSpan w:val="3"/>
            <w:vAlign w:val="center"/>
          </w:tcPr>
          <w:p w14:paraId="5448D6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其它商务条款偏离说明：</w:t>
            </w:r>
          </w:p>
        </w:tc>
      </w:tr>
    </w:tbl>
    <w:p w14:paraId="2217E1B8">
      <w:pPr>
        <w:spacing w:before="156" w:beforeLines="50" w:line="360" w:lineRule="auto"/>
        <w:ind w:left="540" w:leftChars="-86" w:right="-359" w:rightChars="-171" w:hanging="720" w:hangingChars="3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GB"/>
        </w:rPr>
        <w:t>于上述要求，如投标人完全响应，则请在“是否响应”栏内打“√”，对打“×”视为偏离，请在“偏离说明”栏内扼要说明偏离情况。</w:t>
      </w:r>
    </w:p>
    <w:p w14:paraId="0AEF2B2C">
      <w:pPr>
        <w:spacing w:line="360" w:lineRule="auto"/>
        <w:ind w:left="532" w:leftChars="143" w:right="-359" w:rightChars="-171" w:hanging="232" w:hangingChars="97"/>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2.投标人应认真填写本响应表，若评委会在评审期间，发现有虚假填写本响应表的，则将可能被视为存在两个投标方案，评委会将按本招标文件相关规定执行。</w:t>
      </w:r>
    </w:p>
    <w:p w14:paraId="18907432">
      <w:pPr>
        <w:spacing w:line="360" w:lineRule="auto"/>
        <w:ind w:firstLine="300" w:firstLineChars="125"/>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3.本表内容不得擅自修改。</w:t>
      </w:r>
    </w:p>
    <w:p w14:paraId="71E06FD1">
      <w:pPr>
        <w:spacing w:line="440" w:lineRule="exact"/>
        <w:ind w:right="621" w:rightChars="296" w:firstLine="480" w:firstLineChars="20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投标人（盖章）：      </w:t>
      </w:r>
    </w:p>
    <w:p w14:paraId="45F20ACB">
      <w:pPr>
        <w:wordWrap w:val="0"/>
        <w:spacing w:line="480" w:lineRule="auto"/>
        <w:ind w:firstLine="435"/>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0D58581F">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日     期：      </w:t>
      </w:r>
    </w:p>
    <w:p w14:paraId="3344213C">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附表六：</w:t>
      </w:r>
    </w:p>
    <w:p w14:paraId="23FDD592">
      <w:pPr>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技术参数、功能偏离表</w:t>
      </w:r>
    </w:p>
    <w:p w14:paraId="2A617526">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tbl>
      <w:tblPr>
        <w:tblStyle w:val="47"/>
        <w:tblW w:w="0" w:type="auto"/>
        <w:jc w:val="center"/>
        <w:tblLayout w:type="fixed"/>
        <w:tblCellMar>
          <w:top w:w="0" w:type="dxa"/>
          <w:left w:w="108" w:type="dxa"/>
          <w:bottom w:w="0" w:type="dxa"/>
          <w:right w:w="108" w:type="dxa"/>
        </w:tblCellMar>
      </w:tblPr>
      <w:tblGrid>
        <w:gridCol w:w="1044"/>
        <w:gridCol w:w="2263"/>
        <w:gridCol w:w="1373"/>
        <w:gridCol w:w="1800"/>
        <w:gridCol w:w="1440"/>
        <w:gridCol w:w="1260"/>
      </w:tblGrid>
      <w:tr w14:paraId="4C5C8C25">
        <w:tblPrEx>
          <w:tblCellMar>
            <w:top w:w="0" w:type="dxa"/>
            <w:left w:w="108" w:type="dxa"/>
            <w:bottom w:w="0" w:type="dxa"/>
            <w:right w:w="108" w:type="dxa"/>
          </w:tblCellMar>
        </w:tblPrEx>
        <w:trPr>
          <w:trHeight w:val="7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53FE422">
            <w:pPr>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3" w:type="dxa"/>
            <w:tcBorders>
              <w:top w:val="single" w:color="auto" w:sz="4" w:space="0"/>
              <w:left w:val="single" w:color="auto" w:sz="4" w:space="0"/>
              <w:bottom w:val="single" w:color="auto" w:sz="4" w:space="0"/>
              <w:right w:val="single" w:color="auto" w:sz="4" w:space="0"/>
            </w:tcBorders>
            <w:vAlign w:val="center"/>
          </w:tcPr>
          <w:p w14:paraId="239A0985">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招标文件规</w:t>
            </w:r>
          </w:p>
          <w:p w14:paraId="54E8857B">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格条目号</w:t>
            </w:r>
          </w:p>
        </w:tc>
        <w:tc>
          <w:tcPr>
            <w:tcW w:w="1373" w:type="dxa"/>
            <w:tcBorders>
              <w:top w:val="single" w:color="auto" w:sz="4" w:space="0"/>
              <w:left w:val="single" w:color="auto" w:sz="4" w:space="0"/>
              <w:bottom w:val="single" w:color="auto" w:sz="4" w:space="0"/>
              <w:right w:val="single" w:color="auto" w:sz="4" w:space="0"/>
            </w:tcBorders>
            <w:vAlign w:val="center"/>
          </w:tcPr>
          <w:p w14:paraId="54565AAD">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采购规格</w:t>
            </w:r>
          </w:p>
        </w:tc>
        <w:tc>
          <w:tcPr>
            <w:tcW w:w="1800" w:type="dxa"/>
            <w:tcBorders>
              <w:top w:val="single" w:color="auto" w:sz="4" w:space="0"/>
              <w:left w:val="single" w:color="auto" w:sz="4" w:space="0"/>
              <w:bottom w:val="single" w:color="auto" w:sz="4" w:space="0"/>
              <w:right w:val="single" w:color="auto" w:sz="4" w:space="0"/>
            </w:tcBorders>
            <w:vAlign w:val="center"/>
          </w:tcPr>
          <w:p w14:paraId="5C937A0C">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报价规格</w:t>
            </w:r>
          </w:p>
        </w:tc>
        <w:tc>
          <w:tcPr>
            <w:tcW w:w="1440" w:type="dxa"/>
            <w:tcBorders>
              <w:top w:val="single" w:color="auto" w:sz="4" w:space="0"/>
              <w:left w:val="single" w:color="auto" w:sz="4" w:space="0"/>
              <w:bottom w:val="single" w:color="auto" w:sz="4" w:space="0"/>
              <w:right w:val="single" w:color="auto" w:sz="4" w:space="0"/>
            </w:tcBorders>
            <w:vAlign w:val="center"/>
          </w:tcPr>
          <w:p w14:paraId="40953712">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1260" w:type="dxa"/>
            <w:tcBorders>
              <w:top w:val="single" w:color="auto" w:sz="4" w:space="0"/>
              <w:left w:val="single" w:color="auto" w:sz="4" w:space="0"/>
              <w:bottom w:val="single" w:color="auto" w:sz="4" w:space="0"/>
              <w:right w:val="single" w:color="auto" w:sz="4" w:space="0"/>
            </w:tcBorders>
            <w:vAlign w:val="center"/>
          </w:tcPr>
          <w:p w14:paraId="621D4CEB">
            <w:pPr>
              <w:adjustRightInd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52FFEDD2">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C815DB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63" w:type="dxa"/>
            <w:tcBorders>
              <w:top w:val="single" w:color="auto" w:sz="4" w:space="0"/>
              <w:left w:val="single" w:color="auto" w:sz="4" w:space="0"/>
              <w:bottom w:val="single" w:color="auto" w:sz="4" w:space="0"/>
              <w:right w:val="single" w:color="auto" w:sz="4" w:space="0"/>
            </w:tcBorders>
            <w:vAlign w:val="center"/>
          </w:tcPr>
          <w:p w14:paraId="159A8DC4">
            <w:pPr>
              <w:spacing w:line="440" w:lineRule="exact"/>
              <w:jc w:val="center"/>
              <w:rPr>
                <w:rFonts w:hint="eastAsia" w:ascii="宋体" w:hAnsi="宋体" w:eastAsia="宋体" w:cs="宋体"/>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6E773CB5">
            <w:pPr>
              <w:spacing w:line="440" w:lineRule="exact"/>
              <w:jc w:val="center"/>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70C957A">
            <w:pPr>
              <w:spacing w:line="440" w:lineRule="exact"/>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1454EDD">
            <w:pPr>
              <w:spacing w:line="44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0DF76C">
            <w:pPr>
              <w:spacing w:line="440" w:lineRule="exact"/>
              <w:jc w:val="center"/>
              <w:rPr>
                <w:rFonts w:hint="eastAsia" w:ascii="宋体" w:hAnsi="宋体" w:eastAsia="宋体" w:cs="宋体"/>
                <w:color w:val="auto"/>
                <w:sz w:val="24"/>
                <w:highlight w:val="none"/>
              </w:rPr>
            </w:pPr>
          </w:p>
        </w:tc>
      </w:tr>
      <w:tr w14:paraId="4CEF7E35">
        <w:tblPrEx>
          <w:tblCellMar>
            <w:top w:w="0" w:type="dxa"/>
            <w:left w:w="108" w:type="dxa"/>
            <w:bottom w:w="0" w:type="dxa"/>
            <w:right w:w="108" w:type="dxa"/>
          </w:tblCellMar>
        </w:tblPrEx>
        <w:trPr>
          <w:trHeight w:val="35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42178E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63" w:type="dxa"/>
            <w:tcBorders>
              <w:top w:val="single" w:color="auto" w:sz="4" w:space="0"/>
              <w:left w:val="single" w:color="auto" w:sz="4" w:space="0"/>
              <w:bottom w:val="single" w:color="auto" w:sz="4" w:space="0"/>
              <w:right w:val="single" w:color="auto" w:sz="4" w:space="0"/>
            </w:tcBorders>
            <w:vAlign w:val="center"/>
          </w:tcPr>
          <w:p w14:paraId="711F68AD">
            <w:pPr>
              <w:spacing w:line="440" w:lineRule="exact"/>
              <w:jc w:val="center"/>
              <w:rPr>
                <w:rFonts w:hint="eastAsia" w:ascii="宋体" w:hAnsi="宋体" w:eastAsia="宋体" w:cs="宋体"/>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61609A3D">
            <w:pPr>
              <w:spacing w:line="440" w:lineRule="exact"/>
              <w:jc w:val="center"/>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2F2B1AA">
            <w:pPr>
              <w:spacing w:line="440" w:lineRule="exact"/>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74B8897">
            <w:pPr>
              <w:spacing w:line="44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A3AFB6">
            <w:pPr>
              <w:spacing w:line="440" w:lineRule="exact"/>
              <w:jc w:val="center"/>
              <w:rPr>
                <w:rFonts w:hint="eastAsia" w:ascii="宋体" w:hAnsi="宋体" w:eastAsia="宋体" w:cs="宋体"/>
                <w:color w:val="auto"/>
                <w:sz w:val="24"/>
                <w:highlight w:val="none"/>
              </w:rPr>
            </w:pPr>
          </w:p>
        </w:tc>
      </w:tr>
      <w:tr w14:paraId="5D960718">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8A788C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63" w:type="dxa"/>
            <w:tcBorders>
              <w:top w:val="single" w:color="auto" w:sz="4" w:space="0"/>
              <w:left w:val="single" w:color="auto" w:sz="4" w:space="0"/>
              <w:bottom w:val="single" w:color="auto" w:sz="4" w:space="0"/>
              <w:right w:val="single" w:color="auto" w:sz="4" w:space="0"/>
            </w:tcBorders>
            <w:vAlign w:val="center"/>
          </w:tcPr>
          <w:p w14:paraId="174A3EF4">
            <w:pPr>
              <w:spacing w:line="440" w:lineRule="exact"/>
              <w:jc w:val="center"/>
              <w:rPr>
                <w:rFonts w:hint="eastAsia" w:ascii="宋体" w:hAnsi="宋体" w:eastAsia="宋体" w:cs="宋体"/>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1956E27C">
            <w:pPr>
              <w:spacing w:line="440" w:lineRule="exact"/>
              <w:jc w:val="center"/>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C5AD2C0">
            <w:pPr>
              <w:spacing w:line="440" w:lineRule="exact"/>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04683E6">
            <w:pPr>
              <w:spacing w:line="44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9A6DBF">
            <w:pPr>
              <w:spacing w:line="440" w:lineRule="exact"/>
              <w:jc w:val="center"/>
              <w:rPr>
                <w:rFonts w:hint="eastAsia" w:ascii="宋体" w:hAnsi="宋体" w:eastAsia="宋体" w:cs="宋体"/>
                <w:color w:val="auto"/>
                <w:sz w:val="24"/>
                <w:highlight w:val="none"/>
              </w:rPr>
            </w:pPr>
          </w:p>
        </w:tc>
      </w:tr>
      <w:tr w14:paraId="1B1F3994">
        <w:tblPrEx>
          <w:tblCellMar>
            <w:top w:w="0" w:type="dxa"/>
            <w:left w:w="108" w:type="dxa"/>
            <w:bottom w:w="0" w:type="dxa"/>
            <w:right w:w="108" w:type="dxa"/>
          </w:tblCellMar>
        </w:tblPrEx>
        <w:trPr>
          <w:trHeight w:val="373"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251476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63" w:type="dxa"/>
            <w:tcBorders>
              <w:top w:val="single" w:color="auto" w:sz="4" w:space="0"/>
              <w:left w:val="single" w:color="auto" w:sz="4" w:space="0"/>
              <w:bottom w:val="single" w:color="auto" w:sz="4" w:space="0"/>
              <w:right w:val="single" w:color="auto" w:sz="4" w:space="0"/>
            </w:tcBorders>
            <w:vAlign w:val="center"/>
          </w:tcPr>
          <w:p w14:paraId="1C396CB1">
            <w:pPr>
              <w:spacing w:line="440" w:lineRule="exact"/>
              <w:jc w:val="center"/>
              <w:rPr>
                <w:rFonts w:hint="eastAsia" w:ascii="宋体" w:hAnsi="宋体" w:eastAsia="宋体" w:cs="宋体"/>
                <w:color w:val="auto"/>
                <w:sz w:val="24"/>
                <w:highlight w:val="none"/>
              </w:rPr>
            </w:pPr>
          </w:p>
        </w:tc>
        <w:tc>
          <w:tcPr>
            <w:tcW w:w="1373" w:type="dxa"/>
            <w:tcBorders>
              <w:top w:val="single" w:color="auto" w:sz="4" w:space="0"/>
              <w:left w:val="single" w:color="auto" w:sz="4" w:space="0"/>
              <w:bottom w:val="single" w:color="auto" w:sz="4" w:space="0"/>
              <w:right w:val="single" w:color="auto" w:sz="4" w:space="0"/>
            </w:tcBorders>
            <w:vAlign w:val="center"/>
          </w:tcPr>
          <w:p w14:paraId="7E8C2EF1">
            <w:pPr>
              <w:spacing w:line="440" w:lineRule="exact"/>
              <w:jc w:val="center"/>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2F75588">
            <w:pPr>
              <w:spacing w:line="440" w:lineRule="exact"/>
              <w:jc w:val="center"/>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B9D3B72">
            <w:pPr>
              <w:spacing w:line="440" w:lineRule="exact"/>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DA4F55">
            <w:pPr>
              <w:spacing w:line="440" w:lineRule="exact"/>
              <w:jc w:val="center"/>
              <w:rPr>
                <w:rFonts w:hint="eastAsia" w:ascii="宋体" w:hAnsi="宋体" w:eastAsia="宋体" w:cs="宋体"/>
                <w:color w:val="auto"/>
                <w:sz w:val="24"/>
                <w:highlight w:val="none"/>
              </w:rPr>
            </w:pPr>
          </w:p>
        </w:tc>
      </w:tr>
    </w:tbl>
    <w:p w14:paraId="0496C124">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请各投标人参照招标文件严格按以下要求认真填写偏离表：</w:t>
      </w:r>
    </w:p>
    <w:p w14:paraId="17408513">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根据投标货物参数或安装要求的实际规格，并对照招标文件要求，对确实存在投标货物规格要求与招标文件要求有偏离的情况，应真实、认真的填写本表。“招标文件规格条目号”栏注明偏离的内容；“采购规格”栏注明招标文件要求的技术要求或服务内容；“报价规格”栏注明投标提供的产品或服务的内容；“偏离情况”栏注明“正偏离”或“负偏离”；“说明”栏注明详细的偏离指标及说明。</w:t>
      </w:r>
    </w:p>
    <w:p w14:paraId="7439A464">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真实填写本表，并对其真实性负责，因漏写或缺项或填写不正确的，后果由投标人自行承担。评审小组将根据评标办法和细则进行打分。如某项非实质性报价规格实际为“负偏离”，而投标人注明为“正偏离” 或不注明的，评审小组可对此项偏离按评标办法加倍减分。</w:t>
      </w:r>
    </w:p>
    <w:p w14:paraId="0E191D68">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3.投标人注明的偏离情况只作为评审小组评定的参考，最终是否构成偏离或实质性偏离情况应由评审小组决定。</w:t>
      </w:r>
    </w:p>
    <w:p w14:paraId="2051E732">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4.不允许存在实质性负偏离。</w:t>
      </w:r>
    </w:p>
    <w:p w14:paraId="3CD3ADAF">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.规格的实际偏离情况以评审小组综合评价为准，解释权属评审小组。</w:t>
      </w:r>
    </w:p>
    <w:p w14:paraId="6D6E2A1B">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6.表格形式可做适当调整但不得增减实质内容</w:t>
      </w:r>
    </w:p>
    <w:p w14:paraId="579B7722">
      <w:pPr>
        <w:spacing w:line="440" w:lineRule="exact"/>
        <w:ind w:firstLine="240" w:firstLineChars="100"/>
        <w:rPr>
          <w:rFonts w:hint="eastAsia" w:ascii="宋体" w:hAnsi="宋体" w:eastAsia="宋体" w:cs="宋体"/>
          <w:color w:val="auto"/>
          <w:sz w:val="24"/>
          <w:highlight w:val="none"/>
        </w:rPr>
      </w:pPr>
    </w:p>
    <w:p w14:paraId="7E10E883">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投标人（盖章）：     </w:t>
      </w:r>
    </w:p>
    <w:p w14:paraId="559D6B4C">
      <w:pPr>
        <w:wordWrap w:val="0"/>
        <w:spacing w:line="480" w:lineRule="auto"/>
        <w:ind w:firstLine="435"/>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215DBEC7">
      <w:pPr>
        <w:wordWrap w:val="0"/>
        <w:spacing w:line="480" w:lineRule="auto"/>
        <w:ind w:firstLine="435"/>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日     期： </w:t>
      </w:r>
    </w:p>
    <w:p w14:paraId="5F606946">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附表七：</w:t>
      </w:r>
    </w:p>
    <w:p w14:paraId="5E9930E7">
      <w:pPr>
        <w:spacing w:before="156" w:beforeLines="50" w:after="156" w:afterLines="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备品、备件清单</w:t>
      </w:r>
    </w:p>
    <w:p w14:paraId="52F20717">
      <w:pPr>
        <w:spacing w:after="156" w:afterLines="50"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71"/>
        <w:gridCol w:w="1440"/>
        <w:gridCol w:w="1260"/>
        <w:gridCol w:w="720"/>
        <w:gridCol w:w="720"/>
        <w:gridCol w:w="900"/>
        <w:gridCol w:w="958"/>
      </w:tblGrid>
      <w:tr w14:paraId="6CEF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7" w:type="dxa"/>
            <w:vAlign w:val="center"/>
          </w:tcPr>
          <w:p w14:paraId="338299EA">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1" w:type="dxa"/>
            <w:vAlign w:val="center"/>
          </w:tcPr>
          <w:p w14:paraId="22A6C49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备品、备件名称</w:t>
            </w:r>
          </w:p>
        </w:tc>
        <w:tc>
          <w:tcPr>
            <w:tcW w:w="1440" w:type="dxa"/>
            <w:vAlign w:val="center"/>
          </w:tcPr>
          <w:p w14:paraId="73E52E71">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60" w:type="dxa"/>
            <w:vAlign w:val="center"/>
          </w:tcPr>
          <w:p w14:paraId="067D86B2">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生产厂家</w:t>
            </w:r>
          </w:p>
        </w:tc>
        <w:tc>
          <w:tcPr>
            <w:tcW w:w="720" w:type="dxa"/>
            <w:vAlign w:val="center"/>
          </w:tcPr>
          <w:p w14:paraId="04120107">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20" w:type="dxa"/>
            <w:vAlign w:val="center"/>
          </w:tcPr>
          <w:p w14:paraId="226EA561">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00" w:type="dxa"/>
            <w:vAlign w:val="center"/>
          </w:tcPr>
          <w:p w14:paraId="657464DF">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958" w:type="dxa"/>
            <w:vAlign w:val="center"/>
          </w:tcPr>
          <w:p w14:paraId="0F5300C5">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6B3B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7" w:type="dxa"/>
            <w:vAlign w:val="center"/>
          </w:tcPr>
          <w:p w14:paraId="19A36A4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71" w:type="dxa"/>
            <w:vAlign w:val="center"/>
          </w:tcPr>
          <w:p w14:paraId="18B11FC6">
            <w:pPr>
              <w:spacing w:line="440" w:lineRule="exact"/>
              <w:jc w:val="center"/>
              <w:rPr>
                <w:rFonts w:hint="eastAsia" w:ascii="宋体" w:hAnsi="宋体" w:eastAsia="宋体" w:cs="宋体"/>
                <w:color w:val="auto"/>
                <w:sz w:val="24"/>
                <w:highlight w:val="none"/>
              </w:rPr>
            </w:pPr>
          </w:p>
        </w:tc>
        <w:tc>
          <w:tcPr>
            <w:tcW w:w="1440" w:type="dxa"/>
            <w:vAlign w:val="center"/>
          </w:tcPr>
          <w:p w14:paraId="1CE96936">
            <w:pPr>
              <w:spacing w:line="440" w:lineRule="exact"/>
              <w:jc w:val="center"/>
              <w:rPr>
                <w:rFonts w:hint="eastAsia" w:ascii="宋体" w:hAnsi="宋体" w:eastAsia="宋体" w:cs="宋体"/>
                <w:color w:val="auto"/>
                <w:sz w:val="24"/>
                <w:highlight w:val="none"/>
              </w:rPr>
            </w:pPr>
          </w:p>
        </w:tc>
        <w:tc>
          <w:tcPr>
            <w:tcW w:w="1260" w:type="dxa"/>
            <w:vAlign w:val="center"/>
          </w:tcPr>
          <w:p w14:paraId="2FB11134">
            <w:pPr>
              <w:spacing w:line="440" w:lineRule="exact"/>
              <w:ind w:right="-193" w:rightChars="-92"/>
              <w:jc w:val="center"/>
              <w:rPr>
                <w:rFonts w:hint="eastAsia" w:ascii="宋体" w:hAnsi="宋体" w:eastAsia="宋体" w:cs="宋体"/>
                <w:color w:val="auto"/>
                <w:sz w:val="24"/>
                <w:highlight w:val="none"/>
              </w:rPr>
            </w:pPr>
          </w:p>
        </w:tc>
        <w:tc>
          <w:tcPr>
            <w:tcW w:w="720" w:type="dxa"/>
            <w:vAlign w:val="center"/>
          </w:tcPr>
          <w:p w14:paraId="019F0ABD">
            <w:pPr>
              <w:spacing w:line="440" w:lineRule="exact"/>
              <w:jc w:val="center"/>
              <w:rPr>
                <w:rFonts w:hint="eastAsia" w:ascii="宋体" w:hAnsi="宋体" w:eastAsia="宋体" w:cs="宋体"/>
                <w:color w:val="auto"/>
                <w:sz w:val="24"/>
                <w:highlight w:val="none"/>
              </w:rPr>
            </w:pPr>
          </w:p>
        </w:tc>
        <w:tc>
          <w:tcPr>
            <w:tcW w:w="720" w:type="dxa"/>
            <w:vAlign w:val="center"/>
          </w:tcPr>
          <w:p w14:paraId="3A48EE61">
            <w:pPr>
              <w:spacing w:line="440" w:lineRule="exact"/>
              <w:jc w:val="center"/>
              <w:rPr>
                <w:rFonts w:hint="eastAsia" w:ascii="宋体" w:hAnsi="宋体" w:eastAsia="宋体" w:cs="宋体"/>
                <w:color w:val="auto"/>
                <w:sz w:val="24"/>
                <w:highlight w:val="none"/>
              </w:rPr>
            </w:pPr>
          </w:p>
        </w:tc>
        <w:tc>
          <w:tcPr>
            <w:tcW w:w="900" w:type="dxa"/>
            <w:vAlign w:val="center"/>
          </w:tcPr>
          <w:p w14:paraId="55C62E38">
            <w:pPr>
              <w:spacing w:line="440" w:lineRule="exact"/>
              <w:jc w:val="center"/>
              <w:rPr>
                <w:rFonts w:hint="eastAsia" w:ascii="宋体" w:hAnsi="宋体" w:eastAsia="宋体" w:cs="宋体"/>
                <w:color w:val="auto"/>
                <w:sz w:val="24"/>
                <w:highlight w:val="none"/>
              </w:rPr>
            </w:pPr>
          </w:p>
        </w:tc>
        <w:tc>
          <w:tcPr>
            <w:tcW w:w="958" w:type="dxa"/>
            <w:vAlign w:val="center"/>
          </w:tcPr>
          <w:p w14:paraId="20CE49EA">
            <w:pPr>
              <w:spacing w:line="440" w:lineRule="exact"/>
              <w:jc w:val="center"/>
              <w:rPr>
                <w:rFonts w:hint="eastAsia" w:ascii="宋体" w:hAnsi="宋体" w:eastAsia="宋体" w:cs="宋体"/>
                <w:color w:val="auto"/>
                <w:sz w:val="24"/>
                <w:highlight w:val="none"/>
              </w:rPr>
            </w:pPr>
          </w:p>
        </w:tc>
      </w:tr>
      <w:tr w14:paraId="511A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7" w:type="dxa"/>
            <w:vAlign w:val="center"/>
          </w:tcPr>
          <w:p w14:paraId="34CB0CE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71" w:type="dxa"/>
            <w:vAlign w:val="center"/>
          </w:tcPr>
          <w:p w14:paraId="468D8423">
            <w:pPr>
              <w:spacing w:line="440" w:lineRule="exact"/>
              <w:jc w:val="center"/>
              <w:rPr>
                <w:rFonts w:hint="eastAsia" w:ascii="宋体" w:hAnsi="宋体" w:eastAsia="宋体" w:cs="宋体"/>
                <w:color w:val="auto"/>
                <w:sz w:val="24"/>
                <w:highlight w:val="none"/>
              </w:rPr>
            </w:pPr>
          </w:p>
        </w:tc>
        <w:tc>
          <w:tcPr>
            <w:tcW w:w="1440" w:type="dxa"/>
            <w:vAlign w:val="center"/>
          </w:tcPr>
          <w:p w14:paraId="2D7FE1ED">
            <w:pPr>
              <w:spacing w:line="440" w:lineRule="exact"/>
              <w:jc w:val="center"/>
              <w:rPr>
                <w:rFonts w:hint="eastAsia" w:ascii="宋体" w:hAnsi="宋体" w:eastAsia="宋体" w:cs="宋体"/>
                <w:color w:val="auto"/>
                <w:sz w:val="24"/>
                <w:highlight w:val="none"/>
              </w:rPr>
            </w:pPr>
          </w:p>
        </w:tc>
        <w:tc>
          <w:tcPr>
            <w:tcW w:w="1260" w:type="dxa"/>
            <w:vAlign w:val="center"/>
          </w:tcPr>
          <w:p w14:paraId="56AD0EBB">
            <w:pPr>
              <w:spacing w:line="440" w:lineRule="exact"/>
              <w:jc w:val="center"/>
              <w:rPr>
                <w:rFonts w:hint="eastAsia" w:ascii="宋体" w:hAnsi="宋体" w:eastAsia="宋体" w:cs="宋体"/>
                <w:color w:val="auto"/>
                <w:sz w:val="24"/>
                <w:highlight w:val="none"/>
              </w:rPr>
            </w:pPr>
          </w:p>
        </w:tc>
        <w:tc>
          <w:tcPr>
            <w:tcW w:w="720" w:type="dxa"/>
            <w:vAlign w:val="center"/>
          </w:tcPr>
          <w:p w14:paraId="1B6A0FE9">
            <w:pPr>
              <w:spacing w:line="440" w:lineRule="exact"/>
              <w:jc w:val="center"/>
              <w:rPr>
                <w:rFonts w:hint="eastAsia" w:ascii="宋体" w:hAnsi="宋体" w:eastAsia="宋体" w:cs="宋体"/>
                <w:color w:val="auto"/>
                <w:sz w:val="24"/>
                <w:highlight w:val="none"/>
              </w:rPr>
            </w:pPr>
          </w:p>
        </w:tc>
        <w:tc>
          <w:tcPr>
            <w:tcW w:w="720" w:type="dxa"/>
            <w:vAlign w:val="center"/>
          </w:tcPr>
          <w:p w14:paraId="4123B585">
            <w:pPr>
              <w:spacing w:line="440" w:lineRule="exact"/>
              <w:jc w:val="center"/>
              <w:rPr>
                <w:rFonts w:hint="eastAsia" w:ascii="宋体" w:hAnsi="宋体" w:eastAsia="宋体" w:cs="宋体"/>
                <w:color w:val="auto"/>
                <w:sz w:val="24"/>
                <w:highlight w:val="none"/>
              </w:rPr>
            </w:pPr>
          </w:p>
        </w:tc>
        <w:tc>
          <w:tcPr>
            <w:tcW w:w="900" w:type="dxa"/>
            <w:vAlign w:val="center"/>
          </w:tcPr>
          <w:p w14:paraId="543E7D7E">
            <w:pPr>
              <w:spacing w:line="440" w:lineRule="exact"/>
              <w:jc w:val="center"/>
              <w:rPr>
                <w:rFonts w:hint="eastAsia" w:ascii="宋体" w:hAnsi="宋体" w:eastAsia="宋体" w:cs="宋体"/>
                <w:color w:val="auto"/>
                <w:sz w:val="24"/>
                <w:highlight w:val="none"/>
              </w:rPr>
            </w:pPr>
          </w:p>
        </w:tc>
        <w:tc>
          <w:tcPr>
            <w:tcW w:w="958" w:type="dxa"/>
            <w:vAlign w:val="center"/>
          </w:tcPr>
          <w:p w14:paraId="0EB3606C">
            <w:pPr>
              <w:spacing w:line="440" w:lineRule="exact"/>
              <w:jc w:val="center"/>
              <w:rPr>
                <w:rFonts w:hint="eastAsia" w:ascii="宋体" w:hAnsi="宋体" w:eastAsia="宋体" w:cs="宋体"/>
                <w:color w:val="auto"/>
                <w:sz w:val="24"/>
                <w:highlight w:val="none"/>
              </w:rPr>
            </w:pPr>
          </w:p>
        </w:tc>
      </w:tr>
      <w:tr w14:paraId="2123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7" w:type="dxa"/>
            <w:vAlign w:val="center"/>
          </w:tcPr>
          <w:p w14:paraId="7B1E8E7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71" w:type="dxa"/>
            <w:vAlign w:val="center"/>
          </w:tcPr>
          <w:p w14:paraId="04108A32">
            <w:pPr>
              <w:spacing w:line="440" w:lineRule="exact"/>
              <w:jc w:val="center"/>
              <w:rPr>
                <w:rFonts w:hint="eastAsia" w:ascii="宋体" w:hAnsi="宋体" w:eastAsia="宋体" w:cs="宋体"/>
                <w:color w:val="auto"/>
                <w:sz w:val="24"/>
                <w:highlight w:val="none"/>
              </w:rPr>
            </w:pPr>
          </w:p>
        </w:tc>
        <w:tc>
          <w:tcPr>
            <w:tcW w:w="1440" w:type="dxa"/>
            <w:vAlign w:val="center"/>
          </w:tcPr>
          <w:p w14:paraId="6554248E">
            <w:pPr>
              <w:spacing w:line="440" w:lineRule="exact"/>
              <w:jc w:val="center"/>
              <w:rPr>
                <w:rFonts w:hint="eastAsia" w:ascii="宋体" w:hAnsi="宋体" w:eastAsia="宋体" w:cs="宋体"/>
                <w:color w:val="auto"/>
                <w:sz w:val="24"/>
                <w:highlight w:val="none"/>
              </w:rPr>
            </w:pPr>
          </w:p>
        </w:tc>
        <w:tc>
          <w:tcPr>
            <w:tcW w:w="1260" w:type="dxa"/>
            <w:vAlign w:val="center"/>
          </w:tcPr>
          <w:p w14:paraId="0486C144">
            <w:pPr>
              <w:spacing w:line="440" w:lineRule="exact"/>
              <w:jc w:val="center"/>
              <w:rPr>
                <w:rFonts w:hint="eastAsia" w:ascii="宋体" w:hAnsi="宋体" w:eastAsia="宋体" w:cs="宋体"/>
                <w:color w:val="auto"/>
                <w:sz w:val="24"/>
                <w:highlight w:val="none"/>
              </w:rPr>
            </w:pPr>
          </w:p>
        </w:tc>
        <w:tc>
          <w:tcPr>
            <w:tcW w:w="720" w:type="dxa"/>
            <w:vAlign w:val="center"/>
          </w:tcPr>
          <w:p w14:paraId="62DA225B">
            <w:pPr>
              <w:spacing w:line="440" w:lineRule="exact"/>
              <w:jc w:val="center"/>
              <w:rPr>
                <w:rFonts w:hint="eastAsia" w:ascii="宋体" w:hAnsi="宋体" w:eastAsia="宋体" w:cs="宋体"/>
                <w:color w:val="auto"/>
                <w:sz w:val="24"/>
                <w:highlight w:val="none"/>
              </w:rPr>
            </w:pPr>
          </w:p>
        </w:tc>
        <w:tc>
          <w:tcPr>
            <w:tcW w:w="720" w:type="dxa"/>
            <w:vAlign w:val="center"/>
          </w:tcPr>
          <w:p w14:paraId="3ADFC1C7">
            <w:pPr>
              <w:spacing w:line="440" w:lineRule="exact"/>
              <w:jc w:val="center"/>
              <w:rPr>
                <w:rFonts w:hint="eastAsia" w:ascii="宋体" w:hAnsi="宋体" w:eastAsia="宋体" w:cs="宋体"/>
                <w:color w:val="auto"/>
                <w:sz w:val="24"/>
                <w:highlight w:val="none"/>
              </w:rPr>
            </w:pPr>
          </w:p>
        </w:tc>
        <w:tc>
          <w:tcPr>
            <w:tcW w:w="900" w:type="dxa"/>
            <w:vAlign w:val="center"/>
          </w:tcPr>
          <w:p w14:paraId="56C2B95A">
            <w:pPr>
              <w:spacing w:line="440" w:lineRule="exact"/>
              <w:jc w:val="center"/>
              <w:rPr>
                <w:rFonts w:hint="eastAsia" w:ascii="宋体" w:hAnsi="宋体" w:eastAsia="宋体" w:cs="宋体"/>
                <w:color w:val="auto"/>
                <w:sz w:val="24"/>
                <w:highlight w:val="none"/>
              </w:rPr>
            </w:pPr>
          </w:p>
        </w:tc>
        <w:tc>
          <w:tcPr>
            <w:tcW w:w="958" w:type="dxa"/>
            <w:vAlign w:val="center"/>
          </w:tcPr>
          <w:p w14:paraId="4044A8B6">
            <w:pPr>
              <w:spacing w:line="440" w:lineRule="exact"/>
              <w:jc w:val="center"/>
              <w:rPr>
                <w:rFonts w:hint="eastAsia" w:ascii="宋体" w:hAnsi="宋体" w:eastAsia="宋体" w:cs="宋体"/>
                <w:color w:val="auto"/>
                <w:sz w:val="24"/>
                <w:highlight w:val="none"/>
              </w:rPr>
            </w:pPr>
          </w:p>
        </w:tc>
      </w:tr>
      <w:tr w14:paraId="41E1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7" w:type="dxa"/>
            <w:vAlign w:val="center"/>
          </w:tcPr>
          <w:p w14:paraId="1BDB51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71" w:type="dxa"/>
            <w:vAlign w:val="center"/>
          </w:tcPr>
          <w:p w14:paraId="779B5511">
            <w:pPr>
              <w:spacing w:line="440" w:lineRule="exact"/>
              <w:jc w:val="center"/>
              <w:rPr>
                <w:rFonts w:hint="eastAsia" w:ascii="宋体" w:hAnsi="宋体" w:eastAsia="宋体" w:cs="宋体"/>
                <w:color w:val="auto"/>
                <w:sz w:val="24"/>
                <w:highlight w:val="none"/>
              </w:rPr>
            </w:pPr>
          </w:p>
        </w:tc>
        <w:tc>
          <w:tcPr>
            <w:tcW w:w="1440" w:type="dxa"/>
            <w:vAlign w:val="center"/>
          </w:tcPr>
          <w:p w14:paraId="3EF15AAB">
            <w:pPr>
              <w:spacing w:line="440" w:lineRule="exact"/>
              <w:jc w:val="center"/>
              <w:rPr>
                <w:rFonts w:hint="eastAsia" w:ascii="宋体" w:hAnsi="宋体" w:eastAsia="宋体" w:cs="宋体"/>
                <w:color w:val="auto"/>
                <w:sz w:val="24"/>
                <w:highlight w:val="none"/>
              </w:rPr>
            </w:pPr>
          </w:p>
        </w:tc>
        <w:tc>
          <w:tcPr>
            <w:tcW w:w="1260" w:type="dxa"/>
            <w:vAlign w:val="center"/>
          </w:tcPr>
          <w:p w14:paraId="28A0D914">
            <w:pPr>
              <w:spacing w:line="440" w:lineRule="exact"/>
              <w:jc w:val="center"/>
              <w:rPr>
                <w:rFonts w:hint="eastAsia" w:ascii="宋体" w:hAnsi="宋体" w:eastAsia="宋体" w:cs="宋体"/>
                <w:color w:val="auto"/>
                <w:sz w:val="24"/>
                <w:highlight w:val="none"/>
              </w:rPr>
            </w:pPr>
          </w:p>
        </w:tc>
        <w:tc>
          <w:tcPr>
            <w:tcW w:w="720" w:type="dxa"/>
            <w:vAlign w:val="center"/>
          </w:tcPr>
          <w:p w14:paraId="2FDC2BB5">
            <w:pPr>
              <w:spacing w:line="440" w:lineRule="exact"/>
              <w:jc w:val="center"/>
              <w:rPr>
                <w:rFonts w:hint="eastAsia" w:ascii="宋体" w:hAnsi="宋体" w:eastAsia="宋体" w:cs="宋体"/>
                <w:color w:val="auto"/>
                <w:sz w:val="24"/>
                <w:highlight w:val="none"/>
              </w:rPr>
            </w:pPr>
          </w:p>
        </w:tc>
        <w:tc>
          <w:tcPr>
            <w:tcW w:w="720" w:type="dxa"/>
            <w:vAlign w:val="center"/>
          </w:tcPr>
          <w:p w14:paraId="68548B49">
            <w:pPr>
              <w:spacing w:line="440" w:lineRule="exact"/>
              <w:jc w:val="center"/>
              <w:rPr>
                <w:rFonts w:hint="eastAsia" w:ascii="宋体" w:hAnsi="宋体" w:eastAsia="宋体" w:cs="宋体"/>
                <w:color w:val="auto"/>
                <w:sz w:val="24"/>
                <w:highlight w:val="none"/>
              </w:rPr>
            </w:pPr>
          </w:p>
        </w:tc>
        <w:tc>
          <w:tcPr>
            <w:tcW w:w="900" w:type="dxa"/>
            <w:vAlign w:val="center"/>
          </w:tcPr>
          <w:p w14:paraId="4E4F4505">
            <w:pPr>
              <w:spacing w:line="440" w:lineRule="exact"/>
              <w:jc w:val="center"/>
              <w:rPr>
                <w:rFonts w:hint="eastAsia" w:ascii="宋体" w:hAnsi="宋体" w:eastAsia="宋体" w:cs="宋体"/>
                <w:color w:val="auto"/>
                <w:sz w:val="24"/>
                <w:highlight w:val="none"/>
              </w:rPr>
            </w:pPr>
          </w:p>
        </w:tc>
        <w:tc>
          <w:tcPr>
            <w:tcW w:w="958" w:type="dxa"/>
            <w:vAlign w:val="center"/>
          </w:tcPr>
          <w:p w14:paraId="3EB1560C">
            <w:pPr>
              <w:spacing w:line="440" w:lineRule="exact"/>
              <w:jc w:val="center"/>
              <w:rPr>
                <w:rFonts w:hint="eastAsia" w:ascii="宋体" w:hAnsi="宋体" w:eastAsia="宋体" w:cs="宋体"/>
                <w:color w:val="auto"/>
                <w:sz w:val="24"/>
                <w:highlight w:val="none"/>
              </w:rPr>
            </w:pPr>
          </w:p>
        </w:tc>
      </w:tr>
    </w:tbl>
    <w:p w14:paraId="702C6F7C">
      <w:pPr>
        <w:spacing w:line="440" w:lineRule="exact"/>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注：如有备品备件请写明清单，并写明是否收费。</w:t>
      </w:r>
    </w:p>
    <w:p w14:paraId="66DF6BC8">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投标人（盖章）：     </w:t>
      </w:r>
    </w:p>
    <w:p w14:paraId="3FEA6DB8">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法人或被授权人签字或盖章：  </w:t>
      </w:r>
    </w:p>
    <w:p w14:paraId="6FFEA88A">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日     期：      </w:t>
      </w:r>
    </w:p>
    <w:p w14:paraId="6BF9FB01">
      <w:pPr>
        <w:spacing w:line="440" w:lineRule="exact"/>
        <w:rPr>
          <w:rFonts w:hint="eastAsia" w:ascii="宋体" w:hAnsi="宋体" w:eastAsia="宋体" w:cs="宋体"/>
          <w:b/>
          <w:color w:val="auto"/>
          <w:sz w:val="28"/>
          <w:szCs w:val="28"/>
          <w:highlight w:val="none"/>
        </w:rPr>
      </w:pPr>
    </w:p>
    <w:p w14:paraId="77079837">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附表八：</w:t>
      </w:r>
    </w:p>
    <w:p w14:paraId="25DC810F">
      <w:pPr>
        <w:pStyle w:val="305"/>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eastAsia="zh-CN"/>
        </w:rPr>
        <w:t>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zh-CN" w:eastAsia="zh-CN"/>
        </w:rPr>
        <w:t>年</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lang w:val="zh-CN" w:eastAsia="zh-CN"/>
        </w:rPr>
        <w:t>月1日起至今</w:t>
      </w:r>
      <w:r>
        <w:rPr>
          <w:rFonts w:hint="eastAsia" w:ascii="宋体" w:hAnsi="宋体" w:eastAsia="宋体" w:cs="宋体"/>
          <w:b/>
          <w:color w:val="auto"/>
          <w:sz w:val="32"/>
          <w:szCs w:val="32"/>
          <w:highlight w:val="none"/>
        </w:rPr>
        <w:t>业绩表</w:t>
      </w:r>
    </w:p>
    <w:p w14:paraId="2BE5B08A">
      <w:pPr>
        <w:pStyle w:val="305"/>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tbl>
      <w:tblPr>
        <w:tblStyle w:val="4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2106"/>
        <w:gridCol w:w="1482"/>
        <w:gridCol w:w="1559"/>
        <w:gridCol w:w="1530"/>
      </w:tblGrid>
      <w:tr w14:paraId="26F52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70" w:type="dxa"/>
            <w:tcBorders>
              <w:top w:val="double" w:color="auto" w:sz="4" w:space="0"/>
            </w:tcBorders>
            <w:vAlign w:val="center"/>
          </w:tcPr>
          <w:p w14:paraId="3A3077DC">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38" w:type="dxa"/>
            <w:tcBorders>
              <w:top w:val="double" w:color="auto" w:sz="4" w:space="0"/>
            </w:tcBorders>
            <w:vAlign w:val="center"/>
          </w:tcPr>
          <w:p w14:paraId="11573A7C">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106" w:type="dxa"/>
            <w:tcBorders>
              <w:top w:val="double" w:color="auto" w:sz="4" w:space="0"/>
            </w:tcBorders>
            <w:vAlign w:val="center"/>
          </w:tcPr>
          <w:p w14:paraId="1572F752">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项目实施单位</w:t>
            </w:r>
          </w:p>
        </w:tc>
        <w:tc>
          <w:tcPr>
            <w:tcW w:w="1482" w:type="dxa"/>
            <w:tcBorders>
              <w:top w:val="double" w:color="auto" w:sz="4" w:space="0"/>
            </w:tcBorders>
            <w:vAlign w:val="center"/>
          </w:tcPr>
          <w:p w14:paraId="5D904EDA">
            <w:pPr>
              <w:pStyle w:val="312"/>
              <w:spacing w:line="440" w:lineRule="exact"/>
              <w:ind w:left="94" w:leftChars="-329" w:hanging="784" w:hangingChars="327"/>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合同金额</w:t>
            </w:r>
          </w:p>
        </w:tc>
        <w:tc>
          <w:tcPr>
            <w:tcW w:w="1559" w:type="dxa"/>
            <w:tcBorders>
              <w:top w:val="double" w:color="auto" w:sz="4" w:space="0"/>
            </w:tcBorders>
            <w:vAlign w:val="top"/>
          </w:tcPr>
          <w:p w14:paraId="6A3EC33F">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实施时间</w:t>
            </w:r>
          </w:p>
        </w:tc>
        <w:tc>
          <w:tcPr>
            <w:tcW w:w="1530" w:type="dxa"/>
            <w:tcBorders>
              <w:top w:val="double" w:color="auto" w:sz="4" w:space="0"/>
            </w:tcBorders>
            <w:vAlign w:val="center"/>
          </w:tcPr>
          <w:p w14:paraId="2B94136F">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B261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vAlign w:val="center"/>
          </w:tcPr>
          <w:p w14:paraId="76936088">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38" w:type="dxa"/>
            <w:vAlign w:val="center"/>
          </w:tcPr>
          <w:p w14:paraId="4CBD4C9B">
            <w:pPr>
              <w:pStyle w:val="312"/>
              <w:spacing w:line="440" w:lineRule="exact"/>
              <w:jc w:val="center"/>
              <w:rPr>
                <w:rFonts w:hint="eastAsia" w:ascii="宋体" w:hAnsi="宋体" w:eastAsia="宋体" w:cs="宋体"/>
                <w:color w:val="auto"/>
                <w:highlight w:val="none"/>
              </w:rPr>
            </w:pPr>
          </w:p>
        </w:tc>
        <w:tc>
          <w:tcPr>
            <w:tcW w:w="2106" w:type="dxa"/>
            <w:vAlign w:val="center"/>
          </w:tcPr>
          <w:p w14:paraId="25C235A5">
            <w:pPr>
              <w:pStyle w:val="312"/>
              <w:spacing w:line="440" w:lineRule="exact"/>
              <w:jc w:val="center"/>
              <w:rPr>
                <w:rFonts w:hint="eastAsia" w:ascii="宋体" w:hAnsi="宋体" w:eastAsia="宋体" w:cs="宋体"/>
                <w:color w:val="auto"/>
                <w:highlight w:val="none"/>
              </w:rPr>
            </w:pPr>
          </w:p>
        </w:tc>
        <w:tc>
          <w:tcPr>
            <w:tcW w:w="1482" w:type="dxa"/>
            <w:vAlign w:val="center"/>
          </w:tcPr>
          <w:p w14:paraId="39D0CA48">
            <w:pPr>
              <w:pStyle w:val="312"/>
              <w:spacing w:line="440" w:lineRule="exact"/>
              <w:jc w:val="center"/>
              <w:rPr>
                <w:rFonts w:hint="eastAsia" w:ascii="宋体" w:hAnsi="宋体" w:eastAsia="宋体" w:cs="宋体"/>
                <w:color w:val="auto"/>
                <w:highlight w:val="none"/>
              </w:rPr>
            </w:pPr>
          </w:p>
        </w:tc>
        <w:tc>
          <w:tcPr>
            <w:tcW w:w="1559" w:type="dxa"/>
            <w:vAlign w:val="top"/>
          </w:tcPr>
          <w:p w14:paraId="07B3A30A">
            <w:pPr>
              <w:pStyle w:val="312"/>
              <w:spacing w:line="440" w:lineRule="exact"/>
              <w:jc w:val="center"/>
              <w:rPr>
                <w:rFonts w:hint="eastAsia" w:ascii="宋体" w:hAnsi="宋体" w:eastAsia="宋体" w:cs="宋体"/>
                <w:color w:val="auto"/>
                <w:highlight w:val="none"/>
              </w:rPr>
            </w:pPr>
          </w:p>
        </w:tc>
        <w:tc>
          <w:tcPr>
            <w:tcW w:w="1530" w:type="dxa"/>
            <w:vAlign w:val="center"/>
          </w:tcPr>
          <w:p w14:paraId="434A636A">
            <w:pPr>
              <w:pStyle w:val="312"/>
              <w:spacing w:line="440" w:lineRule="exact"/>
              <w:jc w:val="center"/>
              <w:rPr>
                <w:rFonts w:hint="eastAsia" w:ascii="宋体" w:hAnsi="宋体" w:eastAsia="宋体" w:cs="宋体"/>
                <w:color w:val="auto"/>
                <w:highlight w:val="none"/>
              </w:rPr>
            </w:pPr>
          </w:p>
        </w:tc>
      </w:tr>
      <w:tr w14:paraId="6F6F0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vAlign w:val="center"/>
          </w:tcPr>
          <w:p w14:paraId="1B14EE3F">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38" w:type="dxa"/>
            <w:vAlign w:val="center"/>
          </w:tcPr>
          <w:p w14:paraId="13BFFFA4">
            <w:pPr>
              <w:pStyle w:val="312"/>
              <w:spacing w:line="440" w:lineRule="exact"/>
              <w:jc w:val="center"/>
              <w:rPr>
                <w:rFonts w:hint="eastAsia" w:ascii="宋体" w:hAnsi="宋体" w:eastAsia="宋体" w:cs="宋体"/>
                <w:color w:val="auto"/>
                <w:highlight w:val="none"/>
              </w:rPr>
            </w:pPr>
          </w:p>
        </w:tc>
        <w:tc>
          <w:tcPr>
            <w:tcW w:w="2106" w:type="dxa"/>
            <w:vAlign w:val="center"/>
          </w:tcPr>
          <w:p w14:paraId="7D35A9A8">
            <w:pPr>
              <w:pStyle w:val="312"/>
              <w:spacing w:line="440" w:lineRule="exact"/>
              <w:jc w:val="center"/>
              <w:rPr>
                <w:rFonts w:hint="eastAsia" w:ascii="宋体" w:hAnsi="宋体" w:eastAsia="宋体" w:cs="宋体"/>
                <w:color w:val="auto"/>
                <w:highlight w:val="none"/>
              </w:rPr>
            </w:pPr>
          </w:p>
        </w:tc>
        <w:tc>
          <w:tcPr>
            <w:tcW w:w="1482" w:type="dxa"/>
            <w:vAlign w:val="center"/>
          </w:tcPr>
          <w:p w14:paraId="542A78C4">
            <w:pPr>
              <w:pStyle w:val="312"/>
              <w:spacing w:line="440" w:lineRule="exact"/>
              <w:jc w:val="center"/>
              <w:rPr>
                <w:rFonts w:hint="eastAsia" w:ascii="宋体" w:hAnsi="宋体" w:eastAsia="宋体" w:cs="宋体"/>
                <w:color w:val="auto"/>
                <w:highlight w:val="none"/>
              </w:rPr>
            </w:pPr>
          </w:p>
        </w:tc>
        <w:tc>
          <w:tcPr>
            <w:tcW w:w="1559" w:type="dxa"/>
            <w:vAlign w:val="top"/>
          </w:tcPr>
          <w:p w14:paraId="2AFD6DE9">
            <w:pPr>
              <w:pStyle w:val="312"/>
              <w:spacing w:line="440" w:lineRule="exact"/>
              <w:jc w:val="center"/>
              <w:rPr>
                <w:rFonts w:hint="eastAsia" w:ascii="宋体" w:hAnsi="宋体" w:eastAsia="宋体" w:cs="宋体"/>
                <w:color w:val="auto"/>
                <w:highlight w:val="none"/>
              </w:rPr>
            </w:pPr>
          </w:p>
        </w:tc>
        <w:tc>
          <w:tcPr>
            <w:tcW w:w="1530" w:type="dxa"/>
            <w:vAlign w:val="center"/>
          </w:tcPr>
          <w:p w14:paraId="149AE6D2">
            <w:pPr>
              <w:pStyle w:val="312"/>
              <w:spacing w:line="440" w:lineRule="exact"/>
              <w:jc w:val="center"/>
              <w:rPr>
                <w:rFonts w:hint="eastAsia" w:ascii="宋体" w:hAnsi="宋体" w:eastAsia="宋体" w:cs="宋体"/>
                <w:color w:val="auto"/>
                <w:highlight w:val="none"/>
              </w:rPr>
            </w:pPr>
          </w:p>
        </w:tc>
      </w:tr>
      <w:tr w14:paraId="097CBB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vAlign w:val="center"/>
          </w:tcPr>
          <w:p w14:paraId="57F57358">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38" w:type="dxa"/>
            <w:vAlign w:val="center"/>
          </w:tcPr>
          <w:p w14:paraId="547790F6">
            <w:pPr>
              <w:pStyle w:val="312"/>
              <w:spacing w:line="440" w:lineRule="exact"/>
              <w:jc w:val="center"/>
              <w:rPr>
                <w:rFonts w:hint="eastAsia" w:ascii="宋体" w:hAnsi="宋体" w:eastAsia="宋体" w:cs="宋体"/>
                <w:color w:val="auto"/>
                <w:highlight w:val="none"/>
              </w:rPr>
            </w:pPr>
          </w:p>
        </w:tc>
        <w:tc>
          <w:tcPr>
            <w:tcW w:w="2106" w:type="dxa"/>
            <w:vAlign w:val="center"/>
          </w:tcPr>
          <w:p w14:paraId="0EF579A9">
            <w:pPr>
              <w:pStyle w:val="312"/>
              <w:spacing w:line="440" w:lineRule="exact"/>
              <w:jc w:val="center"/>
              <w:rPr>
                <w:rFonts w:hint="eastAsia" w:ascii="宋体" w:hAnsi="宋体" w:eastAsia="宋体" w:cs="宋体"/>
                <w:color w:val="auto"/>
                <w:highlight w:val="none"/>
              </w:rPr>
            </w:pPr>
          </w:p>
        </w:tc>
        <w:tc>
          <w:tcPr>
            <w:tcW w:w="1482" w:type="dxa"/>
            <w:vAlign w:val="center"/>
          </w:tcPr>
          <w:p w14:paraId="4BB0F646">
            <w:pPr>
              <w:pStyle w:val="312"/>
              <w:spacing w:line="440" w:lineRule="exact"/>
              <w:jc w:val="center"/>
              <w:rPr>
                <w:rFonts w:hint="eastAsia" w:ascii="宋体" w:hAnsi="宋体" w:eastAsia="宋体" w:cs="宋体"/>
                <w:color w:val="auto"/>
                <w:highlight w:val="none"/>
              </w:rPr>
            </w:pPr>
          </w:p>
        </w:tc>
        <w:tc>
          <w:tcPr>
            <w:tcW w:w="1559" w:type="dxa"/>
            <w:vAlign w:val="top"/>
          </w:tcPr>
          <w:p w14:paraId="4171E593">
            <w:pPr>
              <w:pStyle w:val="312"/>
              <w:spacing w:line="440" w:lineRule="exact"/>
              <w:jc w:val="center"/>
              <w:rPr>
                <w:rFonts w:hint="eastAsia" w:ascii="宋体" w:hAnsi="宋体" w:eastAsia="宋体" w:cs="宋体"/>
                <w:color w:val="auto"/>
                <w:highlight w:val="none"/>
              </w:rPr>
            </w:pPr>
          </w:p>
        </w:tc>
        <w:tc>
          <w:tcPr>
            <w:tcW w:w="1530" w:type="dxa"/>
            <w:vAlign w:val="center"/>
          </w:tcPr>
          <w:p w14:paraId="5F285D48">
            <w:pPr>
              <w:pStyle w:val="312"/>
              <w:spacing w:line="440" w:lineRule="exact"/>
              <w:jc w:val="center"/>
              <w:rPr>
                <w:rFonts w:hint="eastAsia" w:ascii="宋体" w:hAnsi="宋体" w:eastAsia="宋体" w:cs="宋体"/>
                <w:color w:val="auto"/>
                <w:highlight w:val="none"/>
              </w:rPr>
            </w:pPr>
          </w:p>
        </w:tc>
      </w:tr>
      <w:tr w14:paraId="765658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vAlign w:val="center"/>
          </w:tcPr>
          <w:p w14:paraId="34AD620A">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538" w:type="dxa"/>
            <w:vAlign w:val="center"/>
          </w:tcPr>
          <w:p w14:paraId="74BD13D2">
            <w:pPr>
              <w:pStyle w:val="312"/>
              <w:spacing w:line="440" w:lineRule="exact"/>
              <w:jc w:val="center"/>
              <w:rPr>
                <w:rFonts w:hint="eastAsia" w:ascii="宋体" w:hAnsi="宋体" w:eastAsia="宋体" w:cs="宋体"/>
                <w:color w:val="auto"/>
                <w:highlight w:val="none"/>
              </w:rPr>
            </w:pPr>
          </w:p>
        </w:tc>
        <w:tc>
          <w:tcPr>
            <w:tcW w:w="2106" w:type="dxa"/>
            <w:vAlign w:val="center"/>
          </w:tcPr>
          <w:p w14:paraId="1B5693EF">
            <w:pPr>
              <w:pStyle w:val="312"/>
              <w:spacing w:line="440" w:lineRule="exact"/>
              <w:jc w:val="center"/>
              <w:rPr>
                <w:rFonts w:hint="eastAsia" w:ascii="宋体" w:hAnsi="宋体" w:eastAsia="宋体" w:cs="宋体"/>
                <w:color w:val="auto"/>
                <w:highlight w:val="none"/>
              </w:rPr>
            </w:pPr>
          </w:p>
        </w:tc>
        <w:tc>
          <w:tcPr>
            <w:tcW w:w="1482" w:type="dxa"/>
            <w:vAlign w:val="center"/>
          </w:tcPr>
          <w:p w14:paraId="4C2D3F30">
            <w:pPr>
              <w:pStyle w:val="312"/>
              <w:spacing w:line="440" w:lineRule="exact"/>
              <w:jc w:val="center"/>
              <w:rPr>
                <w:rFonts w:hint="eastAsia" w:ascii="宋体" w:hAnsi="宋体" w:eastAsia="宋体" w:cs="宋体"/>
                <w:color w:val="auto"/>
                <w:highlight w:val="none"/>
              </w:rPr>
            </w:pPr>
          </w:p>
        </w:tc>
        <w:tc>
          <w:tcPr>
            <w:tcW w:w="1559" w:type="dxa"/>
            <w:vAlign w:val="top"/>
          </w:tcPr>
          <w:p w14:paraId="61D1184A">
            <w:pPr>
              <w:pStyle w:val="312"/>
              <w:spacing w:line="440" w:lineRule="exact"/>
              <w:jc w:val="center"/>
              <w:rPr>
                <w:rFonts w:hint="eastAsia" w:ascii="宋体" w:hAnsi="宋体" w:eastAsia="宋体" w:cs="宋体"/>
                <w:color w:val="auto"/>
                <w:highlight w:val="none"/>
              </w:rPr>
            </w:pPr>
          </w:p>
        </w:tc>
        <w:tc>
          <w:tcPr>
            <w:tcW w:w="1530" w:type="dxa"/>
            <w:vAlign w:val="center"/>
          </w:tcPr>
          <w:p w14:paraId="46B623B2">
            <w:pPr>
              <w:pStyle w:val="312"/>
              <w:spacing w:line="440" w:lineRule="exact"/>
              <w:jc w:val="center"/>
              <w:rPr>
                <w:rFonts w:hint="eastAsia" w:ascii="宋体" w:hAnsi="宋体" w:eastAsia="宋体" w:cs="宋体"/>
                <w:color w:val="auto"/>
                <w:highlight w:val="none"/>
              </w:rPr>
            </w:pPr>
          </w:p>
        </w:tc>
      </w:tr>
      <w:tr w14:paraId="29E9E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vAlign w:val="center"/>
          </w:tcPr>
          <w:p w14:paraId="01854006">
            <w:pPr>
              <w:pStyle w:val="312"/>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38" w:type="dxa"/>
            <w:vAlign w:val="center"/>
          </w:tcPr>
          <w:p w14:paraId="2D4DDC86">
            <w:pPr>
              <w:pStyle w:val="312"/>
              <w:spacing w:line="440" w:lineRule="exact"/>
              <w:jc w:val="center"/>
              <w:rPr>
                <w:rFonts w:hint="eastAsia" w:ascii="宋体" w:hAnsi="宋体" w:eastAsia="宋体" w:cs="宋体"/>
                <w:color w:val="auto"/>
                <w:highlight w:val="none"/>
              </w:rPr>
            </w:pPr>
          </w:p>
        </w:tc>
        <w:tc>
          <w:tcPr>
            <w:tcW w:w="2106" w:type="dxa"/>
            <w:vAlign w:val="center"/>
          </w:tcPr>
          <w:p w14:paraId="2B436B62">
            <w:pPr>
              <w:pStyle w:val="312"/>
              <w:spacing w:line="440" w:lineRule="exact"/>
              <w:jc w:val="center"/>
              <w:rPr>
                <w:rFonts w:hint="eastAsia" w:ascii="宋体" w:hAnsi="宋体" w:eastAsia="宋体" w:cs="宋体"/>
                <w:color w:val="auto"/>
                <w:highlight w:val="none"/>
              </w:rPr>
            </w:pPr>
          </w:p>
        </w:tc>
        <w:tc>
          <w:tcPr>
            <w:tcW w:w="1482" w:type="dxa"/>
            <w:vAlign w:val="center"/>
          </w:tcPr>
          <w:p w14:paraId="2647B412">
            <w:pPr>
              <w:pStyle w:val="312"/>
              <w:spacing w:line="440" w:lineRule="exact"/>
              <w:jc w:val="center"/>
              <w:rPr>
                <w:rFonts w:hint="eastAsia" w:ascii="宋体" w:hAnsi="宋体" w:eastAsia="宋体" w:cs="宋体"/>
                <w:color w:val="auto"/>
                <w:highlight w:val="none"/>
              </w:rPr>
            </w:pPr>
          </w:p>
        </w:tc>
        <w:tc>
          <w:tcPr>
            <w:tcW w:w="1559" w:type="dxa"/>
            <w:vAlign w:val="top"/>
          </w:tcPr>
          <w:p w14:paraId="5FECD77B">
            <w:pPr>
              <w:pStyle w:val="312"/>
              <w:spacing w:line="440" w:lineRule="exact"/>
              <w:jc w:val="center"/>
              <w:rPr>
                <w:rFonts w:hint="eastAsia" w:ascii="宋体" w:hAnsi="宋体" w:eastAsia="宋体" w:cs="宋体"/>
                <w:color w:val="auto"/>
                <w:highlight w:val="none"/>
              </w:rPr>
            </w:pPr>
          </w:p>
        </w:tc>
        <w:tc>
          <w:tcPr>
            <w:tcW w:w="1530" w:type="dxa"/>
            <w:vAlign w:val="center"/>
          </w:tcPr>
          <w:p w14:paraId="10DA15D0">
            <w:pPr>
              <w:pStyle w:val="312"/>
              <w:spacing w:line="440" w:lineRule="exact"/>
              <w:jc w:val="center"/>
              <w:rPr>
                <w:rFonts w:hint="eastAsia" w:ascii="宋体" w:hAnsi="宋体" w:eastAsia="宋体" w:cs="宋体"/>
                <w:color w:val="auto"/>
                <w:highlight w:val="none"/>
              </w:rPr>
            </w:pPr>
          </w:p>
        </w:tc>
      </w:tr>
    </w:tbl>
    <w:p w14:paraId="16BDDB2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注：1、项目业绩需附中标通知书</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合同等证明文件，不附证明文件不算业绩。</w:t>
      </w:r>
    </w:p>
    <w:p w14:paraId="1DED837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2、如无业绩也需附本表，内容填“无”。</w:t>
      </w:r>
    </w:p>
    <w:p w14:paraId="7FFB36D2">
      <w:pPr>
        <w:wordWrap w:val="0"/>
        <w:spacing w:line="480" w:lineRule="auto"/>
        <w:ind w:firstLine="6240" w:firstLineChars="2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投标人（盖章）：     </w:t>
      </w:r>
    </w:p>
    <w:p w14:paraId="53E6146E">
      <w:pPr>
        <w:wordWrap w:val="0"/>
        <w:spacing w:line="480" w:lineRule="auto"/>
        <w:ind w:firstLine="6240" w:firstLineChars="2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      </w:t>
      </w:r>
    </w:p>
    <w:p w14:paraId="6C240485">
      <w:pPr>
        <w:spacing w:before="156" w:beforeLines="50" w:after="156"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附表九：</w:t>
      </w:r>
    </w:p>
    <w:p w14:paraId="7696D25B">
      <w:pPr>
        <w:spacing w:before="156" w:beforeLines="50" w:after="156" w:afterLines="50"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（投标人）《反商业贿赂承诺书》</w:t>
      </w:r>
    </w:p>
    <w:p w14:paraId="56EEA47B">
      <w:pPr>
        <w:pStyle w:val="17"/>
        <w:spacing w:line="360" w:lineRule="auto"/>
        <w:ind w:firstLine="482"/>
        <w:rPr>
          <w:rFonts w:hint="eastAsia" w:ascii="宋体" w:hAnsi="宋体" w:eastAsia="宋体" w:cs="宋体"/>
          <w:b w:val="0"/>
          <w:color w:val="auto"/>
          <w:highlight w:val="none"/>
        </w:rPr>
      </w:pPr>
    </w:p>
    <w:p w14:paraId="1ED0107F">
      <w:pPr>
        <w:pStyle w:val="17"/>
        <w:spacing w:line="360" w:lineRule="auto"/>
        <w:ind w:firstLine="482"/>
        <w:rPr>
          <w:rFonts w:hint="eastAsia" w:ascii="宋体" w:hAnsi="宋体" w:eastAsia="宋体" w:cs="宋体"/>
          <w:b w:val="0"/>
          <w:color w:val="auto"/>
          <w:highlight w:val="none"/>
        </w:rPr>
      </w:pPr>
      <w:r>
        <w:rPr>
          <w:rFonts w:hint="eastAsia" w:ascii="宋体" w:hAnsi="宋体" w:eastAsia="宋体" w:cs="宋体"/>
          <w:b w:val="0"/>
          <w:color w:val="auto"/>
          <w:highlight w:val="none"/>
        </w:rPr>
        <w:t>我公司承诺在</w:t>
      </w:r>
      <w:r>
        <w:rPr>
          <w:rFonts w:hint="eastAsia" w:ascii="宋体" w:hAnsi="宋体" w:eastAsia="宋体" w:cs="宋体"/>
          <w:b w:val="0"/>
          <w:color w:val="auto"/>
          <w:highlight w:val="none"/>
          <w:u w:val="single"/>
        </w:rPr>
        <w:t>（项目名称、项目编号）</w:t>
      </w:r>
      <w:r>
        <w:rPr>
          <w:rFonts w:hint="eastAsia" w:ascii="宋体" w:hAnsi="宋体" w:eastAsia="宋体" w:cs="宋体"/>
          <w:b w:val="0"/>
          <w:color w:val="auto"/>
          <w:highlight w:val="none"/>
        </w:rPr>
        <w:t xml:space="preserve">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CDAED77">
      <w:pPr>
        <w:wordWrap w:val="0"/>
        <w:spacing w:line="480" w:lineRule="auto"/>
        <w:ind w:firstLine="435"/>
        <w:jc w:val="right"/>
        <w:rPr>
          <w:rFonts w:hint="eastAsia" w:ascii="宋体" w:hAnsi="宋体" w:eastAsia="宋体" w:cs="宋体"/>
          <w:color w:val="auto"/>
          <w:sz w:val="24"/>
          <w:highlight w:val="none"/>
        </w:rPr>
      </w:pPr>
    </w:p>
    <w:p w14:paraId="7D4F8206">
      <w:pPr>
        <w:spacing w:line="480" w:lineRule="auto"/>
        <w:ind w:firstLine="5760" w:firstLineChars="2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投标人（盖章）：     </w:t>
      </w:r>
    </w:p>
    <w:p w14:paraId="75B460B3">
      <w:pPr>
        <w:wordWrap w:val="0"/>
        <w:spacing w:line="480" w:lineRule="auto"/>
        <w:ind w:firstLine="5760" w:firstLineChars="2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27852DD9">
      <w:pPr>
        <w:wordWrap w:val="0"/>
        <w:spacing w:line="480" w:lineRule="auto"/>
        <w:ind w:firstLine="5760" w:firstLineChars="2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日     期：      </w:t>
      </w:r>
    </w:p>
    <w:p w14:paraId="734C1950">
      <w:pPr>
        <w:spacing w:before="156" w:beforeLines="50" w:after="156"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附表十：</w:t>
      </w:r>
    </w:p>
    <w:p w14:paraId="42F88BF5">
      <w:pPr>
        <w:spacing w:line="360" w:lineRule="auto"/>
        <w:ind w:firstLine="480" w:firstLineChars="200"/>
        <w:jc w:val="center"/>
        <w:rPr>
          <w:rFonts w:hint="eastAsia" w:ascii="宋体" w:hAnsi="宋体" w:eastAsia="宋体" w:cs="宋体"/>
          <w:bCs/>
          <w:sz w:val="24"/>
          <w:highlight w:val="none"/>
        </w:rPr>
      </w:pPr>
      <w:r>
        <w:rPr>
          <w:rFonts w:hint="eastAsia" w:ascii="宋体" w:hAnsi="宋体" w:eastAsia="宋体" w:cs="宋体"/>
          <w:bCs/>
          <w:sz w:val="24"/>
          <w:highlight w:val="none"/>
        </w:rPr>
        <w:t>中小企业声明函（货物）</w:t>
      </w:r>
    </w:p>
    <w:p w14:paraId="7727AEAD">
      <w:pPr>
        <w:spacing w:line="360" w:lineRule="auto"/>
        <w:ind w:firstLine="480" w:firstLineChars="200"/>
        <w:jc w:val="left"/>
        <w:rPr>
          <w:rFonts w:hint="eastAsia" w:ascii="宋体" w:hAnsi="宋体" w:eastAsia="宋体" w:cs="宋体"/>
          <w:bCs/>
          <w:sz w:val="24"/>
          <w:highlight w:val="none"/>
        </w:rPr>
      </w:pPr>
    </w:p>
    <w:p w14:paraId="315EAAA9">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本公司（联合体）郑重声明，根据《政府采购促进中小企业发展管理办法》（财库﹝2020﹞46 号）的规定，</w:t>
      </w:r>
      <w:r>
        <w:rPr>
          <w:rFonts w:hint="eastAsia" w:ascii="宋体" w:hAnsi="宋体" w:eastAsia="宋体" w:cs="宋体"/>
          <w:bCs/>
          <w:sz w:val="24"/>
          <w:highlight w:val="none"/>
          <w:u w:val="single"/>
        </w:rPr>
        <w:t>本公司（联合体）</w:t>
      </w:r>
      <w:r>
        <w:rPr>
          <w:rFonts w:hint="eastAsia" w:ascii="宋体" w:hAnsi="宋体" w:eastAsia="宋体" w:cs="宋体"/>
          <w:bCs/>
          <w:sz w:val="24"/>
          <w:highlight w:val="none"/>
        </w:rPr>
        <w:t>参加</w:t>
      </w:r>
      <w:r>
        <w:rPr>
          <w:rFonts w:hint="eastAsia" w:ascii="宋体" w:hAnsi="宋体" w:eastAsia="宋体" w:cs="宋体"/>
          <w:bCs/>
          <w:sz w:val="24"/>
          <w:highlight w:val="none"/>
          <w:u w:val="single"/>
        </w:rPr>
        <w:t xml:space="preserve"> （单位名称） </w:t>
      </w:r>
      <w:r>
        <w:rPr>
          <w:rFonts w:hint="eastAsia" w:ascii="宋体" w:hAnsi="宋体" w:eastAsia="宋体" w:cs="宋体"/>
          <w:bCs/>
          <w:sz w:val="24"/>
          <w:highlight w:val="none"/>
        </w:rPr>
        <w:t>的</w:t>
      </w:r>
      <w:r>
        <w:rPr>
          <w:rFonts w:hint="eastAsia" w:ascii="宋体" w:hAnsi="宋体" w:eastAsia="宋体" w:cs="宋体"/>
          <w:bCs/>
          <w:sz w:val="24"/>
          <w:highlight w:val="none"/>
          <w:u w:val="single"/>
        </w:rPr>
        <w:t>（项目名称）</w:t>
      </w:r>
      <w:r>
        <w:rPr>
          <w:rFonts w:hint="eastAsia" w:ascii="宋体" w:hAnsi="宋体" w:eastAsia="宋体" w:cs="宋体"/>
          <w:bCs/>
          <w:sz w:val="24"/>
          <w:highlight w:val="none"/>
        </w:rPr>
        <w:t>采购活动，提供的货物全部由符合政策要求的中小企业制造。相关企业</w:t>
      </w:r>
      <w:r>
        <w:rPr>
          <w:rFonts w:hint="eastAsia" w:ascii="宋体" w:hAnsi="宋体" w:eastAsia="宋体" w:cs="宋体"/>
          <w:bCs/>
          <w:sz w:val="24"/>
          <w:highlight w:val="none"/>
          <w:u w:val="single"/>
        </w:rPr>
        <w:t>（含联合体中的中小企业、签订分包意向协议的中小企业）</w:t>
      </w:r>
      <w:r>
        <w:rPr>
          <w:rFonts w:hint="eastAsia" w:ascii="宋体" w:hAnsi="宋体" w:eastAsia="宋体" w:cs="宋体"/>
          <w:bCs/>
          <w:sz w:val="24"/>
          <w:highlight w:val="none"/>
        </w:rPr>
        <w:t>的具体情况如下：</w:t>
      </w:r>
    </w:p>
    <w:p w14:paraId="65EEAABF">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1. </w:t>
      </w:r>
      <w:r>
        <w:rPr>
          <w:rFonts w:hint="eastAsia" w:ascii="宋体" w:hAnsi="宋体" w:eastAsia="宋体" w:cs="宋体"/>
          <w:bCs/>
          <w:sz w:val="24"/>
          <w:highlight w:val="none"/>
          <w:u w:val="single"/>
        </w:rPr>
        <w:t>（标的名称）</w:t>
      </w:r>
      <w:r>
        <w:rPr>
          <w:rFonts w:hint="eastAsia" w:ascii="宋体" w:hAnsi="宋体" w:eastAsia="宋体" w:cs="宋体"/>
          <w:bCs/>
          <w:sz w:val="24"/>
          <w:highlight w:val="none"/>
        </w:rPr>
        <w:t xml:space="preserve"> ，属于</w:t>
      </w:r>
      <w:r>
        <w:rPr>
          <w:rFonts w:hint="eastAsia" w:ascii="宋体" w:hAnsi="宋体" w:eastAsia="宋体" w:cs="宋体"/>
          <w:bCs/>
          <w:sz w:val="24"/>
          <w:highlight w:val="none"/>
          <w:u w:val="single"/>
        </w:rPr>
        <w:t xml:space="preserve"> （采购文件中明确的所属行业）</w:t>
      </w:r>
      <w:r>
        <w:rPr>
          <w:rFonts w:hint="eastAsia" w:ascii="宋体" w:hAnsi="宋体" w:eastAsia="宋体" w:cs="宋体"/>
          <w:bCs/>
          <w:sz w:val="24"/>
          <w:highlight w:val="none"/>
        </w:rPr>
        <w:t>；制造商为</w:t>
      </w:r>
      <w:r>
        <w:rPr>
          <w:rFonts w:hint="eastAsia" w:ascii="宋体" w:hAnsi="宋体" w:eastAsia="宋体" w:cs="宋体"/>
          <w:bCs/>
          <w:sz w:val="24"/>
          <w:highlight w:val="none"/>
          <w:u w:val="single"/>
        </w:rPr>
        <w:t xml:space="preserve"> （企业名称）</w:t>
      </w:r>
      <w:r>
        <w:rPr>
          <w:rFonts w:hint="eastAsia" w:ascii="宋体" w:hAnsi="宋体" w:eastAsia="宋体" w:cs="宋体"/>
          <w:bCs/>
          <w:sz w:val="24"/>
          <w:highlight w:val="none"/>
        </w:rPr>
        <w:t xml:space="preserve"> ，从业人员</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人，营业收入为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万元，资产总额为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万元，属于</w:t>
      </w:r>
      <w:r>
        <w:rPr>
          <w:rFonts w:hint="eastAsia" w:ascii="宋体" w:hAnsi="宋体" w:eastAsia="宋体" w:cs="宋体"/>
          <w:bCs/>
          <w:sz w:val="24"/>
          <w:highlight w:val="none"/>
          <w:u w:val="single"/>
        </w:rPr>
        <w:t>（中型企业、小型企业、微型企业）</w:t>
      </w:r>
      <w:r>
        <w:rPr>
          <w:rFonts w:hint="eastAsia" w:ascii="宋体" w:hAnsi="宋体" w:eastAsia="宋体" w:cs="宋体"/>
          <w:bCs/>
          <w:sz w:val="24"/>
          <w:highlight w:val="none"/>
        </w:rPr>
        <w:t>；</w:t>
      </w:r>
    </w:p>
    <w:p w14:paraId="6725288A">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2. </w:t>
      </w:r>
      <w:r>
        <w:rPr>
          <w:rFonts w:hint="eastAsia" w:ascii="宋体" w:hAnsi="宋体" w:eastAsia="宋体" w:cs="宋体"/>
          <w:bCs/>
          <w:sz w:val="24"/>
          <w:highlight w:val="none"/>
          <w:u w:val="single"/>
        </w:rPr>
        <w:t xml:space="preserve">（标的名称） </w:t>
      </w:r>
      <w:r>
        <w:rPr>
          <w:rFonts w:hint="eastAsia" w:ascii="宋体" w:hAnsi="宋体" w:eastAsia="宋体" w:cs="宋体"/>
          <w:bCs/>
          <w:sz w:val="24"/>
          <w:highlight w:val="none"/>
        </w:rPr>
        <w:t>，属于</w:t>
      </w:r>
      <w:r>
        <w:rPr>
          <w:rFonts w:hint="eastAsia" w:ascii="宋体" w:hAnsi="宋体" w:eastAsia="宋体" w:cs="宋体"/>
          <w:bCs/>
          <w:sz w:val="24"/>
          <w:highlight w:val="none"/>
          <w:u w:val="single"/>
        </w:rPr>
        <w:t xml:space="preserve"> （采购文件中明确的所属行业）</w:t>
      </w:r>
      <w:r>
        <w:rPr>
          <w:rFonts w:hint="eastAsia" w:ascii="宋体" w:hAnsi="宋体" w:eastAsia="宋体" w:cs="宋体"/>
          <w:bCs/>
          <w:sz w:val="24"/>
          <w:highlight w:val="none"/>
        </w:rPr>
        <w:t>；制造商为</w:t>
      </w:r>
      <w:r>
        <w:rPr>
          <w:rFonts w:hint="eastAsia" w:ascii="宋体" w:hAnsi="宋体" w:eastAsia="宋体" w:cs="宋体"/>
          <w:bCs/>
          <w:sz w:val="24"/>
          <w:highlight w:val="none"/>
          <w:u w:val="single"/>
        </w:rPr>
        <w:t xml:space="preserve"> （企业名称） </w:t>
      </w:r>
      <w:r>
        <w:rPr>
          <w:rFonts w:hint="eastAsia" w:ascii="宋体" w:hAnsi="宋体" w:eastAsia="宋体" w:cs="宋体"/>
          <w:bCs/>
          <w:sz w:val="24"/>
          <w:highlight w:val="none"/>
        </w:rPr>
        <w:t>，从业人员</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人， 营业收入为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万元，资产总额为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万元，属于</w:t>
      </w:r>
      <w:r>
        <w:rPr>
          <w:rFonts w:hint="eastAsia" w:ascii="宋体" w:hAnsi="宋体" w:eastAsia="宋体" w:cs="宋体"/>
          <w:bCs/>
          <w:sz w:val="24"/>
          <w:highlight w:val="none"/>
          <w:u w:val="single"/>
        </w:rPr>
        <w:t>（中型企业、小型企业、微型企业）</w:t>
      </w:r>
      <w:r>
        <w:rPr>
          <w:rFonts w:hint="eastAsia" w:ascii="宋体" w:hAnsi="宋体" w:eastAsia="宋体" w:cs="宋体"/>
          <w:bCs/>
          <w:sz w:val="24"/>
          <w:highlight w:val="none"/>
        </w:rPr>
        <w:t>；</w:t>
      </w:r>
    </w:p>
    <w:p w14:paraId="1155B11A">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w:t>
      </w:r>
    </w:p>
    <w:p w14:paraId="31332F1D">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以上企业，不属于大企业的分支机构，不存在控股股东为大企业的情形，也不存在与大企业的负责人为同一人的情形。</w:t>
      </w:r>
    </w:p>
    <w:p w14:paraId="2E7E0DE4">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本企业对上述声明内容的真实性负责。如有虚假，将依法承担相应责任。</w:t>
      </w:r>
    </w:p>
    <w:p w14:paraId="4C2EA3FC">
      <w:pPr>
        <w:spacing w:line="360" w:lineRule="auto"/>
        <w:ind w:firstLine="480" w:firstLineChars="200"/>
        <w:jc w:val="left"/>
        <w:rPr>
          <w:rFonts w:hint="eastAsia" w:ascii="宋体" w:hAnsi="宋体" w:eastAsia="宋体" w:cs="宋体"/>
          <w:bCs/>
          <w:sz w:val="24"/>
          <w:highlight w:val="none"/>
        </w:rPr>
      </w:pPr>
    </w:p>
    <w:p w14:paraId="1308815B">
      <w:pPr>
        <w:spacing w:line="360" w:lineRule="auto"/>
        <w:ind w:firstLine="480" w:firstLineChars="200"/>
        <w:jc w:val="left"/>
        <w:rPr>
          <w:rFonts w:hint="eastAsia" w:ascii="宋体" w:hAnsi="宋体" w:eastAsia="宋体" w:cs="宋体"/>
          <w:bCs/>
          <w:sz w:val="24"/>
          <w:highlight w:val="none"/>
        </w:rPr>
      </w:pPr>
    </w:p>
    <w:p w14:paraId="55A844BD">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企业名称（盖章） ：</w:t>
      </w:r>
    </w:p>
    <w:p w14:paraId="4612D29B">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日期：</w:t>
      </w:r>
    </w:p>
    <w:p w14:paraId="3817B094">
      <w:pPr>
        <w:spacing w:line="360" w:lineRule="auto"/>
        <w:ind w:firstLine="480" w:firstLineChars="200"/>
        <w:jc w:val="left"/>
        <w:rPr>
          <w:rFonts w:hint="eastAsia" w:ascii="宋体" w:hAnsi="宋体" w:eastAsia="宋体" w:cs="宋体"/>
          <w:bCs/>
          <w:sz w:val="24"/>
          <w:highlight w:val="none"/>
        </w:rPr>
      </w:pPr>
    </w:p>
    <w:p w14:paraId="727C809F">
      <w:pPr>
        <w:numPr>
          <w:ilvl w:val="0"/>
          <w:numId w:val="16"/>
        </w:numPr>
        <w:spacing w:line="360" w:lineRule="auto"/>
        <w:ind w:firstLine="480" w:firstLineChars="200"/>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rPr>
        <w:t>从业人员、营业收入、资产总额填报上一年度数据，无上一年度数据的新成立企业可不填</w:t>
      </w:r>
      <w:r>
        <w:rPr>
          <w:rFonts w:hint="eastAsia" w:ascii="宋体" w:hAnsi="宋体" w:eastAsia="宋体" w:cs="宋体"/>
          <w:b/>
          <w:bCs w:val="0"/>
          <w:sz w:val="24"/>
          <w:highlight w:val="none"/>
          <w:lang w:eastAsia="zh-CN"/>
        </w:rPr>
        <w:t>。 2、如未按上述要求提供、填写，评审时造成的资格审查不通过或价格评审时的价格扣除不予认定等后果，由投标人自行承担。</w:t>
      </w:r>
      <w:r>
        <w:rPr>
          <w:rFonts w:hint="eastAsia" w:ascii="宋体" w:hAnsi="宋体" w:eastAsia="宋体" w:cs="宋体"/>
          <w:b/>
          <w:bCs w:val="0"/>
          <w:sz w:val="24"/>
          <w:highlight w:val="none"/>
          <w:lang w:val="en-US" w:eastAsia="zh-CN"/>
        </w:rPr>
        <w:t>3、本项目只针对主要货物（</w:t>
      </w:r>
      <w:r>
        <w:rPr>
          <w:rFonts w:hint="eastAsia" w:ascii="宋体" w:hAnsi="宋体" w:cs="宋体"/>
          <w:b/>
          <w:bCs w:val="0"/>
          <w:sz w:val="24"/>
          <w:highlight w:val="none"/>
          <w:lang w:val="en-US" w:eastAsia="zh-CN"/>
        </w:rPr>
        <w:t>设备清单中标“★”</w:t>
      </w:r>
      <w:r>
        <w:rPr>
          <w:rFonts w:hint="eastAsia" w:ascii="宋体" w:hAnsi="宋体" w:eastAsia="宋体" w:cs="宋体"/>
          <w:b/>
          <w:bCs w:val="0"/>
          <w:sz w:val="24"/>
          <w:highlight w:val="none"/>
          <w:lang w:val="en-US" w:eastAsia="zh-CN"/>
        </w:rPr>
        <w:t>）作为标的物，对其生产厂商做要求（逐一填写）；</w:t>
      </w:r>
      <w:r>
        <w:rPr>
          <w:rFonts w:hint="eastAsia" w:ascii="宋体" w:hAnsi="宋体" w:cs="宋体"/>
          <w:b/>
          <w:bCs w:val="0"/>
          <w:sz w:val="24"/>
          <w:highlight w:val="none"/>
          <w:lang w:val="en-US" w:eastAsia="zh-CN"/>
        </w:rPr>
        <w:t>其余</w:t>
      </w:r>
      <w:r>
        <w:rPr>
          <w:rFonts w:hint="eastAsia" w:ascii="宋体" w:hAnsi="宋体" w:eastAsia="宋体" w:cs="宋体"/>
          <w:b/>
          <w:bCs w:val="0"/>
          <w:sz w:val="24"/>
          <w:highlight w:val="none"/>
          <w:lang w:val="en-US" w:eastAsia="zh-CN"/>
        </w:rPr>
        <w:t>配件、辅料等材料不作为标的物，不对其生产厂商做要求。</w:t>
      </w:r>
    </w:p>
    <w:p w14:paraId="556B0140">
      <w:pPr>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rPr>
        <w:t>附表十一：</w:t>
      </w:r>
    </w:p>
    <w:p w14:paraId="47F7E9A8">
      <w:pPr>
        <w:spacing w:before="156" w:beforeLines="50" w:after="156" w:after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安装调试</w:t>
      </w:r>
      <w:r>
        <w:rPr>
          <w:rFonts w:hint="eastAsia" w:ascii="宋体" w:hAnsi="宋体" w:eastAsia="宋体" w:cs="宋体"/>
          <w:b/>
          <w:color w:val="auto"/>
          <w:sz w:val="28"/>
          <w:szCs w:val="28"/>
          <w:highlight w:val="none"/>
        </w:rPr>
        <w:t>配送方案（格式自拟）</w:t>
      </w:r>
    </w:p>
    <w:p w14:paraId="62F4C54F">
      <w:pPr>
        <w:spacing w:before="156" w:beforeLines="50" w:after="156" w:afterLines="50" w:line="360" w:lineRule="auto"/>
        <w:jc w:val="center"/>
        <w:rPr>
          <w:rFonts w:hint="eastAsia" w:ascii="宋体" w:hAnsi="宋体" w:eastAsia="宋体" w:cs="宋体"/>
          <w:b/>
          <w:color w:val="auto"/>
          <w:sz w:val="28"/>
          <w:szCs w:val="28"/>
          <w:highlight w:val="none"/>
        </w:rPr>
      </w:pPr>
    </w:p>
    <w:p w14:paraId="686967AF">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投标人（盖章）：     </w:t>
      </w:r>
    </w:p>
    <w:p w14:paraId="2EC786CF">
      <w:pPr>
        <w:wordWrap w:val="0"/>
        <w:spacing w:line="480" w:lineRule="auto"/>
        <w:ind w:firstLine="435"/>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被授权人签字或盖章：  </w:t>
      </w:r>
    </w:p>
    <w:p w14:paraId="2AA9D5CE">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日     期：      </w:t>
      </w:r>
    </w:p>
    <w:p w14:paraId="7B3D4A22">
      <w:pPr>
        <w:spacing w:before="156" w:beforeLines="50" w:after="156" w:afterLines="50" w:line="480" w:lineRule="auto"/>
        <w:rPr>
          <w:rFonts w:hint="eastAsia" w:ascii="宋体" w:hAnsi="宋体" w:eastAsia="宋体" w:cs="宋体"/>
          <w:b/>
          <w:color w:val="auto"/>
          <w:sz w:val="28"/>
          <w:szCs w:val="28"/>
          <w:highlight w:val="none"/>
        </w:rPr>
      </w:pPr>
    </w:p>
    <w:p w14:paraId="53648F69">
      <w:pPr>
        <w:spacing w:before="156" w:beforeLines="50" w:after="156" w:afterLines="50" w:line="480" w:lineRule="auto"/>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附表十二：</w:t>
      </w:r>
    </w:p>
    <w:p w14:paraId="49E4B47C">
      <w:pPr>
        <w:spacing w:before="156" w:beforeLines="50" w:after="156" w:after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退换货承诺</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售后服务</w:t>
      </w:r>
      <w:r>
        <w:rPr>
          <w:rFonts w:hint="eastAsia" w:ascii="宋体" w:hAnsi="宋体" w:eastAsia="宋体" w:cs="宋体"/>
          <w:b/>
          <w:color w:val="auto"/>
          <w:sz w:val="28"/>
          <w:szCs w:val="28"/>
          <w:highlight w:val="none"/>
          <w:lang w:eastAsia="zh-CN"/>
        </w:rPr>
        <w:t>、技术培训</w:t>
      </w:r>
      <w:r>
        <w:rPr>
          <w:rFonts w:hint="eastAsia" w:ascii="宋体" w:hAnsi="宋体" w:eastAsia="宋体" w:cs="宋体"/>
          <w:b/>
          <w:color w:val="auto"/>
          <w:sz w:val="28"/>
          <w:szCs w:val="28"/>
          <w:highlight w:val="none"/>
        </w:rPr>
        <w:t>（格式自拟）</w:t>
      </w:r>
    </w:p>
    <w:p w14:paraId="7220CED0">
      <w:pPr>
        <w:wordWrap w:val="0"/>
        <w:spacing w:line="480" w:lineRule="auto"/>
        <w:ind w:firstLine="435"/>
        <w:jc w:val="center"/>
        <w:rPr>
          <w:rFonts w:hint="eastAsia" w:ascii="宋体" w:hAnsi="宋体" w:eastAsia="宋体" w:cs="宋体"/>
          <w:color w:val="auto"/>
          <w:sz w:val="24"/>
          <w:highlight w:val="none"/>
        </w:rPr>
      </w:pPr>
    </w:p>
    <w:p w14:paraId="0226ABDF">
      <w:pPr>
        <w:wordWrap w:val="0"/>
        <w:spacing w:line="480" w:lineRule="auto"/>
        <w:ind w:firstLine="435"/>
        <w:jc w:val="center"/>
        <w:rPr>
          <w:rFonts w:hint="eastAsia" w:ascii="宋体" w:hAnsi="宋体" w:eastAsia="宋体" w:cs="宋体"/>
          <w:color w:val="auto"/>
          <w:sz w:val="24"/>
          <w:highlight w:val="none"/>
        </w:rPr>
      </w:pPr>
    </w:p>
    <w:p w14:paraId="061E136A">
      <w:pPr>
        <w:wordWrap w:val="0"/>
        <w:spacing w:line="480" w:lineRule="auto"/>
        <w:ind w:firstLine="43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06E1E9">
      <w:pPr>
        <w:wordWrap w:val="0"/>
        <w:spacing w:line="480" w:lineRule="auto"/>
        <w:ind w:firstLine="435"/>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投标人（盖章）：     </w:t>
      </w:r>
    </w:p>
    <w:p w14:paraId="3B2480B0">
      <w:pPr>
        <w:wordWrap w:val="0"/>
        <w:spacing w:line="480" w:lineRule="auto"/>
        <w:ind w:firstLine="435"/>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法人或被授权人签字或盖章：  </w:t>
      </w:r>
    </w:p>
    <w:p w14:paraId="6B6195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w:t>
      </w:r>
    </w:p>
    <w:p w14:paraId="1D0099B0">
      <w:pPr>
        <w:spacing w:before="156" w:beforeLines="50" w:after="156" w:afterLines="50" w:line="480" w:lineRule="auto"/>
        <w:rPr>
          <w:rFonts w:hint="eastAsia" w:ascii="宋体" w:hAnsi="宋体" w:eastAsia="宋体" w:cs="宋体"/>
          <w:b/>
          <w:color w:val="auto"/>
          <w:sz w:val="28"/>
          <w:szCs w:val="28"/>
          <w:highlight w:val="none"/>
        </w:rPr>
      </w:pPr>
    </w:p>
    <w:p w14:paraId="504311F9">
      <w:pPr>
        <w:pStyle w:val="96"/>
        <w:rPr>
          <w:rFonts w:hint="eastAsia" w:ascii="宋体" w:hAnsi="宋体" w:eastAsia="宋体" w:cs="宋体"/>
          <w:b/>
          <w:color w:val="auto"/>
          <w:sz w:val="28"/>
          <w:szCs w:val="28"/>
          <w:highlight w:val="none"/>
        </w:rPr>
      </w:pPr>
    </w:p>
    <w:p w14:paraId="20DCDF27">
      <w:pPr>
        <w:pStyle w:val="96"/>
        <w:rPr>
          <w:rFonts w:hint="eastAsia" w:ascii="宋体" w:hAnsi="宋体" w:eastAsia="宋体" w:cs="宋体"/>
          <w:b/>
          <w:color w:val="auto"/>
          <w:sz w:val="28"/>
          <w:szCs w:val="28"/>
          <w:highlight w:val="none"/>
        </w:rPr>
      </w:pPr>
    </w:p>
    <w:p w14:paraId="7CC9894B">
      <w:pPr>
        <w:pStyle w:val="96"/>
        <w:rPr>
          <w:rFonts w:hint="eastAsia" w:ascii="宋体" w:hAnsi="宋体" w:eastAsia="宋体" w:cs="宋体"/>
          <w:b/>
          <w:color w:val="auto"/>
          <w:sz w:val="28"/>
          <w:szCs w:val="28"/>
          <w:highlight w:val="none"/>
        </w:rPr>
      </w:pPr>
    </w:p>
    <w:p w14:paraId="338CC56E">
      <w:pPr>
        <w:pStyle w:val="96"/>
        <w:rPr>
          <w:rFonts w:hint="eastAsia" w:ascii="宋体" w:hAnsi="宋体" w:eastAsia="宋体" w:cs="宋体"/>
          <w:b/>
          <w:color w:val="auto"/>
          <w:sz w:val="28"/>
          <w:szCs w:val="28"/>
          <w:highlight w:val="none"/>
        </w:rPr>
      </w:pPr>
    </w:p>
    <w:p w14:paraId="16146872">
      <w:pPr>
        <w:spacing w:before="156" w:beforeLines="50" w:after="156" w:afterLines="50" w:line="480" w:lineRule="auto"/>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附表十</w:t>
      </w: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w:t>
      </w:r>
    </w:p>
    <w:p w14:paraId="74BABAAE">
      <w:pPr>
        <w:spacing w:before="156" w:beforeLines="50" w:after="156" w:afterLines="50" w:line="48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项目负责人简历表</w:t>
      </w:r>
    </w:p>
    <w:tbl>
      <w:tblPr>
        <w:tblStyle w:val="47"/>
        <w:tblW w:w="0" w:type="auto"/>
        <w:jc w:val="center"/>
        <w:tblLayout w:type="fixed"/>
        <w:tblCellMar>
          <w:top w:w="0" w:type="dxa"/>
          <w:left w:w="108" w:type="dxa"/>
          <w:bottom w:w="0" w:type="dxa"/>
          <w:right w:w="108" w:type="dxa"/>
        </w:tblCellMar>
      </w:tblPr>
      <w:tblGrid>
        <w:gridCol w:w="3196"/>
        <w:gridCol w:w="1118"/>
        <w:gridCol w:w="1284"/>
        <w:gridCol w:w="1256"/>
        <w:gridCol w:w="1256"/>
        <w:gridCol w:w="1858"/>
      </w:tblGrid>
      <w:tr w14:paraId="656EE854">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72B8A200">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3658" w:type="dxa"/>
            <w:gridSpan w:val="3"/>
            <w:tcBorders>
              <w:top w:val="single" w:color="auto" w:sz="4" w:space="0"/>
              <w:left w:val="single" w:color="auto" w:sz="4" w:space="0"/>
              <w:bottom w:val="single" w:color="auto" w:sz="4" w:space="0"/>
              <w:right w:val="single" w:color="auto" w:sz="4" w:space="0"/>
            </w:tcBorders>
            <w:vAlign w:val="center"/>
          </w:tcPr>
          <w:p w14:paraId="18FF3353">
            <w:pPr>
              <w:adjustRightInd w:val="0"/>
              <w:snapToGrid w:val="0"/>
              <w:spacing w:line="276" w:lineRule="auto"/>
              <w:jc w:val="center"/>
              <w:rPr>
                <w:rFonts w:hint="eastAsia" w:ascii="宋体" w:hAnsi="宋体" w:eastAsia="宋体" w:cs="宋体"/>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0A4CB1C">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tc>
        <w:tc>
          <w:tcPr>
            <w:tcW w:w="1858" w:type="dxa"/>
            <w:tcBorders>
              <w:top w:val="single" w:color="auto" w:sz="4" w:space="0"/>
              <w:left w:val="single" w:color="auto" w:sz="4" w:space="0"/>
              <w:bottom w:val="single" w:color="auto" w:sz="4" w:space="0"/>
              <w:right w:val="single" w:color="auto" w:sz="4" w:space="0"/>
            </w:tcBorders>
            <w:vAlign w:val="center"/>
          </w:tcPr>
          <w:p w14:paraId="43B92979">
            <w:pPr>
              <w:adjustRightInd w:val="0"/>
              <w:snapToGrid w:val="0"/>
              <w:spacing w:line="276" w:lineRule="auto"/>
              <w:jc w:val="center"/>
              <w:rPr>
                <w:rFonts w:hint="eastAsia" w:ascii="宋体" w:hAnsi="宋体" w:eastAsia="宋体" w:cs="宋体"/>
                <w:color w:val="auto"/>
                <w:sz w:val="24"/>
                <w:highlight w:val="none"/>
              </w:rPr>
            </w:pPr>
          </w:p>
        </w:tc>
      </w:tr>
      <w:tr w14:paraId="4FEF1142">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64A6DB1E">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118" w:type="dxa"/>
            <w:tcBorders>
              <w:top w:val="single" w:color="auto" w:sz="4" w:space="0"/>
              <w:left w:val="single" w:color="auto" w:sz="4" w:space="0"/>
              <w:bottom w:val="single" w:color="auto" w:sz="4" w:space="0"/>
              <w:right w:val="single" w:color="auto" w:sz="4" w:space="0"/>
            </w:tcBorders>
            <w:vAlign w:val="center"/>
          </w:tcPr>
          <w:p w14:paraId="5F1B065B">
            <w:pPr>
              <w:adjustRightInd w:val="0"/>
              <w:snapToGrid w:val="0"/>
              <w:spacing w:line="276" w:lineRule="auto"/>
              <w:jc w:val="center"/>
              <w:rPr>
                <w:rFonts w:hint="eastAsia" w:ascii="宋体" w:hAnsi="宋体" w:eastAsia="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187D692">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    别</w:t>
            </w:r>
          </w:p>
        </w:tc>
        <w:tc>
          <w:tcPr>
            <w:tcW w:w="1256" w:type="dxa"/>
            <w:tcBorders>
              <w:top w:val="single" w:color="auto" w:sz="4" w:space="0"/>
              <w:left w:val="single" w:color="auto" w:sz="4" w:space="0"/>
              <w:bottom w:val="single" w:color="auto" w:sz="4" w:space="0"/>
              <w:right w:val="single" w:color="auto" w:sz="4" w:space="0"/>
            </w:tcBorders>
            <w:vAlign w:val="center"/>
          </w:tcPr>
          <w:p w14:paraId="78715EB0">
            <w:pPr>
              <w:adjustRightInd w:val="0"/>
              <w:snapToGrid w:val="0"/>
              <w:spacing w:line="276" w:lineRule="auto"/>
              <w:jc w:val="center"/>
              <w:rPr>
                <w:rFonts w:hint="eastAsia" w:ascii="宋体" w:hAnsi="宋体" w:eastAsia="宋体" w:cs="宋体"/>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7A7C94">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出生年月</w:t>
            </w:r>
          </w:p>
        </w:tc>
        <w:tc>
          <w:tcPr>
            <w:tcW w:w="1858" w:type="dxa"/>
            <w:tcBorders>
              <w:top w:val="single" w:color="auto" w:sz="4" w:space="0"/>
              <w:left w:val="single" w:color="auto" w:sz="4" w:space="0"/>
              <w:bottom w:val="single" w:color="auto" w:sz="4" w:space="0"/>
              <w:right w:val="single" w:color="auto" w:sz="4" w:space="0"/>
            </w:tcBorders>
            <w:vAlign w:val="center"/>
          </w:tcPr>
          <w:p w14:paraId="305F31FC">
            <w:pPr>
              <w:adjustRightInd w:val="0"/>
              <w:snapToGrid w:val="0"/>
              <w:spacing w:line="276" w:lineRule="auto"/>
              <w:jc w:val="center"/>
              <w:rPr>
                <w:rFonts w:hint="eastAsia" w:ascii="宋体" w:hAnsi="宋体" w:eastAsia="宋体" w:cs="宋体"/>
                <w:color w:val="auto"/>
                <w:sz w:val="24"/>
                <w:highlight w:val="none"/>
              </w:rPr>
            </w:pPr>
          </w:p>
        </w:tc>
      </w:tr>
      <w:tr w14:paraId="42B0E481">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41BA5EBD">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文化程度</w:t>
            </w:r>
          </w:p>
        </w:tc>
        <w:tc>
          <w:tcPr>
            <w:tcW w:w="1118" w:type="dxa"/>
            <w:tcBorders>
              <w:top w:val="single" w:color="auto" w:sz="4" w:space="0"/>
              <w:left w:val="single" w:color="auto" w:sz="4" w:space="0"/>
              <w:bottom w:val="single" w:color="auto" w:sz="4" w:space="0"/>
              <w:right w:val="single" w:color="auto" w:sz="4" w:space="0"/>
            </w:tcBorders>
            <w:vAlign w:val="center"/>
          </w:tcPr>
          <w:p w14:paraId="42D3BF3B">
            <w:pPr>
              <w:adjustRightInd w:val="0"/>
              <w:snapToGrid w:val="0"/>
              <w:spacing w:line="276" w:lineRule="auto"/>
              <w:jc w:val="center"/>
              <w:rPr>
                <w:rFonts w:hint="eastAsia" w:ascii="宋体" w:hAnsi="宋体" w:eastAsia="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61BBCA2">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毕业院校</w:t>
            </w:r>
          </w:p>
        </w:tc>
        <w:tc>
          <w:tcPr>
            <w:tcW w:w="4370" w:type="dxa"/>
            <w:gridSpan w:val="3"/>
            <w:tcBorders>
              <w:top w:val="single" w:color="auto" w:sz="4" w:space="0"/>
              <w:left w:val="single" w:color="auto" w:sz="4" w:space="0"/>
              <w:bottom w:val="single" w:color="auto" w:sz="4" w:space="0"/>
              <w:right w:val="single" w:color="auto" w:sz="4" w:space="0"/>
            </w:tcBorders>
            <w:vAlign w:val="center"/>
          </w:tcPr>
          <w:p w14:paraId="289868FF">
            <w:pPr>
              <w:adjustRightInd w:val="0"/>
              <w:snapToGrid w:val="0"/>
              <w:spacing w:line="276" w:lineRule="auto"/>
              <w:jc w:val="center"/>
              <w:rPr>
                <w:rFonts w:hint="eastAsia" w:ascii="宋体" w:hAnsi="宋体" w:eastAsia="宋体" w:cs="宋体"/>
                <w:color w:val="auto"/>
                <w:sz w:val="24"/>
                <w:highlight w:val="none"/>
              </w:rPr>
            </w:pPr>
          </w:p>
        </w:tc>
      </w:tr>
      <w:tr w14:paraId="342357B9">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163B9038">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从事相关工作年限</w:t>
            </w:r>
          </w:p>
        </w:tc>
        <w:tc>
          <w:tcPr>
            <w:tcW w:w="1118" w:type="dxa"/>
            <w:tcBorders>
              <w:top w:val="single" w:color="auto" w:sz="4" w:space="0"/>
              <w:left w:val="single" w:color="auto" w:sz="4" w:space="0"/>
              <w:bottom w:val="single" w:color="auto" w:sz="4" w:space="0"/>
              <w:right w:val="single" w:color="auto" w:sz="4" w:space="0"/>
            </w:tcBorders>
            <w:vAlign w:val="center"/>
          </w:tcPr>
          <w:p w14:paraId="24599BE3">
            <w:pPr>
              <w:adjustRightInd w:val="0"/>
              <w:snapToGrid w:val="0"/>
              <w:spacing w:line="276" w:lineRule="auto"/>
              <w:jc w:val="center"/>
              <w:rPr>
                <w:rFonts w:hint="eastAsia" w:ascii="宋体" w:hAnsi="宋体" w:eastAsia="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51A0A0D1">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4370" w:type="dxa"/>
            <w:gridSpan w:val="3"/>
            <w:tcBorders>
              <w:top w:val="single" w:color="auto" w:sz="4" w:space="0"/>
              <w:left w:val="single" w:color="auto" w:sz="4" w:space="0"/>
              <w:bottom w:val="single" w:color="auto" w:sz="4" w:space="0"/>
              <w:right w:val="single" w:color="auto" w:sz="4" w:space="0"/>
            </w:tcBorders>
            <w:vAlign w:val="center"/>
          </w:tcPr>
          <w:p w14:paraId="7C404D08">
            <w:pPr>
              <w:adjustRightInd w:val="0"/>
              <w:snapToGrid w:val="0"/>
              <w:spacing w:line="276" w:lineRule="auto"/>
              <w:jc w:val="center"/>
              <w:rPr>
                <w:rFonts w:hint="eastAsia" w:ascii="宋体" w:hAnsi="宋体" w:eastAsia="宋体" w:cs="宋体"/>
                <w:color w:val="auto"/>
                <w:sz w:val="24"/>
                <w:highlight w:val="none"/>
              </w:rPr>
            </w:pPr>
          </w:p>
        </w:tc>
      </w:tr>
      <w:tr w14:paraId="7A5755F1">
        <w:tblPrEx>
          <w:tblCellMar>
            <w:top w:w="0" w:type="dxa"/>
            <w:left w:w="108" w:type="dxa"/>
            <w:bottom w:w="0" w:type="dxa"/>
            <w:right w:w="108" w:type="dxa"/>
          </w:tblCellMar>
        </w:tblPrEx>
        <w:trPr>
          <w:trHeight w:val="564"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0E704A07">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现任职务</w:t>
            </w:r>
          </w:p>
        </w:tc>
        <w:tc>
          <w:tcPr>
            <w:tcW w:w="1118" w:type="dxa"/>
            <w:tcBorders>
              <w:top w:val="single" w:color="auto" w:sz="4" w:space="0"/>
              <w:left w:val="single" w:color="auto" w:sz="4" w:space="0"/>
              <w:bottom w:val="single" w:color="auto" w:sz="4" w:space="0"/>
              <w:right w:val="single" w:color="auto" w:sz="4" w:space="0"/>
            </w:tcBorders>
            <w:vAlign w:val="center"/>
          </w:tcPr>
          <w:p w14:paraId="0000039D">
            <w:pPr>
              <w:adjustRightInd w:val="0"/>
              <w:snapToGrid w:val="0"/>
              <w:spacing w:line="276" w:lineRule="auto"/>
              <w:jc w:val="center"/>
              <w:rPr>
                <w:rFonts w:hint="eastAsia" w:ascii="宋体" w:hAnsi="宋体" w:eastAsia="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B44DC27">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256" w:type="dxa"/>
            <w:tcBorders>
              <w:top w:val="single" w:color="auto" w:sz="4" w:space="0"/>
              <w:left w:val="single" w:color="auto" w:sz="4" w:space="0"/>
              <w:bottom w:val="single" w:color="auto" w:sz="4" w:space="0"/>
              <w:right w:val="single" w:color="auto" w:sz="4" w:space="0"/>
            </w:tcBorders>
            <w:vAlign w:val="center"/>
          </w:tcPr>
          <w:p w14:paraId="6E2AE219">
            <w:pPr>
              <w:adjustRightInd w:val="0"/>
              <w:snapToGrid w:val="0"/>
              <w:spacing w:line="276" w:lineRule="auto"/>
              <w:jc w:val="center"/>
              <w:rPr>
                <w:rFonts w:hint="eastAsia" w:ascii="宋体" w:hAnsi="宋体" w:eastAsia="宋体" w:cs="宋体"/>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C6B0107">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聘任时间</w:t>
            </w:r>
          </w:p>
        </w:tc>
        <w:tc>
          <w:tcPr>
            <w:tcW w:w="1858" w:type="dxa"/>
            <w:tcBorders>
              <w:top w:val="single" w:color="auto" w:sz="4" w:space="0"/>
              <w:left w:val="single" w:color="auto" w:sz="4" w:space="0"/>
              <w:bottom w:val="single" w:color="auto" w:sz="4" w:space="0"/>
              <w:right w:val="single" w:color="auto" w:sz="4" w:space="0"/>
            </w:tcBorders>
            <w:vAlign w:val="center"/>
          </w:tcPr>
          <w:p w14:paraId="2E02E22A">
            <w:pPr>
              <w:adjustRightInd w:val="0"/>
              <w:snapToGrid w:val="0"/>
              <w:spacing w:line="276" w:lineRule="auto"/>
              <w:jc w:val="center"/>
              <w:rPr>
                <w:rFonts w:hint="eastAsia" w:ascii="宋体" w:hAnsi="宋体" w:eastAsia="宋体" w:cs="宋体"/>
                <w:color w:val="auto"/>
                <w:sz w:val="24"/>
                <w:highlight w:val="none"/>
              </w:rPr>
            </w:pPr>
          </w:p>
        </w:tc>
      </w:tr>
      <w:tr w14:paraId="2BA70995">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3C19AA01">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1199B781">
            <w:pPr>
              <w:adjustRightInd w:val="0"/>
              <w:snapToGrid w:val="0"/>
              <w:spacing w:line="276" w:lineRule="auto"/>
              <w:jc w:val="center"/>
              <w:rPr>
                <w:rFonts w:hint="eastAsia" w:ascii="宋体" w:hAnsi="宋体" w:eastAsia="宋体" w:cs="宋体"/>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3EC0C00">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发证单位</w:t>
            </w:r>
          </w:p>
        </w:tc>
        <w:tc>
          <w:tcPr>
            <w:tcW w:w="3114" w:type="dxa"/>
            <w:gridSpan w:val="2"/>
            <w:tcBorders>
              <w:top w:val="single" w:color="auto" w:sz="4" w:space="0"/>
              <w:left w:val="single" w:color="auto" w:sz="4" w:space="0"/>
              <w:bottom w:val="single" w:color="auto" w:sz="4" w:space="0"/>
              <w:right w:val="single" w:color="auto" w:sz="4" w:space="0"/>
            </w:tcBorders>
            <w:vAlign w:val="center"/>
          </w:tcPr>
          <w:p w14:paraId="6BACCAE0">
            <w:pPr>
              <w:adjustRightInd w:val="0"/>
              <w:snapToGrid w:val="0"/>
              <w:spacing w:line="276" w:lineRule="auto"/>
              <w:jc w:val="center"/>
              <w:rPr>
                <w:rFonts w:hint="eastAsia" w:ascii="宋体" w:hAnsi="宋体" w:eastAsia="宋体" w:cs="宋体"/>
                <w:color w:val="auto"/>
                <w:sz w:val="24"/>
                <w:highlight w:val="none"/>
              </w:rPr>
            </w:pPr>
          </w:p>
        </w:tc>
      </w:tr>
      <w:tr w14:paraId="60406819">
        <w:tblPrEx>
          <w:tblCellMar>
            <w:top w:w="0" w:type="dxa"/>
            <w:left w:w="108" w:type="dxa"/>
            <w:bottom w:w="0" w:type="dxa"/>
            <w:right w:w="108" w:type="dxa"/>
          </w:tblCellMar>
        </w:tblPrEx>
        <w:trPr>
          <w:trHeight w:val="1061" w:hRule="atLeast"/>
          <w:jc w:val="center"/>
        </w:trPr>
        <w:tc>
          <w:tcPr>
            <w:tcW w:w="3196" w:type="dxa"/>
            <w:tcBorders>
              <w:top w:val="single" w:color="auto" w:sz="4" w:space="0"/>
              <w:left w:val="single" w:color="auto" w:sz="4" w:space="0"/>
              <w:bottom w:val="single" w:color="auto" w:sz="4" w:space="0"/>
              <w:right w:val="single" w:color="auto" w:sz="4" w:space="0"/>
            </w:tcBorders>
            <w:vAlign w:val="center"/>
          </w:tcPr>
          <w:p w14:paraId="0EAA6EB1">
            <w:pPr>
              <w:adjustRightInd w:val="0"/>
              <w:snapToGrid w:val="0"/>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c>
          <w:tcPr>
            <w:tcW w:w="6772" w:type="dxa"/>
            <w:gridSpan w:val="5"/>
            <w:tcBorders>
              <w:top w:val="single" w:color="auto" w:sz="4" w:space="0"/>
              <w:left w:val="single" w:color="auto" w:sz="4" w:space="0"/>
              <w:bottom w:val="single" w:color="auto" w:sz="4" w:space="0"/>
              <w:right w:val="single" w:color="auto" w:sz="4" w:space="0"/>
            </w:tcBorders>
            <w:vAlign w:val="center"/>
          </w:tcPr>
          <w:p w14:paraId="1A1CE04D">
            <w:pPr>
              <w:adjustRightInd w:val="0"/>
              <w:snapToGrid w:val="0"/>
              <w:spacing w:line="276" w:lineRule="auto"/>
              <w:rPr>
                <w:rFonts w:hint="eastAsia" w:ascii="宋体" w:hAnsi="宋体" w:eastAsia="宋体" w:cs="宋体"/>
                <w:color w:val="auto"/>
                <w:sz w:val="24"/>
                <w:highlight w:val="none"/>
              </w:rPr>
            </w:pPr>
          </w:p>
        </w:tc>
      </w:tr>
    </w:tbl>
    <w:p w14:paraId="1C0E7B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注：1、项目负责人必须填报本表；</w:t>
      </w:r>
    </w:p>
    <w:p w14:paraId="77E083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2、须附上身份证、学历证书、职称证书复印件（加盖公章）</w:t>
      </w:r>
    </w:p>
    <w:p w14:paraId="5426EFF1">
      <w:pPr>
        <w:spacing w:line="360" w:lineRule="auto"/>
        <w:ind w:firstLine="5760" w:firstLineChars="2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（公章）</w:t>
      </w:r>
    </w:p>
    <w:p w14:paraId="2B9956CF">
      <w:pPr>
        <w:spacing w:line="360" w:lineRule="auto"/>
        <w:ind w:firstLine="5760" w:firstLineChars="2400"/>
        <w:rPr>
          <w:rFonts w:hint="eastAsia" w:ascii="宋体" w:hAnsi="宋体" w:eastAsia="宋体" w:cs="宋体"/>
          <w:color w:val="auto"/>
          <w:sz w:val="24"/>
          <w:highlight w:val="none"/>
        </w:rPr>
      </w:pPr>
    </w:p>
    <w:p w14:paraId="68799221">
      <w:pPr>
        <w:spacing w:line="360" w:lineRule="auto"/>
        <w:ind w:firstLine="5760" w:firstLineChars="24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EA640FA">
      <w:pPr>
        <w:spacing w:before="156" w:beforeLines="50" w:after="156" w:afterLines="50" w:line="48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投入本项目人员表</w:t>
      </w:r>
    </w:p>
    <w:tbl>
      <w:tblPr>
        <w:tblStyle w:val="47"/>
        <w:tblW w:w="0" w:type="auto"/>
        <w:jc w:val="center"/>
        <w:tblLayout w:type="fixed"/>
        <w:tblCellMar>
          <w:top w:w="0" w:type="dxa"/>
          <w:left w:w="108" w:type="dxa"/>
          <w:bottom w:w="0" w:type="dxa"/>
          <w:right w:w="108" w:type="dxa"/>
        </w:tblCellMar>
      </w:tblPr>
      <w:tblGrid>
        <w:gridCol w:w="2635"/>
        <w:gridCol w:w="1225"/>
        <w:gridCol w:w="1225"/>
        <w:gridCol w:w="1225"/>
        <w:gridCol w:w="1227"/>
        <w:gridCol w:w="2429"/>
      </w:tblGrid>
      <w:tr w14:paraId="2DCF196A">
        <w:tblPrEx>
          <w:tblCellMar>
            <w:top w:w="0" w:type="dxa"/>
            <w:left w:w="108" w:type="dxa"/>
            <w:bottom w:w="0" w:type="dxa"/>
            <w:right w:w="108" w:type="dxa"/>
          </w:tblCellMar>
        </w:tblPrEx>
        <w:trPr>
          <w:trHeight w:val="624" w:hRule="atLeast"/>
          <w:jc w:val="center"/>
        </w:trPr>
        <w:tc>
          <w:tcPr>
            <w:tcW w:w="2635" w:type="dxa"/>
            <w:tcBorders>
              <w:top w:val="single" w:color="auto" w:sz="4" w:space="0"/>
              <w:left w:val="single" w:color="auto" w:sz="4" w:space="0"/>
              <w:bottom w:val="single" w:color="auto" w:sz="4" w:space="0"/>
              <w:right w:val="single" w:color="auto" w:sz="4" w:space="0"/>
              <w:tl2br w:val="single" w:color="auto" w:sz="4" w:space="0"/>
            </w:tcBorders>
            <w:vAlign w:val="center"/>
          </w:tcPr>
          <w:p w14:paraId="5D9EEDD5">
            <w:pPr>
              <w:adjustRightInd w:val="0"/>
              <w:snapToGrid w:val="0"/>
              <w:spacing w:line="276" w:lineRule="auto"/>
              <w:ind w:firstLine="600" w:firstLineChars="250"/>
              <w:jc w:val="center"/>
              <w:rPr>
                <w:rFonts w:hint="eastAsia" w:ascii="宋体" w:hAnsi="宋体" w:eastAsia="宋体" w:cs="宋体"/>
                <w:sz w:val="24"/>
                <w:highlight w:val="none"/>
              </w:rPr>
            </w:pPr>
            <w:r>
              <w:rPr>
                <w:rFonts w:hint="eastAsia" w:ascii="宋体" w:hAnsi="宋体" w:eastAsia="宋体" w:cs="宋体"/>
                <w:sz w:val="24"/>
                <w:highlight w:val="none"/>
              </w:rPr>
              <w:t xml:space="preserve">     资历</w:t>
            </w:r>
          </w:p>
          <w:p w14:paraId="7DB9BC01">
            <w:pPr>
              <w:adjustRightInd w:val="0"/>
              <w:snapToGrid w:val="0"/>
              <w:spacing w:line="276" w:lineRule="auto"/>
              <w:rPr>
                <w:rFonts w:hint="eastAsia" w:ascii="宋体" w:hAnsi="宋体" w:eastAsia="宋体" w:cs="宋体"/>
                <w:sz w:val="24"/>
                <w:highlight w:val="none"/>
              </w:rPr>
            </w:pPr>
            <w:r>
              <w:rPr>
                <w:rFonts w:hint="eastAsia" w:ascii="宋体" w:hAnsi="宋体" w:eastAsia="宋体" w:cs="宋体"/>
                <w:sz w:val="24"/>
                <w:highlight w:val="none"/>
              </w:rPr>
              <w:t>拟任职务</w:t>
            </w:r>
          </w:p>
        </w:tc>
        <w:tc>
          <w:tcPr>
            <w:tcW w:w="1225" w:type="dxa"/>
            <w:tcBorders>
              <w:top w:val="single" w:color="auto" w:sz="4" w:space="0"/>
              <w:left w:val="single" w:color="auto" w:sz="4" w:space="0"/>
              <w:bottom w:val="single" w:color="auto" w:sz="4" w:space="0"/>
              <w:right w:val="single" w:color="auto" w:sz="4" w:space="0"/>
            </w:tcBorders>
            <w:vAlign w:val="center"/>
          </w:tcPr>
          <w:p w14:paraId="2A63950B">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225" w:type="dxa"/>
            <w:tcBorders>
              <w:top w:val="single" w:color="auto" w:sz="4" w:space="0"/>
              <w:left w:val="single" w:color="auto" w:sz="4" w:space="0"/>
              <w:bottom w:val="single" w:color="auto" w:sz="4" w:space="0"/>
              <w:right w:val="single" w:color="auto" w:sz="4" w:space="0"/>
            </w:tcBorders>
            <w:vAlign w:val="center"/>
          </w:tcPr>
          <w:p w14:paraId="407AC7CD">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225" w:type="dxa"/>
            <w:tcBorders>
              <w:top w:val="single" w:color="auto" w:sz="4" w:space="0"/>
              <w:left w:val="single" w:color="auto" w:sz="4" w:space="0"/>
              <w:bottom w:val="single" w:color="auto" w:sz="4" w:space="0"/>
              <w:right w:val="single" w:color="auto" w:sz="4" w:space="0"/>
            </w:tcBorders>
            <w:vAlign w:val="center"/>
          </w:tcPr>
          <w:p w14:paraId="753B940A">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tc>
        <w:tc>
          <w:tcPr>
            <w:tcW w:w="1227" w:type="dxa"/>
            <w:tcBorders>
              <w:top w:val="single" w:color="auto" w:sz="4" w:space="0"/>
              <w:left w:val="single" w:color="auto" w:sz="4" w:space="0"/>
              <w:bottom w:val="single" w:color="auto" w:sz="4" w:space="0"/>
              <w:right w:val="single" w:color="auto" w:sz="4" w:space="0"/>
            </w:tcBorders>
            <w:vAlign w:val="center"/>
          </w:tcPr>
          <w:p w14:paraId="12571205">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工作年限</w:t>
            </w:r>
          </w:p>
        </w:tc>
        <w:tc>
          <w:tcPr>
            <w:tcW w:w="2429" w:type="dxa"/>
            <w:tcBorders>
              <w:top w:val="single" w:color="auto" w:sz="4" w:space="0"/>
              <w:left w:val="single" w:color="auto" w:sz="4" w:space="0"/>
              <w:bottom w:val="single" w:color="auto" w:sz="4" w:space="0"/>
              <w:right w:val="single" w:color="auto" w:sz="4" w:space="0"/>
            </w:tcBorders>
            <w:vAlign w:val="center"/>
          </w:tcPr>
          <w:p w14:paraId="091315E5">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067DB63D">
        <w:tblPrEx>
          <w:tblCellMar>
            <w:top w:w="0" w:type="dxa"/>
            <w:left w:w="108" w:type="dxa"/>
            <w:bottom w:w="0" w:type="dxa"/>
            <w:right w:w="108" w:type="dxa"/>
          </w:tblCellMar>
        </w:tblPrEx>
        <w:trPr>
          <w:trHeight w:val="370"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14:paraId="7720BE22">
            <w:pPr>
              <w:adjustRightInd w:val="0"/>
              <w:snapToGrid w:val="0"/>
              <w:spacing w:line="276" w:lineRule="auto"/>
              <w:jc w:val="center"/>
              <w:rPr>
                <w:rFonts w:hint="eastAsia" w:ascii="宋体" w:hAnsi="宋体" w:eastAsia="宋体" w:cs="宋体"/>
                <w:sz w:val="24"/>
                <w:highlight w:val="none"/>
              </w:rPr>
            </w:pPr>
            <w:r>
              <w:rPr>
                <w:rFonts w:hint="eastAsia" w:ascii="宋体" w:hAnsi="宋体" w:cs="宋体"/>
                <w:sz w:val="24"/>
                <w:highlight w:val="none"/>
                <w:lang w:val="en-US" w:eastAsia="zh-CN"/>
              </w:rPr>
              <w:t>项目</w:t>
            </w:r>
            <w:r>
              <w:rPr>
                <w:rFonts w:hint="eastAsia" w:ascii="宋体" w:hAnsi="宋体" w:eastAsia="宋体" w:cs="宋体"/>
                <w:sz w:val="24"/>
                <w:highlight w:val="none"/>
              </w:rPr>
              <w:t>负责人</w:t>
            </w:r>
          </w:p>
        </w:tc>
        <w:tc>
          <w:tcPr>
            <w:tcW w:w="1225" w:type="dxa"/>
            <w:tcBorders>
              <w:top w:val="single" w:color="auto" w:sz="4" w:space="0"/>
              <w:left w:val="single" w:color="auto" w:sz="4" w:space="0"/>
              <w:bottom w:val="single" w:color="auto" w:sz="4" w:space="0"/>
              <w:right w:val="single" w:color="auto" w:sz="4" w:space="0"/>
            </w:tcBorders>
            <w:vAlign w:val="center"/>
          </w:tcPr>
          <w:p w14:paraId="5494F742">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BD4DC54">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04FC9B7">
            <w:pPr>
              <w:adjustRightInd w:val="0"/>
              <w:snapToGrid w:val="0"/>
              <w:spacing w:line="276" w:lineRule="auto"/>
              <w:jc w:val="center"/>
              <w:rPr>
                <w:rFonts w:hint="eastAsia" w:ascii="宋体" w:hAnsi="宋体" w:eastAsia="宋体" w:cs="宋体"/>
                <w:sz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DD9DDB">
            <w:pPr>
              <w:adjustRightInd w:val="0"/>
              <w:snapToGrid w:val="0"/>
              <w:spacing w:line="276" w:lineRule="auto"/>
              <w:jc w:val="center"/>
              <w:rPr>
                <w:rFonts w:hint="eastAsia" w:ascii="宋体" w:hAnsi="宋体" w:eastAsia="宋体" w:cs="宋体"/>
                <w:sz w:val="24"/>
                <w:highlight w:val="none"/>
              </w:rPr>
            </w:pPr>
          </w:p>
        </w:tc>
        <w:tc>
          <w:tcPr>
            <w:tcW w:w="2429" w:type="dxa"/>
            <w:tcBorders>
              <w:top w:val="single" w:color="auto" w:sz="4" w:space="0"/>
              <w:left w:val="single" w:color="auto" w:sz="4" w:space="0"/>
              <w:bottom w:val="single" w:color="auto" w:sz="4" w:space="0"/>
              <w:right w:val="single" w:color="auto" w:sz="4" w:space="0"/>
            </w:tcBorders>
            <w:vAlign w:val="center"/>
          </w:tcPr>
          <w:p w14:paraId="48C151DD">
            <w:pPr>
              <w:adjustRightInd w:val="0"/>
              <w:snapToGrid w:val="0"/>
              <w:spacing w:line="276" w:lineRule="auto"/>
              <w:jc w:val="center"/>
              <w:rPr>
                <w:rFonts w:hint="eastAsia" w:ascii="宋体" w:hAnsi="宋体" w:eastAsia="宋体" w:cs="宋体"/>
                <w:sz w:val="24"/>
                <w:highlight w:val="none"/>
              </w:rPr>
            </w:pPr>
          </w:p>
        </w:tc>
      </w:tr>
      <w:tr w14:paraId="46B4180B">
        <w:tblPrEx>
          <w:tblCellMar>
            <w:top w:w="0" w:type="dxa"/>
            <w:left w:w="108" w:type="dxa"/>
            <w:bottom w:w="0" w:type="dxa"/>
            <w:right w:w="108" w:type="dxa"/>
          </w:tblCellMar>
        </w:tblPrEx>
        <w:trPr>
          <w:trHeight w:val="345"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14:paraId="6AB9C0A6">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08E5F201">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A75218C">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CF11C78">
            <w:pPr>
              <w:adjustRightInd w:val="0"/>
              <w:snapToGrid w:val="0"/>
              <w:spacing w:line="276" w:lineRule="auto"/>
              <w:jc w:val="center"/>
              <w:rPr>
                <w:rFonts w:hint="eastAsia" w:ascii="宋体" w:hAnsi="宋体" w:eastAsia="宋体" w:cs="宋体"/>
                <w:sz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716332A">
            <w:pPr>
              <w:adjustRightInd w:val="0"/>
              <w:snapToGrid w:val="0"/>
              <w:spacing w:line="276" w:lineRule="auto"/>
              <w:jc w:val="center"/>
              <w:rPr>
                <w:rFonts w:hint="eastAsia" w:ascii="宋体" w:hAnsi="宋体" w:eastAsia="宋体" w:cs="宋体"/>
                <w:sz w:val="24"/>
                <w:highlight w:val="none"/>
              </w:rPr>
            </w:pPr>
          </w:p>
        </w:tc>
        <w:tc>
          <w:tcPr>
            <w:tcW w:w="2429" w:type="dxa"/>
            <w:tcBorders>
              <w:top w:val="single" w:color="auto" w:sz="4" w:space="0"/>
              <w:left w:val="single" w:color="auto" w:sz="4" w:space="0"/>
              <w:bottom w:val="single" w:color="auto" w:sz="4" w:space="0"/>
              <w:right w:val="single" w:color="auto" w:sz="4" w:space="0"/>
            </w:tcBorders>
            <w:vAlign w:val="center"/>
          </w:tcPr>
          <w:p w14:paraId="1857AE62">
            <w:pPr>
              <w:adjustRightInd w:val="0"/>
              <w:snapToGrid w:val="0"/>
              <w:spacing w:line="276" w:lineRule="auto"/>
              <w:jc w:val="center"/>
              <w:rPr>
                <w:rFonts w:hint="eastAsia" w:ascii="宋体" w:hAnsi="宋体" w:eastAsia="宋体" w:cs="宋体"/>
                <w:sz w:val="24"/>
                <w:highlight w:val="none"/>
              </w:rPr>
            </w:pPr>
          </w:p>
        </w:tc>
      </w:tr>
      <w:tr w14:paraId="13196438">
        <w:tblPrEx>
          <w:tblCellMar>
            <w:top w:w="0" w:type="dxa"/>
            <w:left w:w="108" w:type="dxa"/>
            <w:bottom w:w="0" w:type="dxa"/>
            <w:right w:w="108" w:type="dxa"/>
          </w:tblCellMar>
        </w:tblPrEx>
        <w:trPr>
          <w:trHeight w:val="370"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14:paraId="7CC4FD96">
            <w:pPr>
              <w:adjustRightInd w:val="0"/>
              <w:snapToGrid w:val="0"/>
              <w:spacing w:line="276" w:lineRule="auto"/>
              <w:jc w:val="center"/>
              <w:rPr>
                <w:rFonts w:hint="eastAsia" w:ascii="宋体" w:hAnsi="宋体" w:eastAsia="宋体" w:cs="宋体"/>
                <w:sz w:val="24"/>
                <w:highlight w:val="none"/>
              </w:rPr>
            </w:pPr>
            <w:r>
              <w:rPr>
                <w:rFonts w:hint="eastAsia" w:ascii="宋体" w:hAnsi="宋体" w:cs="宋体"/>
                <w:sz w:val="24"/>
                <w:highlight w:val="none"/>
                <w:lang w:val="en-US" w:eastAsia="zh-CN"/>
              </w:rPr>
              <w:t>技术</w:t>
            </w:r>
            <w:r>
              <w:rPr>
                <w:rFonts w:hint="eastAsia" w:ascii="宋体" w:hAnsi="宋体" w:eastAsia="宋体" w:cs="宋体"/>
                <w:sz w:val="24"/>
                <w:highlight w:val="none"/>
              </w:rPr>
              <w:t>负责人</w:t>
            </w:r>
          </w:p>
        </w:tc>
        <w:tc>
          <w:tcPr>
            <w:tcW w:w="1225" w:type="dxa"/>
            <w:tcBorders>
              <w:top w:val="single" w:color="auto" w:sz="4" w:space="0"/>
              <w:left w:val="single" w:color="auto" w:sz="4" w:space="0"/>
              <w:bottom w:val="single" w:color="auto" w:sz="4" w:space="0"/>
              <w:right w:val="single" w:color="auto" w:sz="4" w:space="0"/>
            </w:tcBorders>
            <w:vAlign w:val="center"/>
          </w:tcPr>
          <w:p w14:paraId="190FF77F">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7BFA071">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A7B62D4">
            <w:pPr>
              <w:adjustRightInd w:val="0"/>
              <w:snapToGrid w:val="0"/>
              <w:spacing w:line="276" w:lineRule="auto"/>
              <w:jc w:val="center"/>
              <w:rPr>
                <w:rFonts w:hint="eastAsia" w:ascii="宋体" w:hAnsi="宋体" w:eastAsia="宋体" w:cs="宋体"/>
                <w:sz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7C8D6BC">
            <w:pPr>
              <w:adjustRightInd w:val="0"/>
              <w:snapToGrid w:val="0"/>
              <w:spacing w:line="276" w:lineRule="auto"/>
              <w:jc w:val="center"/>
              <w:rPr>
                <w:rFonts w:hint="eastAsia" w:ascii="宋体" w:hAnsi="宋体" w:eastAsia="宋体" w:cs="宋体"/>
                <w:sz w:val="24"/>
                <w:highlight w:val="none"/>
              </w:rPr>
            </w:pPr>
          </w:p>
        </w:tc>
        <w:tc>
          <w:tcPr>
            <w:tcW w:w="2429" w:type="dxa"/>
            <w:tcBorders>
              <w:top w:val="single" w:color="auto" w:sz="4" w:space="0"/>
              <w:left w:val="single" w:color="auto" w:sz="4" w:space="0"/>
              <w:bottom w:val="single" w:color="auto" w:sz="4" w:space="0"/>
              <w:right w:val="single" w:color="auto" w:sz="4" w:space="0"/>
            </w:tcBorders>
            <w:vAlign w:val="center"/>
          </w:tcPr>
          <w:p w14:paraId="385D8632">
            <w:pPr>
              <w:adjustRightInd w:val="0"/>
              <w:snapToGrid w:val="0"/>
              <w:spacing w:line="276" w:lineRule="auto"/>
              <w:jc w:val="center"/>
              <w:rPr>
                <w:rFonts w:hint="eastAsia" w:ascii="宋体" w:hAnsi="宋体" w:eastAsia="宋体" w:cs="宋体"/>
                <w:sz w:val="24"/>
                <w:highlight w:val="none"/>
              </w:rPr>
            </w:pPr>
          </w:p>
        </w:tc>
      </w:tr>
      <w:tr w14:paraId="72E521C3">
        <w:tblPrEx>
          <w:tblCellMar>
            <w:top w:w="0" w:type="dxa"/>
            <w:left w:w="108" w:type="dxa"/>
            <w:bottom w:w="0" w:type="dxa"/>
            <w:right w:w="108" w:type="dxa"/>
          </w:tblCellMar>
        </w:tblPrEx>
        <w:trPr>
          <w:trHeight w:val="308"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14:paraId="2480B120">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67759579">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16CF8D44">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A264A74">
            <w:pPr>
              <w:adjustRightInd w:val="0"/>
              <w:snapToGrid w:val="0"/>
              <w:spacing w:line="276" w:lineRule="auto"/>
              <w:jc w:val="center"/>
              <w:rPr>
                <w:rFonts w:hint="eastAsia" w:ascii="宋体" w:hAnsi="宋体" w:eastAsia="宋体" w:cs="宋体"/>
                <w:sz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7A443D">
            <w:pPr>
              <w:adjustRightInd w:val="0"/>
              <w:snapToGrid w:val="0"/>
              <w:spacing w:line="276" w:lineRule="auto"/>
              <w:jc w:val="center"/>
              <w:rPr>
                <w:rFonts w:hint="eastAsia" w:ascii="宋体" w:hAnsi="宋体" w:eastAsia="宋体" w:cs="宋体"/>
                <w:sz w:val="24"/>
                <w:highlight w:val="none"/>
              </w:rPr>
            </w:pPr>
          </w:p>
        </w:tc>
        <w:tc>
          <w:tcPr>
            <w:tcW w:w="2429" w:type="dxa"/>
            <w:tcBorders>
              <w:top w:val="single" w:color="auto" w:sz="4" w:space="0"/>
              <w:left w:val="single" w:color="auto" w:sz="4" w:space="0"/>
              <w:bottom w:val="single" w:color="auto" w:sz="4" w:space="0"/>
              <w:right w:val="single" w:color="auto" w:sz="4" w:space="0"/>
            </w:tcBorders>
            <w:vAlign w:val="center"/>
          </w:tcPr>
          <w:p w14:paraId="79650A54">
            <w:pPr>
              <w:adjustRightInd w:val="0"/>
              <w:snapToGrid w:val="0"/>
              <w:spacing w:line="276" w:lineRule="auto"/>
              <w:jc w:val="center"/>
              <w:rPr>
                <w:rFonts w:hint="eastAsia" w:ascii="宋体" w:hAnsi="宋体" w:eastAsia="宋体" w:cs="宋体"/>
                <w:sz w:val="24"/>
                <w:highlight w:val="none"/>
              </w:rPr>
            </w:pPr>
          </w:p>
        </w:tc>
      </w:tr>
      <w:tr w14:paraId="2976EF7E">
        <w:tblPrEx>
          <w:tblCellMar>
            <w:top w:w="0" w:type="dxa"/>
            <w:left w:w="108" w:type="dxa"/>
            <w:bottom w:w="0" w:type="dxa"/>
            <w:right w:w="108" w:type="dxa"/>
          </w:tblCellMar>
        </w:tblPrEx>
        <w:trPr>
          <w:trHeight w:val="343" w:hRule="atLeast"/>
          <w:jc w:val="center"/>
        </w:trPr>
        <w:tc>
          <w:tcPr>
            <w:tcW w:w="2635" w:type="dxa"/>
            <w:tcBorders>
              <w:top w:val="single" w:color="auto" w:sz="4" w:space="0"/>
              <w:left w:val="single" w:color="auto" w:sz="4" w:space="0"/>
              <w:bottom w:val="single" w:color="auto" w:sz="4" w:space="0"/>
              <w:right w:val="single" w:color="auto" w:sz="4" w:space="0"/>
            </w:tcBorders>
            <w:vAlign w:val="center"/>
          </w:tcPr>
          <w:p w14:paraId="15511AF8">
            <w:pPr>
              <w:adjustRightInd w:val="0"/>
              <w:snapToGrid w:val="0"/>
              <w:spacing w:line="276"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64E24D96">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C00910F">
            <w:pPr>
              <w:adjustRightInd w:val="0"/>
              <w:snapToGrid w:val="0"/>
              <w:spacing w:line="276" w:lineRule="auto"/>
              <w:jc w:val="center"/>
              <w:rPr>
                <w:rFonts w:hint="eastAsia" w:ascii="宋体" w:hAnsi="宋体" w:eastAsia="宋体" w:cs="宋体"/>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9446377">
            <w:pPr>
              <w:adjustRightInd w:val="0"/>
              <w:snapToGrid w:val="0"/>
              <w:spacing w:line="276" w:lineRule="auto"/>
              <w:jc w:val="center"/>
              <w:rPr>
                <w:rFonts w:hint="eastAsia" w:ascii="宋体" w:hAnsi="宋体" w:eastAsia="宋体" w:cs="宋体"/>
                <w:sz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6EC89">
            <w:pPr>
              <w:adjustRightInd w:val="0"/>
              <w:snapToGrid w:val="0"/>
              <w:spacing w:line="276" w:lineRule="auto"/>
              <w:jc w:val="center"/>
              <w:rPr>
                <w:rFonts w:hint="eastAsia" w:ascii="宋体" w:hAnsi="宋体" w:eastAsia="宋体" w:cs="宋体"/>
                <w:sz w:val="24"/>
                <w:highlight w:val="none"/>
              </w:rPr>
            </w:pPr>
          </w:p>
        </w:tc>
        <w:tc>
          <w:tcPr>
            <w:tcW w:w="2429" w:type="dxa"/>
            <w:tcBorders>
              <w:top w:val="single" w:color="auto" w:sz="4" w:space="0"/>
              <w:left w:val="single" w:color="auto" w:sz="4" w:space="0"/>
              <w:bottom w:val="single" w:color="auto" w:sz="4" w:space="0"/>
              <w:right w:val="single" w:color="auto" w:sz="4" w:space="0"/>
            </w:tcBorders>
            <w:vAlign w:val="center"/>
          </w:tcPr>
          <w:p w14:paraId="549EC8FD">
            <w:pPr>
              <w:adjustRightInd w:val="0"/>
              <w:snapToGrid w:val="0"/>
              <w:spacing w:line="276" w:lineRule="auto"/>
              <w:jc w:val="center"/>
              <w:rPr>
                <w:rFonts w:hint="eastAsia" w:ascii="宋体" w:hAnsi="宋体" w:eastAsia="宋体" w:cs="宋体"/>
                <w:sz w:val="24"/>
                <w:highlight w:val="none"/>
              </w:rPr>
            </w:pPr>
          </w:p>
        </w:tc>
      </w:tr>
    </w:tbl>
    <w:p w14:paraId="6ED24F2F">
      <w:pPr>
        <w:spacing w:line="360" w:lineRule="auto"/>
        <w:rPr>
          <w:rFonts w:hint="eastAsia" w:ascii="宋体" w:hAnsi="宋体" w:eastAsia="宋体" w:cs="宋体"/>
          <w:sz w:val="24"/>
          <w:highlight w:val="none"/>
        </w:rPr>
      </w:pPr>
    </w:p>
    <w:p w14:paraId="4A494DD0">
      <w:pPr>
        <w:spacing w:line="360" w:lineRule="auto"/>
        <w:ind w:firstLine="5280" w:firstLineChars="2200"/>
        <w:rPr>
          <w:rFonts w:hint="eastAsia" w:ascii="宋体" w:hAnsi="宋体" w:eastAsia="宋体" w:cs="宋体"/>
          <w:sz w:val="24"/>
          <w:highlight w:val="none"/>
        </w:rPr>
      </w:pPr>
      <w:r>
        <w:rPr>
          <w:rFonts w:hint="eastAsia" w:ascii="宋体" w:hAnsi="宋体" w:eastAsia="宋体" w:cs="宋体"/>
          <w:sz w:val="24"/>
          <w:highlight w:val="none"/>
        </w:rPr>
        <w:t>投标人：</w:t>
      </w:r>
      <w:r>
        <w:rPr>
          <w:rFonts w:hint="eastAsia" w:ascii="宋体" w:hAnsi="宋体" w:eastAsia="宋体" w:cs="宋体"/>
          <w:sz w:val="24"/>
          <w:highlight w:val="none"/>
          <w:u w:val="single"/>
        </w:rPr>
        <w:t xml:space="preserve">           （公章）</w:t>
      </w:r>
    </w:p>
    <w:p w14:paraId="3157210A">
      <w:pPr>
        <w:jc w:val="center"/>
        <w:rPr>
          <w:rFonts w:hint="eastAsia" w:ascii="宋体" w:hAnsi="宋体" w:eastAsia="宋体" w:cs="宋体"/>
          <w:b/>
          <w:sz w:val="28"/>
          <w:szCs w:val="28"/>
          <w:highlight w:val="none"/>
        </w:rPr>
      </w:pPr>
      <w:r>
        <w:rPr>
          <w:rFonts w:hint="eastAsia" w:ascii="宋体" w:hAnsi="宋体" w:eastAsia="宋体" w:cs="宋体"/>
          <w:sz w:val="24"/>
          <w:highlight w:val="none"/>
        </w:rPr>
        <w:t xml:space="preserve">                                        日  期：</w:t>
      </w:r>
    </w:p>
    <w:p w14:paraId="20E09D44">
      <w:pPr>
        <w:spacing w:line="360" w:lineRule="auto"/>
        <w:rPr>
          <w:rFonts w:hint="eastAsia" w:ascii="宋体" w:hAnsi="宋体" w:eastAsia="宋体" w:cs="宋体"/>
          <w:b/>
          <w:color w:val="auto"/>
          <w:sz w:val="24"/>
          <w:highlight w:val="none"/>
        </w:rPr>
      </w:pPr>
    </w:p>
    <w:p w14:paraId="70AE5E5E">
      <w:pPr>
        <w:pStyle w:val="2"/>
        <w:spacing w:line="360" w:lineRule="auto"/>
        <w:jc w:val="center"/>
        <w:rPr>
          <w:rFonts w:hint="eastAsia" w:ascii="宋体" w:hAnsi="宋体" w:eastAsia="宋体" w:cs="宋体"/>
          <w:color w:val="auto"/>
          <w:sz w:val="32"/>
          <w:szCs w:val="32"/>
          <w:highlight w:val="none"/>
        </w:rPr>
      </w:pPr>
      <w:bookmarkStart w:id="49" w:name="_Toc5715658"/>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第七部分   评标办法和细则</w:t>
      </w:r>
      <w:bookmarkEnd w:id="49"/>
    </w:p>
    <w:p w14:paraId="0A01FF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招标投标法》、《中华人民共和国政府采购法》、《政府采购招标采购方式管理暂行办法》《政府采购货物和服务招标投标管理办法》《评标委员会和评标方法暂行规定》、《政府采购评审专家管理办法》以及国家和地方颁布的有关法令、法规，并结合本项目的实际，按照公正、公平、科学、择优的原则选择中标人，特制定本办法。</w:t>
      </w:r>
    </w:p>
    <w:p w14:paraId="56AD7E28">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1760006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评定总则和规定</w:t>
      </w:r>
    </w:p>
    <w:p w14:paraId="4C834C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1.1为最大限度地保护各当事人的权益，评审小组应严格按照招标文件的要求进行评定，编制评标报告。评审人员必须严格遵守保密规定，不得泄漏评审有关的情况，不得索贿受贿，不得参加影响评审的任何活动。</w:t>
      </w:r>
    </w:p>
    <w:p w14:paraId="222BD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评审时，评审小组应当对照招标文件规定的条件和标准，对各投标人投标文件的合格性、完整性和有效性进行审查、比较和评估，其中对投标人的资格条件、主要技术参数、商务报价和其他评审要素等，评定人员应逐项进行审查、比较，不得漏评少评。如发现与招标文件要求相偏离的，应对其偏离情况进行必要的核实，并在工作底稿中予以说明；如属于实质性偏离或符合无效响应条件的，应当询问投标人，并允许投标人进行陈述申辩，但不允许其对实质性偏离条款进行补充、修正或撤回。</w:t>
      </w:r>
    </w:p>
    <w:p w14:paraId="30E8A1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1.3  评定原则</w:t>
      </w:r>
      <w:r>
        <w:rPr>
          <w:rFonts w:hint="eastAsia" w:ascii="宋体" w:hAnsi="宋体" w:eastAsia="宋体" w:cs="宋体"/>
          <w:color w:val="auto"/>
          <w:sz w:val="24"/>
          <w:highlight w:val="none"/>
        </w:rPr>
        <w:t>：</w:t>
      </w:r>
    </w:p>
    <w:p w14:paraId="095847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采取综合评分法。由评审小组采用综合评分法对提交有效报价的投标人的投标文件进行综合评分。综合评分法，是指投标文件满足招标文件全部实质性要求且按评审因素的量化指标评审得分最高的投标人为中标候选投标人的评审方法。</w:t>
      </w:r>
    </w:p>
    <w:p w14:paraId="706AAF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1.3.2评审小组应当根据综合评分情况，按照评审得分由高到低顺序推荐3 名以上中标候选投标人，并编写评标报告。评审得分相同的，按照最后报价由低到高的顺序推荐。评审得分且最后报价相同的，由评审小组确定以按照技术指标优劣顺序或抽签确定排名先后推荐。</w:t>
      </w:r>
    </w:p>
    <w:p w14:paraId="181AD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本评标办法仅适用于本次招标。</w:t>
      </w:r>
    </w:p>
    <w:p w14:paraId="563B7F8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二、机构组成和职能</w:t>
      </w:r>
    </w:p>
    <w:p w14:paraId="529097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本次招标将设监督小组、组织机构和评审小组。</w:t>
      </w:r>
    </w:p>
    <w:p w14:paraId="79543DC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  监督小组机构组成和职能</w:t>
      </w:r>
    </w:p>
    <w:p w14:paraId="7319AD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机构成员：</w:t>
      </w:r>
      <w:r>
        <w:rPr>
          <w:rFonts w:hint="eastAsia" w:ascii="宋体" w:hAnsi="宋体" w:eastAsia="宋体" w:cs="宋体"/>
          <w:color w:val="auto"/>
          <w:sz w:val="24"/>
          <w:highlight w:val="none"/>
          <w:lang w:eastAsia="zh-CN"/>
        </w:rPr>
        <w:t>招标人单位监督代表或公证处或采购办</w:t>
      </w:r>
    </w:p>
    <w:p w14:paraId="5A7C59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  职能：独立行使监督工作，对所有招标工作做出复审意见。</w:t>
      </w:r>
    </w:p>
    <w:p w14:paraId="0E9A241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  组织机构的组成和职能</w:t>
      </w:r>
    </w:p>
    <w:p w14:paraId="127DCD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机构成员：由本项目采购代理机构相关人员组成。</w:t>
      </w:r>
    </w:p>
    <w:p w14:paraId="1AF1DE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职能：按规定的程序和要求依法严密组织招标、评定等各项活动，且客观如实予以记录和反映，对评审小组的评分记录，评定过程中不干扰和影响评审小组正常的评定工作。</w:t>
      </w:r>
    </w:p>
    <w:p w14:paraId="461DDA7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评审小组组成和职能</w:t>
      </w:r>
    </w:p>
    <w:p w14:paraId="04171C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机构成员：评标委员会人数为5人以上单数，分别由业主代表、技术、经济方面的专家组成，其中业主代表参加评标的，应向采购代理机构出具授权函，技术、经济方面的专家数量不少于评标委员会成员总数的三分之二。</w:t>
      </w:r>
    </w:p>
    <w:p w14:paraId="7004FC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职能：根据招标文件的要求，对投标文件进行初步检查、汇总、分析和比较，并做好记录；对合格的投标人提出投标文件中需要澄清的问题。对不合格的投标人说明原因；对合格的投标文件认真、客观、公正地评审；对合格的投标人进行评定；完成所评审项目的评定报告，评审小组按评定原则推荐中标候选人。</w:t>
      </w:r>
    </w:p>
    <w:p w14:paraId="569BDF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评审小组的专家由采购代理机构在新疆政府采购平台专家库中（http://www.ccgp-xinjiang.gov.cn）中随机抽取。</w:t>
      </w:r>
    </w:p>
    <w:p w14:paraId="6892B4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各评审小组成员的评分情况和评审意见由采购代理机构审查，如发现评审小组的评审意见带有明显倾向性，或不按规定程序和标准评审、计分的，必须要求评审小组进行书面澄清和说明。</w:t>
      </w:r>
    </w:p>
    <w:p w14:paraId="390C446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三、评标原则</w:t>
      </w:r>
    </w:p>
    <w:p w14:paraId="20BB98D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  评标遵循公平、公正、科学、择优的原则。</w:t>
      </w:r>
    </w:p>
    <w:p w14:paraId="44C8DC3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  对所有投标人的投标评估，都采用相同的程序和标准。</w:t>
      </w:r>
    </w:p>
    <w:p w14:paraId="2FA4372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评标将严格按照招标文件的要求和评标标准及办法进行。</w:t>
      </w:r>
    </w:p>
    <w:p w14:paraId="3CCB451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根据招标文件规定的各项评价标准通过评审打分排序推荐出1-3名中标候选人。</w:t>
      </w:r>
    </w:p>
    <w:p w14:paraId="7E4CE0C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评标委员会判断投标文件的响应性仅基于投标文件本身而不靠外部证据。</w:t>
      </w:r>
    </w:p>
    <w:p w14:paraId="727472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3.5  评标委员会拒绝被确定为非实质性响应的投标，投标人不能通过修正或撤销不符之处而使其投标成为实质性响应的投标。</w:t>
      </w:r>
    </w:p>
    <w:p w14:paraId="5BB6ADF6">
      <w:pPr>
        <w:spacing w:line="360" w:lineRule="auto"/>
        <w:ind w:firstLine="470" w:firstLineChars="196"/>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color w:val="auto"/>
          <w:sz w:val="24"/>
          <w:highlight w:val="none"/>
        </w:rPr>
        <w:t>评标纪律</w:t>
      </w:r>
    </w:p>
    <w:p w14:paraId="3F54474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  评审小组必须公平、公正评定;遵纪守法，客观、廉洁地履行职责，对所提出的评审意见承担个人责任；</w:t>
      </w:r>
    </w:p>
    <w:p w14:paraId="718FCD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  评审小组在评定开始前，应关闭随身携带的各种通信工具；</w:t>
      </w:r>
    </w:p>
    <w:p w14:paraId="7018E0B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  评审小组在评定过程中，未经许可不得中途离开评定现场，不得迟到早退；</w:t>
      </w:r>
    </w:p>
    <w:p w14:paraId="40442B3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4.4  评标委员会成员和与评标活动有关的工作人员不得向任何投标人或与评标工作无关的人员透露与评标有关的任何情况；</w:t>
      </w:r>
    </w:p>
    <w:p w14:paraId="6C42519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  评审小组应当对照招标文件规定的条件和标准，对各投标人投标文件的合格性、完整性和有效性进行审查、比较和评估，其中对投标人的资格条件、主要技术参数、商务报价和其他评审要素等，评审专家应逐项进行审查、比较，不得漏评少评。如发现与采购文件要求相偏离的，应对其偏离情形进行必要的核实，并在评审报告中予以说明；如属于实质性偏离或符合无效响应条件的，应当询问投标人，并允许投标人进行陈述申辩，但不允许其对偏离条款时行补充、修正或搞撤回。</w:t>
      </w:r>
    </w:p>
    <w:p w14:paraId="217D5D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  评审小组在评定过程中不得将自己的观点，强加给其他评审小组，评审小组应自主发表见解，对评审意见承担个人责任。</w:t>
      </w:r>
    </w:p>
    <w:p w14:paraId="762F5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4.7  评审小组应根据评定办法确定项目得分，并参与评标报告的起草，按评定原则推荐1-3名中标候选人。</w:t>
      </w:r>
    </w:p>
    <w:p w14:paraId="682967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4.8  各评审人员应当独立、客观、公正地提出评审意见，不得带有倾向性，不得影响其他人员评审，并在评标报告上签字；如对评标报告有异议的，可以在报告上签署不同意见，并说明理由，否则将视为同意。</w:t>
      </w:r>
    </w:p>
    <w:p w14:paraId="40D88B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4.9  配合财政部门的投诉处理工作；</w:t>
      </w:r>
    </w:p>
    <w:p w14:paraId="7CB520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4.10  配合采购代理机构单位答复投标人提出的质疑。</w:t>
      </w:r>
    </w:p>
    <w:p w14:paraId="4F486E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  评定委员会成员有如下行为之一的，责令改正，给予警告，可以并处一千元以下的罚款：</w:t>
      </w:r>
    </w:p>
    <w:p w14:paraId="75218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4.11.1明知应当回避而未主动回避的；</w:t>
      </w:r>
    </w:p>
    <w:p w14:paraId="37AAAB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4.11.2在知道自己为评审小组身份后至评定结束前的时段内私下接触供应 商的；</w:t>
      </w:r>
    </w:p>
    <w:p w14:paraId="5BCFF0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 3在评定过程中擅离职守，影响评定程序正常进行的；</w:t>
      </w:r>
    </w:p>
    <w:p w14:paraId="2D9B26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 4在评定过程有明显不合理或者不正当倾向性的；</w:t>
      </w:r>
    </w:p>
    <w:p w14:paraId="6EB5C3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5未按招标文件规定的评定方法和标准进行评定的。 </w:t>
      </w:r>
    </w:p>
    <w:p w14:paraId="5C822F8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五、评定程序</w:t>
      </w:r>
    </w:p>
    <w:p w14:paraId="32D06EB2">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5.1  初步评审及报价复核</w:t>
      </w:r>
    </w:p>
    <w:p w14:paraId="7EE01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5.1.1初步评审将对开标时有效的投标文件进行,根据招标文件,审查并逐项列出投标文件的全部投标重大偏差。</w:t>
      </w:r>
    </w:p>
    <w:p w14:paraId="61E701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5.1.2下列情况属于重大偏差</w:t>
      </w:r>
      <w:r>
        <w:rPr>
          <w:rFonts w:hint="eastAsia" w:ascii="宋体" w:hAnsi="宋体" w:eastAsia="宋体" w:cs="宋体"/>
          <w:color w:val="auto"/>
          <w:sz w:val="24"/>
          <w:highlight w:val="none"/>
          <w:lang w:eastAsia="zh-CN"/>
        </w:rPr>
        <w:t>评审因素</w:t>
      </w:r>
      <w:r>
        <w:rPr>
          <w:rFonts w:hint="eastAsia" w:ascii="宋体" w:hAnsi="宋体" w:eastAsia="宋体" w:cs="宋体"/>
          <w:color w:val="auto"/>
          <w:sz w:val="24"/>
          <w:highlight w:val="none"/>
        </w:rPr>
        <w:t>：</w:t>
      </w:r>
    </w:p>
    <w:p w14:paraId="0CFBAC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是否按招标文件要求（金额、形式）提交投标保证金。</w:t>
      </w:r>
    </w:p>
    <w:p w14:paraId="24469B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（2）是否有法定代表人出具的授权委托书，并要有单位盖章、法定代表人签字或盖章。</w:t>
      </w:r>
    </w:p>
    <w:p w14:paraId="619F1C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（3）投标文件是否按招标文件要求有单位盖章及法定代表人或法定代表人授权的代理人签字或盖章。</w:t>
      </w:r>
    </w:p>
    <w:p w14:paraId="36AA36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（4）报价是否超过本项目采购预算。</w:t>
      </w:r>
    </w:p>
    <w:p w14:paraId="2BD364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（5）是否满足招标文件载明的项目完成期限。</w:t>
      </w:r>
    </w:p>
    <w:p w14:paraId="34E5A6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（6）是否符合招标文件中规定的其他实质性要求。技术、服务标准不满足招标文件要求的。</w:t>
      </w:r>
    </w:p>
    <w:p w14:paraId="5B254B4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（7）投标文件没有招标文件中规定的被视为无效投标的其它条款的</w:t>
      </w:r>
      <w:r>
        <w:rPr>
          <w:rFonts w:hint="eastAsia" w:ascii="宋体" w:hAnsi="宋体" w:eastAsia="宋体" w:cs="宋体"/>
          <w:color w:val="auto"/>
          <w:sz w:val="24"/>
          <w:highlight w:val="none"/>
          <w:lang w:eastAsia="zh-CN"/>
        </w:rPr>
        <w:t>。</w:t>
      </w:r>
    </w:p>
    <w:p w14:paraId="135F1F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（8）投标文件是否附有招标人不能接受的条件。</w:t>
      </w:r>
    </w:p>
    <w:p w14:paraId="20758E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5.1.3 投标文件有上述重大偏差之一的，为未能对招标文件做出实质性响应，作废标处理，不再进入以后的评标程序。</w:t>
      </w:r>
    </w:p>
    <w:p w14:paraId="447B23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5.1.4 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14:paraId="109771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5.1.5 评标委员会应当书面要求存在细微偏差的投标人在评标结果前予以补正。</w:t>
      </w:r>
    </w:p>
    <w:p w14:paraId="6F443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5.1.6计算错误将按以下方法更正：</w:t>
      </w:r>
    </w:p>
    <w:p w14:paraId="09DC1E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若按单价计算的结果与总价不一致，以单价为准修改总价；若用文字表示的数值与用数字表示的数值不一致，以文字表示的数值为准。如果投标人不接受对其错误的更正，其投标将被拒绝。</w:t>
      </w:r>
    </w:p>
    <w:p w14:paraId="5D8A6A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color w:val="auto"/>
          <w:sz w:val="24"/>
          <w:highlight w:val="none"/>
        </w:rPr>
        <w:t>.7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的实质性内容。拒不按照要求对投标文件进行澄清、说明或者补正的，评标委员会可以否决其投标，作废标处理。</w:t>
      </w:r>
    </w:p>
    <w:p w14:paraId="0BD161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5.1.8</w:t>
      </w:r>
      <w:r>
        <w:rPr>
          <w:rFonts w:hint="eastAsia" w:ascii="宋体" w:hAnsi="宋体" w:eastAsia="宋体" w:cs="宋体"/>
          <w:color w:val="auto"/>
          <w:sz w:val="24"/>
          <w:highlight w:val="none"/>
        </w:rPr>
        <w:t>评标委员会判断投标文件的响应程度仅基于投标文件本身，而不靠外部证据。</w:t>
      </w:r>
    </w:p>
    <w:p w14:paraId="624870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color w:val="auto"/>
          <w:sz w:val="24"/>
          <w:highlight w:val="none"/>
        </w:rPr>
        <w:t>1.9在评标过程中，评标委员会发现投标人以他人的名义投标、串通投标、以行贿手段谋取中标或者以其它弄虚作假方式投标的,该投标将作废标处理。</w:t>
      </w:r>
    </w:p>
    <w:p w14:paraId="522309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color w:val="auto"/>
          <w:sz w:val="24"/>
          <w:highlight w:val="none"/>
        </w:rPr>
        <w:t>1.10评标委员会经评审，认为所有投标都不符合招标文件要求的或所有投标报价均过高时，可以否决所有投标。评标委员会经评审，认定投标人以低于成本报价竟标的，其投标将作废标处理。</w:t>
      </w:r>
    </w:p>
    <w:p w14:paraId="2D8EC3E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5.1.11经过初步评审，如果由于有效投标不足三家使得投标明显缺乏竞争的，评标委员会可以否决全部投标。</w:t>
      </w:r>
    </w:p>
    <w:p w14:paraId="262352E1">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  详细评审</w:t>
      </w:r>
    </w:p>
    <w:p w14:paraId="42BA74D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经初步评审合格的投标文件，评标委员会成员将对投标文件进行进一步评审、比较。</w:t>
      </w:r>
    </w:p>
    <w:p w14:paraId="65035B8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5.</w:t>
      </w:r>
      <w:r>
        <w:rPr>
          <w:rFonts w:hint="eastAsia" w:ascii="宋体" w:hAnsi="宋体" w:eastAsia="宋体" w:cs="宋体"/>
          <w:b/>
          <w:color w:val="auto"/>
          <w:sz w:val="24"/>
          <w:highlight w:val="none"/>
        </w:rPr>
        <w:t>3  评分办法</w:t>
      </w:r>
    </w:p>
    <w:p w14:paraId="69DA363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5.3.1 经济标（30分）商务及技术标（</w:t>
      </w:r>
      <w:r>
        <w:rPr>
          <w:rFonts w:hint="eastAsia" w:ascii="宋体" w:hAnsi="宋体" w:eastAsia="宋体" w:cs="宋体"/>
          <w:bCs/>
          <w:color w:val="auto"/>
          <w:sz w:val="24"/>
          <w:highlight w:val="none"/>
          <w:lang w:val="en-US" w:eastAsia="zh-CN"/>
        </w:rPr>
        <w:t>70</w:t>
      </w:r>
      <w:r>
        <w:rPr>
          <w:rFonts w:hint="eastAsia" w:ascii="宋体" w:hAnsi="宋体" w:eastAsia="宋体" w:cs="宋体"/>
          <w:bCs/>
          <w:color w:val="auto"/>
          <w:sz w:val="24"/>
          <w:highlight w:val="none"/>
        </w:rPr>
        <w:t>分）</w:t>
      </w:r>
    </w:p>
    <w:p w14:paraId="2C58005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5.3.2价格调整原则</w:t>
      </w:r>
    </w:p>
    <w:p w14:paraId="0C4F3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1）投标人的报价必须包含供货范围内所有内容。</w:t>
      </w:r>
    </w:p>
    <w:p w14:paraId="5E118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必须根据招标文件要求和产品技术状况列出质量保证期内所需备品备件的清单和价格，并将该备品备件价计入投标总价，若所提供的产品不需备品备件或免费提供，应在投标文件中说明。否则按漏项处理。</w:t>
      </w:r>
    </w:p>
    <w:p w14:paraId="14983C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3）投标人报价如有漏项，则须将其他投标人报价中该项价格的最高价加计入该投标人的投标总价。</w:t>
      </w:r>
    </w:p>
    <w:p w14:paraId="665944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4）调整后的价格作为投标人的评标价。根据评标价测算各投标人的经济标分值。</w:t>
      </w:r>
    </w:p>
    <w:p w14:paraId="67186B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5.3.3  </w:t>
      </w:r>
      <w:r>
        <w:rPr>
          <w:rFonts w:hint="eastAsia" w:ascii="宋体" w:hAnsi="宋体" w:eastAsia="宋体" w:cs="宋体"/>
          <w:color w:val="auto"/>
          <w:sz w:val="24"/>
          <w:highlight w:val="none"/>
        </w:rPr>
        <w:t>经济标依照如下标准计算得分：</w:t>
      </w:r>
    </w:p>
    <w:p w14:paraId="79E045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基准价为有效报价的最低价，即所有算术修正后的投标报价由低到高进行排序，除报价明显低于其他通过符合性审查投标人的报价又不能做出合理解释的投标报价被拒绝外，其满足招标文件要求且投标价格最低的投标报价为评标基准价，其价格分为满分。其他投标人的价格分统一按照下列公式计算：</w:t>
      </w:r>
    </w:p>
    <w:p w14:paraId="6AB9AF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投标报价得分=(评标基准价／投标报价)×价格分值×100% </w:t>
      </w:r>
    </w:p>
    <w:p w14:paraId="3B9129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结果保留两位小数。</w:t>
      </w:r>
    </w:p>
    <w:p w14:paraId="5B9899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如果得分为负分时,按零分计。</w:t>
      </w:r>
    </w:p>
    <w:p w14:paraId="1923B19E">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六、其它注意事项</w:t>
      </w:r>
    </w:p>
    <w:p w14:paraId="1CBA65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时如发现投标人的报价明显高于其市场报价或低于成本价的，应要求该投标人书面说明并提供相关证明材料。该投标人不能合理说明原因并提供证明材料的，评审小组应将该投标人的采购投标文件作无效处理，同时采购组织机构应将该情况报同级财政部门，并视情将其列入不良投标人名单。</w:t>
      </w:r>
    </w:p>
    <w:p w14:paraId="44FF623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七、详细评审附表</w:t>
      </w:r>
    </w:p>
    <w:p w14:paraId="61FE662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附表1：重大偏差审查表</w:t>
      </w:r>
    </w:p>
    <w:tbl>
      <w:tblPr>
        <w:tblStyle w:val="47"/>
        <w:tblW w:w="47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8180"/>
      </w:tblGrid>
      <w:tr w14:paraId="58C44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36" w:type="dxa"/>
            <w:gridSpan w:val="2"/>
            <w:vMerge w:val="restart"/>
            <w:tcBorders>
              <w:top w:val="single" w:color="auto" w:sz="12" w:space="0"/>
              <w:right w:val="single" w:color="auto" w:sz="4" w:space="0"/>
            </w:tcBorders>
            <w:vAlign w:val="center"/>
          </w:tcPr>
          <w:p w14:paraId="604ADE2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14:paraId="528BB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36" w:type="dxa"/>
            <w:gridSpan w:val="2"/>
            <w:vMerge w:val="continue"/>
            <w:tcBorders>
              <w:right w:val="single" w:color="auto" w:sz="4" w:space="0"/>
            </w:tcBorders>
            <w:vAlign w:val="center"/>
          </w:tcPr>
          <w:p w14:paraId="5BD8FC2D">
            <w:pPr>
              <w:jc w:val="both"/>
              <w:rPr>
                <w:rFonts w:hint="eastAsia" w:ascii="宋体" w:hAnsi="宋体" w:eastAsia="宋体" w:cs="宋体"/>
                <w:b/>
                <w:color w:val="auto"/>
                <w:sz w:val="24"/>
                <w:szCs w:val="24"/>
                <w:highlight w:val="none"/>
              </w:rPr>
            </w:pPr>
          </w:p>
        </w:tc>
      </w:tr>
      <w:tr w14:paraId="0DE52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4" w:type="dxa"/>
            <w:vAlign w:val="center"/>
          </w:tcPr>
          <w:p w14:paraId="320F08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182" w:type="dxa"/>
            <w:tcBorders>
              <w:right w:val="single" w:color="auto" w:sz="4" w:space="0"/>
            </w:tcBorders>
            <w:vAlign w:val="center"/>
          </w:tcPr>
          <w:p w14:paraId="58CE4D68">
            <w:pPr>
              <w:rPr>
                <w:rFonts w:hint="eastAsia" w:ascii="宋体" w:hAnsi="宋体" w:eastAsia="宋体" w:cs="宋体"/>
                <w:color w:val="auto"/>
                <w:sz w:val="24"/>
                <w:szCs w:val="24"/>
                <w:highlight w:val="none"/>
              </w:rPr>
            </w:pPr>
            <w:r>
              <w:rPr>
                <w:rFonts w:hint="eastAsia" w:ascii="宋体" w:hAnsi="宋体" w:eastAsia="宋体" w:cs="宋体"/>
                <w:sz w:val="24"/>
                <w:highlight w:val="none"/>
              </w:rPr>
              <w:t>是否按招标文件要求（金额、形式）提交投标保证金。</w:t>
            </w:r>
          </w:p>
        </w:tc>
      </w:tr>
      <w:tr w14:paraId="2B263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254" w:type="dxa"/>
            <w:vAlign w:val="center"/>
          </w:tcPr>
          <w:p w14:paraId="266469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182" w:type="dxa"/>
            <w:tcBorders>
              <w:right w:val="single" w:color="auto" w:sz="4" w:space="0"/>
            </w:tcBorders>
            <w:vAlign w:val="center"/>
          </w:tcPr>
          <w:p w14:paraId="4B5EDF48">
            <w:pPr>
              <w:rPr>
                <w:rFonts w:hint="eastAsia" w:ascii="宋体" w:hAnsi="宋体" w:eastAsia="宋体" w:cs="宋体"/>
                <w:color w:val="auto"/>
                <w:sz w:val="24"/>
                <w:szCs w:val="24"/>
                <w:highlight w:val="none"/>
              </w:rPr>
            </w:pPr>
            <w:r>
              <w:rPr>
                <w:rFonts w:hint="eastAsia" w:ascii="宋体" w:hAnsi="宋体" w:eastAsia="宋体" w:cs="宋体"/>
                <w:sz w:val="24"/>
                <w:highlight w:val="none"/>
              </w:rPr>
              <w:t>是否有法定代表人出具的授权委托书，并要有单位盖章、法定代表人签字或盖章。</w:t>
            </w:r>
          </w:p>
        </w:tc>
      </w:tr>
      <w:tr w14:paraId="555B2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4" w:type="dxa"/>
            <w:vAlign w:val="center"/>
          </w:tcPr>
          <w:p w14:paraId="0819C5F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8182" w:type="dxa"/>
            <w:tcBorders>
              <w:right w:val="single" w:color="auto" w:sz="4" w:space="0"/>
            </w:tcBorders>
            <w:vAlign w:val="center"/>
          </w:tcPr>
          <w:p w14:paraId="6C7E2E3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highlight w:val="none"/>
              </w:rPr>
              <w:t>报价是否超过本项目采购预算。</w:t>
            </w:r>
          </w:p>
        </w:tc>
      </w:tr>
      <w:tr w14:paraId="30589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4" w:type="dxa"/>
            <w:vAlign w:val="center"/>
          </w:tcPr>
          <w:p w14:paraId="135B0E4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182" w:type="dxa"/>
            <w:tcBorders>
              <w:right w:val="single" w:color="auto" w:sz="4" w:space="0"/>
            </w:tcBorders>
            <w:vAlign w:val="center"/>
          </w:tcPr>
          <w:p w14:paraId="5B66A084">
            <w:pPr>
              <w:rPr>
                <w:rFonts w:hint="eastAsia" w:ascii="宋体" w:hAnsi="宋体" w:eastAsia="宋体" w:cs="宋体"/>
                <w:sz w:val="24"/>
                <w:highlight w:val="none"/>
              </w:rPr>
            </w:pPr>
            <w:r>
              <w:rPr>
                <w:rFonts w:hint="eastAsia" w:ascii="宋体" w:hAnsi="宋体" w:eastAsia="宋体" w:cs="宋体"/>
                <w:sz w:val="24"/>
                <w:highlight w:val="none"/>
              </w:rPr>
              <w:t>是否满足招标文件载明的项目完成期限。</w:t>
            </w:r>
          </w:p>
        </w:tc>
      </w:tr>
      <w:tr w14:paraId="7D31C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254" w:type="dxa"/>
            <w:vAlign w:val="center"/>
          </w:tcPr>
          <w:p w14:paraId="29F7C6E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8182" w:type="dxa"/>
            <w:tcBorders>
              <w:right w:val="single" w:color="auto" w:sz="4" w:space="0"/>
            </w:tcBorders>
            <w:vAlign w:val="center"/>
          </w:tcPr>
          <w:p w14:paraId="546AD6EA">
            <w:pPr>
              <w:ind w:firstLine="57" w:firstLineChars="24"/>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sz w:val="24"/>
                <w:highlight w:val="none"/>
              </w:rPr>
              <w:t>是否符合招标文件中规定的其他实质性要求。技术、服务标准不满足招标文件要求的。</w:t>
            </w:r>
          </w:p>
        </w:tc>
      </w:tr>
      <w:tr w14:paraId="358C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4" w:type="dxa"/>
            <w:vAlign w:val="center"/>
          </w:tcPr>
          <w:p w14:paraId="63331A5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8182" w:type="dxa"/>
            <w:tcBorders>
              <w:right w:val="single" w:color="auto" w:sz="4" w:space="0"/>
            </w:tcBorders>
            <w:vAlign w:val="center"/>
          </w:tcPr>
          <w:p w14:paraId="573757F0">
            <w:pPr>
              <w:ind w:firstLine="57" w:firstLineChars="24"/>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sz w:val="24"/>
                <w:highlight w:val="none"/>
              </w:rPr>
              <w:t>投标文件没有招标文件中规定的被视为无效投标的其它条款的。</w:t>
            </w:r>
          </w:p>
        </w:tc>
      </w:tr>
      <w:tr w14:paraId="198FC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4" w:type="dxa"/>
            <w:vAlign w:val="center"/>
          </w:tcPr>
          <w:p w14:paraId="62E12CA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8182" w:type="dxa"/>
            <w:tcBorders>
              <w:right w:val="single" w:color="auto" w:sz="4" w:space="0"/>
            </w:tcBorders>
            <w:vAlign w:val="center"/>
          </w:tcPr>
          <w:p w14:paraId="3AE186D5">
            <w:pPr>
              <w:ind w:firstLine="57" w:firstLineChars="24"/>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sz w:val="24"/>
                <w:highlight w:val="none"/>
              </w:rPr>
              <w:t>投标文件是否附有招标人不能接受的条件。</w:t>
            </w:r>
          </w:p>
        </w:tc>
      </w:tr>
    </w:tbl>
    <w:p w14:paraId="6960FF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特别说明：投标文件响应程度审查通过的投标企业，进入下一步详细评审阶段，未通过投标文件响应程度审查的企业，其投标作为无效标，不进入后期评审阶段。</w:t>
      </w:r>
    </w:p>
    <w:p w14:paraId="3D62D490">
      <w:pPr>
        <w:spacing w:line="360" w:lineRule="auto"/>
        <w:ind w:firstLine="560" w:firstLineChars="200"/>
        <w:rPr>
          <w:rFonts w:hint="eastAsia" w:ascii="宋体" w:hAnsi="宋体" w:eastAsia="宋体" w:cs="宋体"/>
          <w:b/>
          <w:color w:val="auto"/>
          <w:sz w:val="28"/>
          <w:szCs w:val="28"/>
          <w:highlight w:val="none"/>
        </w:rPr>
      </w:pPr>
    </w:p>
    <w:p w14:paraId="75F2A388">
      <w:pPr>
        <w:spacing w:line="36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附表2：经济标得分（30分）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96"/>
        <w:gridCol w:w="6784"/>
        <w:gridCol w:w="850"/>
      </w:tblGrid>
      <w:tr w14:paraId="0425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8E0F9D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评分项目</w:t>
            </w:r>
          </w:p>
        </w:tc>
        <w:tc>
          <w:tcPr>
            <w:tcW w:w="796" w:type="dxa"/>
            <w:vAlign w:val="center"/>
          </w:tcPr>
          <w:p w14:paraId="271E574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6784" w:type="dxa"/>
            <w:vAlign w:val="center"/>
          </w:tcPr>
          <w:p w14:paraId="54ADB4E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评分细则</w:t>
            </w:r>
          </w:p>
        </w:tc>
        <w:tc>
          <w:tcPr>
            <w:tcW w:w="850" w:type="dxa"/>
            <w:vAlign w:val="center"/>
          </w:tcPr>
          <w:p w14:paraId="5A85D1B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r>
      <w:tr w14:paraId="25FB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F5C6D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796" w:type="dxa"/>
            <w:vAlign w:val="center"/>
          </w:tcPr>
          <w:p w14:paraId="6EA8AE9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30分</w:t>
            </w:r>
          </w:p>
        </w:tc>
        <w:tc>
          <w:tcPr>
            <w:tcW w:w="6784" w:type="dxa"/>
            <w:vAlign w:val="top"/>
          </w:tcPr>
          <w:p w14:paraId="20DBD051">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评标基准价为有效报价的最低价，即所有算术修正后的投标报价由低到高进行排序，除报价明显低于其他通过符合性审查投标人的报价又不能做出合理解释的投标报价被拒绝外，其满足招标文件要求且投标价格最低的投标报价为评标基准价，其价格分为满分。其他投标人的价格分统一按照下列公式计算：</w:t>
            </w:r>
          </w:p>
          <w:p w14:paraId="2EC8836C">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投标报价得分=(评标基准价／投标报价)×价格分值×100% </w:t>
            </w:r>
          </w:p>
          <w:p w14:paraId="26A52FE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注：在经济标评审阶段，经评标委员会小组认为无效的投标报价，经济标按零分。</w:t>
            </w:r>
          </w:p>
          <w:p w14:paraId="442FCFCF">
            <w:pPr>
              <w:rPr>
                <w:rFonts w:hint="eastAsia" w:ascii="宋体" w:hAnsi="宋体" w:eastAsia="宋体" w:cs="宋体"/>
                <w:color w:val="auto"/>
                <w:sz w:val="24"/>
                <w:highlight w:val="none"/>
              </w:rPr>
            </w:pPr>
            <w:r>
              <w:rPr>
                <w:rFonts w:hint="eastAsia" w:ascii="宋体" w:hAnsi="宋体" w:eastAsia="宋体" w:cs="宋体"/>
                <w:color w:val="auto"/>
                <w:sz w:val="24"/>
                <w:highlight w:val="none"/>
              </w:rPr>
              <w:t>结果保留两位小数。</w:t>
            </w:r>
          </w:p>
        </w:tc>
        <w:tc>
          <w:tcPr>
            <w:tcW w:w="850" w:type="dxa"/>
            <w:vAlign w:val="center"/>
          </w:tcPr>
          <w:p w14:paraId="547B1B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0-30</w:t>
            </w:r>
          </w:p>
        </w:tc>
      </w:tr>
    </w:tbl>
    <w:p w14:paraId="493FEDA0">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附表3、</w:t>
      </w:r>
      <w:r>
        <w:rPr>
          <w:rFonts w:hint="eastAsia" w:ascii="宋体" w:hAnsi="宋体" w:eastAsia="宋体" w:cs="宋体"/>
          <w:b/>
          <w:color w:val="auto"/>
          <w:sz w:val="28"/>
          <w:szCs w:val="28"/>
          <w:highlight w:val="none"/>
          <w:lang w:eastAsia="zh-CN"/>
        </w:rPr>
        <w:t>商务标及技术标评审表</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0分）</w:t>
      </w:r>
    </w:p>
    <w:tbl>
      <w:tblPr>
        <w:tblStyle w:val="47"/>
        <w:tblpPr w:leftFromText="180" w:rightFromText="180" w:vertAnchor="text" w:horzAnchor="page" w:tblpXSpec="center" w:tblpY="4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02"/>
        <w:gridCol w:w="6447"/>
        <w:gridCol w:w="797"/>
      </w:tblGrid>
      <w:tr w14:paraId="3CA7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2" w:type="dxa"/>
            <w:vAlign w:val="center"/>
          </w:tcPr>
          <w:p w14:paraId="78E3DCA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评分项目</w:t>
            </w:r>
          </w:p>
        </w:tc>
        <w:tc>
          <w:tcPr>
            <w:tcW w:w="8049" w:type="dxa"/>
            <w:gridSpan w:val="2"/>
            <w:vAlign w:val="center"/>
          </w:tcPr>
          <w:p w14:paraId="1436FBB8">
            <w:pPr>
              <w:pStyle w:val="43"/>
              <w:spacing w:before="12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评分细则</w:t>
            </w:r>
          </w:p>
        </w:tc>
        <w:tc>
          <w:tcPr>
            <w:tcW w:w="797" w:type="dxa"/>
            <w:vAlign w:val="center"/>
          </w:tcPr>
          <w:p w14:paraId="0B454FE6">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14:paraId="794A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22" w:type="dxa"/>
            <w:vMerge w:val="restart"/>
            <w:vAlign w:val="center"/>
          </w:tcPr>
          <w:p w14:paraId="1A6C271C">
            <w:pPr>
              <w:jc w:val="center"/>
              <w:rPr>
                <w:rFonts w:hint="eastAsia" w:ascii="宋体" w:hAnsi="宋体" w:eastAsia="宋体" w:cs="宋体"/>
                <w:sz w:val="24"/>
                <w:szCs w:val="24"/>
                <w:highlight w:val="none"/>
              </w:rPr>
            </w:pPr>
          </w:p>
        </w:tc>
        <w:tc>
          <w:tcPr>
            <w:tcW w:w="1602" w:type="dxa"/>
            <w:vAlign w:val="center"/>
          </w:tcPr>
          <w:p w14:paraId="336D5EE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产品配置及技术参数</w:t>
            </w:r>
          </w:p>
        </w:tc>
        <w:tc>
          <w:tcPr>
            <w:tcW w:w="6447" w:type="dxa"/>
            <w:vAlign w:val="center"/>
          </w:tcPr>
          <w:p w14:paraId="414697F6">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所投产品</w:t>
            </w:r>
            <w:r>
              <w:rPr>
                <w:rFonts w:hint="eastAsia" w:ascii="宋体" w:hAnsi="宋体" w:eastAsia="宋体" w:cs="宋体"/>
                <w:color w:val="auto"/>
                <w:sz w:val="24"/>
                <w:szCs w:val="24"/>
                <w:highlight w:val="none"/>
              </w:rPr>
              <w:t>配置</w:t>
            </w:r>
            <w:r>
              <w:rPr>
                <w:rFonts w:hint="eastAsia" w:ascii="宋体" w:hAnsi="宋体" w:cs="宋体"/>
                <w:color w:val="auto"/>
                <w:sz w:val="24"/>
                <w:szCs w:val="24"/>
                <w:highlight w:val="none"/>
                <w:lang w:val="en-US" w:eastAsia="zh-CN"/>
              </w:rPr>
              <w:t>完全满足或优于招标文件要求的，每</w:t>
            </w:r>
            <w:r>
              <w:rPr>
                <w:rFonts w:hint="eastAsia" w:ascii="宋体" w:hAnsi="宋体" w:eastAsia="宋体" w:cs="宋体"/>
                <w:color w:val="auto"/>
                <w:sz w:val="24"/>
                <w:szCs w:val="24"/>
                <w:highlight w:val="none"/>
              </w:rPr>
              <w:t>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最高得9分；技术参数配置不详</w:t>
            </w:r>
            <w:r>
              <w:rPr>
                <w:rFonts w:hint="eastAsia" w:ascii="宋体" w:hAnsi="宋体" w:cs="宋体"/>
                <w:sz w:val="24"/>
                <w:szCs w:val="24"/>
                <w:highlight w:val="none"/>
                <w:lang w:val="en-US" w:eastAsia="zh-CN"/>
              </w:rPr>
              <w:t>、低于招标文件要求的，每一项扣1分，扣完为止。</w:t>
            </w:r>
          </w:p>
        </w:tc>
        <w:tc>
          <w:tcPr>
            <w:tcW w:w="797" w:type="dxa"/>
            <w:vAlign w:val="center"/>
          </w:tcPr>
          <w:p w14:paraId="02676F12">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r>
      <w:tr w14:paraId="2575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22" w:type="dxa"/>
            <w:vMerge w:val="continue"/>
            <w:vAlign w:val="center"/>
          </w:tcPr>
          <w:p w14:paraId="4546007E">
            <w:pPr>
              <w:jc w:val="center"/>
              <w:rPr>
                <w:rFonts w:hint="eastAsia" w:ascii="宋体" w:hAnsi="宋体" w:eastAsia="宋体" w:cs="宋体"/>
                <w:sz w:val="24"/>
                <w:szCs w:val="24"/>
                <w:highlight w:val="none"/>
              </w:rPr>
            </w:pPr>
          </w:p>
        </w:tc>
        <w:tc>
          <w:tcPr>
            <w:tcW w:w="1602" w:type="dxa"/>
            <w:vAlign w:val="center"/>
          </w:tcPr>
          <w:p w14:paraId="6103CE89">
            <w:pPr>
              <w:jc w:val="center"/>
              <w:rPr>
                <w:rFonts w:hint="eastAsia" w:ascii="宋体" w:hAnsi="宋体" w:eastAsia="宋体" w:cs="宋体"/>
                <w:sz w:val="24"/>
                <w:szCs w:val="24"/>
                <w:highlight w:val="none"/>
              </w:rPr>
            </w:pPr>
            <w:r>
              <w:rPr>
                <w:rFonts w:hint="eastAsia" w:ascii="宋体" w:hAnsi="宋体" w:eastAsia="宋体" w:cs="宋体"/>
                <w:sz w:val="24"/>
                <w:highlight w:val="none"/>
                <w:lang w:eastAsia="zh-CN"/>
              </w:rPr>
              <w:t>安装调试</w:t>
            </w:r>
            <w:r>
              <w:rPr>
                <w:rFonts w:hint="eastAsia" w:ascii="宋体" w:hAnsi="宋体" w:eastAsia="宋体" w:cs="宋体"/>
                <w:sz w:val="24"/>
                <w:highlight w:val="none"/>
              </w:rPr>
              <w:t>配送方案</w:t>
            </w:r>
          </w:p>
        </w:tc>
        <w:tc>
          <w:tcPr>
            <w:tcW w:w="6447" w:type="dxa"/>
            <w:vAlign w:val="center"/>
          </w:tcPr>
          <w:p w14:paraId="171E311E">
            <w:pPr>
              <w:pStyle w:val="18"/>
              <w:keepNext w:val="0"/>
              <w:keepLines w:val="0"/>
              <w:widowControl/>
              <w:suppressLineNumbers w:val="0"/>
              <w:spacing w:before="0" w:beforeAutospacing="0" w:after="0" w:afterAutospacing="0"/>
              <w:ind w:left="0" w:right="0" w:firstLine="0"/>
              <w:rPr>
                <w:rFonts w:hint="eastAsia" w:ascii="宋体" w:hAnsi="宋体" w:eastAsia="宋体" w:cs="宋体"/>
                <w:highlight w:val="none"/>
              </w:rPr>
            </w:pPr>
            <w:r>
              <w:rPr>
                <w:rFonts w:hint="eastAsia" w:ascii="宋体" w:hAnsi="宋体" w:eastAsia="宋体" w:cs="宋体"/>
                <w:highlight w:val="none"/>
              </w:rPr>
              <w:t>货物的安装、调试</w:t>
            </w:r>
            <w:r>
              <w:rPr>
                <w:rFonts w:hint="eastAsia" w:ascii="宋体" w:hAnsi="宋体" w:eastAsia="宋体" w:cs="宋体"/>
                <w:highlight w:val="none"/>
                <w:lang w:eastAsia="zh-CN"/>
              </w:rPr>
              <w:t>、配送方案</w:t>
            </w:r>
            <w:r>
              <w:rPr>
                <w:rFonts w:hint="eastAsia" w:ascii="宋体" w:hAnsi="宋体" w:eastAsia="宋体" w:cs="宋体"/>
                <w:highlight w:val="none"/>
              </w:rPr>
              <w:t>(包括主要设备的供货、运输、安装、调试、辅材的安装)</w:t>
            </w:r>
            <w:r>
              <w:rPr>
                <w:rFonts w:hint="eastAsia" w:hAnsi="宋体" w:cs="宋体"/>
                <w:highlight w:val="none"/>
                <w:lang w:eastAsia="zh-CN"/>
              </w:rPr>
              <w:t>，</w:t>
            </w:r>
            <w:r>
              <w:rPr>
                <w:rFonts w:hint="eastAsia" w:hAnsi="宋体" w:cs="宋体"/>
                <w:highlight w:val="none"/>
                <w:lang w:val="en-US" w:eastAsia="zh-CN"/>
              </w:rPr>
              <w:t>得10分</w:t>
            </w:r>
            <w:r>
              <w:rPr>
                <w:rFonts w:hint="eastAsia" w:ascii="宋体" w:hAnsi="宋体" w:eastAsia="宋体" w:cs="宋体"/>
                <w:highlight w:val="none"/>
                <w:lang w:eastAsia="zh-CN"/>
              </w:rPr>
              <w:t>；</w:t>
            </w:r>
            <w:r>
              <w:rPr>
                <w:rFonts w:hint="eastAsia" w:ascii="宋体" w:hAnsi="宋体" w:eastAsia="宋体" w:cs="宋体"/>
                <w:highlight w:val="none"/>
              </w:rPr>
              <w:t>有缺漏项，根据重要程度每处扣</w:t>
            </w:r>
            <w:r>
              <w:rPr>
                <w:rFonts w:hint="eastAsia" w:hAnsi="宋体" w:cs="宋体"/>
                <w:highlight w:val="none"/>
                <w:lang w:val="en-US" w:eastAsia="zh-CN"/>
              </w:rPr>
              <w:t>2</w:t>
            </w:r>
            <w:r>
              <w:rPr>
                <w:rFonts w:hint="eastAsia" w:ascii="宋体" w:hAnsi="宋体" w:eastAsia="宋体" w:cs="宋体"/>
                <w:highlight w:val="none"/>
              </w:rPr>
              <w:t>分，扣完为止。</w:t>
            </w:r>
          </w:p>
        </w:tc>
        <w:tc>
          <w:tcPr>
            <w:tcW w:w="797" w:type="dxa"/>
            <w:vAlign w:val="center"/>
          </w:tcPr>
          <w:p w14:paraId="360A87B6">
            <w:pPr>
              <w:jc w:val="center"/>
              <w:rPr>
                <w:rFonts w:hint="eastAsia"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10</w:t>
            </w:r>
          </w:p>
        </w:tc>
      </w:tr>
      <w:tr w14:paraId="3E46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022" w:type="dxa"/>
            <w:vMerge w:val="continue"/>
            <w:vAlign w:val="center"/>
          </w:tcPr>
          <w:p w14:paraId="5A153B1C">
            <w:pPr>
              <w:jc w:val="center"/>
              <w:rPr>
                <w:rFonts w:hint="eastAsia" w:ascii="宋体" w:hAnsi="宋体" w:eastAsia="宋体" w:cs="宋体"/>
                <w:sz w:val="24"/>
                <w:szCs w:val="24"/>
                <w:highlight w:val="none"/>
              </w:rPr>
            </w:pPr>
          </w:p>
        </w:tc>
        <w:tc>
          <w:tcPr>
            <w:tcW w:w="1602" w:type="dxa"/>
            <w:vAlign w:val="center"/>
          </w:tcPr>
          <w:p w14:paraId="0C8B08DF">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质量保证措施</w:t>
            </w:r>
          </w:p>
        </w:tc>
        <w:tc>
          <w:tcPr>
            <w:tcW w:w="6447" w:type="dxa"/>
            <w:vAlign w:val="center"/>
          </w:tcPr>
          <w:p w14:paraId="601A8599">
            <w:pPr>
              <w:pStyle w:val="18"/>
              <w:bidi w:val="0"/>
              <w:rPr>
                <w:rFonts w:hint="eastAsia"/>
                <w:highlight w:val="none"/>
              </w:rPr>
            </w:pPr>
            <w:r>
              <w:rPr>
                <w:rFonts w:hint="eastAsia"/>
                <w:highlight w:val="none"/>
              </w:rPr>
              <w:t>质量保证措施清晰完整</w:t>
            </w:r>
            <w:r>
              <w:rPr>
                <w:rFonts w:hint="eastAsia"/>
                <w:highlight w:val="none"/>
                <w:lang w:eastAsia="zh-CN"/>
              </w:rPr>
              <w:t>（</w:t>
            </w:r>
            <w:r>
              <w:rPr>
                <w:rFonts w:hint="eastAsia"/>
                <w:highlight w:val="none"/>
                <w:lang w:val="en-US" w:eastAsia="zh-CN"/>
              </w:rPr>
              <w:t>包括1.明确质量目标；2.确定管理体系与组织机构；3.质量管理措施；4.质量控制流程。</w:t>
            </w:r>
            <w:r>
              <w:rPr>
                <w:rFonts w:hint="eastAsia"/>
                <w:highlight w:val="none"/>
                <w:lang w:eastAsia="zh-CN"/>
              </w:rPr>
              <w:t>）</w:t>
            </w:r>
            <w:r>
              <w:rPr>
                <w:rFonts w:hint="eastAsia"/>
                <w:highlight w:val="none"/>
              </w:rPr>
              <w:t>，</w:t>
            </w:r>
            <w:r>
              <w:rPr>
                <w:rFonts w:hint="eastAsia"/>
                <w:highlight w:val="none"/>
                <w:lang w:val="en-US" w:eastAsia="zh-CN"/>
              </w:rPr>
              <w:t>得12</w:t>
            </w:r>
            <w:r>
              <w:rPr>
                <w:rFonts w:hint="eastAsia"/>
                <w:highlight w:val="none"/>
              </w:rPr>
              <w:t>分。有缺漏项，根据重要程度每处扣</w:t>
            </w:r>
            <w:r>
              <w:rPr>
                <w:rFonts w:hint="eastAsia"/>
                <w:highlight w:val="none"/>
                <w:lang w:val="en-US" w:eastAsia="zh-CN"/>
              </w:rPr>
              <w:t>2</w:t>
            </w:r>
            <w:r>
              <w:rPr>
                <w:rFonts w:hint="eastAsia"/>
                <w:highlight w:val="none"/>
              </w:rPr>
              <w:t>分，扣完为止。</w:t>
            </w:r>
          </w:p>
        </w:tc>
        <w:tc>
          <w:tcPr>
            <w:tcW w:w="797" w:type="dxa"/>
            <w:vAlign w:val="center"/>
          </w:tcPr>
          <w:p w14:paraId="126E2E5B">
            <w:pPr>
              <w:jc w:val="center"/>
              <w:rPr>
                <w:rFonts w:hint="eastAsia" w:ascii="宋体" w:hAnsi="宋体" w:eastAsia="宋体" w:cs="宋体"/>
                <w:sz w:val="24"/>
                <w:szCs w:val="24"/>
                <w:highlight w:val="none"/>
              </w:rPr>
            </w:pPr>
            <w:r>
              <w:rPr>
                <w:rFonts w:hint="eastAsia" w:ascii="宋体" w:hAnsi="宋体" w:eastAsia="宋体" w:cs="宋体"/>
                <w:sz w:val="24"/>
                <w:highlight w:val="none"/>
              </w:rPr>
              <w:t>12</w:t>
            </w:r>
          </w:p>
        </w:tc>
      </w:tr>
      <w:tr w14:paraId="5046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22" w:type="dxa"/>
            <w:vMerge w:val="continue"/>
            <w:vAlign w:val="center"/>
          </w:tcPr>
          <w:p w14:paraId="03238776">
            <w:pPr>
              <w:jc w:val="center"/>
              <w:rPr>
                <w:rFonts w:hint="eastAsia" w:ascii="宋体" w:hAnsi="宋体" w:eastAsia="宋体" w:cs="宋体"/>
                <w:sz w:val="24"/>
                <w:szCs w:val="24"/>
                <w:highlight w:val="none"/>
              </w:rPr>
            </w:pPr>
          </w:p>
        </w:tc>
        <w:tc>
          <w:tcPr>
            <w:tcW w:w="1602" w:type="dxa"/>
            <w:vAlign w:val="center"/>
          </w:tcPr>
          <w:p w14:paraId="610D1CE1">
            <w:pPr>
              <w:jc w:val="center"/>
              <w:rPr>
                <w:rFonts w:hint="eastAsia" w:ascii="宋体" w:hAnsi="宋体" w:eastAsia="宋体" w:cs="宋体"/>
                <w:sz w:val="24"/>
                <w:highlight w:val="none"/>
              </w:rPr>
            </w:pPr>
            <w:r>
              <w:rPr>
                <w:rFonts w:hint="eastAsia" w:ascii="宋体" w:hAnsi="宋体" w:eastAsia="宋体" w:cs="宋体"/>
                <w:sz w:val="24"/>
                <w:highlight w:val="none"/>
              </w:rPr>
              <w:t>退换货承诺</w:t>
            </w:r>
          </w:p>
        </w:tc>
        <w:tc>
          <w:tcPr>
            <w:tcW w:w="6447" w:type="dxa"/>
            <w:vAlign w:val="center"/>
          </w:tcPr>
          <w:p w14:paraId="12B09946">
            <w:pPr>
              <w:rPr>
                <w:rFonts w:hint="eastAsia" w:ascii="宋体" w:hAnsi="宋体" w:eastAsia="宋体" w:cs="宋体"/>
                <w:sz w:val="24"/>
                <w:highlight w:val="none"/>
              </w:rPr>
            </w:pPr>
            <w:r>
              <w:rPr>
                <w:rFonts w:hint="eastAsia" w:ascii="宋体" w:hAnsi="宋体" w:eastAsia="宋体" w:cs="宋体"/>
                <w:color w:val="000000"/>
                <w:kern w:val="0"/>
                <w:sz w:val="24"/>
                <w:highlight w:val="none"/>
              </w:rPr>
              <w:t>承诺对于非客户原因发现存在质量问题全部免费更换的，得2分，未提供承诺不得分。</w:t>
            </w:r>
          </w:p>
        </w:tc>
        <w:tc>
          <w:tcPr>
            <w:tcW w:w="797" w:type="dxa"/>
            <w:vAlign w:val="center"/>
          </w:tcPr>
          <w:p w14:paraId="408B6989">
            <w:pPr>
              <w:jc w:val="center"/>
              <w:rPr>
                <w:rFonts w:hint="eastAsia"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2</w:t>
            </w:r>
          </w:p>
        </w:tc>
      </w:tr>
      <w:tr w14:paraId="593D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vAlign w:val="center"/>
          </w:tcPr>
          <w:p w14:paraId="3DF9BF64">
            <w:pPr>
              <w:jc w:val="center"/>
              <w:rPr>
                <w:rFonts w:hint="eastAsia" w:ascii="宋体" w:hAnsi="宋体" w:eastAsia="宋体" w:cs="宋体"/>
                <w:sz w:val="24"/>
                <w:szCs w:val="24"/>
                <w:highlight w:val="none"/>
              </w:rPr>
            </w:pPr>
          </w:p>
        </w:tc>
        <w:tc>
          <w:tcPr>
            <w:tcW w:w="1602" w:type="dxa"/>
            <w:vAlign w:val="center"/>
          </w:tcPr>
          <w:p w14:paraId="38DA51A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p>
        </w:tc>
        <w:tc>
          <w:tcPr>
            <w:tcW w:w="6447" w:type="dxa"/>
            <w:vAlign w:val="center"/>
          </w:tcPr>
          <w:p w14:paraId="0AFDF51C">
            <w:pPr>
              <w:widowControl/>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（1）售后服务响应</w:t>
            </w:r>
            <w:r>
              <w:rPr>
                <w:rFonts w:hint="eastAsia" w:ascii="宋体" w:hAnsi="宋体" w:eastAsia="宋体" w:cs="宋体"/>
                <w:color w:val="000000"/>
                <w:kern w:val="0"/>
                <w:sz w:val="24"/>
                <w:highlight w:val="none"/>
                <w:lang w:val="en-US" w:eastAsia="zh-CN"/>
              </w:rPr>
              <w:t>当设备在质保期内使用出现问题，能</w:t>
            </w:r>
            <w:r>
              <w:rPr>
                <w:rFonts w:hint="eastAsia" w:ascii="宋体" w:hAnsi="宋体" w:cs="宋体"/>
                <w:color w:val="000000"/>
                <w:kern w:val="0"/>
                <w:sz w:val="24"/>
                <w:highlight w:val="none"/>
                <w:lang w:val="en-US" w:eastAsia="zh-CN"/>
              </w:rPr>
              <w:t>48</w:t>
            </w:r>
            <w:r>
              <w:rPr>
                <w:rFonts w:hint="eastAsia" w:ascii="宋体" w:hAnsi="宋体" w:eastAsia="宋体" w:cs="宋体"/>
                <w:color w:val="000000"/>
                <w:kern w:val="0"/>
                <w:sz w:val="24"/>
                <w:highlight w:val="none"/>
                <w:lang w:val="en-US" w:eastAsia="zh-CN"/>
              </w:rPr>
              <w:t>小时内到达现解决场得2分，能</w:t>
            </w:r>
            <w:r>
              <w:rPr>
                <w:rFonts w:hint="eastAsia" w:ascii="宋体" w:hAnsi="宋体" w:cs="宋体"/>
                <w:color w:val="000000"/>
                <w:kern w:val="0"/>
                <w:sz w:val="24"/>
                <w:highlight w:val="none"/>
                <w:lang w:val="en-US" w:eastAsia="zh-CN"/>
              </w:rPr>
              <w:t>60</w:t>
            </w:r>
            <w:r>
              <w:rPr>
                <w:rFonts w:hint="eastAsia" w:ascii="宋体" w:hAnsi="宋体" w:eastAsia="宋体" w:cs="宋体"/>
                <w:color w:val="000000"/>
                <w:kern w:val="0"/>
                <w:sz w:val="24"/>
                <w:highlight w:val="none"/>
                <w:lang w:val="en-US" w:eastAsia="zh-CN"/>
              </w:rPr>
              <w:t>小时到达现场解决得1分（投标人提供承诺书）</w:t>
            </w:r>
          </w:p>
          <w:p w14:paraId="47DF9D80">
            <w:pPr>
              <w:widowControl/>
              <w:jc w:val="left"/>
              <w:rPr>
                <w:rFonts w:hint="eastAsia" w:ascii="宋体" w:hAnsi="宋体" w:eastAsia="宋体" w:cs="宋体"/>
                <w:highlight w:val="none"/>
              </w:rPr>
            </w:pPr>
            <w:r>
              <w:rPr>
                <w:rFonts w:hint="eastAsia" w:ascii="宋体" w:hAnsi="宋体" w:eastAsia="宋体" w:cs="宋体"/>
                <w:color w:val="000000"/>
                <w:kern w:val="0"/>
                <w:sz w:val="24"/>
                <w:highlight w:val="none"/>
              </w:rPr>
              <w:t>（2）售后服务方案 内容包括：①针对服务中出现产品各项问题的解决</w:t>
            </w:r>
            <w:r>
              <w:rPr>
                <w:rFonts w:hint="eastAsia" w:ascii="宋体" w:hAnsi="宋体" w:cs="宋体"/>
                <w:color w:val="000000"/>
                <w:kern w:val="0"/>
                <w:sz w:val="24"/>
                <w:highlight w:val="none"/>
                <w:lang w:val="en-US" w:eastAsia="zh-CN"/>
              </w:rPr>
              <w:t>方案</w:t>
            </w:r>
            <w:r>
              <w:rPr>
                <w:rFonts w:hint="eastAsia" w:ascii="宋体" w:hAnsi="宋体" w:eastAsia="宋体" w:cs="宋体"/>
                <w:color w:val="000000"/>
                <w:kern w:val="0"/>
                <w:sz w:val="24"/>
                <w:highlight w:val="none"/>
              </w:rPr>
              <w:t>；②项目售后服务组织措施。</w:t>
            </w:r>
            <w:r>
              <w:rPr>
                <w:rFonts w:hint="eastAsia" w:ascii="宋体" w:hAnsi="宋体" w:cs="宋体"/>
                <w:color w:val="000000"/>
                <w:kern w:val="0"/>
                <w:sz w:val="24"/>
                <w:highlight w:val="none"/>
                <w:lang w:val="en-US" w:eastAsia="zh-CN"/>
              </w:rPr>
              <w:t>每提供一项得2分，最高得4分。</w:t>
            </w:r>
          </w:p>
          <w:p w14:paraId="277BFAAA">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（3）售后服务承诺函</w:t>
            </w:r>
            <w:r>
              <w:rPr>
                <w:rFonts w:hint="eastAsia" w:ascii="宋体"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提供得2分，未提供不得分。</w:t>
            </w:r>
          </w:p>
        </w:tc>
        <w:tc>
          <w:tcPr>
            <w:tcW w:w="797" w:type="dxa"/>
            <w:vAlign w:val="center"/>
          </w:tcPr>
          <w:p w14:paraId="40C73FB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r>
      <w:tr w14:paraId="7289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22" w:type="dxa"/>
            <w:vMerge w:val="continue"/>
            <w:vAlign w:val="center"/>
          </w:tcPr>
          <w:p w14:paraId="3CF21EBD">
            <w:pPr>
              <w:jc w:val="center"/>
              <w:rPr>
                <w:rFonts w:hint="eastAsia" w:ascii="宋体" w:hAnsi="宋体" w:eastAsia="宋体" w:cs="宋体"/>
                <w:sz w:val="24"/>
                <w:szCs w:val="24"/>
                <w:highlight w:val="none"/>
              </w:rPr>
            </w:pPr>
          </w:p>
        </w:tc>
        <w:tc>
          <w:tcPr>
            <w:tcW w:w="1602" w:type="dxa"/>
            <w:vAlign w:val="center"/>
          </w:tcPr>
          <w:p w14:paraId="662B086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售后维修服务</w:t>
            </w:r>
          </w:p>
        </w:tc>
        <w:tc>
          <w:tcPr>
            <w:tcW w:w="6447" w:type="dxa"/>
            <w:vAlign w:val="center"/>
          </w:tcPr>
          <w:p w14:paraId="4DF16F51">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供应商提供货物备品</w:t>
            </w:r>
            <w:r>
              <w:rPr>
                <w:rFonts w:hint="eastAsia" w:ascii="宋体" w:hAnsi="宋体" w:cs="宋体"/>
                <w:color w:val="000000"/>
                <w:kern w:val="0"/>
                <w:sz w:val="24"/>
                <w:highlight w:val="none"/>
                <w:lang w:val="en-US" w:eastAsia="zh-CN"/>
              </w:rPr>
              <w:t>备件</w:t>
            </w:r>
            <w:r>
              <w:rPr>
                <w:rFonts w:hint="eastAsia" w:ascii="宋体" w:hAnsi="宋体" w:eastAsia="宋体" w:cs="宋体"/>
                <w:color w:val="000000"/>
                <w:kern w:val="0"/>
                <w:sz w:val="24"/>
                <w:highlight w:val="none"/>
              </w:rPr>
              <w:t>，内容包括①备品</w:t>
            </w:r>
            <w:r>
              <w:rPr>
                <w:rFonts w:hint="eastAsia" w:ascii="宋体" w:hAnsi="宋体" w:cs="宋体"/>
                <w:color w:val="000000"/>
                <w:kern w:val="0"/>
                <w:sz w:val="24"/>
                <w:highlight w:val="none"/>
                <w:lang w:val="en-US" w:eastAsia="zh-CN"/>
              </w:rPr>
              <w:t>名称</w:t>
            </w:r>
            <w:r>
              <w:rPr>
                <w:rFonts w:hint="eastAsia" w:ascii="宋体" w:hAnsi="宋体" w:eastAsia="宋体" w:cs="宋体"/>
                <w:color w:val="000000"/>
                <w:kern w:val="0"/>
                <w:sz w:val="24"/>
                <w:highlight w:val="none"/>
              </w:rPr>
              <w:t>；②备品数量；③备品</w:t>
            </w:r>
            <w:r>
              <w:rPr>
                <w:rFonts w:hint="eastAsia" w:ascii="宋体" w:hAnsi="宋体" w:cs="宋体"/>
                <w:color w:val="000000"/>
                <w:kern w:val="0"/>
                <w:sz w:val="24"/>
                <w:highlight w:val="none"/>
                <w:lang w:val="en-US" w:eastAsia="zh-CN"/>
              </w:rPr>
              <w:t>规格</w:t>
            </w: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lang w:val="en-US" w:eastAsia="zh-CN"/>
              </w:rPr>
              <w:t>每提供一项得1分，最高得3分。</w:t>
            </w:r>
            <w:r>
              <w:rPr>
                <w:rFonts w:hint="eastAsia" w:ascii="宋体" w:hAnsi="宋体" w:eastAsia="宋体" w:cs="宋体"/>
                <w:color w:val="000000"/>
                <w:kern w:val="0"/>
                <w:sz w:val="24"/>
                <w:highlight w:val="none"/>
              </w:rPr>
              <w:t>每有一项表述混乱或</w:t>
            </w:r>
            <w:r>
              <w:rPr>
                <w:rFonts w:hint="eastAsia" w:ascii="宋体" w:hAnsi="宋体" w:cs="宋体"/>
                <w:color w:val="000000"/>
                <w:kern w:val="0"/>
                <w:sz w:val="24"/>
                <w:highlight w:val="none"/>
                <w:lang w:val="en-US" w:eastAsia="zh-CN"/>
              </w:rPr>
              <w:t>与本项目内容不符</w:t>
            </w:r>
            <w:r>
              <w:rPr>
                <w:rFonts w:hint="eastAsia" w:ascii="宋体" w:hAnsi="宋体" w:eastAsia="宋体" w:cs="宋体"/>
                <w:color w:val="000000"/>
                <w:kern w:val="0"/>
                <w:sz w:val="24"/>
                <w:highlight w:val="none"/>
              </w:rPr>
              <w:t>扣1分，扣完为止。</w:t>
            </w:r>
          </w:p>
        </w:tc>
        <w:tc>
          <w:tcPr>
            <w:tcW w:w="797" w:type="dxa"/>
            <w:vAlign w:val="center"/>
          </w:tcPr>
          <w:p w14:paraId="61275D0D">
            <w:pPr>
              <w:jc w:val="center"/>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3</w:t>
            </w:r>
          </w:p>
        </w:tc>
      </w:tr>
      <w:tr w14:paraId="2551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022" w:type="dxa"/>
            <w:vMerge w:val="continue"/>
            <w:vAlign w:val="center"/>
          </w:tcPr>
          <w:p w14:paraId="51B3471D">
            <w:pPr>
              <w:jc w:val="center"/>
              <w:rPr>
                <w:rFonts w:hint="eastAsia" w:ascii="宋体" w:hAnsi="宋体" w:eastAsia="宋体" w:cs="宋体"/>
                <w:sz w:val="24"/>
                <w:szCs w:val="24"/>
                <w:highlight w:val="none"/>
              </w:rPr>
            </w:pPr>
          </w:p>
        </w:tc>
        <w:tc>
          <w:tcPr>
            <w:tcW w:w="1602" w:type="dxa"/>
            <w:vAlign w:val="center"/>
          </w:tcPr>
          <w:p w14:paraId="1BCB3EF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r>
              <w:rPr>
                <w:rFonts w:hint="eastAsia" w:ascii="宋体" w:hAnsi="宋体" w:cs="宋体"/>
                <w:sz w:val="24"/>
                <w:szCs w:val="24"/>
                <w:highlight w:val="none"/>
                <w:lang w:val="en-US" w:eastAsia="zh-CN"/>
              </w:rPr>
              <w:t>操作</w:t>
            </w:r>
            <w:r>
              <w:rPr>
                <w:rFonts w:hint="eastAsia" w:ascii="宋体" w:hAnsi="宋体" w:eastAsia="宋体" w:cs="宋体"/>
                <w:sz w:val="24"/>
                <w:szCs w:val="24"/>
                <w:highlight w:val="none"/>
              </w:rPr>
              <w:t>培训</w:t>
            </w:r>
          </w:p>
        </w:tc>
        <w:tc>
          <w:tcPr>
            <w:tcW w:w="6447" w:type="dxa"/>
            <w:vAlign w:val="center"/>
          </w:tcPr>
          <w:p w14:paraId="6C913325">
            <w:p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rPr>
              <w:t>技术培训方案，得1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分。无培训</w:t>
            </w:r>
            <w:r>
              <w:rPr>
                <w:rFonts w:hint="eastAsia" w:ascii="宋体" w:hAnsi="宋体" w:cs="宋体"/>
                <w:sz w:val="24"/>
                <w:szCs w:val="24"/>
                <w:highlight w:val="none"/>
                <w:lang w:val="en-US" w:eastAsia="zh-CN"/>
              </w:rPr>
              <w:t>方案</w:t>
            </w:r>
            <w:r>
              <w:rPr>
                <w:rFonts w:hint="eastAsia" w:ascii="宋体" w:hAnsi="宋体" w:eastAsia="宋体" w:cs="宋体"/>
                <w:sz w:val="24"/>
                <w:szCs w:val="24"/>
                <w:highlight w:val="none"/>
              </w:rPr>
              <w:t>不得分。注：内容如存在凭空编造、没有具体说明、内容与项目无关、内容前后不一致、前后逻辑错误、逻辑漏洞、涉及的规范及标准错误、地点区域错误、内容缺失、套用其他项目方案、科学原理错误以及不可能实现的夸大情形等情况，每一项扣1.5分，扣完为止。</w:t>
            </w:r>
          </w:p>
        </w:tc>
        <w:tc>
          <w:tcPr>
            <w:tcW w:w="797" w:type="dxa"/>
            <w:vAlign w:val="center"/>
          </w:tcPr>
          <w:p w14:paraId="2559EF6B">
            <w:pPr>
              <w:jc w:val="center"/>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1</w:t>
            </w:r>
            <w:r>
              <w:rPr>
                <w:rFonts w:hint="eastAsia" w:ascii="宋体" w:hAnsi="宋体" w:cs="宋体"/>
                <w:sz w:val="24"/>
                <w:highlight w:val="none"/>
                <w:lang w:val="en-US" w:eastAsia="zh-CN"/>
              </w:rPr>
              <w:t>2</w:t>
            </w:r>
          </w:p>
        </w:tc>
      </w:tr>
      <w:tr w14:paraId="6165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22" w:type="dxa"/>
            <w:vMerge w:val="continue"/>
            <w:vAlign w:val="center"/>
          </w:tcPr>
          <w:p w14:paraId="31881B3E">
            <w:pPr>
              <w:jc w:val="center"/>
              <w:rPr>
                <w:rFonts w:hint="eastAsia" w:ascii="宋体" w:hAnsi="宋体" w:eastAsia="宋体" w:cs="宋体"/>
                <w:sz w:val="24"/>
                <w:szCs w:val="24"/>
                <w:highlight w:val="none"/>
              </w:rPr>
            </w:pPr>
          </w:p>
        </w:tc>
        <w:tc>
          <w:tcPr>
            <w:tcW w:w="1602" w:type="dxa"/>
            <w:vAlign w:val="center"/>
          </w:tcPr>
          <w:p w14:paraId="280B00E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6447" w:type="dxa"/>
            <w:vAlign w:val="center"/>
          </w:tcPr>
          <w:p w14:paraId="69F6BD44">
            <w:pPr>
              <w:numPr>
                <w:ilvl w:val="0"/>
                <w:numId w:val="0"/>
              </w:numPr>
              <w:snapToGrid w:val="0"/>
              <w:spacing w:before="0" w:beforeAutospacing="0" w:after="0" w:afterAutospacing="0" w:line="240" w:lineRule="auto"/>
              <w:jc w:val="both"/>
              <w:rPr>
                <w:rFonts w:hint="eastAsia" w:ascii="宋体" w:hAnsi="宋体" w:eastAsia="宋体" w:cs="宋体"/>
                <w:sz w:val="24"/>
                <w:szCs w:val="24"/>
                <w:highlight w:val="none"/>
              </w:rPr>
            </w:pPr>
            <w:r>
              <w:rPr>
                <w:rStyle w:val="396"/>
                <w:rFonts w:hint="eastAsia" w:ascii="宋体" w:hAnsi="宋体" w:eastAsia="宋体" w:cs="宋体"/>
                <w:b w:val="0"/>
                <w:i w:val="0"/>
                <w:color w:val="auto"/>
                <w:spacing w:val="0"/>
                <w:w w:val="100"/>
                <w:kern w:val="2"/>
                <w:sz w:val="24"/>
                <w:szCs w:val="24"/>
                <w:highlight w:val="none"/>
                <w:lang w:val="zh-CN" w:eastAsia="zh-CN" w:bidi="ar-SA"/>
              </w:rPr>
              <w:t>根据投标人自20</w:t>
            </w:r>
            <w:r>
              <w:rPr>
                <w:rStyle w:val="396"/>
                <w:rFonts w:hint="eastAsia" w:ascii="宋体" w:hAnsi="宋体" w:eastAsia="宋体" w:cs="宋体"/>
                <w:b w:val="0"/>
                <w:i w:val="0"/>
                <w:color w:val="auto"/>
                <w:spacing w:val="0"/>
                <w:w w:val="100"/>
                <w:kern w:val="2"/>
                <w:sz w:val="24"/>
                <w:szCs w:val="24"/>
                <w:highlight w:val="none"/>
                <w:lang w:val="en-US" w:eastAsia="zh-CN" w:bidi="ar-SA"/>
              </w:rPr>
              <w:t>2</w:t>
            </w:r>
            <w:r>
              <w:rPr>
                <w:rStyle w:val="396"/>
                <w:rFonts w:hint="eastAsia" w:ascii="宋体" w:hAnsi="宋体" w:cs="宋体"/>
                <w:b w:val="0"/>
                <w:i w:val="0"/>
                <w:color w:val="auto"/>
                <w:spacing w:val="0"/>
                <w:w w:val="100"/>
                <w:kern w:val="2"/>
                <w:sz w:val="24"/>
                <w:szCs w:val="24"/>
                <w:highlight w:val="none"/>
                <w:lang w:val="en-US" w:eastAsia="zh-CN" w:bidi="ar-SA"/>
              </w:rPr>
              <w:t>2</w:t>
            </w:r>
            <w:r>
              <w:rPr>
                <w:rStyle w:val="396"/>
                <w:rFonts w:hint="eastAsia" w:ascii="宋体" w:hAnsi="宋体" w:eastAsia="宋体" w:cs="宋体"/>
                <w:b w:val="0"/>
                <w:i w:val="0"/>
                <w:color w:val="auto"/>
                <w:spacing w:val="0"/>
                <w:w w:val="100"/>
                <w:kern w:val="2"/>
                <w:sz w:val="24"/>
                <w:szCs w:val="24"/>
                <w:highlight w:val="none"/>
                <w:lang w:val="zh-CN" w:eastAsia="zh-CN" w:bidi="ar-SA"/>
              </w:rPr>
              <w:t>年</w:t>
            </w:r>
            <w:r>
              <w:rPr>
                <w:rStyle w:val="396"/>
                <w:rFonts w:hint="eastAsia" w:ascii="宋体" w:hAnsi="宋体" w:cs="宋体"/>
                <w:b w:val="0"/>
                <w:i w:val="0"/>
                <w:color w:val="auto"/>
                <w:spacing w:val="0"/>
                <w:w w:val="100"/>
                <w:kern w:val="2"/>
                <w:sz w:val="24"/>
                <w:szCs w:val="24"/>
                <w:highlight w:val="none"/>
                <w:lang w:val="en-US" w:eastAsia="zh-CN" w:bidi="ar-SA"/>
              </w:rPr>
              <w:t>7</w:t>
            </w:r>
            <w:r>
              <w:rPr>
                <w:rStyle w:val="396"/>
                <w:rFonts w:hint="eastAsia" w:ascii="宋体" w:hAnsi="宋体" w:eastAsia="宋体" w:cs="宋体"/>
                <w:b w:val="0"/>
                <w:i w:val="0"/>
                <w:color w:val="auto"/>
                <w:spacing w:val="0"/>
                <w:w w:val="100"/>
                <w:kern w:val="2"/>
                <w:sz w:val="24"/>
                <w:szCs w:val="24"/>
                <w:highlight w:val="none"/>
                <w:lang w:val="zh-CN" w:eastAsia="zh-CN" w:bidi="ar-SA"/>
              </w:rPr>
              <w:t>月1日起至今（以签订合同时间为准）</w:t>
            </w:r>
            <w:r>
              <w:rPr>
                <w:rStyle w:val="396"/>
                <w:rFonts w:hint="eastAsia" w:ascii="宋体" w:hAnsi="宋体" w:cs="宋体"/>
                <w:b w:val="0"/>
                <w:i w:val="0"/>
                <w:color w:val="auto"/>
                <w:spacing w:val="0"/>
                <w:w w:val="100"/>
                <w:kern w:val="2"/>
                <w:sz w:val="24"/>
                <w:szCs w:val="24"/>
                <w:highlight w:val="none"/>
                <w:lang w:val="en-US" w:eastAsia="zh-CN" w:bidi="ar-SA"/>
              </w:rPr>
              <w:t>类似</w:t>
            </w:r>
            <w:r>
              <w:rPr>
                <w:rStyle w:val="396"/>
                <w:rFonts w:hint="eastAsia" w:ascii="宋体" w:hAnsi="宋体" w:eastAsia="宋体" w:cs="宋体"/>
                <w:b w:val="0"/>
                <w:i w:val="0"/>
                <w:color w:val="auto"/>
                <w:spacing w:val="0"/>
                <w:w w:val="100"/>
                <w:kern w:val="2"/>
                <w:sz w:val="24"/>
                <w:szCs w:val="24"/>
                <w:highlight w:val="none"/>
                <w:lang w:val="zh-CN" w:eastAsia="zh-CN" w:bidi="ar-SA"/>
              </w:rPr>
              <w:t>项目业绩。</w:t>
            </w:r>
            <w:r>
              <w:rPr>
                <w:rStyle w:val="396"/>
                <w:rFonts w:hint="eastAsia" w:ascii="宋体" w:hAnsi="宋体" w:cs="宋体"/>
                <w:b w:val="0"/>
                <w:i w:val="0"/>
                <w:color w:val="auto"/>
                <w:spacing w:val="0"/>
                <w:w w:val="100"/>
                <w:kern w:val="2"/>
                <w:sz w:val="24"/>
                <w:szCs w:val="24"/>
                <w:highlight w:val="none"/>
                <w:lang w:val="zh-CN" w:eastAsia="zh-CN" w:bidi="ar-SA"/>
              </w:rPr>
              <w:t>（</w:t>
            </w:r>
            <w:r>
              <w:rPr>
                <w:rStyle w:val="396"/>
                <w:rFonts w:hint="eastAsia" w:ascii="宋体" w:hAnsi="宋体" w:eastAsia="宋体" w:cs="宋体"/>
                <w:b w:val="0"/>
                <w:i w:val="0"/>
                <w:color w:val="auto"/>
                <w:spacing w:val="0"/>
                <w:w w:val="100"/>
                <w:kern w:val="2"/>
                <w:sz w:val="24"/>
                <w:szCs w:val="24"/>
                <w:highlight w:val="none"/>
                <w:lang w:val="zh-CN" w:eastAsia="zh-CN" w:bidi="ar-SA"/>
              </w:rPr>
              <w:t>该项评分以投标人提供合同关键页（包括金额、签约日期、双方签章）复印件</w:t>
            </w:r>
            <w:r>
              <w:rPr>
                <w:rStyle w:val="396"/>
                <w:rFonts w:hint="eastAsia" w:ascii="宋体" w:hAnsi="宋体" w:eastAsia="宋体" w:cs="宋体"/>
                <w:b w:val="0"/>
                <w:i w:val="0"/>
                <w:color w:val="auto"/>
                <w:spacing w:val="0"/>
                <w:w w:val="100"/>
                <w:kern w:val="2"/>
                <w:sz w:val="24"/>
                <w:szCs w:val="24"/>
                <w:highlight w:val="none"/>
                <w:lang w:val="en-US" w:eastAsia="zh-CN" w:bidi="ar-SA"/>
              </w:rPr>
              <w:t>或</w:t>
            </w:r>
            <w:r>
              <w:rPr>
                <w:rStyle w:val="396"/>
                <w:rFonts w:hint="eastAsia" w:ascii="宋体" w:hAnsi="宋体" w:eastAsia="宋体" w:cs="宋体"/>
                <w:b w:val="0"/>
                <w:i w:val="0"/>
                <w:color w:val="auto"/>
                <w:spacing w:val="0"/>
                <w:w w:val="100"/>
                <w:kern w:val="2"/>
                <w:sz w:val="24"/>
                <w:szCs w:val="24"/>
                <w:highlight w:val="none"/>
                <w:lang w:val="zh-CN" w:eastAsia="zh-CN" w:bidi="ar-SA"/>
              </w:rPr>
              <w:t>中标通知书复印件加盖公章为准</w:t>
            </w:r>
            <w:r>
              <w:rPr>
                <w:rStyle w:val="396"/>
                <w:rFonts w:hint="eastAsia" w:ascii="宋体" w:hAnsi="宋体" w:cs="宋体"/>
                <w:b w:val="0"/>
                <w:i w:val="0"/>
                <w:color w:val="auto"/>
                <w:spacing w:val="0"/>
                <w:w w:val="100"/>
                <w:kern w:val="2"/>
                <w:sz w:val="24"/>
                <w:szCs w:val="24"/>
                <w:highlight w:val="none"/>
                <w:lang w:val="zh-CN" w:eastAsia="zh-CN" w:bidi="ar-SA"/>
              </w:rPr>
              <w:t>）</w:t>
            </w:r>
            <w:r>
              <w:rPr>
                <w:rStyle w:val="396"/>
                <w:rFonts w:hint="eastAsia" w:ascii="宋体" w:hAnsi="宋体" w:eastAsia="宋体" w:cs="宋体"/>
                <w:b w:val="0"/>
                <w:i w:val="0"/>
                <w:color w:val="auto"/>
                <w:spacing w:val="0"/>
                <w:w w:val="100"/>
                <w:kern w:val="2"/>
                <w:sz w:val="24"/>
                <w:szCs w:val="24"/>
                <w:highlight w:val="none"/>
                <w:lang w:val="zh-CN" w:eastAsia="zh-CN" w:bidi="ar-SA"/>
              </w:rPr>
              <w:t>。</w:t>
            </w:r>
            <w:r>
              <w:rPr>
                <w:rFonts w:hint="eastAsia" w:ascii="宋体" w:hAnsi="宋体" w:eastAsia="宋体" w:cs="宋体"/>
                <w:color w:val="auto"/>
                <w:sz w:val="24"/>
                <w:highlight w:val="none"/>
                <w:lang w:val="zh-CN"/>
              </w:rPr>
              <w:t>每提供一份业绩得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分，最高分</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rPr>
              <w:t>分。</w:t>
            </w:r>
          </w:p>
        </w:tc>
        <w:tc>
          <w:tcPr>
            <w:tcW w:w="797" w:type="dxa"/>
            <w:vAlign w:val="center"/>
          </w:tcPr>
          <w:p w14:paraId="2547472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14:paraId="4C8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22" w:type="dxa"/>
            <w:vMerge w:val="continue"/>
            <w:vAlign w:val="center"/>
          </w:tcPr>
          <w:p w14:paraId="5DEEB223">
            <w:pPr>
              <w:jc w:val="center"/>
              <w:rPr>
                <w:rFonts w:hint="eastAsia" w:ascii="宋体" w:hAnsi="宋体" w:eastAsia="宋体" w:cs="宋体"/>
                <w:sz w:val="24"/>
                <w:szCs w:val="24"/>
                <w:highlight w:val="none"/>
              </w:rPr>
            </w:pPr>
          </w:p>
        </w:tc>
        <w:tc>
          <w:tcPr>
            <w:tcW w:w="1602" w:type="dxa"/>
            <w:vMerge w:val="restart"/>
            <w:vAlign w:val="center"/>
          </w:tcPr>
          <w:p w14:paraId="5634469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企业实力</w:t>
            </w:r>
          </w:p>
        </w:tc>
        <w:tc>
          <w:tcPr>
            <w:tcW w:w="6447" w:type="dxa"/>
            <w:vAlign w:val="center"/>
          </w:tcPr>
          <w:p w14:paraId="43070F2E">
            <w:pPr>
              <w:numPr>
                <w:ilvl w:val="0"/>
                <w:numId w:val="0"/>
              </w:numPr>
              <w:snapToGrid w:val="0"/>
              <w:spacing w:before="0" w:beforeAutospacing="0" w:after="0" w:afterAutospacing="0" w:line="240" w:lineRule="auto"/>
              <w:jc w:val="both"/>
              <w:rPr>
                <w:rStyle w:val="396"/>
                <w:rFonts w:hint="default" w:ascii="宋体" w:hAnsi="宋体" w:eastAsia="宋体" w:cs="宋体"/>
                <w:b w:val="0"/>
                <w:i w:val="0"/>
                <w:color w:val="auto"/>
                <w:spacing w:val="0"/>
                <w:w w:val="100"/>
                <w:kern w:val="2"/>
                <w:sz w:val="24"/>
                <w:szCs w:val="24"/>
                <w:highlight w:val="none"/>
                <w:lang w:val="en-US" w:eastAsia="zh-CN" w:bidi="ar-SA"/>
              </w:rPr>
            </w:pPr>
            <w:r>
              <w:rPr>
                <w:rStyle w:val="396"/>
                <w:rFonts w:hint="eastAsia" w:ascii="宋体" w:hAnsi="宋体" w:cs="宋体"/>
                <w:b w:val="0"/>
                <w:i w:val="0"/>
                <w:color w:val="auto"/>
                <w:spacing w:val="0"/>
                <w:w w:val="100"/>
                <w:kern w:val="2"/>
                <w:sz w:val="24"/>
                <w:szCs w:val="24"/>
                <w:highlight w:val="none"/>
                <w:lang w:val="en-US" w:eastAsia="zh-CN" w:bidi="ar-SA"/>
              </w:rPr>
              <w:t>制造商具有ISO901质量管理体系认证、ISO14001环境管理体系认证、ISO45001职业健康管体系认证，每提供一项得1分，最高得3分。</w:t>
            </w:r>
          </w:p>
        </w:tc>
        <w:tc>
          <w:tcPr>
            <w:tcW w:w="797" w:type="dxa"/>
            <w:vAlign w:val="center"/>
          </w:tcPr>
          <w:p w14:paraId="0DC3D7FB">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r>
      <w:tr w14:paraId="381E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22" w:type="dxa"/>
            <w:vMerge w:val="continue"/>
            <w:vAlign w:val="center"/>
          </w:tcPr>
          <w:p w14:paraId="252A44D0">
            <w:pPr>
              <w:jc w:val="center"/>
              <w:rPr>
                <w:rFonts w:hint="eastAsia" w:ascii="宋体" w:hAnsi="宋体" w:eastAsia="宋体" w:cs="宋体"/>
                <w:sz w:val="24"/>
                <w:szCs w:val="24"/>
                <w:highlight w:val="none"/>
              </w:rPr>
            </w:pPr>
          </w:p>
        </w:tc>
        <w:tc>
          <w:tcPr>
            <w:tcW w:w="1602" w:type="dxa"/>
            <w:vMerge w:val="continue"/>
            <w:vAlign w:val="center"/>
          </w:tcPr>
          <w:p w14:paraId="515C89EA">
            <w:pPr>
              <w:jc w:val="center"/>
              <w:rPr>
                <w:rFonts w:hint="eastAsia" w:ascii="宋体" w:hAnsi="宋体" w:eastAsia="宋体" w:cs="宋体"/>
                <w:sz w:val="24"/>
                <w:szCs w:val="24"/>
                <w:highlight w:val="none"/>
                <w:lang w:val="en-US" w:eastAsia="zh-CN"/>
              </w:rPr>
            </w:pPr>
          </w:p>
        </w:tc>
        <w:tc>
          <w:tcPr>
            <w:tcW w:w="6447" w:type="dxa"/>
            <w:vAlign w:val="center"/>
          </w:tcPr>
          <w:p w14:paraId="27B858B5">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制造商</w:t>
            </w:r>
            <w:r>
              <w:rPr>
                <w:rFonts w:hint="eastAsia" w:ascii="宋体" w:hAnsi="宋体" w:eastAsia="宋体" w:cs="宋体"/>
                <w:color w:val="auto"/>
                <w:sz w:val="24"/>
                <w:highlight w:val="none"/>
                <w:lang w:val="en-US" w:eastAsia="zh-CN"/>
              </w:rPr>
              <w:t>具有与项目相关专利的</w:t>
            </w:r>
            <w:r>
              <w:rPr>
                <w:rFonts w:hint="eastAsia" w:ascii="宋体" w:hAnsi="宋体" w:cs="宋体"/>
                <w:color w:val="auto"/>
                <w:sz w:val="24"/>
                <w:highlight w:val="none"/>
                <w:lang w:val="en-US" w:eastAsia="zh-CN"/>
              </w:rPr>
              <w:t>（不包括实用新型发明专利）</w:t>
            </w:r>
            <w:r>
              <w:rPr>
                <w:rFonts w:hint="eastAsia" w:ascii="宋体" w:hAnsi="宋体" w:eastAsia="宋体" w:cs="宋体"/>
                <w:color w:val="auto"/>
                <w:sz w:val="24"/>
                <w:highlight w:val="none"/>
                <w:lang w:val="en-US" w:eastAsia="zh-CN"/>
              </w:rPr>
              <w:t>，得1分</w:t>
            </w:r>
            <w:r>
              <w:rPr>
                <w:rFonts w:hint="eastAsia" w:ascii="宋体" w:hAnsi="宋体" w:cs="宋体"/>
                <w:color w:val="auto"/>
                <w:sz w:val="24"/>
                <w:highlight w:val="none"/>
                <w:lang w:val="en-US" w:eastAsia="zh-CN"/>
              </w:rPr>
              <w:t>，最高得2分</w:t>
            </w:r>
            <w:r>
              <w:rPr>
                <w:rFonts w:hint="eastAsia" w:ascii="宋体" w:hAnsi="宋体" w:eastAsia="宋体" w:cs="宋体"/>
                <w:color w:val="auto"/>
                <w:sz w:val="24"/>
                <w:highlight w:val="none"/>
                <w:lang w:val="en-US" w:eastAsia="zh-CN"/>
              </w:rPr>
              <w:t>。</w:t>
            </w:r>
          </w:p>
        </w:tc>
        <w:tc>
          <w:tcPr>
            <w:tcW w:w="797" w:type="dxa"/>
            <w:vAlign w:val="center"/>
          </w:tcPr>
          <w:p w14:paraId="42D06A91">
            <w:pPr>
              <w:jc w:val="center"/>
              <w:rPr>
                <w:rFonts w:hint="eastAsia" w:ascii="宋体" w:hAnsi="宋体" w:eastAsia="宋体" w:cs="宋体"/>
                <w:sz w:val="24"/>
                <w:szCs w:val="24"/>
                <w:highlight w:val="none"/>
                <w:lang w:val="en-US" w:eastAsia="zh-CN"/>
              </w:rPr>
            </w:pPr>
            <w:r>
              <w:rPr>
                <w:rFonts w:hint="eastAsia" w:ascii="宋体" w:hAnsi="宋体" w:cs="宋体"/>
                <w:color w:val="000000"/>
                <w:sz w:val="24"/>
                <w:szCs w:val="24"/>
                <w:highlight w:val="none"/>
                <w:lang w:val="en-US" w:eastAsia="zh-CN"/>
              </w:rPr>
              <w:t>2</w:t>
            </w:r>
          </w:p>
        </w:tc>
      </w:tr>
      <w:tr w14:paraId="07D8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22" w:type="dxa"/>
            <w:vMerge w:val="continue"/>
            <w:vAlign w:val="center"/>
          </w:tcPr>
          <w:p w14:paraId="43FCB7BB">
            <w:pPr>
              <w:jc w:val="center"/>
              <w:rPr>
                <w:rFonts w:hint="eastAsia" w:ascii="宋体" w:hAnsi="宋体" w:eastAsia="宋体" w:cs="宋体"/>
                <w:sz w:val="24"/>
                <w:szCs w:val="24"/>
                <w:highlight w:val="none"/>
              </w:rPr>
            </w:pPr>
          </w:p>
        </w:tc>
        <w:tc>
          <w:tcPr>
            <w:tcW w:w="1602" w:type="dxa"/>
            <w:vAlign w:val="center"/>
          </w:tcPr>
          <w:p w14:paraId="5EEE030A">
            <w:pPr>
              <w:jc w:val="center"/>
              <w:rPr>
                <w:rFonts w:hint="eastAsia" w:ascii="宋体" w:hAnsi="宋体" w:eastAsia="宋体" w:cs="宋体"/>
                <w:sz w:val="24"/>
                <w:szCs w:val="24"/>
                <w:highlight w:val="none"/>
              </w:rPr>
            </w:pPr>
            <w:r>
              <w:rPr>
                <w:rStyle w:val="396"/>
                <w:rFonts w:hint="eastAsia" w:ascii="宋体" w:hAnsi="宋体" w:eastAsia="宋体" w:cs="宋体"/>
                <w:b w:val="0"/>
                <w:i w:val="0"/>
                <w:color w:val="000000"/>
                <w:spacing w:val="0"/>
                <w:w w:val="100"/>
                <w:kern w:val="2"/>
                <w:sz w:val="24"/>
                <w:szCs w:val="24"/>
                <w:highlight w:val="none"/>
                <w:lang w:val="en-US" w:eastAsia="zh-CN" w:bidi="ar-SA"/>
              </w:rPr>
              <w:t>企业承诺及优惠条件</w:t>
            </w:r>
          </w:p>
        </w:tc>
        <w:tc>
          <w:tcPr>
            <w:tcW w:w="6447" w:type="dxa"/>
            <w:vAlign w:val="center"/>
          </w:tcPr>
          <w:p w14:paraId="5D5F298C">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有招标文件条款以外的承诺及优惠条件，</w:t>
            </w:r>
            <w:r>
              <w:rPr>
                <w:rFonts w:hint="eastAsia" w:ascii="宋体" w:hAnsi="宋体" w:cs="宋体"/>
                <w:color w:val="000000"/>
                <w:sz w:val="24"/>
                <w:szCs w:val="24"/>
                <w:highlight w:val="none"/>
                <w:lang w:val="en-US" w:eastAsia="zh-CN"/>
              </w:rPr>
              <w:t>得3分</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未提供</w:t>
            </w:r>
            <w:r>
              <w:rPr>
                <w:rFonts w:hint="eastAsia" w:ascii="宋体" w:hAnsi="宋体" w:eastAsia="宋体" w:cs="宋体"/>
                <w:color w:val="000000"/>
                <w:sz w:val="24"/>
                <w:szCs w:val="24"/>
                <w:highlight w:val="none"/>
                <w:lang w:val="en-US" w:eastAsia="zh-CN"/>
              </w:rPr>
              <w:t>不得分。</w:t>
            </w:r>
          </w:p>
        </w:tc>
        <w:tc>
          <w:tcPr>
            <w:tcW w:w="797" w:type="dxa"/>
            <w:vAlign w:val="center"/>
          </w:tcPr>
          <w:p w14:paraId="61A45B2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r>
    </w:tbl>
    <w:p w14:paraId="76A1D586">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注：得分为所有评审小组成员打分的算术平均值，不去最高及最低分。结果保留两位小数。</w:t>
      </w:r>
    </w:p>
    <w:p w14:paraId="4DCEBC5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八、招标注意事项</w:t>
      </w:r>
    </w:p>
    <w:p w14:paraId="01A7E3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8.1投标时，投标人应派代表在指定的地点参加投标。投标人人员必须及时解释和澄清投标文件内容，并以书面的形式签署确定等。</w:t>
      </w:r>
    </w:p>
    <w:p w14:paraId="247112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评审时如发现投标人的报价明显高于其市场报价或低于成本价的，应要求该投标人书面说明并提供相关证明材料。该投标人不能合理说明原因并提供证明材料的，评审小组应将该投标人的采购投标文件作无效处理，同时采购组织机构应将该情况报同级财政部门，并视情将其列入不良投标人名单。</w:t>
      </w:r>
    </w:p>
    <w:sectPr>
      <w:footerReference r:id="rId12" w:type="first"/>
      <w:footerReference r:id="rId11" w:type="default"/>
      <w:pgSz w:w="11906" w:h="16838"/>
      <w:pgMar w:top="1440" w:right="1080" w:bottom="1440" w:left="1080" w:header="851" w:footer="56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Geneva">
    <w:panose1 w:val="020B050303040404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8428">
    <w:pPr>
      <w:pStyle w:val="28"/>
      <w:jc w:val="center"/>
    </w:pPr>
    <w:r>
      <w:fldChar w:fldCharType="begin"/>
    </w:r>
    <w:r>
      <w:instrText xml:space="preserve"> PAGE   \* MERGEFORMAT </w:instrText>
    </w:r>
    <w:r>
      <w:fldChar w:fldCharType="separate"/>
    </w:r>
    <w:r>
      <w:rPr>
        <w:lang w:val="zh-CN"/>
      </w:rPr>
      <w:t>6</w:t>
    </w:r>
    <w:r>
      <w:fldChar w:fldCharType="end"/>
    </w:r>
  </w:p>
  <w:p w14:paraId="49E65C80">
    <w:pPr>
      <w:pStyle w:val="28"/>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5E1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6FCDF">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74EF">
    <w:pPr>
      <w:pStyle w:val="28"/>
      <w:rPr>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AA09">
    <w:pPr>
      <w:pStyle w:val="2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89AF">
    <w:pPr>
      <w:pStyle w:val="28"/>
      <w:jc w:val="center"/>
    </w:pPr>
    <w:r>
      <w:fldChar w:fldCharType="begin"/>
    </w:r>
    <w:r>
      <w:instrText xml:space="preserve"> PAGE   \* MERGEFORMAT </w:instrText>
    </w:r>
    <w:r>
      <w:fldChar w:fldCharType="separate"/>
    </w:r>
    <w:r>
      <w:rPr>
        <w:lang w:val="zh-CN"/>
      </w:rPr>
      <w:t>2</w:t>
    </w:r>
    <w:r>
      <w:fldChar w:fldCharType="end"/>
    </w:r>
  </w:p>
  <w:p w14:paraId="1BBE977A">
    <w:pPr>
      <w:pStyle w:val="28"/>
      <w:rPr>
        <w: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79D4">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2777">
    <w:pPr>
      <w:spacing w:line="360" w:lineRule="auto"/>
      <w:ind w:left="1812" w:leftChars="98" w:hanging="1606" w:hangingChars="800"/>
      <w:rPr>
        <w:rFonts w:hint="default" w:ascii="宋体" w:hAnsi="宋体" w:eastAsia="宋体"/>
        <w:b/>
        <w:bCs/>
        <w:sz w:val="20"/>
        <w:szCs w:val="20"/>
        <w:u w:val="single"/>
        <w:lang w:val="en-US" w:eastAsia="zh-CN"/>
      </w:rPr>
    </w:pPr>
    <w:r>
      <w:rPr>
        <w:rFonts w:hint="eastAsia" w:ascii="宋体" w:hAnsi="宋体"/>
        <w:b/>
        <w:bCs/>
        <w:sz w:val="20"/>
        <w:szCs w:val="20"/>
        <w:u w:val="single"/>
        <w:lang w:val="en-US" w:eastAsia="zh-CN"/>
      </w:rPr>
      <w:t xml:space="preserve">新疆蒙泰工程项目管理有限公司                                                                </w:t>
    </w:r>
  </w:p>
  <w:p w14:paraId="62488B13">
    <w:pPr>
      <w:spacing w:line="360" w:lineRule="auto"/>
      <w:ind w:left="1897" w:hanging="1620" w:hangingChars="900"/>
      <w:rPr>
        <w:rFonts w:ascii="宋体" w:hAnsi="宋体"/>
        <w:b/>
        <w:bCs/>
        <w:szCs w:val="21"/>
        <w:u w:val="single"/>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74310"/>
          <wp:effectExtent l="0" t="0" r="2540" b="2540"/>
          <wp:wrapNone/>
          <wp:docPr id="3" name="WordPictureWatermark2087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0872" descr="新logo"/>
                  <pic:cNvPicPr>
                    <a:picLocks noChangeAspect="1"/>
                  </pic:cNvPicPr>
                </pic:nvPicPr>
                <pic:blipFill>
                  <a:blip r:embed="rId1">
                    <a:lum bright="69998" contrast="-70001"/>
                  </a:blip>
                  <a:stretch>
                    <a:fillRect/>
                  </a:stretch>
                </pic:blipFill>
                <pic:spPr>
                  <a:xfrm>
                    <a:off x="0" y="0"/>
                    <a:ext cx="5274310" cy="5274310"/>
                  </a:xfrm>
                  <a:prstGeom prst="rect">
                    <a:avLst/>
                  </a:prstGeom>
                  <a:noFill/>
                  <a:ln w="12700">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E390">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00C7">
    <w:pPr>
      <w:pStyle w:val="29"/>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274310"/>
          <wp:effectExtent l="0" t="0" r="2540" b="2540"/>
          <wp:wrapNone/>
          <wp:docPr id="2" name="WordPictureWatermark2087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872" descr="新logo"/>
                  <pic:cNvPicPr>
                    <a:picLocks noChangeAspect="1"/>
                  </pic:cNvPicPr>
                </pic:nvPicPr>
                <pic:blipFill>
                  <a:blip r:embed="rId1">
                    <a:lum bright="69998" contrast="-70001"/>
                  </a:blip>
                  <a:stretch>
                    <a:fillRect/>
                  </a:stretch>
                </pic:blipFill>
                <pic:spPr>
                  <a:xfrm>
                    <a:off x="0" y="0"/>
                    <a:ext cx="5274310" cy="5274310"/>
                  </a:xfrm>
                  <a:prstGeom prst="rect">
                    <a:avLst/>
                  </a:prstGeom>
                  <a:noFill/>
                  <a:ln w="12700">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DA7C3"/>
    <w:multiLevelType w:val="singleLevel"/>
    <w:tmpl w:val="B4BDA7C3"/>
    <w:lvl w:ilvl="0" w:tentative="0">
      <w:start w:val="1"/>
      <w:numFmt w:val="decimal"/>
      <w:suff w:val="nothing"/>
      <w:lvlText w:val="%1、"/>
      <w:lvlJc w:val="left"/>
    </w:lvl>
  </w:abstractNum>
  <w:abstractNum w:abstractNumId="1">
    <w:nsid w:val="FFFFFF83"/>
    <w:multiLevelType w:val="singleLevel"/>
    <w:tmpl w:val="FFFFFF83"/>
    <w:lvl w:ilvl="0" w:tentative="0">
      <w:start w:val="1"/>
      <w:numFmt w:val="bullet"/>
      <w:lvlText w:val=""/>
      <w:lvlJc w:val="left"/>
      <w:pPr>
        <w:tabs>
          <w:tab w:val="left" w:pos="780"/>
        </w:tabs>
        <w:ind w:left="780" w:hanging="360"/>
      </w:pPr>
      <w:rPr>
        <w:rFonts w:hint="default" w:ascii="Wingdings" w:hAnsi="Wingdings"/>
      </w:rPr>
    </w:lvl>
  </w:abstractNum>
  <w:abstractNum w:abstractNumId="2">
    <w:nsid w:val="0000000A"/>
    <w:multiLevelType w:val="multilevel"/>
    <w:tmpl w:val="0000000A"/>
    <w:lvl w:ilvl="0" w:tentative="0">
      <w:start w:val="1"/>
      <w:numFmt w:val="decimal"/>
      <w:pStyle w:val="412"/>
      <w:lvlText w:val="%1."/>
      <w:lvlJc w:val="left"/>
      <w:pPr>
        <w:tabs>
          <w:tab w:val="left" w:pos="2040"/>
        </w:tabs>
        <w:ind w:left="2040" w:hanging="360"/>
      </w:p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934B3CF"/>
    <w:multiLevelType w:val="singleLevel"/>
    <w:tmpl w:val="0934B3CF"/>
    <w:lvl w:ilvl="0" w:tentative="0">
      <w:start w:val="1"/>
      <w:numFmt w:val="decimal"/>
      <w:suff w:val="nothing"/>
      <w:lvlText w:val="%1、"/>
      <w:lvlJc w:val="left"/>
    </w:lvl>
  </w:abstractNum>
  <w:abstractNum w:abstractNumId="4">
    <w:nsid w:val="0EDB2900"/>
    <w:multiLevelType w:val="multilevel"/>
    <w:tmpl w:val="0EDB2900"/>
    <w:lvl w:ilvl="0" w:tentative="0">
      <w:start w:val="1"/>
      <w:numFmt w:val="bullet"/>
      <w:pStyle w:val="258"/>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pStyle w:val="40"/>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20A10221"/>
    <w:multiLevelType w:val="multilevel"/>
    <w:tmpl w:val="20A10221"/>
    <w:lvl w:ilvl="0" w:tentative="0">
      <w:start w:val="1"/>
      <w:numFmt w:val="decimal"/>
      <w:pStyle w:val="236"/>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E409BB"/>
    <w:multiLevelType w:val="multilevel"/>
    <w:tmpl w:val="24E409BB"/>
    <w:lvl w:ilvl="0" w:tentative="0">
      <w:start w:val="1"/>
      <w:numFmt w:val="decimal"/>
      <w:pStyle w:val="32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7727B63"/>
    <w:multiLevelType w:val="multilevel"/>
    <w:tmpl w:val="27727B63"/>
    <w:lvl w:ilvl="0" w:tentative="0">
      <w:start w:val="1"/>
      <w:numFmt w:val="bullet"/>
      <w:pStyle w:val="247"/>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36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8600BB7"/>
    <w:multiLevelType w:val="multilevel"/>
    <w:tmpl w:val="38600BB7"/>
    <w:lvl w:ilvl="0" w:tentative="0">
      <w:start w:val="1"/>
      <w:numFmt w:val="decimal"/>
      <w:pStyle w:val="314"/>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12D49DC"/>
    <w:multiLevelType w:val="singleLevel"/>
    <w:tmpl w:val="412D49DC"/>
    <w:lvl w:ilvl="0" w:tentative="0">
      <w:start w:val="1"/>
      <w:numFmt w:val="decimal"/>
      <w:suff w:val="nothing"/>
      <w:lvlText w:val="%1、"/>
      <w:lvlJc w:val="left"/>
    </w:lvl>
  </w:abstractNum>
  <w:abstractNum w:abstractNumId="10">
    <w:nsid w:val="47B24A7F"/>
    <w:multiLevelType w:val="multilevel"/>
    <w:tmpl w:val="47B24A7F"/>
    <w:lvl w:ilvl="0" w:tentative="0">
      <w:start w:val="1"/>
      <w:numFmt w:val="decimal"/>
      <w:pStyle w:val="276"/>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8992161"/>
    <w:multiLevelType w:val="multilevel"/>
    <w:tmpl w:val="58992161"/>
    <w:lvl w:ilvl="0" w:tentative="0">
      <w:start w:val="1"/>
      <w:numFmt w:val="decimal"/>
      <w:pStyle w:val="281"/>
      <w:lvlText w:val="表 3.%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B6D3AF1"/>
    <w:multiLevelType w:val="multilevel"/>
    <w:tmpl w:val="5B6D3AF1"/>
    <w:lvl w:ilvl="0" w:tentative="0">
      <w:start w:val="1"/>
      <w:numFmt w:val="decimal"/>
      <w:pStyle w:val="392"/>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3">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10"/>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14">
    <w:nsid w:val="6E230785"/>
    <w:multiLevelType w:val="multilevel"/>
    <w:tmpl w:val="6E230785"/>
    <w:lvl w:ilvl="0" w:tentative="0">
      <w:start w:val="1"/>
      <w:numFmt w:val="bullet"/>
      <w:pStyle w:val="326"/>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322"/>
      <w:lvlText w:val=""/>
      <w:lvlJc w:val="left"/>
      <w:pPr>
        <w:tabs>
          <w:tab w:val="left" w:pos="420"/>
        </w:tabs>
        <w:ind w:left="839" w:hanging="419"/>
      </w:pPr>
      <w:rPr>
        <w:rFonts w:hint="default"/>
      </w:rPr>
    </w:lvl>
    <w:lvl w:ilvl="2" w:tentative="0">
      <w:start w:val="1"/>
      <w:numFmt w:val="decimal"/>
      <w:lvlRestart w:val="1"/>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353"/>
      <w:lvlText w:val="%5)"/>
      <w:lvlJc w:val="left"/>
      <w:pPr>
        <w:tabs>
          <w:tab w:val="left" w:pos="1259"/>
        </w:tabs>
        <w:ind w:left="1678" w:hanging="419"/>
      </w:pPr>
      <w:rPr>
        <w:rFonts w:hint="eastAsia"/>
      </w:rPr>
    </w:lvl>
    <w:lvl w:ilvl="5" w:tentative="0">
      <w:start w:val="1"/>
      <w:numFmt w:val="bullet"/>
      <w:lvlRestart w:val="0"/>
      <w:pStyle w:val="211"/>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suff w:val="space"/>
      <w:lvlText w:val="%8"/>
      <w:lvlJc w:val="left"/>
      <w:pPr>
        <w:ind w:left="0" w:firstLine="0"/>
      </w:pPr>
      <w:rPr>
        <w:rFonts w:hint="eastAsia"/>
      </w:rPr>
    </w:lvl>
    <w:lvl w:ilvl="8" w:tentative="0">
      <w:start w:val="1"/>
      <w:numFmt w:val="decimal"/>
      <w:lvlRestart w:val="1"/>
      <w:suff w:val="space"/>
      <w:lvlText w:val="%9"/>
      <w:lvlJc w:val="left"/>
      <w:pPr>
        <w:ind w:left="0" w:firstLine="0"/>
      </w:pPr>
      <w:rPr>
        <w:rFonts w:hint="eastAsia"/>
      </w:rPr>
    </w:lvl>
  </w:abstractNum>
  <w:num w:numId="1">
    <w:abstractNumId w:val="4"/>
  </w:num>
  <w:num w:numId="2">
    <w:abstractNumId w:val="15"/>
  </w:num>
  <w:num w:numId="3">
    <w:abstractNumId w:val="5"/>
  </w:num>
  <w:num w:numId="4">
    <w:abstractNumId w:val="7"/>
  </w:num>
  <w:num w:numId="5">
    <w:abstractNumId w:val="10"/>
  </w:num>
  <w:num w:numId="6">
    <w:abstractNumId w:val="11"/>
  </w:num>
  <w:num w:numId="7">
    <w:abstractNumId w:val="13"/>
  </w:num>
  <w:num w:numId="8">
    <w:abstractNumId w:val="8"/>
  </w:num>
  <w:num w:numId="9">
    <w:abstractNumId w:val="14"/>
  </w:num>
  <w:num w:numId="10">
    <w:abstractNumId w:val="6"/>
  </w:num>
  <w:num w:numId="11">
    <w:abstractNumId w:val="1"/>
  </w:num>
  <w:num w:numId="12">
    <w:abstractNumId w:val="12"/>
  </w:num>
  <w:num w:numId="13">
    <w:abstractNumId w:val="2"/>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4,5"/>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MDdjOGU1YTJkZTZlMmM1NjAyOGRiNDExMGVmNjcifQ=="/>
  </w:docVars>
  <w:rsids>
    <w:rsidRoot w:val="00000000"/>
    <w:rsid w:val="036B18C4"/>
    <w:rsid w:val="04DF68B6"/>
    <w:rsid w:val="0A892BC4"/>
    <w:rsid w:val="0B071D3B"/>
    <w:rsid w:val="0C13055B"/>
    <w:rsid w:val="0D4B4CD3"/>
    <w:rsid w:val="10F46A10"/>
    <w:rsid w:val="12F722B2"/>
    <w:rsid w:val="194F7CD6"/>
    <w:rsid w:val="1C6E46CD"/>
    <w:rsid w:val="1DD63BD9"/>
    <w:rsid w:val="266A37B5"/>
    <w:rsid w:val="269361A5"/>
    <w:rsid w:val="284C7CFC"/>
    <w:rsid w:val="2EF4631E"/>
    <w:rsid w:val="2FE44F86"/>
    <w:rsid w:val="31113F1A"/>
    <w:rsid w:val="317433D6"/>
    <w:rsid w:val="326C0551"/>
    <w:rsid w:val="35301D0A"/>
    <w:rsid w:val="3BF42E05"/>
    <w:rsid w:val="3C7A12EB"/>
    <w:rsid w:val="3E3A4230"/>
    <w:rsid w:val="41243818"/>
    <w:rsid w:val="41C31036"/>
    <w:rsid w:val="4572682B"/>
    <w:rsid w:val="506550F2"/>
    <w:rsid w:val="536320BC"/>
    <w:rsid w:val="56E65BE1"/>
    <w:rsid w:val="57574D3E"/>
    <w:rsid w:val="59C02DAD"/>
    <w:rsid w:val="59E22D24"/>
    <w:rsid w:val="5DB1138B"/>
    <w:rsid w:val="5EE0374F"/>
    <w:rsid w:val="5F3C1128"/>
    <w:rsid w:val="6622673E"/>
    <w:rsid w:val="6A0056B9"/>
    <w:rsid w:val="6DEF3513"/>
    <w:rsid w:val="6F41658F"/>
    <w:rsid w:val="74F00593"/>
    <w:rsid w:val="7918296F"/>
    <w:rsid w:val="79D43FC4"/>
    <w:rsid w:val="79F36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66"/>
    <w:qFormat/>
    <w:uiPriority w:val="0"/>
    <w:pPr>
      <w:keepNext/>
      <w:keepLines/>
      <w:spacing w:before="340" w:after="330" w:line="576" w:lineRule="auto"/>
      <w:outlineLvl w:val="0"/>
    </w:pPr>
    <w:rPr>
      <w:b/>
      <w:kern w:val="44"/>
      <w:sz w:val="44"/>
      <w:szCs w:val="20"/>
    </w:rPr>
  </w:style>
  <w:style w:type="paragraph" w:styleId="3">
    <w:name w:val="heading 2"/>
    <w:basedOn w:val="1"/>
    <w:link w:val="67"/>
    <w:autoRedefine/>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link w:val="68"/>
    <w:qFormat/>
    <w:uiPriority w:val="0"/>
    <w:pPr>
      <w:keepNext/>
      <w:keepLines/>
      <w:spacing w:before="260" w:after="260" w:line="415" w:lineRule="auto"/>
      <w:outlineLvl w:val="2"/>
    </w:pPr>
    <w:rPr>
      <w:rFonts w:cs="Angsana New"/>
      <w:b/>
      <w:bCs/>
      <w:sz w:val="32"/>
      <w:szCs w:val="32"/>
      <w:lang w:bidi="th-TH"/>
    </w:rPr>
  </w:style>
  <w:style w:type="paragraph" w:styleId="5">
    <w:name w:val="heading 4"/>
    <w:basedOn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link w:val="70"/>
    <w:autoRedefine/>
    <w:qFormat/>
    <w:uiPriority w:val="0"/>
    <w:pPr>
      <w:keepNext/>
      <w:keepLines/>
      <w:spacing w:before="280" w:after="290" w:line="376" w:lineRule="auto"/>
      <w:outlineLvl w:val="4"/>
    </w:pPr>
    <w:rPr>
      <w:b/>
      <w:bCs/>
      <w:sz w:val="28"/>
      <w:szCs w:val="28"/>
    </w:rPr>
  </w:style>
  <w:style w:type="paragraph" w:styleId="7">
    <w:name w:val="heading 6"/>
    <w:basedOn w:val="1"/>
    <w:link w:val="71"/>
    <w:qFormat/>
    <w:uiPriority w:val="0"/>
    <w:pPr>
      <w:keepNext/>
      <w:keepLines/>
      <w:spacing w:before="240" w:after="64" w:line="320" w:lineRule="auto"/>
      <w:outlineLvl w:val="5"/>
    </w:pPr>
    <w:rPr>
      <w:rFonts w:ascii="Cambria" w:hAnsi="Cambria"/>
      <w:b/>
      <w:bCs/>
      <w:sz w:val="24"/>
    </w:rPr>
  </w:style>
  <w:style w:type="paragraph" w:styleId="8">
    <w:name w:val="heading 7"/>
    <w:basedOn w:val="1"/>
    <w:link w:val="72"/>
    <w:qFormat/>
    <w:uiPriority w:val="0"/>
    <w:pPr>
      <w:keepNext/>
      <w:keepLines/>
      <w:spacing w:before="240" w:after="64" w:line="320" w:lineRule="auto"/>
      <w:outlineLvl w:val="6"/>
    </w:pPr>
    <w:rPr>
      <w:rFonts w:cs="Angsana New"/>
      <w:b/>
      <w:bCs/>
      <w:sz w:val="24"/>
      <w:lang w:bidi="th-TH"/>
    </w:rPr>
  </w:style>
  <w:style w:type="paragraph" w:styleId="9">
    <w:name w:val="heading 8"/>
    <w:basedOn w:val="1"/>
    <w:link w:val="73"/>
    <w:qFormat/>
    <w:uiPriority w:val="0"/>
    <w:pPr>
      <w:keepNext/>
      <w:keepLines/>
      <w:spacing w:before="240" w:after="64" w:line="320" w:lineRule="auto"/>
      <w:ind w:left="1440" w:hanging="1440"/>
      <w:outlineLvl w:val="7"/>
    </w:pPr>
    <w:rPr>
      <w:rFonts w:ascii="Arial" w:hAnsi="Arial" w:eastAsia="黑体"/>
      <w:sz w:val="24"/>
    </w:rPr>
  </w:style>
  <w:style w:type="paragraph" w:styleId="10">
    <w:name w:val="heading 9"/>
    <w:basedOn w:val="1"/>
    <w:link w:val="74"/>
    <w:autoRedefine/>
    <w:qFormat/>
    <w:uiPriority w:val="0"/>
    <w:pPr>
      <w:keepNext/>
      <w:keepLines/>
      <w:spacing w:before="240" w:after="64" w:line="320" w:lineRule="auto"/>
      <w:ind w:left="1584" w:hanging="1584"/>
      <w:outlineLvl w:val="8"/>
    </w:pPr>
    <w:rPr>
      <w:rFonts w:ascii="Arial" w:hAnsi="Arial" w:eastAsia="黑体"/>
      <w:szCs w:val="21"/>
    </w:rPr>
  </w:style>
  <w:style w:type="character" w:default="1" w:styleId="49">
    <w:name w:val="Default Paragraph Font"/>
    <w:autoRedefine/>
    <w:unhideWhenUsed/>
    <w:qFormat/>
    <w:uiPriority w:val="1"/>
  </w:style>
  <w:style w:type="table" w:default="1" w:styleId="47">
    <w:name w:val="Normal Table"/>
    <w:autoRedefine/>
    <w:unhideWhenUsed/>
    <w:qFormat/>
    <w:uiPriority w:val="99"/>
    <w:tblPr>
      <w:tblCellMar>
        <w:top w:w="0" w:type="dxa"/>
        <w:left w:w="108" w:type="dxa"/>
        <w:bottom w:w="0" w:type="dxa"/>
        <w:right w:w="108" w:type="dxa"/>
      </w:tblCellMar>
    </w:tblPr>
  </w:style>
  <w:style w:type="paragraph" w:styleId="11">
    <w:name w:val="toc 7"/>
    <w:basedOn w:val="1"/>
    <w:autoRedefine/>
    <w:qFormat/>
    <w:uiPriority w:val="39"/>
    <w:pPr>
      <w:ind w:left="2520" w:leftChars="1200"/>
    </w:pPr>
  </w:style>
  <w:style w:type="paragraph" w:styleId="12">
    <w:name w:val="Normal Indent"/>
    <w:basedOn w:val="1"/>
    <w:link w:val="75"/>
    <w:autoRedefine/>
    <w:qFormat/>
    <w:uiPriority w:val="0"/>
    <w:pPr>
      <w:spacing w:line="300" w:lineRule="auto"/>
      <w:ind w:firstLine="200" w:firstLineChars="200"/>
    </w:pPr>
    <w:rPr>
      <w:kern w:val="0"/>
      <w:sz w:val="20"/>
    </w:rPr>
  </w:style>
  <w:style w:type="paragraph" w:styleId="13">
    <w:name w:val="caption"/>
    <w:basedOn w:val="1"/>
    <w:link w:val="76"/>
    <w:autoRedefine/>
    <w:qFormat/>
    <w:uiPriority w:val="0"/>
    <w:rPr>
      <w:rFonts w:ascii="Cambria" w:hAnsi="Cambria" w:eastAsia="黑体"/>
      <w:kern w:val="0"/>
      <w:sz w:val="20"/>
      <w:szCs w:val="20"/>
    </w:rPr>
  </w:style>
  <w:style w:type="paragraph" w:styleId="14">
    <w:name w:val="Document Map"/>
    <w:basedOn w:val="1"/>
    <w:link w:val="77"/>
    <w:autoRedefine/>
    <w:unhideWhenUsed/>
    <w:qFormat/>
    <w:uiPriority w:val="0"/>
    <w:rPr>
      <w:rFonts w:ascii="宋体" w:hAnsi="Calibri"/>
      <w:sz w:val="18"/>
      <w:szCs w:val="18"/>
    </w:rPr>
  </w:style>
  <w:style w:type="paragraph" w:styleId="15">
    <w:name w:val="annotation text"/>
    <w:basedOn w:val="1"/>
    <w:link w:val="78"/>
    <w:autoRedefine/>
    <w:semiHidden/>
    <w:qFormat/>
    <w:uiPriority w:val="0"/>
    <w:pPr>
      <w:jc w:val="left"/>
    </w:pPr>
  </w:style>
  <w:style w:type="paragraph" w:styleId="16">
    <w:name w:val="Body Text"/>
    <w:basedOn w:val="1"/>
    <w:link w:val="79"/>
    <w:unhideWhenUsed/>
    <w:qFormat/>
    <w:uiPriority w:val="0"/>
    <w:pPr>
      <w:spacing w:after="120"/>
    </w:pPr>
  </w:style>
  <w:style w:type="paragraph" w:styleId="17">
    <w:name w:val="Body Text Indent"/>
    <w:basedOn w:val="1"/>
    <w:next w:val="18"/>
    <w:link w:val="80"/>
    <w:autoRedefine/>
    <w:qFormat/>
    <w:uiPriority w:val="0"/>
    <w:pPr>
      <w:ind w:firstLine="444"/>
    </w:pPr>
    <w:rPr>
      <w:b/>
      <w:kern w:val="0"/>
      <w:sz w:val="24"/>
    </w:rPr>
  </w:style>
  <w:style w:type="paragraph" w:styleId="18">
    <w:name w:val="Normal (Web)"/>
    <w:basedOn w:val="1"/>
    <w:next w:val="1"/>
    <w:autoRedefine/>
    <w:qFormat/>
    <w:uiPriority w:val="0"/>
    <w:pPr>
      <w:widowControl/>
      <w:jc w:val="left"/>
    </w:pPr>
    <w:rPr>
      <w:rFonts w:ascii="宋体" w:cs="宋体"/>
      <w:kern w:val="0"/>
      <w:sz w:val="24"/>
    </w:rPr>
  </w:style>
  <w:style w:type="paragraph" w:styleId="19">
    <w:name w:val="List Number 3"/>
    <w:basedOn w:val="1"/>
    <w:autoRedefine/>
    <w:qFormat/>
    <w:uiPriority w:val="0"/>
    <w:pPr>
      <w:spacing w:line="360" w:lineRule="auto"/>
    </w:pPr>
    <w:rPr>
      <w:rFonts w:ascii="Arial" w:hAnsi="Arial"/>
      <w:kern w:val="24"/>
      <w:sz w:val="24"/>
      <w:szCs w:val="20"/>
    </w:rPr>
  </w:style>
  <w:style w:type="paragraph" w:styleId="20">
    <w:name w:val="toc 5"/>
    <w:basedOn w:val="1"/>
    <w:autoRedefine/>
    <w:qFormat/>
    <w:uiPriority w:val="39"/>
    <w:pPr>
      <w:ind w:left="1680" w:leftChars="800"/>
    </w:pPr>
  </w:style>
  <w:style w:type="paragraph" w:styleId="21">
    <w:name w:val="toc 3"/>
    <w:basedOn w:val="1"/>
    <w:autoRedefine/>
    <w:qFormat/>
    <w:uiPriority w:val="39"/>
    <w:pPr>
      <w:ind w:left="840" w:leftChars="400"/>
    </w:pPr>
    <w:rPr>
      <w:rFonts w:cs="Angsana New"/>
      <w:lang w:bidi="th-TH"/>
    </w:rPr>
  </w:style>
  <w:style w:type="paragraph" w:styleId="22">
    <w:name w:val="Plain Text"/>
    <w:basedOn w:val="1"/>
    <w:link w:val="81"/>
    <w:qFormat/>
    <w:uiPriority w:val="0"/>
    <w:rPr>
      <w:rFonts w:ascii="宋体"/>
      <w:kern w:val="0"/>
      <w:sz w:val="20"/>
      <w:szCs w:val="20"/>
    </w:rPr>
  </w:style>
  <w:style w:type="paragraph" w:styleId="23">
    <w:name w:val="toc 8"/>
    <w:basedOn w:val="1"/>
    <w:autoRedefine/>
    <w:qFormat/>
    <w:uiPriority w:val="39"/>
    <w:pPr>
      <w:ind w:left="2940" w:leftChars="1400"/>
    </w:pPr>
  </w:style>
  <w:style w:type="paragraph" w:styleId="24">
    <w:name w:val="Date"/>
    <w:basedOn w:val="1"/>
    <w:link w:val="82"/>
    <w:qFormat/>
    <w:uiPriority w:val="0"/>
    <w:pPr>
      <w:ind w:left="2500" w:leftChars="2500"/>
    </w:pPr>
    <w:rPr>
      <w:rFonts w:ascii="宋体"/>
      <w:kern w:val="0"/>
      <w:sz w:val="24"/>
    </w:rPr>
  </w:style>
  <w:style w:type="paragraph" w:styleId="25">
    <w:name w:val="Body Text Indent 2"/>
    <w:basedOn w:val="1"/>
    <w:link w:val="83"/>
    <w:autoRedefine/>
    <w:qFormat/>
    <w:uiPriority w:val="0"/>
    <w:pPr>
      <w:spacing w:after="120" w:line="480" w:lineRule="auto"/>
      <w:ind w:left="200" w:leftChars="200"/>
    </w:pPr>
  </w:style>
  <w:style w:type="paragraph" w:styleId="26">
    <w:name w:val="endnote text"/>
    <w:basedOn w:val="1"/>
    <w:link w:val="84"/>
    <w:semiHidden/>
    <w:qFormat/>
    <w:uiPriority w:val="0"/>
    <w:pPr>
      <w:snapToGrid w:val="0"/>
      <w:jc w:val="left"/>
    </w:pPr>
  </w:style>
  <w:style w:type="paragraph" w:styleId="27">
    <w:name w:val="Balloon Text"/>
    <w:basedOn w:val="1"/>
    <w:link w:val="85"/>
    <w:autoRedefine/>
    <w:unhideWhenUsed/>
    <w:qFormat/>
    <w:uiPriority w:val="0"/>
    <w:rPr>
      <w:sz w:val="18"/>
      <w:szCs w:val="18"/>
    </w:rPr>
  </w:style>
  <w:style w:type="paragraph" w:styleId="28">
    <w:name w:val="footer"/>
    <w:basedOn w:val="1"/>
    <w:link w:val="86"/>
    <w:autoRedefine/>
    <w:unhideWhenUsed/>
    <w:qFormat/>
    <w:uiPriority w:val="0"/>
    <w:pPr>
      <w:tabs>
        <w:tab w:val="center" w:pos="4153"/>
        <w:tab w:val="right" w:pos="8306"/>
      </w:tabs>
      <w:snapToGrid w:val="0"/>
      <w:jc w:val="left"/>
    </w:pPr>
    <w:rPr>
      <w:sz w:val="18"/>
      <w:szCs w:val="18"/>
    </w:rPr>
  </w:style>
  <w:style w:type="paragraph" w:styleId="29">
    <w:name w:val="header"/>
    <w:basedOn w:val="1"/>
    <w:link w:val="8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autoRedefine/>
    <w:qFormat/>
    <w:uiPriority w:val="39"/>
    <w:rPr>
      <w:rFonts w:cs="Angsana New"/>
      <w:lang w:bidi="th-TH"/>
    </w:rPr>
  </w:style>
  <w:style w:type="paragraph" w:styleId="31">
    <w:name w:val="toc 4"/>
    <w:basedOn w:val="1"/>
    <w:autoRedefine/>
    <w:unhideWhenUsed/>
    <w:qFormat/>
    <w:uiPriority w:val="39"/>
    <w:pPr>
      <w:ind w:left="1260" w:leftChars="600"/>
    </w:pPr>
    <w:rPr>
      <w:rFonts w:ascii="Calibri" w:hAnsi="Calibri"/>
      <w:szCs w:val="22"/>
    </w:rPr>
  </w:style>
  <w:style w:type="paragraph" w:styleId="32">
    <w:name w:val="index heading"/>
    <w:basedOn w:val="1"/>
    <w:autoRedefine/>
    <w:semiHidden/>
    <w:qFormat/>
    <w:uiPriority w:val="0"/>
    <w:rPr>
      <w:rFonts w:ascii="Arial" w:hAnsi="Arial" w:cs="Angsana New"/>
      <w:b/>
      <w:bCs/>
      <w:lang w:bidi="th-TH"/>
    </w:rPr>
  </w:style>
  <w:style w:type="paragraph" w:styleId="33">
    <w:name w:val="Subtitle"/>
    <w:basedOn w:val="1"/>
    <w:link w:val="8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420" w:hanging="420"/>
    </w:pPr>
    <w:rPr>
      <w:sz w:val="24"/>
      <w:szCs w:val="20"/>
    </w:rPr>
  </w:style>
  <w:style w:type="paragraph" w:styleId="35">
    <w:name w:val="toc 6"/>
    <w:basedOn w:val="1"/>
    <w:autoRedefine/>
    <w:qFormat/>
    <w:uiPriority w:val="39"/>
    <w:pPr>
      <w:ind w:left="2100" w:leftChars="1000"/>
    </w:pPr>
  </w:style>
  <w:style w:type="paragraph" w:styleId="36">
    <w:name w:val="Body Text Indent 3"/>
    <w:basedOn w:val="1"/>
    <w:link w:val="89"/>
    <w:autoRedefine/>
    <w:qFormat/>
    <w:uiPriority w:val="0"/>
    <w:pPr>
      <w:spacing w:line="440" w:lineRule="exact"/>
      <w:ind w:firstLine="200" w:firstLineChars="200"/>
    </w:pPr>
    <w:rPr>
      <w:rFonts w:ascii="宋体"/>
    </w:rPr>
  </w:style>
  <w:style w:type="paragraph" w:styleId="37">
    <w:name w:val="table of figures"/>
    <w:basedOn w:val="1"/>
    <w:autoRedefine/>
    <w:qFormat/>
    <w:uiPriority w:val="99"/>
    <w:pPr>
      <w:ind w:leftChars="200" w:hanging="200" w:hangingChars="200"/>
    </w:pPr>
  </w:style>
  <w:style w:type="paragraph" w:styleId="38">
    <w:name w:val="toc 2"/>
    <w:basedOn w:val="1"/>
    <w:autoRedefine/>
    <w:qFormat/>
    <w:uiPriority w:val="39"/>
    <w:pPr>
      <w:ind w:left="420" w:leftChars="200"/>
    </w:pPr>
    <w:rPr>
      <w:rFonts w:cs="Angsana New"/>
      <w:lang w:bidi="th-TH"/>
    </w:rPr>
  </w:style>
  <w:style w:type="paragraph" w:styleId="39">
    <w:name w:val="toc 9"/>
    <w:basedOn w:val="1"/>
    <w:autoRedefine/>
    <w:qFormat/>
    <w:uiPriority w:val="39"/>
    <w:pPr>
      <w:ind w:left="3360" w:leftChars="1600"/>
    </w:pPr>
  </w:style>
  <w:style w:type="paragraph" w:styleId="40">
    <w:name w:val="Body Text 2"/>
    <w:basedOn w:val="1"/>
    <w:link w:val="90"/>
    <w:autoRedefine/>
    <w:qFormat/>
    <w:uiPriority w:val="0"/>
    <w:pPr>
      <w:numPr>
        <w:ilvl w:val="1"/>
        <w:numId w:val="1"/>
      </w:numPr>
      <w:spacing w:after="120" w:line="480" w:lineRule="auto"/>
      <w:ind w:left="0" w:firstLine="0"/>
    </w:pPr>
  </w:style>
  <w:style w:type="paragraph" w:styleId="41">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42">
    <w:name w:val="index 1"/>
    <w:basedOn w:val="1"/>
    <w:autoRedefine/>
    <w:unhideWhenUsed/>
    <w:qFormat/>
    <w:uiPriority w:val="0"/>
  </w:style>
  <w:style w:type="paragraph" w:styleId="43">
    <w:name w:val="Title"/>
    <w:basedOn w:val="1"/>
    <w:link w:val="92"/>
    <w:autoRedefine/>
    <w:qFormat/>
    <w:uiPriority w:val="10"/>
    <w:pPr>
      <w:spacing w:before="240" w:after="60"/>
      <w:jc w:val="center"/>
      <w:outlineLvl w:val="0"/>
    </w:pPr>
    <w:rPr>
      <w:rFonts w:ascii="Cambria" w:hAnsi="Cambria"/>
      <w:b/>
      <w:bCs/>
      <w:sz w:val="32"/>
      <w:szCs w:val="32"/>
    </w:rPr>
  </w:style>
  <w:style w:type="paragraph" w:styleId="44">
    <w:name w:val="annotation subject"/>
    <w:basedOn w:val="15"/>
    <w:link w:val="93"/>
    <w:autoRedefine/>
    <w:semiHidden/>
    <w:qFormat/>
    <w:uiPriority w:val="0"/>
    <w:rPr>
      <w:b/>
      <w:bCs/>
    </w:rPr>
  </w:style>
  <w:style w:type="paragraph" w:styleId="45">
    <w:name w:val="Body Text First Indent"/>
    <w:basedOn w:val="16"/>
    <w:link w:val="94"/>
    <w:autoRedefine/>
    <w:qFormat/>
    <w:uiPriority w:val="0"/>
    <w:pPr>
      <w:ind w:firstLine="420" w:firstLineChars="100"/>
    </w:pPr>
  </w:style>
  <w:style w:type="paragraph" w:styleId="46">
    <w:name w:val="Body Text First Indent 2"/>
    <w:basedOn w:val="17"/>
    <w:next w:val="17"/>
    <w:link w:val="95"/>
    <w:autoRedefine/>
    <w:qFormat/>
    <w:uiPriority w:val="0"/>
    <w:pPr>
      <w:spacing w:after="120"/>
      <w:ind w:left="420" w:leftChars="200" w:firstLine="420" w:firstLineChars="200"/>
    </w:pPr>
    <w:rPr>
      <w:rFonts w:ascii="Times New Roman" w:hAnsi="Times New Roman"/>
      <w:b w:val="0"/>
      <w:kern w:val="2"/>
      <w:sz w:val="21"/>
    </w:rPr>
  </w:style>
  <w:style w:type="table" w:styleId="48">
    <w:name w:val="Table Grid"/>
    <w:basedOn w:val="47"/>
    <w:autoRedefine/>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0"/>
    <w:rPr>
      <w:b/>
      <w:bCs/>
    </w:rPr>
  </w:style>
  <w:style w:type="character" w:styleId="51">
    <w:name w:val="endnote reference"/>
    <w:autoRedefine/>
    <w:semiHidden/>
    <w:qFormat/>
    <w:uiPriority w:val="0"/>
    <w:rPr>
      <w:vertAlign w:val="superscript"/>
    </w:rPr>
  </w:style>
  <w:style w:type="character" w:styleId="52">
    <w:name w:val="page number"/>
    <w:autoRedefine/>
    <w:qFormat/>
    <w:uiPriority w:val="0"/>
    <w:rPr>
      <w:rFonts w:cs="Times New Roman"/>
      <w:lang w:bidi="ar-SA"/>
    </w:rPr>
  </w:style>
  <w:style w:type="character" w:styleId="53">
    <w:name w:val="FollowedHyperlink"/>
    <w:basedOn w:val="49"/>
    <w:autoRedefine/>
    <w:qFormat/>
    <w:uiPriority w:val="99"/>
    <w:rPr>
      <w:color w:val="333333"/>
      <w:u w:val="none"/>
    </w:rPr>
  </w:style>
  <w:style w:type="character" w:styleId="54">
    <w:name w:val="Emphasis"/>
    <w:basedOn w:val="49"/>
    <w:autoRedefine/>
    <w:qFormat/>
    <w:uiPriority w:val="0"/>
  </w:style>
  <w:style w:type="character" w:styleId="55">
    <w:name w:val="HTML Definition"/>
    <w:basedOn w:val="49"/>
    <w:autoRedefine/>
    <w:unhideWhenUsed/>
    <w:qFormat/>
    <w:uiPriority w:val="99"/>
  </w:style>
  <w:style w:type="character" w:styleId="56">
    <w:name w:val="HTML Typewriter"/>
    <w:basedOn w:val="49"/>
    <w:autoRedefine/>
    <w:unhideWhenUsed/>
    <w:qFormat/>
    <w:uiPriority w:val="99"/>
    <w:rPr>
      <w:rFonts w:ascii="monospace" w:hAnsi="monospace" w:eastAsia="monospace" w:cs="monospace"/>
      <w:sz w:val="20"/>
    </w:rPr>
  </w:style>
  <w:style w:type="character" w:styleId="57">
    <w:name w:val="HTML Acronym"/>
    <w:basedOn w:val="49"/>
    <w:autoRedefine/>
    <w:unhideWhenUsed/>
    <w:qFormat/>
    <w:uiPriority w:val="99"/>
  </w:style>
  <w:style w:type="character" w:styleId="58">
    <w:name w:val="HTML Variable"/>
    <w:basedOn w:val="49"/>
    <w:autoRedefine/>
    <w:unhideWhenUsed/>
    <w:qFormat/>
    <w:uiPriority w:val="99"/>
  </w:style>
  <w:style w:type="character" w:styleId="59">
    <w:name w:val="Hyperlink"/>
    <w:basedOn w:val="49"/>
    <w:qFormat/>
    <w:uiPriority w:val="99"/>
    <w:rPr>
      <w:color w:val="333333"/>
      <w:u w:val="none"/>
    </w:rPr>
  </w:style>
  <w:style w:type="character" w:styleId="60">
    <w:name w:val="HTML Code"/>
    <w:basedOn w:val="49"/>
    <w:autoRedefine/>
    <w:unhideWhenUsed/>
    <w:qFormat/>
    <w:uiPriority w:val="99"/>
    <w:rPr>
      <w:rFonts w:hint="default" w:ascii="monospace" w:hAnsi="monospace" w:eastAsia="monospace" w:cs="monospace"/>
      <w:sz w:val="20"/>
    </w:rPr>
  </w:style>
  <w:style w:type="character" w:styleId="61">
    <w:name w:val="annotation reference"/>
    <w:autoRedefine/>
    <w:semiHidden/>
    <w:qFormat/>
    <w:uiPriority w:val="0"/>
    <w:rPr>
      <w:sz w:val="21"/>
      <w:szCs w:val="21"/>
    </w:rPr>
  </w:style>
  <w:style w:type="character" w:styleId="62">
    <w:name w:val="HTML Cite"/>
    <w:basedOn w:val="49"/>
    <w:autoRedefine/>
    <w:unhideWhenUsed/>
    <w:qFormat/>
    <w:uiPriority w:val="99"/>
  </w:style>
  <w:style w:type="character" w:styleId="63">
    <w:name w:val="HTML Keyboard"/>
    <w:basedOn w:val="49"/>
    <w:autoRedefine/>
    <w:unhideWhenUsed/>
    <w:qFormat/>
    <w:uiPriority w:val="99"/>
    <w:rPr>
      <w:rFonts w:hint="default" w:ascii="monospace" w:hAnsi="monospace" w:eastAsia="monospace" w:cs="monospace"/>
      <w:sz w:val="20"/>
    </w:rPr>
  </w:style>
  <w:style w:type="character" w:styleId="64">
    <w:name w:val="HTML Sample"/>
    <w:basedOn w:val="49"/>
    <w:autoRedefine/>
    <w:qFormat/>
    <w:uiPriority w:val="0"/>
    <w:rPr>
      <w:rFonts w:hint="default" w:ascii="monospace" w:hAnsi="monospace" w:eastAsia="monospace" w:cs="monospace"/>
    </w:rPr>
  </w:style>
  <w:style w:type="paragraph" w:customStyle="1" w:styleId="65">
    <w:name w:val="_Style 4"/>
    <w:basedOn w:val="1"/>
    <w:autoRedefine/>
    <w:qFormat/>
    <w:uiPriority w:val="0"/>
    <w:pPr>
      <w:widowControl/>
      <w:wordWrap w:val="0"/>
      <w:spacing w:before="200" w:after="160"/>
      <w:ind w:left="864" w:right="864"/>
      <w:jc w:val="center"/>
    </w:pPr>
    <w:rPr>
      <w:rFonts w:ascii="宋体" w:hAnsi="Calibri"/>
      <w:i/>
      <w:color w:val="404040"/>
    </w:rPr>
  </w:style>
  <w:style w:type="character" w:customStyle="1" w:styleId="66">
    <w:name w:val="标题 1 Char"/>
    <w:basedOn w:val="49"/>
    <w:link w:val="2"/>
    <w:autoRedefine/>
    <w:qFormat/>
    <w:uiPriority w:val="0"/>
    <w:rPr>
      <w:rFonts w:ascii="Times New Roman" w:hAnsi="Times New Roman" w:eastAsia="宋体" w:cs="Times New Roman"/>
      <w:b/>
      <w:kern w:val="44"/>
      <w:sz w:val="44"/>
      <w:szCs w:val="20"/>
    </w:rPr>
  </w:style>
  <w:style w:type="character" w:customStyle="1" w:styleId="67">
    <w:name w:val="标题 2 Char"/>
    <w:basedOn w:val="49"/>
    <w:link w:val="3"/>
    <w:autoRedefine/>
    <w:qFormat/>
    <w:uiPriority w:val="99"/>
    <w:rPr>
      <w:rFonts w:ascii="Arial" w:hAnsi="Arial" w:eastAsia="黑体" w:cs="Times New Roman"/>
      <w:b/>
      <w:bCs/>
      <w:sz w:val="32"/>
      <w:szCs w:val="32"/>
    </w:rPr>
  </w:style>
  <w:style w:type="character" w:customStyle="1" w:styleId="68">
    <w:name w:val="标题 3 Char"/>
    <w:basedOn w:val="49"/>
    <w:link w:val="4"/>
    <w:autoRedefine/>
    <w:qFormat/>
    <w:uiPriority w:val="0"/>
    <w:rPr>
      <w:rFonts w:ascii="Times New Roman" w:hAnsi="Times New Roman" w:eastAsia="宋体" w:cs="Angsana New"/>
      <w:b/>
      <w:bCs/>
      <w:sz w:val="32"/>
      <w:szCs w:val="32"/>
      <w:lang w:bidi="th-TH"/>
    </w:rPr>
  </w:style>
  <w:style w:type="character" w:customStyle="1" w:styleId="69">
    <w:name w:val="标题 4 Char"/>
    <w:basedOn w:val="49"/>
    <w:link w:val="5"/>
    <w:autoRedefine/>
    <w:qFormat/>
    <w:uiPriority w:val="0"/>
    <w:rPr>
      <w:rFonts w:ascii="Arial" w:hAnsi="Arial" w:eastAsia="黑体" w:cs="Times New Roman"/>
      <w:b/>
      <w:bCs/>
      <w:sz w:val="28"/>
      <w:szCs w:val="28"/>
    </w:rPr>
  </w:style>
  <w:style w:type="character" w:customStyle="1" w:styleId="70">
    <w:name w:val="标题 5 Char"/>
    <w:basedOn w:val="49"/>
    <w:link w:val="6"/>
    <w:autoRedefine/>
    <w:qFormat/>
    <w:uiPriority w:val="0"/>
    <w:rPr>
      <w:rFonts w:ascii="Times New Roman" w:hAnsi="Times New Roman" w:eastAsia="宋体" w:cs="Times New Roman"/>
      <w:b/>
      <w:bCs/>
      <w:sz w:val="28"/>
      <w:szCs w:val="28"/>
    </w:rPr>
  </w:style>
  <w:style w:type="character" w:customStyle="1" w:styleId="71">
    <w:name w:val="标题 6 Char"/>
    <w:basedOn w:val="49"/>
    <w:link w:val="7"/>
    <w:autoRedefine/>
    <w:qFormat/>
    <w:uiPriority w:val="0"/>
    <w:rPr>
      <w:rFonts w:ascii="Cambria" w:hAnsi="Cambria" w:eastAsia="宋体" w:cs="Times New Roman"/>
      <w:b/>
      <w:bCs/>
      <w:sz w:val="24"/>
      <w:szCs w:val="24"/>
    </w:rPr>
  </w:style>
  <w:style w:type="character" w:customStyle="1" w:styleId="72">
    <w:name w:val="标题 7 Char"/>
    <w:basedOn w:val="49"/>
    <w:link w:val="8"/>
    <w:autoRedefine/>
    <w:qFormat/>
    <w:uiPriority w:val="0"/>
    <w:rPr>
      <w:rFonts w:ascii="Times New Roman" w:hAnsi="Times New Roman" w:eastAsia="宋体" w:cs="Angsana New"/>
      <w:b/>
      <w:bCs/>
      <w:sz w:val="24"/>
      <w:szCs w:val="24"/>
      <w:lang w:bidi="th-TH"/>
    </w:rPr>
  </w:style>
  <w:style w:type="character" w:customStyle="1" w:styleId="73">
    <w:name w:val="标题 8 Char"/>
    <w:basedOn w:val="49"/>
    <w:link w:val="9"/>
    <w:autoRedefine/>
    <w:qFormat/>
    <w:uiPriority w:val="0"/>
    <w:rPr>
      <w:rFonts w:ascii="Arial" w:hAnsi="Arial" w:eastAsia="黑体"/>
      <w:kern w:val="2"/>
      <w:sz w:val="24"/>
      <w:szCs w:val="24"/>
    </w:rPr>
  </w:style>
  <w:style w:type="character" w:customStyle="1" w:styleId="74">
    <w:name w:val="标题 9 Char"/>
    <w:basedOn w:val="49"/>
    <w:link w:val="10"/>
    <w:autoRedefine/>
    <w:qFormat/>
    <w:uiPriority w:val="0"/>
    <w:rPr>
      <w:rFonts w:ascii="Arial" w:hAnsi="Arial" w:eastAsia="黑体"/>
      <w:kern w:val="2"/>
      <w:sz w:val="21"/>
      <w:szCs w:val="21"/>
    </w:rPr>
  </w:style>
  <w:style w:type="character" w:customStyle="1" w:styleId="75">
    <w:name w:val="正文缩进 Char"/>
    <w:link w:val="12"/>
    <w:autoRedefine/>
    <w:qFormat/>
    <w:uiPriority w:val="0"/>
    <w:rPr>
      <w:rFonts w:eastAsia="宋体"/>
      <w:szCs w:val="24"/>
    </w:rPr>
  </w:style>
  <w:style w:type="character" w:customStyle="1" w:styleId="76">
    <w:name w:val="题注 Char"/>
    <w:link w:val="13"/>
    <w:autoRedefine/>
    <w:qFormat/>
    <w:uiPriority w:val="0"/>
    <w:rPr>
      <w:rFonts w:ascii="Cambria" w:hAnsi="Cambria" w:eastAsia="黑体" w:cs="Times New Roman"/>
      <w:kern w:val="0"/>
      <w:sz w:val="20"/>
      <w:szCs w:val="20"/>
    </w:rPr>
  </w:style>
  <w:style w:type="character" w:customStyle="1" w:styleId="77">
    <w:name w:val="文档结构图 Char"/>
    <w:basedOn w:val="49"/>
    <w:link w:val="14"/>
    <w:autoRedefine/>
    <w:qFormat/>
    <w:uiPriority w:val="0"/>
    <w:rPr>
      <w:rFonts w:ascii="宋体" w:hAnsi="Calibri" w:eastAsia="宋体" w:cs="Times New Roman"/>
      <w:sz w:val="18"/>
      <w:szCs w:val="18"/>
    </w:rPr>
  </w:style>
  <w:style w:type="character" w:customStyle="1" w:styleId="78">
    <w:name w:val="批注文字 Char"/>
    <w:basedOn w:val="49"/>
    <w:link w:val="15"/>
    <w:autoRedefine/>
    <w:semiHidden/>
    <w:qFormat/>
    <w:uiPriority w:val="0"/>
    <w:rPr>
      <w:rFonts w:ascii="Times New Roman" w:hAnsi="Times New Roman"/>
      <w:kern w:val="2"/>
      <w:sz w:val="21"/>
      <w:szCs w:val="24"/>
    </w:rPr>
  </w:style>
  <w:style w:type="character" w:customStyle="1" w:styleId="79">
    <w:name w:val="正文文本 Char"/>
    <w:basedOn w:val="49"/>
    <w:link w:val="16"/>
    <w:autoRedefine/>
    <w:qFormat/>
    <w:uiPriority w:val="0"/>
    <w:rPr>
      <w:rFonts w:ascii="Times New Roman" w:hAnsi="Times New Roman" w:eastAsia="宋体" w:cs="Times New Roman"/>
      <w:szCs w:val="24"/>
    </w:rPr>
  </w:style>
  <w:style w:type="character" w:customStyle="1" w:styleId="80">
    <w:name w:val="正文文本缩进 Char"/>
    <w:link w:val="17"/>
    <w:autoRedefine/>
    <w:qFormat/>
    <w:uiPriority w:val="0"/>
    <w:rPr>
      <w:b/>
      <w:sz w:val="24"/>
      <w:szCs w:val="24"/>
    </w:rPr>
  </w:style>
  <w:style w:type="character" w:customStyle="1" w:styleId="81">
    <w:name w:val="纯文本 Char"/>
    <w:link w:val="22"/>
    <w:autoRedefine/>
    <w:qFormat/>
    <w:uiPriority w:val="0"/>
    <w:rPr>
      <w:rFonts w:ascii="宋体"/>
    </w:rPr>
  </w:style>
  <w:style w:type="character" w:customStyle="1" w:styleId="82">
    <w:name w:val="日期 Char"/>
    <w:link w:val="24"/>
    <w:autoRedefine/>
    <w:qFormat/>
    <w:uiPriority w:val="0"/>
    <w:rPr>
      <w:rFonts w:ascii="宋体"/>
      <w:sz w:val="24"/>
      <w:szCs w:val="24"/>
    </w:rPr>
  </w:style>
  <w:style w:type="character" w:customStyle="1" w:styleId="83">
    <w:name w:val="正文文本缩进 2 Char"/>
    <w:basedOn w:val="49"/>
    <w:link w:val="25"/>
    <w:autoRedefine/>
    <w:qFormat/>
    <w:uiPriority w:val="0"/>
    <w:rPr>
      <w:rFonts w:ascii="Times New Roman" w:hAnsi="Times New Roman" w:eastAsia="宋体" w:cs="Times New Roman"/>
      <w:szCs w:val="24"/>
    </w:rPr>
  </w:style>
  <w:style w:type="character" w:customStyle="1" w:styleId="84">
    <w:name w:val="尾注文本 Char"/>
    <w:basedOn w:val="49"/>
    <w:link w:val="26"/>
    <w:autoRedefine/>
    <w:semiHidden/>
    <w:qFormat/>
    <w:uiPriority w:val="0"/>
    <w:rPr>
      <w:rFonts w:ascii="Times New Roman" w:hAnsi="Times New Roman"/>
      <w:kern w:val="2"/>
      <w:sz w:val="21"/>
      <w:szCs w:val="24"/>
    </w:rPr>
  </w:style>
  <w:style w:type="character" w:customStyle="1" w:styleId="85">
    <w:name w:val="批注框文本 Char"/>
    <w:basedOn w:val="49"/>
    <w:link w:val="27"/>
    <w:autoRedefine/>
    <w:qFormat/>
    <w:uiPriority w:val="0"/>
    <w:rPr>
      <w:sz w:val="18"/>
      <w:szCs w:val="18"/>
    </w:rPr>
  </w:style>
  <w:style w:type="character" w:customStyle="1" w:styleId="86">
    <w:name w:val="页脚 Char"/>
    <w:basedOn w:val="49"/>
    <w:link w:val="28"/>
    <w:autoRedefine/>
    <w:qFormat/>
    <w:uiPriority w:val="0"/>
    <w:rPr>
      <w:sz w:val="18"/>
      <w:szCs w:val="18"/>
    </w:rPr>
  </w:style>
  <w:style w:type="character" w:customStyle="1" w:styleId="87">
    <w:name w:val="页眉 Char"/>
    <w:basedOn w:val="49"/>
    <w:link w:val="29"/>
    <w:autoRedefine/>
    <w:qFormat/>
    <w:uiPriority w:val="0"/>
    <w:rPr>
      <w:sz w:val="18"/>
      <w:szCs w:val="18"/>
    </w:rPr>
  </w:style>
  <w:style w:type="character" w:customStyle="1" w:styleId="88">
    <w:name w:val="副标题 Char"/>
    <w:basedOn w:val="49"/>
    <w:link w:val="33"/>
    <w:autoRedefine/>
    <w:qFormat/>
    <w:uiPriority w:val="11"/>
    <w:rPr>
      <w:rFonts w:ascii="Cambria" w:hAnsi="Cambria" w:eastAsia="宋体" w:cs="Times New Roman"/>
      <w:b/>
      <w:bCs/>
      <w:kern w:val="28"/>
      <w:sz w:val="32"/>
      <w:szCs w:val="32"/>
    </w:rPr>
  </w:style>
  <w:style w:type="character" w:customStyle="1" w:styleId="89">
    <w:name w:val="正文文本缩进 3 Char"/>
    <w:basedOn w:val="49"/>
    <w:link w:val="36"/>
    <w:autoRedefine/>
    <w:qFormat/>
    <w:uiPriority w:val="0"/>
    <w:rPr>
      <w:rFonts w:ascii="宋体" w:hAnsi="Times New Roman" w:eastAsia="宋体" w:cs="Times New Roman"/>
      <w:szCs w:val="24"/>
    </w:rPr>
  </w:style>
  <w:style w:type="character" w:customStyle="1" w:styleId="90">
    <w:name w:val="正文文本 2 Char"/>
    <w:basedOn w:val="49"/>
    <w:link w:val="40"/>
    <w:autoRedefine/>
    <w:qFormat/>
    <w:uiPriority w:val="0"/>
    <w:rPr>
      <w:rFonts w:ascii="Times New Roman" w:hAnsi="Times New Roman"/>
      <w:kern w:val="2"/>
      <w:sz w:val="21"/>
      <w:szCs w:val="24"/>
    </w:rPr>
  </w:style>
  <w:style w:type="character" w:customStyle="1" w:styleId="91">
    <w:name w:val="HTML 预设格式 Char"/>
    <w:basedOn w:val="49"/>
    <w:link w:val="41"/>
    <w:autoRedefine/>
    <w:qFormat/>
    <w:uiPriority w:val="0"/>
    <w:rPr>
      <w:rFonts w:ascii="Arial" w:hAnsi="Arial" w:eastAsia="宋体" w:cs="Arial"/>
      <w:kern w:val="0"/>
      <w:sz w:val="28"/>
      <w:szCs w:val="28"/>
    </w:rPr>
  </w:style>
  <w:style w:type="character" w:customStyle="1" w:styleId="92">
    <w:name w:val="标题 Char"/>
    <w:basedOn w:val="49"/>
    <w:link w:val="43"/>
    <w:autoRedefine/>
    <w:qFormat/>
    <w:uiPriority w:val="10"/>
    <w:rPr>
      <w:rFonts w:ascii="Cambria" w:hAnsi="Cambria" w:eastAsia="宋体" w:cs="Times New Roman"/>
      <w:b/>
      <w:bCs/>
      <w:sz w:val="32"/>
      <w:szCs w:val="32"/>
    </w:rPr>
  </w:style>
  <w:style w:type="character" w:customStyle="1" w:styleId="93">
    <w:name w:val="批注主题 Char"/>
    <w:basedOn w:val="78"/>
    <w:link w:val="44"/>
    <w:autoRedefine/>
    <w:semiHidden/>
    <w:qFormat/>
    <w:uiPriority w:val="0"/>
    <w:rPr>
      <w:b/>
      <w:bCs/>
    </w:rPr>
  </w:style>
  <w:style w:type="character" w:customStyle="1" w:styleId="94">
    <w:name w:val="正文首行缩进 Char"/>
    <w:basedOn w:val="79"/>
    <w:link w:val="45"/>
    <w:autoRedefine/>
    <w:qFormat/>
    <w:uiPriority w:val="0"/>
  </w:style>
  <w:style w:type="character" w:customStyle="1" w:styleId="95">
    <w:name w:val="正文首行缩进 2 Char"/>
    <w:basedOn w:val="80"/>
    <w:link w:val="46"/>
    <w:autoRedefine/>
    <w:qFormat/>
    <w:uiPriority w:val="0"/>
    <w:rPr>
      <w:rFonts w:ascii="Times New Roman" w:hAnsi="Times New Roman"/>
      <w:kern w:val="2"/>
      <w:sz w:val="21"/>
    </w:rPr>
  </w:style>
  <w:style w:type="paragraph" w:customStyle="1" w:styleId="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7">
    <w:name w:val="font81"/>
    <w:basedOn w:val="49"/>
    <w:autoRedefine/>
    <w:qFormat/>
    <w:uiPriority w:val="0"/>
    <w:rPr>
      <w:rFonts w:hint="eastAsia" w:ascii="宋体" w:hAnsi="宋体" w:eastAsia="宋体" w:cs="宋体"/>
      <w:color w:val="000000"/>
      <w:sz w:val="24"/>
      <w:szCs w:val="24"/>
    </w:rPr>
  </w:style>
  <w:style w:type="character" w:customStyle="1" w:styleId="98">
    <w:name w:val="font71"/>
    <w:basedOn w:val="49"/>
    <w:autoRedefine/>
    <w:qFormat/>
    <w:uiPriority w:val="0"/>
    <w:rPr>
      <w:rFonts w:hint="eastAsia" w:ascii="宋体" w:hAnsi="宋体" w:eastAsia="宋体" w:cs="宋体"/>
      <w:color w:val="000000"/>
      <w:sz w:val="24"/>
      <w:szCs w:val="24"/>
      <w:u w:val="none"/>
    </w:rPr>
  </w:style>
  <w:style w:type="character" w:customStyle="1" w:styleId="99">
    <w:name w:val="sub_title1"/>
    <w:autoRedefine/>
    <w:qFormat/>
    <w:uiPriority w:val="0"/>
    <w:rPr>
      <w:rFonts w:cs="Times New Roman"/>
      <w:lang w:bidi="ar-SA"/>
    </w:rPr>
  </w:style>
  <w:style w:type="character" w:customStyle="1" w:styleId="100">
    <w:name w:val="Char Char"/>
    <w:autoRedefine/>
    <w:qFormat/>
    <w:uiPriority w:val="0"/>
    <w:rPr>
      <w:kern w:val="2"/>
      <w:sz w:val="21"/>
      <w:szCs w:val="24"/>
    </w:rPr>
  </w:style>
  <w:style w:type="character" w:customStyle="1" w:styleId="101">
    <w:name w:val="正文缩进 Char1"/>
    <w:autoRedefine/>
    <w:qFormat/>
    <w:uiPriority w:val="0"/>
    <w:rPr>
      <w:rFonts w:ascii="Times New Roman" w:hAnsi="Times New Roman" w:eastAsia="宋体" w:cs="Times New Roman"/>
      <w:szCs w:val="24"/>
    </w:rPr>
  </w:style>
  <w:style w:type="character" w:customStyle="1" w:styleId="102">
    <w:name w:val="font51"/>
    <w:basedOn w:val="49"/>
    <w:autoRedefine/>
    <w:qFormat/>
    <w:uiPriority w:val="0"/>
    <w:rPr>
      <w:rFonts w:hint="eastAsia" w:ascii="宋体" w:hAnsi="宋体" w:eastAsia="宋体" w:cs="宋体"/>
      <w:color w:val="000000"/>
      <w:sz w:val="22"/>
      <w:szCs w:val="22"/>
      <w:u w:val="none"/>
    </w:rPr>
  </w:style>
  <w:style w:type="character" w:customStyle="1" w:styleId="103">
    <w:name w:val="@他"/>
    <w:autoRedefine/>
    <w:unhideWhenUsed/>
    <w:qFormat/>
    <w:uiPriority w:val="99"/>
    <w:rPr>
      <w:color w:val="2B579A"/>
      <w:shd w:val="clear" w:color="auto" w:fill="E6E6E6"/>
    </w:rPr>
  </w:style>
  <w:style w:type="character" w:customStyle="1" w:styleId="104">
    <w:name w:val="B正文 Char"/>
    <w:link w:val="105"/>
    <w:autoRedefine/>
    <w:qFormat/>
    <w:uiPriority w:val="0"/>
    <w:rPr>
      <w:rFonts w:ascii="宋体" w:hAnsi="宋体"/>
      <w:sz w:val="24"/>
    </w:rPr>
  </w:style>
  <w:style w:type="paragraph" w:customStyle="1" w:styleId="105">
    <w:name w:val="B正文"/>
    <w:basedOn w:val="1"/>
    <w:link w:val="104"/>
    <w:autoRedefine/>
    <w:qFormat/>
    <w:uiPriority w:val="0"/>
    <w:pPr>
      <w:widowControl/>
      <w:spacing w:line="360" w:lineRule="auto"/>
      <w:ind w:firstLine="200" w:firstLineChars="200"/>
    </w:pPr>
    <w:rPr>
      <w:rFonts w:ascii="宋体" w:hAnsi="宋体"/>
      <w:kern w:val="0"/>
      <w:sz w:val="24"/>
      <w:szCs w:val="20"/>
    </w:rPr>
  </w:style>
  <w:style w:type="character" w:customStyle="1" w:styleId="106">
    <w:name w:val="apple-style-span"/>
    <w:autoRedefine/>
    <w:qFormat/>
    <w:uiPriority w:val="0"/>
    <w:rPr>
      <w:rFonts w:cs="Times New Roman"/>
      <w:lang w:bidi="ar-SA"/>
    </w:rPr>
  </w:style>
  <w:style w:type="character" w:customStyle="1" w:styleId="107">
    <w:name w:val="列出段落 Char"/>
    <w:link w:val="108"/>
    <w:autoRedefine/>
    <w:qFormat/>
    <w:uiPriority w:val="34"/>
    <w:rPr>
      <w:rFonts w:ascii="Calibri" w:hAnsi="Calibri" w:eastAsia="宋体" w:cs="Times New Roman"/>
      <w:kern w:val="0"/>
      <w:sz w:val="20"/>
      <w:szCs w:val="20"/>
    </w:rPr>
  </w:style>
  <w:style w:type="paragraph" w:customStyle="1" w:styleId="108">
    <w:name w:val="List Paragraph1"/>
    <w:basedOn w:val="1"/>
    <w:link w:val="107"/>
    <w:autoRedefine/>
    <w:qFormat/>
    <w:uiPriority w:val="34"/>
    <w:pPr>
      <w:ind w:firstLine="420" w:firstLineChars="200"/>
    </w:pPr>
    <w:rPr>
      <w:rFonts w:ascii="Calibri" w:hAnsi="Calibri"/>
      <w:kern w:val="0"/>
      <w:sz w:val="20"/>
      <w:szCs w:val="20"/>
    </w:rPr>
  </w:style>
  <w:style w:type="character" w:customStyle="1" w:styleId="109">
    <w:name w:val="Date Char"/>
    <w:autoRedefine/>
    <w:qFormat/>
    <w:uiPriority w:val="0"/>
    <w:rPr>
      <w:rFonts w:ascii="宋体" w:eastAsia="宋体"/>
      <w:kern w:val="2"/>
      <w:sz w:val="24"/>
      <w:lang w:val="en-US" w:eastAsia="zh-CN"/>
    </w:rPr>
  </w:style>
  <w:style w:type="character" w:customStyle="1" w:styleId="110">
    <w:name w:val="apple-converted-space"/>
    <w:autoRedefine/>
    <w:qFormat/>
    <w:uiPriority w:val="0"/>
  </w:style>
  <w:style w:type="character" w:customStyle="1" w:styleId="111">
    <w:name w:val="文档正文 Char"/>
    <w:link w:val="112"/>
    <w:autoRedefine/>
    <w:qFormat/>
    <w:uiPriority w:val="0"/>
    <w:rPr>
      <w:rFonts w:ascii="Times New Roman" w:hAnsi="Times New Roman" w:eastAsia="仿宋_GB2312"/>
      <w:kern w:val="2"/>
      <w:sz w:val="28"/>
    </w:rPr>
  </w:style>
  <w:style w:type="paragraph" w:customStyle="1" w:styleId="112">
    <w:name w:val="文档正文"/>
    <w:basedOn w:val="1"/>
    <w:link w:val="111"/>
    <w:autoRedefine/>
    <w:qFormat/>
    <w:uiPriority w:val="0"/>
    <w:pPr>
      <w:adjustRightInd w:val="0"/>
      <w:spacing w:line="560" w:lineRule="exact"/>
      <w:ind w:firstLine="567"/>
    </w:pPr>
    <w:rPr>
      <w:rFonts w:eastAsia="仿宋_GB2312"/>
      <w:sz w:val="28"/>
      <w:szCs w:val="20"/>
    </w:rPr>
  </w:style>
  <w:style w:type="character" w:customStyle="1" w:styleId="113">
    <w:name w:val="Char Char3"/>
    <w:autoRedefine/>
    <w:semiHidden/>
    <w:qFormat/>
    <w:uiPriority w:val="0"/>
    <w:rPr>
      <w:sz w:val="18"/>
      <w:szCs w:val="18"/>
    </w:rPr>
  </w:style>
  <w:style w:type="character" w:customStyle="1" w:styleId="114">
    <w:name w:val="已访问的超链接1"/>
    <w:autoRedefine/>
    <w:qFormat/>
    <w:uiPriority w:val="99"/>
    <w:rPr>
      <w:color w:val="800080"/>
      <w:u w:val="single"/>
    </w:rPr>
  </w:style>
  <w:style w:type="character" w:customStyle="1" w:styleId="115">
    <w:name w:val="Body Text Char"/>
    <w:autoRedefine/>
    <w:qFormat/>
    <w:uiPriority w:val="0"/>
    <w:rPr>
      <w:rFonts w:ascii="宋体" w:eastAsia="宋体"/>
      <w:kern w:val="2"/>
      <w:sz w:val="24"/>
      <w:lang w:val="en-US" w:eastAsia="zh-CN"/>
    </w:rPr>
  </w:style>
  <w:style w:type="character" w:customStyle="1" w:styleId="116">
    <w:name w:val="font31"/>
    <w:basedOn w:val="49"/>
    <w:autoRedefine/>
    <w:qFormat/>
    <w:uiPriority w:val="0"/>
    <w:rPr>
      <w:rFonts w:hint="eastAsia" w:ascii="宋体" w:hAnsi="宋体" w:eastAsia="宋体" w:cs="宋体"/>
      <w:color w:val="000000"/>
      <w:sz w:val="24"/>
      <w:szCs w:val="24"/>
      <w:u w:val="none"/>
    </w:rPr>
  </w:style>
  <w:style w:type="character" w:customStyle="1" w:styleId="117">
    <w:name w:val="font122"/>
    <w:basedOn w:val="49"/>
    <w:autoRedefine/>
    <w:qFormat/>
    <w:uiPriority w:val="0"/>
    <w:rPr>
      <w:rFonts w:hint="eastAsia" w:ascii="宋体" w:hAnsi="宋体" w:eastAsia="宋体" w:cs="宋体"/>
      <w:color w:val="000000"/>
      <w:sz w:val="24"/>
      <w:szCs w:val="24"/>
      <w:u w:val="none"/>
    </w:rPr>
  </w:style>
  <w:style w:type="character" w:customStyle="1" w:styleId="118">
    <w:name w:val="标题 1 字符"/>
    <w:autoRedefine/>
    <w:qFormat/>
    <w:uiPriority w:val="0"/>
    <w:rPr>
      <w:b/>
      <w:bCs/>
      <w:kern w:val="44"/>
      <w:sz w:val="32"/>
      <w:szCs w:val="44"/>
    </w:rPr>
  </w:style>
  <w:style w:type="character" w:customStyle="1" w:styleId="119">
    <w:name w:val="Table Text Char"/>
    <w:link w:val="120"/>
    <w:autoRedefine/>
    <w:qFormat/>
    <w:uiPriority w:val="0"/>
    <w:rPr>
      <w:rFonts w:ascii="Arial" w:hAnsi="Arial"/>
      <w:sz w:val="18"/>
      <w:lang w:val="en-US" w:eastAsia="zh-CN" w:bidi="ar-SA"/>
    </w:rPr>
  </w:style>
  <w:style w:type="paragraph" w:customStyle="1" w:styleId="120">
    <w:name w:val="Table Text"/>
    <w:link w:val="119"/>
    <w:autoRedefine/>
    <w:qFormat/>
    <w:uiPriority w:val="0"/>
    <w:pPr>
      <w:snapToGrid w:val="0"/>
      <w:spacing w:before="80" w:after="80"/>
    </w:pPr>
    <w:rPr>
      <w:rFonts w:ascii="Arial" w:hAnsi="Arial" w:eastAsia="宋体" w:cs="Times New Roman"/>
      <w:sz w:val="18"/>
      <w:lang w:val="en-US" w:eastAsia="zh-CN" w:bidi="ar-SA"/>
    </w:rPr>
  </w:style>
  <w:style w:type="character" w:customStyle="1" w:styleId="121">
    <w:name w:val="Table Description Char Char"/>
    <w:link w:val="122"/>
    <w:autoRedefine/>
    <w:qFormat/>
    <w:uiPriority w:val="0"/>
    <w:rPr>
      <w:rFonts w:ascii="Arial" w:hAnsi="Arial" w:cs="Arial"/>
      <w:spacing w:val="-4"/>
      <w:kern w:val="2"/>
      <w:sz w:val="21"/>
      <w:szCs w:val="21"/>
    </w:rPr>
  </w:style>
  <w:style w:type="paragraph" w:customStyle="1" w:styleId="122">
    <w:name w:val="Table Description"/>
    <w:basedOn w:val="1"/>
    <w:link w:val="121"/>
    <w:autoRedefine/>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23">
    <w:name w:val="@他1"/>
    <w:basedOn w:val="49"/>
    <w:autoRedefine/>
    <w:unhideWhenUsed/>
    <w:qFormat/>
    <w:uiPriority w:val="99"/>
    <w:rPr>
      <w:color w:val="2B579A"/>
      <w:shd w:val="clear" w:color="auto" w:fill="E6E6E6"/>
    </w:rPr>
  </w:style>
  <w:style w:type="character" w:customStyle="1" w:styleId="124">
    <w:name w:val="style81"/>
    <w:autoRedefine/>
    <w:qFormat/>
    <w:uiPriority w:val="0"/>
    <w:rPr>
      <w:rFonts w:cs="Times New Roman"/>
      <w:sz w:val="21"/>
      <w:szCs w:val="21"/>
      <w:lang w:bidi="ar-SA"/>
    </w:rPr>
  </w:style>
  <w:style w:type="character" w:customStyle="1" w:styleId="125">
    <w:name w:val="HD2 Char"/>
    <w:autoRedefine/>
    <w:qFormat/>
    <w:uiPriority w:val="0"/>
    <w:rPr>
      <w:rFonts w:ascii="Arial" w:hAnsi="Arial" w:eastAsia="黑体"/>
      <w:b/>
      <w:bCs/>
      <w:kern w:val="2"/>
      <w:sz w:val="32"/>
      <w:szCs w:val="32"/>
      <w:lang w:val="en-US" w:eastAsia="zh-CN" w:bidi="ar-SA"/>
    </w:rPr>
  </w:style>
  <w:style w:type="character" w:customStyle="1" w:styleId="126">
    <w:name w:val="Body Text 21 Char"/>
    <w:link w:val="127"/>
    <w:autoRedefine/>
    <w:qFormat/>
    <w:uiPriority w:val="0"/>
    <w:rPr>
      <w:rFonts w:eastAsia="宋体"/>
    </w:rPr>
  </w:style>
  <w:style w:type="paragraph" w:customStyle="1" w:styleId="127">
    <w:name w:val="Body Text 21"/>
    <w:basedOn w:val="1"/>
    <w:link w:val="126"/>
    <w:autoRedefine/>
    <w:qFormat/>
    <w:uiPriority w:val="0"/>
    <w:pPr>
      <w:widowControl/>
      <w:adjustRightInd w:val="0"/>
      <w:spacing w:before="50" w:after="50"/>
      <w:ind w:firstLine="200"/>
      <w:jc w:val="center"/>
    </w:pPr>
    <w:rPr>
      <w:kern w:val="0"/>
      <w:sz w:val="20"/>
      <w:szCs w:val="20"/>
    </w:rPr>
  </w:style>
  <w:style w:type="character" w:customStyle="1" w:styleId="128">
    <w:name w:val="font61"/>
    <w:basedOn w:val="49"/>
    <w:autoRedefine/>
    <w:qFormat/>
    <w:uiPriority w:val="0"/>
    <w:rPr>
      <w:rFonts w:hint="eastAsia" w:ascii="宋体" w:hAnsi="宋体" w:eastAsia="宋体" w:cs="宋体"/>
      <w:b/>
      <w:color w:val="000000"/>
      <w:sz w:val="22"/>
      <w:szCs w:val="22"/>
      <w:u w:val="none"/>
    </w:rPr>
  </w:style>
  <w:style w:type="character" w:customStyle="1" w:styleId="129">
    <w:name w:val="font01"/>
    <w:basedOn w:val="49"/>
    <w:autoRedefine/>
    <w:qFormat/>
    <w:uiPriority w:val="0"/>
    <w:rPr>
      <w:rFonts w:hint="eastAsia" w:ascii="宋体" w:hAnsi="宋体" w:eastAsia="宋体" w:cs="宋体"/>
      <w:color w:val="000000"/>
      <w:sz w:val="22"/>
      <w:szCs w:val="22"/>
      <w:u w:val="none"/>
    </w:rPr>
  </w:style>
  <w:style w:type="character" w:customStyle="1" w:styleId="130">
    <w:name w:val="font151"/>
    <w:basedOn w:val="49"/>
    <w:autoRedefine/>
    <w:qFormat/>
    <w:uiPriority w:val="0"/>
    <w:rPr>
      <w:rFonts w:hint="eastAsia" w:ascii="宋体" w:hAnsi="宋体" w:eastAsia="宋体" w:cs="宋体"/>
      <w:color w:val="FF0000"/>
      <w:sz w:val="24"/>
      <w:szCs w:val="24"/>
      <w:u w:val="none"/>
    </w:rPr>
  </w:style>
  <w:style w:type="character" w:customStyle="1" w:styleId="131">
    <w:name w:val="r13"/>
    <w:basedOn w:val="49"/>
    <w:autoRedefine/>
    <w:qFormat/>
    <w:uiPriority w:val="0"/>
  </w:style>
  <w:style w:type="character" w:customStyle="1" w:styleId="132">
    <w:name w:val="ca-3"/>
    <w:autoRedefine/>
    <w:qFormat/>
    <w:uiPriority w:val="0"/>
    <w:rPr>
      <w:rFonts w:cs="Times New Roman"/>
      <w:lang w:bidi="ar-SA"/>
    </w:rPr>
  </w:style>
  <w:style w:type="character" w:customStyle="1" w:styleId="133">
    <w:name w:val="样式 宋体"/>
    <w:autoRedefine/>
    <w:qFormat/>
    <w:uiPriority w:val="0"/>
    <w:rPr>
      <w:rFonts w:ascii="宋体" w:hAnsi="宋体" w:eastAsia="宋体"/>
      <w:sz w:val="24"/>
      <w:szCs w:val="24"/>
    </w:rPr>
  </w:style>
  <w:style w:type="character" w:customStyle="1" w:styleId="134">
    <w:name w:val="Table Heading Char"/>
    <w:link w:val="135"/>
    <w:autoRedefine/>
    <w:qFormat/>
    <w:uiPriority w:val="0"/>
    <w:rPr>
      <w:rFonts w:ascii="Arial" w:hAnsi="Arial" w:eastAsia="黑体" w:cs="Book Antiqua"/>
      <w:bCs/>
      <w:sz w:val="21"/>
      <w:szCs w:val="21"/>
    </w:rPr>
  </w:style>
  <w:style w:type="paragraph" w:customStyle="1" w:styleId="135">
    <w:name w:val="Table Heading"/>
    <w:basedOn w:val="1"/>
    <w:link w:val="134"/>
    <w:autoRedefine/>
    <w:qFormat/>
    <w:uiPriority w:val="0"/>
    <w:pPr>
      <w:keepNext/>
      <w:topLinePunct/>
      <w:adjustRightInd w:val="0"/>
      <w:snapToGrid w:val="0"/>
      <w:spacing w:before="80" w:after="80" w:line="240" w:lineRule="atLeast"/>
      <w:jc w:val="left"/>
    </w:pPr>
    <w:rPr>
      <w:rFonts w:ascii="Arial" w:hAnsi="Arial" w:eastAsia="黑体"/>
      <w:bCs/>
      <w:kern w:val="0"/>
      <w:szCs w:val="21"/>
    </w:rPr>
  </w:style>
  <w:style w:type="character" w:customStyle="1" w:styleId="136">
    <w:name w:val="普通文字1 Char"/>
    <w:autoRedefine/>
    <w:qFormat/>
    <w:uiPriority w:val="0"/>
    <w:rPr>
      <w:rFonts w:ascii="宋体" w:eastAsia="宋体"/>
      <w:kern w:val="2"/>
      <w:sz w:val="21"/>
      <w:lang w:val="en-US" w:eastAsia="zh-CN" w:bidi="ar-SA"/>
    </w:rPr>
  </w:style>
  <w:style w:type="character" w:customStyle="1" w:styleId="137">
    <w:name w:val="表格标题(居中) Char"/>
    <w:link w:val="138"/>
    <w:autoRedefine/>
    <w:qFormat/>
    <w:uiPriority w:val="0"/>
    <w:rPr>
      <w:rFonts w:ascii="Times New Roman" w:hAnsi="Times New Roman" w:eastAsia="黑体"/>
      <w:kern w:val="2"/>
      <w:sz w:val="24"/>
    </w:rPr>
  </w:style>
  <w:style w:type="paragraph" w:customStyle="1" w:styleId="138">
    <w:name w:val="表格标题(居中)"/>
    <w:basedOn w:val="1"/>
    <w:link w:val="137"/>
    <w:autoRedefine/>
    <w:qFormat/>
    <w:uiPriority w:val="0"/>
    <w:pPr>
      <w:snapToGrid w:val="0"/>
      <w:spacing w:line="300" w:lineRule="auto"/>
      <w:jc w:val="center"/>
    </w:pPr>
    <w:rPr>
      <w:rFonts w:eastAsia="黑体"/>
      <w:sz w:val="24"/>
      <w:szCs w:val="20"/>
    </w:rPr>
  </w:style>
  <w:style w:type="character" w:customStyle="1" w:styleId="139">
    <w:name w:val="正文文本 (2)"/>
    <w:basedOn w:val="140"/>
    <w:autoRedefine/>
    <w:qFormat/>
    <w:uiPriority w:val="0"/>
    <w:rPr>
      <w:color w:val="000000"/>
      <w:spacing w:val="0"/>
      <w:w w:val="100"/>
      <w:lang w:val="zh-CN" w:eastAsia="zh-CN" w:bidi="zh-CN"/>
    </w:rPr>
  </w:style>
  <w:style w:type="character" w:customStyle="1" w:styleId="140">
    <w:name w:val="正文文本 (2)_"/>
    <w:basedOn w:val="49"/>
    <w:link w:val="141"/>
    <w:autoRedefine/>
    <w:qFormat/>
    <w:uiPriority w:val="0"/>
    <w:rPr>
      <w:rFonts w:ascii="MingLiU" w:hAnsi="MingLiU" w:eastAsia="MingLiU" w:cs="MingLiU"/>
      <w:sz w:val="46"/>
      <w:szCs w:val="46"/>
      <w:u w:val="none"/>
    </w:rPr>
  </w:style>
  <w:style w:type="paragraph" w:customStyle="1" w:styleId="141">
    <w:name w:val="正文文本 (2)1"/>
    <w:basedOn w:val="1"/>
    <w:link w:val="140"/>
    <w:autoRedefine/>
    <w:qFormat/>
    <w:uiPriority w:val="0"/>
    <w:pPr>
      <w:shd w:val="clear" w:color="auto" w:fill="FFFFFF"/>
      <w:spacing w:before="800" w:line="920" w:lineRule="exact"/>
      <w:jc w:val="distribute"/>
    </w:pPr>
    <w:rPr>
      <w:rFonts w:ascii="MingLiU" w:hAnsi="MingLiU" w:eastAsia="MingLiU"/>
      <w:kern w:val="0"/>
      <w:sz w:val="46"/>
      <w:szCs w:val="46"/>
    </w:rPr>
  </w:style>
  <w:style w:type="character" w:customStyle="1" w:styleId="142">
    <w:name w:val="font141"/>
    <w:basedOn w:val="49"/>
    <w:autoRedefine/>
    <w:qFormat/>
    <w:uiPriority w:val="0"/>
    <w:rPr>
      <w:rFonts w:hint="eastAsia" w:ascii="宋体" w:hAnsi="宋体" w:eastAsia="宋体" w:cs="宋体"/>
      <w:b/>
      <w:color w:val="000000"/>
      <w:sz w:val="24"/>
      <w:szCs w:val="24"/>
      <w:u w:val="none"/>
    </w:rPr>
  </w:style>
  <w:style w:type="character" w:customStyle="1" w:styleId="143">
    <w:name w:val="表格非标题文字 Char"/>
    <w:link w:val="144"/>
    <w:autoRedefine/>
    <w:qFormat/>
    <w:uiPriority w:val="0"/>
    <w:rPr>
      <w:rFonts w:ascii="Arial" w:hAnsi="Arial"/>
      <w:kern w:val="2"/>
      <w:sz w:val="18"/>
      <w:szCs w:val="21"/>
      <w:lang w:val="en-US" w:eastAsia="zh-CN" w:bidi="ar-SA"/>
    </w:rPr>
  </w:style>
  <w:style w:type="paragraph" w:customStyle="1" w:styleId="144">
    <w:name w:val="表格非标题文字"/>
    <w:link w:val="143"/>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45">
    <w:name w:val="style91"/>
    <w:autoRedefine/>
    <w:qFormat/>
    <w:uiPriority w:val="0"/>
    <w:rPr>
      <w:rFonts w:cs="Times New Roman"/>
      <w:color w:val="000000"/>
      <w:lang w:bidi="ar-SA"/>
    </w:rPr>
  </w:style>
  <w:style w:type="character" w:customStyle="1" w:styleId="146">
    <w:name w:val="正文缩进(ALT+Z) Char"/>
    <w:link w:val="147"/>
    <w:autoRedefine/>
    <w:qFormat/>
    <w:uiPriority w:val="0"/>
    <w:rPr>
      <w:rFonts w:ascii="Times New Roman" w:hAnsi="Times New Roman"/>
      <w:kern w:val="2"/>
      <w:sz w:val="24"/>
      <w:szCs w:val="24"/>
    </w:rPr>
  </w:style>
  <w:style w:type="paragraph" w:customStyle="1" w:styleId="147">
    <w:name w:val="正文缩进(ALT+Z)"/>
    <w:basedOn w:val="1"/>
    <w:link w:val="146"/>
    <w:autoRedefine/>
    <w:qFormat/>
    <w:uiPriority w:val="0"/>
    <w:pPr>
      <w:spacing w:line="360" w:lineRule="auto"/>
      <w:ind w:firstLine="200" w:firstLineChars="200"/>
    </w:pPr>
    <w:rPr>
      <w:sz w:val="24"/>
    </w:rPr>
  </w:style>
  <w:style w:type="character" w:customStyle="1" w:styleId="148">
    <w:name w:val="ca-0"/>
    <w:autoRedefine/>
    <w:qFormat/>
    <w:uiPriority w:val="0"/>
    <w:rPr>
      <w:rFonts w:cs="Times New Roman"/>
      <w:lang w:bidi="ar-SA"/>
    </w:rPr>
  </w:style>
  <w:style w:type="character" w:customStyle="1" w:styleId="149">
    <w:name w:val="Table Text Char1"/>
    <w:autoRedefine/>
    <w:qFormat/>
    <w:uiPriority w:val="0"/>
    <w:rPr>
      <w:rFonts w:ascii="Arial" w:hAnsi="Arial" w:eastAsia="宋体" w:cs="Arial"/>
      <w:sz w:val="21"/>
      <w:szCs w:val="21"/>
      <w:lang w:val="en-US" w:eastAsia="zh-CN" w:bidi="ar-SA"/>
    </w:rPr>
  </w:style>
  <w:style w:type="character" w:customStyle="1" w:styleId="150">
    <w:name w:val="font131"/>
    <w:basedOn w:val="49"/>
    <w:autoRedefine/>
    <w:qFormat/>
    <w:uiPriority w:val="0"/>
    <w:rPr>
      <w:rFonts w:hint="eastAsia" w:ascii="宋体" w:hAnsi="宋体" w:eastAsia="宋体" w:cs="宋体"/>
      <w:b/>
      <w:color w:val="000000"/>
      <w:sz w:val="22"/>
      <w:szCs w:val="22"/>
      <w:u w:val="none"/>
    </w:rPr>
  </w:style>
  <w:style w:type="character" w:customStyle="1" w:styleId="151">
    <w:name w:val="ca-2"/>
    <w:autoRedefine/>
    <w:qFormat/>
    <w:uiPriority w:val="0"/>
    <w:rPr>
      <w:rFonts w:cs="Times New Roman"/>
      <w:lang w:bidi="ar-SA"/>
    </w:rPr>
  </w:style>
  <w:style w:type="character" w:customStyle="1" w:styleId="152">
    <w:name w:val="themebody1"/>
    <w:autoRedefine/>
    <w:qFormat/>
    <w:uiPriority w:val="0"/>
    <w:rPr>
      <w:color w:val="FFFFFF"/>
      <w:sz w:val="22"/>
      <w:szCs w:val="22"/>
      <w:shd w:val="clear" w:color="auto" w:fill="0066FF"/>
    </w:rPr>
  </w:style>
  <w:style w:type="character" w:customStyle="1" w:styleId="153">
    <w:name w:val="txt"/>
    <w:basedOn w:val="49"/>
    <w:autoRedefine/>
    <w:qFormat/>
    <w:uiPriority w:val="0"/>
  </w:style>
  <w:style w:type="character" w:customStyle="1" w:styleId="154">
    <w:name w:val="ca-21"/>
    <w:autoRedefine/>
    <w:qFormat/>
    <w:uiPriority w:val="0"/>
    <w:rPr>
      <w:rFonts w:ascii="宋体-18030" w:eastAsia="宋体-18030" w:cs="宋体-18030"/>
      <w:sz w:val="24"/>
      <w:szCs w:val="24"/>
      <w:lang w:bidi="ar-SA"/>
    </w:rPr>
  </w:style>
  <w:style w:type="character" w:customStyle="1" w:styleId="155">
    <w:name w:val="ca-11"/>
    <w:autoRedefine/>
    <w:qFormat/>
    <w:uiPriority w:val="0"/>
    <w:rPr>
      <w:rFonts w:ascii="宋体" w:eastAsia="宋体" w:cs="Times New Roman"/>
      <w:sz w:val="24"/>
      <w:szCs w:val="24"/>
      <w:lang w:bidi="ar-SA"/>
    </w:rPr>
  </w:style>
  <w:style w:type="character" w:customStyle="1" w:styleId="156">
    <w:name w:val="正文文本 (2) + SimSun5"/>
    <w:basedOn w:val="140"/>
    <w:autoRedefine/>
    <w:qFormat/>
    <w:uiPriority w:val="0"/>
    <w:rPr>
      <w:rFonts w:ascii="宋体" w:hAnsi="宋体" w:eastAsia="Times New Roman" w:cs="宋体"/>
      <w:color w:val="000000"/>
      <w:spacing w:val="90"/>
      <w:w w:val="100"/>
      <w:sz w:val="44"/>
      <w:szCs w:val="44"/>
      <w:lang w:val="zh-CN" w:eastAsia="zh-CN"/>
    </w:rPr>
  </w:style>
  <w:style w:type="character" w:customStyle="1" w:styleId="157">
    <w:name w:val="正文2级 Char"/>
    <w:link w:val="158"/>
    <w:autoRedefine/>
    <w:qFormat/>
    <w:uiPriority w:val="0"/>
    <w:rPr>
      <w:bCs/>
      <w:kern w:val="44"/>
      <w:sz w:val="24"/>
      <w:szCs w:val="44"/>
      <w:lang w:val="en-US" w:eastAsia="zh-CN" w:bidi="ar-SA"/>
    </w:rPr>
  </w:style>
  <w:style w:type="paragraph" w:customStyle="1" w:styleId="158">
    <w:name w:val="正文2级"/>
    <w:link w:val="157"/>
    <w:autoRedefine/>
    <w:qFormat/>
    <w:uiPriority w:val="0"/>
    <w:pPr>
      <w:widowControl w:val="0"/>
      <w:spacing w:after="60" w:line="400" w:lineRule="exact"/>
      <w:jc w:val="both"/>
    </w:pPr>
    <w:rPr>
      <w:rFonts w:ascii="Times New Roman" w:hAnsi="Times New Roman" w:eastAsia="宋体" w:cs="Times New Roman"/>
      <w:bCs/>
      <w:kern w:val="44"/>
      <w:sz w:val="24"/>
      <w:szCs w:val="44"/>
      <w:lang w:val="en-US" w:eastAsia="zh-CN" w:bidi="ar-SA"/>
    </w:rPr>
  </w:style>
  <w:style w:type="character" w:customStyle="1" w:styleId="159">
    <w:name w:val="正文文本缩进 Char1"/>
    <w:basedOn w:val="49"/>
    <w:autoRedefine/>
    <w:semiHidden/>
    <w:qFormat/>
    <w:uiPriority w:val="99"/>
    <w:rPr>
      <w:rFonts w:ascii="Times New Roman" w:hAnsi="Times New Roman" w:eastAsia="宋体" w:cs="Times New Roman"/>
      <w:szCs w:val="24"/>
    </w:rPr>
  </w:style>
  <w:style w:type="character" w:customStyle="1" w:styleId="160">
    <w:name w:val="ca-4"/>
    <w:autoRedefine/>
    <w:qFormat/>
    <w:uiPriority w:val="0"/>
    <w:rPr>
      <w:rFonts w:cs="Times New Roman"/>
      <w:lang w:bidi="ar-SA"/>
    </w:rPr>
  </w:style>
  <w:style w:type="character" w:customStyle="1" w:styleId="161">
    <w:name w:val="Mention"/>
    <w:basedOn w:val="49"/>
    <w:autoRedefine/>
    <w:unhideWhenUsed/>
    <w:qFormat/>
    <w:uiPriority w:val="99"/>
    <w:rPr>
      <w:color w:val="2B579A"/>
      <w:shd w:val="clear" w:color="auto" w:fill="E6E6E6"/>
    </w:rPr>
  </w:style>
  <w:style w:type="character" w:customStyle="1" w:styleId="162">
    <w:name w:val=" Char Char3"/>
    <w:autoRedefine/>
    <w:semiHidden/>
    <w:qFormat/>
    <w:uiPriority w:val="0"/>
    <w:rPr>
      <w:sz w:val="18"/>
      <w:szCs w:val="18"/>
    </w:rPr>
  </w:style>
  <w:style w:type="character" w:customStyle="1" w:styleId="163">
    <w:name w:val="chanpinname"/>
    <w:basedOn w:val="49"/>
    <w:autoRedefine/>
    <w:qFormat/>
    <w:uiPriority w:val="0"/>
  </w:style>
  <w:style w:type="character" w:customStyle="1" w:styleId="164">
    <w:name w:val="prod_content_font_011"/>
    <w:autoRedefine/>
    <w:qFormat/>
    <w:uiPriority w:val="0"/>
    <w:rPr>
      <w:rFonts w:hint="default" w:ascii="Verdana" w:hAnsi="Verdana"/>
      <w:color w:val="5E5E5E"/>
      <w:sz w:val="17"/>
      <w:szCs w:val="17"/>
    </w:rPr>
  </w:style>
  <w:style w:type="character" w:customStyle="1" w:styleId="165">
    <w:name w:val="font161"/>
    <w:basedOn w:val="49"/>
    <w:autoRedefine/>
    <w:qFormat/>
    <w:uiPriority w:val="0"/>
    <w:rPr>
      <w:rFonts w:hint="eastAsia" w:ascii="宋体" w:hAnsi="宋体" w:eastAsia="宋体" w:cs="宋体"/>
      <w:b/>
      <w:color w:val="000000"/>
      <w:sz w:val="28"/>
      <w:szCs w:val="28"/>
      <w:u w:val="none"/>
    </w:rPr>
  </w:style>
  <w:style w:type="character" w:customStyle="1" w:styleId="166">
    <w:name w:val="普通 (Web) Char"/>
    <w:link w:val="167"/>
    <w:autoRedefine/>
    <w:qFormat/>
    <w:uiPriority w:val="0"/>
    <w:rPr>
      <w:rFonts w:ascii="宋体" w:hAnsi="宋体"/>
      <w:sz w:val="24"/>
      <w:szCs w:val="24"/>
    </w:rPr>
  </w:style>
  <w:style w:type="paragraph" w:customStyle="1" w:styleId="167">
    <w:name w:val="普通 (Web)"/>
    <w:basedOn w:val="1"/>
    <w:link w:val="166"/>
    <w:autoRedefine/>
    <w:qFormat/>
    <w:uiPriority w:val="0"/>
    <w:pPr>
      <w:widowControl/>
      <w:spacing w:before="100" w:beforeAutospacing="1" w:after="100" w:afterAutospacing="1"/>
      <w:jc w:val="left"/>
    </w:pPr>
    <w:rPr>
      <w:rFonts w:ascii="宋体" w:hAnsi="宋体"/>
      <w:kern w:val="0"/>
      <w:sz w:val="24"/>
    </w:rPr>
  </w:style>
  <w:style w:type="character" w:customStyle="1" w:styleId="168">
    <w:name w:val="日期 Char1"/>
    <w:basedOn w:val="49"/>
    <w:autoRedefine/>
    <w:semiHidden/>
    <w:qFormat/>
    <w:uiPriority w:val="99"/>
    <w:rPr>
      <w:rFonts w:ascii="Times New Roman" w:hAnsi="Times New Roman" w:eastAsia="宋体" w:cs="Times New Roman"/>
      <w:szCs w:val="24"/>
    </w:rPr>
  </w:style>
  <w:style w:type="character" w:customStyle="1" w:styleId="169">
    <w:name w:val="纯文本 Char1"/>
    <w:basedOn w:val="49"/>
    <w:autoRedefine/>
    <w:semiHidden/>
    <w:qFormat/>
    <w:uiPriority w:val="99"/>
    <w:rPr>
      <w:rFonts w:ascii="宋体" w:hAnsi="Courier New" w:eastAsia="宋体" w:cs="Courier New"/>
      <w:szCs w:val="21"/>
    </w:rPr>
  </w:style>
  <w:style w:type="character" w:customStyle="1" w:styleId="170">
    <w:name w:val="font41"/>
    <w:basedOn w:val="49"/>
    <w:autoRedefine/>
    <w:qFormat/>
    <w:uiPriority w:val="0"/>
    <w:rPr>
      <w:rFonts w:hint="eastAsia" w:ascii="宋体" w:hAnsi="宋体" w:eastAsia="宋体" w:cs="宋体"/>
      <w:color w:val="000000"/>
      <w:sz w:val="20"/>
      <w:szCs w:val="20"/>
    </w:rPr>
  </w:style>
  <w:style w:type="character" w:customStyle="1" w:styleId="171">
    <w:name w:val="明显参考1"/>
    <w:autoRedefine/>
    <w:qFormat/>
    <w:uiPriority w:val="0"/>
    <w:rPr>
      <w:b/>
      <w:bCs/>
      <w:color w:val="DA1F28"/>
      <w:spacing w:val="5"/>
      <w:u w:val="single"/>
    </w:rPr>
  </w:style>
  <w:style w:type="character" w:customStyle="1" w:styleId="172">
    <w:name w:val="font91"/>
    <w:basedOn w:val="49"/>
    <w:autoRedefine/>
    <w:qFormat/>
    <w:uiPriority w:val="0"/>
    <w:rPr>
      <w:rFonts w:ascii="等线" w:hAnsi="等线" w:eastAsia="等线" w:cs="等线"/>
      <w:color w:val="000000"/>
      <w:sz w:val="22"/>
      <w:szCs w:val="22"/>
      <w:u w:val="none"/>
    </w:rPr>
  </w:style>
  <w:style w:type="character" w:customStyle="1" w:styleId="173">
    <w:name w:val="题注 字符"/>
    <w:autoRedefine/>
    <w:qFormat/>
    <w:uiPriority w:val="0"/>
    <w:rPr>
      <w:rFonts w:ascii="Arial" w:hAnsi="Arial" w:eastAsia="黑体" w:cs="Arial"/>
    </w:rPr>
  </w:style>
  <w:style w:type="character" w:customStyle="1" w:styleId="174">
    <w:name w:val="Figure Text Char"/>
    <w:link w:val="175"/>
    <w:autoRedefine/>
    <w:qFormat/>
    <w:uiPriority w:val="0"/>
    <w:rPr>
      <w:rFonts w:ascii="Arial" w:hAnsi="Arial"/>
      <w:sz w:val="18"/>
      <w:szCs w:val="18"/>
      <w:lang w:val="en-US" w:eastAsia="en-US" w:bidi="ar-SA"/>
    </w:rPr>
  </w:style>
  <w:style w:type="paragraph" w:customStyle="1" w:styleId="175">
    <w:name w:val="Figure Text"/>
    <w:link w:val="174"/>
    <w:autoRedefine/>
    <w:qFormat/>
    <w:uiPriority w:val="0"/>
    <w:pPr>
      <w:widowControl w:val="0"/>
      <w:adjustRightInd w:val="0"/>
      <w:snapToGrid w:val="0"/>
      <w:spacing w:line="240" w:lineRule="atLeast"/>
    </w:pPr>
    <w:rPr>
      <w:rFonts w:ascii="Arial" w:hAnsi="Arial" w:eastAsia="宋体" w:cs="Times New Roman"/>
      <w:sz w:val="18"/>
      <w:szCs w:val="18"/>
      <w:lang w:val="en-US" w:eastAsia="en-US" w:bidi="ar-SA"/>
    </w:rPr>
  </w:style>
  <w:style w:type="character" w:customStyle="1" w:styleId="176">
    <w:name w:val="正文（缩进） Char"/>
    <w:link w:val="177"/>
    <w:autoRedefine/>
    <w:qFormat/>
    <w:uiPriority w:val="0"/>
    <w:rPr>
      <w:rFonts w:ascii="Times New Roman" w:hAnsi="Times New Roman" w:eastAsia="宋体" w:cs="Times New Roman"/>
      <w:kern w:val="0"/>
      <w:sz w:val="24"/>
      <w:szCs w:val="24"/>
    </w:rPr>
  </w:style>
  <w:style w:type="paragraph" w:customStyle="1" w:styleId="177">
    <w:name w:val="正文（缩进）"/>
    <w:basedOn w:val="1"/>
    <w:link w:val="176"/>
    <w:autoRedefine/>
    <w:qFormat/>
    <w:uiPriority w:val="0"/>
    <w:pPr>
      <w:spacing w:beforeLines="50" w:afterLines="50" w:line="360" w:lineRule="auto"/>
      <w:ind w:firstLine="480" w:firstLineChars="200"/>
    </w:pPr>
    <w:rPr>
      <w:kern w:val="0"/>
      <w:sz w:val="24"/>
    </w:rPr>
  </w:style>
  <w:style w:type="paragraph" w:customStyle="1" w:styleId="178">
    <w:name w:val="样式 小四 首行缩进:  2 字符"/>
    <w:basedOn w:val="1"/>
    <w:autoRedefine/>
    <w:qFormat/>
    <w:uiPriority w:val="0"/>
    <w:pPr>
      <w:spacing w:line="300" w:lineRule="auto"/>
      <w:ind w:firstLine="480" w:firstLineChars="200"/>
    </w:pPr>
    <w:rPr>
      <w:sz w:val="24"/>
      <w:szCs w:val="20"/>
    </w:rPr>
  </w:style>
  <w:style w:type="paragraph" w:customStyle="1" w:styleId="179">
    <w:name w:val="TOC Heading1"/>
    <w:basedOn w:val="2"/>
    <w:autoRedefine/>
    <w:semiHidden/>
    <w:qFormat/>
    <w:uiPriority w:val="99"/>
    <w:pPr>
      <w:widowControl/>
      <w:spacing w:before="480" w:after="0" w:line="276" w:lineRule="auto"/>
      <w:jc w:val="left"/>
      <w:outlineLvl w:val="9"/>
    </w:pPr>
    <w:rPr>
      <w:rFonts w:ascii="Cambria" w:hAnsi="Cambria" w:cs="黑体"/>
      <w:bCs/>
      <w:color w:val="365F90"/>
      <w:kern w:val="0"/>
      <w:sz w:val="28"/>
      <w:szCs w:val="28"/>
    </w:rPr>
  </w:style>
  <w:style w:type="paragraph" w:customStyle="1" w:styleId="180">
    <w:name w:val="font13"/>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18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2">
    <w:name w:val="font8"/>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83">
    <w:name w:val="题注5"/>
    <w:basedOn w:val="1"/>
    <w:autoRedefine/>
    <w:qFormat/>
    <w:uiPriority w:val="0"/>
    <w:pPr>
      <w:tabs>
        <w:tab w:val="left" w:pos="0"/>
        <w:tab w:val="left" w:pos="720"/>
        <w:tab w:val="left" w:pos="840"/>
      </w:tabs>
      <w:spacing w:line="360" w:lineRule="auto"/>
      <w:ind w:left="720" w:hanging="720"/>
    </w:pPr>
    <w:rPr>
      <w:b/>
      <w:color w:val="000000"/>
      <w:sz w:val="28"/>
      <w:szCs w:val="28"/>
    </w:rPr>
  </w:style>
  <w:style w:type="paragraph" w:customStyle="1" w:styleId="184">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10"/>
    <w:basedOn w:val="1"/>
    <w:autoRedefine/>
    <w:qFormat/>
    <w:uiPriority w:val="0"/>
    <w:pPr>
      <w:spacing w:line="360" w:lineRule="auto"/>
      <w:ind w:firstLine="454"/>
    </w:pPr>
    <w:rPr>
      <w:rFonts w:ascii="Tahoma" w:hAnsi="Tahoma"/>
      <w:sz w:val="24"/>
      <w:szCs w:val="20"/>
    </w:rPr>
  </w:style>
  <w:style w:type="paragraph" w:customStyle="1" w:styleId="186">
    <w:name w:val="xl66"/>
    <w:basedOn w:val="1"/>
    <w:autoRedefine/>
    <w:qFormat/>
    <w:uiPriority w:val="0"/>
    <w:pPr>
      <w:widowControl/>
      <w:spacing w:before="100" w:beforeAutospacing="1" w:after="100" w:afterAutospacing="1"/>
      <w:jc w:val="center"/>
    </w:pPr>
    <w:rPr>
      <w:rFonts w:ascii="宋体" w:cs="宋体"/>
      <w:b/>
      <w:bCs/>
      <w:kern w:val="0"/>
      <w:sz w:val="20"/>
      <w:szCs w:val="20"/>
    </w:rPr>
  </w:style>
  <w:style w:type="paragraph" w:customStyle="1" w:styleId="187">
    <w:name w:val="表头"/>
    <w:basedOn w:val="1"/>
    <w:autoRedefine/>
    <w:qFormat/>
    <w:uiPriority w:val="0"/>
    <w:pPr>
      <w:autoSpaceDE w:val="0"/>
      <w:autoSpaceDN w:val="0"/>
      <w:adjustRightInd w:val="0"/>
      <w:jc w:val="center"/>
    </w:pPr>
    <w:rPr>
      <w:rFonts w:ascii="Arial" w:hAnsi="Arial"/>
      <w:kern w:val="0"/>
      <w:sz w:val="18"/>
    </w:rPr>
  </w:style>
  <w:style w:type="paragraph" w:customStyle="1" w:styleId="188">
    <w:name w:val="样式 标题 3h:33H3Kop 3Vl3Level 3 Headh3sect1.2.3Alt+31.1.1..."/>
    <w:basedOn w:val="4"/>
    <w:autoRedefine/>
    <w:qFormat/>
    <w:uiPriority w:val="0"/>
    <w:pPr>
      <w:numPr>
        <w:ilvl w:val="2"/>
        <w:numId w:val="0"/>
      </w:numPr>
      <w:tabs>
        <w:tab w:val="left" w:pos="1800"/>
      </w:tabs>
      <w:spacing w:before="312" w:after="312"/>
      <w:ind w:left="1800" w:hanging="720"/>
    </w:pPr>
    <w:rPr>
      <w:rFonts w:cs="宋体"/>
      <w:sz w:val="30"/>
      <w:szCs w:val="20"/>
      <w:lang w:bidi="ar-SA"/>
    </w:rPr>
  </w:style>
  <w:style w:type="paragraph" w:customStyle="1" w:styleId="189">
    <w:name w:val="标题3"/>
    <w:basedOn w:val="1"/>
    <w:autoRedefine/>
    <w:qFormat/>
    <w:uiPriority w:val="0"/>
  </w:style>
  <w:style w:type="paragraph" w:customStyle="1" w:styleId="190">
    <w:name w:val="样式1"/>
    <w:basedOn w:val="5"/>
    <w:autoRedefine/>
    <w:qFormat/>
    <w:uiPriority w:val="0"/>
    <w:rPr>
      <w:rFonts w:ascii="宋体" w:hAnsi="宋体"/>
      <w:sz w:val="24"/>
      <w:szCs w:val="24"/>
    </w:rPr>
  </w:style>
  <w:style w:type="paragraph" w:customStyle="1" w:styleId="191">
    <w:name w:val="列出段落1"/>
    <w:basedOn w:val="1"/>
    <w:autoRedefine/>
    <w:qFormat/>
    <w:uiPriority w:val="34"/>
    <w:pPr>
      <w:ind w:firstLine="420" w:firstLineChars="200"/>
    </w:pPr>
    <w:rPr>
      <w:szCs w:val="20"/>
    </w:rPr>
  </w:style>
  <w:style w:type="paragraph" w:customStyle="1" w:styleId="192">
    <w:name w:val="pa-3"/>
    <w:basedOn w:val="1"/>
    <w:autoRedefine/>
    <w:qFormat/>
    <w:uiPriority w:val="0"/>
    <w:pPr>
      <w:widowControl/>
      <w:spacing w:before="150" w:after="150"/>
      <w:jc w:val="left"/>
    </w:pPr>
    <w:rPr>
      <w:rFonts w:ascii="宋体" w:cs="宋体"/>
      <w:kern w:val="0"/>
      <w:sz w:val="24"/>
    </w:rPr>
  </w:style>
  <w:style w:type="paragraph" w:customStyle="1" w:styleId="193">
    <w:name w:val="List Paragraph"/>
    <w:basedOn w:val="1"/>
    <w:autoRedefine/>
    <w:qFormat/>
    <w:uiPriority w:val="34"/>
    <w:pPr>
      <w:ind w:firstLine="420" w:firstLineChars="200"/>
    </w:pPr>
  </w:style>
  <w:style w:type="paragraph" w:customStyle="1" w:styleId="194">
    <w:name w:val="xl36"/>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195">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6">
    <w:name w:val="xl72"/>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197">
    <w:name w:val="font11"/>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98">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9">
    <w:name w:val="xl80"/>
    <w:basedOn w:val="1"/>
    <w:autoRedefine/>
    <w:qFormat/>
    <w:uiPriority w:val="0"/>
    <w:pPr>
      <w:widowControl/>
      <w:spacing w:before="100" w:beforeAutospacing="1" w:after="100" w:afterAutospacing="1"/>
      <w:jc w:val="right"/>
    </w:pPr>
    <w:rPr>
      <w:rFonts w:ascii="宋体" w:cs="宋体"/>
      <w:b/>
      <w:bCs/>
      <w:kern w:val="0"/>
      <w:sz w:val="20"/>
      <w:szCs w:val="20"/>
    </w:rPr>
  </w:style>
  <w:style w:type="paragraph" w:customStyle="1" w:styleId="200">
    <w:name w:val="xl103"/>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201">
    <w:name w:val="Char Char Char Char Char Char Char Char Char Char"/>
    <w:basedOn w:val="14"/>
    <w:autoRedefine/>
    <w:qFormat/>
    <w:uiPriority w:val="99"/>
    <w:pPr>
      <w:spacing w:line="360" w:lineRule="auto"/>
    </w:pPr>
    <w:rPr>
      <w:rFonts w:hAnsi="Times New Roman"/>
      <w:kern w:val="0"/>
    </w:rPr>
  </w:style>
  <w:style w:type="paragraph" w:customStyle="1" w:styleId="202">
    <w:name w:val="编号4级"/>
    <w:autoRedefine/>
    <w:qFormat/>
    <w:uiPriority w:val="0"/>
    <w:pPr>
      <w:numPr>
        <w:ilvl w:val="3"/>
        <w:numId w:val="0"/>
      </w:num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203">
    <w:name w:val="xl75"/>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04">
    <w:name w:val="font22"/>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05">
    <w:name w:val="xl68"/>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07">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208">
    <w:name w:val="表格正文（5号）"/>
    <w:basedOn w:val="1"/>
    <w:autoRedefine/>
    <w:qFormat/>
    <w:uiPriority w:val="0"/>
    <w:pPr>
      <w:adjustRightInd w:val="0"/>
      <w:snapToGrid w:val="0"/>
      <w:spacing w:line="264" w:lineRule="auto"/>
      <w:jc w:val="center"/>
    </w:pPr>
    <w:rPr>
      <w:kern w:val="0"/>
      <w:sz w:val="24"/>
      <w:szCs w:val="20"/>
    </w:rPr>
  </w:style>
  <w:style w:type="paragraph" w:customStyle="1" w:styleId="209">
    <w:name w:val="xl73"/>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10">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11">
    <w:name w:val="正文3级"/>
    <w:autoRedefine/>
    <w:qFormat/>
    <w:uiPriority w:val="0"/>
    <w:pPr>
      <w:widowControl w:val="0"/>
      <w:numPr>
        <w:ilvl w:val="5"/>
        <w:numId w:val="2"/>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212">
    <w:name w:val="6"/>
    <w:basedOn w:val="6"/>
    <w:autoRedefine/>
    <w:qFormat/>
    <w:uiPriority w:val="0"/>
    <w:pPr>
      <w:keepNext w:val="0"/>
      <w:keepLines w:val="0"/>
      <w:autoSpaceDE w:val="0"/>
      <w:autoSpaceDN w:val="0"/>
      <w:adjustRightInd w:val="0"/>
      <w:spacing w:before="0" w:after="0" w:line="270" w:lineRule="atLeast"/>
      <w:outlineLvl w:val="9"/>
    </w:pPr>
    <w:rPr>
      <w:rFonts w:ascii="宋体"/>
      <w:b w:val="0"/>
      <w:bCs w:val="0"/>
      <w:color w:val="000000"/>
      <w:kern w:val="0"/>
      <w:sz w:val="18"/>
      <w:szCs w:val="18"/>
    </w:rPr>
  </w:style>
  <w:style w:type="paragraph" w:customStyle="1" w:styleId="213">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left"/>
    </w:pPr>
    <w:rPr>
      <w:rFonts w:ascii="宋体" w:hAnsi="宋体" w:cs="宋体"/>
      <w:b/>
      <w:bCs/>
      <w:kern w:val="0"/>
      <w:sz w:val="24"/>
    </w:rPr>
  </w:style>
  <w:style w:type="paragraph" w:customStyle="1" w:styleId="21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pa-1"/>
    <w:basedOn w:val="1"/>
    <w:autoRedefine/>
    <w:qFormat/>
    <w:uiPriority w:val="0"/>
    <w:pPr>
      <w:widowControl/>
      <w:spacing w:before="150" w:after="150"/>
      <w:jc w:val="left"/>
    </w:pPr>
    <w:rPr>
      <w:rFonts w:ascii="宋体" w:cs="宋体"/>
      <w:kern w:val="0"/>
      <w:sz w:val="24"/>
    </w:rPr>
  </w:style>
  <w:style w:type="paragraph" w:customStyle="1" w:styleId="217">
    <w:name w:val="font18"/>
    <w:basedOn w:val="1"/>
    <w:autoRedefine/>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218">
    <w:name w:val="xl31"/>
    <w:basedOn w:val="1"/>
    <w:autoRedefine/>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219">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20">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2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2">
    <w:name w:val="Normal Paragraph"/>
    <w:basedOn w:val="1"/>
    <w:autoRedefine/>
    <w:qFormat/>
    <w:uiPriority w:val="0"/>
    <w:pPr>
      <w:spacing w:before="100" w:beforeAutospacing="1" w:after="100" w:afterAutospacing="1" w:line="360" w:lineRule="auto"/>
      <w:ind w:firstLine="425"/>
    </w:pPr>
    <w:rPr>
      <w:sz w:val="24"/>
    </w:rPr>
  </w:style>
  <w:style w:type="paragraph" w:customStyle="1" w:styleId="223">
    <w:name w:val="图表文字"/>
    <w:autoRedefine/>
    <w:qFormat/>
    <w:uiPriority w:val="0"/>
    <w:rPr>
      <w:rFonts w:ascii="Times New Roman" w:hAnsi="Times New Roman" w:eastAsia="宋体" w:cs="Times New Roman"/>
      <w:sz w:val="21"/>
      <w:szCs w:val="21"/>
      <w:lang w:val="en-US" w:eastAsia="zh-CN" w:bidi="ar-SA"/>
    </w:rPr>
  </w:style>
  <w:style w:type="paragraph" w:customStyle="1" w:styleId="224">
    <w:name w:val="xl96"/>
    <w:basedOn w:val="1"/>
    <w:autoRedefine/>
    <w:qFormat/>
    <w:uiPriority w:val="0"/>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4"/>
    </w:rPr>
  </w:style>
  <w:style w:type="paragraph" w:customStyle="1" w:styleId="225">
    <w:name w:val="样式2"/>
    <w:basedOn w:val="1"/>
    <w:autoRedefine/>
    <w:qFormat/>
    <w:uiPriority w:val="0"/>
    <w:pPr>
      <w:spacing w:line="360" w:lineRule="auto"/>
      <w:ind w:firstLine="200" w:firstLineChars="200"/>
    </w:pPr>
    <w:rPr>
      <w:rFonts w:ascii="宋体" w:hAnsi="宋体"/>
      <w:sz w:val="24"/>
    </w:rPr>
  </w:style>
  <w:style w:type="paragraph" w:customStyle="1" w:styleId="226">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227">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28">
    <w:name w:val="样式 标题 4Alt+4项h4H41.1.1.1 Heading 4Heading FourHead44bul...1"/>
    <w:basedOn w:val="5"/>
    <w:autoRedefine/>
    <w:qFormat/>
    <w:uiPriority w:val="0"/>
    <w:pPr>
      <w:numPr>
        <w:ilvl w:val="3"/>
        <w:numId w:val="0"/>
      </w:numPr>
      <w:tabs>
        <w:tab w:val="left" w:pos="1931"/>
      </w:tabs>
      <w:spacing w:before="120" w:after="0" w:line="360" w:lineRule="auto"/>
      <w:ind w:left="1931" w:hanging="864"/>
      <w:jc w:val="left"/>
    </w:pPr>
    <w:rPr>
      <w:rFonts w:ascii="Times New Roman" w:hAnsi="Times New Roman" w:eastAsia="宋体" w:cs="宋体"/>
      <w:b w:val="0"/>
      <w:bCs w:val="0"/>
      <w:sz w:val="24"/>
      <w:szCs w:val="20"/>
    </w:rPr>
  </w:style>
  <w:style w:type="paragraph" w:customStyle="1" w:styleId="229">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230">
    <w:name w:val="封面中部"/>
    <w:basedOn w:val="1"/>
    <w:autoRedefine/>
    <w:qFormat/>
    <w:uiPriority w:val="0"/>
    <w:pPr>
      <w:tabs>
        <w:tab w:val="left" w:pos="5040"/>
      </w:tabs>
      <w:adjustRightInd w:val="0"/>
      <w:spacing w:line="300" w:lineRule="auto"/>
      <w:ind w:firstLine="899" w:firstLineChars="281"/>
    </w:pPr>
    <w:rPr>
      <w:rFonts w:ascii="黑体" w:eastAsia="黑体"/>
      <w:kern w:val="0"/>
      <w:sz w:val="32"/>
      <w:szCs w:val="32"/>
    </w:rPr>
  </w:style>
  <w:style w:type="paragraph" w:customStyle="1" w:styleId="231">
    <w:name w:val="xl40"/>
    <w:basedOn w:val="1"/>
    <w:autoRedefine/>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232">
    <w:name w:val="标题2"/>
    <w:basedOn w:val="233"/>
    <w:autoRedefine/>
    <w:qFormat/>
    <w:uiPriority w:val="0"/>
  </w:style>
  <w:style w:type="paragraph" w:customStyle="1" w:styleId="233">
    <w:name w:val="样式 标题 2HD2Heading 2 HiddenHeading 2 CCBSheading 2Titre3H2..."/>
    <w:basedOn w:val="3"/>
    <w:autoRedefine/>
    <w:qFormat/>
    <w:uiPriority w:val="0"/>
    <w:pPr>
      <w:spacing w:line="360" w:lineRule="auto"/>
    </w:pPr>
    <w:rPr>
      <w:rFonts w:ascii="宋体" w:eastAsia="宋体" w:cs="宋体"/>
      <w:sz w:val="24"/>
    </w:rPr>
  </w:style>
  <w:style w:type="paragraph" w:customStyle="1" w:styleId="234">
    <w:name w:val="No Spacing"/>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题头内容"/>
    <w:basedOn w:val="1"/>
    <w:autoRedefine/>
    <w:qFormat/>
    <w:uiPriority w:val="0"/>
    <w:pPr>
      <w:adjustRightInd w:val="0"/>
      <w:spacing w:before="120" w:after="120" w:line="312" w:lineRule="atLeast"/>
      <w:ind w:right="879" w:firstLine="839"/>
      <w:jc w:val="center"/>
    </w:pPr>
    <w:rPr>
      <w:rFonts w:ascii="黑体" w:eastAsia="黑体"/>
      <w:kern w:val="0"/>
      <w:sz w:val="32"/>
      <w:szCs w:val="21"/>
    </w:rPr>
  </w:style>
  <w:style w:type="paragraph" w:customStyle="1" w:styleId="236">
    <w:name w:val="表2"/>
    <w:basedOn w:val="237"/>
    <w:autoRedefine/>
    <w:qFormat/>
    <w:uiPriority w:val="0"/>
    <w:pPr>
      <w:numPr>
        <w:ilvl w:val="0"/>
        <w:numId w:val="3"/>
      </w:numPr>
    </w:pPr>
  </w:style>
  <w:style w:type="paragraph" w:customStyle="1" w:styleId="237">
    <w:name w:val="表1"/>
    <w:basedOn w:val="238"/>
    <w:autoRedefine/>
    <w:qFormat/>
    <w:uiPriority w:val="0"/>
  </w:style>
  <w:style w:type="paragraph" w:customStyle="1" w:styleId="238">
    <w:name w:val="表格样式"/>
    <w:basedOn w:val="1"/>
    <w:autoRedefine/>
    <w:qFormat/>
    <w:uiPriority w:val="0"/>
    <w:pPr>
      <w:spacing w:before="156" w:after="156"/>
      <w:jc w:val="center"/>
    </w:pPr>
    <w:rPr>
      <w:rFonts w:ascii="宋体" w:hAnsi="宋体" w:cs="宋体"/>
      <w:b/>
      <w:bCs/>
      <w:kern w:val="0"/>
      <w:szCs w:val="20"/>
    </w:rPr>
  </w:style>
  <w:style w:type="paragraph" w:customStyle="1" w:styleId="239">
    <w:name w:val="默认段落字体 Para Char Char Char Char Char Char Char Char Char Char Char Char Char Char"/>
    <w:basedOn w:val="14"/>
    <w:autoRedefine/>
    <w:qFormat/>
    <w:uiPriority w:val="0"/>
    <w:pPr>
      <w:shd w:val="clear" w:color="auto" w:fill="000080"/>
    </w:pPr>
    <w:rPr>
      <w:rFonts w:ascii="Tahoma" w:hAnsi="Tahoma"/>
      <w:sz w:val="24"/>
      <w:szCs w:val="24"/>
    </w:rPr>
  </w:style>
  <w:style w:type="paragraph" w:customStyle="1" w:styleId="240">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2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42">
    <w:name w:val="font20"/>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243">
    <w:name w:val="xl24"/>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244">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245">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246">
    <w:name w:val="font21"/>
    <w:basedOn w:val="1"/>
    <w:qFormat/>
    <w:uiPriority w:val="0"/>
    <w:pPr>
      <w:widowControl/>
      <w:spacing w:before="100" w:beforeAutospacing="1" w:after="100" w:afterAutospacing="1"/>
      <w:jc w:val="left"/>
    </w:pPr>
    <w:rPr>
      <w:rFonts w:ascii="宋体" w:cs="宋体"/>
      <w:kern w:val="0"/>
      <w:sz w:val="20"/>
      <w:szCs w:val="20"/>
    </w:rPr>
  </w:style>
  <w:style w:type="paragraph" w:customStyle="1" w:styleId="247">
    <w:name w:val="Notes Text List in Table"/>
    <w:autoRedefine/>
    <w:qFormat/>
    <w:uiPriority w:val="0"/>
    <w:pPr>
      <w:numPr>
        <w:ilvl w:val="0"/>
        <w:numId w:val="4"/>
      </w:numPr>
      <w:spacing w:before="40" w:after="80" w:line="200" w:lineRule="atLeast"/>
      <w:jc w:val="both"/>
    </w:pPr>
    <w:rPr>
      <w:rFonts w:ascii="Arial" w:hAnsi="Arial" w:eastAsia="楷体_GB2312" w:cs="楷体_GB2312"/>
      <w:sz w:val="18"/>
      <w:szCs w:val="18"/>
      <w:lang w:val="en-US" w:eastAsia="zh-CN" w:bidi="ar-SA"/>
    </w:rPr>
  </w:style>
  <w:style w:type="paragraph" w:customStyle="1" w:styleId="248">
    <w:name w:val="Figure Description"/>
    <w:autoRedefine/>
    <w:qFormat/>
    <w:uiPriority w:val="0"/>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249">
    <w:name w:val="正文(首行缩进）"/>
    <w:basedOn w:val="1"/>
    <w:autoRedefine/>
    <w:qFormat/>
    <w:uiPriority w:val="0"/>
    <w:pPr>
      <w:adjustRightInd w:val="0"/>
      <w:snapToGrid w:val="0"/>
      <w:spacing w:line="288" w:lineRule="auto"/>
      <w:ind w:firstLine="200"/>
      <w:jc w:val="left"/>
    </w:pPr>
    <w:rPr>
      <w:rFonts w:ascii="宋体" w:hAnsi="宋体"/>
      <w:kern w:val="0"/>
      <w:sz w:val="24"/>
    </w:rPr>
  </w:style>
  <w:style w:type="paragraph" w:customStyle="1" w:styleId="250">
    <w:name w:val="font6"/>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251">
    <w:name w:val="font17"/>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252">
    <w:name w:val="表格"/>
    <w:basedOn w:val="1"/>
    <w:qFormat/>
    <w:uiPriority w:val="0"/>
    <w:pPr>
      <w:adjustRightInd w:val="0"/>
      <w:spacing w:line="400" w:lineRule="atLeast"/>
    </w:pPr>
    <w:rPr>
      <w:rFonts w:ascii="仿宋_GB2312" w:eastAsia="仿宋_GB2312"/>
      <w:kern w:val="0"/>
      <w:sz w:val="28"/>
      <w:szCs w:val="20"/>
    </w:rPr>
  </w:style>
  <w:style w:type="paragraph" w:customStyle="1" w:styleId="253">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6">
    <w:name w:val="Char1"/>
    <w:basedOn w:val="1"/>
    <w:autoRedefine/>
    <w:qFormat/>
    <w:uiPriority w:val="0"/>
  </w:style>
  <w:style w:type="paragraph" w:customStyle="1" w:styleId="257">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kern w:val="0"/>
      <w:szCs w:val="21"/>
    </w:rPr>
  </w:style>
  <w:style w:type="paragraph" w:customStyle="1" w:styleId="258">
    <w:name w:val="Sub Item List"/>
    <w:basedOn w:val="1"/>
    <w:autoRedefine/>
    <w:qFormat/>
    <w:uiPriority w:val="0"/>
    <w:pPr>
      <w:widowControl/>
      <w:numPr>
        <w:ilvl w:val="0"/>
        <w:numId w:val="1"/>
      </w:numPr>
      <w:topLinePunct/>
      <w:adjustRightInd w:val="0"/>
      <w:snapToGrid w:val="0"/>
      <w:spacing w:before="80" w:after="80" w:line="240" w:lineRule="atLeast"/>
      <w:jc w:val="left"/>
    </w:pPr>
    <w:rPr>
      <w:rFonts w:ascii="Arial" w:hAnsi="Arial" w:cs="Arial"/>
      <w:szCs w:val="21"/>
    </w:rPr>
  </w:style>
  <w:style w:type="paragraph" w:customStyle="1" w:styleId="2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260">
    <w:name w:val="xl115"/>
    <w:basedOn w:val="1"/>
    <w:qFormat/>
    <w:uiPriority w:val="0"/>
    <w:pPr>
      <w:widowControl/>
      <w:pBdr>
        <w:left w:val="single" w:color="auto" w:sz="4" w:space="0"/>
        <w:bottom w:val="single" w:color="auto" w:sz="8" w:space="0"/>
        <w:right w:val="single" w:color="auto" w:sz="4" w:space="0"/>
      </w:pBdr>
      <w:shd w:val="clear" w:color="000000" w:fill="A6A6A6"/>
      <w:spacing w:before="100" w:beforeAutospacing="1" w:after="100" w:afterAutospacing="1"/>
      <w:jc w:val="center"/>
    </w:pPr>
    <w:rPr>
      <w:rFonts w:ascii="宋体" w:hAnsi="宋体" w:cs="宋体"/>
      <w:b/>
      <w:bCs/>
      <w:kern w:val="0"/>
      <w:sz w:val="20"/>
      <w:szCs w:val="20"/>
    </w:rPr>
  </w:style>
  <w:style w:type="paragraph" w:customStyle="1" w:styleId="2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62">
    <w:name w:val="xl11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3">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kern w:val="0"/>
      <w:sz w:val="20"/>
      <w:szCs w:val="20"/>
    </w:rPr>
  </w:style>
  <w:style w:type="paragraph" w:customStyle="1" w:styleId="264">
    <w:name w:val="font16"/>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265">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b/>
      <w:bCs/>
      <w:kern w:val="0"/>
      <w:sz w:val="24"/>
    </w:rPr>
  </w:style>
  <w:style w:type="paragraph" w:customStyle="1" w:styleId="266">
    <w:name w:val="xl70"/>
    <w:basedOn w:val="1"/>
    <w:autoRedefine/>
    <w:qFormat/>
    <w:uiPriority w:val="0"/>
    <w:pPr>
      <w:widowControl/>
      <w:spacing w:before="100" w:beforeAutospacing="1" w:after="100" w:afterAutospacing="1"/>
    </w:pPr>
    <w:rPr>
      <w:rFonts w:ascii="宋体" w:cs="宋体"/>
      <w:kern w:val="0"/>
      <w:sz w:val="20"/>
      <w:szCs w:val="20"/>
    </w:rPr>
  </w:style>
  <w:style w:type="paragraph" w:customStyle="1" w:styleId="267">
    <w:name w:val="font9"/>
    <w:basedOn w:val="1"/>
    <w:qFormat/>
    <w:uiPriority w:val="0"/>
    <w:pPr>
      <w:widowControl/>
      <w:spacing w:before="100" w:beforeAutospacing="1" w:after="100" w:afterAutospacing="1"/>
      <w:jc w:val="left"/>
    </w:pPr>
    <w:rPr>
      <w:rFonts w:ascii="宋体" w:cs="宋体"/>
      <w:kern w:val="0"/>
      <w:sz w:val="20"/>
      <w:szCs w:val="20"/>
    </w:rPr>
  </w:style>
  <w:style w:type="paragraph" w:customStyle="1" w:styleId="268">
    <w:name w:val="xl11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69">
    <w:name w:val="font10"/>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270">
    <w:name w:val="xl74"/>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271">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2">
    <w:name w:val="_Style 271"/>
    <w:basedOn w:val="2"/>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73">
    <w:name w:val="样式 首行缩进:  0 字符"/>
    <w:basedOn w:val="1"/>
    <w:autoRedefine/>
    <w:qFormat/>
    <w:uiPriority w:val="0"/>
    <w:pPr>
      <w:spacing w:line="360" w:lineRule="auto"/>
      <w:ind w:firstLine="200" w:firstLineChars="200"/>
    </w:pPr>
    <w:rPr>
      <w:rFonts w:ascii="Arial" w:hAnsi="Arial" w:cs="宋体"/>
      <w:sz w:val="24"/>
      <w:szCs w:val="20"/>
    </w:rPr>
  </w:style>
  <w:style w:type="paragraph" w:customStyle="1" w:styleId="274">
    <w:name w:val="样式 标题 1l1I1heading 1h11st levell1+toc 1Chapter title1He..."/>
    <w:basedOn w:val="2"/>
    <w:autoRedefine/>
    <w:qFormat/>
    <w:uiPriority w:val="0"/>
    <w:pPr>
      <w:tabs>
        <w:tab w:val="left" w:pos="525"/>
      </w:tabs>
      <w:spacing w:line="360" w:lineRule="auto"/>
    </w:pPr>
    <w:rPr>
      <w:rFonts w:eastAsia="黑体"/>
      <w:bCs/>
      <w:sz w:val="28"/>
      <w:szCs w:val="32"/>
    </w:rPr>
  </w:style>
  <w:style w:type="paragraph" w:customStyle="1" w:styleId="275">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276">
    <w:name w:val="样式 小四 行距: 1.5 倍行距"/>
    <w:basedOn w:val="1"/>
    <w:qFormat/>
    <w:uiPriority w:val="0"/>
    <w:pPr>
      <w:numPr>
        <w:ilvl w:val="0"/>
        <w:numId w:val="5"/>
      </w:numPr>
    </w:pPr>
  </w:style>
  <w:style w:type="paragraph" w:customStyle="1" w:styleId="277">
    <w:name w:val="_Style 276"/>
    <w:semiHidden/>
    <w:qFormat/>
    <w:uiPriority w:val="99"/>
    <w:rPr>
      <w:rFonts w:ascii="Times New Roman" w:hAnsi="Times New Roman" w:eastAsia="宋体" w:cs="Times New Roman"/>
      <w:kern w:val="2"/>
      <w:sz w:val="21"/>
      <w:szCs w:val="24"/>
      <w:lang w:val="en-US" w:eastAsia="zh-CN" w:bidi="ar-SA"/>
    </w:rPr>
  </w:style>
  <w:style w:type="paragraph" w:customStyle="1" w:styleId="2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0">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left"/>
    </w:pPr>
    <w:rPr>
      <w:rFonts w:ascii="宋体" w:hAnsi="宋体" w:cs="宋体"/>
      <w:b/>
      <w:bCs/>
      <w:kern w:val="0"/>
      <w:sz w:val="20"/>
      <w:szCs w:val="20"/>
    </w:rPr>
  </w:style>
  <w:style w:type="paragraph" w:customStyle="1" w:styleId="281">
    <w:name w:val="表3"/>
    <w:basedOn w:val="236"/>
    <w:autoRedefine/>
    <w:qFormat/>
    <w:uiPriority w:val="0"/>
    <w:pPr>
      <w:numPr>
        <w:ilvl w:val="0"/>
        <w:numId w:val="6"/>
      </w:numPr>
    </w:pPr>
  </w:style>
  <w:style w:type="paragraph" w:customStyle="1" w:styleId="282">
    <w:name w:val="pa-0"/>
    <w:basedOn w:val="1"/>
    <w:autoRedefine/>
    <w:qFormat/>
    <w:uiPriority w:val="0"/>
    <w:pPr>
      <w:widowControl/>
      <w:spacing w:before="150" w:after="150"/>
      <w:jc w:val="left"/>
    </w:pPr>
    <w:rPr>
      <w:rFonts w:ascii="宋体" w:cs="宋体"/>
      <w:kern w:val="0"/>
      <w:sz w:val="24"/>
    </w:rPr>
  </w:style>
  <w:style w:type="paragraph" w:customStyle="1" w:styleId="283">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84">
    <w:name w:val="列出段落11"/>
    <w:basedOn w:val="1"/>
    <w:qFormat/>
    <w:uiPriority w:val="34"/>
    <w:pPr>
      <w:ind w:firstLine="420" w:firstLineChars="200"/>
    </w:pPr>
    <w:rPr>
      <w:rFonts w:ascii="宋体" w:hAnsi="宋体"/>
      <w:szCs w:val="22"/>
    </w:rPr>
  </w:style>
  <w:style w:type="paragraph" w:customStyle="1" w:styleId="285">
    <w:name w:val="font14"/>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86">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7">
    <w:name w:val="Block Label"/>
    <w:basedOn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288">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9">
    <w:name w:val="表格内容五号(V1)"/>
    <w:basedOn w:val="1"/>
    <w:autoRedefine/>
    <w:qFormat/>
    <w:uiPriority w:val="0"/>
    <w:pPr>
      <w:jc w:val="center"/>
    </w:pPr>
    <w:rPr>
      <w:rFonts w:cs="Arial Unicode MS"/>
      <w:kern w:val="0"/>
      <w:szCs w:val="21"/>
    </w:rPr>
  </w:style>
  <w:style w:type="paragraph" w:customStyle="1" w:styleId="290">
    <w:name w:val="xl98"/>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91">
    <w:name w:val="Notes Heading in Table"/>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29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3">
    <w:name w:val="font23"/>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294">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295">
    <w:name w:val="xl100"/>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kern w:val="0"/>
      <w:sz w:val="24"/>
    </w:rPr>
  </w:style>
  <w:style w:type="paragraph" w:customStyle="1" w:styleId="296">
    <w:name w:val="报告正文"/>
    <w:basedOn w:val="1"/>
    <w:qFormat/>
    <w:uiPriority w:val="0"/>
    <w:pPr>
      <w:widowControl/>
      <w:overflowPunct w:val="0"/>
      <w:autoSpaceDE w:val="0"/>
      <w:autoSpaceDN w:val="0"/>
      <w:adjustRightInd w:val="0"/>
      <w:spacing w:after="80" w:line="360" w:lineRule="auto"/>
      <w:ind w:left="570"/>
    </w:pPr>
    <w:rPr>
      <w:kern w:val="0"/>
      <w:sz w:val="24"/>
      <w:szCs w:val="20"/>
    </w:rPr>
  </w:style>
  <w:style w:type="paragraph" w:customStyle="1" w:styleId="29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kern w:val="0"/>
      <w:sz w:val="20"/>
      <w:szCs w:val="20"/>
    </w:rPr>
  </w:style>
  <w:style w:type="paragraph" w:customStyle="1" w:styleId="298">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299">
    <w:name w:val="Char"/>
    <w:basedOn w:val="1"/>
    <w:autoRedefine/>
    <w:qFormat/>
    <w:uiPriority w:val="0"/>
  </w:style>
  <w:style w:type="paragraph" w:customStyle="1" w:styleId="30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xl41"/>
    <w:basedOn w:val="1"/>
    <w:autoRedefine/>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02">
    <w:name w:val="xl82"/>
    <w:basedOn w:val="1"/>
    <w:qFormat/>
    <w:uiPriority w:val="0"/>
    <w:pPr>
      <w:widowControl/>
      <w:spacing w:before="100" w:beforeAutospacing="1" w:after="100" w:afterAutospacing="1"/>
    </w:pPr>
    <w:rPr>
      <w:rFonts w:ascii="宋体" w:cs="宋体"/>
      <w:b/>
      <w:bCs/>
      <w:kern w:val="0"/>
      <w:sz w:val="20"/>
      <w:szCs w:val="20"/>
    </w:rPr>
  </w:style>
  <w:style w:type="paragraph" w:customStyle="1" w:styleId="3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kern w:val="0"/>
      <w:sz w:val="20"/>
      <w:szCs w:val="20"/>
    </w:rPr>
  </w:style>
  <w:style w:type="paragraph" w:customStyle="1" w:styleId="304">
    <w:name w:val="xl79"/>
    <w:basedOn w:val="1"/>
    <w:qFormat/>
    <w:uiPriority w:val="0"/>
    <w:pPr>
      <w:widowControl/>
      <w:spacing w:before="100" w:beforeAutospacing="1" w:after="100" w:afterAutospacing="1"/>
      <w:jc w:val="left"/>
    </w:pPr>
    <w:rPr>
      <w:rFonts w:ascii="宋体" w:cs="宋体"/>
      <w:kern w:val="0"/>
      <w:sz w:val="20"/>
      <w:szCs w:val="20"/>
    </w:rPr>
  </w:style>
  <w:style w:type="paragraph" w:customStyle="1" w:styleId="30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6">
    <w:name w:val="Char21"/>
    <w:basedOn w:val="1"/>
    <w:autoRedefine/>
    <w:qFormat/>
    <w:uiPriority w:val="0"/>
  </w:style>
  <w:style w:type="paragraph" w:customStyle="1" w:styleId="307">
    <w:name w:val="font19"/>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08">
    <w:name w:val="二级条标题"/>
    <w:basedOn w:val="1"/>
    <w:qFormat/>
    <w:uiPriority w:val="0"/>
    <w:pPr>
      <w:widowControl/>
      <w:tabs>
        <w:tab w:val="left" w:pos="0"/>
      </w:tabs>
      <w:jc w:val="left"/>
      <w:outlineLvl w:val="3"/>
    </w:pPr>
    <w:rPr>
      <w:rFonts w:eastAsia="黑体"/>
      <w:kern w:val="0"/>
      <w:szCs w:val="20"/>
    </w:rPr>
  </w:style>
  <w:style w:type="paragraph" w:customStyle="1" w:styleId="309">
    <w:name w:val="表格标题小四"/>
    <w:basedOn w:val="1"/>
    <w:autoRedefine/>
    <w:qFormat/>
    <w:uiPriority w:val="0"/>
    <w:pPr>
      <w:adjustRightInd w:val="0"/>
      <w:snapToGrid w:val="0"/>
      <w:spacing w:line="288" w:lineRule="auto"/>
      <w:jc w:val="center"/>
    </w:pPr>
    <w:rPr>
      <w:rFonts w:eastAsia="黑体"/>
      <w:bCs/>
      <w:sz w:val="24"/>
    </w:rPr>
  </w:style>
  <w:style w:type="paragraph" w:customStyle="1" w:styleId="310">
    <w:name w:val="样式5"/>
    <w:basedOn w:val="1"/>
    <w:qFormat/>
    <w:uiPriority w:val="0"/>
    <w:pPr>
      <w:widowControl/>
      <w:numPr>
        <w:ilvl w:val="1"/>
        <w:numId w:val="7"/>
      </w:numPr>
      <w:spacing w:before="156" w:beforeLines="50" w:after="156" w:afterLines="50"/>
    </w:pPr>
    <w:rPr>
      <w:kern w:val="0"/>
    </w:rPr>
  </w:style>
  <w:style w:type="paragraph" w:customStyle="1" w:styleId="311">
    <w:name w:val="xl117"/>
    <w:basedOn w:val="1"/>
    <w:autoRedefine/>
    <w:qFormat/>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31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3">
    <w:name w:val="xl105"/>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4">
    <w:name w:val="手动目录"/>
    <w:basedOn w:val="1"/>
    <w:autoRedefine/>
    <w:qFormat/>
    <w:uiPriority w:val="0"/>
    <w:pPr>
      <w:numPr>
        <w:ilvl w:val="0"/>
        <w:numId w:val="8"/>
      </w:numPr>
      <w:tabs>
        <w:tab w:val="clear" w:pos="680"/>
      </w:tabs>
      <w:spacing w:line="360" w:lineRule="auto"/>
    </w:pPr>
    <w:rPr>
      <w:sz w:val="24"/>
    </w:rPr>
  </w:style>
  <w:style w:type="paragraph" w:customStyle="1" w:styleId="315">
    <w:name w:val=" Char"/>
    <w:basedOn w:val="14"/>
    <w:autoRedefine/>
    <w:qFormat/>
    <w:uiPriority w:val="0"/>
    <w:pPr>
      <w:shd w:val="clear" w:color="auto" w:fill="000080"/>
      <w:spacing w:before="240" w:after="240"/>
      <w:ind w:leftChars="100" w:rightChars="100"/>
    </w:pPr>
    <w:rPr>
      <w:rFonts w:hAnsi="宋体"/>
      <w:sz w:val="28"/>
      <w:szCs w:val="24"/>
    </w:rPr>
  </w:style>
  <w:style w:type="paragraph" w:customStyle="1" w:styleId="316">
    <w:name w:val="font24"/>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317">
    <w:name w:val="列出段落2"/>
    <w:basedOn w:val="1"/>
    <w:autoRedefine/>
    <w:qFormat/>
    <w:uiPriority w:val="0"/>
    <w:pPr>
      <w:ind w:firstLine="420" w:firstLineChars="200"/>
    </w:pPr>
    <w:rPr>
      <w:rFonts w:ascii="Calibri" w:hAnsi="Calibri"/>
      <w:szCs w:val="22"/>
    </w:rPr>
  </w:style>
  <w:style w:type="paragraph" w:customStyle="1" w:styleId="318">
    <w:name w:val=" 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b/>
      <w:bCs/>
      <w:kern w:val="0"/>
      <w:sz w:val="24"/>
    </w:rPr>
  </w:style>
  <w:style w:type="paragraph" w:customStyle="1" w:styleId="321">
    <w:name w:val="表格文字"/>
    <w:basedOn w:val="1"/>
    <w:autoRedefine/>
    <w:qFormat/>
    <w:uiPriority w:val="0"/>
    <w:pPr>
      <w:adjustRightInd w:val="0"/>
      <w:spacing w:line="240" w:lineRule="atLeast"/>
      <w:jc w:val="center"/>
    </w:pPr>
    <w:rPr>
      <w:rFonts w:ascii="宋体"/>
      <w:kern w:val="0"/>
      <w:szCs w:val="20"/>
    </w:rPr>
  </w:style>
  <w:style w:type="paragraph" w:customStyle="1" w:styleId="322">
    <w:name w:val="正文1级"/>
    <w:autoRedefine/>
    <w:qFormat/>
    <w:uiPriority w:val="0"/>
    <w:pPr>
      <w:widowControl w:val="0"/>
      <w:numPr>
        <w:ilvl w:val="1"/>
        <w:numId w:val="2"/>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323">
    <w:name w:val="xl10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24">
    <w:name w:val="Char Char Char Char1"/>
    <w:basedOn w:val="1"/>
    <w:autoRedefine/>
    <w:qFormat/>
    <w:uiPriority w:val="0"/>
    <w:pPr>
      <w:tabs>
        <w:tab w:val="left" w:pos="360"/>
      </w:tabs>
      <w:ind w:firstLine="150" w:firstLineChars="150"/>
    </w:pPr>
    <w:rPr>
      <w:rFonts w:ascii="Arial" w:hAnsi="Arial" w:cs="Arial"/>
      <w:sz w:val="20"/>
      <w:szCs w:val="20"/>
    </w:rPr>
  </w:style>
  <w:style w:type="paragraph" w:customStyle="1" w:styleId="325">
    <w:name w:val="Char 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26">
    <w:name w:val="Item List in Table"/>
    <w:basedOn w:val="1"/>
    <w:qFormat/>
    <w:uiPriority w:val="0"/>
    <w:pPr>
      <w:numPr>
        <w:ilvl w:val="0"/>
        <w:numId w:val="9"/>
      </w:numPr>
      <w:topLinePunct/>
      <w:adjustRightInd w:val="0"/>
      <w:snapToGrid w:val="0"/>
      <w:spacing w:before="80" w:after="80" w:line="240" w:lineRule="atLeast"/>
      <w:jc w:val="left"/>
    </w:pPr>
    <w:rPr>
      <w:rFonts w:ascii="Arial" w:hAnsi="Arial" w:cs="Arial"/>
      <w:kern w:val="0"/>
      <w:szCs w:val="21"/>
    </w:rPr>
  </w:style>
  <w:style w:type="paragraph" w:customStyle="1" w:styleId="327">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28">
    <w:name w:val="表名称"/>
    <w:basedOn w:val="12"/>
    <w:autoRedefine/>
    <w:qFormat/>
    <w:uiPriority w:val="0"/>
    <w:pPr>
      <w:numPr>
        <w:ilvl w:val="0"/>
        <w:numId w:val="10"/>
      </w:numPr>
      <w:ind w:firstLine="0" w:firstLineChars="0"/>
      <w:jc w:val="center"/>
    </w:pPr>
  </w:style>
  <w:style w:type="paragraph" w:customStyle="1" w:styleId="329">
    <w:name w:val="xl78"/>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30">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1">
    <w:name w:val="样式6"/>
    <w:basedOn w:val="1"/>
    <w:autoRedefine/>
    <w:qFormat/>
    <w:uiPriority w:val="0"/>
    <w:pPr>
      <w:widowControl/>
      <w:numPr>
        <w:ilvl w:val="1"/>
        <w:numId w:val="11"/>
      </w:numPr>
      <w:tabs>
        <w:tab w:val="left" w:pos="780"/>
        <w:tab w:val="left" w:pos="1800"/>
      </w:tabs>
      <w:spacing w:before="156" w:beforeLines="50" w:after="156" w:afterLines="50"/>
      <w:ind w:left="1800" w:firstLine="899" w:firstLineChars="428"/>
    </w:pPr>
    <w:rPr>
      <w:kern w:val="0"/>
    </w:rPr>
  </w:style>
  <w:style w:type="paragraph" w:customStyle="1" w:styleId="332">
    <w:name w:val="样式3"/>
    <w:basedOn w:val="333"/>
    <w:qFormat/>
    <w:uiPriority w:val="0"/>
  </w:style>
  <w:style w:type="paragraph" w:customStyle="1" w:styleId="333">
    <w:name w:val="说明正文"/>
    <w:basedOn w:val="1"/>
    <w:autoRedefine/>
    <w:qFormat/>
    <w:uiPriority w:val="0"/>
    <w:pPr>
      <w:spacing w:line="360" w:lineRule="auto"/>
      <w:ind w:firstLine="480" w:firstLineChars="200"/>
    </w:pPr>
    <w:rPr>
      <w:rFonts w:ascii="宋体" w:hAnsi="宋体"/>
      <w:sz w:val="24"/>
    </w:rPr>
  </w:style>
  <w:style w:type="paragraph" w:customStyle="1" w:styleId="334">
    <w:name w:val="p0"/>
    <w:basedOn w:val="1"/>
    <w:qFormat/>
    <w:uiPriority w:val="0"/>
    <w:pPr>
      <w:widowControl/>
    </w:pPr>
    <w:rPr>
      <w:rFonts w:ascii="Courier New" w:hAnsi="Courier New" w:cs="Courier New"/>
      <w:kern w:val="0"/>
      <w:szCs w:val="21"/>
    </w:rPr>
  </w:style>
  <w:style w:type="paragraph" w:customStyle="1" w:styleId="335">
    <w:name w:val="xl786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6">
    <w:name w:val="xl71"/>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337">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38">
    <w:name w:val="样式 标题 3标题 3 Char Char Char Char(A-3)sect1.2.3h3H3 + 加粗 段前:..."/>
    <w:basedOn w:val="4"/>
    <w:autoRedefine/>
    <w:qFormat/>
    <w:uiPriority w:val="0"/>
    <w:pPr>
      <w:keepNext w:val="0"/>
      <w:tabs>
        <w:tab w:val="left" w:pos="1080"/>
      </w:tabs>
      <w:spacing w:before="120" w:after="0"/>
    </w:pPr>
    <w:rPr>
      <w:rFonts w:eastAsia="黑体" w:cs="宋体"/>
      <w:b w:val="0"/>
      <w:sz w:val="24"/>
      <w:szCs w:val="20"/>
      <w:lang w:bidi="ar-SA"/>
    </w:rPr>
  </w:style>
  <w:style w:type="paragraph" w:customStyle="1" w:styleId="339">
    <w:name w:val="xl114"/>
    <w:basedOn w:val="1"/>
    <w:autoRedefine/>
    <w:qFormat/>
    <w:uiPriority w:val="0"/>
    <w:pPr>
      <w:widowControl/>
      <w:pBdr>
        <w:top w:val="single" w:color="auto" w:sz="4" w:space="0"/>
        <w:left w:val="single" w:color="auto" w:sz="4" w:space="0"/>
        <w:bottom w:val="single" w:color="auto" w:sz="4" w:space="0"/>
      </w:pBdr>
      <w:shd w:val="clear" w:color="000000" w:fill="A6A6A6"/>
      <w:spacing w:before="100" w:beforeAutospacing="1" w:after="100" w:afterAutospacing="1"/>
      <w:jc w:val="center"/>
    </w:pPr>
    <w:rPr>
      <w:rFonts w:ascii="宋体" w:hAnsi="宋体" w:cs="宋体"/>
      <w:b/>
      <w:bCs/>
      <w:kern w:val="0"/>
      <w:sz w:val="20"/>
      <w:szCs w:val="20"/>
    </w:rPr>
  </w:style>
  <w:style w:type="paragraph" w:customStyle="1" w:styleId="340">
    <w:name w:val="默认段落字体 Para Char Char Char Char"/>
    <w:basedOn w:val="1"/>
    <w:autoRedefine/>
    <w:qFormat/>
    <w:uiPriority w:val="0"/>
    <w:pPr>
      <w:spacing w:line="240" w:lineRule="atLeast"/>
      <w:ind w:left="420" w:firstLine="420"/>
    </w:pPr>
    <w:rPr>
      <w:kern w:val="0"/>
      <w:szCs w:val="21"/>
    </w:rPr>
  </w:style>
  <w:style w:type="paragraph" w:customStyle="1" w:styleId="341">
    <w:name w:val="三级条标题"/>
    <w:basedOn w:val="308"/>
    <w:qFormat/>
    <w:uiPriority w:val="0"/>
    <w:pPr>
      <w:tabs>
        <w:tab w:val="left" w:pos="360"/>
      </w:tabs>
      <w:outlineLvl w:val="4"/>
    </w:pPr>
  </w:style>
  <w:style w:type="paragraph" w:customStyle="1" w:styleId="342">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343">
    <w:name w:val="博康文档样式"/>
    <w:basedOn w:val="1"/>
    <w:autoRedefine/>
    <w:qFormat/>
    <w:uiPriority w:val="0"/>
    <w:pPr>
      <w:spacing w:line="360" w:lineRule="auto"/>
    </w:pPr>
    <w:rPr>
      <w:rFonts w:ascii="宋体" w:hAnsi="宋体"/>
      <w:sz w:val="28"/>
      <w:szCs w:val="28"/>
    </w:rPr>
  </w:style>
  <w:style w:type="paragraph" w:customStyle="1" w:styleId="344">
    <w:name w:val="Char22"/>
    <w:basedOn w:val="1"/>
    <w:autoRedefine/>
    <w:qFormat/>
    <w:uiPriority w:val="0"/>
    <w:pPr>
      <w:tabs>
        <w:tab w:val="left" w:pos="420"/>
      </w:tabs>
      <w:ind w:left="420" w:hanging="420"/>
    </w:pPr>
    <w:rPr>
      <w:rFonts w:ascii="Tahoma" w:hAnsi="Tahoma"/>
      <w:sz w:val="24"/>
      <w:szCs w:val="20"/>
    </w:rPr>
  </w:style>
  <w:style w:type="paragraph" w:customStyle="1" w:styleId="345">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6">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47">
    <w:name w:val="样式 标题 1章H11. heading 1标准章Alt+1h1Huvudrubrikh11h12h13h..."/>
    <w:basedOn w:val="1"/>
    <w:autoRedefine/>
    <w:qFormat/>
    <w:uiPriority w:val="0"/>
  </w:style>
  <w:style w:type="paragraph" w:customStyle="1" w:styleId="348">
    <w:name w:val="xl119"/>
    <w:basedOn w:val="1"/>
    <w:autoRedefine/>
    <w:qFormat/>
    <w:uiPriority w:val="0"/>
    <w:pPr>
      <w:widowControl/>
      <w:pBdr>
        <w:left w:val="single" w:color="auto" w:sz="4" w:space="0"/>
        <w:bottom w:val="single" w:color="auto" w:sz="8" w:space="0"/>
      </w:pBdr>
      <w:spacing w:before="100" w:beforeAutospacing="1" w:after="100" w:afterAutospacing="1"/>
      <w:jc w:val="center"/>
    </w:pPr>
    <w:rPr>
      <w:rFonts w:ascii="宋体" w:hAnsi="宋体" w:cs="宋体"/>
      <w:kern w:val="0"/>
      <w:sz w:val="24"/>
    </w:rPr>
  </w:style>
  <w:style w:type="paragraph" w:customStyle="1" w:styleId="3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0">
    <w:name w:val="xl77"/>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351">
    <w:name w:val="xl67"/>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352">
    <w:name w:val="Char Char Char Char"/>
    <w:basedOn w:val="1"/>
    <w:autoRedefine/>
    <w:qFormat/>
    <w:uiPriority w:val="0"/>
    <w:pPr>
      <w:tabs>
        <w:tab w:val="left" w:pos="360"/>
      </w:tabs>
      <w:ind w:firstLine="150" w:firstLineChars="150"/>
    </w:pPr>
    <w:rPr>
      <w:rFonts w:ascii="Arial" w:hAnsi="Arial" w:cs="Arial"/>
      <w:sz w:val="20"/>
      <w:szCs w:val="20"/>
    </w:rPr>
  </w:style>
  <w:style w:type="paragraph" w:customStyle="1" w:styleId="353">
    <w:name w:val="编号3级"/>
    <w:qFormat/>
    <w:uiPriority w:val="0"/>
    <w:pPr>
      <w:numPr>
        <w:ilvl w:val="4"/>
        <w:numId w:val="2"/>
      </w:numPr>
      <w:spacing w:line="400" w:lineRule="exact"/>
    </w:pPr>
    <w:rPr>
      <w:rFonts w:ascii="Times New Roman" w:hAnsi="Times New Roman" w:eastAsia="宋体" w:cs="Times New Roman"/>
      <w:kern w:val="2"/>
      <w:sz w:val="24"/>
      <w:szCs w:val="24"/>
      <w:lang w:val="en-US" w:eastAsia="zh-CN" w:bidi="ar-SA"/>
    </w:rPr>
  </w:style>
  <w:style w:type="paragraph" w:customStyle="1" w:styleId="354">
    <w:name w:val="图"/>
    <w:basedOn w:val="1"/>
    <w:qFormat/>
    <w:uiPriority w:val="0"/>
    <w:pPr>
      <w:keepNext/>
      <w:adjustRightInd w:val="0"/>
      <w:spacing w:before="60" w:after="60" w:line="300" w:lineRule="auto"/>
      <w:jc w:val="center"/>
    </w:pPr>
    <w:rPr>
      <w:spacing w:val="20"/>
      <w:kern w:val="0"/>
      <w:sz w:val="24"/>
      <w:szCs w:val="20"/>
    </w:rPr>
  </w:style>
  <w:style w:type="paragraph" w:customStyle="1" w:styleId="35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6">
    <w:name w:val="Char Char Char"/>
    <w:basedOn w:val="1"/>
    <w:qFormat/>
    <w:uiPriority w:val="0"/>
    <w:pPr>
      <w:jc w:val="center"/>
    </w:pPr>
    <w:rPr>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样式 日期 + 行距: 1.5 倍行距"/>
    <w:basedOn w:val="24"/>
    <w:autoRedefine/>
    <w:qFormat/>
    <w:uiPriority w:val="0"/>
    <w:pPr>
      <w:widowControl/>
      <w:spacing w:line="360" w:lineRule="auto"/>
      <w:ind w:left="0" w:leftChars="0" w:firstLine="540"/>
    </w:pPr>
    <w:rPr>
      <w:rFonts w:hAnsi="Times New Roman" w:cs="宋体"/>
      <w:szCs w:val="20"/>
      <w:lang w:val="en-US" w:eastAsia="zh-CN"/>
    </w:rPr>
  </w:style>
  <w:style w:type="paragraph" w:customStyle="1" w:styleId="359">
    <w:name w:val="默认段落字体 Para Char Char Char Char Char Char Char"/>
    <w:basedOn w:val="1"/>
    <w:autoRedefine/>
    <w:qFormat/>
    <w:uiPriority w:val="0"/>
    <w:pPr>
      <w:jc w:val="left"/>
    </w:pPr>
    <w:rPr>
      <w:rFonts w:ascii="Tahoma" w:hAnsi="Tahoma"/>
      <w:sz w:val="24"/>
      <w:szCs w:val="20"/>
    </w:rPr>
  </w:style>
  <w:style w:type="paragraph" w:customStyle="1" w:styleId="360">
    <w:name w:val="样式 标题 2 + 宋体 小三 段前: 0 磅 段后: 12 磅 行距: 1.5 倍行距"/>
    <w:basedOn w:val="3"/>
    <w:autoRedefine/>
    <w:qFormat/>
    <w:uiPriority w:val="0"/>
    <w:pPr>
      <w:numPr>
        <w:ilvl w:val="1"/>
        <w:numId w:val="4"/>
      </w:numPr>
      <w:spacing w:before="0" w:after="240" w:afterLines="100" w:line="360" w:lineRule="auto"/>
    </w:pPr>
    <w:rPr>
      <w:rFonts w:ascii="宋体" w:hAnsi="宋体" w:eastAsia="宋体" w:cs="宋体"/>
      <w:sz w:val="30"/>
      <w:szCs w:val="20"/>
    </w:rPr>
  </w:style>
  <w:style w:type="paragraph" w:customStyle="1" w:styleId="361">
    <w:name w:val="xl116"/>
    <w:basedOn w:val="1"/>
    <w:autoRedefine/>
    <w:qFormat/>
    <w:uiPriority w:val="0"/>
    <w:pPr>
      <w:widowControl/>
      <w:pBdr>
        <w:top w:val="single" w:color="auto" w:sz="8" w:space="0"/>
        <w:left w:val="single" w:color="auto" w:sz="4" w:space="0"/>
      </w:pBdr>
      <w:spacing w:before="100" w:beforeAutospacing="1" w:after="100" w:afterAutospacing="1"/>
      <w:jc w:val="center"/>
    </w:pPr>
    <w:rPr>
      <w:rFonts w:ascii="宋体" w:hAnsi="宋体" w:cs="宋体"/>
      <w:kern w:val="0"/>
      <w:sz w:val="24"/>
    </w:rPr>
  </w:style>
  <w:style w:type="paragraph" w:customStyle="1" w:styleId="362">
    <w:name w:val="正文1"/>
    <w:basedOn w:val="1"/>
    <w:autoRedefine/>
    <w:qFormat/>
    <w:uiPriority w:val="0"/>
    <w:pPr>
      <w:spacing w:line="360" w:lineRule="auto"/>
      <w:ind w:left="428" w:leftChars="428" w:firstLine="199" w:firstLineChars="199"/>
    </w:pPr>
    <w:rPr>
      <w:rFonts w:ascii="宋体"/>
      <w:color w:val="000000"/>
      <w:sz w:val="24"/>
    </w:rPr>
  </w:style>
  <w:style w:type="paragraph" w:customStyle="1" w:styleId="363">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64">
    <w:name w:val="xl104"/>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6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366">
    <w:name w:val="编号2级"/>
    <w:autoRedefine/>
    <w:qFormat/>
    <w:uiPriority w:val="0"/>
    <w:pPr>
      <w:spacing w:after="20" w:afterLines="20" w:line="400" w:lineRule="exact"/>
    </w:pPr>
    <w:rPr>
      <w:rFonts w:ascii="Times New Roman" w:hAnsi="Times New Roman" w:eastAsia="Times New Roman" w:cs="Times New Roman"/>
      <w:kern w:val="2"/>
      <w:sz w:val="24"/>
      <w:szCs w:val="24"/>
      <w:lang w:val="en-US" w:eastAsia="zh-CN" w:bidi="ar-SA"/>
    </w:rPr>
  </w:style>
  <w:style w:type="paragraph" w:customStyle="1" w:styleId="367">
    <w:name w:val="List Paragraph2"/>
    <w:basedOn w:val="1"/>
    <w:autoRedefine/>
    <w:qFormat/>
    <w:uiPriority w:val="99"/>
    <w:pPr>
      <w:ind w:firstLine="420" w:firstLineChars="200"/>
    </w:pPr>
    <w:rPr>
      <w:rFonts w:ascii="Calibri" w:hAnsi="Calibri"/>
      <w:szCs w:val="22"/>
    </w:rPr>
  </w:style>
  <w:style w:type="paragraph" w:customStyle="1" w:styleId="368">
    <w:name w:val="CM19"/>
    <w:basedOn w:val="96"/>
    <w:qFormat/>
    <w:uiPriority w:val="0"/>
    <w:pPr>
      <w:spacing w:line="440" w:lineRule="atLeast"/>
    </w:pPr>
    <w:rPr>
      <w:rFonts w:ascii="方正小标宋简体" w:eastAsia="方正小标宋简体" w:cs="Times New Roman"/>
      <w:color w:val="auto"/>
    </w:rPr>
  </w:style>
  <w:style w:type="paragraph" w:customStyle="1" w:styleId="369">
    <w:name w:val="默认段落字体 Para Char"/>
    <w:basedOn w:val="1"/>
    <w:semiHidden/>
    <w:qFormat/>
    <w:uiPriority w:val="0"/>
    <w:rPr>
      <w:rFonts w:cs="Arial"/>
    </w:rPr>
  </w:style>
  <w:style w:type="paragraph" w:customStyle="1" w:styleId="370">
    <w:name w:val="Item Step"/>
    <w:autoRedefine/>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3">
    <w:name w:val="Char2"/>
    <w:basedOn w:val="1"/>
    <w:autoRedefine/>
    <w:qFormat/>
    <w:uiPriority w:val="0"/>
  </w:style>
  <w:style w:type="paragraph" w:customStyle="1" w:styleId="374">
    <w:name w:val="编号1级"/>
    <w:autoRedefine/>
    <w:qFormat/>
    <w:uiPriority w:val="0"/>
    <w:pPr>
      <w:spacing w:after="93"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375">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cs="宋体"/>
      <w:sz w:val="28"/>
      <w:szCs w:val="20"/>
    </w:rPr>
  </w:style>
  <w:style w:type="paragraph" w:customStyle="1" w:styleId="376">
    <w:name w:val="xl8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377">
    <w:name w:val="xl69"/>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78">
    <w:name w:val="Char Char Char1 Char"/>
    <w:basedOn w:val="1"/>
    <w:autoRedefine/>
    <w:qFormat/>
    <w:uiPriority w:val="0"/>
    <w:pPr>
      <w:adjustRightInd w:val="0"/>
    </w:pPr>
    <w:rPr>
      <w:bCs/>
      <w:kern w:val="0"/>
    </w:rPr>
  </w:style>
  <w:style w:type="paragraph" w:customStyle="1" w:styleId="37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80">
    <w:name w:val="3级标题"/>
    <w:basedOn w:val="32"/>
    <w:qFormat/>
    <w:uiPriority w:val="0"/>
    <w:rPr>
      <w:rFonts w:cs="Arial"/>
      <w:b w:val="0"/>
      <w:sz w:val="24"/>
      <w:lang w:bidi="ar-SA"/>
    </w:rPr>
  </w:style>
  <w:style w:type="paragraph" w:customStyle="1" w:styleId="381">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kern w:val="0"/>
      <w:sz w:val="20"/>
      <w:szCs w:val="20"/>
    </w:rPr>
  </w:style>
  <w:style w:type="paragraph" w:customStyle="1" w:styleId="382">
    <w:name w:val="xl95"/>
    <w:basedOn w:val="1"/>
    <w:autoRedefine/>
    <w:qFormat/>
    <w:uiPriority w:val="0"/>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4"/>
    </w:rPr>
  </w:style>
  <w:style w:type="paragraph" w:customStyle="1" w:styleId="383">
    <w:name w:val="font15"/>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84">
    <w:name w:val="标准小四"/>
    <w:basedOn w:val="1"/>
    <w:autoRedefine/>
    <w:qFormat/>
    <w:uiPriority w:val="0"/>
    <w:pPr>
      <w:spacing w:line="360" w:lineRule="auto"/>
      <w:ind w:firstLine="480" w:firstLineChars="200"/>
    </w:pPr>
    <w:rPr>
      <w:rFonts w:ascii="Arial" w:hAnsi="Arial"/>
      <w:sz w:val="24"/>
      <w:szCs w:val="21"/>
    </w:rPr>
  </w:style>
  <w:style w:type="paragraph" w:customStyle="1" w:styleId="385">
    <w:name w:val="p15"/>
    <w:basedOn w:val="1"/>
    <w:qFormat/>
    <w:uiPriority w:val="0"/>
    <w:pPr>
      <w:widowControl/>
    </w:pPr>
    <w:rPr>
      <w:rFonts w:ascii="宋体" w:cs="宋体"/>
      <w:kern w:val="0"/>
      <w:szCs w:val="21"/>
    </w:rPr>
  </w:style>
  <w:style w:type="paragraph" w:customStyle="1" w:styleId="386">
    <w:name w:val="def正文"/>
    <w:basedOn w:val="16"/>
    <w:qFormat/>
    <w:uiPriority w:val="0"/>
    <w:pPr>
      <w:widowControl/>
      <w:spacing w:after="0" w:line="360" w:lineRule="auto"/>
      <w:ind w:firstLine="482"/>
    </w:pPr>
    <w:rPr>
      <w:b/>
      <w:color w:val="000000"/>
      <w:kern w:val="0"/>
      <w:sz w:val="24"/>
    </w:rPr>
  </w:style>
  <w:style w:type="paragraph" w:customStyle="1" w:styleId="387">
    <w:name w:val="xl76"/>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388">
    <w:name w:val="标题A"/>
    <w:basedOn w:val="1"/>
    <w:autoRedefine/>
    <w:qFormat/>
    <w:uiPriority w:val="0"/>
    <w:pPr>
      <w:autoSpaceDE w:val="0"/>
      <w:autoSpaceDN w:val="0"/>
      <w:adjustRightInd w:val="0"/>
      <w:ind w:left="720" w:right="-866"/>
      <w:jc w:val="left"/>
    </w:pPr>
    <w:rPr>
      <w:rFonts w:hAnsi="Arial" w:eastAsia="黑体"/>
      <w:i/>
      <w:kern w:val="0"/>
      <w:sz w:val="28"/>
      <w:szCs w:val="20"/>
    </w:rPr>
  </w:style>
  <w:style w:type="paragraph" w:customStyle="1" w:styleId="389">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390">
    <w:name w:val="font12"/>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91">
    <w:name w:val="表格(五号)"/>
    <w:basedOn w:val="1"/>
    <w:qFormat/>
    <w:uiPriority w:val="0"/>
    <w:pPr>
      <w:adjustRightInd w:val="0"/>
      <w:snapToGrid w:val="0"/>
      <w:spacing w:before="60" w:after="60"/>
      <w:ind w:left="11"/>
      <w:jc w:val="center"/>
    </w:pPr>
    <w:rPr>
      <w:kern w:val="0"/>
      <w:szCs w:val="20"/>
    </w:rPr>
  </w:style>
  <w:style w:type="paragraph" w:customStyle="1" w:styleId="392">
    <w:name w:val="样式 标题 1 + 段前: 1 行 段后: 1 行1"/>
    <w:basedOn w:val="2"/>
    <w:qFormat/>
    <w:uiPriority w:val="0"/>
    <w:pPr>
      <w:numPr>
        <w:ilvl w:val="0"/>
        <w:numId w:val="12"/>
      </w:numPr>
      <w:snapToGrid w:val="0"/>
      <w:spacing w:before="100" w:beforeLines="100" w:after="100" w:afterLines="100" w:line="360" w:lineRule="auto"/>
      <w:ind w:hanging="432"/>
    </w:pPr>
    <w:rPr>
      <w:rFonts w:cs="宋体"/>
      <w:bCs/>
      <w:sz w:val="32"/>
    </w:rPr>
  </w:style>
  <w:style w:type="paragraph" w:customStyle="1" w:styleId="39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94">
    <w:name w:val="xl11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5">
    <w:name w:val="pa-2"/>
    <w:basedOn w:val="1"/>
    <w:autoRedefine/>
    <w:qFormat/>
    <w:uiPriority w:val="0"/>
    <w:pPr>
      <w:widowControl/>
      <w:spacing w:before="150" w:after="150"/>
      <w:jc w:val="left"/>
    </w:pPr>
    <w:rPr>
      <w:rFonts w:ascii="宋体" w:cs="宋体"/>
      <w:kern w:val="0"/>
      <w:sz w:val="24"/>
    </w:rPr>
  </w:style>
  <w:style w:type="character" w:customStyle="1" w:styleId="396">
    <w:name w:val="NormalCharacter"/>
    <w:autoRedefine/>
    <w:qFormat/>
    <w:uiPriority w:val="0"/>
    <w:rPr>
      <w:rFonts w:ascii="Times New Roman" w:hAnsi="Times New Roman"/>
      <w:kern w:val="2"/>
      <w:sz w:val="21"/>
      <w:szCs w:val="24"/>
      <w:lang w:val="en-US" w:eastAsia="zh-CN" w:bidi="ar-SA"/>
    </w:rPr>
  </w:style>
  <w:style w:type="character" w:customStyle="1" w:styleId="397">
    <w:name w:val="font112"/>
    <w:basedOn w:val="49"/>
    <w:qFormat/>
    <w:uiPriority w:val="0"/>
    <w:rPr>
      <w:rFonts w:hint="eastAsia" w:ascii="宋体" w:hAnsi="宋体" w:eastAsia="宋体" w:cs="宋体"/>
      <w:color w:val="000000"/>
      <w:sz w:val="21"/>
      <w:szCs w:val="21"/>
      <w:u w:val="none"/>
    </w:rPr>
  </w:style>
  <w:style w:type="character" w:customStyle="1" w:styleId="398">
    <w:name w:val="font191"/>
    <w:basedOn w:val="49"/>
    <w:qFormat/>
    <w:uiPriority w:val="0"/>
    <w:rPr>
      <w:rFonts w:hint="eastAsia" w:ascii="宋体" w:hAnsi="宋体" w:eastAsia="宋体" w:cs="宋体"/>
      <w:color w:val="000000"/>
      <w:sz w:val="21"/>
      <w:szCs w:val="21"/>
      <w:u w:val="none"/>
    </w:rPr>
  </w:style>
  <w:style w:type="character" w:customStyle="1" w:styleId="399">
    <w:name w:val="font171"/>
    <w:basedOn w:val="49"/>
    <w:autoRedefine/>
    <w:qFormat/>
    <w:uiPriority w:val="0"/>
    <w:rPr>
      <w:rFonts w:hint="eastAsia" w:ascii="宋体" w:hAnsi="宋体" w:eastAsia="宋体" w:cs="宋体"/>
      <w:color w:val="000000"/>
      <w:sz w:val="21"/>
      <w:szCs w:val="21"/>
      <w:u w:val="none"/>
    </w:rPr>
  </w:style>
  <w:style w:type="character" w:customStyle="1" w:styleId="400">
    <w:name w:val="font181"/>
    <w:basedOn w:val="49"/>
    <w:autoRedefine/>
    <w:qFormat/>
    <w:uiPriority w:val="0"/>
    <w:rPr>
      <w:rFonts w:hint="eastAsia" w:ascii="宋体" w:hAnsi="宋体" w:eastAsia="宋体" w:cs="宋体"/>
      <w:color w:val="000000"/>
      <w:sz w:val="21"/>
      <w:szCs w:val="21"/>
      <w:u w:val="none"/>
    </w:rPr>
  </w:style>
  <w:style w:type="character" w:customStyle="1" w:styleId="401">
    <w:name w:val="font121"/>
    <w:basedOn w:val="49"/>
    <w:autoRedefine/>
    <w:qFormat/>
    <w:uiPriority w:val="0"/>
    <w:rPr>
      <w:rFonts w:hint="eastAsia" w:ascii="宋体" w:hAnsi="宋体" w:eastAsia="宋体" w:cs="宋体"/>
      <w:color w:val="000000"/>
      <w:sz w:val="18"/>
      <w:szCs w:val="18"/>
      <w:u w:val="none"/>
    </w:rPr>
  </w:style>
  <w:style w:type="character" w:customStyle="1" w:styleId="402">
    <w:name w:val="font101"/>
    <w:basedOn w:val="49"/>
    <w:autoRedefine/>
    <w:qFormat/>
    <w:uiPriority w:val="0"/>
    <w:rPr>
      <w:rFonts w:ascii="宋体" w:hAnsi="宋体" w:eastAsia="宋体" w:cs="宋体"/>
      <w:color w:val="FF0000"/>
      <w:sz w:val="18"/>
      <w:szCs w:val="18"/>
      <w:u w:val="none"/>
    </w:rPr>
  </w:style>
  <w:style w:type="character" w:customStyle="1" w:styleId="403">
    <w:name w:val="font132"/>
    <w:basedOn w:val="49"/>
    <w:autoRedefine/>
    <w:qFormat/>
    <w:uiPriority w:val="0"/>
    <w:rPr>
      <w:rFonts w:hint="eastAsia" w:ascii="宋体" w:hAnsi="宋体" w:eastAsia="宋体" w:cs="宋体"/>
      <w:color w:val="FF0000"/>
      <w:sz w:val="20"/>
      <w:szCs w:val="20"/>
      <w:u w:val="none"/>
    </w:rPr>
  </w:style>
  <w:style w:type="character" w:customStyle="1" w:styleId="404">
    <w:name w:val="font201"/>
    <w:basedOn w:val="49"/>
    <w:autoRedefine/>
    <w:qFormat/>
    <w:uiPriority w:val="0"/>
    <w:rPr>
      <w:rFonts w:hint="eastAsia" w:ascii="宋体" w:hAnsi="宋体" w:eastAsia="宋体" w:cs="宋体"/>
      <w:color w:val="FF0000"/>
      <w:sz w:val="20"/>
      <w:szCs w:val="20"/>
      <w:u w:val="none"/>
    </w:rPr>
  </w:style>
  <w:style w:type="character" w:customStyle="1" w:styleId="405">
    <w:name w:val="font212"/>
    <w:basedOn w:val="49"/>
    <w:autoRedefine/>
    <w:qFormat/>
    <w:uiPriority w:val="0"/>
    <w:rPr>
      <w:rFonts w:hint="eastAsia" w:ascii="宋体" w:hAnsi="宋体" w:eastAsia="宋体" w:cs="宋体"/>
      <w:color w:val="000000"/>
      <w:sz w:val="20"/>
      <w:szCs w:val="20"/>
      <w:u w:val="none"/>
    </w:rPr>
  </w:style>
  <w:style w:type="character" w:customStyle="1" w:styleId="406">
    <w:name w:val="current"/>
    <w:basedOn w:val="49"/>
    <w:autoRedefine/>
    <w:qFormat/>
    <w:uiPriority w:val="0"/>
    <w:rPr>
      <w:color w:val="FFFFFF"/>
      <w:u w:val="none"/>
      <w:shd w:val="clear" w:color="auto" w:fill="CC0000"/>
    </w:rPr>
  </w:style>
  <w:style w:type="paragraph" w:customStyle="1" w:styleId="407">
    <w:name w:val="Table Paragraph"/>
    <w:basedOn w:val="1"/>
    <w:autoRedefine/>
    <w:qFormat/>
    <w:uiPriority w:val="1"/>
    <w:rPr>
      <w:rFonts w:ascii="宋体" w:hAnsi="宋体" w:eastAsia="宋体" w:cs="宋体"/>
      <w:lang w:val="zh-CN" w:eastAsia="zh-CN" w:bidi="zh-CN"/>
    </w:rPr>
  </w:style>
  <w:style w:type="paragraph" w:customStyle="1" w:styleId="408">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409">
    <w:name w:val="正文首行缩进 21"/>
    <w:basedOn w:val="410"/>
    <w:autoRedefine/>
    <w:qFormat/>
    <w:uiPriority w:val="0"/>
    <w:pPr>
      <w:ind w:firstLine="420" w:firstLineChars="200"/>
    </w:pPr>
    <w:rPr>
      <w:rFonts w:ascii="Calibri" w:hAnsi="Calibri" w:eastAsia="宋体" w:cs="Times New Roman"/>
    </w:rPr>
  </w:style>
  <w:style w:type="paragraph" w:customStyle="1" w:styleId="410">
    <w:name w:val="正文文本缩进1"/>
    <w:basedOn w:val="1"/>
    <w:autoRedefine/>
    <w:qFormat/>
    <w:uiPriority w:val="0"/>
    <w:pPr>
      <w:spacing w:after="120"/>
      <w:ind w:left="420" w:leftChars="200"/>
    </w:pPr>
  </w:style>
  <w:style w:type="paragraph" w:customStyle="1" w:styleId="411">
    <w:name w:val="纯文本1"/>
    <w:basedOn w:val="1"/>
    <w:autoRedefine/>
    <w:qFormat/>
    <w:uiPriority w:val="0"/>
    <w:rPr>
      <w:rFonts w:ascii="宋体" w:hAnsi="Courier New" w:cs="Times New Roman"/>
      <w:sz w:val="28"/>
      <w:szCs w:val="20"/>
    </w:rPr>
  </w:style>
  <w:style w:type="paragraph" w:customStyle="1" w:styleId="412">
    <w:name w:val="列表编号 51"/>
    <w:basedOn w:val="1"/>
    <w:qFormat/>
    <w:uiPriority w:val="0"/>
    <w:pPr>
      <w:numPr>
        <w:ilvl w:val="0"/>
        <w:numId w:val="13"/>
      </w:numPr>
    </w:pPr>
  </w:style>
  <w:style w:type="table" w:customStyle="1" w:styleId="41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18893</Words>
  <Characters>20943</Characters>
  <Lines>316</Lines>
  <Paragraphs>89</Paragraphs>
  <TotalTime>88</TotalTime>
  <ScaleCrop>false</ScaleCrop>
  <LinksUpToDate>false</LinksUpToDate>
  <CharactersWithSpaces>21302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2017-05-04T04:01:00Z</dcterms:created>
  <dc:creator>hp</dc:creator>
  <cp:lastModifiedBy>Dove.Li</cp:lastModifiedBy>
  <dcterms:modified xsi:type="dcterms:W3CDTF">2025-07-16T02:39:38Z</dcterms:modified>
  <dc:title>和布克赛尔蒙古自治县政企单位内部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6AF7266F4A914E518F3328D56EA75F5D_13</vt:lpwstr>
  </property>
  <property fmtid="{D5CDD505-2E9C-101B-9397-08002B2CF9AE}" pid="4" name="KSOTemplateDocerSaveRecord">
    <vt:lpwstr>eyJoZGlkIjoiODVlZDliOTUzNmQxMmNkNzU3ZDM5MjA0MWNlNmQzNWEiLCJ1c2VySWQiOiIzMjU2NzU4MDMifQ==</vt:lpwstr>
  </property>
</Properties>
</file>