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4C5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b/>
          <w:bCs/>
          <w:color w:val="000000" w:themeColor="text1"/>
          <w:sz w:val="56"/>
          <w:szCs w:val="56"/>
          <w:lang w:val="en-US" w:eastAsia="zh-CN"/>
          <w14:textFill>
            <w14:solidFill>
              <w14:schemeClr w14:val="tx1"/>
            </w14:solidFill>
          </w14:textFill>
        </w:rPr>
      </w:pPr>
    </w:p>
    <w:p w14:paraId="5DCB30A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b/>
          <w:bCs/>
          <w:color w:val="000000" w:themeColor="text1"/>
          <w:sz w:val="56"/>
          <w:szCs w:val="56"/>
          <w:lang w:val="en-US" w:eastAsia="zh-CN"/>
          <w14:textFill>
            <w14:solidFill>
              <w14:schemeClr w14:val="tx1"/>
            </w14:solidFill>
          </w14:textFill>
        </w:rPr>
      </w:pPr>
    </w:p>
    <w:p w14:paraId="740BE8C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b/>
          <w:bCs/>
          <w:color w:val="000000" w:themeColor="text1"/>
          <w:sz w:val="56"/>
          <w:szCs w:val="56"/>
          <w:lang w:val="en-US" w:eastAsia="zh-CN"/>
          <w14:textFill>
            <w14:solidFill>
              <w14:schemeClr w14:val="tx1"/>
            </w14:solidFill>
          </w14:textFill>
        </w:rPr>
      </w:pPr>
    </w:p>
    <w:p w14:paraId="4B6DF0B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color w:val="auto"/>
          <w:sz w:val="50"/>
          <w:szCs w:val="44"/>
        </w:rPr>
      </w:pPr>
      <w:r>
        <w:rPr>
          <w:rFonts w:hint="eastAsia" w:cs="宋体"/>
          <w:b/>
          <w:bCs/>
          <w:color w:val="auto"/>
          <w:sz w:val="56"/>
          <w:szCs w:val="56"/>
          <w:lang w:val="en-US" w:eastAsia="zh-CN"/>
        </w:rPr>
        <w:t>火焰山镇美化亮化项目</w:t>
      </w:r>
    </w:p>
    <w:p w14:paraId="780C2A0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2C9B1F6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142CA8A3">
      <w:pPr>
        <w:pStyle w:val="33"/>
        <w:rPr>
          <w:rFonts w:hint="eastAsia"/>
        </w:rPr>
      </w:pPr>
    </w:p>
    <w:p w14:paraId="7EE9B695">
      <w:pPr>
        <w:pStyle w:val="33"/>
        <w:rPr>
          <w:rFonts w:hint="eastAsia"/>
        </w:rPr>
      </w:pPr>
    </w:p>
    <w:p w14:paraId="411A0482">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sz w:val="50"/>
          <w:szCs w:val="44"/>
        </w:rPr>
      </w:pPr>
    </w:p>
    <w:p w14:paraId="34381EB7">
      <w:pPr>
        <w:pStyle w:val="15"/>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200"/>
          <w:sz w:val="90"/>
          <w:szCs w:val="90"/>
        </w:rPr>
      </w:pPr>
      <w:r>
        <w:rPr>
          <w:rFonts w:hint="eastAsia" w:ascii="宋体" w:hAnsi="宋体" w:eastAsia="宋体" w:cs="宋体"/>
          <w:b/>
          <w:bCs/>
          <w:spacing w:val="200"/>
          <w:sz w:val="90"/>
          <w:szCs w:val="90"/>
        </w:rPr>
        <w:t>招标文件</w:t>
      </w:r>
    </w:p>
    <w:p w14:paraId="6F5235CA">
      <w:pPr>
        <w:pStyle w:val="15"/>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宋体" w:cs="宋体"/>
          <w:b/>
          <w:sz w:val="36"/>
          <w:szCs w:val="36"/>
        </w:rPr>
      </w:pPr>
    </w:p>
    <w:p w14:paraId="3E82D491">
      <w:pPr>
        <w:pStyle w:val="15"/>
        <w:keepNext w:val="0"/>
        <w:keepLines w:val="0"/>
        <w:pageBreakBefore w:val="0"/>
        <w:widowControl w:val="0"/>
        <w:kinsoku/>
        <w:wordWrap/>
        <w:overflowPunct/>
        <w:topLinePunct w:val="0"/>
        <w:autoSpaceDE/>
        <w:autoSpaceDN/>
        <w:bidi w:val="0"/>
        <w:spacing w:line="600" w:lineRule="exact"/>
        <w:jc w:val="center"/>
        <w:textAlignment w:val="auto"/>
        <w:rPr>
          <w:rFonts w:hint="default" w:ascii="宋体" w:hAnsi="宋体" w:eastAsia="宋体" w:cs="宋体"/>
          <w:bCs/>
          <w:color w:val="000000" w:themeColor="text1"/>
          <w:lang w:val="en-US"/>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项目编号：</w:t>
      </w:r>
      <w:r>
        <w:rPr>
          <w:rFonts w:hint="eastAsia" w:hAnsi="宋体" w:cs="宋体"/>
          <w:b/>
          <w:color w:val="000000" w:themeColor="text1"/>
          <w:sz w:val="36"/>
          <w:szCs w:val="36"/>
          <w:lang w:val="en-US" w:eastAsia="zh-CN"/>
          <w14:textFill>
            <w14:solidFill>
              <w14:schemeClr w14:val="tx1"/>
            </w14:solidFill>
          </w14:textFill>
        </w:rPr>
        <w:t>HYZB2025-(Z)20</w:t>
      </w:r>
    </w:p>
    <w:p w14:paraId="1DB991F5">
      <w:pPr>
        <w:pStyle w:val="15"/>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692080C3">
      <w:pPr>
        <w:pStyle w:val="15"/>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22F50284">
      <w:pPr>
        <w:pStyle w:val="15"/>
        <w:keepNext w:val="0"/>
        <w:keepLines w:val="0"/>
        <w:pageBreakBefore w:val="0"/>
        <w:widowControl w:val="0"/>
        <w:kinsoku/>
        <w:wordWrap/>
        <w:overflowPunct/>
        <w:topLinePunct w:val="0"/>
        <w:autoSpaceDE/>
        <w:autoSpaceDN/>
        <w:bidi w:val="0"/>
        <w:spacing w:line="600" w:lineRule="exact"/>
        <w:jc w:val="both"/>
        <w:textAlignment w:val="auto"/>
        <w:rPr>
          <w:rFonts w:hint="eastAsia" w:ascii="宋体" w:hAnsi="宋体" w:eastAsia="宋体" w:cs="宋体"/>
          <w:kern w:val="0"/>
          <w:sz w:val="44"/>
          <w:szCs w:val="44"/>
        </w:rPr>
      </w:pPr>
    </w:p>
    <w:p w14:paraId="780A61C0">
      <w:pPr>
        <w:pStyle w:val="15"/>
        <w:pageBreakBefore w:val="0"/>
        <w:kinsoku/>
        <w:wordWrap/>
        <w:overflowPunct/>
        <w:topLinePunct w:val="0"/>
        <w:bidi w:val="0"/>
        <w:spacing w:line="400" w:lineRule="exact"/>
        <w:jc w:val="center"/>
        <w:rPr>
          <w:rFonts w:hint="eastAsia" w:ascii="宋体" w:hAnsi="宋体" w:eastAsia="宋体" w:cs="宋体"/>
          <w:kern w:val="0"/>
          <w:sz w:val="44"/>
          <w:szCs w:val="44"/>
        </w:rPr>
      </w:pPr>
    </w:p>
    <w:p w14:paraId="7ABFBD9F">
      <w:pPr>
        <w:pStyle w:val="15"/>
        <w:pageBreakBefore w:val="0"/>
        <w:kinsoku/>
        <w:wordWrap/>
        <w:overflowPunct/>
        <w:topLinePunct w:val="0"/>
        <w:bidi w:val="0"/>
        <w:spacing w:line="400" w:lineRule="exact"/>
        <w:jc w:val="center"/>
        <w:rPr>
          <w:rFonts w:hint="eastAsia" w:ascii="宋体" w:hAnsi="宋体" w:eastAsia="宋体" w:cs="宋体"/>
          <w:b/>
          <w:sz w:val="30"/>
          <w:szCs w:val="30"/>
        </w:rPr>
      </w:pPr>
    </w:p>
    <w:p w14:paraId="50E07F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pacing w:val="20"/>
          <w:sz w:val="28"/>
          <w:szCs w:val="28"/>
          <w:highlight w:val="none"/>
        </w:rPr>
      </w:pPr>
    </w:p>
    <w:p w14:paraId="100623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pacing w:val="20"/>
          <w:sz w:val="28"/>
          <w:szCs w:val="28"/>
          <w:highlight w:val="none"/>
        </w:rPr>
      </w:pPr>
    </w:p>
    <w:p w14:paraId="29CBDE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spacing w:val="20"/>
          <w:sz w:val="28"/>
          <w:szCs w:val="28"/>
          <w:highlight w:val="none"/>
          <w:lang w:eastAsia="zh-CN"/>
        </w:rPr>
      </w:pPr>
    </w:p>
    <w:p w14:paraId="06E2066F">
      <w:pPr>
        <w:pStyle w:val="21"/>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spacing w:val="20"/>
          <w:kern w:val="2"/>
          <w:sz w:val="28"/>
          <w:szCs w:val="28"/>
          <w:highlight w:val="none"/>
          <w:lang w:val="en-US" w:eastAsia="zh-CN" w:bidi="ar-SA"/>
        </w:rPr>
      </w:pPr>
      <w:r>
        <w:rPr>
          <w:rFonts w:hint="eastAsia" w:ascii="宋体" w:hAnsi="宋体" w:eastAsia="宋体" w:cs="宋体"/>
          <w:b/>
          <w:spacing w:val="20"/>
          <w:sz w:val="28"/>
          <w:szCs w:val="28"/>
          <w:highlight w:val="none"/>
          <w:lang w:eastAsia="zh-CN"/>
        </w:rPr>
        <w:t>采 购 人</w:t>
      </w:r>
      <w:r>
        <w:rPr>
          <w:rFonts w:hint="eastAsia" w:ascii="宋体" w:hAnsi="宋体" w:eastAsia="宋体" w:cs="宋体"/>
          <w:b/>
          <w:spacing w:val="20"/>
          <w:sz w:val="28"/>
          <w:szCs w:val="28"/>
          <w:highlight w:val="none"/>
        </w:rPr>
        <w:t xml:space="preserve"> ：</w:t>
      </w:r>
      <w:r>
        <w:rPr>
          <w:rFonts w:hint="eastAsia" w:cs="宋体"/>
          <w:b/>
          <w:spacing w:val="20"/>
          <w:sz w:val="28"/>
          <w:szCs w:val="28"/>
          <w:highlight w:val="none"/>
          <w:lang w:eastAsia="zh-CN"/>
        </w:rPr>
        <w:t>吐鲁番市高昌区火焰山镇人民政府</w:t>
      </w:r>
      <w:r>
        <w:rPr>
          <w:rFonts w:hint="eastAsia" w:ascii="宋体" w:hAnsi="宋体" w:eastAsia="宋体" w:cs="宋体"/>
          <w:b/>
          <w:spacing w:val="20"/>
          <w:kern w:val="2"/>
          <w:sz w:val="28"/>
          <w:szCs w:val="28"/>
          <w:highlight w:val="none"/>
          <w:lang w:val="en-US" w:eastAsia="zh-CN" w:bidi="ar-SA"/>
        </w:rPr>
        <w:t> </w:t>
      </w:r>
    </w:p>
    <w:p w14:paraId="5B1016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spacing w:val="20"/>
          <w:sz w:val="28"/>
          <w:szCs w:val="28"/>
          <w:highlight w:val="none"/>
        </w:rPr>
      </w:pPr>
    </w:p>
    <w:p w14:paraId="78475B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color w:val="000000"/>
          <w:sz w:val="28"/>
          <w:szCs w:val="28"/>
          <w:highlight w:val="none"/>
          <w:lang w:eastAsia="zh-CN"/>
        </w:rPr>
      </w:pPr>
      <w:r>
        <w:rPr>
          <w:rFonts w:hint="eastAsia" w:ascii="宋体" w:hAnsi="宋体" w:eastAsia="宋体" w:cs="宋体"/>
          <w:b/>
          <w:spacing w:val="20"/>
          <w:sz w:val="28"/>
          <w:szCs w:val="28"/>
          <w:highlight w:val="none"/>
        </w:rPr>
        <w:t>招标代理机构：</w:t>
      </w:r>
      <w:r>
        <w:rPr>
          <w:rFonts w:hint="eastAsia" w:ascii="宋体" w:hAnsi="宋体" w:eastAsia="宋体" w:cs="宋体"/>
          <w:b/>
          <w:spacing w:val="20"/>
          <w:sz w:val="28"/>
          <w:szCs w:val="28"/>
          <w:highlight w:val="none"/>
          <w:lang w:eastAsia="zh-CN"/>
        </w:rPr>
        <w:t>新疆华域天恒工程管理有限公司</w:t>
      </w:r>
    </w:p>
    <w:p w14:paraId="11A4F6C2">
      <w:pPr>
        <w:pageBreakBefore w:val="0"/>
        <w:kinsoku/>
        <w:wordWrap/>
        <w:overflowPunct/>
        <w:topLinePunct w:val="0"/>
        <w:bidi w:val="0"/>
        <w:spacing w:line="400" w:lineRule="exact"/>
        <w:rPr>
          <w:rFonts w:hint="eastAsia" w:ascii="宋体" w:hAnsi="宋体" w:eastAsia="宋体" w:cs="宋体"/>
          <w:color w:val="000000"/>
          <w:kern w:val="0"/>
          <w:sz w:val="28"/>
          <w:szCs w:val="28"/>
          <w:highlight w:val="none"/>
        </w:rPr>
        <w:sectPr>
          <w:footerReference r:id="rId3" w:type="first"/>
          <w:pgSz w:w="11906" w:h="16838"/>
          <w:pgMar w:top="1134" w:right="1472" w:bottom="1134" w:left="1814" w:header="851" w:footer="1612" w:gutter="0"/>
          <w:pgNumType w:fmt="decimal" w:start="1"/>
          <w:cols w:space="720" w:num="1"/>
          <w:titlePg/>
          <w:docGrid w:type="lines" w:linePitch="312" w:charSpace="0"/>
        </w:sectPr>
      </w:pPr>
    </w:p>
    <w:p w14:paraId="4379E59D">
      <w:pPr>
        <w:pStyle w:val="18"/>
        <w:tabs>
          <w:tab w:val="right" w:leader="dot" w:pos="8296"/>
        </w:tabs>
        <w:spacing w:line="1000" w:lineRule="exact"/>
        <w:jc w:val="center"/>
        <w:rPr>
          <w:rFonts w:hint="eastAsia" w:ascii="宋体" w:hAnsi="宋体" w:eastAsia="宋体" w:cs="宋体"/>
          <w:color w:val="auto"/>
          <w:sz w:val="44"/>
          <w:szCs w:val="48"/>
        </w:rPr>
      </w:pPr>
      <w:r>
        <w:rPr>
          <w:rFonts w:hint="eastAsia" w:ascii="宋体" w:hAnsi="宋体" w:eastAsia="宋体" w:cs="宋体"/>
          <w:color w:val="auto"/>
          <w:sz w:val="44"/>
          <w:szCs w:val="48"/>
        </w:rPr>
        <w:t>目  录</w:t>
      </w:r>
    </w:p>
    <w:p w14:paraId="09809125">
      <w:pPr>
        <w:pStyle w:val="18"/>
        <w:tabs>
          <w:tab w:val="right" w:leader="dot" w:pos="8296"/>
        </w:tabs>
        <w:spacing w:line="1000" w:lineRule="exact"/>
        <w:rPr>
          <w:rFonts w:hint="eastAsia" w:ascii="宋体" w:hAnsi="宋体" w:eastAsia="宋体" w:cs="宋体"/>
          <w:b w:val="0"/>
          <w:bCs w:val="0"/>
          <w:caps w:val="0"/>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"_Toc44705269" </w:instrText>
      </w:r>
      <w:r>
        <w:rPr>
          <w:rFonts w:hint="eastAsia" w:ascii="宋体" w:hAnsi="宋体" w:eastAsia="宋体" w:cs="宋体"/>
          <w:color w:val="auto"/>
        </w:rPr>
        <w:fldChar w:fldCharType="separate"/>
      </w:r>
      <w:r>
        <w:rPr>
          <w:rStyle w:val="29"/>
          <w:rFonts w:hint="eastAsia" w:ascii="宋体" w:hAnsi="宋体" w:eastAsia="宋体" w:cs="宋体"/>
          <w:b w:val="0"/>
          <w:color w:val="auto"/>
          <w:w w:val="90"/>
          <w:sz w:val="32"/>
          <w:szCs w:val="32"/>
          <w:u w:val="none"/>
        </w:rPr>
        <w:t>第一章 招标公告</w:t>
      </w:r>
      <w:r>
        <w:rPr>
          <w:rStyle w:val="29"/>
          <w:rFonts w:hint="eastAsia" w:ascii="宋体" w:hAnsi="宋体" w:eastAsia="宋体" w:cs="宋体"/>
          <w:b w:val="0"/>
          <w:color w:val="auto"/>
          <w:w w:val="90"/>
          <w:sz w:val="32"/>
          <w:szCs w:val="32"/>
          <w:u w:val="none"/>
        </w:rPr>
        <w:tab/>
      </w:r>
      <w:r>
        <w:rPr>
          <w:rFonts w:hint="eastAsia" w:ascii="宋体" w:hAnsi="宋体" w:cs="宋体"/>
          <w:b w:val="0"/>
          <w:color w:val="auto"/>
          <w:sz w:val="32"/>
          <w:szCs w:val="32"/>
          <w:lang w:val="en-US" w:eastAsia="zh-CN"/>
        </w:rPr>
        <w:t>1</w:t>
      </w:r>
      <w:r>
        <w:rPr>
          <w:rFonts w:hint="eastAsia" w:ascii="宋体" w:hAnsi="宋体" w:eastAsia="宋体" w:cs="宋体"/>
          <w:b w:val="0"/>
          <w:color w:val="auto"/>
          <w:sz w:val="32"/>
          <w:szCs w:val="32"/>
        </w:rPr>
        <w:fldChar w:fldCharType="end"/>
      </w:r>
    </w:p>
    <w:p w14:paraId="00D98548">
      <w:pPr>
        <w:pStyle w:val="18"/>
        <w:tabs>
          <w:tab w:val="right" w:leader="dot" w:pos="8296"/>
        </w:tabs>
        <w:spacing w:line="1000" w:lineRule="exact"/>
        <w:rPr>
          <w:rFonts w:hint="eastAsia" w:ascii="宋体" w:hAnsi="宋体" w:eastAsia="宋体" w:cs="宋体"/>
          <w:b w:val="0"/>
          <w:bCs w:val="0"/>
          <w:caps w:val="0"/>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"_Toc44705270" </w:instrText>
      </w:r>
      <w:r>
        <w:rPr>
          <w:rFonts w:hint="eastAsia" w:ascii="宋体" w:hAnsi="宋体" w:eastAsia="宋体" w:cs="宋体"/>
          <w:color w:val="auto"/>
        </w:rPr>
        <w:fldChar w:fldCharType="separate"/>
      </w:r>
      <w:r>
        <w:rPr>
          <w:rStyle w:val="29"/>
          <w:rFonts w:hint="eastAsia" w:ascii="宋体" w:hAnsi="宋体" w:eastAsia="宋体" w:cs="宋体"/>
          <w:b w:val="0"/>
          <w:color w:val="auto"/>
          <w:w w:val="90"/>
          <w:sz w:val="32"/>
          <w:szCs w:val="32"/>
          <w:u w:val="none"/>
        </w:rPr>
        <w:t>第二章 投标人须知前附表</w:t>
      </w:r>
      <w:r>
        <w:rPr>
          <w:rFonts w:hint="eastAsia" w:ascii="宋体" w:hAnsi="宋体" w:eastAsia="宋体" w:cs="宋体"/>
          <w:b w:val="0"/>
          <w:color w:val="auto"/>
          <w:sz w:val="32"/>
          <w:szCs w:val="32"/>
        </w:rPr>
        <w:tab/>
      </w:r>
      <w:r>
        <w:rPr>
          <w:rFonts w:hint="eastAsia" w:ascii="宋体" w:hAnsi="宋体" w:cs="宋体"/>
          <w:b w:val="0"/>
          <w:color w:val="auto"/>
          <w:sz w:val="32"/>
          <w:szCs w:val="32"/>
          <w:lang w:val="en-US" w:eastAsia="zh-CN"/>
        </w:rPr>
        <w:t>5</w:t>
      </w:r>
      <w:r>
        <w:rPr>
          <w:rFonts w:hint="eastAsia" w:ascii="宋体" w:hAnsi="宋体" w:eastAsia="宋体" w:cs="宋体"/>
          <w:b w:val="0"/>
          <w:color w:val="auto"/>
          <w:sz w:val="32"/>
          <w:szCs w:val="32"/>
        </w:rPr>
        <w:fldChar w:fldCharType="end"/>
      </w:r>
    </w:p>
    <w:p w14:paraId="18D2A96B">
      <w:pPr>
        <w:pStyle w:val="18"/>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"_Toc44705271" </w:instrText>
      </w:r>
      <w:r>
        <w:rPr>
          <w:rFonts w:hint="eastAsia" w:ascii="宋体" w:hAnsi="宋体" w:eastAsia="宋体" w:cs="宋体"/>
          <w:color w:val="auto"/>
        </w:rPr>
        <w:fldChar w:fldCharType="separate"/>
      </w:r>
      <w:r>
        <w:rPr>
          <w:rStyle w:val="29"/>
          <w:rFonts w:hint="eastAsia" w:ascii="宋体" w:hAnsi="宋体" w:eastAsia="宋体" w:cs="宋体"/>
          <w:b w:val="0"/>
          <w:color w:val="auto"/>
          <w:w w:val="90"/>
          <w:sz w:val="32"/>
          <w:szCs w:val="32"/>
          <w:u w:val="none"/>
        </w:rPr>
        <w:t>第三章 投标人须知</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1</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2</w:t>
      </w:r>
    </w:p>
    <w:p w14:paraId="7FE93EB3">
      <w:pPr>
        <w:pStyle w:val="18"/>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"_Toc44705272" </w:instrText>
      </w:r>
      <w:r>
        <w:rPr>
          <w:rFonts w:hint="eastAsia" w:ascii="宋体" w:hAnsi="宋体" w:eastAsia="宋体" w:cs="宋体"/>
          <w:color w:val="auto"/>
        </w:rPr>
        <w:fldChar w:fldCharType="separate"/>
      </w:r>
      <w:r>
        <w:rPr>
          <w:rStyle w:val="29"/>
          <w:rFonts w:hint="eastAsia" w:ascii="宋体" w:hAnsi="宋体" w:eastAsia="宋体" w:cs="宋体"/>
          <w:b w:val="0"/>
          <w:color w:val="auto"/>
          <w:w w:val="90"/>
          <w:sz w:val="32"/>
          <w:szCs w:val="32"/>
          <w:u w:val="none"/>
        </w:rPr>
        <w:t>第四章 合同文本格式</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2</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9</w:t>
      </w:r>
    </w:p>
    <w:p w14:paraId="55A3FDE4">
      <w:pPr>
        <w:pStyle w:val="18"/>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"_Toc44705273" </w:instrText>
      </w:r>
      <w:r>
        <w:rPr>
          <w:rFonts w:hint="eastAsia" w:ascii="宋体" w:hAnsi="宋体" w:eastAsia="宋体" w:cs="宋体"/>
          <w:color w:val="auto"/>
        </w:rPr>
        <w:fldChar w:fldCharType="separate"/>
      </w:r>
      <w:r>
        <w:rPr>
          <w:rStyle w:val="29"/>
          <w:rFonts w:hint="eastAsia" w:ascii="宋体" w:hAnsi="宋体" w:eastAsia="宋体" w:cs="宋体"/>
          <w:b w:val="0"/>
          <w:color w:val="auto"/>
          <w:w w:val="90"/>
          <w:sz w:val="32"/>
          <w:szCs w:val="32"/>
          <w:u w:val="none"/>
        </w:rPr>
        <w:t>第五章 采购需求</w:t>
      </w:r>
      <w:r>
        <w:rPr>
          <w:rFonts w:hint="eastAsia" w:ascii="宋体" w:hAnsi="宋体" w:eastAsia="宋体" w:cs="宋体"/>
          <w:b w:val="0"/>
          <w:color w:val="auto"/>
          <w:sz w:val="32"/>
          <w:szCs w:val="32"/>
        </w:rPr>
        <w:tab/>
      </w:r>
      <w:r>
        <w:rPr>
          <w:rFonts w:hint="eastAsia" w:ascii="宋体" w:hAnsi="宋体" w:cs="宋体"/>
          <w:b w:val="0"/>
          <w:color w:val="auto"/>
          <w:sz w:val="32"/>
          <w:szCs w:val="32"/>
          <w:lang w:val="en-US" w:eastAsia="zh-CN"/>
        </w:rPr>
        <w:t>3</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4</w:t>
      </w:r>
    </w:p>
    <w:p w14:paraId="5DD16237">
      <w:pPr>
        <w:pStyle w:val="18"/>
        <w:tabs>
          <w:tab w:val="right" w:leader="dot" w:pos="8296"/>
        </w:tabs>
        <w:spacing w:line="1000" w:lineRule="exact"/>
        <w:rPr>
          <w:rFonts w:hint="default"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"_Toc44705274" </w:instrText>
      </w:r>
      <w:r>
        <w:rPr>
          <w:rFonts w:hint="eastAsia" w:ascii="宋体" w:hAnsi="宋体" w:eastAsia="宋体" w:cs="宋体"/>
          <w:color w:val="auto"/>
        </w:rPr>
        <w:fldChar w:fldCharType="separate"/>
      </w:r>
      <w:r>
        <w:rPr>
          <w:rStyle w:val="29"/>
          <w:rFonts w:hint="eastAsia" w:ascii="宋体" w:hAnsi="宋体" w:eastAsia="宋体" w:cs="宋体"/>
          <w:b w:val="0"/>
          <w:color w:val="auto"/>
          <w:w w:val="90"/>
          <w:sz w:val="32"/>
          <w:szCs w:val="32"/>
          <w:u w:val="none"/>
        </w:rPr>
        <w:t>第六章 评标方法及评标标准</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36</w:t>
      </w:r>
    </w:p>
    <w:p w14:paraId="7691EB5C">
      <w:pPr>
        <w:pStyle w:val="18"/>
        <w:tabs>
          <w:tab w:val="right" w:leader="dot" w:pos="8296"/>
        </w:tabs>
        <w:spacing w:line="1000" w:lineRule="exact"/>
        <w:rPr>
          <w:rFonts w:hint="default"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"_Toc44705277" </w:instrText>
      </w:r>
      <w:r>
        <w:rPr>
          <w:rFonts w:hint="eastAsia" w:ascii="宋体" w:hAnsi="宋体" w:eastAsia="宋体" w:cs="宋体"/>
          <w:color w:val="auto"/>
        </w:rPr>
        <w:fldChar w:fldCharType="separate"/>
      </w:r>
      <w:r>
        <w:rPr>
          <w:rStyle w:val="29"/>
          <w:rFonts w:hint="eastAsia" w:ascii="宋体" w:hAnsi="宋体" w:eastAsia="宋体" w:cs="宋体"/>
          <w:b w:val="0"/>
          <w:color w:val="auto"/>
          <w:w w:val="90"/>
          <w:sz w:val="32"/>
          <w:szCs w:val="32"/>
          <w:u w:val="none"/>
        </w:rPr>
        <w:t>第七章 投标文件格式</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44</w:t>
      </w:r>
    </w:p>
    <w:p w14:paraId="3197FC05">
      <w:pPr>
        <w:pStyle w:val="4"/>
        <w:rPr>
          <w:rFonts w:hint="eastAsia" w:ascii="宋体" w:hAnsi="宋体" w:eastAsia="宋体" w:cs="宋体"/>
        </w:rPr>
      </w:pPr>
    </w:p>
    <w:p w14:paraId="088D6978">
      <w:pPr>
        <w:pStyle w:val="4"/>
        <w:pageBreakBefore w:val="0"/>
        <w:kinsoku/>
        <w:wordWrap/>
        <w:overflowPunct/>
        <w:topLinePunct w:val="0"/>
        <w:bidi w:val="0"/>
        <w:spacing w:line="400" w:lineRule="exact"/>
        <w:rPr>
          <w:rFonts w:hint="eastAsia" w:ascii="宋体" w:hAnsi="宋体" w:eastAsia="宋体" w:cs="宋体"/>
        </w:rPr>
      </w:pPr>
    </w:p>
    <w:p w14:paraId="71787164">
      <w:pPr>
        <w:pageBreakBefore w:val="0"/>
        <w:widowControl/>
        <w:shd w:val="clear" w:color="auto" w:fill="FFFFFF"/>
        <w:kinsoku/>
        <w:wordWrap/>
        <w:overflowPunct/>
        <w:topLinePunct w:val="0"/>
        <w:bidi w:val="0"/>
        <w:spacing w:line="400" w:lineRule="exact"/>
        <w:jc w:val="both"/>
        <w:rPr>
          <w:rFonts w:hint="eastAsia" w:ascii="宋体" w:hAnsi="宋体" w:eastAsia="宋体" w:cs="宋体"/>
          <w:b/>
          <w:bCs/>
          <w:kern w:val="0"/>
          <w:sz w:val="24"/>
          <w:highlight w:val="none"/>
        </w:rPr>
      </w:pPr>
    </w:p>
    <w:p w14:paraId="4A75B019">
      <w:pPr>
        <w:pStyle w:val="4"/>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14:paraId="25B466B4">
      <w:pPr>
        <w:pStyle w:val="4"/>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14:paraId="0C2AB4D4">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4F4A2980">
      <w:pPr>
        <w:pStyle w:val="4"/>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6677C26C">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21F164DD">
      <w:pPr>
        <w:pStyle w:val="4"/>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658B6B36">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57D0624E">
      <w:pPr>
        <w:pStyle w:val="4"/>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4FAE846F">
      <w:pPr>
        <w:pStyle w:val="22"/>
        <w:pageBreakBefore w:val="0"/>
        <w:kinsoku/>
        <w:wordWrap/>
        <w:overflowPunct/>
        <w:topLinePunct w:val="0"/>
        <w:bidi w:val="0"/>
        <w:spacing w:beforeAutospacing="0" w:after="0" w:afterAutospacing="0" w:line="400" w:lineRule="exact"/>
        <w:ind w:left="0" w:leftChars="0" w:firstLine="0" w:firstLineChars="0"/>
        <w:jc w:val="both"/>
        <w:rPr>
          <w:rStyle w:val="29"/>
          <w:rFonts w:hint="eastAsia" w:ascii="宋体" w:hAnsi="宋体" w:eastAsia="宋体" w:cs="宋体"/>
          <w:b/>
          <w:bCs/>
          <w:color w:val="auto"/>
          <w:w w:val="90"/>
          <w:sz w:val="36"/>
          <w:szCs w:val="36"/>
          <w:u w:val="none"/>
          <w:lang w:val="en-US" w:eastAsia="zh-CN"/>
        </w:rPr>
      </w:pPr>
    </w:p>
    <w:p w14:paraId="1D16009C">
      <w:pPr>
        <w:pStyle w:val="22"/>
        <w:pageBreakBefore w:val="0"/>
        <w:kinsoku/>
        <w:wordWrap/>
        <w:overflowPunct/>
        <w:topLinePunct w:val="0"/>
        <w:bidi w:val="0"/>
        <w:spacing w:beforeAutospacing="0" w:after="0" w:afterAutospacing="0" w:line="400" w:lineRule="exact"/>
        <w:ind w:left="0" w:leftChars="0" w:firstLine="0" w:firstLineChars="0"/>
        <w:jc w:val="center"/>
        <w:rPr>
          <w:rStyle w:val="29"/>
          <w:rFonts w:hint="eastAsia" w:ascii="宋体" w:hAnsi="宋体" w:eastAsia="宋体" w:cs="宋体"/>
          <w:b/>
          <w:bCs/>
          <w:color w:val="auto"/>
          <w:w w:val="90"/>
          <w:sz w:val="36"/>
          <w:szCs w:val="36"/>
          <w:u w:val="none"/>
          <w:lang w:val="en-US" w:eastAsia="zh-CN"/>
        </w:rPr>
        <w:sectPr>
          <w:footerReference r:id="rId4" w:type="default"/>
          <w:pgSz w:w="11906" w:h="16838"/>
          <w:pgMar w:top="1928" w:right="1531" w:bottom="1701" w:left="1531" w:header="851" w:footer="992" w:gutter="0"/>
          <w:pgNumType w:fmt="decimal" w:start="6"/>
          <w:cols w:space="720" w:num="1"/>
          <w:docGrid w:type="lines" w:linePitch="312" w:charSpace="0"/>
        </w:sectPr>
      </w:pPr>
    </w:p>
    <w:p w14:paraId="668C1688">
      <w:pPr>
        <w:pStyle w:val="22"/>
        <w:pageBreakBefore w:val="0"/>
        <w:kinsoku/>
        <w:wordWrap/>
        <w:overflowPunct/>
        <w:topLinePunct w:val="0"/>
        <w:bidi w:val="0"/>
        <w:spacing w:beforeAutospacing="0" w:after="0" w:afterAutospacing="0" w:line="400" w:lineRule="exact"/>
        <w:ind w:left="0" w:leftChars="0" w:firstLine="0" w:firstLineChars="0"/>
        <w:jc w:val="center"/>
        <w:rPr>
          <w:rFonts w:hint="eastAsia" w:ascii="宋体" w:hAnsi="宋体" w:eastAsia="宋体" w:cs="宋体"/>
          <w:color w:val="000000"/>
          <w:kern w:val="0"/>
          <w:szCs w:val="24"/>
          <w:highlight w:val="none"/>
        </w:rPr>
      </w:pPr>
      <w:r>
        <w:rPr>
          <w:rStyle w:val="29"/>
          <w:rFonts w:hint="eastAsia" w:ascii="宋体" w:hAnsi="宋体" w:eastAsia="宋体" w:cs="宋体"/>
          <w:b/>
          <w:bCs/>
          <w:color w:val="auto"/>
          <w:w w:val="90"/>
          <w:sz w:val="36"/>
          <w:szCs w:val="36"/>
          <w:u w:val="none"/>
          <w:lang w:val="en-US" w:eastAsia="zh-CN"/>
        </w:rPr>
        <w:t>第一章 招标公告</w:t>
      </w:r>
    </w:p>
    <w:p w14:paraId="093EEB18">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火焰山镇美化亮化项目公开招标公告</w:t>
      </w:r>
    </w:p>
    <w:p w14:paraId="4A4901A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项目概况</w:t>
      </w:r>
    </w:p>
    <w:p w14:paraId="7B3ECB1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lang w:val="en-US" w:eastAsia="zh-CN"/>
        </w:rPr>
        <w:t>火焰山镇美化亮化项目</w:t>
      </w:r>
      <w:r>
        <w:rPr>
          <w:rFonts w:hint="eastAsia" w:ascii="仿宋" w:hAnsi="仿宋" w:eastAsia="仿宋" w:cs="仿宋"/>
          <w:i w:val="0"/>
          <w:iCs w:val="0"/>
          <w:caps w:val="0"/>
          <w:color w:val="auto"/>
          <w:spacing w:val="0"/>
          <w:sz w:val="28"/>
          <w:szCs w:val="28"/>
        </w:rPr>
        <w:t>的潜在投标人应在政采云平台线上获取招标文件</w:t>
      </w:r>
      <w:r>
        <w:rPr>
          <w:rFonts w:hint="eastAsia" w:ascii="仿宋" w:hAnsi="仿宋" w:eastAsia="仿宋" w:cs="仿宋"/>
          <w:i w:val="0"/>
          <w:iCs w:val="0"/>
          <w:caps w:val="0"/>
          <w:color w:val="auto"/>
          <w:spacing w:val="0"/>
          <w:sz w:val="28"/>
          <w:szCs w:val="28"/>
          <w:highlight w:val="none"/>
        </w:rPr>
        <w:t>，并</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于</w:t>
      </w:r>
      <w:r>
        <w:rPr>
          <w:rFonts w:hint="eastAsia" w:ascii="仿宋" w:hAnsi="仿宋" w:eastAsia="仿宋" w:cs="仿宋"/>
          <w:i w:val="0"/>
          <w:iCs w:val="0"/>
          <w:caps w:val="0"/>
          <w:color w:val="auto"/>
          <w:spacing w:val="0"/>
          <w:sz w:val="28"/>
          <w:szCs w:val="28"/>
          <w:highlight w:val="none"/>
          <w:lang w:eastAsia="zh-CN"/>
        </w:rPr>
        <w:t>2025</w:t>
      </w:r>
      <w:r>
        <w:rPr>
          <w:rFonts w:hint="eastAsia" w:ascii="仿宋" w:hAnsi="仿宋" w:eastAsia="仿宋" w:cs="仿宋"/>
          <w:i w:val="0"/>
          <w:iCs w:val="0"/>
          <w:caps w:val="0"/>
          <w:color w:val="auto"/>
          <w:spacing w:val="0"/>
          <w:sz w:val="28"/>
          <w:szCs w:val="28"/>
          <w:highlight w:val="none"/>
        </w:rPr>
        <w:t>年</w:t>
      </w:r>
      <w:r>
        <w:rPr>
          <w:rFonts w:hint="eastAsia" w:ascii="仿宋" w:hAnsi="仿宋" w:eastAsia="仿宋" w:cs="仿宋"/>
          <w:i w:val="0"/>
          <w:iCs w:val="0"/>
          <w:caps w:val="0"/>
          <w:color w:val="auto"/>
          <w:spacing w:val="0"/>
          <w:sz w:val="28"/>
          <w:szCs w:val="28"/>
          <w:highlight w:val="none"/>
          <w:lang w:val="en-US" w:eastAsia="zh-CN"/>
        </w:rPr>
        <w:t>07</w:t>
      </w:r>
      <w:r>
        <w:rPr>
          <w:rFonts w:hint="eastAsia" w:ascii="仿宋" w:hAnsi="仿宋" w:eastAsia="仿宋" w:cs="仿宋"/>
          <w:i w:val="0"/>
          <w:iCs w:val="0"/>
          <w:caps w:val="0"/>
          <w:color w:val="auto"/>
          <w:spacing w:val="0"/>
          <w:sz w:val="28"/>
          <w:szCs w:val="28"/>
          <w:highlight w:val="none"/>
        </w:rPr>
        <w:t>月</w:t>
      </w:r>
      <w:r>
        <w:rPr>
          <w:rFonts w:hint="eastAsia" w:ascii="仿宋" w:hAnsi="仿宋" w:eastAsia="仿宋" w:cs="仿宋"/>
          <w:i w:val="0"/>
          <w:iCs w:val="0"/>
          <w:caps w:val="0"/>
          <w:color w:val="auto"/>
          <w:spacing w:val="0"/>
          <w:sz w:val="28"/>
          <w:szCs w:val="28"/>
          <w:highlight w:val="none"/>
          <w:lang w:val="en-US" w:eastAsia="zh-CN"/>
        </w:rPr>
        <w:t>16</w:t>
      </w:r>
      <w:r>
        <w:rPr>
          <w:rFonts w:hint="eastAsia" w:ascii="仿宋" w:hAnsi="仿宋" w:eastAsia="仿宋" w:cs="仿宋"/>
          <w:i w:val="0"/>
          <w:iCs w:val="0"/>
          <w:caps w:val="0"/>
          <w:color w:val="auto"/>
          <w:spacing w:val="0"/>
          <w:sz w:val="28"/>
          <w:szCs w:val="28"/>
          <w:highlight w:val="none"/>
        </w:rPr>
        <w:t>日1</w:t>
      </w:r>
      <w:r>
        <w:rPr>
          <w:rFonts w:hint="eastAsia" w:ascii="仿宋" w:hAnsi="仿宋" w:eastAsia="仿宋" w:cs="仿宋"/>
          <w:i w:val="0"/>
          <w:iCs w:val="0"/>
          <w:caps w:val="0"/>
          <w:color w:val="auto"/>
          <w:spacing w:val="0"/>
          <w:sz w:val="28"/>
          <w:szCs w:val="28"/>
          <w:highlight w:val="none"/>
          <w:lang w:val="en-US" w:eastAsia="zh-CN"/>
        </w:rPr>
        <w:t>0</w:t>
      </w:r>
      <w:r>
        <w:rPr>
          <w:rFonts w:hint="eastAsia" w:ascii="仿宋" w:hAnsi="仿宋" w:eastAsia="仿宋" w:cs="仿宋"/>
          <w:i w:val="0"/>
          <w:iCs w:val="0"/>
          <w:caps w:val="0"/>
          <w:color w:val="auto"/>
          <w:spacing w:val="0"/>
          <w:sz w:val="28"/>
          <w:szCs w:val="28"/>
          <w:highlight w:val="none"/>
        </w:rPr>
        <w:t>:</w:t>
      </w:r>
      <w:r>
        <w:rPr>
          <w:rFonts w:hint="eastAsia" w:ascii="仿宋" w:hAnsi="仿宋" w:eastAsia="仿宋" w:cs="仿宋"/>
          <w:i w:val="0"/>
          <w:iCs w:val="0"/>
          <w:caps w:val="0"/>
          <w:color w:val="auto"/>
          <w:spacing w:val="0"/>
          <w:sz w:val="28"/>
          <w:szCs w:val="28"/>
          <w:highlight w:val="none"/>
          <w:lang w:val="en-US" w:eastAsia="zh-CN"/>
        </w:rPr>
        <w:t>0</w:t>
      </w:r>
      <w:r>
        <w:rPr>
          <w:rFonts w:hint="eastAsia" w:ascii="仿宋" w:hAnsi="仿宋" w:eastAsia="仿宋" w:cs="仿宋"/>
          <w:i w:val="0"/>
          <w:iCs w:val="0"/>
          <w:caps w:val="0"/>
          <w:color w:val="auto"/>
          <w:spacing w:val="0"/>
          <w:sz w:val="28"/>
          <w:szCs w:val="28"/>
          <w:highlight w:val="none"/>
        </w:rPr>
        <w:t>0</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（北</w:t>
      </w:r>
      <w:r>
        <w:rPr>
          <w:rFonts w:hint="eastAsia" w:ascii="仿宋" w:hAnsi="仿宋" w:eastAsia="仿宋" w:cs="仿宋"/>
          <w:i w:val="0"/>
          <w:iCs w:val="0"/>
          <w:caps w:val="0"/>
          <w:color w:val="000000" w:themeColor="text1"/>
          <w:spacing w:val="0"/>
          <w:sz w:val="28"/>
          <w:szCs w:val="28"/>
          <w14:textFill>
            <w14:solidFill>
              <w14:schemeClr w14:val="tx1"/>
            </w14:solidFill>
          </w14:textFill>
        </w:rPr>
        <w:t>京时间）前递交投</w:t>
      </w:r>
      <w:r>
        <w:rPr>
          <w:rFonts w:hint="eastAsia" w:ascii="仿宋" w:hAnsi="仿宋" w:eastAsia="仿宋" w:cs="仿宋"/>
          <w:i w:val="0"/>
          <w:iCs w:val="0"/>
          <w:caps w:val="0"/>
          <w:color w:val="auto"/>
          <w:spacing w:val="0"/>
          <w:sz w:val="28"/>
          <w:szCs w:val="28"/>
        </w:rPr>
        <w:t>标文件。</w:t>
      </w:r>
    </w:p>
    <w:p w14:paraId="48FE9E4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color w:val="000000"/>
          <w:sz w:val="28"/>
          <w:szCs w:val="28"/>
        </w:rPr>
      </w:pPr>
      <w:r>
        <w:rPr>
          <w:rStyle w:val="27"/>
          <w:rFonts w:hint="eastAsia" w:ascii="仿宋" w:hAnsi="仿宋" w:eastAsia="仿宋" w:cs="仿宋"/>
          <w:b/>
          <w:bCs/>
          <w:i w:val="0"/>
          <w:iCs w:val="0"/>
          <w:caps w:val="0"/>
          <w:color w:val="000000"/>
          <w:spacing w:val="0"/>
          <w:sz w:val="28"/>
          <w:szCs w:val="28"/>
        </w:rPr>
        <w:t>一、项目基本情况</w:t>
      </w:r>
    </w:p>
    <w:p w14:paraId="04611C73">
      <w:pPr>
        <w:pStyle w:val="21"/>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仿宋" w:hAnsi="仿宋" w:eastAsia="仿宋" w:cs="仿宋"/>
          <w:i w:val="0"/>
          <w:iCs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项目编</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号：HYZB2025-(Z)20</w:t>
      </w:r>
    </w:p>
    <w:p w14:paraId="103314B2">
      <w:pPr>
        <w:pStyle w:val="21"/>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项目名称：</w:t>
      </w:r>
      <w:r>
        <w:rPr>
          <w:rFonts w:hint="eastAsia" w:ascii="仿宋" w:hAnsi="仿宋" w:eastAsia="仿宋" w:cs="仿宋"/>
          <w:i w:val="0"/>
          <w:iCs w:val="0"/>
          <w:caps w:val="0"/>
          <w:color w:val="auto"/>
          <w:spacing w:val="0"/>
          <w:sz w:val="28"/>
          <w:szCs w:val="28"/>
          <w:lang w:val="en-US" w:eastAsia="zh-CN"/>
        </w:rPr>
        <w:t>火焰山镇美化亮化项目</w:t>
      </w:r>
    </w:p>
    <w:p w14:paraId="67001227">
      <w:pPr>
        <w:pStyle w:val="21"/>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采购方式：</w:t>
      </w:r>
      <w:r>
        <w:rPr>
          <w:rFonts w:hint="eastAsia" w:ascii="仿宋" w:hAnsi="仿宋" w:eastAsia="仿宋" w:cs="仿宋"/>
          <w:i w:val="0"/>
          <w:iCs w:val="0"/>
          <w:caps w:val="0"/>
          <w:color w:val="000000"/>
          <w:spacing w:val="0"/>
          <w:kern w:val="0"/>
          <w:sz w:val="28"/>
          <w:szCs w:val="28"/>
          <w:lang w:val="en-US" w:eastAsia="zh-CN" w:bidi="ar-SA"/>
        </w:rPr>
        <w:t>公开招标</w:t>
      </w:r>
    </w:p>
    <w:p w14:paraId="43196F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i w:val="0"/>
          <w:iCs w:val="0"/>
          <w:caps w:val="0"/>
          <w:color w:val="000000"/>
          <w:spacing w:val="0"/>
          <w:kern w:val="0"/>
          <w:sz w:val="28"/>
          <w:szCs w:val="28"/>
          <w:lang w:val="en-US" w:eastAsia="zh-CN" w:bidi="ar-SA"/>
        </w:rPr>
      </w:pPr>
      <w:r>
        <w:rPr>
          <w:rFonts w:hint="eastAsia" w:ascii="仿宋" w:hAnsi="仿宋" w:eastAsia="仿宋" w:cs="仿宋"/>
          <w:i w:val="0"/>
          <w:iCs w:val="0"/>
          <w:caps w:val="0"/>
          <w:color w:val="000000"/>
          <w:spacing w:val="0"/>
          <w:sz w:val="28"/>
          <w:szCs w:val="28"/>
          <w:lang w:val="en-US" w:eastAsia="zh-CN"/>
        </w:rPr>
        <w:t>预算金额（元</w:t>
      </w:r>
      <w:r>
        <w:rPr>
          <w:rFonts w:hint="eastAsia" w:ascii="仿宋" w:hAnsi="仿宋" w:eastAsia="仿宋" w:cs="仿宋"/>
          <w:i w:val="0"/>
          <w:iCs w:val="0"/>
          <w:caps w:val="0"/>
          <w:color w:val="000000"/>
          <w:spacing w:val="0"/>
          <w:kern w:val="0"/>
          <w:sz w:val="28"/>
          <w:szCs w:val="28"/>
          <w:lang w:val="en-US" w:eastAsia="zh-CN" w:bidi="ar-SA"/>
        </w:rPr>
        <w:t>）：750000</w:t>
      </w:r>
    </w:p>
    <w:p w14:paraId="3FAE577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 w:hAnsi="仿宋" w:eastAsia="仿宋" w:cs="仿宋"/>
          <w:i w:val="0"/>
          <w:iCs w:val="0"/>
          <w:caps w:val="0"/>
          <w:color w:val="auto"/>
          <w:spacing w:val="0"/>
          <w:kern w:val="0"/>
          <w:sz w:val="28"/>
          <w:szCs w:val="28"/>
          <w:lang w:val="en-US" w:eastAsia="zh-CN" w:bidi="ar-SA"/>
        </w:rPr>
      </w:pPr>
      <w:r>
        <w:rPr>
          <w:rFonts w:hint="eastAsia" w:ascii="仿宋" w:hAnsi="仿宋" w:eastAsia="仿宋" w:cs="仿宋"/>
          <w:i w:val="0"/>
          <w:iCs w:val="0"/>
          <w:caps w:val="0"/>
          <w:color w:val="auto"/>
          <w:spacing w:val="0"/>
          <w:kern w:val="0"/>
          <w:sz w:val="28"/>
          <w:szCs w:val="28"/>
          <w:lang w:val="en-US" w:eastAsia="zh-CN" w:bidi="ar-SA"/>
        </w:rPr>
        <w:t>最高限价（元）：</w:t>
      </w:r>
      <w:r>
        <w:rPr>
          <w:rFonts w:hint="eastAsia" w:ascii="仿宋" w:hAnsi="仿宋" w:eastAsia="仿宋" w:cs="仿宋"/>
          <w:i w:val="0"/>
          <w:iCs w:val="0"/>
          <w:caps w:val="0"/>
          <w:color w:val="000000"/>
          <w:spacing w:val="0"/>
          <w:kern w:val="0"/>
          <w:sz w:val="28"/>
          <w:szCs w:val="28"/>
          <w:lang w:val="en-US" w:eastAsia="zh-CN" w:bidi="ar-SA"/>
        </w:rPr>
        <w:t>750000</w:t>
      </w:r>
    </w:p>
    <w:p w14:paraId="588EBB2A">
      <w:pPr>
        <w:pStyle w:val="21"/>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采购需求：</w:t>
      </w:r>
    </w:p>
    <w:p w14:paraId="16062982">
      <w:pPr>
        <w:pStyle w:val="21"/>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标项一</w:t>
      </w:r>
    </w:p>
    <w:p w14:paraId="776224D6">
      <w:pPr>
        <w:pStyle w:val="21"/>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标项名称:</w:t>
      </w:r>
      <w:r>
        <w:rPr>
          <w:rFonts w:hint="eastAsia" w:ascii="仿宋" w:hAnsi="仿宋" w:eastAsia="仿宋" w:cs="仿宋"/>
          <w:i w:val="0"/>
          <w:iCs w:val="0"/>
          <w:caps w:val="0"/>
          <w:color w:val="auto"/>
          <w:spacing w:val="0"/>
          <w:sz w:val="28"/>
          <w:szCs w:val="28"/>
          <w:lang w:val="en-US" w:eastAsia="zh-CN"/>
        </w:rPr>
        <w:t>火焰山镇美化亮化项目</w:t>
      </w:r>
      <w:r>
        <w:rPr>
          <w:rFonts w:hint="eastAsia" w:ascii="仿宋" w:hAnsi="仿宋" w:eastAsia="仿宋" w:cs="仿宋"/>
          <w:i w:val="0"/>
          <w:iCs w:val="0"/>
          <w:caps w:val="0"/>
          <w:color w:val="000000"/>
          <w:spacing w:val="0"/>
          <w:sz w:val="28"/>
          <w:szCs w:val="28"/>
          <w:lang w:val="en-US" w:eastAsia="zh-CN"/>
        </w:rPr>
        <w:t>   </w:t>
      </w:r>
    </w:p>
    <w:p w14:paraId="2E37700B">
      <w:pPr>
        <w:pStyle w:val="21"/>
        <w:keepNext w:val="0"/>
        <w:keepLines w:val="0"/>
        <w:pageBreakBefore w:val="0"/>
        <w:widowControl/>
        <w:kinsoku/>
        <w:wordWrap/>
        <w:overflowPunct/>
        <w:topLinePunct w:val="0"/>
        <w:autoSpaceDE/>
        <w:autoSpaceDN/>
        <w:bidi w:val="0"/>
        <w:adjustRightInd/>
        <w:snapToGrid/>
        <w:spacing w:beforeAutospacing="0" w:afterAutospacing="0" w:line="360" w:lineRule="exact"/>
        <w:ind w:firstLine="280" w:firstLineChars="10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数量:1</w:t>
      </w:r>
    </w:p>
    <w:p w14:paraId="79F19705">
      <w:pPr>
        <w:pStyle w:val="21"/>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000000"/>
          <w:spacing w:val="0"/>
          <w:kern w:val="0"/>
          <w:sz w:val="28"/>
          <w:szCs w:val="28"/>
          <w:lang w:val="en-US" w:eastAsia="zh-CN" w:bidi="ar-SA"/>
        </w:rPr>
      </w:pPr>
      <w:r>
        <w:rPr>
          <w:rFonts w:hint="eastAsia" w:ascii="仿宋" w:hAnsi="仿宋" w:eastAsia="仿宋" w:cs="仿宋"/>
          <w:i w:val="0"/>
          <w:iCs w:val="0"/>
          <w:caps w:val="0"/>
          <w:color w:val="000000"/>
          <w:spacing w:val="0"/>
          <w:sz w:val="28"/>
          <w:szCs w:val="28"/>
          <w:lang w:val="en-US" w:eastAsia="zh-CN"/>
        </w:rPr>
        <w:t>   预算金额（元）:</w:t>
      </w:r>
      <w:r>
        <w:rPr>
          <w:rFonts w:hint="eastAsia" w:ascii="仿宋" w:hAnsi="仿宋" w:eastAsia="仿宋" w:cs="仿宋"/>
          <w:i w:val="0"/>
          <w:iCs w:val="0"/>
          <w:caps w:val="0"/>
          <w:color w:val="000000"/>
          <w:spacing w:val="0"/>
          <w:kern w:val="0"/>
          <w:sz w:val="28"/>
          <w:szCs w:val="28"/>
          <w:lang w:val="en-US" w:eastAsia="zh-CN" w:bidi="ar-SA"/>
        </w:rPr>
        <w:t>750000</w:t>
      </w:r>
    </w:p>
    <w:p w14:paraId="64CAD91D">
      <w:pPr>
        <w:pStyle w:val="21"/>
        <w:keepNext w:val="0"/>
        <w:keepLines w:val="0"/>
        <w:pageBreakBefore w:val="0"/>
        <w:widowControl/>
        <w:kinsoku/>
        <w:wordWrap/>
        <w:overflowPunct/>
        <w:topLinePunct w:val="0"/>
        <w:autoSpaceDE/>
        <w:autoSpaceDN/>
        <w:bidi w:val="0"/>
        <w:adjustRightInd/>
        <w:snapToGrid/>
        <w:spacing w:beforeAutospacing="0" w:afterAutospacing="0" w:line="360" w:lineRule="exact"/>
        <w:ind w:firstLine="280" w:firstLineChars="100"/>
        <w:textAlignment w:val="auto"/>
        <w:rPr>
          <w:rFonts w:hint="eastAsia" w:ascii="仿宋" w:hAnsi="仿宋" w:eastAsia="仿宋" w:cs="仿宋"/>
          <w:i w:val="0"/>
          <w:iCs w:val="0"/>
          <w:caps w:val="0"/>
          <w:color w:val="000000"/>
          <w:spacing w:val="0"/>
          <w:kern w:val="0"/>
          <w:sz w:val="28"/>
          <w:szCs w:val="28"/>
          <w:lang w:val="en-US" w:eastAsia="zh-CN" w:bidi="ar-SA"/>
        </w:rPr>
      </w:pPr>
      <w:r>
        <w:rPr>
          <w:rFonts w:hint="eastAsia" w:ascii="仿宋" w:hAnsi="仿宋" w:eastAsia="仿宋" w:cs="仿宋"/>
          <w:i w:val="0"/>
          <w:iCs w:val="0"/>
          <w:caps w:val="0"/>
          <w:color w:val="000000"/>
          <w:spacing w:val="0"/>
          <w:kern w:val="0"/>
          <w:sz w:val="28"/>
          <w:szCs w:val="28"/>
          <w:lang w:val="en-US" w:eastAsia="zh-CN" w:bidi="ar-SA"/>
        </w:rPr>
        <w:t>单位：批</w:t>
      </w:r>
    </w:p>
    <w:p w14:paraId="05C735B6">
      <w:pPr>
        <w:pStyle w:val="21"/>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auto"/>
          <w:spacing w:val="0"/>
          <w:kern w:val="0"/>
          <w:sz w:val="28"/>
          <w:szCs w:val="28"/>
          <w:lang w:val="en-US" w:eastAsia="zh-CN" w:bidi="ar-SA"/>
        </w:rPr>
      </w:pPr>
      <w:r>
        <w:rPr>
          <w:rFonts w:hint="eastAsia" w:ascii="仿宋" w:hAnsi="仿宋" w:eastAsia="仿宋" w:cs="仿宋"/>
          <w:i w:val="0"/>
          <w:iCs w:val="0"/>
          <w:caps w:val="0"/>
          <w:color w:val="000000"/>
          <w:spacing w:val="0"/>
          <w:sz w:val="28"/>
          <w:szCs w:val="28"/>
          <w:lang w:val="en-US" w:eastAsia="zh-CN"/>
        </w:rPr>
        <w:t>   简要规格描述或项目基本概况介绍、用途：</w:t>
      </w:r>
      <w:r>
        <w:rPr>
          <w:rFonts w:hint="eastAsia" w:ascii="仿宋" w:hAnsi="仿宋" w:eastAsia="仿宋" w:cs="仿宋"/>
          <w:i w:val="0"/>
          <w:iCs w:val="0"/>
          <w:caps w:val="0"/>
          <w:color w:val="auto"/>
          <w:spacing w:val="0"/>
          <w:sz w:val="28"/>
          <w:szCs w:val="28"/>
          <w:lang w:val="en-US" w:eastAsia="zh-CN"/>
        </w:rPr>
        <w:t>采购公共照明设施375盏。</w:t>
      </w:r>
      <w:r>
        <w:rPr>
          <w:rFonts w:hint="eastAsia" w:ascii="仿宋" w:hAnsi="仿宋" w:eastAsia="仿宋" w:cs="仿宋"/>
          <w:i w:val="0"/>
          <w:iCs w:val="0"/>
          <w:caps w:val="0"/>
          <w:color w:val="000000"/>
          <w:spacing w:val="0"/>
          <w:sz w:val="28"/>
          <w:szCs w:val="28"/>
          <w:lang w:val="en-US" w:eastAsia="zh-CN"/>
        </w:rPr>
        <w:t>（具体内容详见招标文件）</w:t>
      </w:r>
    </w:p>
    <w:p w14:paraId="20794222">
      <w:pPr>
        <w:pStyle w:val="21"/>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kern w:val="0"/>
          <w:sz w:val="28"/>
          <w:szCs w:val="28"/>
          <w:lang w:val="en-US" w:eastAsia="zh-CN" w:bidi="ar-SA"/>
        </w:rPr>
        <w:t>   备注：</w:t>
      </w:r>
    </w:p>
    <w:p w14:paraId="7E563E7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i w:val="0"/>
          <w:iCs w:val="0"/>
          <w:caps w:val="0"/>
          <w:color w:val="auto"/>
          <w:spacing w:val="0"/>
          <w:sz w:val="28"/>
          <w:szCs w:val="28"/>
          <w:highlight w:val="none"/>
          <w:lang w:val="en-US" w:eastAsia="zh-CN"/>
        </w:rPr>
      </w:pPr>
      <w:r>
        <w:rPr>
          <w:rFonts w:hint="eastAsia" w:ascii="仿宋" w:hAnsi="仿宋" w:eastAsia="仿宋" w:cs="仿宋"/>
          <w:i w:val="0"/>
          <w:iCs w:val="0"/>
          <w:caps w:val="0"/>
          <w:color w:val="auto"/>
          <w:spacing w:val="0"/>
          <w:sz w:val="28"/>
          <w:szCs w:val="28"/>
          <w:lang w:val="en-US" w:eastAsia="zh-CN"/>
        </w:rPr>
        <w:t>合同履约期限：</w:t>
      </w:r>
      <w:r>
        <w:rPr>
          <w:rFonts w:hint="eastAsia" w:ascii="仿宋" w:hAnsi="仿宋" w:eastAsia="仿宋" w:cs="仿宋"/>
          <w:i w:val="0"/>
          <w:iCs w:val="0"/>
          <w:caps w:val="0"/>
          <w:color w:val="auto"/>
          <w:spacing w:val="0"/>
          <w:sz w:val="28"/>
          <w:szCs w:val="28"/>
          <w:highlight w:val="none"/>
          <w:lang w:val="en-US" w:eastAsia="zh-CN"/>
        </w:rPr>
        <w:t>标项1，合同签订后20天。</w:t>
      </w:r>
    </w:p>
    <w:p w14:paraId="7300E93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80" w:firstLineChars="100"/>
        <w:textAlignment w:val="auto"/>
        <w:rPr>
          <w:rFonts w:hint="eastAsia" w:ascii="仿宋" w:hAnsi="仿宋" w:eastAsia="仿宋" w:cs="仿宋"/>
          <w:i w:val="0"/>
          <w:iCs w:val="0"/>
          <w:caps w:val="0"/>
          <w:color w:val="auto"/>
          <w:spacing w:val="0"/>
          <w:sz w:val="28"/>
          <w:szCs w:val="28"/>
          <w:highlight w:val="none"/>
          <w:lang w:val="en-US" w:eastAsia="zh-CN"/>
        </w:rPr>
      </w:pPr>
      <w:r>
        <w:rPr>
          <w:rFonts w:hint="eastAsia" w:ascii="仿宋" w:hAnsi="仿宋" w:eastAsia="仿宋" w:cs="仿宋"/>
          <w:i w:val="0"/>
          <w:iCs w:val="0"/>
          <w:caps w:val="0"/>
          <w:color w:val="auto"/>
          <w:spacing w:val="0"/>
          <w:sz w:val="28"/>
          <w:szCs w:val="28"/>
          <w:highlight w:val="none"/>
          <w:lang w:val="en-US" w:eastAsia="zh-CN"/>
        </w:rPr>
        <w:t>本项目（否）接受联合体投标。</w:t>
      </w:r>
    </w:p>
    <w:p w14:paraId="560C428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color w:val="auto"/>
          <w:sz w:val="28"/>
          <w:szCs w:val="28"/>
          <w:highlight w:val="none"/>
        </w:rPr>
      </w:pPr>
      <w:r>
        <w:rPr>
          <w:rStyle w:val="27"/>
          <w:rFonts w:hint="eastAsia" w:ascii="仿宋" w:hAnsi="仿宋" w:eastAsia="仿宋" w:cs="仿宋"/>
          <w:b/>
          <w:bCs/>
          <w:i w:val="0"/>
          <w:iCs w:val="0"/>
          <w:caps w:val="0"/>
          <w:color w:val="auto"/>
          <w:spacing w:val="0"/>
          <w:sz w:val="28"/>
          <w:szCs w:val="28"/>
          <w:highlight w:val="none"/>
        </w:rPr>
        <w:t>二、申请人的资格要求：</w:t>
      </w:r>
    </w:p>
    <w:p w14:paraId="3B5A966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1.满足《中华人民共和国政府采购法》第二十二条规定；</w:t>
      </w:r>
    </w:p>
    <w:p w14:paraId="12E7160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2.落实政府采购政策需满足的资格要求：</w:t>
      </w:r>
      <w:r>
        <w:rPr>
          <w:rFonts w:hint="eastAsia" w:ascii="仿宋" w:hAnsi="仿宋" w:eastAsia="仿宋" w:cs="仿宋"/>
          <w:i w:val="0"/>
          <w:iCs w:val="0"/>
          <w:caps w:val="0"/>
          <w:color w:val="auto"/>
          <w:spacing w:val="0"/>
          <w:sz w:val="28"/>
          <w:szCs w:val="28"/>
          <w:highlight w:val="none"/>
          <w:lang w:val="en-US" w:eastAsia="zh-CN"/>
        </w:rPr>
        <w:t>标项1：本项目</w:t>
      </w:r>
      <w:r>
        <w:rPr>
          <w:rFonts w:hint="eastAsia" w:ascii="仿宋" w:hAnsi="仿宋" w:eastAsia="仿宋" w:cs="仿宋"/>
          <w:i w:val="0"/>
          <w:iCs w:val="0"/>
          <w:caps w:val="0"/>
          <w:color w:val="auto"/>
          <w:spacing w:val="0"/>
          <w:sz w:val="28"/>
          <w:szCs w:val="28"/>
          <w:highlight w:val="none"/>
        </w:rPr>
        <w:t>专门面向</w:t>
      </w:r>
      <w:r>
        <w:rPr>
          <w:rFonts w:hint="eastAsia" w:ascii="仿宋" w:hAnsi="仿宋" w:eastAsia="仿宋" w:cs="仿宋"/>
          <w:i w:val="0"/>
          <w:iCs w:val="0"/>
          <w:caps w:val="0"/>
          <w:color w:val="auto"/>
          <w:spacing w:val="0"/>
          <w:sz w:val="28"/>
          <w:szCs w:val="28"/>
          <w:highlight w:val="none"/>
          <w:lang w:val="en-US" w:eastAsia="zh-CN"/>
        </w:rPr>
        <w:t>中小</w:t>
      </w:r>
      <w:r>
        <w:rPr>
          <w:rFonts w:hint="eastAsia" w:ascii="仿宋" w:hAnsi="仿宋" w:eastAsia="仿宋" w:cs="仿宋"/>
          <w:i w:val="0"/>
          <w:iCs w:val="0"/>
          <w:caps w:val="0"/>
          <w:color w:val="auto"/>
          <w:spacing w:val="0"/>
          <w:sz w:val="28"/>
          <w:szCs w:val="28"/>
          <w:highlight w:val="none"/>
        </w:rPr>
        <w:t>企业</w:t>
      </w:r>
      <w:r>
        <w:rPr>
          <w:rFonts w:hint="eastAsia" w:ascii="仿宋" w:hAnsi="仿宋" w:eastAsia="仿宋" w:cs="仿宋"/>
          <w:i w:val="0"/>
          <w:iCs w:val="0"/>
          <w:caps w:val="0"/>
          <w:color w:val="auto"/>
          <w:spacing w:val="0"/>
          <w:sz w:val="28"/>
          <w:szCs w:val="28"/>
          <w:highlight w:val="none"/>
          <w:lang w:val="en-US" w:eastAsia="zh-CN"/>
        </w:rPr>
        <w:t>；</w:t>
      </w:r>
    </w:p>
    <w:p w14:paraId="2059124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3.本项目的特定资格要求：</w:t>
      </w:r>
    </w:p>
    <w:p w14:paraId="0761EA1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aps w:val="0"/>
          <w:color w:val="auto"/>
          <w:spacing w:val="0"/>
          <w:sz w:val="28"/>
          <w:szCs w:val="28"/>
          <w:highlight w:val="none"/>
        </w:rPr>
        <w:t>1）投标人须具备市政公用工程施工总承包三级及以上资</w:t>
      </w:r>
      <w:r>
        <w:rPr>
          <w:rFonts w:hint="eastAsia" w:ascii="仿宋" w:hAnsi="仿宋" w:eastAsia="仿宋" w:cs="仿宋"/>
          <w:i w:val="0"/>
          <w:iCs w:val="0"/>
          <w:caps w:val="0"/>
          <w:color w:val="auto"/>
          <w:spacing w:val="0"/>
          <w:sz w:val="28"/>
          <w:szCs w:val="28"/>
        </w:rPr>
        <w:t>质，项目负责人具备市政工程专业注册建造师贰级及以上执业资格</w:t>
      </w:r>
      <w:r>
        <w:rPr>
          <w:rFonts w:hint="eastAsia" w:ascii="仿宋" w:hAnsi="仿宋" w:eastAsia="仿宋" w:cs="仿宋"/>
          <w:i w:val="0"/>
          <w:iCs w:val="0"/>
          <w:caps w:val="0"/>
          <w:color w:val="000000"/>
          <w:spacing w:val="0"/>
          <w:sz w:val="28"/>
          <w:szCs w:val="28"/>
        </w:rPr>
        <w:t>；（2）投标人近三年有相应的业绩，并在人员、设备、资金等方面具有相应的施工能力，</w:t>
      </w:r>
      <w:r>
        <w:rPr>
          <w:rFonts w:hint="eastAsia" w:ascii="仿宋" w:hAnsi="仿宋" w:eastAsia="仿宋" w:cs="仿宋"/>
          <w:i w:val="0"/>
          <w:iCs w:val="0"/>
          <w:caps w:val="0"/>
          <w:color w:val="000000"/>
          <w:spacing w:val="0"/>
          <w:sz w:val="28"/>
          <w:szCs w:val="28"/>
          <w:lang w:val="en-US" w:eastAsia="zh-CN"/>
        </w:rPr>
        <w:t>具备</w:t>
      </w:r>
      <w:r>
        <w:rPr>
          <w:rFonts w:hint="eastAsia" w:ascii="仿宋" w:hAnsi="仿宋" w:eastAsia="仿宋" w:cs="仿宋"/>
          <w:i w:val="0"/>
          <w:iCs w:val="0"/>
          <w:caps w:val="0"/>
          <w:color w:val="000000"/>
          <w:spacing w:val="0"/>
          <w:sz w:val="28"/>
          <w:szCs w:val="28"/>
        </w:rPr>
        <w:t>有</w:t>
      </w:r>
      <w:r>
        <w:rPr>
          <w:rFonts w:hint="eastAsia" w:ascii="仿宋" w:hAnsi="仿宋" w:eastAsia="仿宋" w:cs="仿宋"/>
          <w:i w:val="0"/>
          <w:iCs w:val="0"/>
          <w:caps w:val="0"/>
          <w:color w:val="000000"/>
          <w:spacing w:val="0"/>
          <w:sz w:val="28"/>
          <w:szCs w:val="28"/>
          <w:lang w:val="en-US" w:eastAsia="zh-CN"/>
        </w:rPr>
        <w:t>效的</w:t>
      </w:r>
      <w:r>
        <w:rPr>
          <w:rFonts w:hint="eastAsia" w:ascii="仿宋" w:hAnsi="仿宋" w:eastAsia="仿宋" w:cs="仿宋"/>
          <w:i w:val="0"/>
          <w:iCs w:val="0"/>
          <w:caps w:val="0"/>
          <w:color w:val="000000"/>
          <w:spacing w:val="0"/>
          <w:sz w:val="28"/>
          <w:szCs w:val="28"/>
        </w:rPr>
        <w:t>安全生产许可证，区外进疆建筑企业办理信息报送册；（3）凡参加本次招标项目的投标人，需提供信用中国网（www.creditchina.gov.cn）、中国政府采购网（www.ccgp.gov.cn）、国家企业信用信息公示系统（www.gsxt.gov.cn）网络查询截图加盖投标企业公章，近三年如被列入失信被执行人、重大税收违法案件当事人名单、政府采购严重违法失信行为记录名单及其他不符合规定条件的供应商，将拒绝其参加本次政府采购活动；（4）单位负责人为同一人或者存在直接控股、管理关系的不同供应商，不得参加同一合同项下的政府采购活动。（5）本项目不接受联合体投标。</w:t>
      </w:r>
    </w:p>
    <w:p w14:paraId="08113FD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color w:val="auto"/>
          <w:sz w:val="28"/>
          <w:szCs w:val="28"/>
        </w:rPr>
      </w:pPr>
      <w:r>
        <w:rPr>
          <w:rStyle w:val="27"/>
          <w:rFonts w:hint="eastAsia" w:ascii="仿宋" w:hAnsi="仿宋" w:eastAsia="仿宋" w:cs="仿宋"/>
          <w:b/>
          <w:bCs/>
          <w:i w:val="0"/>
          <w:iCs w:val="0"/>
          <w:caps w:val="0"/>
          <w:color w:val="000000"/>
          <w:spacing w:val="0"/>
          <w:sz w:val="28"/>
          <w:szCs w:val="28"/>
        </w:rPr>
        <w:t>三</w:t>
      </w:r>
      <w:r>
        <w:rPr>
          <w:rStyle w:val="27"/>
          <w:rFonts w:hint="eastAsia" w:ascii="仿宋" w:hAnsi="仿宋" w:eastAsia="仿宋" w:cs="仿宋"/>
          <w:b/>
          <w:bCs/>
          <w:i w:val="0"/>
          <w:iCs w:val="0"/>
          <w:caps w:val="0"/>
          <w:color w:val="auto"/>
          <w:spacing w:val="0"/>
          <w:sz w:val="28"/>
          <w:szCs w:val="28"/>
        </w:rPr>
        <w:t>、获取招标文件</w:t>
      </w:r>
    </w:p>
    <w:p w14:paraId="0092B5F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时</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间：</w:t>
      </w:r>
      <w:r>
        <w:rPr>
          <w:rFonts w:hint="eastAsia" w:ascii="仿宋" w:hAnsi="仿宋" w:eastAsia="仿宋" w:cs="仿宋"/>
          <w:color w:val="000000" w:themeColor="text1"/>
          <w:sz w:val="28"/>
          <w:szCs w:val="28"/>
          <w:highlight w:val="none"/>
          <w:lang w:eastAsia="zh-CN"/>
          <w14:textFill>
            <w14:solidFill>
              <w14:schemeClr w14:val="tx1"/>
            </w14:solidFill>
          </w14:textFill>
        </w:rPr>
        <w:t>2025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06</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26</w:t>
      </w:r>
      <w:r>
        <w:rPr>
          <w:rFonts w:hint="eastAsia" w:ascii="仿宋" w:hAnsi="仿宋" w:eastAsia="仿宋" w:cs="仿宋"/>
          <w:color w:val="000000" w:themeColor="text1"/>
          <w:sz w:val="28"/>
          <w:szCs w:val="28"/>
          <w:highlight w:val="none"/>
          <w14:textFill>
            <w14:solidFill>
              <w14:schemeClr w14:val="tx1"/>
            </w14:solidFill>
          </w14:textFill>
        </w:rPr>
        <w:t>日至</w:t>
      </w:r>
      <w:r>
        <w:rPr>
          <w:rFonts w:hint="eastAsia" w:ascii="仿宋" w:hAnsi="仿宋" w:eastAsia="仿宋" w:cs="仿宋"/>
          <w:color w:val="000000" w:themeColor="text1"/>
          <w:sz w:val="28"/>
          <w:szCs w:val="28"/>
          <w:highlight w:val="none"/>
          <w:lang w:eastAsia="zh-CN"/>
          <w14:textFill>
            <w14:solidFill>
              <w14:schemeClr w14:val="tx1"/>
            </w14:solidFill>
          </w14:textFill>
        </w:rPr>
        <w:t>2025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07</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03</w:t>
      </w:r>
      <w:r>
        <w:rPr>
          <w:rFonts w:hint="eastAsia" w:ascii="仿宋" w:hAnsi="仿宋" w:eastAsia="仿宋" w:cs="仿宋"/>
          <w:color w:val="000000" w:themeColor="text1"/>
          <w:sz w:val="28"/>
          <w:szCs w:val="28"/>
          <w:highlight w:val="none"/>
          <w14:textFill>
            <w14:solidFill>
              <w14:schemeClr w14:val="tx1"/>
            </w14:solidFill>
          </w14:textFill>
        </w:rPr>
        <w:t>日</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，每天上午</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09</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0至1</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0，下午1</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:30至</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0（北</w:t>
      </w:r>
      <w:r>
        <w:rPr>
          <w:rFonts w:hint="eastAsia" w:ascii="仿宋" w:hAnsi="仿宋" w:eastAsia="仿宋" w:cs="仿宋"/>
          <w:i w:val="0"/>
          <w:iCs w:val="0"/>
          <w:caps w:val="0"/>
          <w:color w:val="000000" w:themeColor="text1"/>
          <w:spacing w:val="0"/>
          <w:sz w:val="28"/>
          <w:szCs w:val="28"/>
          <w14:textFill>
            <w14:solidFill>
              <w14:schemeClr w14:val="tx1"/>
            </w14:solidFill>
          </w14:textFill>
        </w:rPr>
        <w:t>京时间，法定节假日除外）</w:t>
      </w:r>
    </w:p>
    <w:p w14:paraId="2FF9F0A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rPr>
        <w:t>地点：政采云平台线上</w:t>
      </w:r>
      <w:r>
        <w:rPr>
          <w:rFonts w:hint="eastAsia" w:ascii="仿宋" w:hAnsi="仿宋" w:eastAsia="仿宋" w:cs="仿宋"/>
          <w:i w:val="0"/>
          <w:iCs w:val="0"/>
          <w:caps w:val="0"/>
          <w:color w:val="auto"/>
          <w:spacing w:val="0"/>
          <w:sz w:val="28"/>
          <w:szCs w:val="28"/>
          <w:lang w:val="en-US" w:eastAsia="zh-CN"/>
        </w:rPr>
        <w:t>获取</w:t>
      </w:r>
    </w:p>
    <w:p w14:paraId="4CB47A0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F9F5EE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售价（元）：0</w:t>
      </w:r>
    </w:p>
    <w:p w14:paraId="0FD4236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color w:val="auto"/>
          <w:sz w:val="28"/>
          <w:szCs w:val="28"/>
        </w:rPr>
      </w:pPr>
      <w:r>
        <w:rPr>
          <w:rStyle w:val="27"/>
          <w:rFonts w:hint="eastAsia" w:ascii="仿宋" w:hAnsi="仿宋" w:eastAsia="仿宋" w:cs="仿宋"/>
          <w:b/>
          <w:bCs/>
          <w:i w:val="0"/>
          <w:iCs w:val="0"/>
          <w:caps w:val="0"/>
          <w:color w:val="auto"/>
          <w:spacing w:val="0"/>
          <w:sz w:val="28"/>
          <w:szCs w:val="28"/>
        </w:rPr>
        <w:t>四、提交投标文件截止时间、开标时间和地点</w:t>
      </w:r>
    </w:p>
    <w:p w14:paraId="791290A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000000" w:themeColor="text1"/>
          <w:spacing w:val="0"/>
          <w:sz w:val="28"/>
          <w:szCs w:val="28"/>
          <w14:textFill>
            <w14:solidFill>
              <w14:schemeClr w14:val="tx1"/>
            </w14:solidFill>
          </w14:textFill>
        </w:rPr>
        <w:t>提交投标文件截</w:t>
      </w:r>
      <w:r>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t>止时</w:t>
      </w:r>
      <w:r>
        <w:rPr>
          <w:rFonts w:hint="eastAsia" w:ascii="仿宋" w:hAnsi="仿宋" w:eastAsia="仿宋" w:cs="仿宋"/>
          <w:i w:val="0"/>
          <w:iCs w:val="0"/>
          <w:caps w:val="0"/>
          <w:color w:val="auto"/>
          <w:spacing w:val="0"/>
          <w:sz w:val="28"/>
          <w:szCs w:val="28"/>
          <w:highlight w:val="none"/>
        </w:rPr>
        <w:t>间：</w:t>
      </w:r>
      <w:r>
        <w:rPr>
          <w:rFonts w:hint="eastAsia" w:ascii="仿宋" w:hAnsi="仿宋" w:eastAsia="仿宋" w:cs="仿宋"/>
          <w:i w:val="0"/>
          <w:iCs w:val="0"/>
          <w:caps w:val="0"/>
          <w:color w:val="auto"/>
          <w:spacing w:val="0"/>
          <w:sz w:val="28"/>
          <w:szCs w:val="28"/>
          <w:highlight w:val="none"/>
          <w:lang w:eastAsia="zh-CN"/>
        </w:rPr>
        <w:t>2025</w:t>
      </w:r>
      <w:r>
        <w:rPr>
          <w:rFonts w:hint="eastAsia" w:ascii="仿宋" w:hAnsi="仿宋" w:eastAsia="仿宋" w:cs="仿宋"/>
          <w:i w:val="0"/>
          <w:iCs w:val="0"/>
          <w:caps w:val="0"/>
          <w:color w:val="auto"/>
          <w:spacing w:val="0"/>
          <w:sz w:val="28"/>
          <w:szCs w:val="28"/>
          <w:highlight w:val="none"/>
        </w:rPr>
        <w:t>年</w:t>
      </w:r>
      <w:r>
        <w:rPr>
          <w:rFonts w:hint="eastAsia" w:ascii="仿宋" w:hAnsi="仿宋" w:eastAsia="仿宋" w:cs="仿宋"/>
          <w:i w:val="0"/>
          <w:iCs w:val="0"/>
          <w:caps w:val="0"/>
          <w:color w:val="auto"/>
          <w:spacing w:val="0"/>
          <w:sz w:val="28"/>
          <w:szCs w:val="28"/>
          <w:highlight w:val="none"/>
          <w:lang w:val="en-US" w:eastAsia="zh-CN"/>
        </w:rPr>
        <w:t>07</w:t>
      </w:r>
      <w:r>
        <w:rPr>
          <w:rFonts w:hint="eastAsia" w:ascii="仿宋" w:hAnsi="仿宋" w:eastAsia="仿宋" w:cs="仿宋"/>
          <w:i w:val="0"/>
          <w:iCs w:val="0"/>
          <w:caps w:val="0"/>
          <w:color w:val="auto"/>
          <w:spacing w:val="0"/>
          <w:sz w:val="28"/>
          <w:szCs w:val="28"/>
          <w:highlight w:val="none"/>
        </w:rPr>
        <w:t>月</w:t>
      </w:r>
      <w:r>
        <w:rPr>
          <w:rFonts w:hint="eastAsia" w:ascii="仿宋" w:hAnsi="仿宋" w:eastAsia="仿宋" w:cs="仿宋"/>
          <w:i w:val="0"/>
          <w:iCs w:val="0"/>
          <w:caps w:val="0"/>
          <w:color w:val="auto"/>
          <w:spacing w:val="0"/>
          <w:sz w:val="28"/>
          <w:szCs w:val="28"/>
          <w:highlight w:val="none"/>
          <w:lang w:val="en-US" w:eastAsia="zh-CN"/>
        </w:rPr>
        <w:t>16</w:t>
      </w:r>
      <w:r>
        <w:rPr>
          <w:rFonts w:hint="eastAsia" w:ascii="仿宋" w:hAnsi="仿宋" w:eastAsia="仿宋" w:cs="仿宋"/>
          <w:i w:val="0"/>
          <w:iCs w:val="0"/>
          <w:caps w:val="0"/>
          <w:color w:val="auto"/>
          <w:spacing w:val="0"/>
          <w:sz w:val="28"/>
          <w:szCs w:val="28"/>
          <w:highlight w:val="none"/>
        </w:rPr>
        <w:t>日1</w:t>
      </w:r>
      <w:r>
        <w:rPr>
          <w:rFonts w:hint="eastAsia" w:ascii="仿宋" w:hAnsi="仿宋" w:eastAsia="仿宋" w:cs="仿宋"/>
          <w:i w:val="0"/>
          <w:iCs w:val="0"/>
          <w:caps w:val="0"/>
          <w:color w:val="auto"/>
          <w:spacing w:val="0"/>
          <w:sz w:val="28"/>
          <w:szCs w:val="28"/>
          <w:highlight w:val="none"/>
          <w:lang w:val="en-US" w:eastAsia="zh-CN"/>
        </w:rPr>
        <w:t>0</w:t>
      </w:r>
      <w:r>
        <w:rPr>
          <w:rFonts w:hint="eastAsia" w:ascii="仿宋" w:hAnsi="仿宋" w:eastAsia="仿宋" w:cs="仿宋"/>
          <w:i w:val="0"/>
          <w:iCs w:val="0"/>
          <w:caps w:val="0"/>
          <w:color w:val="auto"/>
          <w:spacing w:val="0"/>
          <w:sz w:val="28"/>
          <w:szCs w:val="28"/>
          <w:highlight w:val="none"/>
        </w:rPr>
        <w:t>:</w:t>
      </w:r>
      <w:r>
        <w:rPr>
          <w:rFonts w:hint="eastAsia" w:ascii="仿宋" w:hAnsi="仿宋" w:eastAsia="仿宋" w:cs="仿宋"/>
          <w:i w:val="0"/>
          <w:iCs w:val="0"/>
          <w:caps w:val="0"/>
          <w:color w:val="auto"/>
          <w:spacing w:val="0"/>
          <w:sz w:val="28"/>
          <w:szCs w:val="28"/>
          <w:highlight w:val="none"/>
          <w:lang w:val="en-US" w:eastAsia="zh-CN"/>
        </w:rPr>
        <w:t>0</w:t>
      </w:r>
      <w:r>
        <w:rPr>
          <w:rFonts w:hint="eastAsia" w:ascii="仿宋" w:hAnsi="仿宋" w:eastAsia="仿宋" w:cs="仿宋"/>
          <w:i w:val="0"/>
          <w:iCs w:val="0"/>
          <w:caps w:val="0"/>
          <w:color w:val="auto"/>
          <w:spacing w:val="0"/>
          <w:sz w:val="28"/>
          <w:szCs w:val="28"/>
          <w:highlight w:val="none"/>
        </w:rPr>
        <w:t>0（北京</w:t>
      </w:r>
      <w:r>
        <w:rPr>
          <w:rFonts w:hint="eastAsia" w:ascii="仿宋" w:hAnsi="仿宋" w:eastAsia="仿宋" w:cs="仿宋"/>
          <w:i w:val="0"/>
          <w:iCs w:val="0"/>
          <w:caps w:val="0"/>
          <w:color w:val="auto"/>
          <w:spacing w:val="0"/>
          <w:sz w:val="28"/>
          <w:szCs w:val="28"/>
        </w:rPr>
        <w:t>时间）</w:t>
      </w:r>
    </w:p>
    <w:p w14:paraId="6CF387D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投标地点：将响应文件上传至政采云平台https://www.zcygov.cn/对应位置（逾期未上传的或不符合规定的响应文件将被拒绝接收）。   </w:t>
      </w:r>
    </w:p>
    <w:p w14:paraId="7E31C67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auto"/>
          <w:spacing w:val="0"/>
          <w:sz w:val="28"/>
          <w:szCs w:val="28"/>
        </w:rPr>
        <w:t>开标时间：</w:t>
      </w:r>
      <w:r>
        <w:rPr>
          <w:rFonts w:hint="eastAsia" w:ascii="仿宋" w:hAnsi="仿宋" w:eastAsia="仿宋" w:cs="仿宋"/>
          <w:i w:val="0"/>
          <w:iCs w:val="0"/>
          <w:caps w:val="0"/>
          <w:color w:val="auto"/>
          <w:spacing w:val="0"/>
          <w:sz w:val="28"/>
          <w:szCs w:val="28"/>
          <w:highlight w:val="none"/>
          <w:lang w:eastAsia="zh-CN"/>
        </w:rPr>
        <w:t>2025</w:t>
      </w:r>
      <w:r>
        <w:rPr>
          <w:rFonts w:hint="eastAsia" w:ascii="仿宋" w:hAnsi="仿宋" w:eastAsia="仿宋" w:cs="仿宋"/>
          <w:i w:val="0"/>
          <w:iCs w:val="0"/>
          <w:caps w:val="0"/>
          <w:color w:val="auto"/>
          <w:spacing w:val="0"/>
          <w:sz w:val="28"/>
          <w:szCs w:val="28"/>
          <w:highlight w:val="none"/>
        </w:rPr>
        <w:t>年</w:t>
      </w:r>
      <w:r>
        <w:rPr>
          <w:rFonts w:hint="eastAsia" w:ascii="仿宋" w:hAnsi="仿宋" w:eastAsia="仿宋" w:cs="仿宋"/>
          <w:i w:val="0"/>
          <w:iCs w:val="0"/>
          <w:caps w:val="0"/>
          <w:color w:val="auto"/>
          <w:spacing w:val="0"/>
          <w:sz w:val="28"/>
          <w:szCs w:val="28"/>
          <w:highlight w:val="none"/>
          <w:lang w:val="en-US" w:eastAsia="zh-CN"/>
        </w:rPr>
        <w:t>07</w:t>
      </w:r>
      <w:r>
        <w:rPr>
          <w:rFonts w:hint="eastAsia" w:ascii="仿宋" w:hAnsi="仿宋" w:eastAsia="仿宋" w:cs="仿宋"/>
          <w:i w:val="0"/>
          <w:iCs w:val="0"/>
          <w:caps w:val="0"/>
          <w:color w:val="auto"/>
          <w:spacing w:val="0"/>
          <w:sz w:val="28"/>
          <w:szCs w:val="28"/>
          <w:highlight w:val="none"/>
        </w:rPr>
        <w:t>月</w:t>
      </w:r>
      <w:r>
        <w:rPr>
          <w:rFonts w:hint="eastAsia" w:ascii="仿宋" w:hAnsi="仿宋" w:eastAsia="仿宋" w:cs="仿宋"/>
          <w:i w:val="0"/>
          <w:iCs w:val="0"/>
          <w:caps w:val="0"/>
          <w:color w:val="auto"/>
          <w:spacing w:val="0"/>
          <w:sz w:val="28"/>
          <w:szCs w:val="28"/>
          <w:highlight w:val="none"/>
          <w:lang w:val="en-US" w:eastAsia="zh-CN"/>
        </w:rPr>
        <w:t>16</w:t>
      </w:r>
      <w:r>
        <w:rPr>
          <w:rFonts w:hint="eastAsia" w:ascii="仿宋" w:hAnsi="仿宋" w:eastAsia="仿宋" w:cs="仿宋"/>
          <w:i w:val="0"/>
          <w:iCs w:val="0"/>
          <w:caps w:val="0"/>
          <w:color w:val="auto"/>
          <w:spacing w:val="0"/>
          <w:sz w:val="28"/>
          <w:szCs w:val="28"/>
          <w:highlight w:val="none"/>
        </w:rPr>
        <w:t>日1</w:t>
      </w:r>
      <w:r>
        <w:rPr>
          <w:rFonts w:hint="eastAsia" w:ascii="仿宋" w:hAnsi="仿宋" w:eastAsia="仿宋" w:cs="仿宋"/>
          <w:i w:val="0"/>
          <w:iCs w:val="0"/>
          <w:caps w:val="0"/>
          <w:color w:val="auto"/>
          <w:spacing w:val="0"/>
          <w:sz w:val="28"/>
          <w:szCs w:val="28"/>
          <w:highlight w:val="none"/>
          <w:lang w:val="en-US" w:eastAsia="zh-CN"/>
        </w:rPr>
        <w:t>0</w:t>
      </w:r>
      <w:r>
        <w:rPr>
          <w:rFonts w:hint="eastAsia" w:ascii="仿宋" w:hAnsi="仿宋" w:eastAsia="仿宋" w:cs="仿宋"/>
          <w:i w:val="0"/>
          <w:iCs w:val="0"/>
          <w:caps w:val="0"/>
          <w:color w:val="auto"/>
          <w:spacing w:val="0"/>
          <w:sz w:val="28"/>
          <w:szCs w:val="28"/>
          <w:highlight w:val="none"/>
        </w:rPr>
        <w:t>:</w:t>
      </w:r>
      <w:r>
        <w:rPr>
          <w:rFonts w:hint="eastAsia" w:ascii="仿宋" w:hAnsi="仿宋" w:eastAsia="仿宋" w:cs="仿宋"/>
          <w:i w:val="0"/>
          <w:iCs w:val="0"/>
          <w:caps w:val="0"/>
          <w:color w:val="auto"/>
          <w:spacing w:val="0"/>
          <w:sz w:val="28"/>
          <w:szCs w:val="28"/>
          <w:highlight w:val="none"/>
          <w:lang w:val="en-US" w:eastAsia="zh-CN"/>
        </w:rPr>
        <w:t>0</w:t>
      </w:r>
      <w:r>
        <w:rPr>
          <w:rFonts w:hint="eastAsia" w:ascii="仿宋" w:hAnsi="仿宋" w:eastAsia="仿宋" w:cs="仿宋"/>
          <w:i w:val="0"/>
          <w:iCs w:val="0"/>
          <w:caps w:val="0"/>
          <w:color w:val="auto"/>
          <w:spacing w:val="0"/>
          <w:sz w:val="28"/>
          <w:szCs w:val="28"/>
          <w:highlight w:val="none"/>
        </w:rPr>
        <w:t>0</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000000" w:themeColor="text1"/>
          <w:spacing w:val="0"/>
          <w:sz w:val="28"/>
          <w:szCs w:val="28"/>
          <w14:textFill>
            <w14:solidFill>
              <w14:schemeClr w14:val="tx1"/>
            </w14:solidFill>
          </w14:textFill>
        </w:rPr>
        <w:t>北京时间）</w:t>
      </w:r>
    </w:p>
    <w:p w14:paraId="5F6A7F3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开标地点：投标人登录政采云平台https://www.zcygov.cn/，进入“项目采购-开标评标-右边选择对应项目点击“进入项目”进入开标大厅。      </w:t>
      </w:r>
    </w:p>
    <w:p w14:paraId="0515358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color w:val="auto"/>
          <w:sz w:val="28"/>
          <w:szCs w:val="28"/>
        </w:rPr>
      </w:pPr>
      <w:r>
        <w:rPr>
          <w:rStyle w:val="27"/>
          <w:rFonts w:hint="eastAsia" w:ascii="仿宋" w:hAnsi="仿宋" w:eastAsia="仿宋" w:cs="仿宋"/>
          <w:b/>
          <w:bCs/>
          <w:i w:val="0"/>
          <w:iCs w:val="0"/>
          <w:caps w:val="0"/>
          <w:color w:val="auto"/>
          <w:spacing w:val="0"/>
          <w:sz w:val="28"/>
          <w:szCs w:val="28"/>
        </w:rPr>
        <w:t>五、公告期限</w:t>
      </w:r>
    </w:p>
    <w:p w14:paraId="667AC00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自本公告发布之日起5个工作日。</w:t>
      </w:r>
    </w:p>
    <w:p w14:paraId="5C35D03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sz w:val="28"/>
          <w:szCs w:val="28"/>
        </w:rPr>
      </w:pPr>
      <w:r>
        <w:rPr>
          <w:rStyle w:val="27"/>
          <w:rFonts w:hint="eastAsia" w:ascii="仿宋" w:hAnsi="仿宋" w:eastAsia="仿宋" w:cs="仿宋"/>
          <w:b/>
          <w:bCs/>
          <w:i w:val="0"/>
          <w:iCs w:val="0"/>
          <w:caps w:val="0"/>
          <w:spacing w:val="0"/>
          <w:sz w:val="28"/>
          <w:szCs w:val="28"/>
        </w:rPr>
        <w:t>六、其他补充事宜</w:t>
      </w:r>
    </w:p>
    <w:p w14:paraId="4B9A8185">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（1）本项目采用全流程不见面电子开评标，供应商需要使用CA加密设备，供应商可通过新疆数字证书认证中心官网（https://www.xjca.com.cn/）或下载“新疆政务通”APP自行进行申领。</w:t>
      </w:r>
    </w:p>
    <w:p w14:paraId="1C05102D">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（2）本项目实行网上投标，采用加密电子投标响应文件(供应商须使用CA加密设备通过政采云电子投标客户端制作投标响应文件)。若供应商参与投标，自行承担投标一切费用。</w:t>
      </w:r>
    </w:p>
    <w:p w14:paraId="174132A5">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（3）各投标人在开标前应确保成为新疆政府采购网正式注册入库供应商，并完成CA数字证书申领。因未注册入库、未办理CA数字证书等原因造成无法投标或投标失败等后果由供应商自行承担。</w:t>
      </w:r>
    </w:p>
    <w:p w14:paraId="3B48A607">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需咨询，请联系新疆CA服务热线4000921999；翔晟CA服务热线025-66085508。</w:t>
      </w:r>
    </w:p>
    <w:p w14:paraId="728B39A1">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（5）投标人在开标时须使用制作加密电子投标响应文件所使用的CA锁及电脑，电脑须提前配置好浏览器，以便开标时解锁。如因供应商自身原因导致在规定时间</w:t>
      </w:r>
      <w:r>
        <w:rPr>
          <w:rFonts w:hint="eastAsia" w:ascii="仿宋" w:hAnsi="仿宋" w:eastAsia="仿宋" w:cs="仿宋"/>
          <w:i w:val="0"/>
          <w:iCs w:val="0"/>
          <w:caps w:val="0"/>
          <w:spacing w:val="0"/>
          <w:sz w:val="28"/>
          <w:szCs w:val="28"/>
          <w:lang w:val="en-US" w:eastAsia="zh-CN"/>
        </w:rPr>
        <w:t>30分钟</w:t>
      </w:r>
      <w:r>
        <w:rPr>
          <w:rFonts w:hint="eastAsia" w:ascii="仿宋" w:hAnsi="仿宋" w:eastAsia="仿宋" w:cs="仿宋"/>
          <w:i w:val="0"/>
          <w:iCs w:val="0"/>
          <w:caps w:val="0"/>
          <w:spacing w:val="0"/>
          <w:sz w:val="28"/>
          <w:szCs w:val="28"/>
        </w:rPr>
        <w:t>内无法正常解密的（如：浏览器故障、未安装相关驱动、网络故障、加密CA与解密CA不一致等），采购代理机构不予异常处理，视为供应商自动弃标。</w:t>
      </w:r>
    </w:p>
    <w:p w14:paraId="66F7BABD">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（6）投标人对不见面开评标系统的技术操作咨询，可通过https://edu.zcygov.cn/luban/xinjiang-e-biding自助查询，也可在政采云帮助中心常见问题解答和操作流程讲解视频中自助查询，网址为：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i w:val="0"/>
          <w:iCs w:val="0"/>
          <w:caps w:val="0"/>
          <w:spacing w:val="0"/>
          <w:sz w:val="28"/>
          <w:szCs w:val="28"/>
        </w:rPr>
        <w:fldChar w:fldCharType="begin"/>
      </w:r>
      <w:r>
        <w:rPr>
          <w:rFonts w:hint="eastAsia" w:ascii="仿宋" w:hAnsi="仿宋" w:eastAsia="仿宋" w:cs="仿宋"/>
          <w:i w:val="0"/>
          <w:iCs w:val="0"/>
          <w:caps w:val="0"/>
          <w:spacing w:val="0"/>
          <w:sz w:val="28"/>
          <w:szCs w:val="28"/>
        </w:rPr>
        <w:instrText xml:space="preserve"> HYPERLINK "https://service.zcygov.cn/#/help，\“项目采购\”—\“操作流程-电子招投标\”—\“政府采购项目电子交易管理操作指南-供应商\”版面获取操作指南，同时对自助查询无法解决的问题可通过政采云在线客服获取服务支持。" </w:instrText>
      </w:r>
      <w:r>
        <w:rPr>
          <w:rFonts w:hint="eastAsia" w:ascii="仿宋" w:hAnsi="仿宋" w:eastAsia="仿宋" w:cs="仿宋"/>
          <w:i w:val="0"/>
          <w:iCs w:val="0"/>
          <w:caps w:val="0"/>
          <w:spacing w:val="0"/>
          <w:sz w:val="28"/>
          <w:szCs w:val="28"/>
        </w:rPr>
        <w:fldChar w:fldCharType="separate"/>
      </w:r>
      <w:r>
        <w:rPr>
          <w:rFonts w:hint="eastAsia" w:ascii="仿宋" w:hAnsi="仿宋" w:eastAsia="仿宋" w:cs="仿宋"/>
          <w:i w:val="0"/>
          <w:iCs w:val="0"/>
          <w:caps w:val="0"/>
          <w:spacing w:val="0"/>
          <w:sz w:val="28"/>
          <w:szCs w:val="28"/>
        </w:rPr>
        <w:t>https://service.zcygov.cn/#/help，“项目采购”—“操作流程-电子招投标”—“政府采购项目电子交易管理操作指南-供应商”版面获取操作指南，同时对自助查询无法解决的问题可通过政采云在线客服获取服务支持。</w:t>
      </w:r>
      <w:r>
        <w:rPr>
          <w:rFonts w:hint="eastAsia" w:ascii="仿宋" w:hAnsi="仿宋" w:eastAsia="仿宋" w:cs="仿宋"/>
          <w:i w:val="0"/>
          <w:iCs w:val="0"/>
          <w:caps w:val="0"/>
          <w:spacing w:val="0"/>
          <w:sz w:val="28"/>
          <w:szCs w:val="28"/>
        </w:rPr>
        <w:fldChar w:fldCharType="end"/>
      </w:r>
    </w:p>
    <w:p w14:paraId="3000FB6A">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特别提示：</w:t>
      </w:r>
    </w:p>
    <w:p w14:paraId="412E619D">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207" w:firstLineChars="74"/>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1、采购限额标准以上，200万元以下的货物和服务采购项目、400万元以下的工程采购项目，适宜由中小企业提供的，采购人应当专门面向中小企业采购。</w:t>
      </w:r>
    </w:p>
    <w:p w14:paraId="5481D767">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207" w:firstLineChars="74"/>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2、超过200万元的货物和服务采购项目，预留该部分采购项目预算总额的30%以上专门面向中小企业采购，其中预留给小微企业的比例不低于60%。</w:t>
      </w:r>
    </w:p>
    <w:p w14:paraId="6760CDE0">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207" w:firstLineChars="74"/>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3、超过400万元的工程采购项目中适宜由中小企业提供的，预留该部分采购项目预算总额的40%以上专门面向中小企业采购，其中预留给小微企业的比例不低于60%。</w:t>
      </w:r>
    </w:p>
    <w:p w14:paraId="48643D83">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207" w:firstLineChars="74"/>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4405BE7">
      <w:pPr>
        <w:pStyle w:val="21"/>
        <w:keepNext w:val="0"/>
        <w:keepLines w:val="0"/>
        <w:pageBreakBefore w:val="0"/>
        <w:widowControl/>
        <w:suppressLineNumbers w:val="0"/>
        <w:kinsoku/>
        <w:wordWrap/>
        <w:overflowPunct/>
        <w:topLinePunct w:val="0"/>
        <w:autoSpaceDE/>
        <w:autoSpaceDN/>
        <w:bidi w:val="0"/>
        <w:adjustRightInd/>
        <w:snapToGrid/>
        <w:spacing w:line="360" w:lineRule="exact"/>
        <w:ind w:left="0" w:firstLine="207" w:firstLineChars="74"/>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A4C815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60" w:lineRule="exact"/>
        <w:ind w:left="0" w:right="0"/>
        <w:jc w:val="both"/>
        <w:textAlignment w:val="auto"/>
        <w:rPr>
          <w:rFonts w:hint="eastAsia" w:ascii="仿宋" w:hAnsi="仿宋" w:eastAsia="仿宋" w:cs="仿宋"/>
          <w:sz w:val="28"/>
          <w:szCs w:val="28"/>
        </w:rPr>
      </w:pPr>
      <w:r>
        <w:rPr>
          <w:rStyle w:val="27"/>
          <w:rFonts w:hint="eastAsia" w:ascii="仿宋" w:hAnsi="仿宋" w:eastAsia="仿宋" w:cs="仿宋"/>
          <w:b/>
          <w:bCs/>
          <w:i w:val="0"/>
          <w:iCs w:val="0"/>
          <w:caps w:val="0"/>
          <w:spacing w:val="0"/>
          <w:sz w:val="28"/>
          <w:szCs w:val="28"/>
        </w:rPr>
        <w:t>七、对本次采购提出询问，请按以下方式联系</w:t>
      </w:r>
    </w:p>
    <w:p w14:paraId="7761B7C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1.采购人信息</w:t>
      </w:r>
    </w:p>
    <w:p w14:paraId="50F346A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eastAsia" w:ascii="仿宋" w:hAnsi="仿宋" w:eastAsia="仿宋" w:cs="仿宋"/>
          <w:i w:val="0"/>
          <w:iCs w:val="0"/>
          <w:caps w:val="0"/>
          <w:color w:val="000000"/>
          <w:spacing w:val="0"/>
          <w:sz w:val="28"/>
          <w:szCs w:val="28"/>
          <w:highlight w:val="none"/>
          <w:lang w:val="en-US" w:eastAsia="zh-CN"/>
        </w:rPr>
      </w:pPr>
      <w:r>
        <w:rPr>
          <w:rFonts w:hint="eastAsia" w:ascii="仿宋" w:hAnsi="仿宋" w:eastAsia="仿宋" w:cs="仿宋"/>
          <w:i w:val="0"/>
          <w:iCs w:val="0"/>
          <w:caps w:val="0"/>
          <w:color w:val="000000"/>
          <w:spacing w:val="0"/>
          <w:sz w:val="28"/>
          <w:szCs w:val="28"/>
          <w:highlight w:val="none"/>
        </w:rPr>
        <w:t>名 称</w:t>
      </w:r>
      <w:r>
        <w:rPr>
          <w:rFonts w:hint="eastAsia" w:ascii="仿宋" w:hAnsi="仿宋" w:eastAsia="仿宋" w:cs="仿宋"/>
          <w:i w:val="0"/>
          <w:iCs w:val="0"/>
          <w:caps w:val="0"/>
          <w:color w:val="000000"/>
          <w:spacing w:val="0"/>
          <w:sz w:val="28"/>
          <w:szCs w:val="28"/>
          <w:highlight w:val="none"/>
          <w:lang w:val="en-US" w:eastAsia="zh-CN"/>
        </w:rPr>
        <w:t>：吐鲁番市高昌区火焰山镇人民政府</w:t>
      </w:r>
    </w:p>
    <w:p w14:paraId="72AAA188">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8"/>
          <w:szCs w:val="28"/>
          <w:highlight w:val="none"/>
        </w:rPr>
        <w:t xml:space="preserve">地 </w:t>
      </w:r>
      <w:r>
        <w:rPr>
          <w:rFonts w:hint="eastAsia" w:ascii="仿宋" w:hAnsi="仿宋" w:eastAsia="仿宋" w:cs="仿宋"/>
          <w:i w:val="0"/>
          <w:iCs w:val="0"/>
          <w:caps w:val="0"/>
          <w:color w:val="000000"/>
          <w:spacing w:val="0"/>
          <w:sz w:val="28"/>
          <w:szCs w:val="28"/>
          <w:highlight w:val="none"/>
          <w:lang w:val="en-US" w:eastAsia="zh-CN"/>
        </w:rPr>
        <w:t>址：吐鲁番市高昌区火焰山镇</w:t>
      </w:r>
    </w:p>
    <w:p w14:paraId="0AEAD71E">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default"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rPr>
        <w:t>联系方式</w:t>
      </w:r>
      <w:r>
        <w:rPr>
          <w:rFonts w:hint="eastAsia" w:ascii="仿宋" w:hAnsi="仿宋" w:eastAsia="仿宋" w:cs="仿宋"/>
          <w:i w:val="0"/>
          <w:iCs w:val="0"/>
          <w:caps w:val="0"/>
          <w:color w:val="auto"/>
          <w:spacing w:val="0"/>
          <w:sz w:val="28"/>
          <w:szCs w:val="28"/>
          <w:lang w:eastAsia="zh-CN"/>
        </w:rPr>
        <w:t>：18999690377</w:t>
      </w:r>
    </w:p>
    <w:p w14:paraId="29E0DB5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14:paraId="027BEE3A">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eastAsia="zh-CN"/>
        </w:rPr>
        <w:t>新疆华域天恒工程管理有限公司</w:t>
      </w:r>
    </w:p>
    <w:p w14:paraId="288E36D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址：吐鲁番市高昌区示范区和平街11幢2层201号 </w:t>
      </w:r>
    </w:p>
    <w:p w14:paraId="73556C93">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val="en-US" w:eastAsia="zh-CN"/>
        </w:rPr>
        <w:t>18590559920</w:t>
      </w:r>
    </w:p>
    <w:p w14:paraId="1A7E271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3.项目联系方式</w:t>
      </w:r>
    </w:p>
    <w:p w14:paraId="3597623C">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项目联系人：</w:t>
      </w:r>
      <w:r>
        <w:rPr>
          <w:rFonts w:hint="eastAsia" w:ascii="仿宋" w:hAnsi="仿宋" w:eastAsia="仿宋" w:cs="仿宋"/>
          <w:i w:val="0"/>
          <w:iCs w:val="0"/>
          <w:caps w:val="0"/>
          <w:color w:val="000000"/>
          <w:spacing w:val="0"/>
          <w:sz w:val="28"/>
          <w:szCs w:val="28"/>
          <w:lang w:val="en-US" w:eastAsia="zh-CN"/>
        </w:rPr>
        <w:t>常瑞琪</w:t>
      </w:r>
    </w:p>
    <w:p w14:paraId="6297E48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电 话：</w:t>
      </w:r>
      <w:r>
        <w:rPr>
          <w:rFonts w:hint="eastAsia" w:ascii="仿宋" w:hAnsi="仿宋" w:eastAsia="仿宋" w:cs="仿宋"/>
          <w:i w:val="0"/>
          <w:iCs w:val="0"/>
          <w:caps w:val="0"/>
          <w:color w:val="000000"/>
          <w:spacing w:val="0"/>
          <w:sz w:val="28"/>
          <w:szCs w:val="28"/>
          <w:lang w:val="en-US" w:eastAsia="zh-CN"/>
        </w:rPr>
        <w:t>18590559920</w:t>
      </w:r>
    </w:p>
    <w:p w14:paraId="30B5171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p>
    <w:p w14:paraId="68778480">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p>
    <w:p w14:paraId="52A5516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p>
    <w:p w14:paraId="2B8EBE2D">
      <w:pPr>
        <w:pStyle w:val="22"/>
        <w:pageBreakBefore w:val="0"/>
        <w:kinsoku/>
        <w:wordWrap/>
        <w:overflowPunct/>
        <w:topLinePunct w:val="0"/>
        <w:bidi w:val="0"/>
        <w:spacing w:beforeAutospacing="0" w:after="0" w:afterAutospacing="0" w:line="400" w:lineRule="exact"/>
        <w:jc w:val="center"/>
        <w:rPr>
          <w:rStyle w:val="29"/>
          <w:rFonts w:hint="eastAsia" w:ascii="宋体" w:hAnsi="宋体" w:eastAsia="宋体" w:cs="宋体"/>
          <w:b/>
          <w:bCs/>
          <w:color w:val="auto"/>
          <w:w w:val="90"/>
          <w:sz w:val="36"/>
          <w:szCs w:val="36"/>
          <w:u w:val="none"/>
          <w:lang w:val="en-US" w:eastAsia="zh-CN"/>
        </w:rPr>
      </w:pPr>
      <w:r>
        <w:rPr>
          <w:rStyle w:val="29"/>
          <w:rFonts w:hint="eastAsia" w:ascii="宋体" w:hAnsi="宋体" w:eastAsia="宋体" w:cs="宋体"/>
          <w:b/>
          <w:bCs/>
          <w:color w:val="auto"/>
          <w:w w:val="90"/>
          <w:sz w:val="36"/>
          <w:szCs w:val="36"/>
          <w:u w:val="none"/>
          <w:lang w:val="en-US" w:eastAsia="zh-CN"/>
        </w:rPr>
        <w:t>第二章 投标人须知前附表</w:t>
      </w:r>
    </w:p>
    <w:tbl>
      <w:tblPr>
        <w:tblStyle w:val="24"/>
        <w:tblW w:w="1019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1729"/>
        <w:gridCol w:w="7922"/>
      </w:tblGrid>
      <w:tr w14:paraId="368D81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 w:hRule="exact"/>
          <w:tblHeader/>
          <w:jc w:val="center"/>
        </w:trPr>
        <w:tc>
          <w:tcPr>
            <w:tcW w:w="547" w:type="dxa"/>
            <w:noWrap w:val="0"/>
            <w:vAlign w:val="center"/>
          </w:tcPr>
          <w:p w14:paraId="14FC80D9">
            <w:pPr>
              <w:pStyle w:val="45"/>
              <w:keepNext w:val="0"/>
              <w:keepLines w:val="0"/>
              <w:pageBreakBefore w:val="0"/>
              <w:kinsoku/>
              <w:wordWrap/>
              <w:topLinePunct w:val="0"/>
              <w:bidi w:val="0"/>
              <w:spacing w:line="400" w:lineRule="exact"/>
              <w:ind w:left="9"/>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729" w:type="dxa"/>
            <w:noWrap w:val="0"/>
            <w:vAlign w:val="center"/>
          </w:tcPr>
          <w:p w14:paraId="43AB243F">
            <w:pPr>
              <w:pStyle w:val="45"/>
              <w:keepNext w:val="0"/>
              <w:keepLines w:val="0"/>
              <w:pageBreakBefore w:val="0"/>
              <w:kinsoku/>
              <w:wordWrap/>
              <w:topLinePunct w:val="0"/>
              <w:bidi w:val="0"/>
              <w:spacing w:line="400" w:lineRule="exact"/>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条款名称</w:t>
            </w:r>
          </w:p>
        </w:tc>
        <w:tc>
          <w:tcPr>
            <w:tcW w:w="7922" w:type="dxa"/>
            <w:noWrap w:val="0"/>
            <w:vAlign w:val="center"/>
          </w:tcPr>
          <w:p w14:paraId="63F5E08C">
            <w:pPr>
              <w:pStyle w:val="45"/>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0A8F8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15B0BCF9">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729" w:type="dxa"/>
            <w:noWrap w:val="0"/>
            <w:vAlign w:val="center"/>
          </w:tcPr>
          <w:p w14:paraId="59B43B87">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项目情况</w:t>
            </w:r>
          </w:p>
        </w:tc>
        <w:tc>
          <w:tcPr>
            <w:tcW w:w="7922" w:type="dxa"/>
            <w:noWrap w:val="0"/>
            <w:vAlign w:val="center"/>
          </w:tcPr>
          <w:p w14:paraId="26713094">
            <w:pPr>
              <w:pStyle w:val="21"/>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cs="宋体"/>
                <w:color w:val="auto"/>
                <w:sz w:val="24"/>
                <w:szCs w:val="24"/>
                <w:lang w:val="en-US" w:eastAsia="zh-CN"/>
              </w:rPr>
              <w:t>火焰山镇美化亮化项目</w:t>
            </w:r>
          </w:p>
          <w:p w14:paraId="422FB1A3">
            <w:pPr>
              <w:pStyle w:val="21"/>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项目编号：</w:t>
            </w:r>
            <w:r>
              <w:rPr>
                <w:rFonts w:hint="eastAsia" w:cs="宋体"/>
                <w:color w:val="000000" w:themeColor="text1"/>
                <w:kern w:val="2"/>
                <w:sz w:val="24"/>
                <w:szCs w:val="24"/>
                <w:lang w:val="en-US" w:eastAsia="zh-CN" w:bidi="ar-SA"/>
                <w14:textFill>
                  <w14:solidFill>
                    <w14:schemeClr w14:val="tx1"/>
                  </w14:solidFill>
                </w14:textFill>
              </w:rPr>
              <w:t>HYZB2025-(Z)20</w:t>
            </w:r>
          </w:p>
          <w:p w14:paraId="0102EBC9">
            <w:pPr>
              <w:pStyle w:val="14"/>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招标内</w:t>
            </w:r>
            <w:r>
              <w:rPr>
                <w:rFonts w:hint="eastAsia" w:ascii="宋体" w:hAnsi="宋体" w:eastAsia="宋体" w:cs="宋体"/>
                <w:color w:val="000000" w:themeColor="text1"/>
                <w:sz w:val="24"/>
                <w:szCs w:val="24"/>
                <w:lang w:val="en-US" w:eastAsia="zh-CN" w:bidi="ar-SA"/>
                <w14:textFill>
                  <w14:solidFill>
                    <w14:schemeClr w14:val="tx1"/>
                  </w14:solidFill>
                </w14:textFill>
              </w:rPr>
              <w:t>容：</w:t>
            </w:r>
            <w:r>
              <w:rPr>
                <w:rFonts w:hint="eastAsia" w:ascii="宋体" w:hAnsi="宋体" w:cs="宋体"/>
                <w:color w:val="000000" w:themeColor="text1"/>
                <w:kern w:val="2"/>
                <w:sz w:val="24"/>
                <w:szCs w:val="24"/>
                <w:lang w:val="en-US" w:eastAsia="zh-CN" w:bidi="ar-SA"/>
                <w14:textFill>
                  <w14:solidFill>
                    <w14:schemeClr w14:val="tx1"/>
                  </w14:solidFill>
                </w14:textFill>
              </w:rPr>
              <w:t>采购公共照明设施375盏。</w:t>
            </w:r>
            <w:r>
              <w:rPr>
                <w:rFonts w:hint="eastAsia" w:ascii="宋体" w:hAnsi="宋体" w:eastAsia="宋体" w:cs="宋体"/>
                <w:color w:val="000000" w:themeColor="text1"/>
                <w:kern w:val="2"/>
                <w:sz w:val="24"/>
                <w:szCs w:val="24"/>
                <w:lang w:val="en-US" w:eastAsia="zh-CN" w:bidi="ar-SA"/>
                <w14:textFill>
                  <w14:solidFill>
                    <w14:schemeClr w14:val="tx1"/>
                  </w14:solidFill>
                </w14:textFill>
              </w:rPr>
              <w:t>（具体内容详见招标文件）</w:t>
            </w:r>
          </w:p>
          <w:p w14:paraId="56DAEBC3">
            <w:pPr>
              <w:pStyle w:val="14"/>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预算金额：750000元</w:t>
            </w:r>
          </w:p>
          <w:p w14:paraId="4DDC8DA4">
            <w:pPr>
              <w:pStyle w:val="14"/>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最高限价：750000元</w:t>
            </w:r>
            <w:r>
              <w:rPr>
                <w:rFonts w:hint="eastAsia" w:ascii="宋体" w:hAnsi="宋体" w:eastAsia="宋体" w:cs="宋体"/>
                <w:b/>
                <w:bCs/>
                <w:color w:val="000000" w:themeColor="text1"/>
                <w:sz w:val="24"/>
                <w:szCs w:val="24"/>
                <w:lang w:val="en-US" w:eastAsia="zh-CN"/>
                <w14:textFill>
                  <w14:solidFill>
                    <w14:schemeClr w14:val="tx1"/>
                  </w14:solidFill>
                </w14:textFill>
              </w:rPr>
              <w:t>（注：投标报价超过最高限价按无效标处理）</w:t>
            </w:r>
          </w:p>
          <w:p w14:paraId="6C1E619F">
            <w:pPr>
              <w:pStyle w:val="14"/>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资料来源：</w:t>
            </w:r>
            <w:r>
              <w:rPr>
                <w:rFonts w:hint="eastAsia" w:ascii="宋体" w:hAnsi="宋体" w:cs="宋体"/>
                <w:color w:val="000000" w:themeColor="text1"/>
                <w:sz w:val="24"/>
                <w:szCs w:val="24"/>
                <w:lang w:val="en-US" w:eastAsia="zh-CN"/>
                <w14:textFill>
                  <w14:solidFill>
                    <w14:schemeClr w14:val="tx1"/>
                  </w14:solidFill>
                </w14:textFill>
              </w:rPr>
              <w:t>农村综合改革资金</w:t>
            </w:r>
          </w:p>
          <w:p w14:paraId="1CB948EE">
            <w:pPr>
              <w:pStyle w:val="14"/>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r>
              <w:rPr>
                <w:rFonts w:hint="eastAsia" w:ascii="宋体" w:hAnsi="宋体" w:eastAsia="宋体" w:cs="宋体"/>
                <w:color w:val="000000" w:themeColor="text1"/>
                <w:sz w:val="24"/>
                <w:szCs w:val="24"/>
                <w:highlight w:val="none"/>
                <w:lang w:val="en-US" w:eastAsia="zh-CN"/>
                <w14:textFill>
                  <w14:solidFill>
                    <w14:schemeClr w14:val="tx1"/>
                  </w14:solidFill>
                </w14:textFill>
              </w:rPr>
              <w:t>目地点：吐鲁番市</w:t>
            </w:r>
            <w:r>
              <w:rPr>
                <w:rFonts w:hint="eastAsia" w:ascii="宋体" w:hAnsi="宋体" w:cs="宋体"/>
                <w:color w:val="000000" w:themeColor="text1"/>
                <w:sz w:val="24"/>
                <w:szCs w:val="24"/>
                <w:highlight w:val="none"/>
                <w:lang w:val="en-US" w:eastAsia="zh-CN"/>
                <w14:textFill>
                  <w14:solidFill>
                    <w14:schemeClr w14:val="tx1"/>
                  </w14:solidFill>
                </w14:textFill>
              </w:rPr>
              <w:t>高昌区火焰山镇</w:t>
            </w:r>
          </w:p>
          <w:p w14:paraId="6CC53E55">
            <w:pPr>
              <w:pStyle w:val="14"/>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供货期：</w:t>
            </w:r>
            <w:r>
              <w:rPr>
                <w:rFonts w:hint="eastAsia" w:ascii="宋体" w:hAnsi="宋体" w:eastAsia="宋体" w:cs="宋体"/>
                <w:color w:val="auto"/>
                <w:kern w:val="2"/>
                <w:sz w:val="24"/>
                <w:szCs w:val="24"/>
                <w:highlight w:val="none"/>
                <w:lang w:val="en-US" w:eastAsia="zh-CN" w:bidi="ar-SA"/>
              </w:rPr>
              <w:t>合同签订后</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天</w:t>
            </w:r>
          </w:p>
          <w:p w14:paraId="61E716FD">
            <w:pPr>
              <w:pStyle w:val="14"/>
              <w:keepNext w:val="0"/>
              <w:keepLines w:val="0"/>
              <w:pageBreakBefore w:val="0"/>
              <w:shd w:val="clear" w:color="auto" w:fill="FFFFFF"/>
              <w:kinsoku/>
              <w:wordWrap/>
              <w:overflowPunct/>
              <w:autoSpaceDE w:val="0"/>
              <w:autoSpaceDN/>
              <w:bidi w:val="0"/>
              <w:adjustRightInd w:val="0"/>
              <w:snapToGrid w:val="0"/>
              <w:spacing w:line="320" w:lineRule="exact"/>
              <w:ind w:right="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质保期：</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年</w:t>
            </w:r>
          </w:p>
        </w:tc>
      </w:tr>
      <w:tr w14:paraId="6EE60E5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0885DD3C">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729" w:type="dxa"/>
            <w:noWrap w:val="0"/>
            <w:vAlign w:val="center"/>
          </w:tcPr>
          <w:p w14:paraId="13595BCC">
            <w:pPr>
              <w:pStyle w:val="45"/>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采购单位</w:t>
            </w:r>
          </w:p>
        </w:tc>
        <w:tc>
          <w:tcPr>
            <w:tcW w:w="7922" w:type="dxa"/>
            <w:noWrap w:val="0"/>
            <w:vAlign w:val="center"/>
          </w:tcPr>
          <w:p w14:paraId="0FA01121">
            <w:pPr>
              <w:pStyle w:val="45"/>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w:t>
            </w:r>
            <w:r>
              <w:rPr>
                <w:rFonts w:hint="eastAsia" w:cs="宋体"/>
                <w:color w:val="auto"/>
                <w:sz w:val="24"/>
                <w:szCs w:val="24"/>
                <w:lang w:val="en-US" w:eastAsia="zh-CN"/>
              </w:rPr>
              <w:t>吐鲁番市高昌区火焰山镇人民政府</w:t>
            </w:r>
          </w:p>
          <w:p w14:paraId="02ECFB49">
            <w:pPr>
              <w:pStyle w:val="45"/>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址：吐鲁番市高昌区火焰山镇</w:t>
            </w:r>
          </w:p>
          <w:p w14:paraId="19A576F7">
            <w:pPr>
              <w:pStyle w:val="45"/>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cs="宋体"/>
                <w:color w:val="auto"/>
                <w:sz w:val="24"/>
                <w:szCs w:val="24"/>
                <w:lang w:val="en-US" w:eastAsia="zh-CN"/>
              </w:rPr>
              <w:t>克依木·买买提</w:t>
            </w:r>
            <w:r>
              <w:rPr>
                <w:rFonts w:hint="eastAsia" w:ascii="宋体" w:hAnsi="宋体" w:eastAsia="宋体" w:cs="宋体"/>
                <w:color w:val="auto"/>
                <w:sz w:val="24"/>
                <w:szCs w:val="24"/>
                <w:lang w:val="en-US" w:eastAsia="zh-CN"/>
              </w:rPr>
              <w:t xml:space="preserve">   </w:t>
            </w:r>
          </w:p>
          <w:p w14:paraId="1DD817B0">
            <w:pPr>
              <w:pStyle w:val="45"/>
              <w:keepNext w:val="0"/>
              <w:keepLines w:val="0"/>
              <w:pageBreakBefore w:val="0"/>
              <w:kinsoku/>
              <w:wordWrap/>
              <w:topLinePunct w:val="0"/>
              <w:bidi w:val="0"/>
              <w:spacing w:line="400" w:lineRule="exact"/>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联系电话：18999690377</w:t>
            </w:r>
          </w:p>
        </w:tc>
      </w:tr>
      <w:tr w14:paraId="07D048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0549F9F6">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3</w:t>
            </w:r>
          </w:p>
        </w:tc>
        <w:tc>
          <w:tcPr>
            <w:tcW w:w="1729" w:type="dxa"/>
            <w:noWrap w:val="0"/>
            <w:vAlign w:val="center"/>
          </w:tcPr>
          <w:p w14:paraId="6C48254F">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招标代理机构</w:t>
            </w:r>
          </w:p>
        </w:tc>
        <w:tc>
          <w:tcPr>
            <w:tcW w:w="7922" w:type="dxa"/>
            <w:noWrap w:val="0"/>
            <w:vAlign w:val="center"/>
          </w:tcPr>
          <w:p w14:paraId="13978A6C">
            <w:pPr>
              <w:pStyle w:val="45"/>
              <w:keepNext w:val="0"/>
              <w:keepLines w:val="0"/>
              <w:pageBreakBefore w:val="0"/>
              <w:kinsoku/>
              <w:wordWrap/>
              <w:topLinePunct w:val="0"/>
              <w:bidi w:val="0"/>
              <w:spacing w:line="400" w:lineRule="exac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lang w:eastAsia="zh-CN"/>
              </w:rPr>
              <w:t>新疆华域天恒工程管理有限公司</w:t>
            </w:r>
          </w:p>
          <w:p w14:paraId="48A25AE2">
            <w:pPr>
              <w:pStyle w:val="45"/>
              <w:keepNext w:val="0"/>
              <w:keepLines w:val="0"/>
              <w:pageBreakBefore w:val="0"/>
              <w:kinsoku/>
              <w:wordWrap/>
              <w:topLinePunct w:val="0"/>
              <w:bidi w:val="0"/>
              <w:spacing w:line="40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址：吐鲁番市高昌区示范区和平街11幢2层201号</w:t>
            </w:r>
          </w:p>
          <w:p w14:paraId="2A6D3D08">
            <w:pPr>
              <w:pStyle w:val="45"/>
              <w:keepNext w:val="0"/>
              <w:keepLines w:val="0"/>
              <w:pageBreakBefore w:val="0"/>
              <w:kinsoku/>
              <w:wordWrap/>
              <w:topLinePunct w:val="0"/>
              <w:bidi w:val="0"/>
              <w:spacing w:line="40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联系</w:t>
            </w:r>
            <w:r>
              <w:rPr>
                <w:rFonts w:hint="eastAsia" w:ascii="宋体" w:hAnsi="宋体" w:eastAsia="宋体" w:cs="宋体"/>
                <w:color w:val="auto"/>
                <w:kern w:val="2"/>
                <w:sz w:val="24"/>
                <w:szCs w:val="24"/>
                <w:lang w:eastAsia="zh-CN"/>
              </w:rPr>
              <w:t>人</w:t>
            </w:r>
            <w:r>
              <w:rPr>
                <w:rFonts w:hint="eastAsia" w:ascii="宋体" w:hAnsi="宋体" w:eastAsia="宋体" w:cs="宋体"/>
                <w:color w:val="auto"/>
                <w:kern w:val="2"/>
                <w:sz w:val="24"/>
                <w:szCs w:val="24"/>
              </w:rPr>
              <w:t>：</w:t>
            </w:r>
            <w:r>
              <w:rPr>
                <w:rFonts w:hint="eastAsia" w:cs="宋体"/>
                <w:color w:val="auto"/>
                <w:kern w:val="2"/>
                <w:sz w:val="24"/>
                <w:szCs w:val="24"/>
                <w:lang w:val="en-US" w:eastAsia="zh-CN"/>
              </w:rPr>
              <w:t>常瑞琪</w:t>
            </w:r>
          </w:p>
          <w:p w14:paraId="3E9C94F7">
            <w:pPr>
              <w:pStyle w:val="45"/>
              <w:keepNext w:val="0"/>
              <w:keepLines w:val="0"/>
              <w:pageBreakBefore w:val="0"/>
              <w:kinsoku/>
              <w:wordWrap/>
              <w:topLinePunct w:val="0"/>
              <w:bidi w:val="0"/>
              <w:spacing w:line="400" w:lineRule="exac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rPr>
              <w:t>联系方式：</w:t>
            </w:r>
            <w:r>
              <w:rPr>
                <w:rFonts w:hint="eastAsia" w:cs="宋体"/>
                <w:color w:val="auto"/>
                <w:kern w:val="2"/>
                <w:sz w:val="24"/>
                <w:szCs w:val="24"/>
                <w:lang w:val="en-US" w:eastAsia="zh-CN"/>
              </w:rPr>
              <w:t>18590559920</w:t>
            </w:r>
          </w:p>
        </w:tc>
      </w:tr>
      <w:tr w14:paraId="49CEFE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671E5815">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4</w:t>
            </w:r>
          </w:p>
        </w:tc>
        <w:tc>
          <w:tcPr>
            <w:tcW w:w="1729" w:type="dxa"/>
            <w:noWrap w:val="0"/>
            <w:vAlign w:val="center"/>
          </w:tcPr>
          <w:p w14:paraId="17058B79">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投标人资格</w:t>
            </w:r>
          </w:p>
        </w:tc>
        <w:tc>
          <w:tcPr>
            <w:tcW w:w="7922" w:type="dxa"/>
            <w:noWrap w:val="0"/>
            <w:vAlign w:val="center"/>
          </w:tcPr>
          <w:p w14:paraId="2512A231">
            <w:pPr>
              <w:pStyle w:val="45"/>
              <w:keepNext w:val="0"/>
              <w:keepLines w:val="0"/>
              <w:pageBreakBefore w:val="0"/>
              <w:kinsoku/>
              <w:wordWrap/>
              <w:topLinePunct w:val="0"/>
              <w:bidi w:val="0"/>
              <w:spacing w:line="400" w:lineRule="exact"/>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1.满足《中华人民共和国政府采购法》第二十二条规定；</w:t>
            </w:r>
          </w:p>
          <w:p w14:paraId="050C2FF6">
            <w:pPr>
              <w:pStyle w:val="45"/>
              <w:keepNext w:val="0"/>
              <w:keepLines w:val="0"/>
              <w:pageBreakBefore w:val="0"/>
              <w:kinsoku/>
              <w:wordWrap/>
              <w:topLinePunct w:val="0"/>
              <w:bidi w:val="0"/>
              <w:spacing w:line="400" w:lineRule="exact"/>
              <w:rPr>
                <w:rFonts w:hint="eastAsia" w:asciiTheme="minorEastAsia" w:hAnsiTheme="minorEastAsia" w:eastAsiaTheme="minorEastAsia" w:cstheme="minorEastAsia"/>
                <w:color w:val="000000" w:themeColor="text1"/>
                <w:kern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2.落实政府采购政策需满足的资格要</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求：</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专门面向</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中小</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企业</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p>
          <w:p w14:paraId="26BA60DD">
            <w:pPr>
              <w:pStyle w:val="45"/>
              <w:keepNext w:val="0"/>
              <w:keepLines w:val="0"/>
              <w:pageBreakBefore w:val="0"/>
              <w:widowControl w:val="0"/>
              <w:kinsoku/>
              <w:wordWrap w:val="0"/>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kern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3.本项目的特定资格要求：</w:t>
            </w:r>
            <w:r>
              <w:rPr>
                <w:rFonts w:hint="eastAsia" w:asciiTheme="minorEastAsia" w:hAnsiTheme="minorEastAsia" w:eastAsiaTheme="minorEastAsia" w:cstheme="minorEastAsia"/>
                <w:color w:val="000000" w:themeColor="text1"/>
                <w:kern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1）</w:t>
            </w:r>
            <w:r>
              <w:rPr>
                <w:rFonts w:hint="eastAsia" w:asciiTheme="minorEastAsia" w:hAnsiTheme="minorEastAsia" w:eastAsiaTheme="minorEastAsia" w:cstheme="minorEastAsia"/>
                <w:color w:val="auto"/>
                <w:kern w:val="2"/>
                <w:sz w:val="24"/>
                <w:szCs w:val="24"/>
              </w:rPr>
              <w:t>投标人须具备市政公用工程施工总承包三级及以上资质，项目负责人具备市政工程专业注册建造师贰级及以上执业资格；（2）投标人近三年有相</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应的业绩，并在人员、设备、资金等方面具有相应的施工能力，</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具备</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有</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效的</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安全生产许可证，区外进疆建筑企业办理信息报送册；（3）凡参加本次招标项目的投标人，需提供信用中国网（www.creditchina.gov.cn）、中国政府采购网（www.ccgp.gov.cn）、国家企业信用信息公示系统（www.gsxt.gov.cn）网络查询截图加盖投标企业公章，近三年如被列入失信被执行人、重大税收违法案件当事人名单、政府采购严重违法失信行为记录名单及其他不符合规定条件的供应商，将拒绝其参加本次政府采购活动；（4）单位负责人为同一人或者存在直接控股、管理关系的不同供应商，不得参加同一合同项下的政府采购活动。（5）本项目不接受联合体投标。</w:t>
            </w:r>
          </w:p>
        </w:tc>
      </w:tr>
      <w:tr w14:paraId="2E9DB2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noWrap w:val="0"/>
            <w:vAlign w:val="center"/>
          </w:tcPr>
          <w:p w14:paraId="7B27A5AA">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729" w:type="dxa"/>
            <w:noWrap w:val="0"/>
            <w:vAlign w:val="center"/>
          </w:tcPr>
          <w:p w14:paraId="0BC4ED20">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是否接受联合体</w:t>
            </w:r>
          </w:p>
        </w:tc>
        <w:tc>
          <w:tcPr>
            <w:tcW w:w="7922" w:type="dxa"/>
            <w:noWrap w:val="0"/>
            <w:vAlign w:val="center"/>
          </w:tcPr>
          <w:p w14:paraId="35939BA0">
            <w:pPr>
              <w:pStyle w:val="45"/>
              <w:keepNext w:val="0"/>
              <w:keepLines w:val="0"/>
              <w:pageBreakBefore w:val="0"/>
              <w:kinsoku/>
              <w:wordWrap/>
              <w:topLinePunct w:val="0"/>
              <w:bidi w:val="0"/>
              <w:spacing w:line="400" w:lineRule="exact"/>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不接受</w:t>
            </w:r>
          </w:p>
        </w:tc>
      </w:tr>
      <w:tr w14:paraId="22C913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7088C5C1">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w:t>
            </w:r>
          </w:p>
        </w:tc>
        <w:tc>
          <w:tcPr>
            <w:tcW w:w="1729" w:type="dxa"/>
            <w:noWrap w:val="0"/>
            <w:vAlign w:val="center"/>
          </w:tcPr>
          <w:p w14:paraId="31066594">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是否专门面向中小企业</w:t>
            </w:r>
          </w:p>
        </w:tc>
        <w:tc>
          <w:tcPr>
            <w:tcW w:w="7922" w:type="dxa"/>
            <w:noWrap w:val="0"/>
            <w:vAlign w:val="center"/>
          </w:tcPr>
          <w:p w14:paraId="02453ABC">
            <w:pPr>
              <w:pStyle w:val="45"/>
              <w:keepNext w:val="0"/>
              <w:keepLines w:val="0"/>
              <w:pageBreakBefore w:val="0"/>
              <w:kinsoku/>
              <w:wordWrap/>
              <w:topLinePunct w:val="0"/>
              <w:bidi w:val="0"/>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是</w:t>
            </w:r>
          </w:p>
        </w:tc>
      </w:tr>
      <w:tr w14:paraId="680F906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68D0037F">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7</w:t>
            </w:r>
          </w:p>
        </w:tc>
        <w:tc>
          <w:tcPr>
            <w:tcW w:w="1729" w:type="dxa"/>
            <w:noWrap w:val="0"/>
            <w:vAlign w:val="center"/>
          </w:tcPr>
          <w:p w14:paraId="76C259D8">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质量标准</w:t>
            </w:r>
          </w:p>
        </w:tc>
        <w:tc>
          <w:tcPr>
            <w:tcW w:w="7922" w:type="dxa"/>
            <w:noWrap w:val="0"/>
            <w:vAlign w:val="center"/>
          </w:tcPr>
          <w:p w14:paraId="779943CE">
            <w:pPr>
              <w:pStyle w:val="45"/>
              <w:keepNext w:val="0"/>
              <w:keepLines w:val="0"/>
              <w:pageBreakBefore w:val="0"/>
              <w:kinsoku/>
              <w:wordWrap/>
              <w:topLinePunct w:val="0"/>
              <w:bidi w:val="0"/>
              <w:spacing w:line="400" w:lineRule="exac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合格</w:t>
            </w:r>
          </w:p>
        </w:tc>
      </w:tr>
      <w:tr w14:paraId="699D2D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exact"/>
          <w:jc w:val="center"/>
        </w:trPr>
        <w:tc>
          <w:tcPr>
            <w:tcW w:w="547" w:type="dxa"/>
            <w:noWrap w:val="0"/>
            <w:vAlign w:val="center"/>
          </w:tcPr>
          <w:p w14:paraId="19A639C5">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8</w:t>
            </w:r>
          </w:p>
        </w:tc>
        <w:tc>
          <w:tcPr>
            <w:tcW w:w="1729" w:type="dxa"/>
            <w:noWrap w:val="0"/>
            <w:vAlign w:val="center"/>
          </w:tcPr>
          <w:p w14:paraId="4F74D62C">
            <w:pPr>
              <w:keepNext w:val="0"/>
              <w:keepLines w:val="0"/>
              <w:pageBreakBefore w:val="0"/>
              <w:widowControl/>
              <w:shd w:val="solid" w:color="FFFFFF" w:fill="auto"/>
              <w:kinsoku/>
              <w:wordWrap/>
              <w:overflowPunct/>
              <w:topLinePunct w:val="0"/>
              <w:autoSpaceDE/>
              <w:autoSpaceDN w:val="0"/>
              <w:bidi w:val="0"/>
              <w:adjustRightInd/>
              <w:snapToGrid/>
              <w:spacing w:line="400" w:lineRule="exact"/>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构成招标文件的其他文件</w:t>
            </w:r>
          </w:p>
        </w:tc>
        <w:tc>
          <w:tcPr>
            <w:tcW w:w="7922" w:type="dxa"/>
            <w:noWrap w:val="0"/>
            <w:vAlign w:val="center"/>
          </w:tcPr>
          <w:p w14:paraId="57086199">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招标文件的澄清、修改书及有关补充通知为招标文件的有效组成部分。</w:t>
            </w:r>
          </w:p>
        </w:tc>
      </w:tr>
      <w:tr w14:paraId="02DA7D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7" w:hRule="exact"/>
          <w:jc w:val="center"/>
        </w:trPr>
        <w:tc>
          <w:tcPr>
            <w:tcW w:w="547" w:type="dxa"/>
            <w:noWrap w:val="0"/>
            <w:vAlign w:val="center"/>
          </w:tcPr>
          <w:p w14:paraId="0D327A24">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w:t>
            </w:r>
          </w:p>
        </w:tc>
        <w:tc>
          <w:tcPr>
            <w:tcW w:w="1729" w:type="dxa"/>
            <w:noWrap w:val="0"/>
            <w:vAlign w:val="center"/>
          </w:tcPr>
          <w:p w14:paraId="696AA2E8">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投标有效期</w:t>
            </w:r>
          </w:p>
        </w:tc>
        <w:tc>
          <w:tcPr>
            <w:tcW w:w="7922" w:type="dxa"/>
            <w:noWrap w:val="0"/>
            <w:vAlign w:val="center"/>
          </w:tcPr>
          <w:p w14:paraId="2388ED91">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60</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日历天（投标有效期从提交投标文件的截止之日起算。有效期短于该规定期限的投标无效）</w:t>
            </w:r>
          </w:p>
        </w:tc>
      </w:tr>
      <w:tr w14:paraId="790F2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 w:hRule="exact"/>
          <w:jc w:val="center"/>
        </w:trPr>
        <w:tc>
          <w:tcPr>
            <w:tcW w:w="547" w:type="dxa"/>
            <w:noWrap w:val="0"/>
            <w:vAlign w:val="center"/>
          </w:tcPr>
          <w:p w14:paraId="622F961D">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0</w:t>
            </w:r>
          </w:p>
        </w:tc>
        <w:tc>
          <w:tcPr>
            <w:tcW w:w="1729" w:type="dxa"/>
            <w:noWrap w:val="0"/>
            <w:vAlign w:val="center"/>
          </w:tcPr>
          <w:p w14:paraId="60408F2D">
            <w:pPr>
              <w:pStyle w:val="45"/>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采购方式</w:t>
            </w:r>
          </w:p>
        </w:tc>
        <w:tc>
          <w:tcPr>
            <w:tcW w:w="7922" w:type="dxa"/>
            <w:noWrap w:val="0"/>
            <w:vAlign w:val="center"/>
          </w:tcPr>
          <w:p w14:paraId="77473298">
            <w:pPr>
              <w:pStyle w:val="45"/>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公开招标</w:t>
            </w:r>
          </w:p>
        </w:tc>
      </w:tr>
      <w:tr w14:paraId="29DACF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 w:hRule="atLeast"/>
          <w:jc w:val="center"/>
        </w:trPr>
        <w:tc>
          <w:tcPr>
            <w:tcW w:w="547" w:type="dxa"/>
            <w:noWrap w:val="0"/>
            <w:vAlign w:val="center"/>
          </w:tcPr>
          <w:p w14:paraId="562DB9AF">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p>
        </w:tc>
        <w:tc>
          <w:tcPr>
            <w:tcW w:w="1729" w:type="dxa"/>
            <w:noWrap w:val="0"/>
            <w:vAlign w:val="center"/>
          </w:tcPr>
          <w:p w14:paraId="775FC4BC">
            <w:pPr>
              <w:pStyle w:val="45"/>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评标方法</w:t>
            </w:r>
          </w:p>
        </w:tc>
        <w:tc>
          <w:tcPr>
            <w:tcW w:w="7922" w:type="dxa"/>
            <w:noWrap w:val="0"/>
            <w:vAlign w:val="center"/>
          </w:tcPr>
          <w:p w14:paraId="58B84D87">
            <w:pPr>
              <w:pStyle w:val="45"/>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综合评分法</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评标权重：商务及技术评分</w:t>
            </w: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0分，价格评分</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0分。</w:t>
            </w:r>
          </w:p>
          <w:p w14:paraId="2229EEFA">
            <w:pPr>
              <w:pStyle w:val="45"/>
              <w:keepNext w:val="0"/>
              <w:keepLines w:val="0"/>
              <w:pageBreakBefore w:val="0"/>
              <w:kinsoku/>
              <w:wordWrap/>
              <w:topLinePunct w:val="0"/>
              <w:bidi w:val="0"/>
              <w:spacing w:line="400" w:lineRule="exact"/>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注：提供相同品牌产品且通过资格审查、符合性审查的不同投标人参加同一合同项下投标的，按一家投标人计算，评审后得分最高的同品牌投标人获得中标人推荐资格；评审得分相同的，由采购人委托评标委员会按照招标文件的要求推荐的方式获得中标资格，其他同品牌投标人不作为中标候选人。</w:t>
            </w:r>
          </w:p>
        </w:tc>
      </w:tr>
      <w:tr w14:paraId="105A4D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C49F8D8">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2</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6BEBB3C4">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lang w:val="zh-CN"/>
              </w:rPr>
              <w:t>投标保证金</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1F866545">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投标保证金金额：人民币</w:t>
            </w:r>
            <w:r>
              <w:rPr>
                <w:rFonts w:hint="eastAsia" w:ascii="宋体" w:hAnsi="宋体" w:cs="宋体"/>
                <w:b/>
                <w:color w:val="auto"/>
                <w:sz w:val="24"/>
                <w:szCs w:val="24"/>
                <w:lang w:val="en-US" w:eastAsia="zh-CN"/>
              </w:rPr>
              <w:t>壹万叁仟</w:t>
            </w:r>
            <w:r>
              <w:rPr>
                <w:rFonts w:hint="eastAsia" w:ascii="宋体" w:hAnsi="宋体" w:eastAsia="宋体" w:cs="宋体"/>
                <w:b/>
                <w:color w:val="auto"/>
                <w:sz w:val="24"/>
                <w:szCs w:val="24"/>
                <w:lang w:val="zh-CN" w:eastAsia="zh-CN"/>
              </w:rPr>
              <w:t>元整（</w:t>
            </w:r>
            <w:r>
              <w:rPr>
                <w:rFonts w:hint="eastAsia" w:ascii="宋体" w:hAnsi="宋体" w:cs="宋体"/>
                <w:b/>
                <w:color w:val="auto"/>
                <w:sz w:val="24"/>
                <w:szCs w:val="24"/>
                <w:lang w:val="en-US" w:eastAsia="zh-CN"/>
              </w:rPr>
              <w:t>13</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lang w:val="zh-CN" w:eastAsia="zh-CN"/>
              </w:rPr>
              <w:t>00.00元整）</w:t>
            </w:r>
          </w:p>
          <w:p w14:paraId="5D8EFB67">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投标保证金可采用的其他形式：电汇、转账或</w:t>
            </w:r>
            <w:r>
              <w:rPr>
                <w:rFonts w:hint="eastAsia" w:ascii="宋体" w:hAnsi="宋体" w:cs="宋体"/>
                <w:b/>
                <w:color w:val="auto"/>
                <w:sz w:val="24"/>
                <w:szCs w:val="24"/>
                <w:lang w:val="en-US" w:eastAsia="zh-CN"/>
              </w:rPr>
              <w:t>政采云电子</w:t>
            </w:r>
            <w:r>
              <w:rPr>
                <w:rFonts w:hint="eastAsia" w:ascii="宋体" w:hAnsi="宋体" w:eastAsia="宋体" w:cs="宋体"/>
                <w:b/>
                <w:color w:val="auto"/>
                <w:sz w:val="24"/>
                <w:szCs w:val="24"/>
                <w:lang w:val="en-US" w:eastAsia="zh-CN"/>
              </w:rPr>
              <w:t>保函，转出账户必须与投标单位名称一致，否则不予受理。</w:t>
            </w:r>
          </w:p>
          <w:p w14:paraId="24F9A5FE">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rPr>
              <w:t>投标保证金形式：</w:t>
            </w:r>
            <w:r>
              <w:rPr>
                <w:rFonts w:hint="eastAsia" w:ascii="宋体" w:hAnsi="宋体" w:eastAsia="宋体" w:cs="宋体"/>
                <w:b/>
                <w:color w:val="auto"/>
                <w:sz w:val="24"/>
                <w:szCs w:val="24"/>
                <w:lang w:val="zh-CN" w:eastAsia="zh-CN"/>
              </w:rPr>
              <w:t>非现金形式。为减少收取/退还保证金的手续，采用电汇、网银转账</w:t>
            </w:r>
            <w:r>
              <w:rPr>
                <w:rFonts w:hint="eastAsia" w:ascii="宋体" w:hAnsi="宋体" w:eastAsia="宋体" w:cs="宋体"/>
                <w:b/>
                <w:color w:val="auto"/>
                <w:sz w:val="24"/>
                <w:szCs w:val="24"/>
                <w:lang w:val="en-US" w:eastAsia="zh-CN"/>
              </w:rPr>
              <w:t>或</w:t>
            </w:r>
            <w:r>
              <w:rPr>
                <w:rFonts w:hint="eastAsia" w:ascii="宋体" w:hAnsi="宋体" w:cs="宋体"/>
                <w:b/>
                <w:color w:val="auto"/>
                <w:sz w:val="24"/>
                <w:szCs w:val="24"/>
                <w:lang w:val="en-US" w:eastAsia="zh-CN"/>
              </w:rPr>
              <w:t>政采云电子</w:t>
            </w:r>
            <w:r>
              <w:rPr>
                <w:rFonts w:hint="eastAsia" w:ascii="宋体" w:hAnsi="宋体" w:eastAsia="宋体" w:cs="宋体"/>
                <w:b/>
                <w:color w:val="auto"/>
                <w:sz w:val="24"/>
                <w:szCs w:val="24"/>
                <w:lang w:val="en-US" w:eastAsia="zh-CN"/>
              </w:rPr>
              <w:t>保函</w:t>
            </w:r>
            <w:r>
              <w:rPr>
                <w:rFonts w:hint="eastAsia" w:ascii="宋体" w:hAnsi="宋体" w:eastAsia="宋体" w:cs="宋体"/>
                <w:b/>
                <w:color w:val="auto"/>
                <w:sz w:val="24"/>
                <w:szCs w:val="24"/>
                <w:lang w:val="zh-CN" w:eastAsia="zh-CN"/>
              </w:rPr>
              <w:t>方式缴纳保证金。</w:t>
            </w:r>
          </w:p>
          <w:p w14:paraId="3A83B75E">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（1）若采用电汇或转账</w:t>
            </w:r>
            <w:r>
              <w:rPr>
                <w:rFonts w:hint="eastAsia" w:ascii="宋体" w:hAnsi="宋体" w:eastAsia="宋体" w:cs="宋体"/>
                <w:b/>
                <w:color w:val="auto"/>
                <w:sz w:val="24"/>
                <w:szCs w:val="24"/>
                <w:lang w:val="zh-CN"/>
              </w:rPr>
              <w:t>投标保证金于</w:t>
            </w:r>
            <w:r>
              <w:rPr>
                <w:rFonts w:hint="eastAsia" w:ascii="宋体" w:hAnsi="宋体" w:cs="宋体"/>
                <w:b/>
                <w:color w:val="auto"/>
                <w:sz w:val="24"/>
                <w:szCs w:val="24"/>
                <w:highlight w:val="none"/>
                <w:lang w:val="zh-CN"/>
              </w:rPr>
              <w:t>2025</w:t>
            </w:r>
            <w:r>
              <w:rPr>
                <w:rFonts w:hint="eastAsia" w:ascii="宋体" w:hAnsi="宋体" w:eastAsia="宋体" w:cs="宋体"/>
                <w:b/>
                <w:color w:val="auto"/>
                <w:sz w:val="24"/>
                <w:szCs w:val="24"/>
                <w:highlight w:val="none"/>
                <w:lang w:val="zh-CN"/>
              </w:rPr>
              <w:t>年</w:t>
            </w:r>
            <w:r>
              <w:rPr>
                <w:rFonts w:hint="eastAsia" w:ascii="宋体" w:hAnsi="宋体" w:cs="宋体"/>
                <w:b/>
                <w:color w:val="auto"/>
                <w:sz w:val="24"/>
                <w:szCs w:val="24"/>
                <w:highlight w:val="none"/>
                <w:lang w:val="en-US" w:eastAsia="zh-CN"/>
              </w:rPr>
              <w:t>07</w:t>
            </w:r>
            <w:r>
              <w:rPr>
                <w:rFonts w:hint="eastAsia" w:ascii="宋体" w:hAnsi="宋体" w:eastAsia="宋体" w:cs="宋体"/>
                <w:b/>
                <w:color w:val="auto"/>
                <w:sz w:val="24"/>
                <w:szCs w:val="24"/>
                <w:highlight w:val="none"/>
                <w:lang w:val="zh-CN"/>
              </w:rPr>
              <w:t>月</w:t>
            </w:r>
            <w:r>
              <w:rPr>
                <w:rFonts w:hint="eastAsia" w:ascii="宋体" w:hAnsi="宋体" w:cs="宋体"/>
                <w:b/>
                <w:color w:val="auto"/>
                <w:sz w:val="24"/>
                <w:szCs w:val="24"/>
                <w:highlight w:val="none"/>
                <w:lang w:val="en-US" w:eastAsia="zh-CN"/>
              </w:rPr>
              <w:t>16</w:t>
            </w:r>
            <w:r>
              <w:rPr>
                <w:rFonts w:hint="eastAsia" w:ascii="宋体" w:hAnsi="宋体" w:eastAsia="宋体" w:cs="宋体"/>
                <w:b/>
                <w:color w:val="auto"/>
                <w:sz w:val="24"/>
                <w:szCs w:val="24"/>
                <w:highlight w:val="none"/>
                <w:lang w:val="zh-CN"/>
              </w:rPr>
              <w:t>日1</w:t>
            </w:r>
            <w:r>
              <w:rPr>
                <w:rFonts w:hint="eastAsia" w:ascii="宋体" w:hAnsi="宋体" w:eastAsia="宋体" w:cs="宋体"/>
                <w:b/>
                <w:color w:val="auto"/>
                <w:sz w:val="24"/>
                <w:szCs w:val="24"/>
                <w:highlight w:val="none"/>
                <w:lang w:val="zh-CN" w:eastAsia="zh-CN"/>
              </w:rPr>
              <w:t>0</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zh-CN" w:eastAsia="zh-CN"/>
              </w:rPr>
              <w:t>0</w:t>
            </w:r>
            <w:r>
              <w:rPr>
                <w:rFonts w:hint="eastAsia" w:ascii="宋体" w:hAnsi="宋体" w:eastAsia="宋体" w:cs="宋体"/>
                <w:b/>
                <w:color w:val="auto"/>
                <w:sz w:val="24"/>
                <w:szCs w:val="24"/>
                <w:highlight w:val="none"/>
                <w:lang w:val="zh-CN"/>
              </w:rPr>
              <w:t>0（</w:t>
            </w:r>
            <w:r>
              <w:rPr>
                <w:rFonts w:hint="eastAsia" w:ascii="宋体" w:hAnsi="宋体" w:eastAsia="宋体" w:cs="宋体"/>
                <w:b/>
                <w:color w:val="auto"/>
                <w:sz w:val="24"/>
                <w:szCs w:val="24"/>
                <w:lang w:val="zh-CN"/>
              </w:rPr>
              <w:t>北京时间，以到账时间为准）之前从投标人基本账户以网银或银行电汇形</w:t>
            </w:r>
            <w:r>
              <w:rPr>
                <w:rFonts w:hint="eastAsia" w:ascii="宋体" w:hAnsi="宋体" w:eastAsia="宋体" w:cs="宋体"/>
                <w:b/>
                <w:color w:val="000000" w:themeColor="text1"/>
                <w:sz w:val="24"/>
                <w:szCs w:val="24"/>
                <w:lang w:val="zh-CN"/>
                <w14:textFill>
                  <w14:solidFill>
                    <w14:schemeClr w14:val="tx1"/>
                  </w14:solidFill>
                </w14:textFill>
              </w:rPr>
              <w:t>式汇</w:t>
            </w:r>
            <w:r>
              <w:rPr>
                <w:rFonts w:hint="eastAsia" w:ascii="宋体" w:hAnsi="宋体" w:eastAsia="宋体" w:cs="宋体"/>
                <w:b/>
                <w:color w:val="auto"/>
                <w:sz w:val="24"/>
                <w:szCs w:val="24"/>
                <w:lang w:val="zh-CN"/>
              </w:rPr>
              <w:t>至本公司账户，否则其投标文件将被拒绝评审，投标人提交投标保证金应充分考虑资金在途时间。</w:t>
            </w:r>
          </w:p>
          <w:p w14:paraId="7388FCD4">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户名：新疆华域天恒工程管理有限公司</w:t>
            </w:r>
          </w:p>
          <w:p w14:paraId="397D3A0A">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开户银行：中国农业银行股份有限公司吐鲁番高昌支行  </w:t>
            </w:r>
          </w:p>
          <w:p w14:paraId="1F9EEAEE">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帐号：3026 5301 0400 1229 8     </w:t>
            </w:r>
          </w:p>
          <w:p w14:paraId="5FD91273">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行号：1038 8302 6535</w:t>
            </w:r>
          </w:p>
          <w:p w14:paraId="65EC964A">
            <w:pPr>
              <w:keepNext w:val="0"/>
              <w:keepLines w:val="0"/>
              <w:pageBreakBefore w:val="0"/>
              <w:numPr>
                <w:ilvl w:val="0"/>
                <w:numId w:val="1"/>
              </w:numPr>
              <w:kinsoku/>
              <w:wordWrap/>
              <w:topLinePunct w:val="0"/>
              <w:bidi w:val="0"/>
              <w:spacing w:line="40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若采用保函形式：采用保函形式应按以下要求办理：</w:t>
            </w:r>
            <w:r>
              <w:rPr>
                <w:rFonts w:hint="eastAsia" w:ascii="宋体" w:hAnsi="宋体" w:eastAsia="宋体" w:cs="宋体"/>
                <w:b/>
                <w:color w:val="auto"/>
                <w:sz w:val="24"/>
                <w:szCs w:val="24"/>
                <w:lang w:val="zh-CN"/>
              </w:rPr>
              <w:t>备注：1、</w:t>
            </w:r>
            <w:r>
              <w:rPr>
                <w:rFonts w:hint="eastAsia" w:ascii="宋体" w:hAnsi="宋体" w:eastAsia="宋体" w:cs="宋体"/>
                <w:b/>
                <w:color w:val="auto"/>
                <w:sz w:val="24"/>
                <w:szCs w:val="24"/>
                <w:lang w:val="en-US" w:eastAsia="zh-CN"/>
              </w:rPr>
              <w:t>保函须在招标文件规定的投标截止时间前办理完成</w:t>
            </w:r>
            <w:r>
              <w:rPr>
                <w:rFonts w:hint="eastAsia" w:ascii="宋体" w:hAnsi="宋体" w:cs="宋体"/>
                <w:b/>
                <w:color w:val="auto"/>
                <w:sz w:val="24"/>
                <w:szCs w:val="24"/>
                <w:lang w:val="en-US" w:eastAsia="zh-CN"/>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保函金额不得少于保证金金额；</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lang w:val="zh-CN"/>
              </w:rPr>
              <w:t>、保函的有效期不得少于本项目投标有效期；</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val="zh-CN"/>
              </w:rPr>
              <w:t>、保函应是针对本项目开具的；</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保函</w:t>
            </w:r>
            <w:r>
              <w:rPr>
                <w:rFonts w:hint="eastAsia" w:ascii="宋体" w:hAnsi="宋体" w:eastAsia="宋体" w:cs="宋体"/>
                <w:b/>
                <w:color w:val="auto"/>
                <w:sz w:val="24"/>
                <w:szCs w:val="24"/>
                <w:lang w:val="zh-CN" w:eastAsia="zh-CN"/>
              </w:rPr>
              <w:t>是</w:t>
            </w:r>
            <w:r>
              <w:rPr>
                <w:rFonts w:hint="eastAsia" w:ascii="宋体" w:hAnsi="宋体" w:eastAsia="宋体" w:cs="宋体"/>
                <w:b/>
                <w:color w:val="auto"/>
                <w:sz w:val="24"/>
                <w:szCs w:val="24"/>
                <w:lang w:val="zh-CN"/>
              </w:rPr>
              <w:t>投标</w:t>
            </w:r>
            <w:r>
              <w:rPr>
                <w:rFonts w:hint="eastAsia" w:ascii="宋体" w:hAnsi="宋体" w:eastAsia="宋体" w:cs="宋体"/>
                <w:b/>
                <w:color w:val="auto"/>
                <w:sz w:val="24"/>
                <w:szCs w:val="24"/>
                <w:lang w:val="zh-CN" w:eastAsia="zh-CN"/>
              </w:rPr>
              <w:t>文件中组成部分；</w:t>
            </w:r>
            <w:r>
              <w:rPr>
                <w:rFonts w:hint="eastAsia" w:ascii="宋体" w:hAnsi="宋体" w:eastAsia="宋体" w:cs="宋体"/>
                <w:b/>
                <w:color w:val="auto"/>
                <w:sz w:val="24"/>
                <w:szCs w:val="24"/>
                <w:lang w:val="en-US" w:eastAsia="zh-CN"/>
              </w:rPr>
              <w:t>6.保函按照“一项目一保函”的原则</w:t>
            </w:r>
            <w:r>
              <w:rPr>
                <w:rFonts w:hint="eastAsia" w:ascii="宋体" w:hAnsi="宋体" w:cs="宋体"/>
                <w:b/>
                <w:color w:val="auto"/>
                <w:sz w:val="24"/>
                <w:szCs w:val="24"/>
                <w:lang w:val="en-US" w:eastAsia="zh-CN"/>
              </w:rPr>
              <w:t>；</w:t>
            </w:r>
            <w:r>
              <w:rPr>
                <w:rFonts w:hint="eastAsia" w:ascii="宋体" w:hAnsi="宋体" w:eastAsia="宋体" w:cs="宋体"/>
                <w:b/>
                <w:color w:val="auto"/>
                <w:sz w:val="24"/>
                <w:szCs w:val="24"/>
                <w:lang w:val="en-US" w:eastAsia="zh-CN"/>
              </w:rPr>
              <w:t>7.投标单位提供的保函必须</w:t>
            </w:r>
            <w:r>
              <w:rPr>
                <w:rFonts w:hint="eastAsia" w:ascii="宋体" w:hAnsi="宋体" w:cs="宋体"/>
                <w:b/>
                <w:color w:val="auto"/>
                <w:sz w:val="24"/>
                <w:szCs w:val="24"/>
                <w:lang w:val="en-US" w:eastAsia="zh-CN"/>
              </w:rPr>
              <w:t>是政采云电子保函并且</w:t>
            </w:r>
            <w:r>
              <w:rPr>
                <w:rFonts w:hint="eastAsia" w:ascii="宋体" w:hAnsi="宋体" w:eastAsia="宋体" w:cs="宋体"/>
                <w:b/>
                <w:color w:val="auto"/>
                <w:sz w:val="24"/>
                <w:szCs w:val="24"/>
                <w:lang w:val="en-US" w:eastAsia="zh-CN"/>
              </w:rPr>
              <w:t>真实有效，否则后果自负。</w:t>
            </w:r>
          </w:p>
          <w:p w14:paraId="380E3CCA">
            <w:pPr>
              <w:keepNext w:val="0"/>
              <w:keepLines w:val="0"/>
              <w:pageBreakBefore w:val="0"/>
              <w:numPr>
                <w:ilvl w:val="0"/>
                <w:numId w:val="0"/>
              </w:numPr>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注：投标人向银行办理投标保证金汇（转）款时，应在用途栏（备注栏）准确注明“（简写项目名称）投标保证金”字样，由于未按要求注明信息而导致的一切后果由投标人承担。</w:t>
            </w:r>
          </w:p>
          <w:p w14:paraId="2AABF641">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换取收据时，将保证金截图发送至1252412748@qq.com并与财务联系人 ：李雅楠 联系 电话：13999699360。未按时提交投标保证金的投标文件无效。</w:t>
            </w:r>
          </w:p>
          <w:p w14:paraId="6CED6ABA">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 退投标保证金程序：</w:t>
            </w:r>
          </w:p>
          <w:p w14:paraId="68F140FB">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eastAsia="zh-CN"/>
              </w:rPr>
              <w:t xml:space="preserve">  退还投标保证金时间：采购代理机构在中标通知书发出之日起5个工作日内退还未中标供应商的投标保证金，自政府采购合同签订之日起5个工作日内退还中标供应商的投标保证金。</w:t>
            </w:r>
          </w:p>
        </w:tc>
      </w:tr>
      <w:tr w14:paraId="57B2E9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629FCC4">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3</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1D4C8EC5">
            <w:pPr>
              <w:keepNext w:val="0"/>
              <w:keepLines w:val="0"/>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其他可以不予退还投标保证金的情形</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344DA023">
            <w:pPr>
              <w:keepNext w:val="0"/>
              <w:keepLines w:val="0"/>
              <w:pageBreakBefore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中提供虚假资料；</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未按国家规定的招标代理服务取费标准缴纳招标代理服务费用的。</w:t>
            </w:r>
          </w:p>
        </w:tc>
      </w:tr>
      <w:tr w14:paraId="7F9801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065CA91">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4</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661DA9B8">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递交截止时间</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173C53EC">
            <w:pPr>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日10:00时</w:t>
            </w:r>
            <w:r>
              <w:rPr>
                <w:rFonts w:hint="eastAsia" w:ascii="宋体" w:hAnsi="宋体" w:eastAsia="宋体" w:cs="宋体"/>
                <w:color w:val="auto"/>
                <w:sz w:val="24"/>
                <w:szCs w:val="24"/>
                <w:highlight w:val="none"/>
              </w:rPr>
              <w:t>（北</w:t>
            </w:r>
            <w:r>
              <w:rPr>
                <w:rFonts w:hint="eastAsia" w:ascii="宋体" w:hAnsi="宋体" w:eastAsia="宋体" w:cs="宋体"/>
                <w:color w:val="000000" w:themeColor="text1"/>
                <w:sz w:val="24"/>
                <w:szCs w:val="24"/>
                <w:highlight w:val="none"/>
                <w14:textFill>
                  <w14:solidFill>
                    <w14:schemeClr w14:val="tx1"/>
                  </w14:solidFill>
                </w14:textFill>
              </w:rPr>
              <w:t>京时间）</w:t>
            </w:r>
          </w:p>
        </w:tc>
      </w:tr>
      <w:tr w14:paraId="47A556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B94E2E7">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5</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3F1F11F7">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投标文件递交地点</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7D44E19E">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将响应文件上传至政采云平台https://www.zcygov.cn/对应位置（逾期未上传的或不符合规定的响应文件将被拒绝接收）。</w:t>
            </w:r>
          </w:p>
        </w:tc>
      </w:tr>
      <w:tr w14:paraId="679E7E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CDDAA37">
            <w:pPr>
              <w:pStyle w:val="45"/>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6</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5697B4C6">
            <w:pPr>
              <w:pStyle w:val="45"/>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履约保证金</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6D3A1934">
            <w:pPr>
              <w:keepNext w:val="0"/>
              <w:keepLines w:val="0"/>
              <w:pageBreakBefore w:val="0"/>
              <w:shd w:val="solid" w:color="FFFFFF" w:fill="auto"/>
              <w:kinsoku/>
              <w:wordWrap/>
              <w:topLinePunct w:val="0"/>
              <w:autoSpaceDN w:val="0"/>
              <w:bidi w:val="0"/>
              <w:spacing w:line="400" w:lineRule="exact"/>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无</w:t>
            </w:r>
          </w:p>
        </w:tc>
      </w:tr>
      <w:tr w14:paraId="47B97E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9BD8697">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1</w:t>
            </w:r>
            <w:r>
              <w:rPr>
                <w:rFonts w:hint="eastAsia" w:cs="宋体"/>
                <w:color w:val="auto"/>
                <w:kern w:val="2"/>
                <w:sz w:val="24"/>
                <w:szCs w:val="24"/>
                <w:lang w:val="en-US" w:eastAsia="zh-CN"/>
              </w:rPr>
              <w:t>7</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5CD37B9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实质性要求和条件</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43DE13A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供应商不得偏差离招标文件的实质性要求</w:t>
            </w:r>
          </w:p>
        </w:tc>
      </w:tr>
      <w:tr w14:paraId="61128F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2892821">
            <w:pPr>
              <w:pStyle w:val="45"/>
              <w:keepNext w:val="0"/>
              <w:keepLines w:val="0"/>
              <w:pageBreakBefore w:val="0"/>
              <w:kinsoku/>
              <w:wordWrap/>
              <w:topLinePunct w:val="0"/>
              <w:bidi w:val="0"/>
              <w:spacing w:line="400" w:lineRule="exact"/>
              <w:ind w:right="264" w:rightChars="0"/>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rPr>
              <w:t>18</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2B2BCDE4">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w:t>
            </w:r>
            <w:r>
              <w:rPr>
                <w:rFonts w:hint="eastAsia" w:ascii="宋体" w:hAnsi="宋体" w:eastAsia="宋体" w:cs="宋体"/>
                <w:color w:val="auto"/>
                <w:sz w:val="24"/>
                <w:szCs w:val="24"/>
                <w:highlight w:val="none"/>
                <w:lang w:val="en-US" w:eastAsia="zh-CN"/>
              </w:rPr>
              <w:t>招标文件</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7928B6EA">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时间：供应商要求采购人对已发出的</w:t>
            </w:r>
            <w:r>
              <w:rPr>
                <w:rFonts w:hint="eastAsia" w:ascii="宋体" w:hAnsi="宋体" w:cs="宋体"/>
                <w:color w:val="auto"/>
                <w:sz w:val="24"/>
                <w:szCs w:val="24"/>
                <w:lang w:val="en-US" w:eastAsia="zh-CN"/>
              </w:rPr>
              <w:t>采购文件</w:t>
            </w:r>
            <w:r>
              <w:rPr>
                <w:rFonts w:hint="eastAsia" w:ascii="宋体" w:hAnsi="宋体" w:eastAsia="宋体" w:cs="宋体"/>
                <w:color w:val="auto"/>
                <w:sz w:val="24"/>
                <w:szCs w:val="24"/>
                <w:lang w:val="zh-CN" w:eastAsia="zh-CN"/>
              </w:rPr>
              <w:t>进行澄清的，应在投标截止时间的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天前。</w:t>
            </w:r>
          </w:p>
          <w:p w14:paraId="2230A83E">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color w:val="auto"/>
                <w:sz w:val="24"/>
                <w:szCs w:val="24"/>
                <w:lang w:val="zh-CN" w:eastAsia="zh-CN"/>
              </w:rPr>
              <w:t>形式：供应商将要求澄清的内容以书面形式送达采购人（或招标代理机构）。</w:t>
            </w:r>
          </w:p>
        </w:tc>
      </w:tr>
      <w:tr w14:paraId="09F110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1646CEB">
            <w:pPr>
              <w:pStyle w:val="45"/>
              <w:keepNext w:val="0"/>
              <w:keepLines w:val="0"/>
              <w:pageBreakBefore w:val="0"/>
              <w:kinsoku/>
              <w:wordWrap/>
              <w:topLinePunct w:val="0"/>
              <w:bidi w:val="0"/>
              <w:spacing w:line="400" w:lineRule="exact"/>
              <w:ind w:right="264" w:rightChars="0"/>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rPr>
              <w:t>19</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7B1DA041">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澄清发出的形式</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59D5C9FC">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bidi="ar"/>
              </w:rPr>
              <w:t>以书面形式发出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如有必要对招标文件澄清和修改的将在新疆政府采购网及时发布，澄清文件一旦发布即视为以书面形式通知所有潜在投标人，请各投标人自行关注本次招标项目相关信息的变更情况，否则所造成的一切后果由投标人自负。</w:t>
            </w:r>
          </w:p>
        </w:tc>
      </w:tr>
      <w:tr w14:paraId="098DF0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74C985D">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0</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0C2EBE07">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纸质版</w:t>
            </w:r>
            <w:r>
              <w:rPr>
                <w:rFonts w:hint="eastAsia" w:ascii="宋体" w:hAnsi="宋体" w:eastAsia="宋体" w:cs="宋体"/>
                <w:color w:val="auto"/>
                <w:sz w:val="24"/>
                <w:szCs w:val="24"/>
                <w:lang w:val="zh-CN"/>
              </w:rPr>
              <w:t>投标文件的</w:t>
            </w:r>
            <w:r>
              <w:rPr>
                <w:rFonts w:hint="eastAsia" w:cs="宋体"/>
                <w:color w:val="auto"/>
                <w:sz w:val="24"/>
                <w:szCs w:val="24"/>
                <w:lang w:val="en-US" w:eastAsia="zh-CN"/>
              </w:rPr>
              <w:t>份</w:t>
            </w:r>
            <w:r>
              <w:rPr>
                <w:rFonts w:hint="eastAsia" w:ascii="宋体" w:hAnsi="宋体" w:eastAsia="宋体" w:cs="宋体"/>
                <w:color w:val="auto"/>
                <w:sz w:val="24"/>
                <w:szCs w:val="24"/>
                <w:lang w:val="zh-CN"/>
              </w:rPr>
              <w:t>数</w:t>
            </w:r>
            <w:r>
              <w:rPr>
                <w:rFonts w:hint="eastAsia" w:cs="宋体"/>
                <w:color w:val="auto"/>
                <w:sz w:val="24"/>
                <w:szCs w:val="24"/>
                <w:lang w:val="zh-CN"/>
              </w:rPr>
              <w:t>（</w:t>
            </w:r>
            <w:r>
              <w:rPr>
                <w:rFonts w:hint="eastAsia" w:cs="宋体"/>
                <w:color w:val="auto"/>
                <w:sz w:val="24"/>
                <w:szCs w:val="24"/>
                <w:lang w:val="en-US" w:eastAsia="zh-CN"/>
              </w:rPr>
              <w:t>中标以后中标单位提供）</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65257A83">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投标文件的份数：投标文件应一式</w:t>
            </w:r>
            <w:r>
              <w:rPr>
                <w:rFonts w:hint="eastAsia" w:ascii="宋体" w:hAnsi="宋体" w:eastAsia="宋体" w:cs="宋体"/>
                <w:sz w:val="24"/>
                <w:szCs w:val="24"/>
                <w:lang w:val="en-US" w:eastAsia="zh-CN"/>
              </w:rPr>
              <w:t>叁</w:t>
            </w:r>
            <w:r>
              <w:rPr>
                <w:rFonts w:hint="eastAsia" w:ascii="宋体" w:hAnsi="宋体" w:eastAsia="宋体" w:cs="宋体"/>
                <w:sz w:val="24"/>
                <w:szCs w:val="24"/>
                <w:lang w:val="zh-CN" w:eastAsia="zh-CN"/>
              </w:rPr>
              <w:t>份：其中正本一份，副本</w:t>
            </w:r>
            <w:r>
              <w:rPr>
                <w:rFonts w:hint="eastAsia" w:ascii="宋体" w:hAnsi="宋体" w:eastAsia="宋体" w:cs="宋体"/>
                <w:sz w:val="24"/>
                <w:szCs w:val="24"/>
                <w:lang w:val="en-US" w:eastAsia="zh-CN"/>
              </w:rPr>
              <w:t>贰</w:t>
            </w:r>
            <w:r>
              <w:rPr>
                <w:rFonts w:hint="eastAsia" w:ascii="宋体" w:hAnsi="宋体" w:eastAsia="宋体" w:cs="宋体"/>
                <w:sz w:val="24"/>
                <w:szCs w:val="24"/>
                <w:lang w:val="zh-CN" w:eastAsia="zh-CN"/>
              </w:rPr>
              <w:t>份，并注明“正本”和“副本”字样，投标文件应由投标人的合法授权代表正式签署，如有任何更改应由原签署人签字。</w:t>
            </w:r>
          </w:p>
          <w:p w14:paraId="7EF16F69">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sz w:val="24"/>
                <w:szCs w:val="24"/>
                <w:lang w:val="zh-CN"/>
              </w:rPr>
              <w:t>2、由授权代表参与投标的，开标现场须提供法定代表人授权书原件及授权代表身份证原件；由法定代表人参加投标的，提供法定代表人身份证明材料及身份证原件</w:t>
            </w:r>
          </w:p>
          <w:p w14:paraId="374873CA">
            <w:pPr>
              <w:pStyle w:val="33"/>
              <w:keepNext w:val="0"/>
              <w:keepLines w:val="0"/>
              <w:pageBreakBefore w:val="0"/>
              <w:kinsoku/>
              <w:wordWrap/>
              <w:topLinePunct w:val="0"/>
              <w:bidi w:val="0"/>
              <w:spacing w:line="400" w:lineRule="exact"/>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highlight w:val="none"/>
              </w:rPr>
              <w:t>分册装订要求：</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的正、副本应分册装订，并</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别胶装成册，并按</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相应的内容编制</w:t>
            </w:r>
            <w:r>
              <w:rPr>
                <w:rFonts w:hint="eastAsia" w:ascii="宋体" w:hAnsi="宋体" w:eastAsia="宋体" w:cs="宋体"/>
                <w:color w:val="auto"/>
                <w:sz w:val="24"/>
                <w:szCs w:val="24"/>
                <w:highlight w:val="none"/>
                <w:lang w:val="en-US" w:eastAsia="zh-CN"/>
              </w:rPr>
              <w:t>详细的</w:t>
            </w:r>
            <w:r>
              <w:rPr>
                <w:rFonts w:hint="eastAsia" w:ascii="宋体" w:hAnsi="宋体" w:eastAsia="宋体" w:cs="宋体"/>
                <w:color w:val="auto"/>
                <w:sz w:val="24"/>
                <w:szCs w:val="24"/>
                <w:highlight w:val="none"/>
              </w:rPr>
              <w:t>目录，逐页按顺序标注页码，并不得采用活页装订。</w:t>
            </w:r>
          </w:p>
        </w:tc>
      </w:tr>
      <w:tr w14:paraId="69CFB2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3"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BC6B83D">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1</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2649FA2A">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评标委员会的组建</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3CC61A9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依法组建评标委员会。评标委员会成员由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人，经济及技术方面的专家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人；经济及技术方面的专家由</w:t>
            </w:r>
            <w:r>
              <w:rPr>
                <w:rFonts w:hint="eastAsia" w:ascii="宋体" w:hAnsi="宋体" w:eastAsia="宋体" w:cs="宋体"/>
                <w:color w:val="auto"/>
                <w:sz w:val="24"/>
                <w:szCs w:val="24"/>
                <w:highlight w:val="none"/>
                <w:lang w:val="en-US" w:eastAsia="zh-CN"/>
              </w:rPr>
              <w:t>政府采购平台</w:t>
            </w:r>
            <w:r>
              <w:rPr>
                <w:rFonts w:hint="eastAsia" w:ascii="宋体" w:hAnsi="宋体" w:eastAsia="宋体" w:cs="宋体"/>
                <w:color w:val="auto"/>
                <w:sz w:val="24"/>
                <w:szCs w:val="24"/>
                <w:highlight w:val="none"/>
              </w:rPr>
              <w:t>专家库中随机抽取。</w:t>
            </w:r>
          </w:p>
        </w:tc>
      </w:tr>
      <w:tr w14:paraId="2634C2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05"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BD874FB">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2</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141A046C">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电子投标须知</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429936ED">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投标单位提前自学线上开标流程；投标截止时间当天，线上开标环节，投标文件解密时长30分钟，各投标单位务必提前调试好在线参标电脑的各项配置及CA锁网上进行签到、文件解密以及操作投标，投标文件报价确认签字时间为10分钟，超过时间视为报价无</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w:t>
            </w:r>
          </w:p>
          <w:p w14:paraId="4A528F7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（如投标单位对电子投标</w:t>
            </w:r>
            <w:r>
              <w:rPr>
                <w:rFonts w:hint="eastAsia" w:ascii="宋体" w:hAnsi="宋体" w:cs="宋体"/>
                <w:color w:val="auto"/>
                <w:sz w:val="24"/>
                <w:szCs w:val="24"/>
                <w:highlight w:val="none"/>
                <w:lang w:val="en-US" w:eastAsia="zh-CN"/>
              </w:rPr>
              <w:t>操作</w:t>
            </w:r>
            <w:r>
              <w:rPr>
                <w:rFonts w:hint="eastAsia" w:ascii="宋体" w:hAnsi="宋体" w:eastAsia="宋体" w:cs="宋体"/>
                <w:color w:val="auto"/>
                <w:sz w:val="24"/>
                <w:szCs w:val="24"/>
                <w:highlight w:val="none"/>
                <w:lang w:val="en-US" w:eastAsia="zh-CN"/>
              </w:rPr>
              <w:t>不清楚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无法完成</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可到招标现场，请自带笔记本电脑及</w:t>
            </w:r>
            <w:r>
              <w:rPr>
                <w:rFonts w:hint="eastAsia" w:ascii="宋体" w:hAnsi="宋体" w:cs="宋体"/>
                <w:color w:val="auto"/>
                <w:sz w:val="24"/>
                <w:szCs w:val="24"/>
                <w:highlight w:val="none"/>
                <w:lang w:val="en-US" w:eastAsia="zh-CN"/>
              </w:rPr>
              <w:t>本单位</w:t>
            </w:r>
            <w:r>
              <w:rPr>
                <w:rFonts w:hint="eastAsia" w:ascii="宋体" w:hAnsi="宋体" w:eastAsia="宋体" w:cs="宋体"/>
                <w:color w:val="auto"/>
                <w:sz w:val="24"/>
                <w:szCs w:val="24"/>
                <w:highlight w:val="none"/>
                <w:lang w:val="en-US" w:eastAsia="zh-CN"/>
              </w:rPr>
              <w:t>CA锁网上进行签到、文件解密以及操作投标。）</w:t>
            </w:r>
          </w:p>
          <w:p w14:paraId="23482A1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2.招标文件中采购清单、技术需求等如有偏差，如有</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请澄清中及时提出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否则视为充分理解招标文件各项要求。</w:t>
            </w:r>
          </w:p>
          <w:p w14:paraId="213D2C8B">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投标单位应在中标后递交纸质版投标文件，如二者内容不一致，则以电子版投标文件为准。</w:t>
            </w:r>
          </w:p>
          <w:p w14:paraId="4E2A6DD8">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招标文件中如有内容冲突的地方，以投标须知</w:t>
            </w:r>
            <w:r>
              <w:rPr>
                <w:rFonts w:hint="eastAsia" w:ascii="宋体" w:hAnsi="宋体" w:cs="宋体"/>
                <w:b/>
                <w:bCs/>
                <w:color w:val="auto"/>
                <w:sz w:val="24"/>
                <w:szCs w:val="24"/>
                <w:highlight w:val="none"/>
                <w:lang w:val="en-US" w:eastAsia="zh-CN"/>
              </w:rPr>
              <w:t>前附表</w:t>
            </w:r>
            <w:r>
              <w:rPr>
                <w:rFonts w:hint="eastAsia" w:ascii="宋体" w:hAnsi="宋体" w:eastAsia="宋体" w:cs="宋体"/>
                <w:b/>
                <w:bCs/>
                <w:color w:val="auto"/>
                <w:sz w:val="24"/>
                <w:szCs w:val="24"/>
                <w:highlight w:val="none"/>
                <w:lang w:val="en-US" w:eastAsia="zh-CN"/>
              </w:rPr>
              <w:t>要求为准。</w:t>
            </w:r>
          </w:p>
        </w:tc>
      </w:tr>
      <w:tr w14:paraId="338AD05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F3D9F87">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3</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1DED72A2">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highlight w:val="none"/>
                <w:lang w:val="en-US" w:eastAsia="zh-CN" w:bidi="ar-SA"/>
              </w:rPr>
              <w:t>中小企业政策</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03365960">
            <w:pPr>
              <w:pStyle w:val="59"/>
              <w:spacing w:before="54" w:line="221" w:lineRule="auto"/>
              <w:rPr>
                <w:rFonts w:hint="default"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标的所属行业：工业</w:t>
            </w:r>
          </w:p>
          <w:p w14:paraId="10636EB5">
            <w:pPr>
              <w:pStyle w:val="41"/>
              <w:keepNext w:val="0"/>
              <w:keepLines w:val="0"/>
              <w:pageBreakBefore w:val="0"/>
              <w:kinsoku/>
              <w:wordWrap/>
              <w:topLinePunct w:val="0"/>
              <w:bidi w:val="0"/>
              <w:snapToGrid w:val="0"/>
              <w:spacing w:line="300" w:lineRule="exact"/>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中小企业政策：</w:t>
            </w:r>
          </w:p>
          <w:p w14:paraId="4345FE28">
            <w:pPr>
              <w:pStyle w:val="41"/>
              <w:keepNext w:val="0"/>
              <w:keepLines w:val="0"/>
              <w:pageBreakBefore w:val="0"/>
              <w:kinsoku/>
              <w:wordWrap/>
              <w:topLinePunct w:val="0"/>
              <w:bidi w:val="0"/>
              <w:snapToGrid w:val="0"/>
              <w:spacing w:line="300" w:lineRule="exact"/>
              <w:textAlignment w:val="auto"/>
              <w:rPr>
                <w:rFonts w:hint="default" w:ascii="宋体" w:hAnsi="宋体" w:eastAsia="宋体" w:cs="宋体"/>
                <w:b/>
                <w:snapToGrid w:val="0"/>
                <w:color w:val="auto"/>
                <w:sz w:val="24"/>
                <w:szCs w:val="24"/>
                <w:highlight w:val="none"/>
                <w:lang w:val="en-US" w:eastAsia="zh-CN"/>
              </w:rPr>
            </w:pPr>
            <w:r>
              <w:rPr>
                <w:rFonts w:hint="eastAsia" w:ascii="宋体" w:hAnsi="宋体" w:eastAsia="宋体" w:cs="宋体"/>
                <w:b/>
                <w:snapToGrid w:val="0"/>
                <w:color w:val="auto"/>
                <w:sz w:val="24"/>
                <w:szCs w:val="24"/>
                <w:highlight w:val="none"/>
              </w:rPr>
              <w:t>本项目专门面向</w:t>
            </w:r>
            <w:r>
              <w:rPr>
                <w:rFonts w:hint="eastAsia" w:ascii="宋体" w:hAnsi="宋体" w:cs="宋体"/>
                <w:b/>
                <w:snapToGrid w:val="0"/>
                <w:color w:val="auto"/>
                <w:sz w:val="24"/>
                <w:szCs w:val="24"/>
                <w:highlight w:val="none"/>
                <w:lang w:val="en-US" w:eastAsia="zh-CN"/>
              </w:rPr>
              <w:t>中小</w:t>
            </w:r>
            <w:r>
              <w:rPr>
                <w:rFonts w:hint="eastAsia" w:ascii="宋体" w:hAnsi="宋体" w:eastAsia="宋体" w:cs="宋体"/>
                <w:b/>
                <w:snapToGrid w:val="0"/>
                <w:color w:val="auto"/>
                <w:sz w:val="24"/>
                <w:szCs w:val="24"/>
                <w:highlight w:val="none"/>
              </w:rPr>
              <w:t>企业采购</w:t>
            </w:r>
            <w:r>
              <w:rPr>
                <w:rFonts w:hint="eastAsia" w:ascii="宋体" w:hAnsi="宋体" w:cs="宋体"/>
                <w:b/>
                <w:snapToGrid w:val="0"/>
                <w:color w:val="auto"/>
                <w:sz w:val="24"/>
                <w:szCs w:val="24"/>
                <w:highlight w:val="none"/>
                <w:lang w:eastAsia="zh-CN"/>
              </w:rPr>
              <w:t>，</w:t>
            </w:r>
            <w:r>
              <w:rPr>
                <w:rFonts w:hint="eastAsia" w:ascii="宋体" w:hAnsi="宋体" w:cs="宋体"/>
                <w:b/>
                <w:snapToGrid w:val="0"/>
                <w:color w:val="auto"/>
                <w:sz w:val="24"/>
                <w:szCs w:val="24"/>
                <w:highlight w:val="none"/>
                <w:lang w:val="en-US" w:eastAsia="zh-CN"/>
              </w:rPr>
              <w:t>不做价格的扣除。</w:t>
            </w:r>
          </w:p>
          <w:p w14:paraId="4EAB05A4">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根据工信部等部委发布的《关于印发中小企业划型标准规定的通知》（工信部联企业〔2011〕300号）；财政部《关于进一步加大政府采购支持中小企业力度的通知》（财库〔2022〕19号）规定，</w:t>
            </w:r>
            <w:r>
              <w:rPr>
                <w:rFonts w:hint="eastAsia" w:ascii="宋体" w:hAnsi="宋体" w:eastAsia="宋体" w:cs="宋体"/>
                <w:b/>
                <w:bCs/>
                <w:color w:val="auto"/>
                <w:kern w:val="2"/>
                <w:sz w:val="24"/>
                <w:szCs w:val="24"/>
                <w:highlight w:val="none"/>
                <w:lang w:val="en-US" w:eastAsia="zh-CN" w:bidi="ar-SA"/>
              </w:rPr>
              <w:t>本次采购标的所属行业为工业（制造业）</w:t>
            </w:r>
            <w:r>
              <w:rPr>
                <w:rFonts w:hint="eastAsia" w:ascii="宋体" w:hAnsi="宋体" w:eastAsia="宋体" w:cs="宋体"/>
                <w:color w:val="auto"/>
                <w:kern w:val="2"/>
                <w:sz w:val="24"/>
                <w:szCs w:val="24"/>
                <w:highlight w:val="none"/>
                <w:lang w:val="en-US" w:eastAsia="zh-CN" w:bidi="ar-SA"/>
              </w:rPr>
              <w:t>、《政府采购需求管理办法的通知》（财库〔2021〕22 号）、《政府采购促进中小企业发展管理办法》（财库[2020]46 号）、《财政部 司法部关于政府采购支持监狱企业发展有关问题的通知》（财库〔2014〕68 号）和《三部门联合发布关于促进残疾人就业政府采购政策的通知》（财库〔2017〕 141 号）的规定，对满足价格扣除条件且在投标文件中提交了《供应商企业类型声明函》或省级以上监狱管理局、戒毒管理局（含新疆生产建设兵团）出具的属于监狱企业的证明文件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的供应商。</w:t>
            </w:r>
          </w:p>
          <w:p w14:paraId="73710D98">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符合以下条件的中小微型企业应按照采购文件格式要求提供《中小企业声明函》。</w:t>
            </w:r>
          </w:p>
          <w:p w14:paraId="3CABAE41">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126E6E0">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0A65AAE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（3）依据本办法规</w:t>
            </w:r>
            <w:r>
              <w:rPr>
                <w:rFonts w:hint="eastAsia" w:ascii="宋体" w:hAnsi="宋体" w:eastAsia="宋体" w:cs="宋体"/>
                <w:color w:val="auto"/>
                <w:kern w:val="2"/>
                <w:sz w:val="24"/>
                <w:szCs w:val="24"/>
                <w:highlight w:val="none"/>
                <w:lang w:val="en-US" w:eastAsia="zh-CN" w:bidi="ar-SA"/>
              </w:rPr>
              <w:t>定享受扶持政策获得政府采购合同的，小微企业不得将合同分包给大中型企业，中型企业不得将合同分包给大型企业。</w:t>
            </w:r>
          </w:p>
          <w:p w14:paraId="0FAD0F82">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（4）联合体各方均为中小企业的,联合体视同中小企业。其中,联合体各方均为小微企业的,联合体视同小微企业。组成联合体的小微企业与其他企业之间存在直接控股、管理关系的,不享受价格扣除优惠政策。</w:t>
            </w:r>
          </w:p>
        </w:tc>
      </w:tr>
      <w:tr w14:paraId="6FC4C3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9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E37CED0">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4</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3D8DFA13">
            <w:pPr>
              <w:keepNext w:val="0"/>
              <w:keepLines w:val="0"/>
              <w:pageBreakBefore w:val="0"/>
              <w:widowControl w:val="0"/>
              <w:kinsoku/>
              <w:wordWrap/>
              <w:overflowPunct/>
              <w:topLinePunct w:val="0"/>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通讯联系</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1098E0F8">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之时起至评标结束止，应确保其提供的联系方式一直保持有效和畅通，以保证在招投标期间需进行往来函件或与之有关的事宜能及时发送或通知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（或招标代理机构）不承担由此（提供的联系方式无效或通讯不畅）引起的一切后果。</w:t>
            </w:r>
          </w:p>
        </w:tc>
      </w:tr>
      <w:tr w14:paraId="4B85A9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2141872">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5</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52967ECF">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对招标文件资质要求、技术参数、商务要求、评分办法等采购需求提出的询问和质疑</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5BD1D237">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14:paraId="0B66D054">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常瑞琪</w:t>
            </w:r>
          </w:p>
          <w:p w14:paraId="634BB9A5">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w:t>
            </w:r>
            <w:r>
              <w:rPr>
                <w:rFonts w:hint="eastAsia" w:ascii="宋体" w:hAnsi="宋体" w:cs="宋体"/>
                <w:color w:val="auto"/>
                <w:sz w:val="24"/>
                <w:szCs w:val="24"/>
                <w:lang w:val="en-US" w:eastAsia="zh-CN"/>
              </w:rPr>
              <w:t>18590559920</w:t>
            </w:r>
          </w:p>
          <w:p w14:paraId="13FED1E7">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质疑函接受方式：纸质原件形式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现场接受或邮寄接受</w:t>
            </w:r>
            <w:r>
              <w:rPr>
                <w:rFonts w:hint="eastAsia" w:ascii="宋体" w:hAnsi="宋体" w:eastAsia="宋体" w:cs="宋体"/>
                <w:color w:val="auto"/>
                <w:sz w:val="24"/>
                <w:szCs w:val="24"/>
                <w:lang w:eastAsia="zh-CN"/>
              </w:rPr>
              <w:t>）</w:t>
            </w:r>
          </w:p>
          <w:p w14:paraId="42392CF3">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地址：吐鲁番市高昌区示范区和平街11幢2层201号</w:t>
            </w:r>
          </w:p>
          <w:p w14:paraId="515EFFE8">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提出质疑时间：招标文件公告期限届满之日起七个工作日内。</w:t>
            </w:r>
          </w:p>
          <w:p w14:paraId="275078C2">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备注：供应商应当在法定质疑期内一次性提出针对统一采购程序环节的质疑。</w:t>
            </w:r>
          </w:p>
        </w:tc>
      </w:tr>
      <w:tr w14:paraId="734501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50AFE7F">
            <w:pPr>
              <w:pStyle w:val="45"/>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6</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134DA4CC">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对</w:t>
            </w:r>
            <w:r>
              <w:rPr>
                <w:rFonts w:hint="eastAsia" w:ascii="宋体" w:hAnsi="宋体" w:eastAsia="宋体" w:cs="宋体"/>
                <w:color w:val="auto"/>
                <w:sz w:val="24"/>
                <w:szCs w:val="24"/>
              </w:rPr>
              <w:t>招标文件除资质要求、技术参数、商务要求、评分办法等采购需求内容以外事项、</w:t>
            </w:r>
            <w:r>
              <w:rPr>
                <w:rFonts w:hint="eastAsia" w:ascii="宋体" w:hAnsi="宋体" w:eastAsia="宋体" w:cs="宋体"/>
                <w:color w:val="auto"/>
                <w:kern w:val="2"/>
                <w:sz w:val="24"/>
                <w:szCs w:val="24"/>
              </w:rPr>
              <w:t>采购过程和采购结果的询问和质疑</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2E7B1A20">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14:paraId="546A3F49">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常瑞琪</w:t>
            </w:r>
          </w:p>
          <w:p w14:paraId="472EFC5D">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w:t>
            </w:r>
            <w:r>
              <w:rPr>
                <w:rFonts w:hint="eastAsia" w:ascii="宋体" w:hAnsi="宋体" w:cs="宋体"/>
                <w:color w:val="auto"/>
                <w:sz w:val="24"/>
                <w:szCs w:val="24"/>
                <w:lang w:val="en-US" w:eastAsia="zh-CN"/>
              </w:rPr>
              <w:t>18590559920</w:t>
            </w:r>
          </w:p>
          <w:p w14:paraId="3CDABA16">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质疑函接受方式：现场接受或邮寄接受</w:t>
            </w:r>
          </w:p>
          <w:p w14:paraId="63836D0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地址：吐鲁番市高昌区示范区和平街11幢2层201号</w:t>
            </w:r>
          </w:p>
          <w:p w14:paraId="433E809B">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对采购过程提出质疑时间：为各采购程序环节结束之日起七个工作日内。</w:t>
            </w:r>
          </w:p>
          <w:p w14:paraId="655224B0">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对采购结果提出质疑时间：为中标结果公告发布次日后七个工作日内。</w:t>
            </w:r>
          </w:p>
          <w:p w14:paraId="638045A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备注：1、采购单位无正当理由不按照依法推荐的中标候选供应商顺序确定中标供应商，或者在评标委员会依法推荐的中标候选供应商以外确定中标供应商的质疑由采购单位受理。</w:t>
            </w:r>
          </w:p>
          <w:p w14:paraId="7BDA8EE2">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2、供应商应当在法定质疑期内一次性提出针对</w:t>
            </w:r>
            <w:r>
              <w:rPr>
                <w:rFonts w:hint="eastAsia" w:ascii="宋体" w:hAnsi="宋体" w:cs="宋体"/>
                <w:color w:val="auto"/>
                <w:sz w:val="24"/>
                <w:szCs w:val="24"/>
                <w:lang w:val="en-US" w:eastAsia="zh-CN"/>
              </w:rPr>
              <w:t>同</w:t>
            </w:r>
            <w:r>
              <w:rPr>
                <w:rFonts w:hint="eastAsia" w:ascii="宋体" w:hAnsi="宋体" w:eastAsia="宋体" w:cs="宋体"/>
                <w:color w:val="auto"/>
                <w:sz w:val="24"/>
                <w:szCs w:val="24"/>
              </w:rPr>
              <w:t>一采购程序环节的质疑。供应商</w:t>
            </w:r>
            <w:r>
              <w:rPr>
                <w:rFonts w:hint="eastAsia" w:ascii="宋体" w:hAnsi="宋体" w:eastAsia="宋体" w:cs="宋体"/>
                <w:color w:val="auto"/>
                <w:sz w:val="24"/>
                <w:szCs w:val="24"/>
                <w:highlight w:val="none"/>
              </w:rPr>
              <w:t>如在法定期限内对同一</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rPr>
              <w:t>程序环节提出多次质疑的，招标代理公司、招标人将只对</w:t>
            </w:r>
            <w:r>
              <w:rPr>
                <w:rFonts w:hint="eastAsia" w:cs="宋体"/>
                <w:color w:val="auto"/>
                <w:sz w:val="24"/>
                <w:szCs w:val="24"/>
                <w:highlight w:val="none"/>
                <w:lang w:eastAsia="zh-CN"/>
              </w:rPr>
              <w:t>投标单位</w:t>
            </w:r>
            <w:r>
              <w:rPr>
                <w:rFonts w:hint="eastAsia" w:ascii="宋体" w:hAnsi="宋体" w:eastAsia="宋体" w:cs="宋体"/>
                <w:color w:val="auto"/>
                <w:sz w:val="24"/>
                <w:szCs w:val="24"/>
                <w:highlight w:val="none"/>
              </w:rPr>
              <w:t>第一次质疑作出答复。</w:t>
            </w:r>
          </w:p>
        </w:tc>
      </w:tr>
      <w:tr w14:paraId="2890D2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4"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BBDE574">
            <w:pPr>
              <w:keepNext w:val="0"/>
              <w:keepLines w:val="0"/>
              <w:pageBreakBefore w:val="0"/>
              <w:kinsoku/>
              <w:wordWrap/>
              <w:topLinePunct w:val="0"/>
              <w:bidi w:val="0"/>
              <w:spacing w:line="400" w:lineRule="exact"/>
              <w:ind w:right="80" w:rightChars="0"/>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7</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721141CB">
            <w:pPr>
              <w:pStyle w:val="45"/>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投诉</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74425DE9">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投诉受理单位：本采购项目同级财政部门，即</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吐鲁番市高昌区</w:t>
            </w:r>
            <w:r>
              <w:rPr>
                <w:rFonts w:hint="eastAsia" w:ascii="宋体" w:hAnsi="宋体" w:eastAsia="宋体" w:cs="宋体"/>
                <w:color w:val="auto"/>
                <w:sz w:val="24"/>
                <w:szCs w:val="24"/>
                <w:u w:val="single"/>
                <w:lang w:eastAsia="zh-CN"/>
              </w:rPr>
              <w:t>财政局</w:t>
            </w:r>
            <w:r>
              <w:rPr>
                <w:rFonts w:hint="eastAsia" w:ascii="宋体" w:hAnsi="宋体" w:eastAsia="宋体" w:cs="宋体"/>
                <w:color w:val="auto"/>
                <w:sz w:val="24"/>
                <w:szCs w:val="24"/>
              </w:rPr>
              <w:t>。</w:t>
            </w:r>
          </w:p>
        </w:tc>
      </w:tr>
      <w:tr w14:paraId="077358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EF549B7">
            <w:pPr>
              <w:keepNext w:val="0"/>
              <w:keepLines w:val="0"/>
              <w:pageBreakBefore w:val="0"/>
              <w:kinsoku/>
              <w:wordWrap/>
              <w:topLinePunct w:val="0"/>
              <w:bidi w:val="0"/>
              <w:spacing w:line="400" w:lineRule="exact"/>
              <w:ind w:right="80" w:rightChars="0"/>
              <w:jc w:val="center"/>
              <w:rPr>
                <w:rFonts w:hint="default" w:ascii="宋体" w:hAnsi="宋体" w:eastAsia="宋体" w:cs="宋体"/>
                <w:color w:val="auto"/>
                <w:kern w:val="2"/>
                <w:sz w:val="24"/>
                <w:szCs w:val="24"/>
                <w:lang w:val="en-US" w:eastAsia="zh-CN" w:bidi="ar-SA"/>
              </w:rPr>
            </w:pPr>
            <w:r>
              <w:rPr>
                <w:rFonts w:hint="eastAsia" w:ascii="宋体" w:hAnsi="宋体" w:cs="宋体"/>
                <w:bCs/>
                <w:color w:val="auto"/>
                <w:sz w:val="24"/>
                <w:szCs w:val="24"/>
                <w:lang w:val="en-US" w:eastAsia="zh-CN"/>
              </w:rPr>
              <w:t>28</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35099508">
            <w:pPr>
              <w:pStyle w:val="45"/>
              <w:keepNext w:val="0"/>
              <w:keepLines w:val="0"/>
              <w:pageBreakBefore w:val="0"/>
              <w:kinsoku/>
              <w:wordWrap/>
              <w:topLinePunct w:val="0"/>
              <w:bidi w:val="0"/>
              <w:spacing w:line="400" w:lineRule="exact"/>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评审情况的公告</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6ABE5D47">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评审结果将在新疆政府采购网上采购结果公告栏中予以公告。</w:t>
            </w:r>
          </w:p>
        </w:tc>
      </w:tr>
      <w:tr w14:paraId="6783C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9A2F8FA">
            <w:pPr>
              <w:pStyle w:val="45"/>
              <w:keepNext w:val="0"/>
              <w:keepLines w:val="0"/>
              <w:pageBreakBefore w:val="0"/>
              <w:kinsoku/>
              <w:wordWrap/>
              <w:topLinePunct w:val="0"/>
              <w:bidi w:val="0"/>
              <w:spacing w:line="400" w:lineRule="exact"/>
              <w:ind w:right="230" w:rightChars="0"/>
              <w:jc w:val="center"/>
              <w:rPr>
                <w:rFonts w:hint="default" w:ascii="宋体" w:hAnsi="宋体" w:eastAsia="宋体" w:cs="宋体"/>
                <w:color w:val="auto"/>
                <w:sz w:val="24"/>
                <w:szCs w:val="24"/>
                <w:lang w:val="en-US" w:eastAsia="zh-CN" w:bidi="ar-SA"/>
              </w:rPr>
            </w:pPr>
            <w:r>
              <w:rPr>
                <w:rFonts w:hint="eastAsia" w:cs="宋体"/>
                <w:color w:val="auto"/>
                <w:sz w:val="24"/>
                <w:szCs w:val="24"/>
                <w:lang w:val="en-US" w:eastAsia="zh-CN"/>
              </w:rPr>
              <w:t>29</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6FAB6BC6">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政府采购合同</w:t>
            </w:r>
          </w:p>
          <w:p w14:paraId="6D24AB6A">
            <w:pPr>
              <w:keepNext w:val="0"/>
              <w:keepLines w:val="0"/>
              <w:pageBreakBefore w:val="0"/>
              <w:kinsoku/>
              <w:wordWrap/>
              <w:topLinePunct w:val="0"/>
              <w:bidi w:val="0"/>
              <w:spacing w:line="4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备案</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3D02E418">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政府采购合同签订之日起2个工作日内，采购人应将政府采购合同在新疆政府采购网公告；政府采购合同签订之日起七个工作日内，政府采购合同将向本采购项目同级财政部门备案。</w:t>
            </w:r>
          </w:p>
          <w:p w14:paraId="5DFAF26E">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政府采购合同签订之日起2个工作日内，成交供应商应将政府采购合同向采购代理机构审核</w:t>
            </w:r>
            <w:r>
              <w:rPr>
                <w:rFonts w:hint="eastAsia" w:ascii="宋体" w:hAnsi="宋体" w:eastAsia="宋体" w:cs="宋体"/>
                <w:color w:val="auto"/>
                <w:sz w:val="24"/>
                <w:szCs w:val="24"/>
                <w:lang w:val="zh-CN"/>
              </w:rPr>
              <w:t>备案。</w:t>
            </w:r>
          </w:p>
        </w:tc>
      </w:tr>
      <w:tr w14:paraId="4AE7A3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3"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CBC209D">
            <w:pPr>
              <w:keepNext w:val="0"/>
              <w:keepLines w:val="0"/>
              <w:pageBreakBefore w:val="0"/>
              <w:kinsoku/>
              <w:wordWrap/>
              <w:topLinePunct w:val="0"/>
              <w:bidi w:val="0"/>
              <w:spacing w:line="400" w:lineRule="exact"/>
              <w:ind w:right="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cs="宋体"/>
                <w:bCs/>
                <w:color w:val="auto"/>
                <w:sz w:val="24"/>
                <w:szCs w:val="24"/>
                <w:lang w:val="en-US" w:eastAsia="zh-CN"/>
              </w:rPr>
              <w:t>0</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3055FB4D">
            <w:pPr>
              <w:pStyle w:val="61"/>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低于成本价不正当竞争预防措施</w:t>
            </w:r>
          </w:p>
          <w:p w14:paraId="3B178831">
            <w:pPr>
              <w:pStyle w:val="61"/>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
                <w:bCs/>
                <w:color w:val="auto"/>
                <w:sz w:val="24"/>
                <w:szCs w:val="24"/>
              </w:rPr>
              <w:t>实质性要求</w:t>
            </w:r>
            <w:r>
              <w:rPr>
                <w:rFonts w:hint="eastAsia" w:ascii="宋体" w:hAnsi="宋体" w:eastAsia="宋体" w:cs="宋体"/>
                <w:bCs/>
                <w:color w:val="auto"/>
                <w:sz w:val="24"/>
                <w:szCs w:val="24"/>
              </w:rPr>
              <w:t>）</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0398B192">
            <w:pPr>
              <w:pStyle w:val="45"/>
              <w:keepNext w:val="0"/>
              <w:keepLines w:val="0"/>
              <w:pageBreakBefore w:val="0"/>
              <w:kinsoku/>
              <w:wordWrap/>
              <w:topLinePunct w:val="0"/>
              <w:bidi w:val="0"/>
              <w:spacing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在评标过程中，评审委员会认为投标人报价低于成本价，有可能影响产品质量或者不能诚信履约的，评标委员会应当要求其在评标现场</w:t>
            </w:r>
            <w:r>
              <w:rPr>
                <w:rFonts w:hint="eastAsia" w:ascii="宋体" w:hAnsi="宋体" w:eastAsia="宋体" w:cs="宋体"/>
                <w:color w:val="auto"/>
                <w:sz w:val="24"/>
                <w:szCs w:val="24"/>
                <w:lang w:val="en-US" w:eastAsia="zh-CN"/>
              </w:rPr>
              <w:t>30分钟</w:t>
            </w:r>
            <w:r>
              <w:rPr>
                <w:rFonts w:hint="eastAsia" w:ascii="宋体" w:hAnsi="宋体" w:eastAsia="宋体" w:cs="宋体"/>
                <w:color w:val="auto"/>
                <w:sz w:val="24"/>
                <w:szCs w:val="24"/>
              </w:rPr>
              <w:t>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BEBFE61">
            <w:pPr>
              <w:keepNext w:val="0"/>
              <w:keepLines w:val="0"/>
              <w:pageBreakBefore w:val="0"/>
              <w:kinsoku/>
              <w:wordWrap/>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供应商提供书面说明后，评标委员会应当结合采购项目采购需求、专业实际情况、供应商财务状况报告、与其他供应商比较情况等就供应商书面说明进行审查评价。</w:t>
            </w:r>
            <w:r>
              <w:rPr>
                <w:rFonts w:hint="eastAsia" w:ascii="宋体" w:hAnsi="宋体" w:eastAsia="宋体" w:cs="宋体"/>
                <w:b/>
                <w:color w:val="auto"/>
                <w:sz w:val="24"/>
                <w:szCs w:val="24"/>
              </w:rPr>
              <w:t>供应商</w:t>
            </w:r>
            <w:r>
              <w:rPr>
                <w:rFonts w:hint="eastAsia" w:ascii="宋体" w:hAnsi="宋体" w:eastAsia="宋体" w:cs="宋体"/>
                <w:b/>
                <w:color w:val="auto"/>
                <w:sz w:val="24"/>
                <w:szCs w:val="24"/>
                <w:lang w:val="en-US" w:eastAsia="zh-CN"/>
              </w:rPr>
              <w:t>逾期、</w:t>
            </w:r>
            <w:r>
              <w:rPr>
                <w:rFonts w:hint="eastAsia" w:ascii="宋体" w:hAnsi="宋体" w:eastAsia="宋体" w:cs="宋体"/>
                <w:b/>
                <w:color w:val="auto"/>
                <w:sz w:val="24"/>
                <w:szCs w:val="24"/>
              </w:rPr>
              <w:t>拒绝或者变相拒绝提供有效书面说明或者书面说明不能证明其报价合理性的，评标委员会应当将其</w:t>
            </w:r>
            <w:r>
              <w:rPr>
                <w:rFonts w:hint="eastAsia" w:ascii="宋体" w:hAnsi="宋体" w:eastAsia="宋体" w:cs="宋体"/>
                <w:b/>
                <w:color w:val="auto"/>
                <w:sz w:val="24"/>
                <w:szCs w:val="24"/>
                <w:lang w:eastAsia="zh-CN"/>
              </w:rPr>
              <w:t>投标文件</w:t>
            </w:r>
            <w:r>
              <w:rPr>
                <w:rFonts w:hint="eastAsia" w:ascii="宋体" w:hAnsi="宋体" w:eastAsia="宋体" w:cs="宋体"/>
                <w:b/>
                <w:color w:val="auto"/>
                <w:sz w:val="24"/>
                <w:szCs w:val="24"/>
              </w:rPr>
              <w:t>作为无效处理。</w:t>
            </w:r>
          </w:p>
        </w:tc>
      </w:tr>
      <w:tr w14:paraId="200650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F748F01">
            <w:pPr>
              <w:keepNext w:val="0"/>
              <w:keepLines w:val="0"/>
              <w:pageBreakBefore w:val="0"/>
              <w:kinsoku/>
              <w:wordWrap/>
              <w:topLinePunct w:val="0"/>
              <w:bidi w:val="0"/>
              <w:spacing w:line="400" w:lineRule="exact"/>
              <w:ind w:right="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1</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62CB2732">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招标代理费</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3F1C4F97">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代理费收取方式：</w:t>
            </w:r>
            <w:r>
              <w:rPr>
                <w:rFonts w:hint="eastAsia" w:ascii="宋体" w:hAnsi="宋体" w:eastAsia="宋体" w:cs="宋体"/>
                <w:color w:val="auto"/>
                <w:sz w:val="24"/>
                <w:szCs w:val="24"/>
                <w:highlight w:val="none"/>
                <w:lang w:val="zh-CN" w:eastAsia="zh-CN"/>
              </w:rPr>
              <w:t>由中标人支付，</w:t>
            </w:r>
            <w:r>
              <w:rPr>
                <w:rFonts w:hint="eastAsia" w:ascii="宋体" w:hAnsi="宋体" w:eastAsia="宋体" w:cs="宋体"/>
                <w:color w:val="auto"/>
                <w:sz w:val="24"/>
                <w:szCs w:val="24"/>
                <w:lang w:val="zh-CN"/>
              </w:rPr>
              <w:t>电汇或银行转账</w:t>
            </w:r>
            <w:r>
              <w:rPr>
                <w:rFonts w:hint="eastAsia" w:ascii="宋体" w:hAnsi="宋体" w:cs="宋体"/>
                <w:color w:val="auto"/>
                <w:sz w:val="24"/>
                <w:szCs w:val="24"/>
                <w:lang w:val="zh-CN"/>
              </w:rPr>
              <w:t>。</w:t>
            </w:r>
          </w:p>
          <w:p w14:paraId="6F26C9DF">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highlight w:val="none"/>
                <w:lang w:val="zh-CN"/>
              </w:rPr>
              <w:t>代理费收取标准：</w:t>
            </w:r>
            <w:r>
              <w:rPr>
                <w:rFonts w:hint="eastAsia" w:ascii="宋体" w:hAnsi="宋体" w:cs="宋体"/>
                <w:color w:val="auto"/>
                <w:sz w:val="24"/>
                <w:szCs w:val="24"/>
                <w:highlight w:val="none"/>
                <w:lang w:val="en-US" w:eastAsia="zh-CN"/>
              </w:rPr>
              <w:t>5500.00元</w:t>
            </w:r>
          </w:p>
        </w:tc>
      </w:tr>
      <w:tr w14:paraId="05CFDD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037CD7B">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2</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27F90527">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信用查询记录</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421E1428">
            <w:pPr>
              <w:keepNext w:val="0"/>
              <w:keepLines w:val="0"/>
              <w:pageBreakBefore w:val="0"/>
              <w:tabs>
                <w:tab w:val="left" w:pos="7665"/>
              </w:tabs>
              <w:kinsoku/>
              <w:wordWrap/>
              <w:topLinePunct w:val="0"/>
              <w:bidi w:val="0"/>
              <w:spacing w:line="400" w:lineRule="exac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资格审查时，通过“信用中国”网站(www.creditchina.gov.cn)、中国政府采购网(www.ccgp.gov.cn)</w:t>
            </w:r>
            <w:r>
              <w:rPr>
                <w:rFonts w:hint="eastAsia" w:ascii="宋体" w:hAnsi="宋体" w:cs="宋体"/>
                <w:color w:val="auto"/>
                <w:sz w:val="24"/>
                <w:szCs w:val="24"/>
                <w:lang w:val="zh-CN"/>
              </w:rPr>
              <w:t>、</w:t>
            </w:r>
            <w:r>
              <w:rPr>
                <w:rFonts w:hint="eastAsia" w:ascii="宋体" w:hAnsi="宋体" w:eastAsia="宋体" w:cs="宋体"/>
                <w:sz w:val="24"/>
                <w:szCs w:val="24"/>
                <w:highlight w:val="none"/>
                <w:lang w:val="en-US" w:eastAsia="zh-CN"/>
              </w:rPr>
              <w:t>国家企业信用信息公示系统（www.gsxt.gov.cn）</w:t>
            </w:r>
            <w:r>
              <w:rPr>
                <w:rFonts w:hint="eastAsia" w:ascii="宋体" w:hAnsi="宋体" w:eastAsia="宋体" w:cs="宋体"/>
                <w:color w:val="auto"/>
                <w:sz w:val="24"/>
                <w:szCs w:val="24"/>
                <w:lang w:val="zh-CN"/>
              </w:rPr>
              <w:t>渠道查询投标人信用记录，经查询列入失信被执行人、重大税收违法案件当事人名单、政府采购严重违法失信行为记录名单，其投标无效，无效投标人的信用记录查询结果截图将作为项目材料的组成部分。</w:t>
            </w:r>
          </w:p>
        </w:tc>
      </w:tr>
      <w:tr w14:paraId="4AFA40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5"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F755E43">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3</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1E8ACCC2">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节能环保</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7BD3813E">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政府采购强制采购：</w:t>
            </w:r>
            <w:r>
              <w:rPr>
                <w:rFonts w:hint="eastAsia" w:ascii="宋体" w:hAnsi="宋体" w:eastAsia="宋体" w:cs="宋体"/>
                <w:color w:val="000000"/>
                <w:kern w:val="0"/>
                <w:sz w:val="24"/>
                <w:szCs w:val="24"/>
                <w:lang w:val="en-US" w:eastAsia="zh-CN" w:bidi="ar"/>
              </w:rPr>
              <w:t xml:space="preserve">(1)标记符号的节能产品；(2)其他。采购最新一期《节能产品政府采购清单》的产品。 </w:t>
            </w:r>
          </w:p>
          <w:p w14:paraId="5B423359">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政府采购优先采购：</w:t>
            </w:r>
            <w:r>
              <w:rPr>
                <w:rFonts w:hint="eastAsia" w:ascii="宋体" w:hAnsi="宋体" w:eastAsia="宋体" w:cs="宋体"/>
                <w:color w:val="000000"/>
                <w:kern w:val="0"/>
                <w:sz w:val="24"/>
                <w:szCs w:val="24"/>
                <w:lang w:val="en-US" w:eastAsia="zh-CN" w:bidi="ar"/>
              </w:rPr>
              <w:t xml:space="preserve">(1)非标记符号的节能产品；(2)环境标志产品； </w:t>
            </w:r>
          </w:p>
          <w:p w14:paraId="4DB9C99E">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采购产品为《节能产品政府采购清单》(最新期)内非标记符号的节能产品及《环境标 志产品政府采购清单》(最新期)内的产品： </w:t>
            </w:r>
          </w:p>
          <w:p w14:paraId="6ED3362C">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b/>
                <w:sz w:val="24"/>
                <w:szCs w:val="24"/>
              </w:rPr>
            </w:pPr>
            <w:r>
              <w:rPr>
                <w:rFonts w:hint="eastAsia" w:ascii="宋体" w:hAnsi="宋体" w:eastAsia="宋体" w:cs="宋体"/>
                <w:color w:val="000000"/>
                <w:kern w:val="0"/>
                <w:sz w:val="24"/>
                <w:szCs w:val="24"/>
                <w:lang w:val="en-US" w:eastAsia="zh-CN" w:bidi="ar"/>
              </w:rPr>
              <w:t>投标文件（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46DDC1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18"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0730BEC">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4</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60535048">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提别提示</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70007DE8">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lang w:val="zh-CN" w:eastAsia="zh-CN" w:bidi="ar-SA"/>
              </w:rPr>
            </w:pPr>
            <w:r>
              <w:rPr>
                <w:rFonts w:hint="eastAsia" w:ascii="宋体" w:hAnsi="宋体" w:eastAsia="宋体" w:cs="宋体"/>
                <w:b/>
                <w:sz w:val="24"/>
                <w:szCs w:val="24"/>
                <w:lang w:val="en-US" w:eastAsia="zh-CN"/>
              </w:rPr>
              <w:t>招标</w:t>
            </w:r>
            <w:r>
              <w:rPr>
                <w:rFonts w:hint="eastAsia" w:ascii="宋体" w:hAnsi="宋体" w:eastAsia="宋体" w:cs="宋体"/>
                <w:b/>
                <w:sz w:val="24"/>
                <w:szCs w:val="24"/>
              </w:rPr>
              <w:t>文件中部分</w:t>
            </w:r>
            <w:r>
              <w:rPr>
                <w:rFonts w:hint="eastAsia" w:ascii="宋体" w:hAnsi="宋体" w:eastAsia="宋体" w:cs="宋体"/>
                <w:b/>
                <w:sz w:val="24"/>
                <w:szCs w:val="24"/>
                <w:lang w:eastAsia="zh-CN"/>
              </w:rPr>
              <w:t>标有</w:t>
            </w:r>
            <w:r>
              <w:rPr>
                <w:rFonts w:hint="eastAsia" w:ascii="宋体" w:hAnsi="宋体" w:eastAsia="宋体" w:cs="宋体"/>
                <w:b/>
                <w:bCs/>
                <w:color w:val="auto"/>
                <w:sz w:val="24"/>
                <w:szCs w:val="24"/>
              </w:rPr>
              <w:t>实质性要求</w:t>
            </w:r>
            <w:r>
              <w:rPr>
                <w:rFonts w:hint="eastAsia" w:ascii="宋体" w:hAnsi="宋体" w:eastAsia="宋体" w:cs="宋体"/>
                <w:b/>
                <w:bCs/>
                <w:color w:val="auto"/>
                <w:sz w:val="24"/>
                <w:szCs w:val="24"/>
                <w:lang w:eastAsia="zh-CN"/>
              </w:rPr>
              <w:t>、</w:t>
            </w:r>
            <w:r>
              <w:rPr>
                <w:rFonts w:hint="eastAsia" w:ascii="宋体" w:hAnsi="宋体" w:eastAsia="宋体" w:cs="宋体"/>
                <w:b/>
                <w:sz w:val="24"/>
                <w:szCs w:val="24"/>
              </w:rPr>
              <w:t>加粗、加下划线、废标、无效标、投标被拒绝字样的条款，为招标的实质性要求和条件，着重提醒各投标人注意，并认真查看</w:t>
            </w:r>
            <w:r>
              <w:rPr>
                <w:rFonts w:hint="eastAsia" w:ascii="宋体" w:hAnsi="宋体" w:eastAsia="宋体" w:cs="宋体"/>
                <w:b/>
                <w:sz w:val="24"/>
                <w:szCs w:val="24"/>
                <w:lang w:eastAsia="zh-CN"/>
              </w:rPr>
              <w:t>采购</w:t>
            </w:r>
            <w:r>
              <w:rPr>
                <w:rFonts w:hint="eastAsia" w:ascii="宋体" w:hAnsi="宋体" w:eastAsia="宋体" w:cs="宋体"/>
                <w:b/>
                <w:sz w:val="24"/>
                <w:szCs w:val="24"/>
              </w:rPr>
              <w:t>文件中的每一个条款及要求，因误读</w:t>
            </w:r>
            <w:r>
              <w:rPr>
                <w:rFonts w:hint="eastAsia" w:ascii="宋体" w:hAnsi="宋体" w:eastAsia="宋体" w:cs="宋体"/>
                <w:b/>
                <w:sz w:val="24"/>
                <w:szCs w:val="24"/>
                <w:lang w:eastAsia="zh-CN"/>
              </w:rPr>
              <w:t>采购</w:t>
            </w:r>
            <w:r>
              <w:rPr>
                <w:rFonts w:hint="eastAsia" w:ascii="宋体" w:hAnsi="宋体" w:eastAsia="宋体" w:cs="宋体"/>
                <w:b/>
                <w:sz w:val="24"/>
                <w:szCs w:val="24"/>
              </w:rPr>
              <w:t>文件而造成的后果，采购人概不负责。</w:t>
            </w:r>
          </w:p>
        </w:tc>
      </w:tr>
      <w:tr w14:paraId="6B13F5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4"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65AFC51">
            <w:pPr>
              <w:pStyle w:val="45"/>
              <w:keepNext w:val="0"/>
              <w:keepLines w:val="0"/>
              <w:pageBreakBefore w:val="0"/>
              <w:kinsoku/>
              <w:wordWrap/>
              <w:topLinePunct w:val="0"/>
              <w:bidi w:val="0"/>
              <w:spacing w:line="400" w:lineRule="exact"/>
              <w:ind w:right="23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35</w:t>
            </w:r>
          </w:p>
        </w:tc>
        <w:tc>
          <w:tcPr>
            <w:tcW w:w="1729" w:type="dxa"/>
            <w:tcBorders>
              <w:top w:val="single" w:color="auto" w:sz="8" w:space="0"/>
              <w:left w:val="single" w:color="auto" w:sz="8" w:space="0"/>
              <w:bottom w:val="single" w:color="auto" w:sz="8" w:space="0"/>
              <w:right w:val="single" w:color="auto" w:sz="8" w:space="0"/>
            </w:tcBorders>
            <w:noWrap w:val="0"/>
            <w:vAlign w:val="center"/>
          </w:tcPr>
          <w:p w14:paraId="0C9A785A">
            <w:pPr>
              <w:pStyle w:val="45"/>
              <w:keepNext w:val="0"/>
              <w:keepLines w:val="0"/>
              <w:pageBreakBefore w:val="0"/>
              <w:kinsoku/>
              <w:wordWrap/>
              <w:topLinePunct w:val="0"/>
              <w:bidi w:val="0"/>
              <w:spacing w:line="400" w:lineRule="exact"/>
              <w:ind w:left="96" w:leftChars="0"/>
              <w:jc w:val="center"/>
              <w:rPr>
                <w:rFonts w:hint="eastAsia" w:cs="宋体"/>
                <w:color w:val="auto"/>
                <w:sz w:val="24"/>
                <w:szCs w:val="24"/>
                <w:lang w:val="en-US" w:eastAsia="zh-CN"/>
              </w:rPr>
            </w:pPr>
            <w:r>
              <w:rPr>
                <w:rFonts w:hint="eastAsia" w:cs="宋体"/>
                <w:color w:val="auto"/>
                <w:sz w:val="24"/>
                <w:szCs w:val="24"/>
                <w:lang w:val="en-US" w:eastAsia="zh-CN"/>
              </w:rPr>
              <w:t>中标候选人</w:t>
            </w:r>
          </w:p>
          <w:p w14:paraId="053C8D77">
            <w:pPr>
              <w:pStyle w:val="45"/>
              <w:keepNext w:val="0"/>
              <w:keepLines w:val="0"/>
              <w:pageBreakBefore w:val="0"/>
              <w:kinsoku/>
              <w:wordWrap/>
              <w:topLinePunct w:val="0"/>
              <w:bidi w:val="0"/>
              <w:spacing w:line="400" w:lineRule="exact"/>
              <w:ind w:left="96" w:leftChars="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数量</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03C94B7A">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评审专家推荐</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名中标候选人。</w:t>
            </w:r>
          </w:p>
        </w:tc>
      </w:tr>
      <w:tr w14:paraId="591030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4"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7B8480ED">
            <w:pPr>
              <w:pStyle w:val="45"/>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p>
        </w:tc>
        <w:tc>
          <w:tcPr>
            <w:tcW w:w="1729" w:type="dxa"/>
            <w:tcBorders>
              <w:top w:val="single" w:color="auto" w:sz="8" w:space="0"/>
              <w:left w:val="single" w:color="auto" w:sz="8" w:space="0"/>
              <w:bottom w:val="single" w:color="auto" w:sz="8" w:space="0"/>
              <w:right w:val="single" w:color="auto" w:sz="8" w:space="0"/>
            </w:tcBorders>
            <w:noWrap w:val="0"/>
            <w:vAlign w:val="center"/>
          </w:tcPr>
          <w:p w14:paraId="4461367B">
            <w:pPr>
              <w:pStyle w:val="45"/>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rPr>
            </w:pPr>
            <w:r>
              <w:rPr>
                <w:rFonts w:hint="eastAsia" w:cs="宋体"/>
                <w:b/>
                <w:bCs/>
                <w:color w:val="auto"/>
                <w:sz w:val="24"/>
                <w:szCs w:val="24"/>
                <w:lang w:val="en-US" w:eastAsia="zh-CN"/>
              </w:rPr>
              <w:t>注</w:t>
            </w:r>
          </w:p>
        </w:tc>
        <w:tc>
          <w:tcPr>
            <w:tcW w:w="7922" w:type="dxa"/>
            <w:tcBorders>
              <w:top w:val="single" w:color="auto" w:sz="8" w:space="0"/>
              <w:left w:val="single" w:color="auto" w:sz="8" w:space="0"/>
              <w:bottom w:val="single" w:color="auto" w:sz="8" w:space="0"/>
              <w:right w:val="single" w:color="auto" w:sz="18" w:space="0"/>
            </w:tcBorders>
            <w:noWrap w:val="0"/>
            <w:vAlign w:val="center"/>
          </w:tcPr>
          <w:p w14:paraId="1F54BDC6">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lang w:val="en-US" w:eastAsia="zh-CN"/>
              </w:rPr>
            </w:pPr>
            <w:r>
              <w:rPr>
                <w:rFonts w:hint="eastAsia" w:ascii="宋体" w:hAnsi="宋体" w:cs="宋体"/>
                <w:b/>
                <w:bCs/>
                <w:sz w:val="24"/>
                <w:szCs w:val="24"/>
                <w:lang w:val="en-US" w:eastAsia="zh-CN"/>
              </w:rPr>
              <w:t>采购文件内容如有不一致的以投标人前附表为准。</w:t>
            </w:r>
          </w:p>
        </w:tc>
      </w:tr>
    </w:tbl>
    <w:p w14:paraId="385461AB">
      <w:pPr>
        <w:pStyle w:val="23"/>
        <w:numPr>
          <w:ilvl w:val="0"/>
          <w:numId w:val="0"/>
        </w:numPr>
        <w:ind w:leftChars="400"/>
        <w:rPr>
          <w:rFonts w:hint="eastAsia" w:ascii="宋体" w:hAnsi="宋体" w:eastAsia="宋体" w:cs="宋体"/>
          <w:lang w:val="en-US" w:eastAsia="zh-CN"/>
        </w:rPr>
      </w:pPr>
    </w:p>
    <w:p w14:paraId="1EF2AB82">
      <w:pPr>
        <w:pStyle w:val="23"/>
        <w:numPr>
          <w:ilvl w:val="0"/>
          <w:numId w:val="0"/>
        </w:numPr>
        <w:ind w:leftChars="400"/>
        <w:rPr>
          <w:rFonts w:hint="eastAsia" w:ascii="宋体" w:hAnsi="宋体" w:eastAsia="宋体" w:cs="宋体"/>
          <w:lang w:val="en-US" w:eastAsia="zh-CN"/>
        </w:rPr>
      </w:pPr>
    </w:p>
    <w:p w14:paraId="703DF996">
      <w:pPr>
        <w:pStyle w:val="23"/>
        <w:numPr>
          <w:ilvl w:val="0"/>
          <w:numId w:val="0"/>
        </w:numPr>
        <w:ind w:leftChars="400"/>
        <w:rPr>
          <w:rFonts w:hint="eastAsia" w:ascii="宋体" w:hAnsi="宋体" w:eastAsia="宋体" w:cs="宋体"/>
          <w:lang w:val="en-US" w:eastAsia="zh-CN"/>
        </w:rPr>
      </w:pPr>
    </w:p>
    <w:p w14:paraId="1B499F56">
      <w:pPr>
        <w:rPr>
          <w:rFonts w:hint="eastAsia"/>
        </w:rPr>
      </w:pPr>
    </w:p>
    <w:p w14:paraId="061332C5">
      <w:pPr>
        <w:pageBreakBefore w:val="0"/>
        <w:widowControl/>
        <w:kinsoku/>
        <w:wordWrap/>
        <w:overflowPunct/>
        <w:topLinePunct w:val="0"/>
        <w:bidi w:val="0"/>
        <w:spacing w:line="400" w:lineRule="exact"/>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第</w:t>
      </w:r>
      <w:r>
        <w:rPr>
          <w:rFonts w:hint="eastAsia" w:ascii="宋体" w:hAnsi="宋体" w:eastAsia="宋体" w:cs="宋体"/>
          <w:b/>
          <w:color w:val="000000"/>
          <w:sz w:val="36"/>
          <w:szCs w:val="36"/>
          <w:highlight w:val="none"/>
          <w:lang w:val="en-US" w:eastAsia="zh-CN"/>
        </w:rPr>
        <w:t>三</w:t>
      </w:r>
      <w:r>
        <w:rPr>
          <w:rFonts w:hint="eastAsia" w:ascii="宋体" w:hAnsi="宋体" w:eastAsia="宋体" w:cs="宋体"/>
          <w:b/>
          <w:color w:val="000000"/>
          <w:sz w:val="36"/>
          <w:szCs w:val="36"/>
          <w:highlight w:val="none"/>
        </w:rPr>
        <w:t>章 投标</w:t>
      </w:r>
      <w:r>
        <w:rPr>
          <w:rFonts w:hint="eastAsia" w:ascii="宋体" w:hAnsi="宋体" w:eastAsia="宋体" w:cs="宋体"/>
          <w:b/>
          <w:color w:val="000000"/>
          <w:sz w:val="36"/>
          <w:szCs w:val="36"/>
          <w:highlight w:val="none"/>
          <w:lang w:val="en-US" w:eastAsia="zh-CN"/>
        </w:rPr>
        <w:t>人</w:t>
      </w:r>
      <w:r>
        <w:rPr>
          <w:rFonts w:hint="eastAsia" w:ascii="宋体" w:hAnsi="宋体" w:eastAsia="宋体" w:cs="宋体"/>
          <w:b/>
          <w:color w:val="000000"/>
          <w:sz w:val="36"/>
          <w:szCs w:val="36"/>
          <w:highlight w:val="none"/>
        </w:rPr>
        <w:t>须知</w:t>
      </w:r>
    </w:p>
    <w:p w14:paraId="71336187">
      <w:pPr>
        <w:pageBreakBefore w:val="0"/>
        <w:kinsoku/>
        <w:wordWrap/>
        <w:overflowPunct/>
        <w:topLinePunct w:val="0"/>
        <w:bidi w:val="0"/>
        <w:adjustRightInd w:val="0"/>
        <w:snapToGrid w:val="0"/>
        <w:spacing w:line="40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一、总  则</w:t>
      </w:r>
    </w:p>
    <w:p w14:paraId="69EF8879">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1、适用范围</w:t>
      </w:r>
    </w:p>
    <w:p w14:paraId="45F8237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1.1 </w:t>
      </w:r>
      <w:r>
        <w:rPr>
          <w:rFonts w:hint="eastAsia" w:ascii="宋体" w:hAnsi="宋体" w:eastAsia="宋体" w:cs="宋体"/>
          <w:sz w:val="24"/>
          <w:szCs w:val="24"/>
          <w:highlight w:val="none"/>
        </w:rPr>
        <w:t>本次招标采取公开招标方式，本招标文件仅适用于招标公告中所述项目。</w:t>
      </w:r>
    </w:p>
    <w:p w14:paraId="1F8BBB36">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2、合格的投标人</w:t>
      </w:r>
    </w:p>
    <w:p w14:paraId="5BD88822">
      <w:pPr>
        <w:pageBreakBefore w:val="0"/>
        <w:kinsoku/>
        <w:wordWrap/>
        <w:overflowPunct/>
        <w:topLinePunct w:val="0"/>
        <w:bidi w:val="0"/>
        <w:adjustRightInd w:val="0"/>
        <w:snapToGrid w:val="0"/>
        <w:spacing w:beforeAutospacing="0" w:afterAutospacing="0" w:line="400" w:lineRule="exact"/>
        <w:ind w:firstLine="463" w:firstLineChars="19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2.1投标人资格要求：</w:t>
      </w:r>
    </w:p>
    <w:p w14:paraId="7631396D">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2.1.1.满足《中华人民共和国政府采购法》第二十二条规定；</w:t>
      </w:r>
    </w:p>
    <w:p w14:paraId="59CFF874">
      <w:pPr>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2.1.2.落实政府采购政策需满足的资格要求：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本项目</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专门面向</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中小</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企业</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p>
    <w:p w14:paraId="49B4276C">
      <w:pPr>
        <w:pStyle w:val="21"/>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42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2.1.3.本项目的特定资格要求：</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投标人须具备市政公用工程施工总承包三级及以上资质，项目负责人具备市政工程专业注册建造师贰级及以上执业资格；（2）投标人近三年有相应的业绩，并在人员、设备、资金等方面具有相应的施工能力，有安全生产许可证，区外进疆建筑企业办理信息报送册；（3）凡参加本次招标项目的投标人，需提供信用中国网（www.creditchina.gov.cn）、中国政府采购网（www.ccgp.gov.cn）、国家企业信用信息公示系统（www.gsxt.gov.cn）网络查询截图加盖投标企业公章，近三年如被列入失信被执行人、重大税收违法案件当事人名单、政府采购严重违法失信行为记录名单及其他不符合规定条件的供应商，将拒绝其参加本次政府采购活动；（4）单位负责人为同一人或者存在直接控股、管理关系的不同供应商，不得参加同一合同项下的政府采购活动。（5）本项目不接受联合体投标。</w:t>
      </w:r>
    </w:p>
    <w:p w14:paraId="2E717E58">
      <w:pPr>
        <w:pageBreakBefore w:val="0"/>
        <w:kinsoku/>
        <w:wordWrap/>
        <w:overflowPunct/>
        <w:topLinePunct w:val="0"/>
        <w:autoSpaceDE w:val="0"/>
        <w:autoSpaceDN w:val="0"/>
        <w:bidi w:val="0"/>
        <w:adjustRightInd w:val="0"/>
        <w:snapToGrid w:val="0"/>
        <w:spacing w:beforeAutospacing="0" w:afterAutospacing="0" w:line="400" w:lineRule="exact"/>
        <w:ind w:firstLine="241" w:firstLineChars="100"/>
        <w:rPr>
          <w:rFonts w:hint="eastAsia" w:ascii="宋体" w:hAnsi="宋体" w:eastAsia="宋体" w:cs="宋体"/>
          <w:b/>
          <w:color w:val="000000"/>
          <w:sz w:val="24"/>
          <w:szCs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2.2 投标人在本次招标活动中，必须遵守</w:t>
      </w:r>
      <w:r>
        <w:rPr>
          <w:rFonts w:hint="eastAsia" w:ascii="宋体" w:hAnsi="宋体" w:eastAsia="宋体" w:cs="宋体"/>
          <w:b/>
          <w:color w:val="000000"/>
          <w:sz w:val="24"/>
          <w:szCs w:val="24"/>
          <w:highlight w:val="none"/>
        </w:rPr>
        <w:t>《中华人民共和国招标投标法》、《中华人民共和国政府招标法》及相关法律的规定。</w:t>
      </w:r>
    </w:p>
    <w:p w14:paraId="0C499A7E">
      <w:pPr>
        <w:pageBreakBefore w:val="0"/>
        <w:numPr>
          <w:ilvl w:val="0"/>
          <w:numId w:val="2"/>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定义</w:t>
      </w:r>
    </w:p>
    <w:p w14:paraId="03828A5A">
      <w:pPr>
        <w:pageBreakBefore w:val="0"/>
        <w:kinsoku/>
        <w:wordWrap/>
        <w:overflowPunct/>
        <w:topLinePunct w:val="0"/>
        <w:autoSpaceDE w:val="0"/>
        <w:autoSpaceDN w:val="0"/>
        <w:bidi w:val="0"/>
        <w:adjustRightInd w:val="0"/>
        <w:snapToGrid w:val="0"/>
        <w:spacing w:beforeAutospacing="0" w:afterAutospacing="0"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3.1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”系指合同中明确规定的实际购买货物和服务的法人、行政事业单位、团体组织。</w:t>
      </w:r>
      <w:r>
        <w:rPr>
          <w:rFonts w:hint="eastAsia" w:ascii="宋体" w:hAnsi="宋体" w:eastAsia="宋体" w:cs="宋体"/>
          <w:color w:val="000000"/>
          <w:sz w:val="24"/>
          <w:szCs w:val="24"/>
          <w:highlight w:val="none"/>
          <w:lang w:val="en-US" w:eastAsia="zh-CN"/>
        </w:rPr>
        <w:t>本项目中系指</w:t>
      </w:r>
      <w:r>
        <w:rPr>
          <w:rFonts w:hint="eastAsia" w:ascii="宋体" w:hAnsi="宋体" w:cs="宋体"/>
          <w:color w:val="000000"/>
          <w:sz w:val="24"/>
          <w:szCs w:val="24"/>
          <w:highlight w:val="none"/>
          <w:lang w:val="en-US" w:eastAsia="zh-CN"/>
        </w:rPr>
        <w:t>吐鲁番市高昌区火焰山镇人民政府</w:t>
      </w:r>
      <w:r>
        <w:rPr>
          <w:rFonts w:hint="eastAsia" w:ascii="宋体" w:hAnsi="宋体" w:eastAsia="宋体" w:cs="宋体"/>
          <w:color w:val="000000"/>
          <w:sz w:val="24"/>
          <w:szCs w:val="24"/>
          <w:highlight w:val="none"/>
          <w:lang w:val="en-US" w:eastAsia="zh-CN"/>
        </w:rPr>
        <w:t>。</w:t>
      </w:r>
    </w:p>
    <w:p w14:paraId="3B44295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 “投标人”系指响应招标，并按照招标文件的要求参与</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任务竞争的法人，中标后即为中标人，签定合同后即为卖方。</w:t>
      </w:r>
    </w:p>
    <w:p w14:paraId="45FCD32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“招标</w:t>
      </w:r>
      <w:r>
        <w:rPr>
          <w:rFonts w:hint="eastAsia" w:ascii="宋体" w:hAnsi="宋体" w:eastAsia="宋体" w:cs="宋体"/>
          <w:color w:val="000000"/>
          <w:sz w:val="24"/>
          <w:szCs w:val="24"/>
          <w:highlight w:val="none"/>
          <w:lang w:val="en-US" w:eastAsia="zh-CN"/>
        </w:rPr>
        <w:t>代理</w:t>
      </w:r>
      <w:r>
        <w:rPr>
          <w:rFonts w:hint="eastAsia" w:ascii="宋体" w:hAnsi="宋体" w:eastAsia="宋体" w:cs="宋体"/>
          <w:color w:val="000000"/>
          <w:sz w:val="24"/>
          <w:szCs w:val="24"/>
          <w:highlight w:val="none"/>
        </w:rPr>
        <w:t>机构”为</w:t>
      </w:r>
      <w:r>
        <w:rPr>
          <w:rFonts w:hint="eastAsia" w:ascii="宋体" w:hAnsi="宋体" w:eastAsia="宋体" w:cs="宋体"/>
          <w:color w:val="000000"/>
          <w:sz w:val="24"/>
          <w:szCs w:val="24"/>
          <w:highlight w:val="none"/>
          <w:lang w:eastAsia="zh-CN"/>
        </w:rPr>
        <w:t>新疆华域天恒工程管理有限公司</w:t>
      </w:r>
      <w:r>
        <w:rPr>
          <w:rFonts w:hint="eastAsia" w:ascii="宋体" w:hAnsi="宋体" w:eastAsia="宋体" w:cs="宋体"/>
          <w:color w:val="000000"/>
          <w:sz w:val="24"/>
          <w:szCs w:val="24"/>
          <w:highlight w:val="none"/>
        </w:rPr>
        <w:t>。</w:t>
      </w:r>
    </w:p>
    <w:p w14:paraId="0D6D471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 “货物”系指卖方按合同要求，须向买方提供的一切产品及其它技术资料和材料。</w:t>
      </w:r>
    </w:p>
    <w:p w14:paraId="1F97DBB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“服务”系指合同规定卖方须承担的技术协助、本地化开发、运输、安装、调试和交付使用后免费维护期内及质保期外应履行的义务及售后服务等其他类似的义务。</w:t>
      </w:r>
    </w:p>
    <w:p w14:paraId="2C9443A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“卖方”系指提供合同货物和服务的法人。</w:t>
      </w:r>
    </w:p>
    <w:p w14:paraId="73C75DF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“买方”系指购买</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的单位。</w:t>
      </w:r>
    </w:p>
    <w:p w14:paraId="391AD24E">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4、投标费用</w:t>
      </w:r>
    </w:p>
    <w:p w14:paraId="0F07EA9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 无论投标结果如何，投标人须自行承担所有与参加投标有关的全部费用。</w:t>
      </w:r>
    </w:p>
    <w:p w14:paraId="7A388DD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二、招标文件</w:t>
      </w:r>
    </w:p>
    <w:p w14:paraId="5BBD7EE6">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5、招标文件</w:t>
      </w:r>
    </w:p>
    <w:p w14:paraId="4677420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招标文件用以阐明所招标的内容，</w:t>
      </w:r>
      <w:r>
        <w:rPr>
          <w:rFonts w:hint="eastAsia" w:ascii="宋体" w:hAnsi="宋体" w:eastAsia="宋体" w:cs="宋体"/>
          <w:color w:val="000000"/>
          <w:sz w:val="24"/>
          <w:szCs w:val="24"/>
          <w:highlight w:val="none"/>
          <w:lang w:val="en-US" w:eastAsia="zh-CN"/>
        </w:rPr>
        <w:t>招标文件内容</w:t>
      </w:r>
      <w:r>
        <w:rPr>
          <w:rFonts w:hint="eastAsia" w:ascii="宋体" w:hAnsi="宋体" w:eastAsia="宋体" w:cs="宋体"/>
          <w:color w:val="000000"/>
          <w:sz w:val="24"/>
          <w:szCs w:val="24"/>
          <w:highlight w:val="none"/>
        </w:rPr>
        <w:t>包括：</w:t>
      </w:r>
    </w:p>
    <w:p w14:paraId="23DA7D6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5.1.1</w:t>
      </w:r>
      <w:r>
        <w:rPr>
          <w:rFonts w:hint="eastAsia" w:ascii="宋体" w:hAnsi="宋体" w:eastAsia="宋体" w:cs="宋体"/>
          <w:color w:val="000000"/>
          <w:sz w:val="24"/>
          <w:szCs w:val="24"/>
          <w:highlight w:val="none"/>
        </w:rPr>
        <w:t>招标公告</w:t>
      </w:r>
    </w:p>
    <w:p w14:paraId="06C2467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5.1.2</w:t>
      </w:r>
      <w:r>
        <w:rPr>
          <w:rFonts w:hint="eastAsia" w:ascii="宋体" w:hAnsi="宋体" w:eastAsia="宋体" w:cs="宋体"/>
          <w:color w:val="000000"/>
          <w:sz w:val="24"/>
          <w:szCs w:val="24"/>
          <w:highlight w:val="none"/>
        </w:rPr>
        <w:t>投标人须知前附表</w:t>
      </w:r>
    </w:p>
    <w:p w14:paraId="7B56E6A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5.1.3</w:t>
      </w:r>
      <w:r>
        <w:rPr>
          <w:rFonts w:hint="eastAsia" w:ascii="宋体" w:hAnsi="宋体" w:eastAsia="宋体" w:cs="宋体"/>
          <w:color w:val="000000"/>
          <w:sz w:val="24"/>
          <w:szCs w:val="24"/>
          <w:highlight w:val="none"/>
        </w:rPr>
        <w:t>投标人须知</w:t>
      </w:r>
    </w:p>
    <w:p w14:paraId="6BDEF5D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5.1.4</w:t>
      </w:r>
      <w:r>
        <w:rPr>
          <w:rFonts w:hint="eastAsia" w:ascii="宋体" w:hAnsi="宋体" w:eastAsia="宋体" w:cs="宋体"/>
          <w:color w:val="000000"/>
          <w:sz w:val="24"/>
          <w:szCs w:val="24"/>
          <w:highlight w:val="none"/>
        </w:rPr>
        <w:t>合同文本格式</w:t>
      </w:r>
    </w:p>
    <w:p w14:paraId="6FF1D0E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5.1.5</w:t>
      </w:r>
      <w:r>
        <w:rPr>
          <w:rFonts w:hint="eastAsia" w:ascii="宋体" w:hAnsi="宋体" w:eastAsia="宋体" w:cs="宋体"/>
          <w:color w:val="000000"/>
          <w:sz w:val="24"/>
          <w:szCs w:val="24"/>
          <w:highlight w:val="none"/>
        </w:rPr>
        <w:t>采购需求</w:t>
      </w:r>
    </w:p>
    <w:p w14:paraId="15FEAF5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5.1.6</w:t>
      </w:r>
      <w:r>
        <w:rPr>
          <w:rFonts w:hint="eastAsia" w:ascii="宋体" w:hAnsi="宋体" w:eastAsia="宋体" w:cs="宋体"/>
          <w:color w:val="000000"/>
          <w:sz w:val="24"/>
          <w:szCs w:val="24"/>
          <w:highlight w:val="none"/>
        </w:rPr>
        <w:t>评标方法及评标标准</w:t>
      </w:r>
    </w:p>
    <w:p w14:paraId="334036A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5.1.7</w:t>
      </w:r>
      <w:r>
        <w:rPr>
          <w:rFonts w:hint="eastAsia" w:ascii="宋体" w:hAnsi="宋体" w:eastAsia="宋体" w:cs="宋体"/>
          <w:color w:val="000000"/>
          <w:sz w:val="24"/>
          <w:szCs w:val="24"/>
          <w:highlight w:val="none"/>
        </w:rPr>
        <w:t>投标文件格式</w:t>
      </w:r>
    </w:p>
    <w:p w14:paraId="1261DA5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5.2投标人应仔细阅读招标文件中的所有内容。</w:t>
      </w:r>
      <w:r>
        <w:rPr>
          <w:rFonts w:hint="eastAsia" w:ascii="宋体" w:hAnsi="宋体" w:eastAsia="宋体" w:cs="宋体"/>
          <w:color w:val="000000"/>
          <w:sz w:val="24"/>
          <w:szCs w:val="24"/>
          <w:highlight w:val="none"/>
          <w:lang w:eastAsia="zh-CN"/>
        </w:rPr>
        <w:t>招标代理机构</w:t>
      </w:r>
      <w:r>
        <w:rPr>
          <w:rFonts w:hint="eastAsia" w:ascii="宋体" w:hAnsi="宋体" w:eastAsia="宋体" w:cs="宋体"/>
          <w:color w:val="000000"/>
          <w:sz w:val="24"/>
          <w:szCs w:val="24"/>
          <w:highlight w:val="none"/>
        </w:rPr>
        <w:t>将拒绝未按招标文件的要求提供全部资料或提交的投标文件未对招标文件作出实质性响应的投标。</w:t>
      </w:r>
    </w:p>
    <w:p w14:paraId="24E04B1F">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6、招标文件的澄清</w:t>
      </w:r>
      <w:r>
        <w:rPr>
          <w:rFonts w:hint="eastAsia" w:ascii="宋体" w:hAnsi="宋体" w:eastAsia="宋体" w:cs="宋体"/>
          <w:b/>
          <w:color w:val="000000"/>
          <w:sz w:val="24"/>
          <w:szCs w:val="24"/>
          <w:highlight w:val="none"/>
          <w:lang w:eastAsia="zh-CN"/>
        </w:rPr>
        <w:t>或者修改</w:t>
      </w:r>
    </w:p>
    <w:p w14:paraId="19B939E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.1澄清或者修改的内容可能影响投标文件编制的，在投标截止期十五日前的任何时间，招标方可主动或依据投标人要求澄清的问题而修改或补充招标文件，并以书面形式</w:t>
      </w:r>
      <w:r>
        <w:rPr>
          <w:rFonts w:hint="eastAsia" w:ascii="宋体" w:hAnsi="宋体" w:eastAsia="宋体" w:cs="宋体"/>
          <w:b w:val="0"/>
          <w:bCs/>
          <w:color w:val="000000"/>
          <w:sz w:val="24"/>
          <w:szCs w:val="24"/>
          <w:highlight w:val="none"/>
          <w:lang w:eastAsia="zh-CN"/>
        </w:rPr>
        <w:t>及</w:t>
      </w:r>
      <w:r>
        <w:rPr>
          <w:rFonts w:hint="eastAsia" w:ascii="宋体" w:hAnsi="宋体" w:eastAsia="宋体" w:cs="宋体"/>
          <w:b w:val="0"/>
          <w:bCs/>
          <w:color w:val="000000"/>
          <w:sz w:val="24"/>
          <w:szCs w:val="24"/>
          <w:highlight w:val="none"/>
        </w:rPr>
        <w:t>网上公告通知所有投标人，投标人在收到该通知后应立即以</w:t>
      </w:r>
      <w:r>
        <w:rPr>
          <w:rFonts w:hint="eastAsia" w:ascii="宋体" w:hAnsi="宋体" w:eastAsia="宋体" w:cs="宋体"/>
          <w:b w:val="0"/>
          <w:bCs/>
          <w:color w:val="000000"/>
          <w:sz w:val="24"/>
          <w:szCs w:val="24"/>
          <w:highlight w:val="none"/>
          <w:lang w:eastAsia="zh-CN"/>
        </w:rPr>
        <w:t>书面</w:t>
      </w:r>
      <w:r>
        <w:rPr>
          <w:rFonts w:hint="eastAsia" w:ascii="宋体" w:hAnsi="宋体" w:eastAsia="宋体" w:cs="宋体"/>
          <w:b w:val="0"/>
          <w:bCs/>
          <w:color w:val="000000"/>
          <w:sz w:val="24"/>
          <w:szCs w:val="24"/>
          <w:highlight w:val="none"/>
        </w:rPr>
        <w:t>形式予以确认。</w:t>
      </w:r>
    </w:p>
    <w:p w14:paraId="085E4B5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.2为使投标人在准备投标时有适当的时间考虑投标文件的修改，招标方有权决定推迟投标截止时间和开标时间，并将此变更通知所有的投标人。</w:t>
      </w:r>
    </w:p>
    <w:p w14:paraId="71A0E8C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.3招标文件的修改和补充文件</w:t>
      </w:r>
      <w:r>
        <w:rPr>
          <w:rFonts w:hint="eastAsia" w:ascii="宋体" w:hAnsi="宋体" w:eastAsia="宋体" w:cs="宋体"/>
          <w:color w:val="000000"/>
          <w:sz w:val="24"/>
          <w:szCs w:val="24"/>
          <w:highlight w:val="none"/>
        </w:rPr>
        <w:t>将在新疆政府采购网公布</w:t>
      </w:r>
      <w:r>
        <w:rPr>
          <w:rFonts w:hint="eastAsia" w:ascii="宋体" w:hAnsi="宋体" w:eastAsia="宋体" w:cs="宋体"/>
          <w:color w:val="000000"/>
          <w:sz w:val="24"/>
          <w:szCs w:val="24"/>
          <w:highlight w:val="none"/>
          <w:lang w:eastAsia="zh-CN"/>
        </w:rPr>
        <w:t>，修改、补充</w:t>
      </w:r>
      <w:r>
        <w:rPr>
          <w:rFonts w:hint="eastAsia" w:ascii="宋体" w:hAnsi="宋体" w:eastAsia="宋体" w:cs="宋体"/>
          <w:b w:val="0"/>
          <w:bCs/>
          <w:color w:val="000000"/>
          <w:sz w:val="24"/>
          <w:szCs w:val="24"/>
          <w:highlight w:val="none"/>
        </w:rPr>
        <w:t>将构成招标文件的一部分，并且对投标人具有优先约束力</w:t>
      </w:r>
      <w:r>
        <w:rPr>
          <w:rFonts w:hint="eastAsia" w:ascii="宋体" w:hAnsi="宋体" w:eastAsia="宋体" w:cs="宋体"/>
          <w:b w:val="0"/>
          <w:bCs/>
          <w:color w:val="000000"/>
          <w:sz w:val="24"/>
          <w:szCs w:val="24"/>
          <w:highlight w:val="none"/>
          <w:lang w:eastAsia="zh-CN"/>
        </w:rPr>
        <w:t>。</w:t>
      </w:r>
    </w:p>
    <w:p w14:paraId="63F4F1C2">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w:t>
      </w:r>
      <w:r>
        <w:rPr>
          <w:rFonts w:hint="eastAsia" w:ascii="宋体" w:hAnsi="宋体" w:eastAsia="宋体" w:cs="宋体"/>
          <w:b/>
          <w:sz w:val="24"/>
          <w:szCs w:val="24"/>
        </w:rPr>
        <w:t>询问和质疑</w:t>
      </w:r>
    </w:p>
    <w:p w14:paraId="2CBF91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.1投标人对政府采购活动事项有疑问的，可以提出询问；</w:t>
      </w:r>
    </w:p>
    <w:p w14:paraId="4CCC84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.2投标人认为采购文件、采购过程、中标或者中标结果使自己的权益受到损害的，可以在知道或者应知权益受到损害之日起7个工作日内，提出质疑。</w:t>
      </w:r>
    </w:p>
    <w:p w14:paraId="460281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.3接收质疑函的方式：投标人应提交书面质疑函，投标人应在法定质疑期内一次性提出针对同一采购程序环节的质疑。</w:t>
      </w:r>
    </w:p>
    <w:p w14:paraId="43893A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.4投标人提出质疑应当提交质疑函和必要的证明材料。质疑函应当包括下列内容：</w:t>
      </w:r>
    </w:p>
    <w:p w14:paraId="3B5162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（1）投标人的姓名或者名称、地址、邮编、联系人及联系电话；</w:t>
      </w:r>
    </w:p>
    <w:p w14:paraId="60766C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（2）质疑项目的名称、编号；</w:t>
      </w:r>
    </w:p>
    <w:p w14:paraId="4284A1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441A08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（4）事实依据；</w:t>
      </w:r>
    </w:p>
    <w:p w14:paraId="7FC545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（5）必要的法律依据；</w:t>
      </w:r>
    </w:p>
    <w:p w14:paraId="479408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（6）提出质疑的日期。</w:t>
      </w:r>
    </w:p>
    <w:p w14:paraId="6170D9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.5投标人为自然人的，质疑函应当由本人签字；投标人为法人或者其他组织的，质疑函应当由法定代表人、主要负责人，或者其授权代表签字或者盖章，并加盖公章。</w:t>
      </w:r>
    </w:p>
    <w:p w14:paraId="78F9D7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6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p>
    <w:p w14:paraId="7C4D7A70">
      <w:pPr>
        <w:pStyle w:val="23"/>
        <w:rPr>
          <w:rFonts w:hint="eastAsia" w:ascii="宋体" w:hAnsi="宋体" w:eastAsia="宋体" w:cs="宋体"/>
          <w:lang w:val="en-US" w:eastAsia="zh-CN"/>
        </w:rPr>
        <w:sectPr>
          <w:footerReference r:id="rId5" w:type="default"/>
          <w:pgSz w:w="11906" w:h="16838"/>
          <w:pgMar w:top="1928" w:right="1531" w:bottom="1701" w:left="1531" w:header="851" w:footer="992" w:gutter="0"/>
          <w:pgNumType w:fmt="decimal" w:start="1"/>
          <w:cols w:space="720" w:num="1"/>
          <w:docGrid w:type="lines" w:linePitch="312" w:charSpace="0"/>
        </w:sectPr>
      </w:pPr>
    </w:p>
    <w:p w14:paraId="3EE53C7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三、投标文件的编制</w:t>
      </w:r>
    </w:p>
    <w:p w14:paraId="4769D56C">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 投标文件的编写</w:t>
      </w:r>
    </w:p>
    <w:p w14:paraId="6046695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rPr>
        <w:t>.1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14:paraId="1B7405F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rPr>
        <w:t>.2采购人或采购代理机构有权随时检查投标人所提供的全部资料的真实性。如果发现投标人在投标资料中使用有虚假的证明材料的，由此所产生的经济责任和法律责任由投标人自行承担。</w:t>
      </w:r>
    </w:p>
    <w:p w14:paraId="5FC0B37E">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9、 投标的语言</w:t>
      </w:r>
    </w:p>
    <w:p w14:paraId="6DE86C84">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9.1 投标人提交的投标文件以及投标人与采购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就有关投标的所有来往通知、函件和文件均应使用简体中文。</w:t>
      </w:r>
    </w:p>
    <w:p w14:paraId="71AE749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9.2投标文件中使用的计量单位除招标文件中有特殊规定外，一律使用法定计量单位。</w:t>
      </w:r>
    </w:p>
    <w:p w14:paraId="444B1BE2">
      <w:pPr>
        <w:pageBreakBefore w:val="0"/>
        <w:kinsoku/>
        <w:wordWrap/>
        <w:overflowPunct/>
        <w:topLinePunct w:val="0"/>
        <w:bidi w:val="0"/>
        <w:adjustRightInd w:val="0"/>
        <w:snapToGrid w:val="0"/>
        <w:spacing w:beforeAutospacing="0" w:afterAutospacing="0" w:line="400" w:lineRule="exact"/>
        <w:ind w:firstLine="56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10、投标文件的格式</w:t>
      </w:r>
    </w:p>
    <w:p w14:paraId="4E28038E">
      <w:pPr>
        <w:pageBreakBefore w:val="0"/>
        <w:kinsoku/>
        <w:wordWrap/>
        <w:overflowPunct/>
        <w:topLinePunct w:val="0"/>
        <w:bidi w:val="0"/>
        <w:adjustRightInd w:val="0"/>
        <w:snapToGrid w:val="0"/>
        <w:spacing w:beforeAutospacing="0" w:afterAutospacing="0" w:line="400" w:lineRule="exact"/>
        <w:ind w:firstLine="5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10.1投标人应按招标文件提供的格式及投标报价说明完整地填写所提供的产品、品牌、服务、数量及价格。</w:t>
      </w:r>
    </w:p>
    <w:p w14:paraId="2069D92C">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w:t>
      </w:r>
      <w:r>
        <w:rPr>
          <w:rFonts w:hint="eastAsia" w:ascii="宋体" w:hAnsi="宋体" w:eastAsia="宋体" w:cs="宋体"/>
          <w:color w:val="auto"/>
          <w:sz w:val="24"/>
          <w:szCs w:val="24"/>
          <w:highlight w:val="none"/>
        </w:rPr>
        <w:t>废标处理。</w:t>
      </w:r>
    </w:p>
    <w:p w14:paraId="55C40586">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11、投标文件的组成和顺序:投标文件由经济报价部分、商务部分、技术部分三部分组成。开标一览表需按招标文件提供的格式填写，统一规范，并单独提供且与投标文件中提供的一致。</w:t>
      </w:r>
    </w:p>
    <w:p w14:paraId="6ACFD5EC">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11.1.1</w:t>
      </w:r>
      <w:r>
        <w:rPr>
          <w:rFonts w:hint="eastAsia" w:ascii="宋体" w:hAnsi="宋体" w:eastAsia="宋体" w:cs="宋体"/>
          <w:color w:val="000000"/>
          <w:sz w:val="24"/>
          <w:szCs w:val="24"/>
          <w:highlight w:val="none"/>
          <w:lang w:val="en-US" w:eastAsia="zh-CN"/>
        </w:rPr>
        <w:t>投标书</w:t>
      </w:r>
    </w:p>
    <w:p w14:paraId="1412C9F8">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开标一览表；</w:t>
      </w:r>
    </w:p>
    <w:p w14:paraId="0DD991F5">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报价明细表；</w:t>
      </w:r>
    </w:p>
    <w:p w14:paraId="1BF7128B">
      <w:pPr>
        <w:pageBreakBefore w:val="0"/>
        <w:widowControl/>
        <w:kinsoku/>
        <w:wordWrap/>
        <w:overflowPunct/>
        <w:topLinePunct w:val="0"/>
        <w:bidi w:val="0"/>
        <w:adjustRightInd w:val="0"/>
        <w:snapToGrid w:val="0"/>
        <w:spacing w:line="400" w:lineRule="exact"/>
        <w:ind w:firstLine="463" w:firstLineChars="19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11.2商务部分：</w:t>
      </w:r>
    </w:p>
    <w:p w14:paraId="291A9BC9">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11.2.1投标方的资格声明</w:t>
      </w:r>
    </w:p>
    <w:p w14:paraId="52A7D287">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投标单位简介</w:t>
      </w:r>
    </w:p>
    <w:p w14:paraId="495CBB08">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11.2.3</w:t>
      </w:r>
      <w:r>
        <w:rPr>
          <w:rFonts w:hint="eastAsia" w:ascii="宋体" w:hAnsi="宋体" w:eastAsia="宋体" w:cs="宋体"/>
          <w:color w:val="000000"/>
          <w:sz w:val="24"/>
          <w:szCs w:val="24"/>
          <w:highlight w:val="none"/>
        </w:rPr>
        <w:t>法人营业执照函</w:t>
      </w:r>
    </w:p>
    <w:p w14:paraId="04440B04">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法定代表人证明书</w:t>
      </w:r>
    </w:p>
    <w:p w14:paraId="383EEAA8">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法定代表人授权委托书</w:t>
      </w:r>
    </w:p>
    <w:p w14:paraId="657607CC">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在</w:t>
      </w:r>
      <w:r>
        <w:rPr>
          <w:rFonts w:hint="eastAsia" w:ascii="宋体" w:hAnsi="宋体" w:eastAsia="宋体" w:cs="宋体"/>
          <w:color w:val="000000"/>
          <w:sz w:val="24"/>
          <w:szCs w:val="24"/>
          <w:highlight w:val="none"/>
        </w:rPr>
        <w:t>本项目投标截止期前在“信用中国（</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www.creditchina.gov.cn）”“中国政府</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网（www.ccgp.gov.cn）”</w:t>
      </w:r>
      <w:r>
        <w:rPr>
          <w:rFonts w:hint="eastAsia" w:ascii="宋体" w:hAnsi="宋体" w:eastAsia="宋体" w:cs="宋体"/>
          <w:color w:val="000000"/>
          <w:sz w:val="24"/>
          <w:szCs w:val="24"/>
          <w:highlight w:val="none"/>
          <w:lang w:val="en-US" w:eastAsia="zh-CN"/>
        </w:rPr>
        <w:t>国家企业信用信息公示系统（www.gsxt.gov.cn）网络查询截图加盖投标企业公章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fldChar w:fldCharType="end"/>
      </w:r>
    </w:p>
    <w:p w14:paraId="385AEF31">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11.2.7近三年的业绩表及相关证明</w:t>
      </w:r>
    </w:p>
    <w:p w14:paraId="15517F13">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11.2.8项目管理机构</w:t>
      </w:r>
    </w:p>
    <w:p w14:paraId="0C3523E8">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11.2.9</w:t>
      </w:r>
      <w:r>
        <w:rPr>
          <w:rFonts w:hint="eastAsia" w:ascii="宋体" w:hAnsi="宋体" w:cs="宋体"/>
          <w:color w:val="000000" w:themeColor="text1"/>
          <w:sz w:val="24"/>
          <w:szCs w:val="24"/>
          <w:highlight w:val="none"/>
          <w:lang w:val="en-US" w:eastAsia="zh-CN"/>
          <w14:textFill>
            <w14:solidFill>
              <w14:schemeClr w14:val="tx1"/>
            </w14:solidFill>
          </w14:textFill>
        </w:rPr>
        <w:t>质保期</w:t>
      </w:r>
    </w:p>
    <w:p w14:paraId="1B288CB9">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商务条款偏离表</w:t>
      </w:r>
    </w:p>
    <w:p w14:paraId="384674C1">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投标单位（投标人）反商业贿赂承诺书</w:t>
      </w:r>
    </w:p>
    <w:p w14:paraId="0F84B72C">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投标人企业类型声明函</w:t>
      </w:r>
    </w:p>
    <w:p w14:paraId="1D187AAE">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11.3 </w:t>
      </w:r>
      <w:r>
        <w:rPr>
          <w:rFonts w:hint="eastAsia" w:ascii="宋体" w:hAnsi="宋体" w:eastAsia="宋体" w:cs="宋体"/>
          <w:b/>
          <w:color w:val="000000" w:themeColor="text1"/>
          <w:sz w:val="24"/>
          <w:szCs w:val="24"/>
          <w:highlight w:val="none"/>
          <w14:textFill>
            <w14:solidFill>
              <w14:schemeClr w14:val="tx1"/>
            </w14:solidFill>
          </w14:textFill>
        </w:rPr>
        <w:t>技术部分：</w:t>
      </w:r>
    </w:p>
    <w:p w14:paraId="15E85524">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11.3.1</w:t>
      </w:r>
      <w:r>
        <w:rPr>
          <w:rFonts w:hint="eastAsia" w:ascii="宋体" w:hAnsi="宋体" w:eastAsia="宋体" w:cs="宋体"/>
          <w:color w:val="000000" w:themeColor="text1"/>
          <w:sz w:val="24"/>
          <w:szCs w:val="24"/>
          <w:highlight w:val="none"/>
          <w14:textFill>
            <w14:solidFill>
              <w14:schemeClr w14:val="tx1"/>
            </w14:solidFill>
          </w14:textFill>
        </w:rPr>
        <w:t>项目实施方案</w:t>
      </w:r>
    </w:p>
    <w:p w14:paraId="47D5B4D9">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11.3.2</w:t>
      </w:r>
      <w:r>
        <w:rPr>
          <w:rFonts w:hint="eastAsia" w:ascii="宋体" w:hAnsi="宋体" w:eastAsia="宋体" w:cs="宋体"/>
          <w:color w:val="000000" w:themeColor="text1"/>
          <w:sz w:val="24"/>
          <w:szCs w:val="24"/>
          <w:highlight w:val="none"/>
          <w14:textFill>
            <w14:solidFill>
              <w14:schemeClr w14:val="tx1"/>
            </w14:solidFill>
          </w14:textFill>
        </w:rPr>
        <w:t>供货进度计划及保证</w:t>
      </w:r>
    </w:p>
    <w:p w14:paraId="054CA8D1">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11.3.3</w:t>
      </w:r>
      <w:r>
        <w:rPr>
          <w:rFonts w:hint="eastAsia" w:ascii="宋体" w:hAnsi="宋体" w:eastAsia="宋体" w:cs="宋体"/>
          <w:color w:val="000000" w:themeColor="text1"/>
          <w:sz w:val="24"/>
          <w:szCs w:val="24"/>
          <w:highlight w:val="none"/>
          <w14:textFill>
            <w14:solidFill>
              <w14:schemeClr w14:val="tx1"/>
            </w14:solidFill>
          </w14:textFill>
        </w:rPr>
        <w:t>售后服务规划方案</w:t>
      </w:r>
    </w:p>
    <w:p w14:paraId="427A3FBE">
      <w:pPr>
        <w:pageBreakBefore w:val="0"/>
        <w:widowControl/>
        <w:kinsoku/>
        <w:wordWrap/>
        <w:overflowPunct/>
        <w:topLinePunct w:val="0"/>
        <w:bidi w:val="0"/>
        <w:adjustRightInd w:val="0"/>
        <w:snapToGrid w:val="0"/>
        <w:spacing w:line="400" w:lineRule="exact"/>
        <w:ind w:firstLine="460" w:firstLineChars="192"/>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11.3.4</w:t>
      </w:r>
      <w:r>
        <w:rPr>
          <w:rFonts w:hint="eastAsia" w:ascii="宋体" w:hAnsi="宋体" w:eastAsia="宋体" w:cs="宋体"/>
          <w:color w:val="000000" w:themeColor="text1"/>
          <w:sz w:val="24"/>
          <w:szCs w:val="24"/>
          <w:highlight w:val="none"/>
          <w14:textFill>
            <w14:solidFill>
              <w14:schemeClr w14:val="tx1"/>
            </w14:solidFill>
          </w14:textFill>
        </w:rPr>
        <w:t>质量保证能力</w:t>
      </w:r>
    </w:p>
    <w:p w14:paraId="571CB8C8">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11.3.5企业的承诺及优惠条件</w:t>
      </w:r>
    </w:p>
    <w:p w14:paraId="2AF89AA1">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技术条款偏离表</w:t>
      </w:r>
    </w:p>
    <w:p w14:paraId="6072A27F">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投标人认为需要提供的其他资料。</w:t>
      </w:r>
    </w:p>
    <w:p w14:paraId="195975E7">
      <w:pPr>
        <w:tabs>
          <w:tab w:val="left" w:pos="900"/>
        </w:tabs>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w:t>
      </w:r>
      <w:r>
        <w:rPr>
          <w:rFonts w:hint="eastAsia" w:ascii="宋体" w:hAnsi="宋体" w:cs="宋体"/>
          <w:color w:val="000000"/>
          <w:sz w:val="24"/>
          <w:szCs w:val="24"/>
          <w:highlight w:val="none"/>
          <w:lang w:val="en-US" w:eastAsia="zh-CN"/>
        </w:rPr>
        <w:t>8</w:t>
      </w:r>
      <w:r>
        <w:rPr>
          <w:rFonts w:hint="eastAsia" w:ascii="宋体" w:hAnsi="宋体" w:eastAsia="宋体" w:cs="宋体"/>
          <w:sz w:val="24"/>
          <w:szCs w:val="24"/>
        </w:rPr>
        <w:t>投标服务技术符合招标文件规定的证明文件及投标人认为需加以说明的其他内容。</w:t>
      </w:r>
      <w:r>
        <w:rPr>
          <w:rFonts w:hint="eastAsia" w:ascii="宋体" w:hAnsi="宋体" w:eastAsia="宋体" w:cs="宋体"/>
          <w:color w:val="000000"/>
          <w:sz w:val="24"/>
          <w:szCs w:val="24"/>
          <w:highlight w:val="none"/>
          <w:lang w:val="en-US" w:eastAsia="zh-CN"/>
        </w:rPr>
        <w:t>（如有）</w:t>
      </w:r>
    </w:p>
    <w:p w14:paraId="77D92240">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12、投标报价：</w:t>
      </w:r>
    </w:p>
    <w:p w14:paraId="4A00434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bookmarkStart w:id="0" w:name="OLE_LINK1"/>
      <w:r>
        <w:rPr>
          <w:rFonts w:hint="eastAsia" w:ascii="宋体" w:hAnsi="宋体" w:eastAsia="宋体" w:cs="宋体"/>
          <w:color w:val="000000"/>
          <w:sz w:val="24"/>
          <w:szCs w:val="24"/>
          <w:highlight w:val="none"/>
        </w:rPr>
        <w:t>12.1投标单位应在投标</w:t>
      </w:r>
      <w:r>
        <w:rPr>
          <w:rFonts w:hint="eastAsia" w:ascii="宋体" w:hAnsi="宋体" w:eastAsia="宋体" w:cs="宋体"/>
          <w:sz w:val="24"/>
          <w:szCs w:val="24"/>
          <w:highlight w:val="none"/>
        </w:rPr>
        <w:t>的报价表上标</w:t>
      </w:r>
      <w:r>
        <w:rPr>
          <w:rFonts w:hint="eastAsia" w:ascii="宋体" w:hAnsi="宋体" w:eastAsia="宋体" w:cs="宋体"/>
          <w:color w:val="000000"/>
          <w:sz w:val="24"/>
          <w:szCs w:val="24"/>
          <w:highlight w:val="none"/>
        </w:rPr>
        <w:t>明总价。</w:t>
      </w:r>
    </w:p>
    <w:p w14:paraId="0D269F3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12.1.1</w:t>
      </w:r>
      <w:r>
        <w:rPr>
          <w:rFonts w:hint="eastAsia" w:ascii="宋体" w:hAnsi="宋体" w:eastAsia="宋体" w:cs="宋体"/>
          <w:color w:val="000000"/>
          <w:sz w:val="24"/>
          <w:szCs w:val="24"/>
          <w:highlight w:val="none"/>
        </w:rPr>
        <w:t>投标文件中开标一览表内容与投标文件中相应内容不一致的，以开标一览表为准；</w:t>
      </w:r>
    </w:p>
    <w:p w14:paraId="45435E8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12.1.2</w:t>
      </w:r>
      <w:r>
        <w:rPr>
          <w:rFonts w:hint="eastAsia" w:ascii="宋体" w:hAnsi="宋体" w:eastAsia="宋体" w:cs="宋体"/>
          <w:color w:val="000000"/>
          <w:sz w:val="24"/>
          <w:szCs w:val="24"/>
          <w:highlight w:val="none"/>
        </w:rPr>
        <w:t>大写金额和小写金额不一致的，以大写金额为准；</w:t>
      </w:r>
    </w:p>
    <w:p w14:paraId="725AC63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12.1.3</w:t>
      </w:r>
      <w:r>
        <w:rPr>
          <w:rFonts w:hint="eastAsia" w:ascii="宋体" w:hAnsi="宋体" w:eastAsia="宋体" w:cs="宋体"/>
          <w:color w:val="000000"/>
          <w:sz w:val="24"/>
          <w:szCs w:val="24"/>
          <w:highlight w:val="none"/>
        </w:rPr>
        <w:t>单价金额小数点或者百分比有明显错位的，以开标一览表的总价为准，并修改单价；</w:t>
      </w:r>
    </w:p>
    <w:p w14:paraId="054AB6E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12.1.4</w:t>
      </w:r>
      <w:r>
        <w:rPr>
          <w:rFonts w:hint="eastAsia" w:ascii="宋体" w:hAnsi="宋体" w:eastAsia="宋体" w:cs="宋体"/>
          <w:color w:val="000000"/>
          <w:sz w:val="24"/>
          <w:szCs w:val="24"/>
          <w:highlight w:val="none"/>
        </w:rPr>
        <w:t>总价金额与按单价汇总金额不一致的，以单价金额计算结果为准。投标单位应在投标报价表中标明其提供的所有货物及其相关工作范围内所在费用的总价。</w:t>
      </w:r>
    </w:p>
    <w:p w14:paraId="677D4E0E">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12.2 除非合同中另有规定，投标人对《投标报价表》中的全部</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服务的报价应包括所投</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服务项目所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14:paraId="6322D8C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12.3 投标人应对招标文件内所要招标的全部内容进行报价，报价采用总</w:t>
      </w:r>
      <w:r>
        <w:rPr>
          <w:rFonts w:hint="eastAsia" w:ascii="宋体" w:hAnsi="宋体" w:eastAsia="宋体" w:cs="宋体"/>
          <w:color w:val="000000"/>
          <w:sz w:val="24"/>
          <w:szCs w:val="24"/>
          <w:highlight w:val="none"/>
          <w:lang w:eastAsia="zh-CN"/>
        </w:rPr>
        <w:t>报价</w:t>
      </w:r>
      <w:r>
        <w:rPr>
          <w:rFonts w:hint="eastAsia" w:ascii="宋体" w:hAnsi="宋体" w:eastAsia="宋体" w:cs="宋体"/>
          <w:color w:val="000000"/>
          <w:sz w:val="24"/>
          <w:szCs w:val="24"/>
          <w:highlight w:val="none"/>
        </w:rPr>
        <w:t>方式，投标人的报价应包括所投产品费用、安装调试费、测试验收费、培训费、运行维护费用、税金、国际国内运输保险及其他有关的为完成本项目发生的所有费用，招标文件中另有规定的除外。</w:t>
      </w:r>
    </w:p>
    <w:p w14:paraId="5471CD0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 一项投标内容只允许一个报价，</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不接受任何有选择性的投标报价。</w:t>
      </w:r>
    </w:p>
    <w:p w14:paraId="2A7BE0BA">
      <w:pPr>
        <w:pStyle w:val="23"/>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12.5投标人不得违反《中华人民共和国反不正当竞争法》的规定，以低于成本的价格销售货物或服务，否则对其价格构成情况做出详细说明并提供相关证明资料。评标委员会认为投标人的报价明显低于其他通过符合性审查投标人的报价，有可能影响产品质量或者不能诚信履约的，应当要求在发出询标函的30分钟内提供书面说明，必要时提交相关证明材料；投标人逾期或拒绝或不能证明其报价合理性的，评标委员会应当将其作为无效投标处理。投标人的澄清、说明或者补正应当采用书面形式，由其授权代表签字，并不得超出投标文件的范围或者改变投标文件的实质性内容，书面承诺为其投标文件的组成部分。</w:t>
      </w:r>
    </w:p>
    <w:p w14:paraId="4F98517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投标文件报价中的单价和总价全部采用人民币表示，除非合同的主要条款另有规定。</w:t>
      </w:r>
      <w:bookmarkEnd w:id="0"/>
    </w:p>
    <w:p w14:paraId="1D9B4769">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13、投标人应逐条详细阅读招标文件有关要求，表明所提供的服务是否对招标文件做出实质性响应。</w:t>
      </w:r>
    </w:p>
    <w:p w14:paraId="033647D8">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14、投标文件的有效期</w:t>
      </w:r>
    </w:p>
    <w:p w14:paraId="0A19A4F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投标文件从实际开标之</w:t>
      </w:r>
      <w:r>
        <w:rPr>
          <w:rFonts w:hint="eastAsia" w:ascii="宋体" w:hAnsi="宋体" w:eastAsia="宋体" w:cs="宋体"/>
          <w:sz w:val="24"/>
          <w:szCs w:val="24"/>
          <w:highlight w:val="none"/>
        </w:rPr>
        <w:t>日起</w:t>
      </w:r>
      <w:r>
        <w:rPr>
          <w:rFonts w:hint="eastAsia" w:ascii="宋体" w:hAnsi="宋体" w:eastAsia="宋体" w:cs="宋体"/>
          <w:b/>
          <w:bCs/>
          <w:sz w:val="24"/>
          <w:szCs w:val="24"/>
          <w:highlight w:val="none"/>
          <w:u w:val="single"/>
        </w:rPr>
        <w:t>60</w:t>
      </w:r>
      <w:r>
        <w:rPr>
          <w:rFonts w:hint="eastAsia" w:ascii="宋体" w:hAnsi="宋体" w:eastAsia="宋体" w:cs="宋体"/>
          <w:sz w:val="24"/>
          <w:szCs w:val="24"/>
          <w:highlight w:val="none"/>
        </w:rPr>
        <w:t>天内有</w:t>
      </w:r>
      <w:r>
        <w:rPr>
          <w:rFonts w:hint="eastAsia" w:ascii="宋体" w:hAnsi="宋体" w:eastAsia="宋体" w:cs="宋体"/>
          <w:color w:val="000000"/>
          <w:sz w:val="24"/>
          <w:szCs w:val="24"/>
          <w:highlight w:val="none"/>
        </w:rPr>
        <w:t>效。</w:t>
      </w:r>
    </w:p>
    <w:p w14:paraId="68F4C86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如遇特殊情况，在原投标有效期届满之前，</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可与投标人协商延长投标文件的有效期，并经投标人确认。</w:t>
      </w:r>
    </w:p>
    <w:p w14:paraId="5D76462E">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15、投标文件的份数、签署、字体、装订</w:t>
      </w:r>
    </w:p>
    <w:p w14:paraId="58440E18">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15.1 投标人必须按“投标人须知前附表”中规定的“正本”和“副本”份数，投标文件正本和副本如有不一致之处，以正本为准。</w:t>
      </w:r>
    </w:p>
    <w:p w14:paraId="7B1FD98D">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15.2 投标文件正本与副本须用不褪色的墨水笔书写或打印。投标文件的书写应清楚工整，修改处应由投标人全权代表签章。</w:t>
      </w:r>
    </w:p>
    <w:p w14:paraId="196867CF">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15.3 投标文件应由企业法人或法人授权代表在凡规定签章处逐一签署及加盖单位公章。</w:t>
      </w:r>
    </w:p>
    <w:p w14:paraId="697050F3">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15.4 投标文件一律采用胶装方式进行装订</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不得活页装订</w:t>
      </w:r>
      <w:r>
        <w:rPr>
          <w:rFonts w:hint="eastAsia" w:ascii="宋体" w:hAnsi="宋体" w:eastAsia="宋体" w:cs="宋体"/>
          <w:color w:val="000000"/>
          <w:sz w:val="24"/>
          <w:szCs w:val="24"/>
          <w:highlight w:val="none"/>
        </w:rPr>
        <w:t>。</w:t>
      </w:r>
    </w:p>
    <w:p w14:paraId="23A2FE15">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16、投标保证金</w:t>
      </w:r>
    </w:p>
    <w:p w14:paraId="0BD20C5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投标保证金数额</w:t>
      </w:r>
      <w:r>
        <w:rPr>
          <w:rFonts w:hint="eastAsia" w:ascii="宋体" w:hAnsi="宋体" w:eastAsia="宋体" w:cs="宋体"/>
          <w:b/>
          <w:color w:val="000000"/>
          <w:sz w:val="24"/>
          <w:szCs w:val="24"/>
          <w:highlight w:val="none"/>
          <w:u w:val="single"/>
        </w:rPr>
        <w:t xml:space="preserve">详见投标人须知前附表 </w:t>
      </w:r>
      <w:r>
        <w:rPr>
          <w:rFonts w:hint="eastAsia" w:ascii="宋体" w:hAnsi="宋体" w:eastAsia="宋体" w:cs="宋体"/>
          <w:color w:val="000000"/>
          <w:sz w:val="24"/>
          <w:szCs w:val="24"/>
          <w:highlight w:val="none"/>
        </w:rPr>
        <w:t>。</w:t>
      </w:r>
    </w:p>
    <w:p w14:paraId="4378A02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投标保证金用于应对本次招标因投标人违规、违约而产生的风险。</w:t>
      </w:r>
    </w:p>
    <w:p w14:paraId="16A59E01">
      <w:pPr>
        <w:pageBreakBefore w:val="0"/>
        <w:widowControl/>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16.3</w:t>
      </w:r>
      <w:r>
        <w:rPr>
          <w:rFonts w:hint="eastAsia" w:ascii="宋体" w:hAnsi="宋体" w:eastAsia="宋体" w:cs="宋体"/>
          <w:color w:val="FF0000"/>
          <w:sz w:val="24"/>
          <w:szCs w:val="24"/>
          <w:highlight w:val="none"/>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投标人必须于投标截止时间</w:t>
      </w:r>
      <w:r>
        <w:rPr>
          <w:rFonts w:hint="eastAsia" w:ascii="宋体" w:hAnsi="宋体" w:eastAsia="宋体" w:cs="宋体"/>
          <w:sz w:val="24"/>
          <w:szCs w:val="24"/>
          <w:highlight w:val="none"/>
        </w:rPr>
        <w:t>前</w:t>
      </w:r>
      <w:r>
        <w:rPr>
          <w:rFonts w:hint="eastAsia" w:ascii="宋体" w:hAnsi="宋体" w:eastAsia="宋体" w:cs="宋体"/>
          <w:color w:val="000000"/>
          <w:sz w:val="24"/>
          <w:szCs w:val="24"/>
          <w:highlight w:val="none"/>
        </w:rPr>
        <w:t>将投标保证金交纳至规定的帐号，对未按要求提交投标保证金的投标文件，</w:t>
      </w:r>
      <w:r>
        <w:rPr>
          <w:rFonts w:hint="eastAsia" w:ascii="宋体" w:hAnsi="宋体" w:eastAsia="宋体" w:cs="宋体"/>
          <w:color w:val="000000"/>
          <w:sz w:val="24"/>
          <w:szCs w:val="24"/>
          <w:highlight w:val="none"/>
          <w:lang w:eastAsia="zh-CN"/>
        </w:rPr>
        <w:t>招标代理机构</w:t>
      </w:r>
      <w:r>
        <w:rPr>
          <w:rFonts w:hint="eastAsia" w:ascii="宋体" w:hAnsi="宋体" w:eastAsia="宋体" w:cs="宋体"/>
          <w:color w:val="000000"/>
          <w:sz w:val="24"/>
          <w:szCs w:val="24"/>
          <w:highlight w:val="none"/>
        </w:rPr>
        <w:t>将视为不响应投标予以拒绝。</w:t>
      </w:r>
    </w:p>
    <w:p w14:paraId="1DA95E6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 投标保证金应以银行电汇或转账</w:t>
      </w:r>
      <w:r>
        <w:rPr>
          <w:rFonts w:hint="eastAsia" w:ascii="宋体" w:hAnsi="宋体" w:eastAsia="宋体" w:cs="宋体"/>
          <w:color w:val="000000"/>
          <w:sz w:val="24"/>
          <w:szCs w:val="24"/>
          <w:highlight w:val="none"/>
          <w:lang w:val="en-US" w:eastAsia="zh-CN"/>
        </w:rPr>
        <w:t>等非现金</w:t>
      </w:r>
      <w:r>
        <w:rPr>
          <w:rFonts w:hint="eastAsia" w:ascii="宋体" w:hAnsi="宋体" w:eastAsia="宋体" w:cs="宋体"/>
          <w:color w:val="000000"/>
          <w:sz w:val="24"/>
          <w:szCs w:val="24"/>
          <w:highlight w:val="none"/>
        </w:rPr>
        <w:t>方式提交。</w:t>
      </w:r>
    </w:p>
    <w:p w14:paraId="1792B8B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16.5投标保证金的退还条件：</w:t>
      </w:r>
    </w:p>
    <w:p w14:paraId="769E67B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16.5.1</w:t>
      </w:r>
      <w:r>
        <w:rPr>
          <w:rFonts w:hint="eastAsia" w:ascii="宋体" w:hAnsi="宋体" w:eastAsia="宋体" w:cs="宋体"/>
          <w:color w:val="000000"/>
          <w:sz w:val="24"/>
          <w:szCs w:val="24"/>
          <w:highlight w:val="none"/>
        </w:rPr>
        <w:t>未中标的投标人保证金，在该采购项目的中标通知书发出后5个工作日内,投标保证金退回投标人。</w:t>
      </w:r>
    </w:p>
    <w:p w14:paraId="4175A1C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16.5.2</w:t>
      </w:r>
      <w:r>
        <w:rPr>
          <w:rFonts w:hint="eastAsia" w:ascii="宋体" w:hAnsi="宋体" w:eastAsia="宋体" w:cs="宋体"/>
          <w:color w:val="000000"/>
          <w:sz w:val="24"/>
          <w:szCs w:val="24"/>
          <w:highlight w:val="none"/>
        </w:rPr>
        <w:t>中标的投标人，其投标保证金将保持全部的约束力，直至中标人按规定和采购人签订采购合同后，5个工作日内办理投标保证金退回手续。</w:t>
      </w:r>
    </w:p>
    <w:p w14:paraId="61AEAEF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16.6在招标方规定的投标有效期满之前，招标方将以书面形式发出《中标通知书》，《中标通知书》一经发出即发生法律效力。</w:t>
      </w:r>
    </w:p>
    <w:p w14:paraId="0F437A5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 下列情况投标保证金将会被没收：</w:t>
      </w:r>
    </w:p>
    <w:p w14:paraId="14F1CD09">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供应商在采购文件文件规定的投标有效期内撤回其投标文件文件的；</w:t>
      </w:r>
    </w:p>
    <w:p w14:paraId="3856FC6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开标过程中未经评标委员会同意擅自中途退场；</w:t>
      </w:r>
    </w:p>
    <w:p w14:paraId="2A164B17">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供应商恶意串通使投标失去竞争性的；</w:t>
      </w:r>
    </w:p>
    <w:p w14:paraId="534EF86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向采购代理机构或评标委员会有意提供虚假材料的；</w:t>
      </w:r>
    </w:p>
    <w:p w14:paraId="72C6F3EB">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供应商投标文件出现妨碍公平竞争的行为的；</w:t>
      </w:r>
    </w:p>
    <w:p w14:paraId="5355DD91">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未在规定的期限内领取成交通知书的；</w:t>
      </w:r>
    </w:p>
    <w:p w14:paraId="13F5F7B2">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成交单位因自身原因在成交通知书规定的时间内未能与采购单位签订合同的；</w:t>
      </w:r>
    </w:p>
    <w:p w14:paraId="2D6A1FF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违反政府采购法及有关法律、法规的。</w:t>
      </w:r>
    </w:p>
    <w:p w14:paraId="2BD23A2D">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16.8有下列情形之一的，视为供应商串通投标，其投标无效：</w:t>
      </w:r>
    </w:p>
    <w:p w14:paraId="39C2DA76">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16.8.1不同供应商的投标文件由同一单位或者个人编制;</w:t>
      </w:r>
    </w:p>
    <w:p w14:paraId="7F733035">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16.8.2不同供应商委托同一单位或者个人办理投标事宜;</w:t>
      </w:r>
    </w:p>
    <w:p w14:paraId="1F2EDF90">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16.8.3不同供应商的投标文件载明的项目管理成员或者联系人员为同一人;</w:t>
      </w:r>
    </w:p>
    <w:p w14:paraId="24079ED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16.8.4不同供应商的投标文件异常一致或者投标报价呈规律性差异;</w:t>
      </w:r>
    </w:p>
    <w:p w14:paraId="505B6CC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16.8.5不同供应商的投标文件相互混装;</w:t>
      </w:r>
    </w:p>
    <w:p w14:paraId="18C7317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16.8.6不同供应商的投标保证金从同一单位或者个人的账户转出。</w:t>
      </w:r>
    </w:p>
    <w:p w14:paraId="3D11FAD5">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17. 投标文件的修改和撤销</w:t>
      </w:r>
    </w:p>
    <w:p w14:paraId="6F02C70C">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17.1　投标人在递交投标文件后，可在规定的投标截止时间之前，对其投标文件以书面通知的形式进行修改或撤消。该通知须有投标人的法定代表人或其委托代理人的签字，并得到招标方的确认。</w:t>
      </w:r>
    </w:p>
    <w:p w14:paraId="0AFD82A3">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17.2  投标人对投标文件修改的书面材料或撤消通知应按招标文件要求进行密封、标注和递交，并注明“修改投标文件”或“撤消投标”字样，修改或撤销的内容须按招标文件的要求签署、盖章，并作为投标文件的组成部分。</w:t>
      </w:r>
    </w:p>
    <w:p w14:paraId="66A83DE8">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17.3　对投标文件修改的书面材料应于投标截止日前送达招标方，投标截止时间以后不得修改投标文件。</w:t>
      </w:r>
    </w:p>
    <w:p w14:paraId="34C0BC13">
      <w:pPr>
        <w:pStyle w:val="6"/>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14:paraId="33C6D054">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p>
    <w:p w14:paraId="696FFC3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四、投标文件的递交</w:t>
      </w:r>
    </w:p>
    <w:p w14:paraId="46B23F8A">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8</w:t>
      </w:r>
      <w:r>
        <w:rPr>
          <w:rFonts w:hint="eastAsia" w:ascii="宋体" w:hAnsi="宋体" w:eastAsia="宋体" w:cs="宋体"/>
          <w:b/>
          <w:color w:val="000000"/>
          <w:sz w:val="24"/>
          <w:szCs w:val="24"/>
          <w:highlight w:val="none"/>
        </w:rPr>
        <w:t>、投标文件的</w:t>
      </w:r>
      <w:r>
        <w:rPr>
          <w:rFonts w:hint="eastAsia" w:ascii="宋体" w:hAnsi="宋体" w:eastAsia="宋体" w:cs="宋体"/>
          <w:b/>
          <w:color w:val="000000"/>
          <w:sz w:val="24"/>
          <w:szCs w:val="24"/>
          <w:highlight w:val="none"/>
          <w:lang w:eastAsia="zh-CN"/>
        </w:rPr>
        <w:t>加密</w:t>
      </w:r>
      <w:r>
        <w:rPr>
          <w:rFonts w:hint="eastAsia" w:ascii="宋体" w:hAnsi="宋体" w:eastAsia="宋体" w:cs="宋体"/>
          <w:b/>
          <w:color w:val="000000"/>
          <w:sz w:val="24"/>
          <w:szCs w:val="24"/>
          <w:highlight w:val="none"/>
        </w:rPr>
        <w:t>和标记</w:t>
      </w:r>
    </w:p>
    <w:p w14:paraId="6648D1E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18.1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7FB0B3A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18.2投标截止时间以政采云平台中心交易平台显示的时间为准，逾期系统将自动关闭，未完成上传的投标文件视为逾期送达，将被拒绝</w:t>
      </w:r>
      <w:r>
        <w:rPr>
          <w:rFonts w:hint="eastAsia" w:ascii="宋体" w:hAnsi="宋体" w:eastAsia="宋体" w:cs="宋体"/>
          <w:b w:val="0"/>
          <w:bCs/>
          <w:color w:val="000000"/>
          <w:sz w:val="24"/>
          <w:szCs w:val="24"/>
          <w:highlight w:val="none"/>
        </w:rPr>
        <w:t>。</w:t>
      </w:r>
    </w:p>
    <w:p w14:paraId="363D55BB">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1</w:t>
      </w:r>
      <w:r>
        <w:rPr>
          <w:rFonts w:hint="eastAsia" w:ascii="宋体" w:hAnsi="宋体" w:eastAsia="宋体" w:cs="宋体"/>
          <w:b/>
          <w:bCs w:val="0"/>
          <w:color w:val="000000"/>
          <w:sz w:val="24"/>
          <w:szCs w:val="24"/>
          <w:highlight w:val="none"/>
          <w:lang w:val="en-US" w:eastAsia="zh-CN"/>
        </w:rPr>
        <w:t>9</w:t>
      </w:r>
      <w:r>
        <w:rPr>
          <w:rFonts w:hint="eastAsia" w:ascii="宋体" w:hAnsi="宋体" w:eastAsia="宋体" w:cs="宋体"/>
          <w:b/>
          <w:bCs w:val="0"/>
          <w:color w:val="000000"/>
          <w:sz w:val="24"/>
          <w:szCs w:val="24"/>
          <w:highlight w:val="none"/>
        </w:rPr>
        <w:t>、投标文件递交的截止日期</w:t>
      </w:r>
    </w:p>
    <w:p w14:paraId="012B9B81">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sz w:val="24"/>
          <w:szCs w:val="24"/>
          <w:highlight w:val="none"/>
          <w:lang w:val="en-US" w:eastAsia="zh-CN"/>
        </w:rPr>
        <w:t>9.1本次采用网上评标系统，供应商在线参加开标（无需到开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618F5209">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19.2供应商登录政采云平台，在开标时间后30分钟内用“项目采购----开标评标”功能进行解密电子版投标文件。若供应商在规定时间内未按时解密的，视为无效响应。解密与加密电子版投标文件须使用同一个CA。</w:t>
      </w:r>
    </w:p>
    <w:p w14:paraId="74857224">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19.3如果供应商未按上述要求加密并上传，采购代理机构对投标文件的误投、无法解密、传输错误等问题概不负责。对由此造成无法正常开启的投标文件，采购代理机构有权予以拒绝，并退回供应商。</w:t>
      </w:r>
    </w:p>
    <w:p w14:paraId="5F63F89B">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19.4 开标时检查响应文件上传情况。</w:t>
      </w:r>
    </w:p>
    <w:p w14:paraId="588EA222">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19.5开标原则在开标会议上宣布。</w:t>
      </w:r>
    </w:p>
    <w:p w14:paraId="06BCBD45">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20</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投标截止时间</w:t>
      </w:r>
    </w:p>
    <w:p w14:paraId="3F6DDD5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20.1  投标文件应在投标人须知前附表规定的投标截止时间之前上传送到投标人须知前附表指定的地点。</w:t>
      </w:r>
    </w:p>
    <w:p w14:paraId="1576052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20.2　所有投标文件不论何种方式递交，都必须在招标方规定的投标截止时间之前递交到招标文件指定地点，在此之后送达的投标文件，为无效投标，投标文件将一律被拒绝。任何单位和个人不得在开标前开启投标文件。</w:t>
      </w:r>
    </w:p>
    <w:p w14:paraId="3EB6F43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20.3  出现因招标文件的修改而推迟投标截止时间的情况时，投标人则需按招标方的书面修改通知重新规定的投标时间递交。</w:t>
      </w:r>
    </w:p>
    <w:p w14:paraId="377BB8EF">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21</w:t>
      </w:r>
      <w:r>
        <w:rPr>
          <w:rFonts w:hint="eastAsia" w:ascii="宋体" w:hAnsi="宋体" w:eastAsia="宋体" w:cs="宋体"/>
          <w:b/>
          <w:color w:val="000000"/>
          <w:sz w:val="24"/>
          <w:szCs w:val="24"/>
          <w:highlight w:val="none"/>
        </w:rPr>
        <w:t>、投标文件的修改和撤消</w:t>
      </w:r>
    </w:p>
    <w:p w14:paraId="40DE039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.1 投标人在递交投标文件后，可以修改或撤回其投标文件。但投标人必须在规定的投标截止时间之前向采购代理机构发出书面通知。</w:t>
      </w:r>
    </w:p>
    <w:p w14:paraId="387CA9B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.2 在投标截止时间之后，投标人不得对其投标文件做任何修改。从投标截止时间起至投标有效终止时间前，投标人不得撤回其投标。</w:t>
      </w:r>
    </w:p>
    <w:p w14:paraId="4CB14A1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.3 采购代理机构不接受电话、电传、传真等形式的投标。</w:t>
      </w:r>
    </w:p>
    <w:p w14:paraId="24BC468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.4 采购代理机构对不可抗力事件所造成投标文件的损坏、丢失不承担任何责任。</w:t>
      </w:r>
    </w:p>
    <w:p w14:paraId="3552508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p>
    <w:p w14:paraId="33140EF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五、开    标</w:t>
      </w:r>
    </w:p>
    <w:p w14:paraId="010C3BBB">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2</w:t>
      </w:r>
      <w:r>
        <w:rPr>
          <w:rFonts w:hint="eastAsia" w:ascii="宋体" w:hAnsi="宋体" w:eastAsia="宋体" w:cs="宋体"/>
          <w:b/>
          <w:color w:val="000000"/>
          <w:sz w:val="24"/>
          <w:szCs w:val="24"/>
          <w:highlight w:val="none"/>
        </w:rPr>
        <w:t>、开标</w:t>
      </w:r>
    </w:p>
    <w:p w14:paraId="6E0E2CB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22.2.1采购代理机构按照招标文件规定的时间、地点主持开标。开标前，采购代理机构将会同监督人员进行验标（检查网上招标系统正常与否，检查电子版响应文件，检查供应商报名及保证金交纳情况），确认无误后开标。开标时，各供应商应对本单位的加密的电子响应文件解密，采购代理机构工作人员在监督人员的监督下解密所有响应文件。逾期未解密的投标文件视为无效投标文件（解密时长30分钟）。</w:t>
      </w:r>
    </w:p>
    <w:p w14:paraId="24D2149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22.2.2开标时，采购代理机构将通过网上开标系统公布供应商名称、投标价格，以及采购代理机构认为合适的其它详细内容。供应商若有报价和优惠未被唱出，应在开标时及时声明或提请注意，否则采购代理机构对此不承担任何责任。</w:t>
      </w:r>
    </w:p>
    <w:p w14:paraId="05F8E23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22.2.3在评审结束前，未得到采购代理机构允许，供应商法定代表人或授权代理人不得离开开标现场。</w:t>
      </w:r>
    </w:p>
    <w:p w14:paraId="100C645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22.2.4监督人员对开标过程进行全程监督。</w:t>
      </w:r>
    </w:p>
    <w:p w14:paraId="5E844A5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rPr>
        <w:t>.3 开标异议</w:t>
      </w:r>
    </w:p>
    <w:p w14:paraId="6B91C2B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供应商对开标有异议的，应当在开标现场提出，采购人当场作出答复，并制作记录。</w:t>
      </w:r>
    </w:p>
    <w:p w14:paraId="359E4D55">
      <w:pPr>
        <w:pStyle w:val="23"/>
        <w:ind w:left="0" w:leftChars="0" w:firstLine="0" w:firstLineChars="0"/>
        <w:rPr>
          <w:rFonts w:hint="eastAsia"/>
        </w:rPr>
      </w:pPr>
    </w:p>
    <w:p w14:paraId="4711DC9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六、评标、定标</w:t>
      </w:r>
    </w:p>
    <w:p w14:paraId="776BFF60">
      <w:pPr>
        <w:pageBreakBefore w:val="0"/>
        <w:kinsoku/>
        <w:wordWrap/>
        <w:overflowPunct/>
        <w:topLinePunct w:val="0"/>
        <w:bidi w:val="0"/>
        <w:adjustRightInd w:val="0"/>
        <w:snapToGrid w:val="0"/>
        <w:spacing w:beforeAutospacing="0" w:afterAutospacing="0" w:line="400" w:lineRule="exact"/>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、评标</w:t>
      </w:r>
    </w:p>
    <w:p w14:paraId="7619AA3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b/>
          <w:color w:val="000000"/>
          <w:sz w:val="24"/>
          <w:szCs w:val="24"/>
          <w:highlight w:val="none"/>
        </w:rPr>
        <w:t xml:space="preserve">评标委员会或评标小组 </w:t>
      </w:r>
    </w:p>
    <w:p w14:paraId="276B545E">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.1.1评标委员会或评标小组（以下简称评标委员会）的评标工作由招标单位负责组织，具体评标事务由评标委员会</w:t>
      </w:r>
      <w:r>
        <w:rPr>
          <w:rFonts w:hint="eastAsia" w:ascii="宋体" w:hAnsi="宋体" w:eastAsia="宋体" w:cs="宋体"/>
          <w:color w:val="auto"/>
          <w:sz w:val="24"/>
          <w:szCs w:val="24"/>
          <w:highlight w:val="none"/>
        </w:rPr>
        <w:t>负责，并独立履行其法规规定的职责。</w:t>
      </w:r>
    </w:p>
    <w:p w14:paraId="2B96E3BC">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.1.2评标委员会由</w:t>
      </w:r>
      <w:r>
        <w:rPr>
          <w:rFonts w:hint="eastAsia" w:ascii="宋体" w:hAnsi="宋体" w:eastAsia="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和专家库中熟悉相关技术的专家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组成，成员人数为</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人</w:t>
      </w:r>
      <w:r>
        <w:rPr>
          <w:rFonts w:hint="eastAsia" w:ascii="宋体" w:hAnsi="宋体" w:eastAsia="宋体" w:cs="宋体"/>
          <w:color w:val="auto"/>
          <w:sz w:val="24"/>
          <w:szCs w:val="24"/>
          <w:highlight w:val="none"/>
        </w:rPr>
        <w:t>，其中熟悉相关技术方面的专家不得少于成员总数的三之二。评标委员会设负责人的，评标委员会负责人由评标委员会推举产生或者由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确定。评标委员会负责人与评标委员会的其他成员有同等的表决权。</w:t>
      </w:r>
    </w:p>
    <w:p w14:paraId="08BA98DF">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.1.3 评标委员会或评标小组负责具体的评标事务，并</w:t>
      </w:r>
      <w:r>
        <w:rPr>
          <w:rFonts w:hint="eastAsia" w:ascii="宋体" w:hAnsi="宋体" w:eastAsia="宋体" w:cs="宋体"/>
          <w:color w:val="000000"/>
          <w:sz w:val="24"/>
          <w:szCs w:val="24"/>
          <w:highlight w:val="none"/>
        </w:rPr>
        <w:t>独立履行以下职责：</w:t>
      </w:r>
    </w:p>
    <w:p w14:paraId="62920725">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.1.3.1 审查投标文件是否符合招标文件的要求，并作出评价；</w:t>
      </w:r>
    </w:p>
    <w:p w14:paraId="7A1C9E2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.1.3.2 可以要求投标投标人对投标文件有关事项作出解释或澄清；</w:t>
      </w:r>
    </w:p>
    <w:p w14:paraId="20C763B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.1.3.3 推荐中标候选投标人名单，或者受</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委托按照事先确定的办法直接确定中标人；</w:t>
      </w:r>
    </w:p>
    <w:p w14:paraId="5D45C789">
      <w:pPr>
        <w:pageBreakBefore w:val="0"/>
        <w:kinsoku/>
        <w:wordWrap/>
        <w:overflowPunct/>
        <w:topLinePunct w:val="0"/>
        <w:bidi w:val="0"/>
        <w:adjustRightInd w:val="0"/>
        <w:snapToGrid w:val="0"/>
        <w:spacing w:beforeAutospacing="0" w:afterAutospacing="0" w:line="400" w:lineRule="exact"/>
        <w:ind w:firstLine="240" w:firstLine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.1.3.4 向招标单位或者有关部门报告非法干预评标工作的行为。</w:t>
      </w:r>
    </w:p>
    <w:p w14:paraId="783D4DE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 评标委员会成员应当履行下列义务：</w:t>
      </w:r>
    </w:p>
    <w:p w14:paraId="368D91DD">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.1.4.1 遵纪守法，客观、公正、廉洁地履行职责；</w:t>
      </w:r>
    </w:p>
    <w:p w14:paraId="1D954A6D">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.1.4.2 按照招标文件规定的评标办法和评标标准进行评标，对评审意见承担个人责任；</w:t>
      </w:r>
    </w:p>
    <w:p w14:paraId="4CE24BD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.1.4.3 对评标过程和结果，以及投标人的商业秘密保密；</w:t>
      </w:r>
    </w:p>
    <w:p w14:paraId="25B01B32">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.1.4.4 参与评标报告的起草；</w:t>
      </w:r>
    </w:p>
    <w:p w14:paraId="1550CE5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.1.4.5 配合财政部门的投诉处理工作；</w:t>
      </w:r>
    </w:p>
    <w:p w14:paraId="062B8C03">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.1.4.6 配合招标单位答复投标投标人提出的质疑。</w:t>
      </w:r>
    </w:p>
    <w:p w14:paraId="7DAB1D2A">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2按国家计委等七部委颁发的《评标委员会和评标方法暂行规定》，结合本工程特点，本项目采用综合评分法，对于经济报价的评分，按以下方法进行：价格分采用低价优先法计算，即满足招标文件要求且投标价格最低的投标报价为评标基准价，其价格分为满分。其他投标人的价格分统一按照下列公式计算：</w:t>
      </w:r>
    </w:p>
    <w:p w14:paraId="01BA4E2D">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投标报价得分=(评标基准价/投标报价)×</w:t>
      </w:r>
      <w:r>
        <w:rPr>
          <w:rFonts w:hint="eastAsia" w:ascii="宋体" w:hAnsi="宋体" w:cs="宋体"/>
          <w:b/>
          <w:color w:val="auto"/>
          <w:sz w:val="24"/>
          <w:szCs w:val="24"/>
          <w:highlight w:val="none"/>
          <w:u w:val="single"/>
          <w:lang w:val="en-US" w:eastAsia="zh-CN"/>
        </w:rPr>
        <w:t>3</w:t>
      </w:r>
      <w:r>
        <w:rPr>
          <w:rFonts w:hint="eastAsia" w:ascii="宋体" w:hAnsi="宋体" w:eastAsia="宋体" w:cs="宋体"/>
          <w:b/>
          <w:color w:val="auto"/>
          <w:sz w:val="24"/>
          <w:szCs w:val="24"/>
          <w:highlight w:val="none"/>
          <w:u w:val="single"/>
        </w:rPr>
        <w:t>0%×100</w:t>
      </w:r>
      <w:r>
        <w:rPr>
          <w:rFonts w:hint="eastAsia" w:ascii="宋体" w:hAnsi="宋体" w:eastAsia="宋体" w:cs="宋体"/>
          <w:b/>
          <w:color w:val="auto"/>
          <w:sz w:val="24"/>
          <w:szCs w:val="24"/>
          <w:highlight w:val="none"/>
        </w:rPr>
        <w:t>（总分100分：其中商务部分和技术部分占</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分，投标报价占</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分），最终合计得分最高的投标人作为第一中标候选人，以此类推确定第二、第三中标候选人。</w:t>
      </w:r>
    </w:p>
    <w:p w14:paraId="583783C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评标的依据为招标文件和投标文件。</w:t>
      </w:r>
    </w:p>
    <w:p w14:paraId="3D183E0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.4评标过程的保密性。开标后，直到授予中标人合同止，凡是属于审查、澄清、评价和比较的有关资料以及授标建议等均不得向投标人或其他无关的人员透露。</w:t>
      </w:r>
    </w:p>
    <w:p w14:paraId="544F3C6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.5 投标人在评标过程中所进行的力图影响评标结果、有悖于招标规则的活动，可能导致取消其中标资格。</w:t>
      </w:r>
    </w:p>
    <w:p w14:paraId="4A4F627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.6 与招标文件有重大偏离的投标文件将被拒绝。且此重大偏离在开标后不许修改。</w:t>
      </w:r>
    </w:p>
    <w:p w14:paraId="34729D0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.7 按国家计委等七部委颁发的《评标委员会和评标办法暂行规定</w:t>
      </w:r>
      <w:r>
        <w:rPr>
          <w:rFonts w:hint="eastAsia" w:ascii="宋体" w:hAnsi="宋体" w:eastAsia="宋体" w:cs="宋体"/>
          <w:sz w:val="24"/>
          <w:szCs w:val="24"/>
          <w:highlight w:val="none"/>
        </w:rPr>
        <w:t>》及政府招标货物和服务招标投标管理办法（财政部令第87号）以下行为将视为无效投标和废标</w:t>
      </w:r>
      <w:r>
        <w:rPr>
          <w:rFonts w:hint="eastAsia" w:ascii="宋体" w:hAnsi="宋体" w:eastAsia="宋体" w:cs="宋体"/>
          <w:sz w:val="24"/>
          <w:szCs w:val="24"/>
          <w:highlight w:val="none"/>
          <w:lang w:val="en-US" w:eastAsia="zh-CN"/>
        </w:rPr>
        <w:t>条款。</w:t>
      </w:r>
    </w:p>
    <w:p w14:paraId="7E3392AA">
      <w:pPr>
        <w:pStyle w:val="4"/>
        <w:pageBreakBefore w:val="0"/>
        <w:kinsoku/>
        <w:wordWrap/>
        <w:overflowPunct/>
        <w:topLinePunct w:val="0"/>
        <w:bidi w:val="0"/>
        <w:spacing w:beforeAutospacing="0" w:afterAutospacing="0" w:line="400" w:lineRule="exact"/>
        <w:ind w:left="639" w:leftChars="184" w:hanging="253" w:hangingChars="105"/>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23.8无效投标：</w:t>
      </w:r>
    </w:p>
    <w:p w14:paraId="6503194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23.8.1</w:t>
      </w:r>
      <w:r>
        <w:rPr>
          <w:rFonts w:hint="eastAsia" w:ascii="宋体" w:hAnsi="宋体" w:eastAsia="宋体" w:cs="宋体"/>
          <w:color w:val="000000"/>
          <w:sz w:val="24"/>
          <w:szCs w:val="24"/>
          <w:highlight w:val="none"/>
        </w:rPr>
        <w:t>投标保证金的缴纳主体与投标人不一致的，没有按照招标文件要求提供投标担保，或者所提供的投标担保有瑕疵的；</w:t>
      </w:r>
    </w:p>
    <w:p w14:paraId="3DF21BC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23.8.2</w:t>
      </w:r>
      <w:r>
        <w:rPr>
          <w:rFonts w:hint="eastAsia" w:ascii="宋体" w:hAnsi="宋体" w:eastAsia="宋体" w:cs="宋体"/>
          <w:color w:val="000000"/>
          <w:sz w:val="24"/>
          <w:szCs w:val="24"/>
          <w:highlight w:val="none"/>
        </w:rPr>
        <w:t>投标文件没有投标人法定代表人或其授权代表签字（</w:t>
      </w:r>
      <w:r>
        <w:rPr>
          <w:rFonts w:hint="eastAsia" w:ascii="宋体" w:hAnsi="宋体" w:cs="宋体"/>
          <w:color w:val="000000"/>
          <w:sz w:val="24"/>
          <w:szCs w:val="24"/>
          <w:highlight w:val="none"/>
          <w:lang w:val="en-US" w:eastAsia="zh-CN"/>
        </w:rPr>
        <w:t>或盖</w:t>
      </w:r>
      <w:r>
        <w:rPr>
          <w:rFonts w:hint="eastAsia" w:ascii="宋体" w:hAnsi="宋体" w:eastAsia="宋体" w:cs="宋体"/>
          <w:color w:val="000000"/>
          <w:sz w:val="24"/>
          <w:szCs w:val="24"/>
          <w:highlight w:val="none"/>
        </w:rPr>
        <w:t>章）和加盖投标单位公章的；</w:t>
      </w:r>
    </w:p>
    <w:p w14:paraId="5E24AEC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23.8.3</w:t>
      </w:r>
      <w:r>
        <w:rPr>
          <w:rFonts w:hint="eastAsia" w:ascii="宋体" w:hAnsi="宋体" w:eastAsia="宋体" w:cs="宋体"/>
          <w:color w:val="000000"/>
          <w:sz w:val="24"/>
          <w:szCs w:val="24"/>
          <w:highlight w:val="none"/>
        </w:rPr>
        <w:t>投标文件记载的招标项目完成期限超过招标文件规定的完成期限；</w:t>
      </w:r>
    </w:p>
    <w:p w14:paraId="24D96F6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23.8.4</w:t>
      </w:r>
      <w:r>
        <w:rPr>
          <w:rFonts w:hint="eastAsia" w:ascii="宋体" w:hAnsi="宋体" w:eastAsia="宋体" w:cs="宋体"/>
          <w:color w:val="000000"/>
          <w:sz w:val="24"/>
          <w:szCs w:val="24"/>
          <w:highlight w:val="none"/>
        </w:rPr>
        <w:t>不具备招标文件中规定的资格要求的；</w:t>
      </w:r>
    </w:p>
    <w:p w14:paraId="1C5AF57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23.8.5</w:t>
      </w:r>
      <w:r>
        <w:rPr>
          <w:rFonts w:hint="eastAsia" w:ascii="宋体" w:hAnsi="宋体" w:eastAsia="宋体" w:cs="宋体"/>
          <w:color w:val="000000"/>
          <w:sz w:val="24"/>
          <w:szCs w:val="24"/>
          <w:highlight w:val="none"/>
        </w:rPr>
        <w:t>明显不符合技术规格和技术标准的要求；</w:t>
      </w:r>
    </w:p>
    <w:p w14:paraId="16CF938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23.8.6</w:t>
      </w:r>
      <w:r>
        <w:rPr>
          <w:rFonts w:hint="eastAsia" w:ascii="宋体" w:hAnsi="宋体" w:eastAsia="宋体" w:cs="宋体"/>
          <w:color w:val="000000"/>
          <w:sz w:val="24"/>
          <w:szCs w:val="24"/>
          <w:highlight w:val="none"/>
        </w:rPr>
        <w:t>投标附有</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不能接受的条件；</w:t>
      </w:r>
    </w:p>
    <w:p w14:paraId="79F7E1F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23.8.7</w:t>
      </w:r>
      <w:r>
        <w:rPr>
          <w:rFonts w:hint="eastAsia" w:ascii="宋体" w:hAnsi="宋体" w:eastAsia="宋体" w:cs="宋体"/>
          <w:color w:val="000000"/>
          <w:sz w:val="24"/>
          <w:szCs w:val="24"/>
          <w:highlight w:val="none"/>
        </w:rPr>
        <w:t>不符合招标文件中规定的其他实质性要求；</w:t>
      </w:r>
    </w:p>
    <w:p w14:paraId="0AABDF7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23.8.8</w:t>
      </w:r>
      <w:r>
        <w:rPr>
          <w:rFonts w:hint="eastAsia" w:ascii="宋体" w:hAnsi="宋体" w:eastAsia="宋体" w:cs="宋体"/>
          <w:color w:val="000000"/>
          <w:sz w:val="24"/>
          <w:szCs w:val="24"/>
          <w:highlight w:val="none"/>
        </w:rPr>
        <w:t>投标报价不符合招标文件规定的要求；</w:t>
      </w:r>
    </w:p>
    <w:p w14:paraId="5BE4376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23.8.9</w:t>
      </w:r>
      <w:r>
        <w:rPr>
          <w:rFonts w:hint="eastAsia" w:ascii="宋体" w:hAnsi="宋体" w:eastAsia="宋体" w:cs="宋体"/>
          <w:color w:val="000000"/>
          <w:sz w:val="24"/>
          <w:szCs w:val="24"/>
          <w:highlight w:val="none"/>
        </w:rPr>
        <w:t>在评标过程中，评标委员会发现供应商的报价明显低于其他投标报价，使得其投标报价可能低于其个别成本的，应当要求该供应商做出书面说明并提供相关证明材料。供应商不能合理说明或者不能提供相关证明材料的，由评标委员会认定该供应商以低于成本报价竞标。</w:t>
      </w:r>
    </w:p>
    <w:p w14:paraId="7B0EAD3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23.8.10</w:t>
      </w:r>
      <w:r>
        <w:rPr>
          <w:rFonts w:hint="eastAsia" w:ascii="宋体" w:hAnsi="宋体" w:eastAsia="宋体" w:cs="宋体"/>
          <w:color w:val="000000"/>
          <w:sz w:val="24"/>
          <w:szCs w:val="24"/>
          <w:highlight w:val="none"/>
        </w:rPr>
        <w:t>其他法律、法规及本招标文件规定的属无效投标的情形</w:t>
      </w:r>
      <w:r>
        <w:rPr>
          <w:rFonts w:hint="eastAsia" w:ascii="宋体" w:hAnsi="宋体" w:eastAsia="宋体" w:cs="宋体"/>
          <w:color w:val="000000"/>
          <w:sz w:val="24"/>
          <w:szCs w:val="24"/>
          <w:highlight w:val="none"/>
          <w:lang w:eastAsia="zh-CN"/>
        </w:rPr>
        <w:t>。</w:t>
      </w:r>
    </w:p>
    <w:p w14:paraId="1FB1AB3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23.8.11</w:t>
      </w:r>
      <w:r>
        <w:rPr>
          <w:rFonts w:hint="eastAsia" w:ascii="宋体" w:hAnsi="宋体" w:eastAsia="宋体" w:cs="宋体"/>
          <w:b w:val="0"/>
          <w:bCs w:val="0"/>
          <w:color w:val="000000"/>
          <w:kern w:val="2"/>
          <w:sz w:val="24"/>
          <w:szCs w:val="24"/>
          <w:highlight w:val="none"/>
          <w:lang w:val="en-US" w:eastAsia="zh-CN" w:bidi="ar-SA"/>
        </w:rPr>
        <w:t>投标人被“信用中国”网站（www.creditchina.gov.cn）列入失信被执行人或重大税收违法案件当事人名单或政府采购严重失信行为记录名单。</w:t>
      </w:r>
    </w:p>
    <w:p w14:paraId="720F3DF1">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投标文件有上述情形之一的，视为非实质性响应招标，并按规定作无效标处理。</w:t>
      </w:r>
    </w:p>
    <w:p w14:paraId="4CD6536B">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23.9废标条款：</w:t>
      </w:r>
    </w:p>
    <w:p w14:paraId="3A6691FB">
      <w:pPr>
        <w:pageBreakBefore w:val="0"/>
        <w:numPr>
          <w:ilvl w:val="0"/>
          <w:numId w:val="0"/>
        </w:numPr>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23.9.1</w:t>
      </w:r>
      <w:r>
        <w:rPr>
          <w:rFonts w:hint="eastAsia" w:ascii="宋体" w:hAnsi="宋体" w:eastAsia="宋体" w:cs="宋体"/>
          <w:color w:val="000000"/>
          <w:sz w:val="24"/>
          <w:szCs w:val="24"/>
          <w:highlight w:val="none"/>
        </w:rPr>
        <w:t>符合专业条件的供应商或者对招标文件作实质响应的供应商不足三家的。</w:t>
      </w:r>
    </w:p>
    <w:p w14:paraId="071B02C1">
      <w:pPr>
        <w:pageBreakBefore w:val="0"/>
        <w:numPr>
          <w:ilvl w:val="0"/>
          <w:numId w:val="0"/>
        </w:numPr>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23.9.2</w:t>
      </w:r>
      <w:r>
        <w:rPr>
          <w:rFonts w:hint="eastAsia" w:ascii="宋体" w:hAnsi="宋体" w:eastAsia="宋体" w:cs="宋体"/>
          <w:color w:val="000000"/>
          <w:sz w:val="24"/>
          <w:szCs w:val="24"/>
          <w:highlight w:val="none"/>
        </w:rPr>
        <w:t>出现影响采购公正的违法、违规行为的。</w:t>
      </w:r>
    </w:p>
    <w:p w14:paraId="5DA803A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23.9.3</w:t>
      </w:r>
      <w:r>
        <w:rPr>
          <w:rFonts w:hint="eastAsia" w:ascii="宋体" w:hAnsi="宋体" w:eastAsia="宋体" w:cs="宋体"/>
          <w:color w:val="000000"/>
          <w:sz w:val="24"/>
          <w:szCs w:val="24"/>
          <w:highlight w:val="none"/>
        </w:rPr>
        <w:t>因重大变故，采购任务取消的。</w:t>
      </w:r>
    </w:p>
    <w:p w14:paraId="638CC87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23.9.4</w:t>
      </w:r>
      <w:r>
        <w:rPr>
          <w:rFonts w:hint="eastAsia" w:ascii="宋体" w:hAnsi="宋体" w:eastAsia="宋体" w:cs="宋体"/>
          <w:color w:val="000000"/>
          <w:sz w:val="24"/>
          <w:szCs w:val="24"/>
          <w:highlight w:val="none"/>
        </w:rPr>
        <w:t>评标委员会认定招标文件存在歧义、重大缺陷导致评审工作无法进行。</w:t>
      </w:r>
    </w:p>
    <w:p w14:paraId="07E63CD7">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Cs/>
          <w:sz w:val="24"/>
          <w:szCs w:val="24"/>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4</w:t>
      </w:r>
      <w:r>
        <w:rPr>
          <w:rFonts w:hint="eastAsia" w:ascii="宋体" w:hAnsi="宋体" w:eastAsia="宋体" w:cs="宋体"/>
          <w:b/>
          <w:color w:val="000000"/>
          <w:sz w:val="24"/>
          <w:szCs w:val="24"/>
          <w:highlight w:val="none"/>
        </w:rPr>
        <w:t>、对投标文件的初步审查和响应性确定</w:t>
      </w:r>
    </w:p>
    <w:p w14:paraId="3DBA230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.1.1 资格审查：依据法律法规和招标文件的规定，由采购人对投标文件中的资格证明文件进行审查。供应商在递交响应文件的同时，应逐项对照上述资格性检查要求提交相应的原件</w:t>
      </w:r>
      <w:r>
        <w:rPr>
          <w:rFonts w:hint="eastAsia" w:ascii="宋体" w:hAnsi="宋体" w:eastAsia="宋体" w:cs="宋体"/>
          <w:color w:val="000000"/>
          <w:sz w:val="24"/>
          <w:szCs w:val="24"/>
          <w:highlight w:val="none"/>
          <w:lang w:val="en-US" w:eastAsia="zh-CN"/>
        </w:rPr>
        <w:t>扫描件</w:t>
      </w:r>
      <w:r>
        <w:rPr>
          <w:rFonts w:hint="eastAsia" w:ascii="宋体" w:hAnsi="宋体" w:eastAsia="宋体" w:cs="宋体"/>
          <w:color w:val="000000"/>
          <w:sz w:val="24"/>
          <w:szCs w:val="24"/>
          <w:highlight w:val="none"/>
        </w:rPr>
        <w:t>和资格证明文件供</w:t>
      </w:r>
      <w:r>
        <w:rPr>
          <w:rFonts w:hint="eastAsia" w:ascii="宋体" w:hAnsi="宋体" w:eastAsia="宋体" w:cs="宋体"/>
          <w:color w:val="000000"/>
          <w:sz w:val="24"/>
          <w:szCs w:val="24"/>
          <w:highlight w:val="none"/>
          <w:lang w:val="en-US" w:eastAsia="zh-CN"/>
        </w:rPr>
        <w:t>资格审查小组</w:t>
      </w:r>
      <w:r>
        <w:rPr>
          <w:rFonts w:hint="eastAsia" w:ascii="宋体" w:hAnsi="宋体" w:eastAsia="宋体" w:cs="宋体"/>
          <w:color w:val="000000"/>
          <w:sz w:val="24"/>
          <w:szCs w:val="24"/>
          <w:highlight w:val="none"/>
        </w:rPr>
        <w:t>核查，否则</w:t>
      </w:r>
      <w:r>
        <w:rPr>
          <w:rFonts w:hint="eastAsia" w:ascii="宋体" w:hAnsi="宋体" w:eastAsia="宋体" w:cs="宋体"/>
          <w:color w:val="000000"/>
          <w:sz w:val="24"/>
          <w:szCs w:val="24"/>
          <w:highlight w:val="none"/>
          <w:lang w:val="en-US" w:eastAsia="zh-CN"/>
        </w:rPr>
        <w:t>资格审查小组</w:t>
      </w:r>
      <w:r>
        <w:rPr>
          <w:rFonts w:hint="eastAsia" w:ascii="宋体" w:hAnsi="宋体" w:eastAsia="宋体" w:cs="宋体"/>
          <w:color w:val="000000"/>
          <w:sz w:val="24"/>
          <w:szCs w:val="24"/>
          <w:highlight w:val="none"/>
        </w:rPr>
        <w:t>将不寻求</w:t>
      </w:r>
      <w:r>
        <w:rPr>
          <w:rFonts w:hint="eastAsia" w:ascii="宋体" w:hAnsi="宋体" w:eastAsia="宋体" w:cs="宋体"/>
          <w:color w:val="000000"/>
          <w:sz w:val="24"/>
          <w:szCs w:val="24"/>
          <w:highlight w:val="none"/>
          <w:lang w:val="en-US" w:eastAsia="zh-CN"/>
        </w:rPr>
        <w:t>其他</w:t>
      </w:r>
      <w:r>
        <w:rPr>
          <w:rFonts w:hint="eastAsia" w:ascii="宋体" w:hAnsi="宋体" w:eastAsia="宋体" w:cs="宋体"/>
          <w:color w:val="000000"/>
          <w:sz w:val="24"/>
          <w:szCs w:val="24"/>
          <w:highlight w:val="none"/>
        </w:rPr>
        <w:t>资格性检查</w:t>
      </w:r>
      <w:r>
        <w:rPr>
          <w:rFonts w:hint="eastAsia" w:ascii="宋体" w:hAnsi="宋体" w:eastAsia="宋体" w:cs="宋体"/>
          <w:color w:val="000000"/>
          <w:sz w:val="24"/>
          <w:szCs w:val="24"/>
          <w:highlight w:val="none"/>
          <w:lang w:val="en-US" w:eastAsia="zh-CN"/>
        </w:rPr>
        <w:t>以外</w:t>
      </w:r>
      <w:r>
        <w:rPr>
          <w:rFonts w:hint="eastAsia" w:ascii="宋体" w:hAnsi="宋体" w:eastAsia="宋体" w:cs="宋体"/>
          <w:color w:val="000000"/>
          <w:sz w:val="24"/>
          <w:szCs w:val="24"/>
          <w:highlight w:val="none"/>
        </w:rPr>
        <w:t>的证据。</w:t>
      </w:r>
      <w:r>
        <w:rPr>
          <w:rFonts w:hint="eastAsia" w:ascii="宋体" w:hAnsi="宋体" w:eastAsia="宋体" w:cs="宋体"/>
          <w:color w:val="000000"/>
          <w:sz w:val="24"/>
          <w:szCs w:val="24"/>
          <w:highlight w:val="none"/>
          <w:lang w:val="en-US" w:eastAsia="zh-CN"/>
        </w:rPr>
        <w:t>上传与本项</w:t>
      </w:r>
      <w:r>
        <w:rPr>
          <w:rFonts w:hint="eastAsia" w:ascii="宋体" w:hAnsi="宋体" w:eastAsia="宋体" w:cs="宋体"/>
          <w:color w:val="000000"/>
          <w:sz w:val="24"/>
          <w:szCs w:val="24"/>
          <w:highlight w:val="none"/>
        </w:rPr>
        <w:t>资格性检查要求</w:t>
      </w:r>
      <w:r>
        <w:rPr>
          <w:rFonts w:hint="eastAsia" w:ascii="宋体" w:hAnsi="宋体" w:eastAsia="宋体" w:cs="宋体"/>
          <w:color w:val="000000"/>
          <w:sz w:val="24"/>
          <w:szCs w:val="24"/>
          <w:highlight w:val="none"/>
          <w:lang w:val="en-US" w:eastAsia="zh-CN"/>
        </w:rPr>
        <w:t>无关的材料时资格审查小组将按照无效标响应处理。</w:t>
      </w:r>
      <w:r>
        <w:rPr>
          <w:rFonts w:hint="eastAsia" w:ascii="宋体" w:hAnsi="宋体" w:eastAsia="宋体" w:cs="宋体"/>
          <w:color w:val="000000"/>
          <w:sz w:val="24"/>
          <w:szCs w:val="24"/>
          <w:highlight w:val="none"/>
        </w:rPr>
        <w:t>资格审查的结论，采购人以书面形式向评委会进行反馈。</w:t>
      </w:r>
    </w:p>
    <w:p w14:paraId="1DD30B1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接受联合体的项目，两个以上的自然人、法人或者其他组织组成一个联合体，以一个供应商的身份共同参加政府采购活动的,联合体成员存在不良信用记录的，视同联合体存在不良应用记录。</w:t>
      </w:r>
    </w:p>
    <w:p w14:paraId="5FE5DD5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.1.2 符合性审查：依据招标文件的规定，由评委会从投标文件的有效性、完整性和对招标文件的响应程度进行审查，以确定是否对招标文件的实质性要求作出响应。</w:t>
      </w:r>
    </w:p>
    <w:p w14:paraId="47E8AE8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.1.3 未通过资格审查或符合性审查的投标人，</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将在评标现场向其授权代表告知未通过资格审查或符合性审查的原因，评审结束后，</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将不再告知未通过资格审查或符合性审查的原因。</w:t>
      </w:r>
    </w:p>
    <w:p w14:paraId="0ABB78D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.2在详细评标之前，评委会将首先审查每份投标文件是否实质性响应了招标文件的要求。实质性响应的投标应该是与招标文件要求的全部条款、条件和规格相符，没有重大偏离或保留的投标。</w:t>
      </w:r>
    </w:p>
    <w:p w14:paraId="5019EFC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14:paraId="131C94E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.3如果投标文件实质上没有响应招标文件的要求，评委会将予以拒绝，投标人不得通过修改或撤销不合要求的偏离或保留而使其投标成为实质性响应的投标。</w:t>
      </w:r>
    </w:p>
    <w:p w14:paraId="5B1C1231">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.4评委会将对确定为实质性响应的投标进行进一步审核，看其是否有计算上或累加上的算术错误，修正错误的原则如下：</w:t>
      </w:r>
    </w:p>
    <w:p w14:paraId="5ADC645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24.4.1</w:t>
      </w:r>
      <w:r>
        <w:rPr>
          <w:rFonts w:hint="eastAsia" w:ascii="宋体" w:hAnsi="宋体" w:eastAsia="宋体" w:cs="宋体"/>
          <w:color w:val="000000"/>
          <w:sz w:val="24"/>
          <w:szCs w:val="24"/>
          <w:highlight w:val="none"/>
        </w:rPr>
        <w:t>投标文件中开标一览表内容与投标文件中相应内容不一致的，以开标一览表为准。</w:t>
      </w:r>
    </w:p>
    <w:p w14:paraId="31428AF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24.4.2</w:t>
      </w:r>
      <w:r>
        <w:rPr>
          <w:rFonts w:hint="eastAsia" w:ascii="宋体" w:hAnsi="宋体" w:eastAsia="宋体" w:cs="宋体"/>
          <w:color w:val="000000"/>
          <w:sz w:val="24"/>
          <w:szCs w:val="24"/>
          <w:highlight w:val="none"/>
        </w:rPr>
        <w:t>大写金额和小写金额不一致的，以大写金额为准。</w:t>
      </w:r>
    </w:p>
    <w:p w14:paraId="7E29784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24.4.3</w:t>
      </w:r>
      <w:r>
        <w:rPr>
          <w:rFonts w:hint="eastAsia" w:ascii="宋体" w:hAnsi="宋体" w:eastAsia="宋体" w:cs="宋体"/>
          <w:color w:val="000000"/>
          <w:sz w:val="24"/>
          <w:szCs w:val="24"/>
          <w:highlight w:val="none"/>
        </w:rPr>
        <w:t>单价金额小数点或者百分比有明显错位的，以开标一览表的总价为准，并修改单价。</w:t>
      </w:r>
    </w:p>
    <w:p w14:paraId="1CF93B4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24.4.4</w:t>
      </w:r>
      <w:r>
        <w:rPr>
          <w:rFonts w:hint="eastAsia" w:ascii="宋体" w:hAnsi="宋体" w:eastAsia="宋体" w:cs="宋体"/>
          <w:color w:val="000000"/>
          <w:sz w:val="24"/>
          <w:szCs w:val="24"/>
          <w:highlight w:val="none"/>
        </w:rPr>
        <w:t>总价金额与按单价汇总金额不一致的，以单价金额计算结果为准。</w:t>
      </w:r>
    </w:p>
    <w:p w14:paraId="3EA55A2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同时出现两种以上错误的，按照前款规定的顺序修正。</w:t>
      </w:r>
    </w:p>
    <w:p w14:paraId="41D8DD21">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.5评委会将按上述修正错误的方法调整投标文件中的投标报价，调整后的价格应对投标人具有约束力。如果投标人不接受修正后的价格，则其投标将被拒绝，其投标保证金不予退还。</w:t>
      </w:r>
    </w:p>
    <w:p w14:paraId="528104A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color w:val="000000"/>
          <w:kern w:val="2"/>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.6评委会将允许修正投标文件中不构成重大偏离的、微小的、非正规的、不一致的或不规则的地方，但这些修改不能影响任何投标人相应的名次排列。</w:t>
      </w:r>
    </w:p>
    <w:p w14:paraId="0CE4688C">
      <w:pPr>
        <w:pageBreakBefore w:val="0"/>
        <w:numPr>
          <w:ilvl w:val="0"/>
          <w:numId w:val="0"/>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、投标文件的澄清</w:t>
      </w:r>
    </w:p>
    <w:p w14:paraId="73673F6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.1 评标委员会在评标过程中有权随时请投标人就投标文件中含混之处加以澄清或答疑。</w:t>
      </w:r>
    </w:p>
    <w:p w14:paraId="45AFC14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.2 投标人对要求澄清的问题应以书面形式明确答复，并应有法人授权代表的签署。</w:t>
      </w:r>
    </w:p>
    <w:p w14:paraId="7103EC3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.3 投标人的澄清文件是投标文件的组成部分，并取代投标文件中被澄清的部分。</w:t>
      </w:r>
    </w:p>
    <w:p w14:paraId="41EFADD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.4 投标文件的澄清不得改变投标的实质内容。</w:t>
      </w:r>
    </w:p>
    <w:p w14:paraId="06D63C0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.5如果投标人在投标文件中未对招标文件中的条款或参数要求提出偏离意见或澄清将视同投标人同意招标文件的全部或部分要求。</w:t>
      </w:r>
    </w:p>
    <w:p w14:paraId="0481874A">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rPr>
        <w:t>、定标</w:t>
      </w:r>
    </w:p>
    <w:p w14:paraId="1670626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.1 评标委员会有权选择和拒绝投标人中标，且无需向投标人进行任何有关评标的解释工作。</w:t>
      </w:r>
    </w:p>
    <w:p w14:paraId="037996F5">
      <w:pPr>
        <w:pStyle w:val="38"/>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.2 评标委员会通过上述评标方法以</w:t>
      </w:r>
      <w:r>
        <w:rPr>
          <w:rFonts w:hint="eastAsia" w:ascii="宋体" w:hAnsi="宋体" w:eastAsia="宋体" w:cs="宋体"/>
          <w:b/>
          <w:color w:val="000000"/>
          <w:sz w:val="24"/>
          <w:szCs w:val="24"/>
          <w:highlight w:val="none"/>
        </w:rPr>
        <w:t>最终合计得分最高的投标人作为第一中标候选人，以此类推确定第二、第三中标候选人。</w:t>
      </w:r>
    </w:p>
    <w:p w14:paraId="2D8CFCC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 若有充分证据证明，中标人出现下列情况之一的，一经查实，将被取消中标资格：</w:t>
      </w:r>
    </w:p>
    <w:p w14:paraId="75238B3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提供虚假材料谋取中标的。</w:t>
      </w:r>
    </w:p>
    <w:p w14:paraId="742FAB8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向采购人、采购中心行贿或者提供其他不正当利益的。</w:t>
      </w:r>
    </w:p>
    <w:p w14:paraId="4122B3C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恶意竞争，投标总报价明显低于其自身合理成本且又无法提供证明的。</w:t>
      </w:r>
    </w:p>
    <w:p w14:paraId="2B3E7E8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属于本文件规定的无效条件，但在评标过程中又未被评委会发现的。</w:t>
      </w:r>
    </w:p>
    <w:p w14:paraId="66DF861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与采购人或者其他供应商恶意串通的。</w:t>
      </w:r>
    </w:p>
    <w:p w14:paraId="26540BD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采取不正当手段诋毁、排挤其他供应商的。</w:t>
      </w:r>
    </w:p>
    <w:p w14:paraId="7C473C0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w:t>
      </w:r>
      <w:r>
        <w:rPr>
          <w:rFonts w:hint="eastAsia" w:ascii="宋体" w:hAnsi="宋体" w:eastAsia="宋体" w:cs="宋体"/>
          <w:color w:val="000000"/>
          <w:sz w:val="24"/>
          <w:szCs w:val="24"/>
          <w:highlight w:val="none"/>
        </w:rPr>
        <w:t>有下列情形之一的，视为投标人串通投标，投标无效：</w:t>
      </w:r>
    </w:p>
    <w:p w14:paraId="1897CAA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26.4.1</w:t>
      </w:r>
      <w:r>
        <w:rPr>
          <w:rFonts w:hint="eastAsia" w:ascii="宋体" w:hAnsi="宋体" w:eastAsia="宋体" w:cs="宋体"/>
          <w:color w:val="000000"/>
          <w:sz w:val="24"/>
          <w:szCs w:val="24"/>
          <w:highlight w:val="none"/>
        </w:rPr>
        <w:t>不同投标人的投标文件由同一单位或者个人编制。</w:t>
      </w:r>
    </w:p>
    <w:p w14:paraId="25FCA35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26.4.2</w:t>
      </w:r>
      <w:r>
        <w:rPr>
          <w:rFonts w:hint="eastAsia" w:ascii="宋体" w:hAnsi="宋体" w:eastAsia="宋体" w:cs="宋体"/>
          <w:color w:val="000000"/>
          <w:sz w:val="24"/>
          <w:szCs w:val="24"/>
          <w:highlight w:val="none"/>
        </w:rPr>
        <w:t>不同投标人委托同一单位或者个人办理投标事宜。</w:t>
      </w:r>
    </w:p>
    <w:p w14:paraId="53560F2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26.4.3</w:t>
      </w:r>
      <w:r>
        <w:rPr>
          <w:rFonts w:hint="eastAsia" w:ascii="宋体" w:hAnsi="宋体" w:eastAsia="宋体" w:cs="宋体"/>
          <w:color w:val="000000"/>
          <w:sz w:val="24"/>
          <w:szCs w:val="24"/>
          <w:highlight w:val="none"/>
        </w:rPr>
        <w:t>不同投标人的投标文件载明的项目管理成员或者联系人员为同一人。</w:t>
      </w:r>
    </w:p>
    <w:p w14:paraId="2DED903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26.4.4</w:t>
      </w:r>
      <w:r>
        <w:rPr>
          <w:rFonts w:hint="eastAsia" w:ascii="宋体" w:hAnsi="宋体" w:eastAsia="宋体" w:cs="宋体"/>
          <w:color w:val="000000"/>
          <w:sz w:val="24"/>
          <w:szCs w:val="24"/>
          <w:highlight w:val="none"/>
        </w:rPr>
        <w:t>不同投标人的投标文件异常一致或者投标报价呈规律性差异。</w:t>
      </w:r>
    </w:p>
    <w:p w14:paraId="36745B8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26.4.5</w:t>
      </w:r>
      <w:r>
        <w:rPr>
          <w:rFonts w:hint="eastAsia" w:ascii="宋体" w:hAnsi="宋体" w:eastAsia="宋体" w:cs="宋体"/>
          <w:color w:val="000000"/>
          <w:sz w:val="24"/>
          <w:szCs w:val="24"/>
          <w:highlight w:val="none"/>
        </w:rPr>
        <w:t>不同投标人的投标文件相互混装。</w:t>
      </w:r>
    </w:p>
    <w:p w14:paraId="67FF6EB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26.4.6</w:t>
      </w:r>
      <w:r>
        <w:rPr>
          <w:rFonts w:hint="eastAsia" w:ascii="宋体" w:hAnsi="宋体" w:eastAsia="宋体" w:cs="宋体"/>
          <w:color w:val="000000"/>
          <w:sz w:val="24"/>
          <w:szCs w:val="24"/>
          <w:highlight w:val="none"/>
        </w:rPr>
        <w:t>不同投标人的投标保证金从同一单位或者个人的账户转出。</w:t>
      </w:r>
    </w:p>
    <w:p w14:paraId="162BBB5D">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、中标通知</w:t>
      </w:r>
    </w:p>
    <w:p w14:paraId="5AF39A6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.1中标公示期：在“新疆政府采购网”发布中标公告，期限为1个工作日。</w:t>
      </w:r>
    </w:p>
    <w:p w14:paraId="0EEA18C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.2招标代理机构根据定标结果，在投标有效期届满前，以书面形式向中标单位发出中标通知书。</w:t>
      </w:r>
    </w:p>
    <w:p w14:paraId="1FA0CCD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.3 招标代理机构将定标结果及时通知未中标单位并退还投标保证金。无需解释落标原因。</w:t>
      </w:r>
    </w:p>
    <w:p w14:paraId="0471BF68">
      <w:pPr>
        <w:pStyle w:val="15"/>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28、质疑处理</w:t>
      </w:r>
    </w:p>
    <w:p w14:paraId="54D73AF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.1 提出质疑的供应商应当是参与所质疑项目采购活动的供应商。潜在供应商依法获取其可质疑的采购文件的，可以对采购文件提出质疑。</w:t>
      </w:r>
    </w:p>
    <w:p w14:paraId="4475553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.2供应商认为采购文件、采购过程和采购结果使自己的权益受到损害的，可以在知道或应知其权益受到损害之日起七个工作日内，以书面形式向</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或采购人提出质疑。上述应知其权益受到损害之日，是指：</w:t>
      </w:r>
    </w:p>
    <w:p w14:paraId="51D9FFF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.2.1对可以质疑的采购文件提出质疑的，为收到采购文件之日或者采购文件公告期限届满之日；</w:t>
      </w:r>
    </w:p>
    <w:p w14:paraId="1F57920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.2.2对采购过程提出质疑的，为各采购程序环节结束之日；</w:t>
      </w:r>
    </w:p>
    <w:p w14:paraId="1074B0A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.2.3对中标或者成交结果提出质疑的，为中标或者成交结果公告期限届满之日。</w:t>
      </w:r>
    </w:p>
    <w:p w14:paraId="3EF0893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供应商应当在法定质疑期内一次性提出针对同一采购程序环节的质疑。</w:t>
      </w:r>
      <w:r>
        <w:rPr>
          <w:rFonts w:hint="eastAsia" w:ascii="宋体" w:hAnsi="宋体" w:eastAsia="宋体" w:cs="宋体"/>
          <w:b/>
          <w:bCs/>
          <w:color w:val="000000"/>
          <w:sz w:val="24"/>
          <w:szCs w:val="24"/>
          <w:highlight w:val="none"/>
        </w:rPr>
        <w:t>供应商如在法定期限内对同一采购程序环节提出多次质疑的，</w:t>
      </w:r>
      <w:r>
        <w:rPr>
          <w:rFonts w:hint="eastAsia" w:ascii="宋体" w:hAnsi="宋体" w:eastAsia="宋体" w:cs="宋体"/>
          <w:b/>
          <w:bCs/>
          <w:color w:val="000000"/>
          <w:sz w:val="24"/>
          <w:szCs w:val="24"/>
          <w:highlight w:val="none"/>
          <w:lang w:val="en-US" w:eastAsia="zh-CN"/>
        </w:rPr>
        <w:t>招标代理机构</w:t>
      </w:r>
      <w:r>
        <w:rPr>
          <w:rFonts w:hint="eastAsia" w:ascii="宋体" w:hAnsi="宋体" w:eastAsia="宋体" w:cs="宋体"/>
          <w:b/>
          <w:bCs/>
          <w:color w:val="000000"/>
          <w:sz w:val="24"/>
          <w:szCs w:val="24"/>
          <w:highlight w:val="none"/>
        </w:rPr>
        <w:t>将只对供应商第一次质疑作出答复。</w:t>
      </w:r>
    </w:p>
    <w:p w14:paraId="7663DED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只接收以纸质原件形式送达的质疑。</w:t>
      </w:r>
      <w:r>
        <w:rPr>
          <w:rFonts w:hint="eastAsia" w:ascii="宋体" w:hAnsi="宋体" w:eastAsia="宋体" w:cs="宋体"/>
          <w:color w:val="000000"/>
          <w:sz w:val="24"/>
          <w:szCs w:val="24"/>
          <w:highlight w:val="none"/>
          <w:lang w:val="en-US" w:eastAsia="zh-CN"/>
        </w:rPr>
        <w:t>联系方式见前附表</w:t>
      </w:r>
      <w:r>
        <w:rPr>
          <w:rFonts w:hint="eastAsia" w:ascii="宋体" w:hAnsi="宋体" w:eastAsia="宋体" w:cs="宋体"/>
          <w:color w:val="000000"/>
          <w:sz w:val="24"/>
          <w:szCs w:val="24"/>
          <w:highlight w:val="none"/>
        </w:rPr>
        <w:t>。</w:t>
      </w:r>
    </w:p>
    <w:p w14:paraId="518CC69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28.4质疑函必须按照本招标文件中《质疑</w:t>
      </w:r>
      <w:bookmarkStart w:id="35" w:name="_GoBack"/>
      <w:bookmarkEnd w:id="35"/>
      <w:r>
        <w:rPr>
          <w:rFonts w:hint="eastAsia" w:ascii="宋体" w:hAnsi="宋体" w:cs="宋体"/>
          <w:color w:val="000000"/>
          <w:sz w:val="24"/>
          <w:szCs w:val="24"/>
          <w:highlight w:val="none"/>
          <w:lang w:val="en-US" w:eastAsia="zh-CN"/>
        </w:rPr>
        <w:t>函范本》要求的格式和内容进行填写。供应商如组成联合体参加投标，则《质疑函范本》中要求签字、盖章、加盖公章之处，联合体各方均须按要求签字、盖章、加盖公章。</w:t>
      </w:r>
    </w:p>
    <w:p w14:paraId="32BCE99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 以下情形的质疑不予受理</w:t>
      </w:r>
    </w:p>
    <w:p w14:paraId="6B5FE77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.5.1 内容不符合《政府采购质疑和投诉办法》第十二条规定的质疑。</w:t>
      </w:r>
    </w:p>
    <w:p w14:paraId="3CB9A3C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.5.2 超出政府采购法定期限的质疑。</w:t>
      </w:r>
    </w:p>
    <w:p w14:paraId="05F51E7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未参加投标活动的供应商或在投标活动中自身权益未受到损害的供应商所提出的质疑。</w:t>
      </w:r>
    </w:p>
    <w:p w14:paraId="0D887FE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供应商组成联合体参加投标，联合体中任何一方或多方未按要求签字、盖章、加盖公章的质疑。</w:t>
      </w:r>
    </w:p>
    <w:p w14:paraId="3836EDB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14:paraId="100B67AA">
      <w:pPr>
        <w:pageBreakBefore w:val="0"/>
        <w:widowControl w:val="0"/>
        <w:kinsoku/>
        <w:wordWrap/>
        <w:overflowPunct/>
        <w:topLinePunct w:val="0"/>
        <w:autoSpaceDE/>
        <w:autoSpaceDN/>
        <w:bidi w:val="0"/>
        <w:spacing w:beforeAutospacing="0" w:afterAutospacing="0" w:line="400" w:lineRule="exact"/>
        <w:textAlignment w:val="auto"/>
        <w:rPr>
          <w:rFonts w:hint="eastAsia" w:ascii="宋体" w:hAnsi="宋体" w:eastAsia="宋体" w:cs="宋体"/>
          <w:sz w:val="24"/>
          <w:szCs w:val="24"/>
          <w:lang w:eastAsia="zh-CN"/>
        </w:rPr>
      </w:pPr>
    </w:p>
    <w:p w14:paraId="0EA9CD51">
      <w:pPr>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000000"/>
          <w:sz w:val="24"/>
          <w:szCs w:val="24"/>
          <w:highlight w:val="none"/>
        </w:rPr>
      </w:pPr>
    </w:p>
    <w:p w14:paraId="64C9B282">
      <w:pPr>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七、签定合同</w:t>
      </w:r>
    </w:p>
    <w:p w14:paraId="59298F58">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29</w:t>
      </w:r>
      <w:r>
        <w:rPr>
          <w:rFonts w:hint="eastAsia" w:ascii="宋体" w:hAnsi="宋体" w:eastAsia="宋体" w:cs="宋体"/>
          <w:b/>
          <w:color w:val="000000"/>
          <w:sz w:val="24"/>
          <w:szCs w:val="24"/>
          <w:highlight w:val="none"/>
        </w:rPr>
        <w:t>、签定合同</w:t>
      </w:r>
    </w:p>
    <w:p w14:paraId="0D1056E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和中标人在自中标通知书发出之日起</w:t>
      </w:r>
      <w:r>
        <w:rPr>
          <w:rFonts w:hint="eastAsia" w:ascii="宋体" w:hAnsi="宋体" w:eastAsia="宋体" w:cs="宋体"/>
          <w:b/>
          <w:bCs/>
          <w:sz w:val="24"/>
          <w:szCs w:val="24"/>
          <w:highlight w:val="none"/>
        </w:rPr>
        <w:t>30</w:t>
      </w:r>
      <w:r>
        <w:rPr>
          <w:rFonts w:hint="eastAsia" w:ascii="宋体" w:hAnsi="宋体" w:eastAsia="宋体" w:cs="宋体"/>
          <w:color w:val="000000"/>
          <w:sz w:val="24"/>
          <w:szCs w:val="24"/>
          <w:highlight w:val="none"/>
        </w:rPr>
        <w:t>日内，依据《中华人民共和国经济合同法》和有关法规及招、投标文件签定合同。</w:t>
      </w:r>
    </w:p>
    <w:p w14:paraId="5D25377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.2 中标合同不得转让。合同分包需在投标文件中予以说明，并需经</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同意。否则，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有权取消中标人的中标资格。</w:t>
      </w:r>
    </w:p>
    <w:p w14:paraId="0030781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如遇中标人违约，可从侯选中标人中重新选定中标人，并签定经济合同。</w:t>
      </w:r>
    </w:p>
    <w:p w14:paraId="4F6B2AF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.4 合同的制订由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、中标人、招标代理机构三方参加，为确保合同双方的利益均等，由招标代理机构在合同制订过程中进行协调。</w:t>
      </w:r>
    </w:p>
    <w:p w14:paraId="44C17AA7">
      <w:pPr>
        <w:pStyle w:val="5"/>
        <w:pageBreakBefore w:val="0"/>
        <w:widowControl w:val="0"/>
        <w:kinsoku/>
        <w:wordWrap/>
        <w:overflowPunct/>
        <w:topLinePunct w:val="0"/>
        <w:autoSpaceDE/>
        <w:autoSpaceDN/>
        <w:bidi w:val="0"/>
        <w:spacing w:beforeAutospacing="0" w:afterAutospacing="0" w:line="400" w:lineRule="exact"/>
        <w:ind w:firstLine="482" w:firstLineChars="200"/>
        <w:textAlignment w:val="auto"/>
        <w:rPr>
          <w:rFonts w:hint="eastAsia" w:ascii="宋体" w:hAnsi="宋体" w:eastAsia="宋体" w:cs="宋体"/>
          <w:b/>
          <w:color w:val="000000"/>
          <w:kern w:val="2"/>
          <w:sz w:val="24"/>
          <w:szCs w:val="24"/>
          <w:highlight w:val="none"/>
          <w:lang w:val="en-US" w:eastAsia="zh-CN" w:bidi="ar-SA"/>
        </w:rPr>
      </w:pPr>
      <w:bookmarkStart w:id="1" w:name="_Toc513029243"/>
      <w:bookmarkStart w:id="2" w:name="_Toc20823315"/>
      <w:bookmarkStart w:id="3" w:name="_Toc16938559"/>
      <w:r>
        <w:rPr>
          <w:rFonts w:hint="eastAsia" w:ascii="宋体" w:hAnsi="宋体" w:eastAsia="宋体" w:cs="宋体"/>
          <w:b/>
          <w:color w:val="000000"/>
          <w:kern w:val="2"/>
          <w:sz w:val="24"/>
          <w:szCs w:val="24"/>
          <w:highlight w:val="none"/>
          <w:lang w:val="en-US" w:eastAsia="zh-CN" w:bidi="ar-SA"/>
        </w:rPr>
        <w:t>30、货物和服务的追加、减少和添购</w:t>
      </w:r>
    </w:p>
    <w:p w14:paraId="702FCA5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14:paraId="6CAD51A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r>
        <w:rPr>
          <w:rFonts w:hint="eastAsia" w:ascii="宋体" w:hAnsi="宋体" w:eastAsia="宋体" w:cs="宋体"/>
          <w:color w:val="000000"/>
          <w:sz w:val="24"/>
          <w:szCs w:val="24"/>
          <w:highlight w:val="none"/>
          <w:lang w:eastAsia="zh-CN"/>
        </w:rPr>
        <w:t>。</w:t>
      </w:r>
    </w:p>
    <w:p w14:paraId="788D4E84">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31</w:t>
      </w:r>
      <w:r>
        <w:rPr>
          <w:rFonts w:hint="eastAsia" w:ascii="宋体" w:hAnsi="宋体" w:eastAsia="宋体" w:cs="宋体"/>
          <w:b/>
          <w:bCs/>
          <w:color w:val="000000"/>
          <w:sz w:val="24"/>
          <w:szCs w:val="24"/>
          <w:highlight w:val="none"/>
        </w:rPr>
        <w:t>. 履约保证金：</w:t>
      </w:r>
    </w:p>
    <w:bookmarkEnd w:id="1"/>
    <w:bookmarkEnd w:id="2"/>
    <w:bookmarkEnd w:id="3"/>
    <w:p w14:paraId="78903274">
      <w:pPr>
        <w:pStyle w:val="22"/>
        <w:pageBreakBefore w:val="0"/>
        <w:kinsoku/>
        <w:wordWrap/>
        <w:overflowPunct/>
        <w:topLinePunct w:val="0"/>
        <w:bidi w:val="0"/>
        <w:spacing w:beforeAutospacing="0" w:after="0" w:afterAutospacing="0" w:line="400" w:lineRule="exact"/>
        <w:ind w:left="0" w:leftChars="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无</w:t>
      </w:r>
    </w:p>
    <w:p w14:paraId="572587BF">
      <w:pPr>
        <w:rPr>
          <w:rFonts w:hint="eastAsia"/>
        </w:rPr>
      </w:pPr>
    </w:p>
    <w:p w14:paraId="4397D8B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35569D4">
      <w:pPr>
        <w:tabs>
          <w:tab w:val="left" w:pos="3777"/>
          <w:tab w:val="center" w:pos="4819"/>
        </w:tabs>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质疑函</w:t>
      </w:r>
      <w:r>
        <w:rPr>
          <w:rFonts w:hint="eastAsia" w:ascii="宋体" w:hAnsi="宋体" w:eastAsia="宋体" w:cs="宋体"/>
          <w:b/>
          <w:color w:val="auto"/>
          <w:kern w:val="0"/>
          <w:sz w:val="32"/>
          <w:szCs w:val="32"/>
          <w:highlight w:val="none"/>
          <w:lang w:val="en-US" w:eastAsia="zh-CN"/>
        </w:rPr>
        <w:t>范本</w:t>
      </w:r>
    </w:p>
    <w:p w14:paraId="1B1C63AF">
      <w:pPr>
        <w:snapToGrid w:val="0"/>
        <w:spacing w:line="4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致</w:t>
      </w:r>
      <w:r>
        <w:rPr>
          <w:rFonts w:hint="eastAsia" w:ascii="宋体" w:hAnsi="宋体" w:eastAsia="宋体" w:cs="宋体"/>
          <w:color w:val="auto"/>
          <w:sz w:val="24"/>
          <w:highlight w:val="none"/>
          <w:u w:val="single"/>
          <w:lang w:val="en-US" w:eastAsia="zh-CN"/>
        </w:rPr>
        <w:t>新疆</w:t>
      </w:r>
      <w:r>
        <w:rPr>
          <w:rFonts w:hint="eastAsia" w:ascii="宋体" w:hAnsi="宋体" w:eastAsia="宋体" w:cs="宋体"/>
          <w:color w:val="auto"/>
          <w:sz w:val="24"/>
          <w:highlight w:val="none"/>
          <w:u w:val="single"/>
          <w:lang w:eastAsia="zh-CN"/>
        </w:rPr>
        <w:t>华域天恒工程管理有限公司</w:t>
      </w:r>
      <w:r>
        <w:rPr>
          <w:rFonts w:hint="eastAsia" w:ascii="宋体" w:hAnsi="宋体" w:eastAsia="宋体" w:cs="宋体"/>
          <w:color w:val="auto"/>
          <w:sz w:val="24"/>
          <w:highlight w:val="none"/>
        </w:rPr>
        <w:t>：</w:t>
      </w:r>
    </w:p>
    <w:p w14:paraId="1A91321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依据政府采购相关法规，我公司对</w:t>
      </w:r>
      <w:r>
        <w:rPr>
          <w:rFonts w:hint="eastAsia" w:ascii="宋体" w:hAnsi="宋体" w:eastAsia="宋体" w:cs="宋体"/>
          <w:color w:val="auto"/>
          <w:sz w:val="24"/>
          <w:highlight w:val="none"/>
          <w:u w:val="single"/>
        </w:rPr>
        <w:t>项目的（项目编号：</w:t>
      </w:r>
      <w:r>
        <w:rPr>
          <w:rFonts w:hint="eastAsia" w:ascii="宋体" w:hAnsi="宋体" w:eastAsia="宋体" w:cs="宋体"/>
          <w:color w:val="auto"/>
          <w:sz w:val="24"/>
          <w:highlight w:val="none"/>
        </w:rPr>
        <w:t>）招标活动存在疑问，特提出质疑（详见下表）。</w:t>
      </w:r>
    </w:p>
    <w:p w14:paraId="03CA7FD7">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我公司和本人对此质疑函内容的真实性负责，并愿意承担由此引起的相应处理和法律责任。</w:t>
      </w:r>
    </w:p>
    <w:p w14:paraId="20279B3A">
      <w:pPr>
        <w:snapToGrid w:val="0"/>
        <w:spacing w:line="400" w:lineRule="exact"/>
        <w:ind w:firstLine="480" w:firstLineChars="200"/>
        <w:rPr>
          <w:rFonts w:hint="eastAsia" w:ascii="宋体" w:hAnsi="宋体" w:eastAsia="宋体" w:cs="宋体"/>
          <w:color w:val="auto"/>
          <w:sz w:val="24"/>
          <w:highlight w:val="none"/>
        </w:rPr>
      </w:pPr>
    </w:p>
    <w:p w14:paraId="213F3874">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（签字并盖名章）：</w:t>
      </w:r>
    </w:p>
    <w:p w14:paraId="549FDE9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048241E1">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固话：传真：手机：</w:t>
      </w:r>
    </w:p>
    <w:p w14:paraId="002E48FD">
      <w:pPr>
        <w:snapToGrid w:val="0"/>
        <w:spacing w:line="400" w:lineRule="exact"/>
        <w:rPr>
          <w:rFonts w:hint="eastAsia" w:ascii="宋体" w:hAnsi="宋体" w:eastAsia="宋体" w:cs="宋体"/>
          <w:color w:val="auto"/>
          <w:sz w:val="24"/>
          <w:highlight w:val="none"/>
        </w:rPr>
      </w:pPr>
    </w:p>
    <w:p w14:paraId="47A4F6E3">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本项目授权委托人（签字并盖名章）：</w:t>
      </w:r>
    </w:p>
    <w:p w14:paraId="2CAAF8CD">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01879461">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固话：传真：手机：</w:t>
      </w:r>
    </w:p>
    <w:p w14:paraId="134FF075">
      <w:pPr>
        <w:snapToGrid w:val="0"/>
        <w:spacing w:line="400" w:lineRule="exact"/>
        <w:rPr>
          <w:rFonts w:hint="eastAsia" w:ascii="宋体" w:hAnsi="宋体" w:eastAsia="宋体" w:cs="宋体"/>
          <w:color w:val="auto"/>
          <w:sz w:val="24"/>
          <w:highlight w:val="none"/>
        </w:rPr>
      </w:pPr>
    </w:p>
    <w:p w14:paraId="1452E59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公司地址：邮编：</w:t>
      </w:r>
    </w:p>
    <w:p w14:paraId="4DE9C8FE">
      <w:pPr>
        <w:snapToGrid w:val="0"/>
        <w:spacing w:line="400" w:lineRule="exact"/>
        <w:rPr>
          <w:rFonts w:hint="eastAsia" w:ascii="宋体" w:hAnsi="宋体" w:eastAsia="宋体" w:cs="宋体"/>
        </w:rPr>
      </w:pPr>
      <w:r>
        <w:rPr>
          <w:rFonts w:hint="eastAsia" w:ascii="宋体" w:hAnsi="宋体" w:eastAsia="宋体" w:cs="宋体"/>
          <w:color w:val="auto"/>
          <w:sz w:val="24"/>
          <w:highlight w:val="none"/>
        </w:rPr>
        <w:t>（如法人为质疑人则不需要填此项</w:t>
      </w:r>
      <w:r>
        <w:rPr>
          <w:rFonts w:hint="eastAsia" w:ascii="宋体" w:hAnsi="宋体" w:eastAsia="宋体" w:cs="宋体"/>
          <w:color w:val="auto"/>
          <w:sz w:val="24"/>
          <w:highlight w:val="none"/>
          <w:lang w:eastAsia="zh-CN"/>
        </w:rPr>
        <w:t>目）</w:t>
      </w:r>
    </w:p>
    <w:p w14:paraId="78939B15">
      <w:pPr>
        <w:spacing w:line="400" w:lineRule="exact"/>
        <w:ind w:firstLine="3000" w:firstLineChars="12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质疑人（公章）：</w:t>
      </w:r>
    </w:p>
    <w:p w14:paraId="3BFE3307">
      <w:pPr>
        <w:snapToGrid w:val="0"/>
        <w:spacing w:line="400" w:lineRule="exact"/>
        <w:jc w:val="both"/>
        <w:rPr>
          <w:rFonts w:hint="eastAsia" w:ascii="宋体" w:hAnsi="宋体" w:eastAsia="宋体" w:cs="宋体"/>
          <w:color w:val="auto"/>
          <w:sz w:val="24"/>
          <w:highlight w:val="none"/>
        </w:rPr>
      </w:pPr>
    </w:p>
    <w:p w14:paraId="728B8C0C">
      <w:pPr>
        <w:snapToGrid w:val="0"/>
        <w:spacing w:line="4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00B35FD7">
      <w:pPr>
        <w:spacing w:line="400" w:lineRule="exact"/>
        <w:jc w:val="both"/>
        <w:rPr>
          <w:rFonts w:hint="eastAsia" w:ascii="宋体" w:hAnsi="宋体" w:eastAsia="宋体" w:cs="宋体"/>
          <w:bCs/>
          <w:color w:val="auto"/>
          <w:sz w:val="24"/>
          <w:highlight w:val="none"/>
        </w:rPr>
      </w:pPr>
    </w:p>
    <w:p w14:paraId="22228523">
      <w:pPr>
        <w:spacing w:line="400" w:lineRule="exact"/>
        <w:jc w:val="center"/>
        <w:rPr>
          <w:rFonts w:hint="eastAsia" w:ascii="宋体" w:hAnsi="宋体" w:eastAsia="宋体" w:cs="宋体"/>
          <w:bCs/>
          <w:color w:val="auto"/>
          <w:sz w:val="24"/>
          <w:highlight w:val="none"/>
        </w:rPr>
      </w:pPr>
    </w:p>
    <w:p w14:paraId="47F7A210">
      <w:pPr>
        <w:spacing w:line="400" w:lineRule="exact"/>
        <w:jc w:val="center"/>
        <w:rPr>
          <w:rFonts w:hint="eastAsia" w:ascii="宋体" w:hAnsi="宋体" w:eastAsia="宋体" w:cs="宋体"/>
          <w:bCs/>
          <w:color w:val="auto"/>
          <w:sz w:val="24"/>
          <w:highlight w:val="none"/>
        </w:rPr>
      </w:pPr>
    </w:p>
    <w:p w14:paraId="7BFC1DF4">
      <w:pPr>
        <w:spacing w:line="400" w:lineRule="exact"/>
        <w:jc w:val="center"/>
        <w:rPr>
          <w:rFonts w:hint="eastAsia" w:ascii="宋体" w:hAnsi="宋体" w:eastAsia="宋体" w:cs="宋体"/>
          <w:bCs/>
          <w:color w:val="auto"/>
          <w:sz w:val="24"/>
          <w:highlight w:val="none"/>
        </w:rPr>
      </w:pPr>
    </w:p>
    <w:p w14:paraId="2B90840A">
      <w:pPr>
        <w:spacing w:line="400" w:lineRule="exact"/>
        <w:jc w:val="center"/>
        <w:rPr>
          <w:rFonts w:hint="eastAsia" w:ascii="宋体" w:hAnsi="宋体" w:eastAsia="宋体" w:cs="宋体"/>
          <w:bCs/>
          <w:color w:val="auto"/>
          <w:sz w:val="24"/>
          <w:highlight w:val="none"/>
        </w:rPr>
      </w:pPr>
    </w:p>
    <w:p w14:paraId="5C2D28A0">
      <w:pPr>
        <w:spacing w:line="400" w:lineRule="exact"/>
        <w:jc w:val="center"/>
        <w:rPr>
          <w:rFonts w:hint="eastAsia" w:ascii="宋体" w:hAnsi="宋体" w:eastAsia="宋体" w:cs="宋体"/>
          <w:bCs/>
          <w:color w:val="auto"/>
          <w:sz w:val="24"/>
          <w:highlight w:val="none"/>
        </w:rPr>
      </w:pPr>
    </w:p>
    <w:p w14:paraId="2BA0056E">
      <w:pPr>
        <w:spacing w:line="400" w:lineRule="exact"/>
        <w:jc w:val="center"/>
        <w:rPr>
          <w:rFonts w:hint="eastAsia" w:ascii="宋体" w:hAnsi="宋体" w:eastAsia="宋体" w:cs="宋体"/>
          <w:bCs/>
          <w:color w:val="auto"/>
          <w:sz w:val="24"/>
          <w:highlight w:val="none"/>
        </w:rPr>
      </w:pPr>
    </w:p>
    <w:p w14:paraId="190E7A53">
      <w:pPr>
        <w:spacing w:line="400" w:lineRule="exact"/>
        <w:jc w:val="center"/>
        <w:rPr>
          <w:rFonts w:hint="eastAsia" w:ascii="宋体" w:hAnsi="宋体" w:eastAsia="宋体" w:cs="宋体"/>
          <w:bCs/>
          <w:color w:val="auto"/>
          <w:sz w:val="24"/>
          <w:highlight w:val="none"/>
        </w:rPr>
      </w:pPr>
    </w:p>
    <w:p w14:paraId="06BB855F">
      <w:pPr>
        <w:spacing w:line="400" w:lineRule="exact"/>
        <w:jc w:val="center"/>
        <w:rPr>
          <w:rFonts w:hint="eastAsia" w:ascii="宋体" w:hAnsi="宋体" w:eastAsia="宋体" w:cs="宋体"/>
          <w:bCs/>
          <w:color w:val="auto"/>
          <w:sz w:val="24"/>
          <w:highlight w:val="none"/>
        </w:rPr>
      </w:pPr>
    </w:p>
    <w:p w14:paraId="2936F5B7">
      <w:pPr>
        <w:spacing w:line="400" w:lineRule="exact"/>
        <w:jc w:val="center"/>
        <w:rPr>
          <w:rFonts w:hint="eastAsia" w:ascii="宋体" w:hAnsi="宋体" w:eastAsia="宋体" w:cs="宋体"/>
          <w:bCs/>
          <w:color w:val="auto"/>
          <w:sz w:val="24"/>
          <w:highlight w:val="none"/>
        </w:rPr>
      </w:pPr>
    </w:p>
    <w:p w14:paraId="62380669">
      <w:pPr>
        <w:spacing w:line="400" w:lineRule="exact"/>
        <w:jc w:val="center"/>
        <w:rPr>
          <w:rFonts w:hint="eastAsia" w:ascii="宋体" w:hAnsi="宋体" w:eastAsia="宋体" w:cs="宋体"/>
          <w:bCs/>
          <w:color w:val="auto"/>
          <w:sz w:val="24"/>
          <w:highlight w:val="none"/>
        </w:rPr>
      </w:pPr>
    </w:p>
    <w:p w14:paraId="1FF46C65">
      <w:pPr>
        <w:spacing w:line="400" w:lineRule="exact"/>
        <w:jc w:val="center"/>
        <w:rPr>
          <w:rFonts w:hint="eastAsia" w:ascii="宋体" w:hAnsi="宋体" w:eastAsia="宋体" w:cs="宋体"/>
          <w:bCs/>
          <w:color w:val="auto"/>
          <w:sz w:val="24"/>
          <w:highlight w:val="none"/>
        </w:rPr>
      </w:pPr>
    </w:p>
    <w:p w14:paraId="304EC7F9">
      <w:pPr>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质疑内容</w:t>
      </w:r>
    </w:p>
    <w:p w14:paraId="5D800AB9">
      <w:pPr>
        <w:spacing w:line="400" w:lineRule="exact"/>
        <w:rPr>
          <w:rFonts w:hint="eastAsia" w:ascii="宋体" w:hAnsi="宋体" w:eastAsia="宋体" w:cs="宋体"/>
          <w:color w:val="auto"/>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14:paraId="03CF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14:paraId="3550649F">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131" w:type="dxa"/>
            <w:tcBorders>
              <w:top w:val="single" w:color="auto" w:sz="4" w:space="0"/>
              <w:left w:val="single" w:color="auto" w:sz="4" w:space="0"/>
              <w:bottom w:val="single" w:color="auto" w:sz="4" w:space="0"/>
              <w:right w:val="single" w:color="auto" w:sz="4" w:space="0"/>
            </w:tcBorders>
            <w:noWrap w:val="0"/>
            <w:vAlign w:val="center"/>
          </w:tcPr>
          <w:p w14:paraId="67C7D581">
            <w:pPr>
              <w:spacing w:line="400" w:lineRule="exact"/>
              <w:rPr>
                <w:rFonts w:hint="eastAsia" w:ascii="宋体" w:hAnsi="宋体" w:eastAsia="宋体" w:cs="宋体"/>
                <w:color w:val="auto"/>
                <w:sz w:val="24"/>
                <w:highlight w:val="none"/>
              </w:rPr>
            </w:pPr>
          </w:p>
        </w:tc>
      </w:tr>
      <w:tr w14:paraId="1B17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14:paraId="7C1516DB">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131" w:type="dxa"/>
            <w:tcBorders>
              <w:top w:val="single" w:color="auto" w:sz="4" w:space="0"/>
              <w:left w:val="single" w:color="auto" w:sz="4" w:space="0"/>
              <w:bottom w:val="single" w:color="auto" w:sz="4" w:space="0"/>
              <w:right w:val="single" w:color="auto" w:sz="4" w:space="0"/>
            </w:tcBorders>
            <w:noWrap w:val="0"/>
            <w:vAlign w:val="center"/>
          </w:tcPr>
          <w:p w14:paraId="0AD70F97">
            <w:pPr>
              <w:spacing w:line="400" w:lineRule="exact"/>
              <w:rPr>
                <w:rFonts w:hint="eastAsia" w:ascii="宋体" w:hAnsi="宋体" w:eastAsia="宋体" w:cs="宋体"/>
                <w:color w:val="auto"/>
                <w:sz w:val="24"/>
                <w:highlight w:val="none"/>
              </w:rPr>
            </w:pPr>
          </w:p>
        </w:tc>
      </w:tr>
      <w:tr w14:paraId="1A9E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7"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1ACCA2EB">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noWrap w:val="0"/>
            <w:vAlign w:val="top"/>
          </w:tcPr>
          <w:p w14:paraId="7BBAD912">
            <w:pPr>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一、质疑事项1：</w:t>
            </w:r>
          </w:p>
          <w:p w14:paraId="0121732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主要内容：</w:t>
            </w:r>
          </w:p>
          <w:p w14:paraId="37299C04">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18E2121D">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适应法规条款：</w:t>
            </w:r>
          </w:p>
          <w:p w14:paraId="00F39FED">
            <w:pPr>
              <w:snapToGrid w:val="0"/>
              <w:spacing w:line="400" w:lineRule="exact"/>
              <w:ind w:firstLine="518" w:firstLineChars="21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佐证材料：</w:t>
            </w:r>
          </w:p>
          <w:p w14:paraId="2B6741F7">
            <w:pPr>
              <w:snapToGrid w:val="0"/>
              <w:spacing w:line="400" w:lineRule="exact"/>
              <w:ind w:firstLine="518" w:firstLineChars="216"/>
              <w:jc w:val="left"/>
              <w:rPr>
                <w:rFonts w:hint="eastAsia" w:ascii="宋体" w:hAnsi="宋体" w:eastAsia="宋体" w:cs="宋体"/>
                <w:color w:val="auto"/>
                <w:sz w:val="24"/>
                <w:highlight w:val="none"/>
              </w:rPr>
            </w:pPr>
          </w:p>
          <w:p w14:paraId="58CEA248">
            <w:pPr>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二、质疑事项2：</w:t>
            </w:r>
          </w:p>
          <w:p w14:paraId="1005930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主要内容：</w:t>
            </w:r>
          </w:p>
          <w:p w14:paraId="48A72DCD">
            <w:pPr>
              <w:snapToGrid w:val="0"/>
              <w:spacing w:line="400" w:lineRule="exact"/>
              <w:ind w:firstLine="518" w:firstLineChars="21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1D9BEEFB">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适应法规条款：</w:t>
            </w:r>
          </w:p>
          <w:p w14:paraId="63BBBC9F">
            <w:pPr>
              <w:snapToGrid w:val="0"/>
              <w:spacing w:line="400" w:lineRule="exact"/>
              <w:ind w:firstLine="518" w:firstLineChars="21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佐证材料：</w:t>
            </w:r>
          </w:p>
          <w:p w14:paraId="5B018388">
            <w:pPr>
              <w:snapToGrid w:val="0"/>
              <w:spacing w:line="400" w:lineRule="exact"/>
              <w:ind w:firstLine="518" w:firstLineChars="216"/>
              <w:jc w:val="left"/>
              <w:rPr>
                <w:rFonts w:hint="eastAsia" w:ascii="宋体" w:hAnsi="宋体" w:eastAsia="宋体" w:cs="宋体"/>
                <w:color w:val="auto"/>
                <w:sz w:val="24"/>
                <w:highlight w:val="none"/>
              </w:rPr>
            </w:pPr>
          </w:p>
          <w:p w14:paraId="7358FE95">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三、同上</w:t>
            </w:r>
          </w:p>
          <w:p w14:paraId="5164C7FD">
            <w:pPr>
              <w:spacing w:line="400" w:lineRule="exact"/>
              <w:ind w:firstLine="465"/>
              <w:jc w:val="left"/>
              <w:rPr>
                <w:rFonts w:hint="eastAsia" w:ascii="宋体" w:hAnsi="宋体" w:eastAsia="宋体" w:cs="宋体"/>
                <w:color w:val="auto"/>
                <w:sz w:val="24"/>
                <w:highlight w:val="none"/>
              </w:rPr>
            </w:pPr>
          </w:p>
        </w:tc>
      </w:tr>
    </w:tbl>
    <w:p w14:paraId="1AD12A38">
      <w:pPr>
        <w:spacing w:line="400" w:lineRule="exact"/>
        <w:ind w:left="1058" w:hanging="1058" w:hangingChars="441"/>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25DC2BA8">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1、质疑人的</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办理质疑事务的，在提交质疑函（无需填写授权委托人）的同时，还应提交加盖质疑人公章的营业执照副本复印件和</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的身份证复印件。请持身份证原件用于核对。</w:t>
      </w:r>
    </w:p>
    <w:p w14:paraId="35991C5F">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2、授权本项目投标委托人办理质疑事务的，除提交质疑书、加盖质疑人公章的营业执照副本复印件和</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的身份证复印件外，还应当提交由质疑人出具的明确载明授权委托的具体权限和事项的</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授权委托书以及授权委托人的身份证复印件。</w:t>
      </w:r>
    </w:p>
    <w:p w14:paraId="1B945013">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3、“具体的质疑事项及事实依据”一栏填写不下时，质疑人可另附页（A4），但附纸要求加盖质疑人公章。</w:t>
      </w:r>
    </w:p>
    <w:p w14:paraId="75467D90">
      <w:pPr>
        <w:rPr>
          <w:rFonts w:hint="eastAsia"/>
        </w:rPr>
      </w:pPr>
      <w:r>
        <w:rPr>
          <w:rFonts w:hint="eastAsia" w:ascii="宋体" w:hAnsi="宋体" w:eastAsia="宋体" w:cs="宋体"/>
          <w:color w:val="auto"/>
          <w:sz w:val="24"/>
          <w:highlight w:val="none"/>
        </w:rPr>
        <w:t>4、与质疑事项有关</w:t>
      </w:r>
    </w:p>
    <w:p w14:paraId="1144C1AB">
      <w:pPr>
        <w:pStyle w:val="11"/>
        <w:rPr>
          <w:rFonts w:hint="eastAsia"/>
        </w:rPr>
      </w:pPr>
    </w:p>
    <w:p w14:paraId="755223FB">
      <w:pPr>
        <w:pStyle w:val="22"/>
        <w:rPr>
          <w:rFonts w:hint="eastAsia"/>
        </w:rPr>
      </w:pPr>
    </w:p>
    <w:p w14:paraId="45CDB119">
      <w:pPr>
        <w:pStyle w:val="22"/>
        <w:rPr>
          <w:rFonts w:hint="eastAsia"/>
        </w:rPr>
      </w:pPr>
    </w:p>
    <w:p w14:paraId="321F2072">
      <w:pPr>
        <w:pStyle w:val="22"/>
        <w:rPr>
          <w:rFonts w:hint="eastAsia"/>
        </w:rPr>
      </w:pPr>
    </w:p>
    <w:p w14:paraId="60CC6DAC">
      <w:pPr>
        <w:rPr>
          <w:rFonts w:hint="eastAsia"/>
        </w:rPr>
      </w:pPr>
    </w:p>
    <w:p w14:paraId="5142E30D">
      <w:pPr>
        <w:pStyle w:val="22"/>
        <w:pageBreakBefore w:val="0"/>
        <w:kinsoku/>
        <w:wordWrap/>
        <w:overflowPunct/>
        <w:topLinePunct w:val="0"/>
        <w:bidi w:val="0"/>
        <w:spacing w:beforeAutospacing="0" w:after="0" w:afterAutospacing="0" w:line="400" w:lineRule="exact"/>
        <w:jc w:val="center"/>
        <w:rPr>
          <w:rFonts w:hint="eastAsia" w:asciiTheme="minorEastAsia" w:hAnsiTheme="minorEastAsia" w:eastAsiaTheme="minorEastAsia" w:cstheme="minorEastAsia"/>
          <w:color w:val="FF0000"/>
          <w:sz w:val="24"/>
          <w:szCs w:val="24"/>
        </w:rPr>
      </w:pPr>
      <w:r>
        <w:rPr>
          <w:rStyle w:val="29"/>
          <w:rFonts w:hint="eastAsia" w:asciiTheme="minorEastAsia" w:hAnsiTheme="minorEastAsia" w:eastAsiaTheme="minorEastAsia" w:cstheme="minorEastAsia"/>
          <w:b/>
          <w:bCs/>
          <w:color w:val="auto"/>
          <w:w w:val="90"/>
          <w:sz w:val="36"/>
          <w:szCs w:val="36"/>
          <w:u w:val="none"/>
        </w:rPr>
        <w:t>第四章 合同文本格式</w:t>
      </w:r>
    </w:p>
    <w:p w14:paraId="72F9A75A">
      <w:pPr>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（专 用） 合 同</w:t>
      </w:r>
    </w:p>
    <w:p w14:paraId="7F96DF2B">
      <w:pPr>
        <w:keepNext w:val="0"/>
        <w:keepLines w:val="0"/>
        <w:pageBreakBefore w:val="0"/>
        <w:kinsoku/>
        <w:wordWrap/>
        <w:overflowPunct/>
        <w:topLinePunct w:val="0"/>
        <w:bidi w:val="0"/>
        <w:adjustRightInd w:val="0"/>
        <w:snapToGrid w:val="0"/>
        <w:spacing w:beforeAutospacing="0" w:afterAutospacing="0" w:line="320" w:lineRule="exact"/>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（仅供参考，以采购人实际签订为准）</w:t>
      </w:r>
    </w:p>
    <w:p w14:paraId="440459FE">
      <w:pPr>
        <w:pStyle w:val="33"/>
        <w:rPr>
          <w:rFonts w:hint="eastAsia" w:asciiTheme="minorEastAsia" w:hAnsiTheme="minorEastAsia" w:eastAsiaTheme="minorEastAsia" w:cstheme="minorEastAsia"/>
        </w:rPr>
      </w:pPr>
    </w:p>
    <w:p w14:paraId="75A37CC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甲方（招标用户采购方）：                                合同编号：</w:t>
      </w:r>
    </w:p>
    <w:p w14:paraId="6540215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乙方（投标中标供应方）：                                 签约地点：</w:t>
      </w:r>
    </w:p>
    <w:p w14:paraId="2B6981AA">
      <w:pPr>
        <w:pStyle w:val="11"/>
        <w:numPr>
          <w:ilvl w:val="0"/>
          <w:numId w:val="0"/>
        </w:num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根据《中华人民共和国政府采购法》及       年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月   </w:t>
      </w:r>
      <w:r>
        <w:rPr>
          <w:rFonts w:hint="eastAsia" w:asciiTheme="minorEastAsia" w:hAnsiTheme="minorEastAsia" w:eastAsiaTheme="minorEastAsia" w:cstheme="minorEastAsia"/>
          <w:color w:val="000000"/>
          <w:sz w:val="24"/>
          <w:szCs w:val="24"/>
          <w:lang w:val="en-US" w:eastAsia="zh-CN"/>
        </w:rPr>
        <w:t>日火焰山镇美化亮化项目文件（招标编号：    ，采购代理机构：</w:t>
      </w:r>
      <w:r>
        <w:rPr>
          <w:rFonts w:hint="eastAsia" w:asciiTheme="minorEastAsia" w:hAnsiTheme="minorEastAsia" w:eastAsiaTheme="minorEastAsia" w:cstheme="minorEastAsia"/>
          <w:color w:val="000000"/>
          <w:sz w:val="24"/>
          <w:szCs w:val="24"/>
          <w:lang w:eastAsia="zh-CN"/>
        </w:rPr>
        <w:t>新疆华域天恒工程管理有限公司</w:t>
      </w:r>
      <w:r>
        <w:rPr>
          <w:rFonts w:hint="eastAsia" w:asciiTheme="minorEastAsia" w:hAnsiTheme="minorEastAsia" w:eastAsiaTheme="minorEastAsia" w:cstheme="minorEastAsia"/>
          <w:color w:val="000000"/>
          <w:sz w:val="24"/>
          <w:szCs w:val="24"/>
        </w:rPr>
        <w:t>）的要求，经双方协商一致，签订本合同。</w:t>
      </w:r>
    </w:p>
    <w:p w14:paraId="249CC89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1、合同设备</w:t>
      </w:r>
    </w:p>
    <w:p w14:paraId="77B991A5">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乙方负责向甲方供应下表中所列</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及负责安装调试。</w:t>
      </w:r>
    </w:p>
    <w:tbl>
      <w:tblPr>
        <w:tblStyle w:val="2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65"/>
        <w:gridCol w:w="829"/>
        <w:gridCol w:w="878"/>
        <w:gridCol w:w="878"/>
        <w:gridCol w:w="878"/>
        <w:gridCol w:w="878"/>
        <w:gridCol w:w="878"/>
        <w:gridCol w:w="878"/>
        <w:gridCol w:w="938"/>
      </w:tblGrid>
      <w:tr w14:paraId="4ADD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21C2B098">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货物名称</w:t>
            </w:r>
          </w:p>
        </w:tc>
        <w:tc>
          <w:tcPr>
            <w:tcW w:w="1365" w:type="dxa"/>
            <w:noWrap w:val="0"/>
            <w:vAlign w:val="center"/>
          </w:tcPr>
          <w:p w14:paraId="4BD3D170">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规格型号</w:t>
            </w:r>
          </w:p>
        </w:tc>
        <w:tc>
          <w:tcPr>
            <w:tcW w:w="829" w:type="dxa"/>
            <w:noWrap w:val="0"/>
            <w:vAlign w:val="center"/>
          </w:tcPr>
          <w:p w14:paraId="0E097CB5">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产地厂家</w:t>
            </w:r>
          </w:p>
        </w:tc>
        <w:tc>
          <w:tcPr>
            <w:tcW w:w="878" w:type="dxa"/>
            <w:noWrap w:val="0"/>
            <w:vAlign w:val="center"/>
          </w:tcPr>
          <w:p w14:paraId="4C3147DC">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w:t>
            </w:r>
          </w:p>
        </w:tc>
        <w:tc>
          <w:tcPr>
            <w:tcW w:w="878" w:type="dxa"/>
            <w:noWrap w:val="0"/>
            <w:vAlign w:val="center"/>
          </w:tcPr>
          <w:p w14:paraId="0A2BAA82">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数量</w:t>
            </w:r>
          </w:p>
        </w:tc>
        <w:tc>
          <w:tcPr>
            <w:tcW w:w="878" w:type="dxa"/>
            <w:noWrap w:val="0"/>
            <w:vAlign w:val="center"/>
          </w:tcPr>
          <w:p w14:paraId="7338742D">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单价</w:t>
            </w:r>
          </w:p>
        </w:tc>
        <w:tc>
          <w:tcPr>
            <w:tcW w:w="878" w:type="dxa"/>
            <w:noWrap w:val="0"/>
            <w:vAlign w:val="center"/>
          </w:tcPr>
          <w:p w14:paraId="6A7DDBAD">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总价</w:t>
            </w:r>
          </w:p>
        </w:tc>
        <w:tc>
          <w:tcPr>
            <w:tcW w:w="878" w:type="dxa"/>
            <w:noWrap w:val="0"/>
            <w:vAlign w:val="center"/>
          </w:tcPr>
          <w:p w14:paraId="7988195C">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随机配件</w:t>
            </w:r>
          </w:p>
        </w:tc>
        <w:tc>
          <w:tcPr>
            <w:tcW w:w="878" w:type="dxa"/>
            <w:noWrap w:val="0"/>
            <w:vAlign w:val="center"/>
          </w:tcPr>
          <w:p w14:paraId="6C2798A3">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交货地点</w:t>
            </w:r>
          </w:p>
        </w:tc>
        <w:tc>
          <w:tcPr>
            <w:tcW w:w="938" w:type="dxa"/>
            <w:noWrap w:val="0"/>
            <w:vAlign w:val="center"/>
          </w:tcPr>
          <w:p w14:paraId="2EE229B0">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交货 时间</w:t>
            </w:r>
          </w:p>
        </w:tc>
      </w:tr>
      <w:tr w14:paraId="2E5A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14:paraId="7355DC8F">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1365" w:type="dxa"/>
            <w:noWrap w:val="0"/>
            <w:vAlign w:val="top"/>
          </w:tcPr>
          <w:p w14:paraId="7834EF1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29" w:type="dxa"/>
            <w:noWrap w:val="0"/>
            <w:vAlign w:val="top"/>
          </w:tcPr>
          <w:p w14:paraId="2220C36E">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500306B0">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605D7FB9">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325AC069">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416B9823">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244495C4">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49B66254">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938" w:type="dxa"/>
            <w:noWrap w:val="0"/>
            <w:vAlign w:val="top"/>
          </w:tcPr>
          <w:p w14:paraId="7298ADCF">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r>
      <w:tr w14:paraId="586D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14:paraId="36B06ABD">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1365" w:type="dxa"/>
            <w:noWrap w:val="0"/>
            <w:vAlign w:val="top"/>
          </w:tcPr>
          <w:p w14:paraId="3025A3E8">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29" w:type="dxa"/>
            <w:noWrap w:val="0"/>
            <w:vAlign w:val="top"/>
          </w:tcPr>
          <w:p w14:paraId="5BE99BD7">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5E492F07">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203ACE1E">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624A53F4">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25F3D89B">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59C19411">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878" w:type="dxa"/>
            <w:noWrap w:val="0"/>
            <w:vAlign w:val="top"/>
          </w:tcPr>
          <w:p w14:paraId="4B6A0A30">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c>
          <w:tcPr>
            <w:tcW w:w="938" w:type="dxa"/>
            <w:noWrap w:val="0"/>
            <w:vAlign w:val="top"/>
          </w:tcPr>
          <w:p w14:paraId="2DB4E0D5">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tc>
      </w:tr>
    </w:tbl>
    <w:p w14:paraId="60D70EF8">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2、合同总价和支付方式</w:t>
      </w:r>
    </w:p>
    <w:p w14:paraId="1ED36B63">
      <w:pPr>
        <w:keepNext w:val="0"/>
        <w:keepLines w:val="0"/>
        <w:pageBreakBefore w:val="0"/>
        <w:kinsoku/>
        <w:wordWrap/>
        <w:overflowPunct/>
        <w:topLinePunct w:val="0"/>
        <w:autoSpaceDE/>
        <w:autoSpaceDN/>
        <w:bidi w:val="0"/>
        <w:spacing w:line="400" w:lineRule="exact"/>
        <w:ind w:left="420" w:hanging="480" w:hanging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2.1合同总价：总价为人民币（大写）：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，即RMB￥</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元，该合同总金额是设计、设备制造、包装、仓储、运输、安装及验收合格之前及保修期与备品备件发生的所有含税费用。本合同执行期间合同总金额不变。</w:t>
      </w:r>
    </w:p>
    <w:p w14:paraId="712B3D74">
      <w:pPr>
        <w:spacing w:line="560" w:lineRule="exact"/>
        <w:jc w:val="left"/>
        <w:rPr>
          <w:rFonts w:hint="default"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2.2支付方式：</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双方约定                                              </w:t>
      </w:r>
    </w:p>
    <w:p w14:paraId="51991E3F">
      <w:pPr>
        <w:keepNext w:val="0"/>
        <w:keepLines w:val="0"/>
        <w:pageBreakBefore w:val="0"/>
        <w:kinsoku/>
        <w:wordWrap/>
        <w:overflowPunct/>
        <w:topLinePunct w:val="0"/>
        <w:autoSpaceDE/>
        <w:autoSpaceDN/>
        <w:bidi w:val="0"/>
        <w:spacing w:line="400" w:lineRule="exact"/>
        <w:ind w:left="42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2.3 乙方开户银行：</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；乙方账号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7D27A48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3、合同组成</w:t>
      </w:r>
    </w:p>
    <w:p w14:paraId="00A8160E">
      <w:pPr>
        <w:keepNext w:val="0"/>
        <w:keepLines w:val="0"/>
        <w:pageBreakBefore w:val="0"/>
        <w:kinsoku/>
        <w:wordWrap/>
        <w:overflowPunct/>
        <w:topLinePunct w:val="0"/>
        <w:autoSpaceDE/>
        <w:autoSpaceDN/>
        <w:bidi w:val="0"/>
        <w:spacing w:line="400" w:lineRule="exact"/>
        <w:ind w:left="630" w:leftChars="3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详细价格、技术说明及其它有关合同设备的特定信息由合同附件说明。所有附件及本项目的招投标文件、会议纪要、协议等均为本合同不可分割之一部分。</w:t>
      </w:r>
    </w:p>
    <w:p w14:paraId="4C57B5DE">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4、技术要求</w:t>
      </w:r>
    </w:p>
    <w:p w14:paraId="5E19D0CD">
      <w:pPr>
        <w:keepNext w:val="0"/>
        <w:keepLines w:val="0"/>
        <w:pageBreakBefore w:val="0"/>
        <w:kinsoku/>
        <w:wordWrap/>
        <w:overflowPunct/>
        <w:topLinePunct w:val="0"/>
        <w:autoSpaceDE/>
        <w:autoSpaceDN/>
        <w:bidi w:val="0"/>
        <w:spacing w:line="400" w:lineRule="exact"/>
        <w:ind w:left="630" w:hanging="720" w:hangingChars="3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乙方所提供设备，必须符合国家有关规范和环保要求及甲方的技术要求，并提供设备的出厂测试报告。</w:t>
      </w:r>
    </w:p>
    <w:p w14:paraId="1EBFD19D">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5、合同设备包装、交货、安装、调试及验收</w:t>
      </w:r>
    </w:p>
    <w:p w14:paraId="4E0FA05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合同设备的包装：</w:t>
      </w:r>
    </w:p>
    <w:p w14:paraId="100F039B">
      <w:pPr>
        <w:keepNext w:val="0"/>
        <w:keepLines w:val="0"/>
        <w:pageBreakBefore w:val="0"/>
        <w:kinsoku/>
        <w:wordWrap/>
        <w:overflowPunct/>
        <w:topLinePunct w:val="0"/>
        <w:autoSpaceDE/>
        <w:autoSpaceDN/>
        <w:bidi w:val="0"/>
        <w:spacing w:line="400" w:lineRule="exact"/>
        <w:ind w:left="785" w:leftChars="374"/>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设备的包装均应有良好的防湿、防锈、防潮、防雨、防腐及防碰撞的措施。凡由于包装不良造成的损失和由此产生的费用均由乙方承担。</w:t>
      </w:r>
    </w:p>
    <w:p w14:paraId="2C51D4B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 合同设备的交货：</w:t>
      </w:r>
    </w:p>
    <w:p w14:paraId="710F8E4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5.2.1 乙方交货时间：合同签订后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天交货。</w:t>
      </w:r>
    </w:p>
    <w:p w14:paraId="076F23E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5.2.2 乙方交货地点：</w:t>
      </w:r>
      <w:r>
        <w:rPr>
          <w:rFonts w:hint="eastAsia" w:asciiTheme="minorEastAsia" w:hAnsiTheme="minorEastAsia" w:eastAsiaTheme="minorEastAsia" w:cstheme="minorEastAsia"/>
          <w:sz w:val="24"/>
          <w:szCs w:val="24"/>
        </w:rPr>
        <w:t>各设备使用方</w:t>
      </w:r>
      <w:r>
        <w:rPr>
          <w:rFonts w:hint="eastAsia" w:asciiTheme="minorEastAsia" w:hAnsiTheme="minorEastAsia" w:eastAsiaTheme="minorEastAsia" w:cstheme="minorEastAsia"/>
          <w:color w:val="000000"/>
          <w:sz w:val="24"/>
          <w:szCs w:val="24"/>
        </w:rPr>
        <w:t>。</w:t>
      </w:r>
    </w:p>
    <w:p w14:paraId="3658F6C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  设备的验收：</w:t>
      </w:r>
    </w:p>
    <w:p w14:paraId="6A4F2424">
      <w:pPr>
        <w:keepNext w:val="0"/>
        <w:keepLines w:val="0"/>
        <w:pageBreakBefore w:val="0"/>
        <w:kinsoku/>
        <w:wordWrap/>
        <w:overflowPunct/>
        <w:topLinePunct w:val="0"/>
        <w:autoSpaceDE/>
        <w:autoSpaceDN/>
        <w:bidi w:val="0"/>
        <w:spacing w:line="400" w:lineRule="exact"/>
        <w:ind w:left="782" w:leftChars="200" w:right="-420" w:rightChars="-200" w:hanging="362" w:hangingChars="151"/>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5.3.1中标</w:t>
      </w:r>
      <w:r>
        <w:rPr>
          <w:rFonts w:hint="eastAsia" w:asciiTheme="minorEastAsia" w:hAnsiTheme="minorEastAsia" w:eastAsiaTheme="minorEastAsia" w:cstheme="minorEastAsia"/>
          <w:color w:val="000000"/>
          <w:sz w:val="24"/>
          <w:szCs w:val="24"/>
        </w:rPr>
        <w:t>设备安装调试，试运行一个月后组织验收，如中标设备在试运行期间出现故障，则应相应延长试</w:t>
      </w:r>
    </w:p>
    <w:p w14:paraId="46203316">
      <w:pPr>
        <w:keepNext w:val="0"/>
        <w:keepLines w:val="0"/>
        <w:pageBreakBefore w:val="0"/>
        <w:kinsoku/>
        <w:wordWrap/>
        <w:overflowPunct/>
        <w:topLinePunct w:val="0"/>
        <w:autoSpaceDE/>
        <w:autoSpaceDN/>
        <w:bidi w:val="0"/>
        <w:spacing w:line="400" w:lineRule="exact"/>
        <w:ind w:left="735" w:leftChars="350" w:right="-420" w:rightChars="-20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运行时间,</w:t>
      </w:r>
      <w:r>
        <w:rPr>
          <w:rFonts w:hint="eastAsia" w:asciiTheme="minorEastAsia" w:hAnsiTheme="minorEastAsia" w:eastAsiaTheme="minorEastAsia" w:cstheme="minorEastAsia"/>
          <w:sz w:val="24"/>
          <w:szCs w:val="24"/>
        </w:rPr>
        <w:t>验收应在甲乙双方共同参加下进行。</w:t>
      </w:r>
    </w:p>
    <w:p w14:paraId="22606DBF">
      <w:pPr>
        <w:keepNext w:val="0"/>
        <w:keepLines w:val="0"/>
        <w:pageBreakBefore w:val="0"/>
        <w:kinsoku/>
        <w:wordWrap/>
        <w:overflowPunct/>
        <w:topLinePunct w:val="0"/>
        <w:autoSpaceDE/>
        <w:autoSpaceDN/>
        <w:bidi w:val="0"/>
        <w:spacing w:line="400" w:lineRule="exact"/>
        <w:ind w:left="1020" w:leftChars="200" w:right="-420" w:righ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5.3.2 验收按国家有关的规定、规范进行。验收时如</w:t>
      </w:r>
      <w:r>
        <w:rPr>
          <w:rFonts w:hint="eastAsia" w:asciiTheme="minorEastAsia" w:hAnsiTheme="minorEastAsia" w:eastAsiaTheme="minorEastAsia" w:cstheme="minorEastAsia"/>
          <w:color w:val="000000"/>
          <w:sz w:val="24"/>
          <w:szCs w:val="24"/>
        </w:rPr>
        <w:t>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14:paraId="0F9EC72B">
      <w:pPr>
        <w:keepNext w:val="0"/>
        <w:keepLines w:val="0"/>
        <w:pageBreakBefore w:val="0"/>
        <w:kinsoku/>
        <w:wordWrap/>
        <w:overflowPunct/>
        <w:topLinePunct w:val="0"/>
        <w:autoSpaceDE/>
        <w:autoSpaceDN/>
        <w:bidi w:val="0"/>
        <w:spacing w:line="400" w:lineRule="exact"/>
        <w:ind w:left="1023" w:leftChars="190" w:hanging="624" w:hangingChars="26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5.3.3 如果合同设备运输过程中因事故造成货物短缺、损坏，乙方应及时安排换装，以保证合同设备安装调试的成功完成。换货的相关费用由乙方承担。</w:t>
      </w:r>
    </w:p>
    <w:p w14:paraId="0CD53EC9">
      <w:pPr>
        <w:keepNext w:val="0"/>
        <w:keepLines w:val="0"/>
        <w:pageBreakBefore w:val="0"/>
        <w:kinsoku/>
        <w:wordWrap/>
        <w:overflowPunct/>
        <w:topLinePunct w:val="0"/>
        <w:autoSpaceDE/>
        <w:autoSpaceDN/>
        <w:bidi w:val="0"/>
        <w:spacing w:line="400" w:lineRule="exact"/>
        <w:ind w:left="684" w:leftChars="200" w:hanging="264" w:hangingChars="11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5.3.4 国内产品产品必须具备出厂合格证。</w:t>
      </w:r>
    </w:p>
    <w:p w14:paraId="3081FFAF">
      <w:pPr>
        <w:keepNext w:val="0"/>
        <w:keepLines w:val="0"/>
        <w:pageBreakBefore w:val="0"/>
        <w:kinsoku/>
        <w:wordWrap/>
        <w:overflowPunct/>
        <w:topLinePunct w:val="0"/>
        <w:autoSpaceDE/>
        <w:autoSpaceDN/>
        <w:bidi w:val="0"/>
        <w:spacing w:line="400" w:lineRule="exact"/>
        <w:ind w:left="1020" w:lef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  乙方保证合同项下提供的设备不侵犯任何第三方的专利、商标或版权。否则，乙方须承担对第三方的专利或版权的侵权责任并承担因此而发生的所有费用。</w:t>
      </w:r>
    </w:p>
    <w:p w14:paraId="4850364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6、质量保证及售后服务</w:t>
      </w:r>
    </w:p>
    <w:p w14:paraId="1231C8C6">
      <w:pPr>
        <w:keepNext w:val="0"/>
        <w:keepLines w:val="0"/>
        <w:pageBreakBefore w:val="0"/>
        <w:kinsoku/>
        <w:wordWrap/>
        <w:overflowPunct/>
        <w:topLinePunct w:val="0"/>
        <w:autoSpaceDE/>
        <w:autoSpaceDN/>
        <w:bidi w:val="0"/>
        <w:spacing w:line="400" w:lineRule="exact"/>
        <w:ind w:left="420" w:left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 乙方保证合同设备是全新、未曾使用过的，其质量、规格及技术特征符合合同附件的要求。</w:t>
      </w:r>
    </w:p>
    <w:p w14:paraId="752C432A">
      <w:pPr>
        <w:keepNext w:val="0"/>
        <w:keepLines w:val="0"/>
        <w:pageBreakBefore w:val="0"/>
        <w:kinsoku/>
        <w:wordWrap/>
        <w:overflowPunct/>
        <w:topLinePunct w:val="0"/>
        <w:autoSpaceDE/>
        <w:autoSpaceDN/>
        <w:bidi w:val="0"/>
        <w:spacing w:line="400" w:lineRule="exact"/>
        <w:ind w:left="420" w:left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 合同设备保质保用期按生产厂家的标准执行，但不得少于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年（用户单位验收之日起计算）。</w:t>
      </w:r>
    </w:p>
    <w:p w14:paraId="01250FA5">
      <w:pPr>
        <w:keepNext w:val="0"/>
        <w:keepLines w:val="0"/>
        <w:pageBreakBefore w:val="0"/>
        <w:kinsoku/>
        <w:wordWrap/>
        <w:overflowPunct/>
        <w:topLinePunct w:val="0"/>
        <w:autoSpaceDE/>
        <w:autoSpaceDN/>
        <w:bidi w:val="0"/>
        <w:spacing w:line="400" w:lineRule="exact"/>
        <w:ind w:left="840" w:leftChars="4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保质保用期内非甲方的人为原因而出现产品质量及安装问题，由乙方负责包修、包换或包退，并承担因此而产生的一切费用。乙方应在收到甲方通知后24小时内派员到现场维修。</w:t>
      </w:r>
    </w:p>
    <w:p w14:paraId="0F77B59F">
      <w:pPr>
        <w:keepNext w:val="0"/>
        <w:keepLines w:val="0"/>
        <w:pageBreakBefore w:val="0"/>
        <w:kinsoku/>
        <w:wordWrap/>
        <w:overflowPunct/>
        <w:topLinePunct w:val="0"/>
        <w:autoSpaceDE/>
        <w:autoSpaceDN/>
        <w:bidi w:val="0"/>
        <w:spacing w:line="400" w:lineRule="exact"/>
        <w:ind w:firstLine="960" w:firstLineChars="4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下列情况乙方不负责免费保修：</w:t>
      </w:r>
    </w:p>
    <w:p w14:paraId="69BA33A9">
      <w:pPr>
        <w:keepNext w:val="0"/>
        <w:keepLines w:val="0"/>
        <w:pageBreakBefore w:val="0"/>
        <w:kinsoku/>
        <w:wordWrap/>
        <w:overflowPunct/>
        <w:topLinePunct w:val="0"/>
        <w:autoSpaceDE/>
        <w:autoSpaceDN/>
        <w:bidi w:val="0"/>
        <w:spacing w:line="400" w:lineRule="exact"/>
        <w:ind w:left="840" w:leftChars="400" w:firstLine="120" w:firstLineChars="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1）甲方不按照乙方提供的正确使用方法而引致设备故障损坏；</w:t>
      </w:r>
    </w:p>
    <w:p w14:paraId="30E905E7">
      <w:pPr>
        <w:keepNext w:val="0"/>
        <w:keepLines w:val="0"/>
        <w:pageBreakBefore w:val="0"/>
        <w:kinsoku/>
        <w:wordWrap/>
        <w:overflowPunct/>
        <w:topLinePunct w:val="0"/>
        <w:autoSpaceDE/>
        <w:autoSpaceDN/>
        <w:bidi w:val="0"/>
        <w:spacing w:line="400" w:lineRule="exact"/>
        <w:ind w:left="840" w:leftChars="400" w:firstLine="120" w:firstLineChars="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2）甲方擅自改装设备；</w:t>
      </w:r>
    </w:p>
    <w:p w14:paraId="2B6FFFF6">
      <w:pPr>
        <w:keepNext w:val="0"/>
        <w:keepLines w:val="0"/>
        <w:pageBreakBefore w:val="0"/>
        <w:kinsoku/>
        <w:wordWrap/>
        <w:overflowPunct/>
        <w:topLinePunct w:val="0"/>
        <w:autoSpaceDE/>
        <w:autoSpaceDN/>
        <w:bidi w:val="0"/>
        <w:spacing w:line="400" w:lineRule="exact"/>
        <w:ind w:left="840" w:leftChars="400" w:firstLine="120" w:firstLineChars="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3）各种人为因素或天灾等外来因素造成的损坏。</w:t>
      </w:r>
    </w:p>
    <w:p w14:paraId="2F8F83D9">
      <w:pPr>
        <w:keepNext w:val="0"/>
        <w:keepLines w:val="0"/>
        <w:pageBreakBefore w:val="0"/>
        <w:kinsoku/>
        <w:wordWrap/>
        <w:overflowPunct/>
        <w:topLinePunct w:val="0"/>
        <w:autoSpaceDE/>
        <w:autoSpaceDN/>
        <w:bidi w:val="0"/>
        <w:spacing w:line="400" w:lineRule="exact"/>
        <w:ind w:left="795" w:leftChars="150" w:hanging="480" w:hanging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 因设备的质量问题而发生争议，由省级质检部门进行质量鉴定。设备符合质量标准的，鉴定费用由甲方承担；设备不符合质量标准的，鉴定费用由乙方承担。</w:t>
      </w:r>
    </w:p>
    <w:p w14:paraId="253A31C2">
      <w:pPr>
        <w:keepNext w:val="0"/>
        <w:keepLines w:val="0"/>
        <w:pageBreakBefore w:val="0"/>
        <w:kinsoku/>
        <w:wordWrap/>
        <w:overflowPunct/>
        <w:topLinePunct w:val="0"/>
        <w:autoSpaceDE/>
        <w:autoSpaceDN/>
        <w:bidi w:val="0"/>
        <w:spacing w:line="400" w:lineRule="exact"/>
        <w:ind w:left="795" w:leftChars="150" w:hanging="480" w:hanging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 乙方为甲方提供操作及维护培训，主要内容为设备的基本结构、性能、主要部件的构造及原理，日常使用操作、保养与管理，常见故障的排除，紧急情况的处理等，培训地点主要在设备安装现场或按甲乙双方协商安排。</w:t>
      </w:r>
    </w:p>
    <w:p w14:paraId="6BF8FFB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7、技术服务</w:t>
      </w:r>
    </w:p>
    <w:p w14:paraId="4BFE455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 乙方应派员到甲方指定地点配合工作。</w:t>
      </w:r>
    </w:p>
    <w:p w14:paraId="7B1D2BCE">
      <w:pPr>
        <w:keepNext w:val="0"/>
        <w:keepLines w:val="0"/>
        <w:pageBreakBefore w:val="0"/>
        <w:kinsoku/>
        <w:wordWrap/>
        <w:overflowPunct/>
        <w:topLinePunct w:val="0"/>
        <w:autoSpaceDE/>
        <w:autoSpaceDN/>
        <w:bidi w:val="0"/>
        <w:spacing w:line="400" w:lineRule="exact"/>
        <w:ind w:left="900" w:leftChars="200" w:hanging="480" w:hanging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 乙方按甲方提供的合同执行进度计划，再配合甲方及有关单位，做好合同执行进度上的配合工作。</w:t>
      </w:r>
    </w:p>
    <w:p w14:paraId="2CEBB259">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8、不可抗力</w:t>
      </w:r>
    </w:p>
    <w:p w14:paraId="56C15035">
      <w:pPr>
        <w:keepNext w:val="0"/>
        <w:keepLines w:val="0"/>
        <w:pageBreakBefore w:val="0"/>
        <w:kinsoku/>
        <w:wordWrap/>
        <w:overflowPunct/>
        <w:topLinePunct w:val="0"/>
        <w:autoSpaceDE/>
        <w:autoSpaceDN/>
        <w:bidi w:val="0"/>
        <w:spacing w:line="400" w:lineRule="exact"/>
        <w:ind w:right="-420" w:rightChars="-20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8.1  不可抗力指战争、严重火灾、洪水、台风、地震等或其它双方认定的不可抗力事件。</w:t>
      </w:r>
    </w:p>
    <w:p w14:paraId="095A1875">
      <w:pPr>
        <w:keepNext w:val="0"/>
        <w:keepLines w:val="0"/>
        <w:pageBreakBefore w:val="0"/>
        <w:kinsoku/>
        <w:wordWrap/>
        <w:overflowPunct/>
        <w:topLinePunct w:val="0"/>
        <w:autoSpaceDE/>
        <w:autoSpaceDN/>
        <w:bidi w:val="0"/>
        <w:spacing w:line="400" w:lineRule="exact"/>
        <w:ind w:left="1020" w:leftChars="200" w:right="-609"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8.2  签约双方中任何一方由于不可抗力影响合同执行时，发生不可抗力一方应尽快将事故通知另一方。 在此情况下，乙方仍然有责任采取必要的措施加速供货，双方应通过友好协商尽快解决本合同的执行问题。</w:t>
      </w:r>
    </w:p>
    <w:p w14:paraId="0009A5C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9、索赔</w:t>
      </w:r>
    </w:p>
    <w:p w14:paraId="6599E0A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 如有异议，甲方有权根据有关政府部门的检验结果向乙方提出索赔。</w:t>
      </w:r>
    </w:p>
    <w:p w14:paraId="2D767915">
      <w:pPr>
        <w:keepNext w:val="0"/>
        <w:keepLines w:val="0"/>
        <w:pageBreakBefore w:val="0"/>
        <w:kinsoku/>
        <w:wordWrap/>
        <w:overflowPunct/>
        <w:topLinePunct w:val="0"/>
        <w:autoSpaceDE/>
        <w:autoSpaceDN/>
        <w:bidi w:val="0"/>
        <w:spacing w:line="400" w:lineRule="exact"/>
        <w:ind w:left="1020" w:lef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9.2 在合同执行期间，如果乙方对甲方提出的索赔和差异负有责任，乙方应按照甲方同意的下列一种或多种方式解决索赔事宜：</w:t>
      </w:r>
    </w:p>
    <w:p w14:paraId="05A654C0">
      <w:pPr>
        <w:keepNext w:val="0"/>
        <w:keepLines w:val="0"/>
        <w:pageBreakBefore w:val="0"/>
        <w:kinsoku/>
        <w:wordWrap/>
        <w:overflowPunct/>
        <w:topLinePunct w:val="0"/>
        <w:autoSpaceDE/>
        <w:autoSpaceDN/>
        <w:bidi w:val="0"/>
        <w:spacing w:line="400" w:lineRule="exact"/>
        <w:ind w:left="1389" w:leftChars="433" w:right="-399" w:rightChars="-190" w:hanging="480" w:hanging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1）乙方同意退货，并按合同规定的同种货币将货款退还给甲方，并承担由此发生的一切损失和费用。</w:t>
      </w:r>
    </w:p>
    <w:p w14:paraId="2DF4B0ED">
      <w:pPr>
        <w:keepNext w:val="0"/>
        <w:keepLines w:val="0"/>
        <w:pageBreakBefore w:val="0"/>
        <w:kinsoku/>
        <w:wordWrap/>
        <w:overflowPunct/>
        <w:topLinePunct w:val="0"/>
        <w:autoSpaceDE/>
        <w:autoSpaceDN/>
        <w:bidi w:val="0"/>
        <w:spacing w:line="400" w:lineRule="exact"/>
        <w:ind w:firstLine="1080" w:firstLineChars="4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2）根据货物低劣程度、损坏程度以及甲方所遭受损失的数额甲乙双方商定降低货物的价格。</w:t>
      </w:r>
    </w:p>
    <w:p w14:paraId="544981A5">
      <w:pPr>
        <w:keepNext w:val="0"/>
        <w:keepLines w:val="0"/>
        <w:pageBreakBefore w:val="0"/>
        <w:kinsoku/>
        <w:wordWrap/>
        <w:overflowPunct/>
        <w:topLinePunct w:val="0"/>
        <w:autoSpaceDE/>
        <w:autoSpaceDN/>
        <w:bidi w:val="0"/>
        <w:spacing w:line="400" w:lineRule="exact"/>
        <w:ind w:left="1303" w:leftChars="448" w:hanging="362" w:hangingChars="151"/>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3）用符合规格、质量和性能要求的新零件、部件或货物来更换有缺陷的部分或修补缺陷的部分，乙方应承担一切费用和风险并负有甲方所发生的一切直接费用。同时，相应延长质量保证期。</w:t>
      </w:r>
    </w:p>
    <w:p w14:paraId="50F212A7">
      <w:pPr>
        <w:keepNext w:val="0"/>
        <w:keepLines w:val="0"/>
        <w:pageBreakBefore w:val="0"/>
        <w:kinsoku/>
        <w:wordWrap/>
        <w:overflowPunct/>
        <w:topLinePunct w:val="0"/>
        <w:autoSpaceDE/>
        <w:autoSpaceDN/>
        <w:bidi w:val="0"/>
        <w:spacing w:line="400" w:lineRule="exact"/>
        <w:ind w:left="1058" w:leftChars="200" w:hanging="638" w:hangingChars="266"/>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 如果在甲方发出索赔通知后</w:t>
      </w:r>
      <w:r>
        <w:rPr>
          <w:rFonts w:hint="eastAsia" w:asciiTheme="minorEastAsia" w:hAnsiTheme="minorEastAsia" w:eastAsiaTheme="minorEastAsia" w:cstheme="minorEastAsia"/>
          <w:color w:val="000000"/>
          <w:sz w:val="24"/>
          <w:szCs w:val="24"/>
          <w:shd w:val="clear" w:color="auto" w:fill="FFFFFF"/>
        </w:rPr>
        <w:t>30</w:t>
      </w:r>
      <w:r>
        <w:rPr>
          <w:rFonts w:hint="eastAsia" w:asciiTheme="minorEastAsia" w:hAnsiTheme="minorEastAsia" w:eastAsiaTheme="minorEastAsia" w:cstheme="minorEastAsia"/>
          <w:color w:val="000000"/>
          <w:sz w:val="24"/>
          <w:szCs w:val="24"/>
        </w:rPr>
        <w:t>天内，乙方未作答复，上述索赔应视为已被乙方接受。甲方将从合同款项中扣回索赔金额。如果这些金额不足以补偿索赔金额，甲方有权向乙方提出不足部分的补偿。</w:t>
      </w:r>
    </w:p>
    <w:p w14:paraId="5068960A">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10、违约与处罚</w:t>
      </w:r>
    </w:p>
    <w:p w14:paraId="48B8589B">
      <w:pPr>
        <w:keepNext w:val="0"/>
        <w:keepLines w:val="0"/>
        <w:pageBreakBefore w:val="0"/>
        <w:kinsoku/>
        <w:wordWrap/>
        <w:overflowPunct/>
        <w:topLinePunct w:val="0"/>
        <w:autoSpaceDE/>
        <w:autoSpaceDN/>
        <w:bidi w:val="0"/>
        <w:spacing w:line="400" w:lineRule="exact"/>
        <w:ind w:left="1017" w:leftChars="200" w:hanging="597" w:hangingChars="249"/>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10.1 甲方应依合同规定时间内，向乙方支付货款，每拖延一天乙方可向甲方加收合同金额的</w:t>
      </w:r>
      <w:r>
        <w:rPr>
          <w:rFonts w:hint="eastAsia" w:asciiTheme="minorEastAsia" w:hAnsiTheme="minorEastAsia" w:eastAsiaTheme="minorEastAsia" w:cstheme="minorEastAsia"/>
          <w:color w:val="000000"/>
          <w:sz w:val="24"/>
          <w:szCs w:val="24"/>
          <w:shd w:val="clear" w:color="auto" w:fill="FFFFFF"/>
        </w:rPr>
        <w:t>3‰</w:t>
      </w:r>
      <w:r>
        <w:rPr>
          <w:rFonts w:hint="eastAsia" w:asciiTheme="minorEastAsia" w:hAnsiTheme="minorEastAsia" w:eastAsiaTheme="minorEastAsia" w:cstheme="minorEastAsia"/>
          <w:color w:val="000000"/>
          <w:sz w:val="24"/>
          <w:szCs w:val="24"/>
        </w:rPr>
        <w:t>的违约金。</w:t>
      </w:r>
    </w:p>
    <w:p w14:paraId="4FE041BE">
      <w:pPr>
        <w:keepNext w:val="0"/>
        <w:keepLines w:val="0"/>
        <w:pageBreakBefore w:val="0"/>
        <w:kinsoku/>
        <w:wordWrap/>
        <w:overflowPunct/>
        <w:topLinePunct w:val="0"/>
        <w:autoSpaceDE/>
        <w:autoSpaceDN/>
        <w:bidi w:val="0"/>
        <w:spacing w:line="400" w:lineRule="exact"/>
        <w:ind w:left="1020" w:lef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10.2 乙方未能按时交货，每拖延一天，须向甲方支付合同金额的</w:t>
      </w:r>
      <w:r>
        <w:rPr>
          <w:rFonts w:hint="eastAsia" w:asciiTheme="minorEastAsia" w:hAnsiTheme="minorEastAsia" w:eastAsiaTheme="minorEastAsia" w:cstheme="minorEastAsia"/>
          <w:color w:val="000000"/>
          <w:sz w:val="24"/>
          <w:szCs w:val="24"/>
          <w:shd w:val="clear" w:color="auto" w:fill="FFFFFF"/>
        </w:rPr>
        <w:t>3‰</w:t>
      </w:r>
      <w:r>
        <w:rPr>
          <w:rFonts w:hint="eastAsia" w:asciiTheme="minorEastAsia" w:hAnsiTheme="minorEastAsia" w:eastAsiaTheme="minorEastAsia" w:cstheme="minorEastAsia"/>
          <w:color w:val="000000"/>
          <w:sz w:val="24"/>
          <w:szCs w:val="24"/>
        </w:rPr>
        <w:t>的违约金，此部份金额从乙方履约保证金中扣除，不足部份，甲方有权向乙方提出追偿。</w:t>
      </w:r>
    </w:p>
    <w:p w14:paraId="2514A302">
      <w:pPr>
        <w:keepNext w:val="0"/>
        <w:keepLines w:val="0"/>
        <w:pageBreakBefore w:val="0"/>
        <w:kinsoku/>
        <w:wordWrap/>
        <w:overflowPunct/>
        <w:topLinePunct w:val="0"/>
        <w:autoSpaceDE/>
        <w:autoSpaceDN/>
        <w:bidi w:val="0"/>
        <w:spacing w:line="400" w:lineRule="exact"/>
        <w:ind w:left="1020" w:lef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10.3 乙方交付的货物不符合合同规定的，甲方有权拒收，乙方向甲方支付合同金额的</w:t>
      </w:r>
      <w:r>
        <w:rPr>
          <w:rFonts w:hint="eastAsia" w:asciiTheme="minorEastAsia" w:hAnsiTheme="minorEastAsia" w:eastAsiaTheme="minorEastAsia" w:cstheme="minorEastAsia"/>
          <w:color w:val="000000"/>
          <w:sz w:val="24"/>
          <w:szCs w:val="24"/>
          <w:shd w:val="clear" w:color="auto" w:fill="FFFFFF"/>
        </w:rPr>
        <w:t>5%</w:t>
      </w:r>
      <w:r>
        <w:rPr>
          <w:rFonts w:hint="eastAsia" w:asciiTheme="minorEastAsia" w:hAnsiTheme="minorEastAsia" w:eastAsiaTheme="minorEastAsia" w:cstheme="minorEastAsia"/>
          <w:color w:val="000000"/>
          <w:sz w:val="24"/>
          <w:szCs w:val="24"/>
        </w:rPr>
        <w:t>的违约金，此部份金额从乙方履约保证金中扣除。</w:t>
      </w:r>
    </w:p>
    <w:p w14:paraId="4CF8C7CB">
      <w:pPr>
        <w:keepNext w:val="0"/>
        <w:keepLines w:val="0"/>
        <w:pageBreakBefore w:val="0"/>
        <w:kinsoku/>
        <w:wordWrap/>
        <w:overflowPunct/>
        <w:topLinePunct w:val="0"/>
        <w:autoSpaceDE/>
        <w:autoSpaceDN/>
        <w:bidi w:val="0"/>
        <w:spacing w:line="400" w:lineRule="exact"/>
        <w:ind w:left="660" w:leftChars="200" w:hanging="240" w:hangingChars="1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10.4 甲方无正当理由拒收货物的，甲方向乙方支付合同金额的</w:t>
      </w:r>
      <w:r>
        <w:rPr>
          <w:rFonts w:hint="eastAsia" w:asciiTheme="minorEastAsia" w:hAnsiTheme="minorEastAsia" w:eastAsiaTheme="minorEastAsia" w:cstheme="minorEastAsia"/>
          <w:color w:val="000000"/>
          <w:sz w:val="24"/>
          <w:szCs w:val="24"/>
          <w:shd w:val="clear" w:color="auto" w:fill="FFFFFF"/>
        </w:rPr>
        <w:t>5%</w:t>
      </w:r>
      <w:r>
        <w:rPr>
          <w:rFonts w:hint="eastAsia" w:asciiTheme="minorEastAsia" w:hAnsiTheme="minorEastAsia" w:eastAsiaTheme="minorEastAsia" w:cstheme="minorEastAsia"/>
          <w:color w:val="000000"/>
          <w:sz w:val="24"/>
          <w:szCs w:val="24"/>
        </w:rPr>
        <w:t>的违约金。</w:t>
      </w:r>
    </w:p>
    <w:p w14:paraId="16C5F0E3">
      <w:pPr>
        <w:keepNext w:val="0"/>
        <w:keepLines w:val="0"/>
        <w:pageBreakBefore w:val="0"/>
        <w:kinsoku/>
        <w:wordWrap/>
        <w:overflowPunct/>
        <w:topLinePunct w:val="0"/>
        <w:autoSpaceDE/>
        <w:autoSpaceDN/>
        <w:bidi w:val="0"/>
        <w:spacing w:line="400" w:lineRule="exact"/>
        <w:ind w:left="1020" w:leftChars="20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10.5 乙方未能交付货物，则须向甲方支付合同采购金额</w:t>
      </w:r>
      <w:r>
        <w:rPr>
          <w:rFonts w:hint="eastAsia" w:asciiTheme="minorEastAsia" w:hAnsiTheme="minorEastAsia" w:eastAsiaTheme="minorEastAsia" w:cstheme="minorEastAsia"/>
          <w:color w:val="000000"/>
          <w:sz w:val="24"/>
          <w:szCs w:val="24"/>
          <w:shd w:val="clear" w:color="auto" w:fill="FFFFFF"/>
        </w:rPr>
        <w:t>5%</w:t>
      </w:r>
      <w:r>
        <w:rPr>
          <w:rFonts w:hint="eastAsia" w:asciiTheme="minorEastAsia" w:hAnsiTheme="minorEastAsia" w:eastAsiaTheme="minorEastAsia" w:cstheme="minorEastAsia"/>
          <w:color w:val="000000"/>
          <w:sz w:val="24"/>
          <w:szCs w:val="24"/>
        </w:rPr>
        <w:t>的违约金，此部份金额从乙方履约保证金中扣除。在乙方未能交货</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天后，视为其不能交付货物，甲方将有权终止合同并提出进一步索赔的权力。</w:t>
      </w:r>
    </w:p>
    <w:p w14:paraId="7742EF21">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11、合同终止</w:t>
      </w:r>
    </w:p>
    <w:p w14:paraId="1C83ABAC">
      <w:pPr>
        <w:keepNext w:val="0"/>
        <w:keepLines w:val="0"/>
        <w:pageBreakBefore w:val="0"/>
        <w:kinsoku/>
        <w:wordWrap/>
        <w:overflowPunct/>
        <w:topLinePunct w:val="0"/>
        <w:autoSpaceDE/>
        <w:autoSpaceDN/>
        <w:bidi w:val="0"/>
        <w:spacing w:line="400" w:lineRule="exact"/>
        <w:ind w:left="420" w:leftChars="200" w:right="-84" w:rightChars="-4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如果一方严重违反合同，并在收到对方违约通知书后在</w:t>
      </w:r>
      <w:r>
        <w:rPr>
          <w:rFonts w:hint="eastAsia" w:asciiTheme="minorEastAsia" w:hAnsiTheme="minorEastAsia" w:eastAsiaTheme="minorEastAsia" w:cstheme="minorEastAsia"/>
          <w:color w:val="000000"/>
          <w:sz w:val="24"/>
          <w:szCs w:val="24"/>
          <w:shd w:val="clear" w:color="auto" w:fill="FFFFFF"/>
        </w:rPr>
        <w:t>30</w:t>
      </w:r>
      <w:r>
        <w:rPr>
          <w:rFonts w:hint="eastAsia" w:asciiTheme="minorEastAsia" w:hAnsiTheme="minorEastAsia" w:eastAsiaTheme="minorEastAsia" w:cstheme="minorEastAsia"/>
          <w:color w:val="000000"/>
          <w:sz w:val="24"/>
          <w:szCs w:val="24"/>
        </w:rPr>
        <w:t>天内仍未能改正违约的，另一方可立即终止本合同。</w:t>
      </w:r>
    </w:p>
    <w:p w14:paraId="36B8FEEA">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12、法律诉讼</w:t>
      </w:r>
    </w:p>
    <w:p w14:paraId="466BC1A5">
      <w:pPr>
        <w:keepNext w:val="0"/>
        <w:keepLines w:val="0"/>
        <w:pageBreakBefore w:val="0"/>
        <w:kinsoku/>
        <w:wordWrap/>
        <w:overflowPunct/>
        <w:topLinePunct w:val="0"/>
        <w:autoSpaceDE/>
        <w:autoSpaceDN/>
        <w:bidi w:val="0"/>
        <w:spacing w:line="400" w:lineRule="exact"/>
        <w:ind w:left="630" w:leftChars="3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签约双方在履约中发生争执和分歧，双方应通过友好协商解决，若经协商不能达成协议时，则由合同签订地或招标人所在地人民法院提起诉讼。受理期间，双方应继续执行合同其余部分。</w:t>
      </w:r>
    </w:p>
    <w:p w14:paraId="7BEAA5E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13、其它</w:t>
      </w:r>
    </w:p>
    <w:p w14:paraId="02C08453">
      <w:pPr>
        <w:keepNext w:val="0"/>
        <w:keepLines w:val="0"/>
        <w:pageBreakBefore w:val="0"/>
        <w:kinsoku/>
        <w:wordWrap/>
        <w:overflowPunct/>
        <w:topLinePunct w:val="0"/>
        <w:autoSpaceDE/>
        <w:autoSpaceDN/>
        <w:bidi w:val="0"/>
        <w:spacing w:line="400" w:lineRule="exact"/>
        <w:ind w:left="1125" w:leftChars="250" w:hanging="600" w:hanging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 本合同正本四份，具有同等法律效力，甲、乙双方各执一份，财政局一份，采购代理机构一份。合同自签字之日起即时生效。</w:t>
      </w:r>
    </w:p>
    <w:p w14:paraId="0D852EDB">
      <w:pPr>
        <w:keepNext w:val="0"/>
        <w:keepLines w:val="0"/>
        <w:pageBreakBefore w:val="0"/>
        <w:kinsoku/>
        <w:wordWrap/>
        <w:overflowPunct/>
        <w:topLinePunct w:val="0"/>
        <w:autoSpaceDE/>
        <w:autoSpaceDN/>
        <w:bidi w:val="0"/>
        <w:snapToGrid w:val="0"/>
        <w:spacing w:line="400" w:lineRule="exact"/>
        <w:ind w:firstLine="600" w:firstLine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13.2下列文件是本合同的一部分，并与本合同一起阅读和解释</w:t>
      </w:r>
    </w:p>
    <w:p w14:paraId="5F792034">
      <w:pPr>
        <w:keepNext w:val="0"/>
        <w:keepLines w:val="0"/>
        <w:pageBreakBefore w:val="0"/>
        <w:kinsoku/>
        <w:wordWrap/>
        <w:overflowPunct/>
        <w:topLinePunct w:val="0"/>
        <w:autoSpaceDE/>
        <w:autoSpaceDN/>
        <w:bidi w:val="0"/>
        <w:snapToGrid w:val="0"/>
        <w:spacing w:line="400" w:lineRule="exact"/>
        <w:ind w:firstLine="1080" w:firstLineChars="4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13.2.1 中标人提交的投标函和投标一览表；</w:t>
      </w:r>
    </w:p>
    <w:p w14:paraId="04C7BFD0">
      <w:pPr>
        <w:keepNext w:val="0"/>
        <w:keepLines w:val="0"/>
        <w:pageBreakBefore w:val="0"/>
        <w:kinsoku/>
        <w:wordWrap/>
        <w:overflowPunct/>
        <w:topLinePunct w:val="0"/>
        <w:autoSpaceDE/>
        <w:autoSpaceDN/>
        <w:bidi w:val="0"/>
        <w:snapToGrid w:val="0"/>
        <w:spacing w:line="400" w:lineRule="exact"/>
        <w:ind w:firstLine="1056" w:firstLineChars="44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13.2.2 资格声明函；</w:t>
      </w:r>
    </w:p>
    <w:p w14:paraId="21FBBF4F">
      <w:pPr>
        <w:keepNext w:val="0"/>
        <w:keepLines w:val="0"/>
        <w:pageBreakBefore w:val="0"/>
        <w:kinsoku/>
        <w:wordWrap/>
        <w:overflowPunct/>
        <w:topLinePunct w:val="0"/>
        <w:autoSpaceDE/>
        <w:autoSpaceDN/>
        <w:bidi w:val="0"/>
        <w:snapToGrid w:val="0"/>
        <w:spacing w:line="400" w:lineRule="exact"/>
        <w:ind w:firstLine="1056" w:firstLineChars="44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13.2.3 中标通知书；</w:t>
      </w:r>
    </w:p>
    <w:p w14:paraId="5AFDA0BF">
      <w:pPr>
        <w:keepNext w:val="0"/>
        <w:keepLines w:val="0"/>
        <w:pageBreakBefore w:val="0"/>
        <w:kinsoku/>
        <w:wordWrap/>
        <w:overflowPunct/>
        <w:topLinePunct w:val="0"/>
        <w:autoSpaceDE/>
        <w:autoSpaceDN/>
        <w:bidi w:val="0"/>
        <w:snapToGrid w:val="0"/>
        <w:spacing w:line="400" w:lineRule="exact"/>
        <w:ind w:firstLine="1058" w:firstLineChars="441"/>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13.2.4 其他相关投标文件。 </w:t>
      </w:r>
    </w:p>
    <w:p w14:paraId="6EC23C35">
      <w:pPr>
        <w:keepNext w:val="0"/>
        <w:keepLines w:val="0"/>
        <w:pageBreakBefore w:val="0"/>
        <w:kinsoku/>
        <w:wordWrap/>
        <w:overflowPunct/>
        <w:topLinePunct w:val="0"/>
        <w:autoSpaceDE/>
        <w:autoSpaceDN/>
        <w:bidi w:val="0"/>
        <w:spacing w:line="400" w:lineRule="exact"/>
        <w:ind w:firstLine="600" w:firstLineChars="2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 本合同未尽事宜，由双方协商处理。</w:t>
      </w:r>
    </w:p>
    <w:p w14:paraId="6AC96AA3">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000000"/>
          <w:sz w:val="24"/>
          <w:szCs w:val="24"/>
        </w:rPr>
      </w:pPr>
    </w:p>
    <w:p w14:paraId="51512FE7">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                                                 乙方：</w:t>
      </w:r>
    </w:p>
    <w:p w14:paraId="5F985816">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单位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公司</w:t>
      </w:r>
    </w:p>
    <w:p w14:paraId="13D47A39">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签约代表：                                              签约代表：</w:t>
      </w:r>
    </w:p>
    <w:p w14:paraId="4F7BE25B">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                                                  地址：</w:t>
      </w:r>
    </w:p>
    <w:p w14:paraId="6F2A3E5F">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电话：　　　                                            电话：</w:t>
      </w:r>
    </w:p>
    <w:p w14:paraId="55E3F94C">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传真：　　　                                            传真：</w:t>
      </w:r>
    </w:p>
    <w:p w14:paraId="051647F5">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r>
        <w:rPr>
          <w:rFonts w:hint="eastAsia" w:asciiTheme="minorEastAsia" w:hAnsiTheme="minorEastAsia" w:eastAsiaTheme="minorEastAsia" w:cstheme="minorEastAsia"/>
          <w:sz w:val="24"/>
          <w:szCs w:val="24"/>
          <w:lang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            签约日期：</w:t>
      </w:r>
      <w:r>
        <w:rPr>
          <w:rFonts w:hint="eastAsia" w:asciiTheme="minorEastAsia" w:hAnsiTheme="minorEastAsia" w:eastAsiaTheme="minorEastAsia" w:cstheme="minorEastAsia"/>
          <w:sz w:val="24"/>
          <w:szCs w:val="24"/>
          <w:lang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3AE7709">
      <w:pPr>
        <w:keepNext w:val="0"/>
        <w:keepLines w:val="0"/>
        <w:pageBreakBefore w:val="0"/>
        <w:kinsoku/>
        <w:wordWrap/>
        <w:overflowPunct/>
        <w:topLinePunct w:val="0"/>
        <w:autoSpaceDE/>
        <w:autoSpaceDN/>
        <w:bidi w:val="0"/>
        <w:adjustRightInd w:val="0"/>
        <w:snapToGrid w:val="0"/>
        <w:spacing w:line="400" w:lineRule="exact"/>
        <w:ind w:left="-359" w:leftChars="-171" w:right="-506" w:rightChars="-241"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43B874C6">
      <w:pPr>
        <w:tabs>
          <w:tab w:val="left" w:pos="486"/>
        </w:tabs>
        <w:bidi w:val="0"/>
        <w:jc w:val="left"/>
        <w:rPr>
          <w:color w:val="auto"/>
          <w:lang w:val="en-US" w:eastAsia="zh-CN"/>
        </w:rPr>
        <w:sectPr>
          <w:pgSz w:w="11906" w:h="16838"/>
          <w:pgMar w:top="1928" w:right="1531" w:bottom="1701" w:left="1531" w:header="851" w:footer="992" w:gutter="0"/>
          <w:pgNumType w:fmt="decimal"/>
          <w:cols w:space="720" w:num="1"/>
          <w:docGrid w:type="lines" w:linePitch="312" w:charSpace="0"/>
        </w:sectPr>
      </w:pPr>
    </w:p>
    <w:p w14:paraId="24D52B42">
      <w:pPr>
        <w:pStyle w:val="11"/>
        <w:numPr>
          <w:ilvl w:val="0"/>
          <w:numId w:val="0"/>
        </w:numPr>
        <w:jc w:val="center"/>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火焰山镇美化亮化项目</w:t>
      </w:r>
      <w:r>
        <w:rPr>
          <w:rFonts w:hint="eastAsia" w:ascii="宋体" w:hAnsi="宋体" w:eastAsia="宋体" w:cs="宋体"/>
          <w:b/>
          <w:bCs/>
          <w:kern w:val="0"/>
          <w:sz w:val="24"/>
          <w:szCs w:val="24"/>
        </w:rPr>
        <w:t>廉洁合同</w:t>
      </w:r>
    </w:p>
    <w:p w14:paraId="3A46ADB5">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甲方：</w:t>
      </w:r>
      <w:r>
        <w:rPr>
          <w:rFonts w:hint="eastAsia" w:ascii="宋体" w:hAnsi="宋体" w:cs="宋体"/>
          <w:kern w:val="0"/>
          <w:sz w:val="24"/>
          <w:szCs w:val="24"/>
          <w:lang w:eastAsia="zh-CN"/>
        </w:rPr>
        <w:t>吐鲁番市高昌区火焰山镇人民政府</w:t>
      </w:r>
    </w:p>
    <w:p w14:paraId="24BCA0E7">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乙方： </w:t>
      </w:r>
    </w:p>
    <w:p w14:paraId="4F90AEF2">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项目名称：                        </w:t>
      </w:r>
    </w:p>
    <w:p w14:paraId="60C42B62">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中标金额：            元</w:t>
      </w:r>
    </w:p>
    <w:p w14:paraId="2239948B">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为进一步加强中心行风建设，规范中心物资采购行为，有效防范商业贿赂行为，营造公平交易、诚实守信的采购环境，经甲、乙双方协商，同意签订本合同，并共同遵守：</w:t>
      </w:r>
    </w:p>
    <w:p w14:paraId="66363802">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一、甲乙双方按照《</w:t>
      </w:r>
      <w:r>
        <w:rPr>
          <w:rFonts w:hint="eastAsia" w:ascii="宋体" w:hAnsi="宋体" w:cs="宋体"/>
          <w:kern w:val="0"/>
          <w:sz w:val="24"/>
          <w:szCs w:val="24"/>
          <w:lang w:val="en-US" w:eastAsia="zh-CN"/>
        </w:rPr>
        <w:t>中华人民共和国民法典</w:t>
      </w:r>
      <w:r>
        <w:rPr>
          <w:rFonts w:hint="eastAsia" w:ascii="宋体" w:hAnsi="宋体" w:eastAsia="宋体" w:cs="宋体"/>
          <w:kern w:val="0"/>
          <w:sz w:val="24"/>
          <w:szCs w:val="24"/>
        </w:rPr>
        <w:t>》及物资采购合同约定采购工程建设、仪器设备、药品、疫苗、试剂耗材、生物制品、印刷、办公设备、办公用品、图书、后勤物资、服务等等各类物资。</w:t>
      </w:r>
    </w:p>
    <w:p w14:paraId="74136B0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二、甲方应当严格执行物资采购合同验收、入库制度对采购物资及发票进行查验，不得违反有关规定合同外采购、违价采购或从非规定渠道采购。</w:t>
      </w:r>
    </w:p>
    <w:p w14:paraId="536AEEE3">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70D812D9">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四、严禁甲方工作人员利用任何途径和方式，私自为乙方提供物资用量、底价等信息，或为乙方投标提供便利。</w:t>
      </w:r>
    </w:p>
    <w:p w14:paraId="56EB509F">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五、乙方不得以回扣、宴请等方式影响甲方工作人员采购或使用物资的选择权，不得在学术活动中提供旅游、超标准支付食宿费用。</w:t>
      </w:r>
    </w:p>
    <w:p w14:paraId="6997B85E">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六、乙方指定作为销售代表洽谈业务。销售代表必须在工作时间到甲方指定地点联系商谈，不得到各科室推销产品，不得借故到甲方相关领导、部门负责人及相关工作人员家中访谈并提供任何好处费。</w:t>
      </w:r>
    </w:p>
    <w:p w14:paraId="4BB2D65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七、乙方如违反本合同，一经发现，甲方有权终止购销合同，并向有关部门报告。如乙方被列入商业贿赂不良记录，</w:t>
      </w:r>
      <w:r>
        <w:rPr>
          <w:rFonts w:hint="eastAsia" w:ascii="宋体" w:hAnsi="宋体" w:eastAsia="宋体" w:cs="宋体"/>
          <w:kern w:val="0"/>
          <w:sz w:val="24"/>
          <w:szCs w:val="24"/>
          <w:lang w:eastAsia="zh-CN"/>
        </w:rPr>
        <w:t>则严格按照</w:t>
      </w:r>
      <w:r>
        <w:rPr>
          <w:rFonts w:hint="eastAsia" w:ascii="宋体" w:hAnsi="宋体" w:eastAsia="宋体" w:cs="宋体"/>
          <w:kern w:val="0"/>
          <w:sz w:val="24"/>
          <w:szCs w:val="24"/>
        </w:rPr>
        <w:t>相关规定处理。</w:t>
      </w:r>
    </w:p>
    <w:p w14:paraId="2627861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八、本合同作为中心物资购销合同的重要组成部分，与购销合同一并执行，具有同等的法律效力。</w:t>
      </w:r>
    </w:p>
    <w:p w14:paraId="78057CF5">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九、本合同一式四份，甲、乙双方各执一份，甲方纪检监察部门执一份，并从签订之日起生效。</w:t>
      </w:r>
    </w:p>
    <w:p w14:paraId="2E5DC511">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p>
    <w:p w14:paraId="389E941C">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甲方申请部门负责人：            乙方（盖章）：</w:t>
      </w:r>
    </w:p>
    <w:p w14:paraId="4046B54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甲方采购部门负责人：            法定代表人（负责人）： </w:t>
      </w:r>
    </w:p>
    <w:p w14:paraId="0C0EE822">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Style w:val="29"/>
          <w:rFonts w:hint="eastAsia" w:ascii="宋体" w:hAnsi="宋体" w:eastAsia="宋体" w:cs="宋体"/>
          <w:b/>
          <w:bCs/>
          <w:color w:val="FF0000"/>
          <w:w w:val="90"/>
          <w:sz w:val="36"/>
          <w:szCs w:val="36"/>
          <w:u w:val="none"/>
          <w:lang w:val="en-US" w:eastAsia="zh-CN"/>
        </w:rPr>
      </w:pPr>
      <w:r>
        <w:rPr>
          <w:rFonts w:hint="eastAsia" w:ascii="宋体" w:hAnsi="宋体" w:eastAsia="宋体" w:cs="宋体"/>
          <w:kern w:val="0"/>
          <w:sz w:val="24"/>
          <w:szCs w:val="24"/>
        </w:rPr>
        <w:t>甲方纪检监察室签章：             经办人签名：</w:t>
      </w:r>
    </w:p>
    <w:p w14:paraId="28AB40DC">
      <w:pPr>
        <w:pStyle w:val="22"/>
        <w:pageBreakBefore w:val="0"/>
        <w:kinsoku/>
        <w:wordWrap/>
        <w:overflowPunct/>
        <w:topLinePunct w:val="0"/>
        <w:bidi w:val="0"/>
        <w:spacing w:beforeAutospacing="0" w:after="0" w:afterAutospacing="0" w:line="400" w:lineRule="exact"/>
        <w:jc w:val="center"/>
        <w:rPr>
          <w:rStyle w:val="29"/>
          <w:rFonts w:hint="eastAsia" w:ascii="宋体" w:hAnsi="宋体" w:eastAsia="宋体" w:cs="宋体"/>
          <w:b/>
          <w:bCs/>
          <w:color w:val="000000" w:themeColor="text1"/>
          <w:w w:val="90"/>
          <w:sz w:val="36"/>
          <w:szCs w:val="36"/>
          <w:u w:val="none"/>
          <w:lang w:val="en-US" w:eastAsia="zh-CN"/>
          <w14:textFill>
            <w14:solidFill>
              <w14:schemeClr w14:val="tx1"/>
            </w14:solidFill>
          </w14:textFill>
        </w:rPr>
      </w:pPr>
    </w:p>
    <w:p w14:paraId="54810912">
      <w:pPr>
        <w:pStyle w:val="22"/>
        <w:pageBreakBefore w:val="0"/>
        <w:numPr>
          <w:ilvl w:val="0"/>
          <w:numId w:val="3"/>
        </w:numPr>
        <w:kinsoku/>
        <w:wordWrap/>
        <w:overflowPunct/>
        <w:topLinePunct w:val="0"/>
        <w:bidi w:val="0"/>
        <w:spacing w:beforeAutospacing="0" w:after="0" w:afterAutospacing="0" w:line="400" w:lineRule="exact"/>
        <w:jc w:val="center"/>
        <w:rPr>
          <w:rStyle w:val="29"/>
          <w:rFonts w:hint="eastAsia" w:ascii="宋体" w:hAnsi="宋体" w:eastAsia="宋体" w:cs="宋体"/>
          <w:b/>
          <w:bCs/>
          <w:color w:val="000000" w:themeColor="text1"/>
          <w:w w:val="90"/>
          <w:sz w:val="36"/>
          <w:szCs w:val="36"/>
          <w:u w:val="none"/>
          <w:lang w:eastAsia="zh-Hans"/>
          <w14:textFill>
            <w14:solidFill>
              <w14:schemeClr w14:val="tx1"/>
            </w14:solidFill>
          </w14:textFill>
        </w:rPr>
        <w:sectPr>
          <w:footerReference r:id="rId6" w:type="default"/>
          <w:pgSz w:w="11960" w:h="16880"/>
          <w:pgMar w:top="1440" w:right="1800" w:bottom="1071" w:left="1800" w:header="0" w:footer="0" w:gutter="0"/>
          <w:pgNumType w:fmt="decimal"/>
          <w:cols w:space="720" w:num="1"/>
        </w:sectPr>
      </w:pPr>
    </w:p>
    <w:p w14:paraId="14B1A046">
      <w:pPr>
        <w:pStyle w:val="22"/>
        <w:pageBreakBefore w:val="0"/>
        <w:numPr>
          <w:ilvl w:val="0"/>
          <w:numId w:val="3"/>
        </w:numPr>
        <w:kinsoku/>
        <w:wordWrap/>
        <w:overflowPunct/>
        <w:topLinePunct w:val="0"/>
        <w:bidi w:val="0"/>
        <w:spacing w:beforeAutospacing="0" w:after="0" w:afterAutospacing="0" w:line="400" w:lineRule="exact"/>
        <w:jc w:val="center"/>
        <w:rPr>
          <w:rStyle w:val="29"/>
          <w:rFonts w:hint="eastAsia" w:ascii="宋体" w:hAnsi="宋体" w:eastAsia="宋体" w:cs="宋体"/>
          <w:b/>
          <w:bCs/>
          <w:color w:val="000000" w:themeColor="text1"/>
          <w:w w:val="90"/>
          <w:sz w:val="36"/>
          <w:szCs w:val="36"/>
          <w:u w:val="none"/>
          <w:lang w:eastAsia="zh-Hans"/>
          <w14:textFill>
            <w14:solidFill>
              <w14:schemeClr w14:val="tx1"/>
            </w14:solidFill>
          </w14:textFill>
        </w:rPr>
      </w:pPr>
      <w:r>
        <w:rPr>
          <w:rStyle w:val="29"/>
          <w:rFonts w:hint="eastAsia" w:ascii="宋体" w:hAnsi="宋体" w:eastAsia="宋体" w:cs="宋体"/>
          <w:b/>
          <w:bCs/>
          <w:color w:val="000000" w:themeColor="text1"/>
          <w:w w:val="90"/>
          <w:sz w:val="36"/>
          <w:szCs w:val="36"/>
          <w:u w:val="none"/>
          <w14:textFill>
            <w14:solidFill>
              <w14:schemeClr w14:val="tx1"/>
            </w14:solidFill>
          </w14:textFill>
        </w:rPr>
        <w:t xml:space="preserve"> </w:t>
      </w:r>
      <w:r>
        <w:rPr>
          <w:rStyle w:val="29"/>
          <w:rFonts w:hint="eastAsia" w:ascii="宋体" w:hAnsi="宋体" w:eastAsia="宋体" w:cs="宋体"/>
          <w:b/>
          <w:bCs/>
          <w:color w:val="000000" w:themeColor="text1"/>
          <w:w w:val="90"/>
          <w:sz w:val="36"/>
          <w:szCs w:val="36"/>
          <w:u w:val="none"/>
          <w:lang w:eastAsia="zh-Hans"/>
          <w14:textFill>
            <w14:solidFill>
              <w14:schemeClr w14:val="tx1"/>
            </w14:solidFill>
          </w14:textFill>
        </w:rPr>
        <w:t>采购需求</w:t>
      </w:r>
      <w:bookmarkStart w:id="4" w:name="_Toc1579209951"/>
      <w:bookmarkEnd w:id="4"/>
    </w:p>
    <w:p w14:paraId="35614CA1">
      <w:pPr>
        <w:numPr>
          <w:ilvl w:val="0"/>
          <w:numId w:val="0"/>
        </w:numPr>
        <w:rPr>
          <w:rFonts w:hint="eastAsia"/>
          <w:color w:val="000000" w:themeColor="text1"/>
          <w:lang w:val="en-US" w:eastAsia="zh-CN"/>
          <w14:textFill>
            <w14:solidFill>
              <w14:schemeClr w14:val="tx1"/>
            </w14:solidFill>
          </w14:textFill>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96"/>
        <w:gridCol w:w="6470"/>
      </w:tblGrid>
      <w:tr w14:paraId="5EE7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56" w:type="dxa"/>
            <w:vAlign w:val="center"/>
          </w:tcPr>
          <w:p w14:paraId="35518E01">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296" w:type="dxa"/>
            <w:vAlign w:val="center"/>
          </w:tcPr>
          <w:p w14:paraId="2704866A">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设备名称</w:t>
            </w:r>
          </w:p>
        </w:tc>
        <w:tc>
          <w:tcPr>
            <w:tcW w:w="6470" w:type="dxa"/>
            <w:vAlign w:val="center"/>
          </w:tcPr>
          <w:p w14:paraId="3B28AA8C">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配置</w:t>
            </w:r>
          </w:p>
        </w:tc>
      </w:tr>
      <w:tr w14:paraId="70F1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56" w:type="dxa"/>
            <w:vAlign w:val="center"/>
          </w:tcPr>
          <w:p w14:paraId="125914B0">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296" w:type="dxa"/>
            <w:vAlign w:val="center"/>
          </w:tcPr>
          <w:p w14:paraId="6B66C250">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6米灯杆</w:t>
            </w:r>
          </w:p>
        </w:tc>
        <w:tc>
          <w:tcPr>
            <w:tcW w:w="6470" w:type="dxa"/>
            <w:vAlign w:val="center"/>
          </w:tcPr>
          <w:p w14:paraId="6957B9A5">
            <w:pPr>
              <w:jc w:val="left"/>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灯杆总高度6米，灯杆材质为Q235钢材。灯杆采用变节型方型杆，灯杆上口径100mm，中间：80mm，下口径120mm，灯杆采用热浸锌表面防腐处理喷塑表面应光美观，灯杆壁厚2.5/2.0mm，灯杆底盘260*260*10mm，焊缝表面无裂纹气孔、咬边、未焊满缺陷产品出厂前，对产品进行质量检查，对焊接质量、尺寸偏差和表面质量进行全面检查，塑层厚度≥130mm，锌层厚度≥85mm</w:t>
            </w:r>
          </w:p>
        </w:tc>
      </w:tr>
      <w:tr w14:paraId="433C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756" w:type="dxa"/>
            <w:vAlign w:val="center"/>
          </w:tcPr>
          <w:p w14:paraId="6721B783">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296" w:type="dxa"/>
            <w:vAlign w:val="center"/>
          </w:tcPr>
          <w:p w14:paraId="50D300F4">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光源</w:t>
            </w:r>
          </w:p>
          <w:p w14:paraId="3F945F1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（含灯具）</w:t>
            </w:r>
          </w:p>
        </w:tc>
        <w:tc>
          <w:tcPr>
            <w:tcW w:w="6470" w:type="dxa"/>
            <w:vAlign w:val="top"/>
          </w:tcPr>
          <w:p w14:paraId="42A1B13C">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60W：灯具外壳采用铝型材或高压压铸铝外壳。</w:t>
            </w:r>
          </w:p>
          <w:p w14:paraId="7579B021">
            <w:pPr>
              <w:numPr>
                <w:ilvl w:val="0"/>
                <w:numId w:val="4"/>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w:t>
            </w:r>
            <w:r>
              <w:rPr>
                <w:rFonts w:hint="default" w:ascii="宋体" w:hAnsi="宋体" w:eastAsia="宋体" w:cs="宋体"/>
                <w:b w:val="0"/>
                <w:bCs w:val="0"/>
                <w:sz w:val="24"/>
                <w:szCs w:val="24"/>
                <w:vertAlign w:val="baseline"/>
                <w:lang w:val="en-US" w:eastAsia="zh-CN"/>
              </w:rPr>
              <w:t>要求:</w:t>
            </w:r>
          </w:p>
          <w:p w14:paraId="5206B99C">
            <w:pPr>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LED灯具</w:t>
            </w:r>
            <w:r>
              <w:rPr>
                <w:rFonts w:hint="eastAsia" w:ascii="宋体" w:hAnsi="宋体" w:cs="宋体"/>
                <w:sz w:val="24"/>
                <w:szCs w:val="24"/>
                <w:lang w:val="en-US" w:eastAsia="zh-CN"/>
              </w:rPr>
              <w:t>60W</w:t>
            </w:r>
          </w:p>
          <w:p w14:paraId="0E3CBC5D">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1.规格型号：LED灯具≥</w:t>
            </w:r>
            <w:r>
              <w:rPr>
                <w:rFonts w:hint="eastAsia" w:ascii="宋体" w:hAnsi="宋体" w:cs="宋体"/>
                <w:sz w:val="24"/>
                <w:szCs w:val="24"/>
                <w:lang w:val="en-US" w:eastAsia="zh-CN"/>
              </w:rPr>
              <w:t>60</w:t>
            </w:r>
            <w:r>
              <w:rPr>
                <w:rFonts w:hint="eastAsia" w:ascii="宋体" w:hAnsi="宋体" w:eastAsia="宋体" w:cs="宋体"/>
                <w:sz w:val="24"/>
                <w:szCs w:val="24"/>
                <w:lang w:val="en-US" w:eastAsia="zh-CN"/>
              </w:rPr>
              <w:t xml:space="preserve">W； </w:t>
            </w:r>
          </w:p>
          <w:p w14:paraId="6D93166B">
            <w:pPr>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2.技术要求：</w:t>
            </w:r>
          </w:p>
          <w:p w14:paraId="1E1C0D0D">
            <w:pPr>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①</w:t>
            </w:r>
            <w:r>
              <w:rPr>
                <w:rFonts w:hint="eastAsia" w:ascii="宋体" w:hAnsi="宋体" w:cs="宋体"/>
                <w:sz w:val="24"/>
                <w:szCs w:val="24"/>
                <w:lang w:val="en-US" w:eastAsia="zh-CN"/>
              </w:rPr>
              <w:t>IK防护等级</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IK10</w:t>
            </w:r>
          </w:p>
          <w:p w14:paraId="5FFDB937">
            <w:pPr>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②</w:t>
            </w:r>
            <w:r>
              <w:rPr>
                <w:rFonts w:hint="eastAsia" w:ascii="宋体" w:hAnsi="宋体" w:cs="宋体"/>
                <w:sz w:val="24"/>
                <w:szCs w:val="24"/>
                <w:lang w:val="en-US" w:eastAsia="zh-CN"/>
              </w:rPr>
              <w:t>IP防护等级</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IP68</w:t>
            </w:r>
          </w:p>
          <w:p w14:paraId="67E3E39C">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③色温:</w:t>
            </w:r>
            <w:r>
              <w:rPr>
                <w:rFonts w:hint="eastAsia" w:ascii="宋体" w:hAnsi="宋体" w:cs="宋体"/>
                <w:sz w:val="24"/>
                <w:szCs w:val="24"/>
                <w:lang w:val="en-US" w:eastAsia="zh-CN"/>
              </w:rPr>
              <w:t>65</w:t>
            </w:r>
            <w:r>
              <w:rPr>
                <w:rFonts w:hint="eastAsia" w:ascii="宋体" w:hAnsi="宋体" w:eastAsia="宋体" w:cs="宋体"/>
                <w:sz w:val="24"/>
                <w:szCs w:val="24"/>
                <w:lang w:val="en-US" w:eastAsia="zh-CN"/>
              </w:rPr>
              <w:t>00K±50K</w:t>
            </w:r>
          </w:p>
          <w:p w14:paraId="07310DDE">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④灯具需通过抗风测试</w:t>
            </w:r>
            <w:r>
              <w:rPr>
                <w:rFonts w:hint="eastAsia" w:ascii="宋体" w:hAnsi="宋体" w:cs="宋体"/>
                <w:sz w:val="24"/>
                <w:szCs w:val="24"/>
                <w:lang w:val="en-US" w:eastAsia="zh-CN"/>
              </w:rPr>
              <w:t>（抗风能力</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67m/s）</w:t>
            </w:r>
          </w:p>
          <w:p w14:paraId="0CC6C660">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⑤灯具</w:t>
            </w:r>
            <w:r>
              <w:rPr>
                <w:rFonts w:hint="eastAsia" w:ascii="宋体" w:hAnsi="宋体" w:cs="宋体"/>
                <w:sz w:val="24"/>
                <w:szCs w:val="24"/>
                <w:lang w:val="en-US" w:eastAsia="zh-CN"/>
              </w:rPr>
              <w:t>通过双85恒温恒湿实验（10000h）</w:t>
            </w:r>
          </w:p>
          <w:p w14:paraId="3BA5BE87">
            <w:pPr>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⑥</w:t>
            </w:r>
            <w:r>
              <w:rPr>
                <w:rFonts w:hint="eastAsia" w:ascii="宋体" w:hAnsi="宋体" w:cs="宋体"/>
                <w:sz w:val="24"/>
                <w:szCs w:val="24"/>
                <w:lang w:val="en-US" w:eastAsia="zh-CN"/>
              </w:rPr>
              <w:t>灯具10000h光衰</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98%;50000h</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96%</w:t>
            </w:r>
          </w:p>
          <w:p w14:paraId="171230FA">
            <w:pPr>
              <w:spacing w:line="240" w:lineRule="auto"/>
              <w:jc w:val="left"/>
              <w:rPr>
                <w:rFonts w:hint="default" w:ascii="宋体" w:hAnsi="宋体" w:cs="宋体"/>
                <w:sz w:val="24"/>
                <w:szCs w:val="24"/>
                <w:lang w:val="en-US" w:eastAsia="zh-CN"/>
              </w:rPr>
            </w:pPr>
            <w:r>
              <w:rPr>
                <w:rFonts w:hint="eastAsia" w:ascii="宋体" w:hAnsi="宋体" w:cs="宋体"/>
                <w:sz w:val="24"/>
                <w:szCs w:val="24"/>
                <w:lang w:val="en-US" w:eastAsia="zh-CN"/>
              </w:rPr>
              <w:t>⑦灯具通过100000万次开关实验（光通量变换比≤0.5%），</w:t>
            </w:r>
          </w:p>
          <w:p w14:paraId="18C98846">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cs="宋体"/>
                <w:sz w:val="24"/>
                <w:szCs w:val="24"/>
                <w:lang w:val="en-US" w:eastAsia="zh-CN"/>
              </w:rPr>
              <w:t>⑧</w:t>
            </w:r>
            <w:r>
              <w:rPr>
                <w:rFonts w:hint="eastAsia" w:ascii="宋体" w:hAnsi="宋体" w:eastAsia="宋体" w:cs="宋体"/>
                <w:sz w:val="24"/>
                <w:szCs w:val="24"/>
                <w:lang w:val="en-US" w:eastAsia="zh-CN"/>
              </w:rPr>
              <w:t>灯具的LED灯珠的功率≥1W；光通量≥310lm；光效≥195lm。</w:t>
            </w:r>
          </w:p>
        </w:tc>
      </w:tr>
      <w:tr w14:paraId="1095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56" w:type="dxa"/>
            <w:vAlign w:val="center"/>
          </w:tcPr>
          <w:p w14:paraId="7A2D8FD9">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296" w:type="dxa"/>
            <w:vAlign w:val="center"/>
          </w:tcPr>
          <w:p w14:paraId="22314550">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锂电池</w:t>
            </w:r>
          </w:p>
        </w:tc>
        <w:tc>
          <w:tcPr>
            <w:tcW w:w="6470" w:type="dxa"/>
            <w:vAlign w:val="center"/>
          </w:tcPr>
          <w:p w14:paraId="18C40D0A">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锂电池：80AH 磷酸铁锂电池</w:t>
            </w:r>
          </w:p>
        </w:tc>
      </w:tr>
      <w:tr w14:paraId="7BA7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756" w:type="dxa"/>
            <w:vAlign w:val="center"/>
          </w:tcPr>
          <w:p w14:paraId="5988162F">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1296" w:type="dxa"/>
            <w:vAlign w:val="center"/>
          </w:tcPr>
          <w:p w14:paraId="6A354B9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太阳能光伏组件</w:t>
            </w:r>
          </w:p>
        </w:tc>
        <w:tc>
          <w:tcPr>
            <w:tcW w:w="6470" w:type="dxa"/>
            <w:vAlign w:val="top"/>
          </w:tcPr>
          <w:p w14:paraId="0DC5F254">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1.规格型号：太阳能电池板功率≥</w:t>
            </w:r>
            <w:r>
              <w:rPr>
                <w:rFonts w:hint="eastAsia" w:ascii="宋体" w:hAnsi="宋体" w:cs="宋体"/>
                <w:sz w:val="24"/>
                <w:szCs w:val="24"/>
                <w:lang w:val="en-US" w:eastAsia="zh-CN"/>
              </w:rPr>
              <w:t>80W</w:t>
            </w:r>
            <w:r>
              <w:rPr>
                <w:rFonts w:hint="eastAsia" w:ascii="宋体" w:hAnsi="宋体" w:eastAsia="宋体" w:cs="宋体"/>
                <w:sz w:val="24"/>
                <w:szCs w:val="24"/>
                <w:lang w:val="en-US" w:eastAsia="zh-CN"/>
              </w:rPr>
              <w:t>，</w:t>
            </w:r>
          </w:p>
          <w:p w14:paraId="75AA4B81">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2.技术要求：</w:t>
            </w:r>
          </w:p>
          <w:p w14:paraId="33E1D618">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①采用单晶高效电池片，电池片单片转换效率≥21.5%；</w:t>
            </w:r>
          </w:p>
          <w:p w14:paraId="35848C00">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②采用高强度，高透光率的低铁、绒面钢化玻璃，透射比≥92%。</w:t>
            </w:r>
          </w:p>
          <w:p w14:paraId="21B5F149">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③输出采用密封防水，高可靠性多功能接线盒，可适应各种复杂恶劣气候条件下的使用，防护等级≥IP68</w:t>
            </w:r>
          </w:p>
        </w:tc>
      </w:tr>
      <w:tr w14:paraId="6C53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56" w:type="dxa"/>
            <w:vAlign w:val="center"/>
          </w:tcPr>
          <w:p w14:paraId="5E804260">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96" w:type="dxa"/>
            <w:vAlign w:val="center"/>
          </w:tcPr>
          <w:p w14:paraId="147188F1">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控制器</w:t>
            </w:r>
          </w:p>
        </w:tc>
        <w:tc>
          <w:tcPr>
            <w:tcW w:w="6470" w:type="dxa"/>
            <w:vAlign w:val="top"/>
          </w:tcPr>
          <w:p w14:paraId="50BC62F3">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控制器</w:t>
            </w:r>
          </w:p>
          <w:p w14:paraId="19E0AE7D">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规格型号：10A</w:t>
            </w:r>
          </w:p>
          <w:p w14:paraId="19E6965A">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p w14:paraId="2435BC76">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①欠压断开、充满断开、负载短路保护、极性反接保护、反向放电保护功能。</w:t>
            </w:r>
          </w:p>
          <w:p w14:paraId="048060DB">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②控制器空载损耗≤0.1%</w:t>
            </w:r>
          </w:p>
        </w:tc>
      </w:tr>
      <w:tr w14:paraId="0158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56" w:type="dxa"/>
            <w:vAlign w:val="center"/>
          </w:tcPr>
          <w:p w14:paraId="77FD9648">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1296" w:type="dxa"/>
            <w:vAlign w:val="center"/>
          </w:tcPr>
          <w:p w14:paraId="200487D3">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预埋件</w:t>
            </w:r>
          </w:p>
        </w:tc>
        <w:tc>
          <w:tcPr>
            <w:tcW w:w="6470" w:type="dxa"/>
            <w:vAlign w:val="top"/>
          </w:tcPr>
          <w:p w14:paraId="2237DDE7">
            <w:pPr>
              <w:spacing w:line="24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预埋件</w:t>
            </w:r>
            <w:r>
              <w:rPr>
                <w:rFonts w:hint="eastAsia" w:ascii="宋体" w:hAnsi="宋体" w:cs="宋体"/>
                <w:sz w:val="24"/>
                <w:szCs w:val="24"/>
                <w:lang w:val="en-US" w:eastAsia="zh-CN"/>
              </w:rPr>
              <w:t>配套</w:t>
            </w:r>
          </w:p>
          <w:p w14:paraId="1BDFD62D">
            <w:pPr>
              <w:spacing w:line="24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1.规格型号：M16*260*260*600mm</w:t>
            </w:r>
          </w:p>
          <w:p w14:paraId="7997365C">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2.技术要求：</w:t>
            </w:r>
          </w:p>
          <w:p w14:paraId="523DDCED">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①抗拉强度≥450MPa；</w:t>
            </w:r>
          </w:p>
          <w:p w14:paraId="1D333C82">
            <w:pPr>
              <w:spacing w:line="24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②屈服强度≥360MPa； </w:t>
            </w:r>
            <w:r>
              <w:rPr>
                <w:rFonts w:hint="eastAsia" w:ascii="宋体" w:hAnsi="宋体" w:cs="宋体"/>
                <w:sz w:val="24"/>
                <w:szCs w:val="24"/>
                <w:lang w:val="en-US" w:eastAsia="zh-CN"/>
              </w:rPr>
              <w:t xml:space="preserve"> </w:t>
            </w:r>
          </w:p>
          <w:p w14:paraId="551F6FB6">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③断后伸长率≥40%；</w:t>
            </w:r>
          </w:p>
          <w:p w14:paraId="7496DDEF">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④维氏硬度均≥130HV10</w:t>
            </w:r>
          </w:p>
        </w:tc>
      </w:tr>
      <w:tr w14:paraId="0ACD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56" w:type="dxa"/>
            <w:vAlign w:val="center"/>
          </w:tcPr>
          <w:p w14:paraId="73C660AB">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1296" w:type="dxa"/>
            <w:vAlign w:val="center"/>
          </w:tcPr>
          <w:p w14:paraId="640DC8E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基础坑</w:t>
            </w:r>
          </w:p>
        </w:tc>
        <w:tc>
          <w:tcPr>
            <w:tcW w:w="6470" w:type="dxa"/>
            <w:vAlign w:val="top"/>
          </w:tcPr>
          <w:p w14:paraId="0720CA79">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基础混凝土标号及截面C30砼，长600*宽600*深1200m(视现场士质情况决定)</w:t>
            </w:r>
          </w:p>
        </w:tc>
      </w:tr>
      <w:tr w14:paraId="4049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56" w:type="dxa"/>
            <w:vAlign w:val="center"/>
          </w:tcPr>
          <w:p w14:paraId="5534D8FE">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1296" w:type="dxa"/>
            <w:vAlign w:val="center"/>
          </w:tcPr>
          <w:p w14:paraId="7A8E33B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电线</w:t>
            </w:r>
          </w:p>
        </w:tc>
        <w:tc>
          <w:tcPr>
            <w:tcW w:w="6470" w:type="dxa"/>
            <w:vAlign w:val="center"/>
          </w:tcPr>
          <w:p w14:paraId="4B0DC0FC">
            <w:p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国标铜芯2*1.5²。</w:t>
            </w:r>
          </w:p>
        </w:tc>
      </w:tr>
      <w:tr w14:paraId="2C43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56" w:type="dxa"/>
            <w:vAlign w:val="center"/>
          </w:tcPr>
          <w:p w14:paraId="367E9D3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1296" w:type="dxa"/>
            <w:vAlign w:val="center"/>
          </w:tcPr>
          <w:p w14:paraId="2DD4052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中国结</w:t>
            </w:r>
          </w:p>
        </w:tc>
        <w:tc>
          <w:tcPr>
            <w:tcW w:w="6470" w:type="dxa"/>
            <w:vAlign w:val="top"/>
          </w:tcPr>
          <w:p w14:paraId="128CF60C">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中国结带光源（15W）：</w:t>
            </w:r>
          </w:p>
          <w:p w14:paraId="554D55BE">
            <w:pPr>
              <w:pStyle w:val="1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尺寸要求：1200mm*600mm</w:t>
            </w:r>
          </w:p>
          <w:p w14:paraId="35F4F99B">
            <w:pPr>
              <w:pStyle w:val="12"/>
              <w:ind w:left="0" w:leftChars="0" w:firstLine="0" w:firstLineChars="0"/>
              <w:rPr>
                <w:rFonts w:hint="default"/>
                <w:lang w:val="en-US" w:eastAsia="zh-CN"/>
              </w:rPr>
            </w:pPr>
            <w:r>
              <w:rPr>
                <w:rFonts w:hint="eastAsia" w:ascii="宋体" w:hAnsi="宋体" w:cs="宋体"/>
                <w:sz w:val="24"/>
                <w:szCs w:val="24"/>
                <w:lang w:val="en-US" w:eastAsia="zh-CN"/>
              </w:rPr>
              <w:t>支架激光雕刻焊接，内置LED光源</w:t>
            </w:r>
          </w:p>
        </w:tc>
      </w:tr>
    </w:tbl>
    <w:p w14:paraId="2D6AEC25">
      <w:pPr>
        <w:pStyle w:val="23"/>
        <w:ind w:left="0" w:leftChars="0" w:firstLine="0" w:firstLineChars="0"/>
        <w:rPr>
          <w:rStyle w:val="29"/>
          <w:rFonts w:hint="eastAsia" w:ascii="宋体" w:hAnsi="宋体" w:eastAsia="宋体" w:cs="宋体"/>
          <w:b/>
          <w:bCs/>
          <w:color w:val="auto"/>
          <w:w w:val="90"/>
          <w:sz w:val="36"/>
          <w:szCs w:val="36"/>
          <w:u w:val="none"/>
          <w:lang w:val="en-US" w:eastAsia="zh-CN"/>
        </w:rPr>
        <w:sectPr>
          <w:pgSz w:w="11960" w:h="16880"/>
          <w:pgMar w:top="1440" w:right="1800" w:bottom="1071" w:left="1800" w:header="0" w:footer="0" w:gutter="0"/>
          <w:pgNumType w:fmt="decimal"/>
          <w:cols w:space="720" w:num="1"/>
        </w:sectPr>
      </w:pPr>
    </w:p>
    <w:p w14:paraId="3FA1A787">
      <w:pPr>
        <w:pStyle w:val="22"/>
        <w:pageBreakBefore w:val="0"/>
        <w:kinsoku/>
        <w:wordWrap/>
        <w:overflowPunct/>
        <w:topLinePunct w:val="0"/>
        <w:bidi w:val="0"/>
        <w:spacing w:beforeAutospacing="0" w:after="0" w:afterAutospacing="0" w:line="400" w:lineRule="exact"/>
        <w:ind w:left="0" w:leftChars="0" w:firstLine="0" w:firstLineChars="0"/>
        <w:jc w:val="center"/>
        <w:rPr>
          <w:rStyle w:val="29"/>
          <w:rFonts w:hint="eastAsia" w:ascii="宋体" w:hAnsi="宋体" w:eastAsia="宋体" w:cs="宋体"/>
          <w:b/>
          <w:bCs/>
          <w:color w:val="auto"/>
          <w:w w:val="90"/>
          <w:sz w:val="36"/>
          <w:szCs w:val="36"/>
          <w:u w:val="none"/>
          <w:lang w:val="en-US" w:eastAsia="zh-CN"/>
        </w:rPr>
      </w:pPr>
      <w:r>
        <w:rPr>
          <w:rStyle w:val="29"/>
          <w:rFonts w:hint="eastAsia" w:ascii="宋体" w:hAnsi="宋体" w:eastAsia="宋体" w:cs="宋体"/>
          <w:b/>
          <w:bCs/>
          <w:color w:val="auto"/>
          <w:w w:val="90"/>
          <w:sz w:val="36"/>
          <w:szCs w:val="36"/>
          <w:u w:val="none"/>
          <w:lang w:val="en-US" w:eastAsia="zh-CN"/>
        </w:rPr>
        <w:t>第六章 评标方法及评标标准</w:t>
      </w:r>
    </w:p>
    <w:p w14:paraId="11399A62">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14:paraId="53ED2977">
      <w:pPr>
        <w:pStyle w:val="33"/>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lang w:val="en-US" w:eastAsia="zh-CN"/>
        </w:rPr>
        <w:t>一</w:t>
      </w:r>
      <w:r>
        <w:rPr>
          <w:rFonts w:hint="eastAsia" w:ascii="宋体" w:hAnsi="宋体" w:eastAsia="宋体" w:cs="宋体"/>
          <w:b/>
          <w:color w:val="000000"/>
          <w:kern w:val="2"/>
          <w:sz w:val="24"/>
          <w:szCs w:val="24"/>
          <w:highlight w:val="none"/>
        </w:rPr>
        <w:t>、评标办法</w:t>
      </w:r>
    </w:p>
    <w:p w14:paraId="72EE6B6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招标评标标准——综合评分法</w:t>
      </w:r>
    </w:p>
    <w:p w14:paraId="3764D1A1">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本项目采用综合评分法（是指投标文件满足招标文件全部实质性要求，且按照评审因素的量化指标评审得分最高的投标人为中标候选人的评标方法），总分100分，其中商务技术部分占</w:t>
      </w:r>
      <w:r>
        <w:rPr>
          <w:rFonts w:hint="eastAsia" w:ascii="宋体" w:hAnsi="宋体" w:cs="宋体"/>
          <w:sz w:val="24"/>
          <w:szCs w:val="24"/>
          <w:lang w:val="en-US" w:eastAsia="zh-CN"/>
        </w:rPr>
        <w:t>7</w:t>
      </w:r>
      <w:r>
        <w:rPr>
          <w:rFonts w:hint="eastAsia" w:ascii="宋体" w:hAnsi="宋体" w:eastAsia="宋体" w:cs="宋体"/>
          <w:sz w:val="24"/>
          <w:szCs w:val="24"/>
        </w:rPr>
        <w:t>0分</w:t>
      </w:r>
      <w:r>
        <w:rPr>
          <w:rFonts w:hint="eastAsia" w:ascii="宋体" w:hAnsi="宋体" w:eastAsia="宋体" w:cs="宋体"/>
          <w:sz w:val="24"/>
          <w:szCs w:val="24"/>
          <w:lang w:eastAsia="zh-CN"/>
        </w:rPr>
        <w:t>、</w:t>
      </w:r>
      <w:r>
        <w:rPr>
          <w:rFonts w:hint="eastAsia" w:ascii="宋体" w:hAnsi="宋体" w:eastAsia="宋体" w:cs="宋体"/>
          <w:sz w:val="24"/>
          <w:szCs w:val="24"/>
        </w:rPr>
        <w:t>价格占</w:t>
      </w:r>
      <w:r>
        <w:rPr>
          <w:rFonts w:hint="eastAsia" w:ascii="宋体" w:hAnsi="宋体" w:cs="宋体"/>
          <w:sz w:val="24"/>
          <w:szCs w:val="24"/>
          <w:lang w:val="en-US" w:eastAsia="zh-CN"/>
        </w:rPr>
        <w:t>3</w:t>
      </w:r>
      <w:r>
        <w:rPr>
          <w:rFonts w:hint="eastAsia" w:ascii="宋体" w:hAnsi="宋体" w:eastAsia="宋体" w:cs="宋体"/>
          <w:sz w:val="24"/>
          <w:szCs w:val="24"/>
        </w:rPr>
        <w:t>0分。</w:t>
      </w:r>
    </w:p>
    <w:p w14:paraId="2730E6B2">
      <w:pPr>
        <w:pageBreakBefore w:val="0"/>
        <w:numPr>
          <w:ilvl w:val="0"/>
          <w:numId w:val="5"/>
        </w:numPr>
        <w:kinsoku/>
        <w:wordWrap/>
        <w:overflowPunct/>
        <w:topLinePunct w:val="0"/>
        <w:bidi w:val="0"/>
        <w:spacing w:beforeAutospacing="0" w:afterAutospacing="0" w:line="40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资格性审查</w:t>
      </w:r>
    </w:p>
    <w:p w14:paraId="10A180DD">
      <w:pPr>
        <w:pageBreakBefore w:val="0"/>
        <w:numPr>
          <w:ilvl w:val="0"/>
          <w:numId w:val="0"/>
        </w:numPr>
        <w:kinsoku/>
        <w:wordWrap/>
        <w:overflowPunct/>
        <w:topLinePunct w:val="0"/>
        <w:bidi w:val="0"/>
        <w:spacing w:beforeAutospacing="0" w:afterAutospacing="0"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开标结束后，采购人按照以下内容对各供应商的投标文件进行资格审查。资格审查不合格的，其投标无效。</w:t>
      </w:r>
    </w:p>
    <w:p w14:paraId="21829504">
      <w:pPr>
        <w:pStyle w:val="32"/>
        <w:rPr>
          <w:rFonts w:hint="eastAsia"/>
        </w:rPr>
      </w:pPr>
    </w:p>
    <w:p w14:paraId="4CEFD9C2">
      <w:pPr>
        <w:pageBreakBefore w:val="0"/>
        <w:kinsoku/>
        <w:wordWrap/>
        <w:overflowPunct/>
        <w:topLinePunct w:val="0"/>
        <w:bidi w:val="0"/>
        <w:adjustRightInd w:val="0"/>
        <w:snapToGrid w:val="0"/>
        <w:spacing w:beforeAutospacing="0" w:afterAutospacing="0" w:line="400" w:lineRule="exact"/>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资格审查表</w:t>
      </w:r>
    </w:p>
    <w:tbl>
      <w:tblPr>
        <w:tblStyle w:val="24"/>
        <w:tblpPr w:leftFromText="180" w:rightFromText="180" w:vertAnchor="text" w:horzAnchor="page" w:tblpX="1691" w:tblpY="227"/>
        <w:tblOverlap w:val="never"/>
        <w:tblW w:w="9368" w:type="dxa"/>
        <w:tblInd w:w="-1121" w:type="dxa"/>
        <w:tblLayout w:type="fixed"/>
        <w:tblCellMar>
          <w:top w:w="15" w:type="dxa"/>
          <w:left w:w="15" w:type="dxa"/>
          <w:bottom w:w="15" w:type="dxa"/>
          <w:right w:w="15" w:type="dxa"/>
        </w:tblCellMar>
      </w:tblPr>
      <w:tblGrid>
        <w:gridCol w:w="893"/>
        <w:gridCol w:w="3731"/>
        <w:gridCol w:w="3150"/>
        <w:gridCol w:w="1594"/>
      </w:tblGrid>
      <w:tr w14:paraId="7F3F10D2">
        <w:tblPrEx>
          <w:tblCellMar>
            <w:top w:w="15" w:type="dxa"/>
            <w:left w:w="15" w:type="dxa"/>
            <w:bottom w:w="15" w:type="dxa"/>
            <w:right w:w="15" w:type="dxa"/>
          </w:tblCellMar>
        </w:tblPrEx>
        <w:trPr>
          <w:trHeight w:val="1433" w:hRule="atLeast"/>
        </w:trPr>
        <w:tc>
          <w:tcPr>
            <w:tcW w:w="893" w:type="dxa"/>
            <w:tcBorders>
              <w:top w:val="single" w:color="auto" w:sz="4" w:space="0"/>
              <w:left w:val="single" w:color="auto" w:sz="4" w:space="0"/>
              <w:bottom w:val="single" w:color="auto" w:sz="4" w:space="0"/>
              <w:right w:val="single" w:color="auto" w:sz="4" w:space="0"/>
            </w:tcBorders>
            <w:vAlign w:val="center"/>
          </w:tcPr>
          <w:p w14:paraId="16F07FC7">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731" w:type="dxa"/>
            <w:tcBorders>
              <w:top w:val="single" w:color="auto" w:sz="4" w:space="0"/>
              <w:left w:val="single" w:color="auto" w:sz="4" w:space="0"/>
              <w:bottom w:val="single" w:color="auto" w:sz="4" w:space="0"/>
              <w:right w:val="single" w:color="auto" w:sz="4" w:space="0"/>
            </w:tcBorders>
            <w:vAlign w:val="center"/>
          </w:tcPr>
          <w:p w14:paraId="7DBBB672">
            <w:pPr>
              <w:pageBreakBefore w:val="0"/>
              <w:widowControl/>
              <w:kinsoku/>
              <w:wordWrap/>
              <w:overflowPunct/>
              <w:topLinePunct w:val="0"/>
              <w:bidi w:val="0"/>
              <w:spacing w:beforeAutospacing="0" w:afterAutospacing="0" w:line="400" w:lineRule="exact"/>
              <w:ind w:left="0" w:lef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审查要求</w:t>
            </w:r>
          </w:p>
        </w:tc>
        <w:tc>
          <w:tcPr>
            <w:tcW w:w="3150" w:type="dxa"/>
            <w:tcBorders>
              <w:top w:val="single" w:color="auto" w:sz="4" w:space="0"/>
              <w:left w:val="single" w:color="auto" w:sz="4" w:space="0"/>
              <w:bottom w:val="single" w:color="auto" w:sz="4" w:space="0"/>
              <w:right w:val="single" w:color="auto" w:sz="4" w:space="0"/>
            </w:tcBorders>
            <w:vAlign w:val="center"/>
          </w:tcPr>
          <w:p w14:paraId="62DF49FC">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要求说明</w:t>
            </w:r>
          </w:p>
        </w:tc>
        <w:tc>
          <w:tcPr>
            <w:tcW w:w="1594" w:type="dxa"/>
            <w:tcBorders>
              <w:top w:val="single" w:color="auto" w:sz="4" w:space="0"/>
              <w:left w:val="single" w:color="auto" w:sz="4" w:space="0"/>
              <w:bottom w:val="single" w:color="auto" w:sz="4" w:space="0"/>
              <w:right w:val="single" w:color="auto" w:sz="4" w:space="0"/>
            </w:tcBorders>
            <w:vAlign w:val="center"/>
          </w:tcPr>
          <w:p w14:paraId="596EE2A7">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是否通过评审</w:t>
            </w:r>
          </w:p>
          <w:p w14:paraId="43E52F13">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（注：通过的打“√”，未通过的打“×”）</w:t>
            </w:r>
          </w:p>
        </w:tc>
      </w:tr>
      <w:tr w14:paraId="6ABABB8E">
        <w:tblPrEx>
          <w:tblCellMar>
            <w:top w:w="15" w:type="dxa"/>
            <w:left w:w="15" w:type="dxa"/>
            <w:bottom w:w="15" w:type="dxa"/>
            <w:right w:w="15" w:type="dxa"/>
          </w:tblCellMar>
        </w:tblPrEx>
        <w:trPr>
          <w:trHeight w:val="1000" w:hRule="atLeast"/>
        </w:trPr>
        <w:tc>
          <w:tcPr>
            <w:tcW w:w="893" w:type="dxa"/>
            <w:tcBorders>
              <w:top w:val="single" w:color="auto" w:sz="4" w:space="0"/>
              <w:left w:val="single" w:color="auto" w:sz="4" w:space="0"/>
              <w:bottom w:val="single" w:color="auto" w:sz="4" w:space="0"/>
              <w:right w:val="single" w:color="auto" w:sz="4" w:space="0"/>
            </w:tcBorders>
            <w:vAlign w:val="center"/>
          </w:tcPr>
          <w:p w14:paraId="0E6123F9">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3731" w:type="dxa"/>
            <w:tcBorders>
              <w:top w:val="single" w:color="auto" w:sz="4" w:space="0"/>
              <w:left w:val="single" w:color="auto" w:sz="4" w:space="0"/>
              <w:bottom w:val="single" w:color="auto" w:sz="4" w:space="0"/>
              <w:right w:val="single" w:color="auto" w:sz="4" w:space="0"/>
            </w:tcBorders>
            <w:vAlign w:val="center"/>
          </w:tcPr>
          <w:p w14:paraId="7241EFED">
            <w:pPr>
              <w:pageBreakBefore w:val="0"/>
              <w:widowControl/>
              <w:kinsoku/>
              <w:wordWrap/>
              <w:overflowPunct/>
              <w:topLinePunct w:val="0"/>
              <w:bidi w:val="0"/>
              <w:spacing w:beforeAutospacing="0" w:afterAutospacing="0" w:line="400" w:lineRule="exact"/>
              <w:ind w:left="0" w:leftChars="0"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供应商营业执照；</w:t>
            </w:r>
          </w:p>
        </w:tc>
        <w:tc>
          <w:tcPr>
            <w:tcW w:w="3150" w:type="dxa"/>
            <w:tcBorders>
              <w:top w:val="single" w:color="auto" w:sz="4" w:space="0"/>
              <w:left w:val="single" w:color="auto" w:sz="4" w:space="0"/>
              <w:bottom w:val="single" w:color="auto" w:sz="4" w:space="0"/>
              <w:right w:val="single" w:color="auto" w:sz="4" w:space="0"/>
            </w:tcBorders>
            <w:vAlign w:val="center"/>
          </w:tcPr>
          <w:p w14:paraId="02F443BD">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lang w:val="en-US" w:eastAsia="zh-CN" w:bidi="ar-SA"/>
              </w:rPr>
              <w:t>营业执照均为证件原件的扫描件加盖企业公章，不按格式填写按无效标处理；</w:t>
            </w:r>
          </w:p>
        </w:tc>
        <w:tc>
          <w:tcPr>
            <w:tcW w:w="1594" w:type="dxa"/>
            <w:tcBorders>
              <w:top w:val="single" w:color="auto" w:sz="4" w:space="0"/>
              <w:left w:val="single" w:color="auto" w:sz="4" w:space="0"/>
              <w:bottom w:val="single" w:color="auto" w:sz="4" w:space="0"/>
              <w:right w:val="single" w:color="auto" w:sz="4" w:space="0"/>
            </w:tcBorders>
            <w:vAlign w:val="center"/>
          </w:tcPr>
          <w:p w14:paraId="4394CC45">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p>
        </w:tc>
      </w:tr>
      <w:tr w14:paraId="0A05C196">
        <w:tblPrEx>
          <w:tblCellMar>
            <w:top w:w="15" w:type="dxa"/>
            <w:left w:w="15" w:type="dxa"/>
            <w:bottom w:w="15" w:type="dxa"/>
            <w:right w:w="15" w:type="dxa"/>
          </w:tblCellMar>
        </w:tblPrEx>
        <w:trPr>
          <w:trHeight w:val="1400" w:hRule="atLeast"/>
        </w:trPr>
        <w:tc>
          <w:tcPr>
            <w:tcW w:w="893" w:type="dxa"/>
            <w:tcBorders>
              <w:top w:val="single" w:color="auto" w:sz="4" w:space="0"/>
              <w:left w:val="single" w:color="auto" w:sz="4" w:space="0"/>
              <w:bottom w:val="single" w:color="auto" w:sz="4" w:space="0"/>
              <w:right w:val="single" w:color="auto" w:sz="4" w:space="0"/>
            </w:tcBorders>
            <w:vAlign w:val="center"/>
          </w:tcPr>
          <w:p w14:paraId="0487C134">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731" w:type="dxa"/>
            <w:tcBorders>
              <w:top w:val="single" w:color="auto" w:sz="4" w:space="0"/>
              <w:left w:val="single" w:color="auto" w:sz="4" w:space="0"/>
              <w:bottom w:val="single" w:color="auto" w:sz="4" w:space="0"/>
              <w:right w:val="single" w:color="auto" w:sz="4" w:space="0"/>
            </w:tcBorders>
            <w:vAlign w:val="center"/>
          </w:tcPr>
          <w:p w14:paraId="1B8B8DE4">
            <w:pPr>
              <w:pageBreakBefore w:val="0"/>
              <w:widowControl/>
              <w:kinsoku/>
              <w:wordWrap/>
              <w:overflowPunct/>
              <w:topLinePunct w:val="0"/>
              <w:bidi w:val="0"/>
              <w:spacing w:beforeAutospacing="0" w:afterAutospacing="0" w:line="400" w:lineRule="exact"/>
              <w:ind w:left="0" w:leftChars="0"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供应商应为中小企业；</w:t>
            </w:r>
          </w:p>
        </w:tc>
        <w:tc>
          <w:tcPr>
            <w:tcW w:w="3150" w:type="dxa"/>
            <w:tcBorders>
              <w:top w:val="single" w:color="auto" w:sz="4" w:space="0"/>
              <w:left w:val="single" w:color="auto" w:sz="4" w:space="0"/>
              <w:bottom w:val="single" w:color="auto" w:sz="4" w:space="0"/>
              <w:right w:val="single" w:color="auto" w:sz="4" w:space="0"/>
            </w:tcBorders>
            <w:vAlign w:val="center"/>
          </w:tcPr>
          <w:p w14:paraId="5ADDD94C">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lang w:val="en-US" w:eastAsia="zh-CN" w:bidi="ar-SA"/>
              </w:rPr>
              <w:t>供应商出具加盖公章的《中小企业声明函》原件的扫描件加盖企业公章，不按格式填写按无效标处理；</w:t>
            </w:r>
          </w:p>
        </w:tc>
        <w:tc>
          <w:tcPr>
            <w:tcW w:w="1594" w:type="dxa"/>
            <w:tcBorders>
              <w:top w:val="single" w:color="auto" w:sz="4" w:space="0"/>
              <w:left w:val="single" w:color="auto" w:sz="4" w:space="0"/>
              <w:bottom w:val="single" w:color="auto" w:sz="4" w:space="0"/>
              <w:right w:val="single" w:color="auto" w:sz="4" w:space="0"/>
            </w:tcBorders>
            <w:vAlign w:val="center"/>
          </w:tcPr>
          <w:p w14:paraId="5C9AB6B7">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p>
        </w:tc>
      </w:tr>
      <w:tr w14:paraId="50CA09AE">
        <w:tblPrEx>
          <w:tblCellMar>
            <w:top w:w="15" w:type="dxa"/>
            <w:left w:w="15" w:type="dxa"/>
            <w:bottom w:w="15" w:type="dxa"/>
            <w:right w:w="15" w:type="dxa"/>
          </w:tblCellMar>
        </w:tblPrEx>
        <w:trPr>
          <w:trHeight w:val="488" w:hRule="atLeast"/>
        </w:trPr>
        <w:tc>
          <w:tcPr>
            <w:tcW w:w="893" w:type="dxa"/>
            <w:tcBorders>
              <w:top w:val="single" w:color="auto" w:sz="4" w:space="0"/>
              <w:left w:val="single" w:color="auto" w:sz="4" w:space="0"/>
              <w:bottom w:val="single" w:color="auto" w:sz="4" w:space="0"/>
              <w:right w:val="single" w:color="auto" w:sz="4" w:space="0"/>
            </w:tcBorders>
            <w:vAlign w:val="center"/>
          </w:tcPr>
          <w:p w14:paraId="10A8D15E">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3731" w:type="dxa"/>
            <w:tcBorders>
              <w:top w:val="single" w:color="auto" w:sz="4" w:space="0"/>
              <w:left w:val="single" w:color="auto" w:sz="4" w:space="0"/>
              <w:bottom w:val="single" w:color="auto" w:sz="4" w:space="0"/>
              <w:right w:val="single" w:color="auto" w:sz="4" w:space="0"/>
            </w:tcBorders>
            <w:vAlign w:val="center"/>
          </w:tcPr>
          <w:p w14:paraId="778D1249">
            <w:pPr>
              <w:keepNext w:val="0"/>
              <w:keepLines w:val="0"/>
              <w:pageBreakBefore w:val="0"/>
              <w:widowControl/>
              <w:kinsoku/>
              <w:wordWrap w:val="0"/>
              <w:overflowPunct/>
              <w:topLinePunct w:val="0"/>
              <w:autoSpaceDE/>
              <w:autoSpaceDN/>
              <w:bidi w:val="0"/>
              <w:adjustRightInd/>
              <w:snapToGrid/>
              <w:spacing w:beforeAutospacing="0" w:afterAutospacing="0" w:line="40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须具备市政公用工程施工总承包三级及以上资质，项目负责人具备市政工程专业注册建造师贰级及以上执业资格；（2）投标人近三年有相应的业绩，并在人员、设备、资金等方面具有相应的施工能力，具备有效的安全生产许可证，区外进疆建筑企业办理信息报送册；（3）凡参加本次招标项目的投标人，需提供信用中国网（www.creditchina.gov.cn）、中国政府采购网（www.ccgp.gov.cn）、国家企业信用信息公示系统（www.gsxt.gov.cn）网络查询截图加盖投标企业公章，近三年如被列入失信被执行人、重大税收违法案件当事人名单、政府采购严重违法失信行为记录名单及其他不符合规定条件的供应商，将拒绝其参加本次政府采购活动；（4）单位负责人为同一人或者存在直接控股、管理关系的不同供应商，不得参加同一合同项下的政府采购活动。（5）本项目不接受联合体投标。</w:t>
            </w:r>
          </w:p>
        </w:tc>
        <w:tc>
          <w:tcPr>
            <w:tcW w:w="3150" w:type="dxa"/>
            <w:tcBorders>
              <w:top w:val="single" w:color="auto" w:sz="4" w:space="0"/>
              <w:left w:val="single" w:color="auto" w:sz="4" w:space="0"/>
              <w:bottom w:val="single" w:color="auto" w:sz="4" w:space="0"/>
              <w:right w:val="single" w:color="auto" w:sz="4" w:space="0"/>
            </w:tcBorders>
            <w:vAlign w:val="center"/>
          </w:tcPr>
          <w:p w14:paraId="56354C55">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资质证书、安全生产许可证、建造师注册证及安考证、法人身份证明及身份证或法人授权委托书及被委托人身份证、信用中国和中国政府采购网以及国家企业信用信息公示系统网络查询截图加盖投标企业公章、区外进疆建筑企业办理信息报送册，以上证件均为原件的扫描件加盖企业公章，不按格式填写按无效标处理；</w:t>
            </w:r>
          </w:p>
        </w:tc>
        <w:tc>
          <w:tcPr>
            <w:tcW w:w="1594" w:type="dxa"/>
            <w:tcBorders>
              <w:top w:val="single" w:color="auto" w:sz="4" w:space="0"/>
              <w:left w:val="single" w:color="auto" w:sz="4" w:space="0"/>
              <w:bottom w:val="single" w:color="auto" w:sz="4" w:space="0"/>
              <w:right w:val="single" w:color="auto" w:sz="4" w:space="0"/>
            </w:tcBorders>
            <w:vAlign w:val="center"/>
          </w:tcPr>
          <w:p w14:paraId="24AABCB5">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p>
        </w:tc>
      </w:tr>
      <w:tr w14:paraId="44D682AE">
        <w:tblPrEx>
          <w:tblCellMar>
            <w:top w:w="15" w:type="dxa"/>
            <w:left w:w="15" w:type="dxa"/>
            <w:bottom w:w="15" w:type="dxa"/>
            <w:right w:w="15" w:type="dxa"/>
          </w:tblCellMar>
        </w:tblPrEx>
        <w:trPr>
          <w:trHeight w:val="1160" w:hRule="atLeast"/>
        </w:trPr>
        <w:tc>
          <w:tcPr>
            <w:tcW w:w="893" w:type="dxa"/>
            <w:tcBorders>
              <w:top w:val="single" w:color="auto" w:sz="4" w:space="0"/>
              <w:left w:val="single" w:color="auto" w:sz="4" w:space="0"/>
              <w:bottom w:val="single" w:color="auto" w:sz="4" w:space="0"/>
              <w:right w:val="single" w:color="auto" w:sz="4" w:space="0"/>
            </w:tcBorders>
            <w:vAlign w:val="center"/>
          </w:tcPr>
          <w:p w14:paraId="2AA6DEC2">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3731" w:type="dxa"/>
            <w:tcBorders>
              <w:top w:val="single" w:color="auto" w:sz="4" w:space="0"/>
              <w:left w:val="single" w:color="auto" w:sz="4" w:space="0"/>
              <w:bottom w:val="single" w:color="auto" w:sz="4" w:space="0"/>
              <w:right w:val="single" w:color="auto" w:sz="4" w:space="0"/>
            </w:tcBorders>
            <w:vAlign w:val="center"/>
          </w:tcPr>
          <w:p w14:paraId="7F52B191">
            <w:pPr>
              <w:pageBreakBefore w:val="0"/>
              <w:widowControl/>
              <w:kinsoku/>
              <w:wordWrap/>
              <w:overflowPunct/>
              <w:topLinePunct w:val="0"/>
              <w:bidi w:val="0"/>
              <w:spacing w:beforeAutospacing="0" w:afterAutospacing="0" w:line="400" w:lineRule="exact"/>
              <w:ind w:left="0" w:leftChars="0"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投标保证金收据或保函</w:t>
            </w:r>
          </w:p>
        </w:tc>
        <w:tc>
          <w:tcPr>
            <w:tcW w:w="3150" w:type="dxa"/>
            <w:tcBorders>
              <w:top w:val="single" w:color="auto" w:sz="4" w:space="0"/>
              <w:left w:val="single" w:color="auto" w:sz="4" w:space="0"/>
              <w:bottom w:val="single" w:color="auto" w:sz="4" w:space="0"/>
              <w:right w:val="single" w:color="auto" w:sz="4" w:space="0"/>
            </w:tcBorders>
            <w:vAlign w:val="center"/>
          </w:tcPr>
          <w:p w14:paraId="62A5E935">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kern w:val="2"/>
                <w:sz w:val="24"/>
                <w:szCs w:val="24"/>
                <w:lang w:val="en-US" w:eastAsia="zh-CN" w:bidi="ar-SA"/>
              </w:rPr>
              <w:t>供应商</w:t>
            </w:r>
            <w:r>
              <w:rPr>
                <w:rFonts w:hint="eastAsia" w:ascii="宋体" w:hAnsi="宋体" w:eastAsia="宋体" w:cs="宋体"/>
                <w:color w:val="auto"/>
                <w:kern w:val="2"/>
                <w:sz w:val="24"/>
                <w:szCs w:val="24"/>
                <w:highlight w:val="none"/>
                <w:lang w:val="en-US" w:eastAsia="zh-CN" w:bidi="ar-SA"/>
              </w:rPr>
              <w:t>按规定</w:t>
            </w:r>
            <w:r>
              <w:rPr>
                <w:rFonts w:hint="eastAsia" w:ascii="宋体" w:hAnsi="宋体" w:eastAsia="宋体" w:cs="宋体"/>
                <w:kern w:val="2"/>
                <w:sz w:val="24"/>
                <w:szCs w:val="24"/>
                <w:lang w:val="en-US" w:eastAsia="zh-CN" w:bidi="ar-SA"/>
              </w:rPr>
              <w:t>提供投标保证金收据或保函</w:t>
            </w:r>
            <w:r>
              <w:rPr>
                <w:rFonts w:hint="eastAsia" w:ascii="宋体" w:hAnsi="宋体" w:cs="宋体"/>
                <w:kern w:val="2"/>
                <w:sz w:val="24"/>
                <w:szCs w:val="24"/>
                <w:lang w:val="en-US" w:eastAsia="zh-CN" w:bidi="ar-SA"/>
              </w:rPr>
              <w:t>、</w:t>
            </w:r>
            <w:r>
              <w:rPr>
                <w:rFonts w:hint="eastAsia" w:ascii="宋体" w:hAnsi="宋体" w:eastAsia="宋体" w:cs="宋体"/>
                <w:color w:val="auto"/>
                <w:kern w:val="2"/>
                <w:sz w:val="24"/>
                <w:szCs w:val="24"/>
                <w:highlight w:val="none"/>
                <w:lang w:val="en-US" w:eastAsia="zh-CN" w:bidi="ar-SA"/>
              </w:rPr>
              <w:t>开户许可证</w:t>
            </w:r>
            <w:r>
              <w:rPr>
                <w:rFonts w:hint="eastAsia" w:ascii="宋体" w:hAnsi="宋体" w:cs="宋体"/>
                <w:color w:val="auto"/>
                <w:kern w:val="2"/>
                <w:sz w:val="24"/>
                <w:szCs w:val="24"/>
                <w:highlight w:val="none"/>
                <w:lang w:val="en-US" w:eastAsia="zh-CN" w:bidi="ar-SA"/>
              </w:rPr>
              <w:t>，</w:t>
            </w:r>
            <w:r>
              <w:rPr>
                <w:rFonts w:hint="eastAsia" w:ascii="宋体" w:hAnsi="宋体" w:cs="宋体"/>
                <w:kern w:val="2"/>
                <w:sz w:val="24"/>
                <w:szCs w:val="24"/>
                <w:lang w:val="en-US" w:eastAsia="zh-CN" w:bidi="ar-SA"/>
              </w:rPr>
              <w:t>原件扫描件加盖企业公章，</w:t>
            </w:r>
            <w:r>
              <w:rPr>
                <w:rFonts w:hint="eastAsia" w:ascii="宋体" w:hAnsi="宋体" w:eastAsia="宋体" w:cs="宋体"/>
                <w:color w:val="auto"/>
                <w:kern w:val="0"/>
                <w:sz w:val="24"/>
                <w:szCs w:val="24"/>
                <w:highlight w:val="none"/>
                <w:lang w:val="en-US" w:eastAsia="zh-CN"/>
              </w:rPr>
              <w:t>不按格式填写按无效标处理</w:t>
            </w:r>
            <w:r>
              <w:rPr>
                <w:rFonts w:hint="eastAsia" w:ascii="宋体" w:hAnsi="宋体" w:cs="宋体"/>
                <w:kern w:val="2"/>
                <w:sz w:val="24"/>
                <w:szCs w:val="24"/>
                <w:lang w:val="en-US" w:eastAsia="zh-CN" w:bidi="ar-SA"/>
              </w:rPr>
              <w:t>。</w:t>
            </w:r>
          </w:p>
        </w:tc>
        <w:tc>
          <w:tcPr>
            <w:tcW w:w="1594" w:type="dxa"/>
            <w:tcBorders>
              <w:top w:val="single" w:color="auto" w:sz="4" w:space="0"/>
              <w:left w:val="single" w:color="auto" w:sz="4" w:space="0"/>
              <w:bottom w:val="single" w:color="auto" w:sz="4" w:space="0"/>
              <w:right w:val="single" w:color="auto" w:sz="4" w:space="0"/>
            </w:tcBorders>
            <w:vAlign w:val="center"/>
          </w:tcPr>
          <w:p w14:paraId="733915F0">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auto"/>
                <w:kern w:val="0"/>
                <w:sz w:val="24"/>
                <w:szCs w:val="24"/>
                <w:highlight w:val="none"/>
              </w:rPr>
            </w:pPr>
          </w:p>
        </w:tc>
      </w:tr>
    </w:tbl>
    <w:p w14:paraId="3F4800B4">
      <w:pPr>
        <w:pStyle w:val="4"/>
        <w:pageBreakBefore w:val="0"/>
        <w:kinsoku/>
        <w:wordWrap/>
        <w:overflowPunct/>
        <w:topLinePunct w:val="0"/>
        <w:bidi w:val="0"/>
        <w:spacing w:beforeAutospacing="0" w:afterAutospacing="0" w:line="400" w:lineRule="exact"/>
        <w:ind w:left="0" w:leftChars="0" w:firstLine="0" w:firstLineChars="0"/>
        <w:jc w:val="both"/>
        <w:outlineLvl w:val="9"/>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val="en-US" w:eastAsia="zh-CN"/>
        </w:rPr>
        <w:t>说明：</w:t>
      </w:r>
      <w:r>
        <w:rPr>
          <w:rFonts w:hint="eastAsia" w:ascii="宋体" w:hAnsi="宋体" w:eastAsia="宋体" w:cs="宋体"/>
          <w:bCs w:val="0"/>
          <w:sz w:val="24"/>
          <w:szCs w:val="24"/>
          <w:highlight w:val="none"/>
        </w:rPr>
        <w:t>1、审核人对投标资格类文件按评审标准对上述内容评审，满足要求的在对应的框内打“√”，不满足要求的在对应的框内打“×”，资格审查内容有一项不合格视为资格审查不通过。2、在结论栏中填写“通过”或“不通过”，3、通过资格审查的投标人不足三家的，将重新招标。</w:t>
      </w:r>
      <w:r>
        <w:rPr>
          <w:rFonts w:hint="eastAsia" w:ascii="宋体" w:hAnsi="宋体" w:eastAsia="宋体" w:cs="宋体"/>
          <w:bCs w:val="0"/>
          <w:sz w:val="24"/>
          <w:szCs w:val="24"/>
          <w:highlight w:val="none"/>
          <w:lang w:val="en-US" w:eastAsia="zh-CN"/>
        </w:rPr>
        <w:t>4、供应商在递交响应文件的同时，应逐项对照上述资格性检查要求提交相应的原件扫描件和资格证明文件供资格审查小组核查，否则资格审查小组将不寻求其他资格性检查以外的证据。上传与本项资格性检查要求无关的材料时资格审查小组将按照无效标响应处理。5、资格审查表内容如有不一致的以线上政府采购云平台中的资格审查要求为准。6、投标人有一项未通过不得参与下阶段评审，视为废标。</w:t>
      </w:r>
    </w:p>
    <w:p w14:paraId="6DBBEC05">
      <w:pPr>
        <w:pStyle w:val="4"/>
        <w:pageBreakBefore w:val="0"/>
        <w:kinsoku/>
        <w:wordWrap/>
        <w:overflowPunct/>
        <w:topLinePunct w:val="0"/>
        <w:bidi w:val="0"/>
        <w:spacing w:beforeAutospacing="0" w:afterAutospacing="0" w:line="400" w:lineRule="exact"/>
        <w:ind w:left="0" w:leftChars="0" w:firstLine="0" w:firstLineChars="0"/>
        <w:jc w:val="both"/>
        <w:outlineLvl w:val="9"/>
        <w:rPr>
          <w:rFonts w:hint="eastAsia" w:ascii="宋体" w:hAnsi="宋体" w:eastAsia="宋体" w:cs="宋体"/>
          <w:bCs w:val="0"/>
          <w:sz w:val="24"/>
          <w:szCs w:val="24"/>
          <w:highlight w:val="none"/>
        </w:rPr>
      </w:pPr>
    </w:p>
    <w:p w14:paraId="21CC24D5">
      <w:pPr>
        <w:pStyle w:val="4"/>
        <w:pageBreakBefore w:val="0"/>
        <w:kinsoku/>
        <w:wordWrap/>
        <w:overflowPunct/>
        <w:topLinePunct w:val="0"/>
        <w:bidi w:val="0"/>
        <w:spacing w:beforeAutospacing="0" w:afterAutospacing="0" w:line="400" w:lineRule="exact"/>
        <w:ind w:left="0" w:leftChars="0" w:firstLine="0" w:firstLineChars="0"/>
        <w:jc w:val="both"/>
        <w:outlineLvl w:val="9"/>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rPr>
        <w:t>注：未通过</w:t>
      </w:r>
      <w:r>
        <w:rPr>
          <w:rFonts w:hint="eastAsia" w:ascii="宋体" w:hAnsi="宋体" w:eastAsia="宋体" w:cs="宋体"/>
          <w:bCs w:val="0"/>
          <w:sz w:val="24"/>
          <w:szCs w:val="24"/>
          <w:highlight w:val="none"/>
          <w:lang w:val="en-US" w:eastAsia="zh-CN"/>
        </w:rPr>
        <w:t>资格性</w:t>
      </w:r>
      <w:r>
        <w:rPr>
          <w:rFonts w:hint="eastAsia" w:ascii="宋体" w:hAnsi="宋体" w:eastAsia="宋体" w:cs="宋体"/>
          <w:bCs w:val="0"/>
          <w:sz w:val="24"/>
          <w:szCs w:val="24"/>
          <w:highlight w:val="none"/>
        </w:rPr>
        <w:t>审查的</w:t>
      </w:r>
      <w:r>
        <w:rPr>
          <w:rFonts w:hint="eastAsia" w:ascii="宋体" w:hAnsi="宋体" w:eastAsia="宋体" w:cs="宋体"/>
          <w:bCs w:val="0"/>
          <w:sz w:val="24"/>
          <w:szCs w:val="24"/>
          <w:highlight w:val="none"/>
          <w:lang w:eastAsia="zh-CN"/>
        </w:rPr>
        <w:t>响应文件</w:t>
      </w:r>
      <w:r>
        <w:rPr>
          <w:rFonts w:hint="eastAsia" w:ascii="宋体" w:hAnsi="宋体" w:eastAsia="宋体" w:cs="宋体"/>
          <w:bCs w:val="0"/>
          <w:sz w:val="24"/>
          <w:szCs w:val="24"/>
          <w:highlight w:val="none"/>
        </w:rPr>
        <w:t>，其</w:t>
      </w:r>
      <w:r>
        <w:rPr>
          <w:rFonts w:hint="eastAsia" w:ascii="宋体" w:hAnsi="宋体" w:eastAsia="宋体" w:cs="宋体"/>
          <w:bCs w:val="0"/>
          <w:sz w:val="24"/>
          <w:szCs w:val="24"/>
          <w:highlight w:val="none"/>
          <w:lang w:eastAsia="zh-CN"/>
        </w:rPr>
        <w:t>响应文件</w:t>
      </w:r>
      <w:r>
        <w:rPr>
          <w:rFonts w:hint="eastAsia" w:ascii="宋体" w:hAnsi="宋体" w:eastAsia="宋体" w:cs="宋体"/>
          <w:bCs w:val="0"/>
          <w:sz w:val="24"/>
          <w:szCs w:val="24"/>
          <w:highlight w:val="none"/>
        </w:rPr>
        <w:t>作为无效</w:t>
      </w:r>
      <w:r>
        <w:rPr>
          <w:rFonts w:hint="eastAsia" w:ascii="宋体" w:hAnsi="宋体" w:eastAsia="宋体" w:cs="宋体"/>
          <w:bCs w:val="0"/>
          <w:sz w:val="24"/>
          <w:szCs w:val="24"/>
          <w:highlight w:val="none"/>
          <w:lang w:eastAsia="zh-CN"/>
        </w:rPr>
        <w:t>响应文件</w:t>
      </w:r>
      <w:r>
        <w:rPr>
          <w:rFonts w:hint="eastAsia" w:ascii="宋体" w:hAnsi="宋体" w:eastAsia="宋体" w:cs="宋体"/>
          <w:bCs w:val="0"/>
          <w:sz w:val="24"/>
          <w:szCs w:val="24"/>
          <w:highlight w:val="none"/>
        </w:rPr>
        <w:t>，不进入下一步评审。</w:t>
      </w:r>
    </w:p>
    <w:p w14:paraId="6DD6BDBE">
      <w:pPr>
        <w:pStyle w:val="4"/>
        <w:pageBreakBefore w:val="0"/>
        <w:kinsoku/>
        <w:wordWrap/>
        <w:overflowPunct/>
        <w:topLinePunct w:val="0"/>
        <w:bidi w:val="0"/>
        <w:spacing w:beforeAutospacing="0" w:afterAutospacing="0" w:line="400" w:lineRule="exact"/>
        <w:ind w:left="0" w:leftChars="0" w:firstLine="0" w:firstLineChars="0"/>
        <w:jc w:val="both"/>
        <w:outlineLvl w:val="9"/>
        <w:rPr>
          <w:rFonts w:hint="eastAsia" w:ascii="宋体" w:hAnsi="宋体" w:eastAsia="宋体" w:cs="宋体"/>
          <w:bCs w:val="0"/>
          <w:sz w:val="24"/>
          <w:szCs w:val="24"/>
          <w:highlight w:val="none"/>
        </w:rPr>
      </w:pPr>
    </w:p>
    <w:p w14:paraId="5CFF992D">
      <w:pPr>
        <w:pageBreakBefore w:val="0"/>
        <w:numPr>
          <w:ilvl w:val="0"/>
          <w:numId w:val="5"/>
        </w:numPr>
        <w:kinsoku/>
        <w:wordWrap/>
        <w:overflowPunct/>
        <w:topLinePunct w:val="0"/>
        <w:bidi w:val="0"/>
        <w:spacing w:beforeAutospacing="0" w:afterAutospacing="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符合性审查</w:t>
      </w:r>
    </w:p>
    <w:p w14:paraId="50CF059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评标委员会对符合资格的供应商的投标文件进行符合性审查，以确定其是 否满足招标文件的实质性要求，是否存在重大偏离。重大偏离系指投标文件的有效性、真实性、合同的供货范围、质量、性能和规格等内容在实质上与招标 文件形成了重大的不一致，而这种不一致可能限制了买方的权力和供应商的义 务，纠正或承认这些偏离将会对该供应商和其它供应商合理的竞争地位产生不 公正的影响。与招标文件有重大偏离的投标文件将被拒绝，投标无效。具体评审内容系指：</w:t>
      </w:r>
    </w:p>
    <w:p w14:paraId="00D5E66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1 投标文件组成不完整，主要内容未能按招标文件规定的内容、格式填写、装订；</w:t>
      </w:r>
    </w:p>
    <w:p w14:paraId="783E876F">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.2 投标文件的有效期不满足招标文件的规定；</w:t>
      </w:r>
    </w:p>
    <w:p w14:paraId="70237889">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2.3 投标代表授权书未能由法定代表人签署并加盖公章；</w:t>
      </w:r>
    </w:p>
    <w:p w14:paraId="2EBEE2F8">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2.4 投标文件没有按照规定在应由企业法人或法人授权代表在所有规定签章处逐一签署及加盖单位公章的；</w:t>
      </w:r>
    </w:p>
    <w:p w14:paraId="0210A8B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2.5 投标文件出现了两个或两个以上的报价；</w:t>
      </w:r>
    </w:p>
    <w:p w14:paraId="093E9DD0">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2.6 明显不符合招标文件关于对招标货物技术规格和标准的要求；</w:t>
      </w:r>
    </w:p>
    <w:p w14:paraId="3EFA4FB6">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2.7 投标文件载明的招标项目交货期限超过招标文件规定的期限；</w:t>
      </w:r>
    </w:p>
    <w:p w14:paraId="7BFD5404">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2.8 投标文件含有采购人不能接受的附加条件；</w:t>
      </w:r>
    </w:p>
    <w:p w14:paraId="423CF14D">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2.9 不符合法律、法规和招标文件中规定的其他实质性要求。</w:t>
      </w:r>
    </w:p>
    <w:p w14:paraId="32F74E34">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w:t>
      </w:r>
      <w:r>
        <w:rPr>
          <w:rFonts w:hint="eastAsia" w:ascii="宋体" w:hAnsi="宋体" w:eastAsia="宋体" w:cs="宋体"/>
          <w:sz w:val="24"/>
          <w:szCs w:val="24"/>
        </w:rPr>
        <w:t>对通过符合性审查的投标文件，评标委员会将对其进行算术性修正。 算术性修正是指对投标文件报价出现前后不一致的进行校核，并对其算术上和运算上的差错给予修正。修正的原则如下：</w:t>
      </w:r>
    </w:p>
    <w:p w14:paraId="3E70C350">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2.10.1</w:t>
      </w:r>
      <w:r>
        <w:rPr>
          <w:rFonts w:hint="eastAsia" w:ascii="宋体" w:hAnsi="宋体" w:eastAsia="宋体" w:cs="宋体"/>
          <w:sz w:val="24"/>
          <w:szCs w:val="24"/>
        </w:rPr>
        <w:t xml:space="preserve"> 投标文件中开标一览表内容与投标文件中相应内容不一致的，以开标一览表为准；</w:t>
      </w:r>
    </w:p>
    <w:p w14:paraId="26DDB087">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2.10.2</w:t>
      </w:r>
      <w:r>
        <w:rPr>
          <w:rFonts w:hint="eastAsia" w:ascii="宋体" w:hAnsi="宋体" w:eastAsia="宋体" w:cs="宋体"/>
          <w:sz w:val="24"/>
          <w:szCs w:val="24"/>
        </w:rPr>
        <w:t>投标文件的大写金额和小写金额不一致的，以大写金额为准；</w:t>
      </w:r>
    </w:p>
    <w:p w14:paraId="2D1CB66B">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2.10.3</w:t>
      </w:r>
      <w:r>
        <w:rPr>
          <w:rFonts w:hint="eastAsia" w:ascii="宋体" w:hAnsi="宋体" w:eastAsia="宋体" w:cs="宋体"/>
          <w:sz w:val="24"/>
          <w:szCs w:val="24"/>
        </w:rPr>
        <w:t xml:space="preserve"> 单价金额小数点或者百分比有明显错位的，以开标一览表的总价为准，并修改单价；</w:t>
      </w:r>
    </w:p>
    <w:p w14:paraId="22A8C4A5">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.4 总价金额与按单价汇总金额不一致的，以单价金额计算结果为准。</w:t>
      </w:r>
    </w:p>
    <w:p w14:paraId="41A95A57">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.5 同时出现两种以上不一致的，按照上述规定的顺序修正。修正后的报价须供应商确认，如果供应商拒绝确认，其投标无效。</w:t>
      </w:r>
    </w:p>
    <w:p w14:paraId="1DB4A047">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.6 对不同文字文本投标文件的解释发生异议的，以中文文本为准。</w:t>
      </w:r>
    </w:p>
    <w:p w14:paraId="79CC7F4E">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.7 评标委员会将拒绝被定为实质上非响应性的投标，供应商不能通过修正或撤销不符之处而使其投标成为响应性投标。</w:t>
      </w:r>
    </w:p>
    <w:p w14:paraId="7BFC01C9">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.8 评标委员会将允许投标中有微小的不正规、不一致或不规则，而该微小之处不构成重大偏离。</w:t>
      </w:r>
    </w:p>
    <w:p w14:paraId="4518BD6F">
      <w:pPr>
        <w:pStyle w:val="4"/>
        <w:pageBreakBefore w:val="0"/>
        <w:kinsoku/>
        <w:wordWrap/>
        <w:overflowPunct/>
        <w:topLinePunct w:val="0"/>
        <w:bidi w:val="0"/>
        <w:spacing w:beforeAutospacing="0" w:afterAutospacing="0" w:line="400" w:lineRule="exact"/>
        <w:jc w:val="center"/>
        <w:outlineLvl w:val="9"/>
        <w:rPr>
          <w:rFonts w:hint="eastAsia" w:ascii="宋体" w:hAnsi="宋体" w:eastAsia="宋体" w:cs="宋体"/>
          <w:bCs w:val="0"/>
          <w:sz w:val="24"/>
          <w:szCs w:val="24"/>
          <w:highlight w:val="none"/>
        </w:rPr>
      </w:pPr>
    </w:p>
    <w:p w14:paraId="79FB1F56">
      <w:pPr>
        <w:pStyle w:val="4"/>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bCs w:val="0"/>
          <w:sz w:val="24"/>
          <w:szCs w:val="24"/>
          <w:highlight w:val="none"/>
        </w:rPr>
        <w:t>符合性审查表</w:t>
      </w:r>
    </w:p>
    <w:tbl>
      <w:tblPr>
        <w:tblStyle w:val="24"/>
        <w:tblW w:w="88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5190"/>
        <w:gridCol w:w="964"/>
        <w:gridCol w:w="930"/>
        <w:gridCol w:w="1020"/>
      </w:tblGrid>
      <w:tr w14:paraId="3602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63C6854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190" w:type="dxa"/>
            <w:tcBorders>
              <w:top w:val="single" w:color="000000" w:sz="4" w:space="0"/>
              <w:left w:val="single" w:color="000000" w:sz="4" w:space="0"/>
              <w:bottom w:val="single" w:color="000000" w:sz="4" w:space="0"/>
              <w:right w:val="single" w:color="000000" w:sz="4" w:space="0"/>
            </w:tcBorders>
            <w:noWrap/>
            <w:vAlign w:val="center"/>
          </w:tcPr>
          <w:p w14:paraId="48BF837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评审内容</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B49E49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A3B01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5E4F6B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r>
      <w:tr w14:paraId="5A04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ED29FE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208A8A0A">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报价不是唯一且报价高于设定的采购限价；</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7C06F7E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9BD7E3A">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885DB7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5266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68C1DC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3D825496">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投标文件未按招标文件要求签署、签</w:t>
            </w:r>
            <w:r>
              <w:rPr>
                <w:rFonts w:hint="eastAsia" w:ascii="宋体" w:hAnsi="宋体" w:cs="宋体"/>
                <w:i w:val="0"/>
                <w:iCs w:val="0"/>
                <w:color w:val="auto"/>
                <w:kern w:val="0"/>
                <w:sz w:val="24"/>
                <w:szCs w:val="24"/>
                <w:u w:val="none"/>
                <w:lang w:val="en-US" w:eastAsia="zh-CN" w:bidi="ar"/>
              </w:rPr>
              <w:t>字并盖</w:t>
            </w:r>
            <w:r>
              <w:rPr>
                <w:rFonts w:hint="eastAsia" w:ascii="宋体" w:hAnsi="宋体" w:eastAsia="宋体" w:cs="宋体"/>
                <w:i w:val="0"/>
                <w:iCs w:val="0"/>
                <w:color w:val="auto"/>
                <w:kern w:val="0"/>
                <w:sz w:val="24"/>
                <w:szCs w:val="24"/>
                <w:u w:val="none"/>
                <w:lang w:val="en-US" w:eastAsia="zh-CN" w:bidi="ar"/>
              </w:rPr>
              <w:t>章的；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6574B85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5726DDC">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3DD38D9">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6EE7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0D8BD6E6">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7E97F54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投标有效期不满足招标文件要求的；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48C13BA9">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D75533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E4A8AD1">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334F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8DDC68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506D7557">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明显不符合招标文件要求的</w:t>
            </w:r>
            <w:r>
              <w:rPr>
                <w:rFonts w:hint="eastAsia" w:ascii="宋体" w:hAnsi="宋体" w:cs="宋体"/>
                <w:i w:val="0"/>
                <w:iCs w:val="0"/>
                <w:color w:val="auto"/>
                <w:kern w:val="0"/>
                <w:sz w:val="24"/>
                <w:szCs w:val="24"/>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1F1874D0">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E42000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352962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36CC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C2A0F4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7FAB17F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投标文件中含有采购人不能接受的附加条件的；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289B50DF">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4614F1B">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3E7D55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1C0E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B5BF07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2E4B33BD">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投标声明书无法定代表人签名，或委托人未提供法定代表人授权委托书、填写项目不齐全的；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36E54446">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1BA0672">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7E8D07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395F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A9E925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67E28B02">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投标文件格式不规范、提供资料不齐全或者内容虚假的；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78D0A2F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FFF07B4">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D892E59">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12DA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42DB47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01236D9F">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投标文件的实质性内容未使用中文表述、表述不明确、前后矛盾或者使用计量单位不符合招标文件要求的（经评标委员会认定并允许其当场更正的笔误除外）；</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2CC74966">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C4CDD2E">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D66FE4C">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1705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6C19671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2BC12A5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投标文件的关键内容字迹模糊、无法辨认的，或者投标文件中经修正的内容字迹模糊难以辩认或者修改处未按规定签署、盖章的； </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09EDE30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BAA390D">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54899F0">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5B77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9D090B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25A29B6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未按招标文件的规定提交投标保证金或保函的；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211D90DE">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6788053">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1D05980">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3F58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9F4A90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24604215">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法律、法规和招标文件规定的其他无效情形</w:t>
            </w:r>
            <w:r>
              <w:rPr>
                <w:rFonts w:hint="eastAsia" w:ascii="宋体" w:hAnsi="宋体" w:cs="宋体"/>
                <w:i w:val="0"/>
                <w:iCs w:val="0"/>
                <w:color w:val="000000"/>
                <w:kern w:val="0"/>
                <w:sz w:val="24"/>
                <w:szCs w:val="24"/>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48E91D00">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546584E">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3318E4A">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0AA4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969" w:type="dxa"/>
            <w:gridSpan w:val="2"/>
            <w:tcBorders>
              <w:top w:val="single" w:color="000000" w:sz="4" w:space="0"/>
              <w:left w:val="single" w:color="000000" w:sz="4" w:space="0"/>
              <w:bottom w:val="single" w:color="000000" w:sz="4" w:space="0"/>
              <w:right w:val="single" w:color="000000" w:sz="4" w:space="0"/>
            </w:tcBorders>
            <w:noWrap w:val="0"/>
            <w:vAlign w:val="center"/>
          </w:tcPr>
          <w:p w14:paraId="4DD2F50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评审结果</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022AC5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A97AA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51FB76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2B3A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8883" w:type="dxa"/>
            <w:gridSpan w:val="5"/>
            <w:tcBorders>
              <w:top w:val="single" w:color="000000" w:sz="4" w:space="0"/>
              <w:left w:val="single" w:color="000000" w:sz="4" w:space="0"/>
              <w:bottom w:val="single" w:color="000000" w:sz="4" w:space="0"/>
              <w:right w:val="single" w:color="000000" w:sz="4" w:space="0"/>
            </w:tcBorders>
            <w:noWrap w:val="0"/>
            <w:vAlign w:val="center"/>
          </w:tcPr>
          <w:p w14:paraId="65884E7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注：符合性评审内容只有“通过”与“不通过”，“通过”打“√”，“不通过”打“╳”，只要有一项为“不通过”， 符合性评审结果为“不通过”，“不通过”的供货商将无资格进行后续</w:t>
            </w:r>
            <w:r>
              <w:rPr>
                <w:rFonts w:hint="eastAsia" w:ascii="宋体" w:hAnsi="宋体" w:cs="宋体"/>
                <w:i w:val="0"/>
                <w:iCs w:val="0"/>
                <w:color w:val="000000"/>
                <w:kern w:val="0"/>
                <w:sz w:val="24"/>
                <w:szCs w:val="24"/>
                <w:u w:val="none"/>
                <w:lang w:val="en-US" w:eastAsia="zh-CN" w:bidi="ar"/>
              </w:rPr>
              <w:t>评审</w:t>
            </w:r>
            <w:r>
              <w:rPr>
                <w:rFonts w:hint="eastAsia" w:ascii="宋体" w:hAnsi="宋体" w:eastAsia="宋体" w:cs="宋体"/>
                <w:i w:val="0"/>
                <w:iCs w:val="0"/>
                <w:color w:val="000000"/>
                <w:kern w:val="0"/>
                <w:sz w:val="24"/>
                <w:szCs w:val="24"/>
                <w:u w:val="none"/>
                <w:lang w:val="en-US" w:eastAsia="zh-CN" w:bidi="ar"/>
              </w:rPr>
              <w:t>。</w:t>
            </w:r>
          </w:p>
        </w:tc>
      </w:tr>
    </w:tbl>
    <w:p w14:paraId="76F4D4F5">
      <w:pPr>
        <w:pageBreakBefore w:val="0"/>
        <w:kinsoku/>
        <w:wordWrap/>
        <w:overflowPunct/>
        <w:topLinePunct w:val="0"/>
        <w:bidi w:val="0"/>
        <w:spacing w:beforeAutospacing="0" w:afterAutospacing="0" w:line="400" w:lineRule="exact"/>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说明：</w:t>
      </w:r>
      <w:r>
        <w:rPr>
          <w:rFonts w:hint="eastAsia" w:ascii="宋体" w:hAnsi="宋体" w:eastAsia="宋体" w:cs="宋体"/>
          <w:b/>
          <w:bCs/>
          <w:sz w:val="24"/>
          <w:szCs w:val="24"/>
          <w:lang w:val="zh-CN" w:eastAsia="zh-CN"/>
        </w:rPr>
        <w:t>1.投标文件响应程度初步审查通过的投标企业，进入下一步详细评审阶段，未通过投标文件响应程度初步审查的企业，其投标作为无效标，不进入后期评审阶段。2.</w:t>
      </w:r>
      <w:r>
        <w:rPr>
          <w:rFonts w:hint="eastAsia" w:ascii="宋体" w:hAnsi="宋体" w:eastAsia="宋体" w:cs="宋体"/>
          <w:b/>
          <w:bCs/>
          <w:sz w:val="24"/>
          <w:szCs w:val="24"/>
          <w:lang w:val="en-US" w:eastAsia="zh-CN"/>
        </w:rPr>
        <w:t>符合性审查表内容如有不一致的以线上政府采购云平台中的符合性要求为准。</w:t>
      </w:r>
    </w:p>
    <w:p w14:paraId="3F707F3E">
      <w:pPr>
        <w:pageBreakBefore w:val="0"/>
        <w:kinsoku/>
        <w:wordWrap/>
        <w:overflowPunct/>
        <w:topLinePunct w:val="0"/>
        <w:bidi w:val="0"/>
        <w:spacing w:beforeAutospacing="0" w:afterAutospacing="0" w:line="400" w:lineRule="exact"/>
        <w:rPr>
          <w:rFonts w:hint="eastAsia" w:ascii="宋体" w:hAnsi="宋体" w:eastAsia="宋体" w:cs="宋体"/>
          <w:b/>
          <w:bCs/>
          <w:sz w:val="24"/>
          <w:szCs w:val="24"/>
        </w:rPr>
      </w:pPr>
    </w:p>
    <w:p w14:paraId="7A780AEA">
      <w:pPr>
        <w:pageBreakBefore w:val="0"/>
        <w:kinsoku/>
        <w:wordWrap/>
        <w:overflowPunct/>
        <w:topLinePunct w:val="0"/>
        <w:bidi w:val="0"/>
        <w:spacing w:beforeAutospacing="0" w:afterAutospacing="0" w:line="400" w:lineRule="exact"/>
        <w:rPr>
          <w:rFonts w:hint="eastAsia" w:ascii="宋体" w:hAnsi="宋体" w:eastAsia="宋体" w:cs="宋体"/>
          <w:b/>
          <w:bCs/>
          <w:sz w:val="24"/>
          <w:szCs w:val="24"/>
        </w:rPr>
      </w:pPr>
      <w:r>
        <w:rPr>
          <w:rFonts w:hint="eastAsia" w:ascii="宋体" w:hAnsi="宋体" w:eastAsia="宋体" w:cs="宋体"/>
          <w:b/>
          <w:bCs/>
          <w:sz w:val="24"/>
          <w:szCs w:val="24"/>
        </w:rPr>
        <w:t>注：未</w:t>
      </w:r>
      <w:r>
        <w:rPr>
          <w:rFonts w:hint="eastAsia" w:ascii="宋体" w:hAnsi="宋体" w:eastAsia="宋体" w:cs="宋体"/>
          <w:b/>
          <w:bCs/>
          <w:sz w:val="24"/>
          <w:szCs w:val="24"/>
          <w:lang w:eastAsia="zh-CN"/>
        </w:rPr>
        <w:t>通过</w:t>
      </w:r>
      <w:r>
        <w:rPr>
          <w:rFonts w:hint="eastAsia" w:ascii="宋体" w:hAnsi="宋体" w:eastAsia="宋体" w:cs="宋体"/>
          <w:b/>
          <w:bCs/>
          <w:sz w:val="24"/>
          <w:szCs w:val="24"/>
          <w:lang w:val="en-US" w:eastAsia="zh-CN"/>
        </w:rPr>
        <w:t>符合性</w:t>
      </w:r>
      <w:r>
        <w:rPr>
          <w:rFonts w:hint="eastAsia" w:ascii="宋体" w:hAnsi="宋体" w:eastAsia="宋体" w:cs="宋体"/>
          <w:b/>
          <w:bCs/>
          <w:sz w:val="24"/>
          <w:szCs w:val="24"/>
          <w:lang w:eastAsia="zh-CN"/>
        </w:rPr>
        <w:t>审</w:t>
      </w:r>
      <w:r>
        <w:rPr>
          <w:rFonts w:hint="eastAsia" w:ascii="宋体" w:hAnsi="宋体" w:eastAsia="宋体" w:cs="宋体"/>
          <w:b/>
          <w:bCs/>
          <w:sz w:val="24"/>
          <w:szCs w:val="24"/>
        </w:rPr>
        <w:t>查的</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，其</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作为无效</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，不进入下一步评审。</w:t>
      </w:r>
    </w:p>
    <w:p w14:paraId="1223F558">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56BBDEF4">
      <w:pPr>
        <w:pageBreakBefore w:val="0"/>
        <w:kinsoku/>
        <w:wordWrap/>
        <w:overflowPunct/>
        <w:topLinePunct w:val="0"/>
        <w:bidi w:val="0"/>
        <w:spacing w:beforeAutospacing="0" w:afterAutospacing="0" w:line="400" w:lineRule="exact"/>
        <w:ind w:firstLine="480"/>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 xml:space="preserve"> 详细评审</w:t>
      </w:r>
    </w:p>
    <w:p w14:paraId="73EBCFA9">
      <w:pPr>
        <w:pageBreakBefore w:val="0"/>
        <w:kinsoku/>
        <w:wordWrap/>
        <w:overflowPunct/>
        <w:topLinePunct w:val="0"/>
        <w:bidi w:val="0"/>
        <w:spacing w:beforeAutospacing="0" w:afterAutospacing="0" w:line="400" w:lineRule="exact"/>
        <w:ind w:firstLine="480"/>
        <w:rPr>
          <w:rFonts w:hint="eastAsia" w:ascii="宋体" w:hAnsi="宋体" w:cs="宋体"/>
          <w:sz w:val="24"/>
          <w:szCs w:val="24"/>
          <w:lang w:eastAsia="zh-CN"/>
        </w:rPr>
      </w:pPr>
      <w:r>
        <w:rPr>
          <w:rFonts w:hint="eastAsia" w:ascii="宋体" w:hAnsi="宋体" w:eastAsia="宋体" w:cs="宋体"/>
          <w:sz w:val="24"/>
          <w:szCs w:val="24"/>
        </w:rPr>
        <w:t>评标委员会对符合性审查合格的投标文件进行商务和技术评审，综合比较与评价。以投标文件能最大限度地满足招标文件中规定的各项评价标准为依据，独立对各投标文件进行评审和打分</w:t>
      </w:r>
      <w:r>
        <w:rPr>
          <w:rFonts w:hint="eastAsia" w:ascii="宋体" w:hAnsi="宋体" w:cs="宋体"/>
          <w:sz w:val="24"/>
          <w:szCs w:val="24"/>
          <w:lang w:eastAsia="zh-CN"/>
        </w:rPr>
        <w:t>。</w:t>
      </w:r>
    </w:p>
    <w:p w14:paraId="1D65ECBD">
      <w:pPr>
        <w:pStyle w:val="11"/>
        <w:spacing w:before="204" w:line="356" w:lineRule="auto"/>
        <w:ind w:left="41" w:right="187" w:firstLine="554"/>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3.1评标委员会将对下述评审因素进行量化，并根据评委会每个成员 对投标文件的评审和理解进行打分，满分为100 分。</w:t>
      </w:r>
      <w:r>
        <w:rPr>
          <w:rFonts w:hint="eastAsia" w:ascii="宋体" w:hAnsi="宋体" w:cs="宋体"/>
          <w:kern w:val="2"/>
          <w:sz w:val="24"/>
          <w:szCs w:val="24"/>
          <w:lang w:val="en-US" w:eastAsia="zh-CN" w:bidi="ar-SA"/>
        </w:rPr>
        <w:t>经济</w:t>
      </w:r>
      <w:r>
        <w:rPr>
          <w:rFonts w:hint="eastAsia" w:ascii="宋体" w:hAnsi="宋体" w:eastAsia="宋体" w:cs="宋体"/>
          <w:kern w:val="2"/>
          <w:sz w:val="24"/>
          <w:szCs w:val="24"/>
          <w:lang w:val="en-US" w:eastAsia="zh-CN" w:bidi="ar-SA"/>
        </w:rPr>
        <w:t>部分权重占 3</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%；满分为</w:t>
      </w:r>
      <w:r>
        <w:rPr>
          <w:rFonts w:hint="eastAsia" w:ascii="宋体" w:hAnsi="宋体" w:cs="宋体"/>
          <w:kern w:val="2"/>
          <w:sz w:val="24"/>
          <w:szCs w:val="24"/>
          <w:lang w:val="en-US" w:eastAsia="zh-CN" w:bidi="ar-SA"/>
        </w:rPr>
        <w:t>30</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商务技术部分权重占</w:t>
      </w:r>
      <w:r>
        <w:rPr>
          <w:rFonts w:hint="eastAsia" w:ascii="宋体" w:hAnsi="宋体" w:cs="宋体"/>
          <w:kern w:val="2"/>
          <w:sz w:val="24"/>
          <w:szCs w:val="24"/>
          <w:lang w:val="en-US" w:eastAsia="zh-CN" w:bidi="ar-SA"/>
        </w:rPr>
        <w:t>70</w:t>
      </w:r>
      <w:r>
        <w:rPr>
          <w:rFonts w:hint="eastAsia" w:ascii="宋体" w:hAnsi="宋体" w:eastAsia="宋体" w:cs="宋体"/>
          <w:kern w:val="2"/>
          <w:sz w:val="24"/>
          <w:szCs w:val="24"/>
          <w:lang w:val="en-US" w:eastAsia="zh-CN" w:bidi="ar-SA"/>
        </w:rPr>
        <w:t>%，满分为</w:t>
      </w:r>
      <w:r>
        <w:rPr>
          <w:rFonts w:hint="eastAsia" w:ascii="宋体" w:hAnsi="宋体" w:cs="宋体"/>
          <w:kern w:val="2"/>
          <w:sz w:val="24"/>
          <w:szCs w:val="24"/>
          <w:lang w:val="en-US" w:eastAsia="zh-CN" w:bidi="ar-SA"/>
        </w:rPr>
        <w:t>70</w:t>
      </w:r>
      <w:r>
        <w:rPr>
          <w:rFonts w:hint="eastAsia" w:ascii="宋体" w:hAnsi="宋体" w:eastAsia="宋体" w:cs="宋体"/>
          <w:kern w:val="2"/>
          <w:sz w:val="24"/>
          <w:szCs w:val="24"/>
          <w:lang w:val="en-US" w:eastAsia="zh-CN" w:bidi="ar-SA"/>
        </w:rPr>
        <w:t>分。供应商两部分的分值相加，即为该供应商的综合评估分。</w:t>
      </w:r>
    </w:p>
    <w:p w14:paraId="777F735E">
      <w:pPr>
        <w:pStyle w:val="11"/>
        <w:spacing w:before="205" w:line="223" w:lineRule="auto"/>
        <w:ind w:left="4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具体分值见下表：</w:t>
      </w:r>
    </w:p>
    <w:tbl>
      <w:tblPr>
        <w:tblStyle w:val="58"/>
        <w:tblpPr w:leftFromText="180" w:rightFromText="180" w:vertAnchor="text" w:horzAnchor="page" w:tblpX="1561" w:tblpY="391"/>
        <w:tblOverlap w:val="never"/>
        <w:tblW w:w="90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5"/>
        <w:gridCol w:w="1323"/>
        <w:gridCol w:w="5920"/>
        <w:gridCol w:w="680"/>
      </w:tblGrid>
      <w:tr w14:paraId="03A3A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5" w:type="dxa"/>
            <w:vAlign w:val="top"/>
          </w:tcPr>
          <w:p w14:paraId="608661C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评分项目</w:t>
            </w:r>
          </w:p>
        </w:tc>
        <w:tc>
          <w:tcPr>
            <w:tcW w:w="1323" w:type="dxa"/>
            <w:vAlign w:val="top"/>
          </w:tcPr>
          <w:p w14:paraId="0A849B8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评分因素</w:t>
            </w:r>
          </w:p>
        </w:tc>
        <w:tc>
          <w:tcPr>
            <w:tcW w:w="5920" w:type="dxa"/>
            <w:vAlign w:val="top"/>
          </w:tcPr>
          <w:p w14:paraId="0128B6A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评审内容</w:t>
            </w:r>
          </w:p>
        </w:tc>
        <w:tc>
          <w:tcPr>
            <w:tcW w:w="680" w:type="dxa"/>
            <w:vAlign w:val="top"/>
          </w:tcPr>
          <w:p w14:paraId="016AD57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分值</w:t>
            </w:r>
          </w:p>
        </w:tc>
      </w:tr>
      <w:tr w14:paraId="2F1D0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115" w:type="dxa"/>
            <w:vAlign w:val="top"/>
          </w:tcPr>
          <w:p w14:paraId="42E918E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A54B752">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1D21B91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237091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价格部分 （30分）</w:t>
            </w:r>
          </w:p>
        </w:tc>
        <w:tc>
          <w:tcPr>
            <w:tcW w:w="1323" w:type="dxa"/>
            <w:vAlign w:val="top"/>
          </w:tcPr>
          <w:p w14:paraId="0B7EBBF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48FBCE8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96F000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6DB51C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w:t>
            </w:r>
          </w:p>
        </w:tc>
        <w:tc>
          <w:tcPr>
            <w:tcW w:w="5920" w:type="dxa"/>
            <w:vAlign w:val="top"/>
          </w:tcPr>
          <w:p w14:paraId="6375CC3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评分法中的价格分统一采用低价优先法计算，即满足招标文件要求（通过资格、符合性审查）且最后报价最低的供应商的价格（指价格核准后的价格，下同）为投标基准价，其价格得分为满分。其他供应商的价格得分统一按照下列公式计算：投标基准价=满足招标文件要求（通过资格、符合性审查）且最后报价最低的供应商的价格（指价格核准后的价格，下同）投标报价得分= (投标基准价/最后投标报价)×价格权重×100</w:t>
            </w:r>
          </w:p>
        </w:tc>
        <w:tc>
          <w:tcPr>
            <w:tcW w:w="680" w:type="dxa"/>
            <w:vAlign w:val="top"/>
          </w:tcPr>
          <w:p w14:paraId="678675F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071AB63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8711E6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7652ACA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r>
      <w:tr w14:paraId="7367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115" w:type="dxa"/>
            <w:vMerge w:val="restart"/>
            <w:vAlign w:val="top"/>
          </w:tcPr>
          <w:p w14:paraId="72B746D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346142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F6A3A0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8CF09A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40F7E5F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商务部分 （10分）</w:t>
            </w:r>
          </w:p>
        </w:tc>
        <w:tc>
          <w:tcPr>
            <w:tcW w:w="1323" w:type="dxa"/>
            <w:vAlign w:val="top"/>
          </w:tcPr>
          <w:p w14:paraId="405F783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4C85FE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企业业绩</w:t>
            </w:r>
          </w:p>
        </w:tc>
        <w:tc>
          <w:tcPr>
            <w:tcW w:w="5920" w:type="dxa"/>
            <w:vAlign w:val="top"/>
          </w:tcPr>
          <w:p w14:paraId="75C72C3F">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投标人</w:t>
            </w:r>
            <w:r>
              <w:rPr>
                <w:rFonts w:hint="eastAsia" w:ascii="宋体" w:hAnsi="宋体" w:eastAsia="宋体" w:cs="宋体"/>
                <w:i w:val="0"/>
                <w:iCs w:val="0"/>
                <w:color w:val="000000"/>
                <w:kern w:val="0"/>
                <w:sz w:val="24"/>
                <w:szCs w:val="24"/>
                <w:u w:val="none"/>
                <w:lang w:val="en-US" w:eastAsia="zh-CN" w:bidi="ar"/>
              </w:rPr>
              <w:t>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年1月至今（以合同签订时间为准）的类似</w:t>
            </w:r>
            <w:r>
              <w:rPr>
                <w:rFonts w:hint="eastAsia" w:ascii="宋体" w:hAnsi="宋体" w:cs="宋体"/>
                <w:i w:val="0"/>
                <w:iCs w:val="0"/>
                <w:color w:val="000000"/>
                <w:kern w:val="0"/>
                <w:sz w:val="24"/>
                <w:szCs w:val="24"/>
                <w:u w:val="none"/>
                <w:lang w:val="en-US" w:eastAsia="zh-CN" w:bidi="ar"/>
              </w:rPr>
              <w:t>采购</w:t>
            </w:r>
            <w:r>
              <w:rPr>
                <w:rFonts w:hint="eastAsia" w:ascii="宋体" w:hAnsi="宋体" w:eastAsia="宋体" w:cs="宋体"/>
                <w:i w:val="0"/>
                <w:iCs w:val="0"/>
                <w:color w:val="000000"/>
                <w:kern w:val="0"/>
                <w:sz w:val="24"/>
                <w:szCs w:val="24"/>
                <w:u w:val="none"/>
                <w:lang w:val="en-US" w:eastAsia="zh-CN" w:bidi="ar"/>
              </w:rPr>
              <w:t>业绩，每提供一个业绩得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分，最高得2分。注：须同时提供中标通知书及合同复印件加盖公章，未提供不得分。</w:t>
            </w:r>
          </w:p>
        </w:tc>
        <w:tc>
          <w:tcPr>
            <w:tcW w:w="680" w:type="dxa"/>
            <w:vAlign w:val="top"/>
          </w:tcPr>
          <w:p w14:paraId="20C6B2C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A761FA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700F4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1115" w:type="dxa"/>
            <w:vMerge w:val="continue"/>
            <w:vAlign w:val="top"/>
          </w:tcPr>
          <w:p w14:paraId="34006FE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3" w:type="dxa"/>
            <w:vAlign w:val="center"/>
          </w:tcPr>
          <w:p w14:paraId="6004E672">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82A76F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项目管理机构</w:t>
            </w:r>
          </w:p>
        </w:tc>
        <w:tc>
          <w:tcPr>
            <w:tcW w:w="5920" w:type="dxa"/>
            <w:vAlign w:val="top"/>
          </w:tcPr>
          <w:p w14:paraId="134625E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管理机构合理、专业齐全、执业资格齐全，得</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w:t>
            </w:r>
          </w:p>
          <w:p w14:paraId="6DC2B14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管理机构基本合理、专业基本齐全、执业资格基本齐全，得</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分；管理机构不合理、专业不齐全、无执业资格不得分；</w:t>
            </w:r>
          </w:p>
          <w:p w14:paraId="267023D6">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注：提供管理机构制度、人员配备及附相关证书。</w:t>
            </w:r>
          </w:p>
        </w:tc>
        <w:tc>
          <w:tcPr>
            <w:tcW w:w="680" w:type="dxa"/>
            <w:vAlign w:val="top"/>
          </w:tcPr>
          <w:p w14:paraId="56578AB6">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A421D2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694E0F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r>
      <w:tr w14:paraId="3659E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115" w:type="dxa"/>
            <w:vMerge w:val="continue"/>
            <w:vAlign w:val="top"/>
          </w:tcPr>
          <w:p w14:paraId="3E34E25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3" w:type="dxa"/>
            <w:vAlign w:val="center"/>
          </w:tcPr>
          <w:p w14:paraId="3BAED4C8">
            <w:pPr>
              <w:keepNext w:val="0"/>
              <w:keepLines w:val="0"/>
              <w:pageBreakBefore w:val="0"/>
              <w:widowControl/>
              <w:suppressLineNumbers w:val="0"/>
              <w:kinsoku/>
              <w:wordWrap/>
              <w:overflowPunct/>
              <w:topLinePunct w:val="0"/>
              <w:bidi w:val="0"/>
              <w:spacing w:beforeAutospacing="0" w:afterAutospacing="0" w:line="400" w:lineRule="exact"/>
              <w:ind w:firstLine="240" w:firstLineChars="100"/>
              <w:jc w:val="both"/>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质保期</w:t>
            </w:r>
          </w:p>
        </w:tc>
        <w:tc>
          <w:tcPr>
            <w:tcW w:w="5920" w:type="dxa"/>
            <w:vAlign w:val="top"/>
          </w:tcPr>
          <w:p w14:paraId="3A7F52AB">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质保期响应招标文件规定得1分（质保期最低为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年）；每超过一年加1分，最高得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p>
        </w:tc>
        <w:tc>
          <w:tcPr>
            <w:tcW w:w="680" w:type="dxa"/>
            <w:vAlign w:val="top"/>
          </w:tcPr>
          <w:p w14:paraId="4583224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r>
      <w:tr w14:paraId="55546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5" w:type="dxa"/>
            <w:vMerge w:val="restart"/>
            <w:vAlign w:val="top"/>
          </w:tcPr>
          <w:p w14:paraId="637E6FE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1766E21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9E9D49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863B7A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A8761E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0459A3E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9F73F7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6748A0D">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技术部分 （60分）</w:t>
            </w:r>
          </w:p>
        </w:tc>
        <w:tc>
          <w:tcPr>
            <w:tcW w:w="1323" w:type="dxa"/>
            <w:vAlign w:val="top"/>
          </w:tcPr>
          <w:p w14:paraId="3E2F703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9DCD3C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4F4D53B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4E97AB6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97F369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67C6F6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项目实施方案</w:t>
            </w:r>
          </w:p>
        </w:tc>
        <w:tc>
          <w:tcPr>
            <w:tcW w:w="5920" w:type="dxa"/>
            <w:vAlign w:val="top"/>
          </w:tcPr>
          <w:p w14:paraId="0D0A826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根据项目需求，制定项目实施具体方案，阐述内容须包括但不限于以下内容：具体包括时间计划表、人员配置、工作流程、工序搭配、安装调试服务计划、维保服务方案等内容：</w:t>
            </w:r>
          </w:p>
          <w:p w14:paraId="4625859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1、实施方案内容详尽、合理，具有可行性，针对可能出现的重点、 难点的环节提出相应对策、方法及应急预案，可得20分；</w:t>
            </w:r>
          </w:p>
          <w:p w14:paraId="1FEABE7D">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2、实施方案内容不是很详尽，可行性不强，但针对可能出现的重点、难点的环节能提出相应对策、方法及应急预案，可得15分；</w:t>
            </w:r>
          </w:p>
          <w:p w14:paraId="22E2E44E">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3、实施方案内容不是很详尽，可行性不强，且针对可能出现的重点、难点的环节提出的相应对策、方法及应急预案不够完善，可得8分；</w:t>
            </w:r>
          </w:p>
          <w:p w14:paraId="4E3B1100">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4、不提供或不合理不得分。</w:t>
            </w:r>
          </w:p>
        </w:tc>
        <w:tc>
          <w:tcPr>
            <w:tcW w:w="680" w:type="dxa"/>
            <w:vAlign w:val="top"/>
          </w:tcPr>
          <w:p w14:paraId="4D768D7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111F2CE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136FF32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813DA7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4870B62">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1E2E0CD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r>
      <w:tr w14:paraId="52262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1115" w:type="dxa"/>
            <w:vMerge w:val="continue"/>
            <w:vAlign w:val="top"/>
          </w:tcPr>
          <w:p w14:paraId="5F4A6996">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23" w:type="dxa"/>
            <w:vAlign w:val="top"/>
          </w:tcPr>
          <w:p w14:paraId="670842A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2E60CD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4BA94C3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供货进度计划及保证</w:t>
            </w:r>
          </w:p>
        </w:tc>
        <w:tc>
          <w:tcPr>
            <w:tcW w:w="5920" w:type="dxa"/>
            <w:vAlign w:val="top"/>
          </w:tcPr>
          <w:p w14:paraId="53783F9F">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1、计划与措施内容完整、科学合理、且有针对本项目的具体描述和方案，措施得当，非常细致全面，保证进度的计划有力，完全满足采购需求的得15分；</w:t>
            </w:r>
          </w:p>
          <w:p w14:paraId="17A26BC9">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2、计划与措施内容完整、但是缺乏针对本项目采购需求的描述，基本满足采购需求得10分；</w:t>
            </w:r>
          </w:p>
          <w:p w14:paraId="5799F6AA">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3、计划与措施内容不完整，缺乏针对性，制定的进度计划保证措施不完善、不全面、不细致的得5分；</w:t>
            </w:r>
          </w:p>
          <w:p w14:paraId="6C729E44">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4、不提供或提供的不合理不得分。</w:t>
            </w:r>
          </w:p>
        </w:tc>
        <w:tc>
          <w:tcPr>
            <w:tcW w:w="680" w:type="dxa"/>
            <w:vAlign w:val="top"/>
          </w:tcPr>
          <w:p w14:paraId="7FED8EB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9F09FB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6815A4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14:paraId="47257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1115" w:type="dxa"/>
            <w:vMerge w:val="continue"/>
            <w:vAlign w:val="top"/>
          </w:tcPr>
          <w:p w14:paraId="0F1A907F">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23" w:type="dxa"/>
            <w:vAlign w:val="top"/>
          </w:tcPr>
          <w:p w14:paraId="1066B13D">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CC5F6F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548D61B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售后服务规划方案</w:t>
            </w:r>
          </w:p>
        </w:tc>
        <w:tc>
          <w:tcPr>
            <w:tcW w:w="5920" w:type="dxa"/>
            <w:vAlign w:val="top"/>
          </w:tcPr>
          <w:p w14:paraId="6379986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对投标人提供的售后服务规划方案进行评分：</w:t>
            </w:r>
          </w:p>
          <w:p w14:paraId="4D97FC0B">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1、售后服务阐述完善，内容具有针对性、合理性和可行性完整性且完全适用且优于本项目用户需求的，得15分；</w:t>
            </w:r>
          </w:p>
          <w:p w14:paraId="2D745780">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2、售后服务阐述完善，内容基本合理、具有一定可行性且基本适用本项目用户需求的，得10分；</w:t>
            </w:r>
          </w:p>
          <w:p w14:paraId="1E1FD7BC">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3、售后服务阐述不完善或内容针对性、合理性不足且有不适用本项目用户需求的，得5分；</w:t>
            </w:r>
          </w:p>
          <w:p w14:paraId="210A7896">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4、售后服务阐述完全不适用本项目用户需求的，不得分。</w:t>
            </w:r>
          </w:p>
        </w:tc>
        <w:tc>
          <w:tcPr>
            <w:tcW w:w="680" w:type="dxa"/>
            <w:vAlign w:val="top"/>
          </w:tcPr>
          <w:p w14:paraId="168EAA3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37D9D6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170079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0274F47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7E98639">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14:paraId="2F1C6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1115" w:type="dxa"/>
            <w:vMerge w:val="continue"/>
            <w:vAlign w:val="top"/>
          </w:tcPr>
          <w:p w14:paraId="32656E24">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23" w:type="dxa"/>
            <w:vMerge w:val="restart"/>
            <w:vAlign w:val="top"/>
          </w:tcPr>
          <w:p w14:paraId="372B9335">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3D99627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29FEB0E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6B2EEA5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04D47A58">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质量保证能力</w:t>
            </w:r>
          </w:p>
        </w:tc>
        <w:tc>
          <w:tcPr>
            <w:tcW w:w="5920" w:type="dxa"/>
            <w:vAlign w:val="top"/>
          </w:tcPr>
          <w:p w14:paraId="5FF147F1">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en-US" w:bidi="ar"/>
              </w:rPr>
            </w:pPr>
            <w:r>
              <w:rPr>
                <w:rFonts w:hint="eastAsia" w:ascii="宋体" w:hAnsi="宋体" w:eastAsia="宋体" w:cs="宋体"/>
                <w:i w:val="0"/>
                <w:iCs w:val="0"/>
                <w:color w:val="000000"/>
                <w:kern w:val="0"/>
                <w:sz w:val="24"/>
                <w:szCs w:val="24"/>
                <w:u w:val="none"/>
                <w:lang w:val="en-US" w:eastAsia="zh-CN" w:bidi="ar"/>
              </w:rPr>
              <w:t>根据项目技术参数要求，在免费质保期内，若出现产品质量问题</w:t>
            </w:r>
            <w:r>
              <w:rPr>
                <w:rFonts w:hint="eastAsia" w:ascii="宋体" w:hAnsi="宋体" w:eastAsia="宋体" w:cs="宋体"/>
                <w:i w:val="0"/>
                <w:iCs w:val="0"/>
                <w:color w:val="000000"/>
                <w:kern w:val="0"/>
                <w:sz w:val="24"/>
                <w:szCs w:val="24"/>
                <w:highlight w:val="none"/>
                <w:u w:val="none"/>
                <w:lang w:val="en-US" w:eastAsia="zh-CN" w:bidi="ar"/>
              </w:rPr>
              <w:t>，投标人</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小时内响应并到达现场，24小时解决问题故障。提供详细质量保证书</w:t>
            </w:r>
            <w:r>
              <w:rPr>
                <w:rFonts w:hint="eastAsia" w:ascii="宋体" w:hAnsi="宋体" w:cs="宋体"/>
                <w:i w:val="0"/>
                <w:iCs w:val="0"/>
                <w:color w:val="000000"/>
                <w:kern w:val="0"/>
                <w:sz w:val="24"/>
                <w:szCs w:val="24"/>
                <w:highlight w:val="none"/>
                <w:u w:val="none"/>
                <w:lang w:val="en-US" w:eastAsia="zh-CN" w:bidi="ar"/>
              </w:rPr>
              <w:t>得2分</w:t>
            </w:r>
            <w:r>
              <w:rPr>
                <w:rFonts w:hint="eastAsia" w:ascii="宋体" w:hAnsi="宋体" w:eastAsia="宋体" w:cs="宋体"/>
                <w:i w:val="0"/>
                <w:iCs w:val="0"/>
                <w:color w:val="000000"/>
                <w:kern w:val="0"/>
                <w:sz w:val="24"/>
                <w:szCs w:val="24"/>
                <w:highlight w:val="none"/>
                <w:u w:val="none"/>
                <w:lang w:val="en-US" w:eastAsia="zh-CN" w:bidi="ar"/>
              </w:rPr>
              <w:t>，不提供或提供的不合理不得分。</w:t>
            </w:r>
          </w:p>
        </w:tc>
        <w:tc>
          <w:tcPr>
            <w:tcW w:w="680" w:type="dxa"/>
            <w:vAlign w:val="center"/>
          </w:tcPr>
          <w:p w14:paraId="636B06DB">
            <w:pPr>
              <w:pStyle w:val="31"/>
              <w:jc w:val="center"/>
              <w:rPr>
                <w:rFonts w:hint="eastAsia"/>
                <w:lang w:val="en-US" w:eastAsia="zh-CN"/>
              </w:rPr>
            </w:pPr>
          </w:p>
          <w:p w14:paraId="286EF85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76FC1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1115" w:type="dxa"/>
            <w:vMerge w:val="continue"/>
            <w:vAlign w:val="top"/>
          </w:tcPr>
          <w:p w14:paraId="1520B9C4">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23" w:type="dxa"/>
            <w:vMerge w:val="continue"/>
            <w:vAlign w:val="top"/>
          </w:tcPr>
          <w:p w14:paraId="525C8BE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5920" w:type="dxa"/>
            <w:vAlign w:val="top"/>
          </w:tcPr>
          <w:p w14:paraId="1416A3F2">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1、安全管理体系健全、管理人员岗位责任明确、各种安全教育制度健全有效、施工现场安全技术管理及防护、防范措施得力，符合国家安全生产管理规定。可行性、针对性强5分；</w:t>
            </w:r>
          </w:p>
          <w:p w14:paraId="7DB3270E">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2、可行性待完善，基本满足</w:t>
            </w:r>
            <w:r>
              <w:rPr>
                <w:rFonts w:hint="eastAsia" w:ascii="宋体" w:hAnsi="宋体" w:cs="宋体"/>
                <w:i w:val="0"/>
                <w:iCs w:val="0"/>
                <w:color w:val="000000"/>
                <w:kern w:val="0"/>
                <w:sz w:val="24"/>
                <w:szCs w:val="24"/>
                <w:u w:val="none"/>
                <w:lang w:val="en-US" w:eastAsia="zh-CN" w:bidi="ar"/>
              </w:rPr>
              <w:t>项目</w:t>
            </w:r>
            <w:r>
              <w:rPr>
                <w:rFonts w:hint="eastAsia" w:ascii="宋体" w:hAnsi="宋体" w:eastAsia="宋体" w:cs="宋体"/>
                <w:i w:val="0"/>
                <w:iCs w:val="0"/>
                <w:color w:val="000000"/>
                <w:kern w:val="0"/>
                <w:sz w:val="24"/>
                <w:szCs w:val="24"/>
                <w:u w:val="none"/>
                <w:lang w:val="en-US" w:eastAsia="zh-CN" w:bidi="ar"/>
              </w:rPr>
              <w:t>需</w:t>
            </w:r>
            <w:r>
              <w:rPr>
                <w:rFonts w:hint="eastAsia" w:ascii="宋体" w:hAnsi="宋体" w:cs="宋体"/>
                <w:i w:val="0"/>
                <w:iCs w:val="0"/>
                <w:color w:val="000000"/>
                <w:kern w:val="0"/>
                <w:sz w:val="24"/>
                <w:szCs w:val="24"/>
                <w:u w:val="none"/>
                <w:lang w:val="en-US" w:eastAsia="zh-CN" w:bidi="ar"/>
              </w:rPr>
              <w:t>求2</w:t>
            </w:r>
            <w:r>
              <w:rPr>
                <w:rFonts w:hint="eastAsia" w:ascii="宋体" w:hAnsi="宋体" w:eastAsia="宋体" w:cs="宋体"/>
                <w:i w:val="0"/>
                <w:iCs w:val="0"/>
                <w:color w:val="000000"/>
                <w:kern w:val="0"/>
                <w:sz w:val="24"/>
                <w:szCs w:val="24"/>
                <w:u w:val="none"/>
                <w:lang w:val="en-US" w:eastAsia="zh-CN" w:bidi="ar"/>
              </w:rPr>
              <w:t>分；</w:t>
            </w:r>
          </w:p>
          <w:p w14:paraId="4CD65D47">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en-US" w:bidi="ar"/>
              </w:rPr>
            </w:pPr>
            <w:r>
              <w:rPr>
                <w:rFonts w:hint="eastAsia" w:ascii="宋体" w:hAnsi="宋体" w:eastAsia="宋体" w:cs="宋体"/>
                <w:i w:val="0"/>
                <w:iCs w:val="0"/>
                <w:color w:val="000000"/>
                <w:kern w:val="0"/>
                <w:sz w:val="24"/>
                <w:szCs w:val="24"/>
                <w:u w:val="none"/>
                <w:lang w:val="en-US" w:eastAsia="zh-CN" w:bidi="ar"/>
              </w:rPr>
              <w:t>3、不提供或提供的不合理不得分</w:t>
            </w:r>
            <w:r>
              <w:rPr>
                <w:rFonts w:hint="eastAsia" w:ascii="宋体" w:hAnsi="宋体" w:cs="宋体"/>
                <w:i w:val="0"/>
                <w:iCs w:val="0"/>
                <w:color w:val="000000"/>
                <w:kern w:val="0"/>
                <w:sz w:val="24"/>
                <w:szCs w:val="24"/>
                <w:u w:val="none"/>
                <w:lang w:val="en-US" w:eastAsia="zh-CN" w:bidi="ar"/>
              </w:rPr>
              <w:t>。</w:t>
            </w:r>
          </w:p>
        </w:tc>
        <w:tc>
          <w:tcPr>
            <w:tcW w:w="680" w:type="dxa"/>
            <w:vAlign w:val="center"/>
          </w:tcPr>
          <w:p w14:paraId="438D6B05">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14:paraId="1A525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1115" w:type="dxa"/>
            <w:vMerge w:val="continue"/>
            <w:tcBorders>
              <w:bottom w:val="single" w:color="auto" w:sz="4" w:space="0"/>
            </w:tcBorders>
            <w:vAlign w:val="top"/>
          </w:tcPr>
          <w:p w14:paraId="29C54842">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23" w:type="dxa"/>
            <w:tcBorders>
              <w:bottom w:val="single" w:color="auto" w:sz="4" w:space="0"/>
            </w:tcBorders>
            <w:vAlign w:val="center"/>
          </w:tcPr>
          <w:p w14:paraId="2967FD24">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企业的承诺及优惠条件</w:t>
            </w:r>
          </w:p>
        </w:tc>
        <w:tc>
          <w:tcPr>
            <w:tcW w:w="5920" w:type="dxa"/>
            <w:tcBorders>
              <w:bottom w:val="single" w:color="auto" w:sz="4" w:space="0"/>
            </w:tcBorders>
            <w:vAlign w:val="center"/>
          </w:tcPr>
          <w:p w14:paraId="139EB468">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企业的承诺及优惠条件：有</w:t>
            </w:r>
            <w:r>
              <w:rPr>
                <w:rFonts w:hint="eastAsia" w:ascii="宋体" w:hAnsi="宋体" w:cs="宋体"/>
                <w:i w:val="0"/>
                <w:iCs w:val="0"/>
                <w:color w:val="000000"/>
                <w:kern w:val="0"/>
                <w:sz w:val="24"/>
                <w:szCs w:val="24"/>
                <w:u w:val="none"/>
                <w:lang w:val="en-US" w:eastAsia="zh-CN" w:bidi="ar"/>
              </w:rPr>
              <w:t>2条</w:t>
            </w:r>
            <w:r>
              <w:rPr>
                <w:rFonts w:hint="eastAsia" w:ascii="宋体" w:hAnsi="宋体" w:eastAsia="宋体" w:cs="宋体"/>
                <w:i w:val="0"/>
                <w:iCs w:val="0"/>
                <w:color w:val="000000"/>
                <w:kern w:val="0"/>
                <w:sz w:val="24"/>
                <w:szCs w:val="24"/>
                <w:u w:val="none"/>
                <w:lang w:val="en-US" w:eastAsia="zh-CN" w:bidi="ar"/>
              </w:rPr>
              <w:t>优惠</w:t>
            </w:r>
            <w:r>
              <w:rPr>
                <w:rFonts w:hint="eastAsia" w:ascii="宋体" w:hAnsi="宋体" w:cs="宋体"/>
                <w:i w:val="0"/>
                <w:iCs w:val="0"/>
                <w:color w:val="000000"/>
                <w:kern w:val="0"/>
                <w:sz w:val="24"/>
                <w:szCs w:val="24"/>
                <w:u w:val="none"/>
                <w:lang w:val="en-US" w:eastAsia="zh-CN" w:bidi="ar"/>
              </w:rPr>
              <w:t>承诺的</w:t>
            </w:r>
            <w:r>
              <w:rPr>
                <w:rFonts w:hint="eastAsia" w:ascii="宋体" w:hAnsi="宋体" w:eastAsia="宋体" w:cs="宋体"/>
                <w:i w:val="0"/>
                <w:iCs w:val="0"/>
                <w:color w:val="000000"/>
                <w:kern w:val="0"/>
                <w:sz w:val="24"/>
                <w:szCs w:val="24"/>
                <w:u w:val="none"/>
                <w:lang w:val="en-US" w:eastAsia="zh-CN" w:bidi="ar"/>
              </w:rPr>
              <w:t>得3分；有</w:t>
            </w:r>
            <w:r>
              <w:rPr>
                <w:rFonts w:hint="eastAsia" w:ascii="宋体" w:hAnsi="宋体" w:cs="宋体"/>
                <w:i w:val="0"/>
                <w:iCs w:val="0"/>
                <w:color w:val="000000"/>
                <w:kern w:val="0"/>
                <w:sz w:val="24"/>
                <w:szCs w:val="24"/>
                <w:u w:val="none"/>
                <w:lang w:val="en-US" w:eastAsia="zh-CN" w:bidi="ar"/>
              </w:rPr>
              <w:t>1条</w:t>
            </w:r>
            <w:r>
              <w:rPr>
                <w:rFonts w:hint="eastAsia" w:ascii="宋体" w:hAnsi="宋体" w:eastAsia="宋体" w:cs="宋体"/>
                <w:i w:val="0"/>
                <w:iCs w:val="0"/>
                <w:color w:val="000000"/>
                <w:kern w:val="0"/>
                <w:sz w:val="24"/>
                <w:szCs w:val="24"/>
                <w:u w:val="none"/>
                <w:lang w:val="en-US" w:eastAsia="zh-CN" w:bidi="ar"/>
              </w:rPr>
              <w:t>优惠</w:t>
            </w:r>
            <w:r>
              <w:rPr>
                <w:rFonts w:hint="eastAsia" w:ascii="宋体" w:hAnsi="宋体" w:cs="宋体"/>
                <w:i w:val="0"/>
                <w:iCs w:val="0"/>
                <w:color w:val="000000"/>
                <w:kern w:val="0"/>
                <w:sz w:val="24"/>
                <w:szCs w:val="24"/>
                <w:u w:val="none"/>
                <w:lang w:val="en-US" w:eastAsia="zh-CN" w:bidi="ar"/>
              </w:rPr>
              <w:t>承诺的</w:t>
            </w:r>
            <w:r>
              <w:rPr>
                <w:rFonts w:hint="eastAsia" w:ascii="宋体" w:hAnsi="宋体" w:eastAsia="宋体" w:cs="宋体"/>
                <w:i w:val="0"/>
                <w:iCs w:val="0"/>
                <w:color w:val="000000"/>
                <w:kern w:val="0"/>
                <w:sz w:val="24"/>
                <w:szCs w:val="24"/>
                <w:u w:val="none"/>
                <w:lang w:val="en-US" w:eastAsia="zh-CN" w:bidi="ar"/>
              </w:rPr>
              <w:t>得1分；没有不得分。</w:t>
            </w:r>
          </w:p>
        </w:tc>
        <w:tc>
          <w:tcPr>
            <w:tcW w:w="680" w:type="dxa"/>
            <w:tcBorders>
              <w:bottom w:val="single" w:color="auto" w:sz="4" w:space="0"/>
            </w:tcBorders>
            <w:vAlign w:val="top"/>
          </w:tcPr>
          <w:p w14:paraId="2332575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087BB6EA">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00D67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358" w:type="dxa"/>
            <w:gridSpan w:val="3"/>
            <w:tcBorders>
              <w:top w:val="single" w:color="auto" w:sz="4" w:space="0"/>
              <w:left w:val="single" w:color="auto" w:sz="4" w:space="0"/>
              <w:bottom w:val="single" w:color="auto" w:sz="4" w:space="0"/>
              <w:right w:val="single" w:color="auto" w:sz="4" w:space="0"/>
            </w:tcBorders>
            <w:vAlign w:val="center"/>
          </w:tcPr>
          <w:p w14:paraId="112DD42F">
            <w:pPr>
              <w:pStyle w:val="59"/>
              <w:spacing w:before="22" w:line="206" w:lineRule="auto"/>
              <w:ind w:left="13"/>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680" w:type="dxa"/>
            <w:tcBorders>
              <w:top w:val="single" w:color="auto" w:sz="4" w:space="0"/>
              <w:left w:val="single" w:color="auto" w:sz="4" w:space="0"/>
              <w:bottom w:val="single" w:color="auto" w:sz="4" w:space="0"/>
              <w:right w:val="single" w:color="auto" w:sz="4" w:space="0"/>
            </w:tcBorders>
            <w:vAlign w:val="center"/>
          </w:tcPr>
          <w:p w14:paraId="268A866B">
            <w:pPr>
              <w:pStyle w:val="59"/>
              <w:spacing w:before="71" w:line="184" w:lineRule="auto"/>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bl>
    <w:p w14:paraId="2E5FFF8D">
      <w:pPr>
        <w:rPr>
          <w:rFonts w:hint="eastAsia" w:ascii="宋体" w:hAnsi="宋体" w:eastAsia="宋体" w:cs="宋体"/>
          <w:kern w:val="2"/>
          <w:sz w:val="24"/>
          <w:szCs w:val="24"/>
          <w:lang w:val="en-US" w:eastAsia="zh-CN" w:bidi="ar-SA"/>
        </w:rPr>
      </w:pPr>
    </w:p>
    <w:p w14:paraId="3F687B47">
      <w:pPr>
        <w:pageBreakBefore w:val="0"/>
        <w:kinsoku/>
        <w:wordWrap/>
        <w:overflowPunct/>
        <w:topLinePunct w:val="0"/>
        <w:bidi w:val="0"/>
        <w:spacing w:beforeAutospacing="0" w:afterAutospacing="0" w:line="400" w:lineRule="exact"/>
        <w:jc w:val="left"/>
        <w:rPr>
          <w:rFonts w:hint="eastAsia" w:ascii="宋体" w:hAnsi="宋体" w:eastAsia="宋体" w:cs="宋体"/>
          <w:color w:val="000000"/>
          <w:kern w:val="0"/>
          <w:sz w:val="21"/>
          <w:szCs w:val="21"/>
          <w:highlight w:val="none"/>
        </w:rPr>
      </w:pPr>
      <w:r>
        <w:rPr>
          <w:rStyle w:val="57"/>
          <w:rFonts w:hint="eastAsia" w:ascii="宋体" w:hAnsi="宋体" w:eastAsia="宋体" w:cs="宋体"/>
          <w:b w:val="0"/>
          <w:i w:val="0"/>
          <w:caps w:val="0"/>
          <w:spacing w:val="0"/>
          <w:w w:val="100"/>
          <w:kern w:val="2"/>
          <w:sz w:val="21"/>
          <w:szCs w:val="21"/>
          <w:lang w:val="en-US" w:eastAsia="zh-CN" w:bidi="ar-SA"/>
        </w:rPr>
        <w:t>注:评委对各投标人同一评分内容量化打分时，对畸高、畸低重大差异，如评审得分与截尾平均值偏差大于2</w:t>
      </w:r>
      <w:r>
        <w:rPr>
          <w:rStyle w:val="57"/>
          <w:rFonts w:hint="eastAsia" w:ascii="宋体" w:hAnsi="宋体" w:cs="宋体"/>
          <w:b w:val="0"/>
          <w:i w:val="0"/>
          <w:caps w:val="0"/>
          <w:spacing w:val="0"/>
          <w:w w:val="100"/>
          <w:kern w:val="2"/>
          <w:sz w:val="21"/>
          <w:szCs w:val="21"/>
          <w:lang w:val="en-US" w:eastAsia="zh-CN" w:bidi="ar-SA"/>
        </w:rPr>
        <w:t>0</w:t>
      </w:r>
      <w:r>
        <w:rPr>
          <w:rStyle w:val="57"/>
          <w:rFonts w:hint="eastAsia" w:ascii="宋体" w:hAnsi="宋体" w:eastAsia="宋体" w:cs="宋体"/>
          <w:b w:val="0"/>
          <w:i w:val="0"/>
          <w:caps w:val="0"/>
          <w:spacing w:val="0"/>
          <w:w w:val="100"/>
          <w:kern w:val="2"/>
          <w:sz w:val="21"/>
          <w:szCs w:val="21"/>
          <w:lang w:val="en-US" w:eastAsia="zh-CN" w:bidi="ar-SA"/>
        </w:rPr>
        <w:t>%(含2</w:t>
      </w:r>
      <w:r>
        <w:rPr>
          <w:rStyle w:val="57"/>
          <w:rFonts w:hint="eastAsia" w:ascii="宋体" w:hAnsi="宋体" w:cs="宋体"/>
          <w:b w:val="0"/>
          <w:i w:val="0"/>
          <w:caps w:val="0"/>
          <w:spacing w:val="0"/>
          <w:w w:val="100"/>
          <w:kern w:val="2"/>
          <w:sz w:val="21"/>
          <w:szCs w:val="21"/>
          <w:lang w:val="en-US" w:eastAsia="zh-CN" w:bidi="ar-SA"/>
        </w:rPr>
        <w:t>0</w:t>
      </w:r>
      <w:r>
        <w:rPr>
          <w:rStyle w:val="57"/>
          <w:rFonts w:hint="eastAsia" w:ascii="宋体" w:hAnsi="宋体" w:eastAsia="宋体" w:cs="宋体"/>
          <w:b w:val="0"/>
          <w:i w:val="0"/>
          <w:caps w:val="0"/>
          <w:spacing w:val="0"/>
          <w:w w:val="100"/>
          <w:kern w:val="2"/>
          <w:sz w:val="21"/>
          <w:szCs w:val="21"/>
          <w:lang w:val="en-US" w:eastAsia="zh-CN" w:bidi="ar-SA"/>
        </w:rPr>
        <w:t>%)以上时，应做出合理的书面说明。</w:t>
      </w:r>
    </w:p>
    <w:p w14:paraId="49AC288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 价格部分</w:t>
      </w:r>
    </w:p>
    <w:p w14:paraId="45C1FF5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 xml:space="preserve"> 节能、环境标志产品评审优惠内容及加分幅度：</w:t>
      </w:r>
    </w:p>
    <w:p w14:paraId="4A155761">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财政部、发展改革委、生态环境部、市场监管总局《关于调整优化节能产品、环境标志产品政府采购执行机制的通知》（财库〔2019〕9号），本次采购货物中属政府强制采购节能产品的，供应商所投产品必须是品目清单内产品，并提供清单内证明材料，否则投标无效。其他产品若属于“节能产品政府采购清单”内产品，在同等条件下，优先采购清单中的产品。</w:t>
      </w:r>
    </w:p>
    <w:p w14:paraId="105734AB">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08DFE025">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价格项加分：</w:t>
      </w:r>
    </w:p>
    <w:p w14:paraId="4C95EE03">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1、（节能清单部分产品的价格/投标报价）×3%×价格项满分值</w:t>
      </w:r>
    </w:p>
    <w:p w14:paraId="40ACF9E8">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2、（环境清单部分产品的价格/投标报价）×3%×价格项满分值</w:t>
      </w:r>
    </w:p>
    <w:p w14:paraId="3A1F7255">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技术项加分：</w:t>
      </w:r>
    </w:p>
    <w:p w14:paraId="47C2A63F">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1、（节能清单部分产品的价格/投标报价）×3%×技术项满分值</w:t>
      </w:r>
    </w:p>
    <w:p w14:paraId="1C2B1EA2">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2、（环境清单部分产品的价格/投标报价）×3%×技术项满分值</w:t>
      </w:r>
    </w:p>
    <w:p w14:paraId="2C3AD506">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注：1、供应商须提供23期《节能产品政府采购清单》关于投标产品当前页的打印件；</w:t>
      </w:r>
    </w:p>
    <w:p w14:paraId="51A6BF02">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2、供应商提供21期《环境标志产品政府采购清单》关于投标产品当前页的打印件；</w:t>
      </w:r>
    </w:p>
    <w:p w14:paraId="310D501E">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属于中小企业评审优惠内容及价格扣除幅度：</w:t>
      </w:r>
    </w:p>
    <w:p w14:paraId="3790CF62">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根据中华人民共和国工业和信息化部《政府采购促进中小企业发展暂行办法》（财库[2020]46号）文件的规定，属于中小企业评审优惠内容及幅度如下：</w:t>
      </w:r>
    </w:p>
    <w:p w14:paraId="03DD8973">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（一）中小企业（含中型、小型、微型企业）应当同时符合以下条件：</w:t>
      </w:r>
    </w:p>
    <w:p w14:paraId="2AE6125F">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①符合中小企业划分标准（按《关于印发中小企业划型标准规定的通知》（工信部联企业〔2011〕300号）执行）；</w:t>
      </w:r>
    </w:p>
    <w:p w14:paraId="16263462">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②提供本企业制造的货物、承担的项目或者服务，或者提供其他中小企业制造的货物。本项所称货物不包括使用大型企业注册商标的货物；</w:t>
      </w:r>
    </w:p>
    <w:p w14:paraId="457B47CA">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③小型、微型企业提供中型企业制造的货物的，视同为中型企业。</w:t>
      </w:r>
    </w:p>
    <w:p w14:paraId="610C25E2">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（二）价格扣除办法：</w:t>
      </w:r>
    </w:p>
    <w:p w14:paraId="1A0C3BBD">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color w:val="000000" w:themeColor="text1"/>
          <w:sz w:val="24"/>
          <w:szCs w:val="24"/>
          <w:highlight w:val="none"/>
          <w14:textFill>
            <w14:solidFill>
              <w14:schemeClr w14:val="tx1"/>
            </w14:solidFill>
          </w14:textFill>
        </w:rPr>
        <w:instrText xml:space="preserve"> = 1 \* GB3 </w:instrText>
      </w:r>
      <w:r>
        <w:rPr>
          <w:rFonts w:hint="eastAsia" w:ascii="宋体" w:hAnsi="宋体" w:eastAsia="宋体" w:cs="宋体"/>
          <w:b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color w:val="000000" w:themeColor="text1"/>
          <w:sz w:val="24"/>
          <w:szCs w:val="24"/>
          <w:highlight w:val="none"/>
          <w14:textFill>
            <w14:solidFill>
              <w14:schemeClr w14:val="tx1"/>
            </w14:solidFill>
          </w14:textFill>
        </w:rPr>
        <w:t>①</w:t>
      </w:r>
      <w:r>
        <w:rPr>
          <w:rFonts w:hint="eastAsia" w:ascii="宋体" w:hAnsi="宋体" w:eastAsia="宋体" w:cs="宋体"/>
          <w:b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color w:val="000000" w:themeColor="text1"/>
          <w:sz w:val="24"/>
          <w:szCs w:val="24"/>
          <w:highlight w:val="none"/>
          <w14:textFill>
            <w14:solidFill>
              <w14:schemeClr w14:val="tx1"/>
            </w14:solidFill>
          </w14:textFill>
        </w:rPr>
        <w:t>对于非专门面向中小企业的项目，对小型和微型企业（或联合体各方均为小型、微型企业的）产品的价格给予</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color w:val="000000" w:themeColor="text1"/>
          <w:sz w:val="24"/>
          <w:szCs w:val="24"/>
          <w:highlight w:val="none"/>
          <w14:textFill>
            <w14:solidFill>
              <w14:schemeClr w14:val="tx1"/>
            </w14:solidFill>
          </w14:textFill>
        </w:rPr>
        <w:t>%的扣除，用扣除后的价格参与价格分的评审。</w:t>
      </w:r>
    </w:p>
    <w:p w14:paraId="378CF7FC">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（三）小型和微型企业适用价格扣除办法时应提供的相关资料：</w:t>
      </w:r>
    </w:p>
    <w:p w14:paraId="7AD68735">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fldChar w:fldCharType="begin"/>
      </w:r>
      <w:r>
        <w:rPr>
          <w:rFonts w:hint="eastAsia" w:ascii="宋体" w:hAnsi="宋体" w:eastAsia="宋体" w:cs="宋体"/>
          <w:b w:val="0"/>
          <w:color w:val="000000"/>
          <w:sz w:val="24"/>
          <w:szCs w:val="24"/>
          <w:highlight w:val="none"/>
        </w:rPr>
        <w:instrText xml:space="preserve"> = 1 \* GB3 </w:instrText>
      </w:r>
      <w:r>
        <w:rPr>
          <w:rFonts w:hint="eastAsia" w:ascii="宋体" w:hAnsi="宋体" w:eastAsia="宋体" w:cs="宋体"/>
          <w:b w:val="0"/>
          <w:color w:val="000000"/>
          <w:sz w:val="24"/>
          <w:szCs w:val="24"/>
          <w:highlight w:val="none"/>
        </w:rPr>
        <w:fldChar w:fldCharType="separate"/>
      </w:r>
      <w:r>
        <w:rPr>
          <w:rFonts w:hint="eastAsia" w:ascii="宋体" w:hAnsi="宋体" w:eastAsia="宋体" w:cs="宋体"/>
          <w:b w:val="0"/>
          <w:color w:val="000000"/>
          <w:sz w:val="24"/>
          <w:szCs w:val="24"/>
          <w:highlight w:val="none"/>
        </w:rPr>
        <w:t>①</w:t>
      </w:r>
      <w:r>
        <w:rPr>
          <w:rFonts w:hint="eastAsia" w:ascii="宋体" w:hAnsi="宋体" w:eastAsia="宋体" w:cs="宋体"/>
          <w:b w:val="0"/>
          <w:color w:val="000000"/>
          <w:sz w:val="24"/>
          <w:szCs w:val="24"/>
          <w:highlight w:val="none"/>
        </w:rPr>
        <w:fldChar w:fldCharType="end"/>
      </w:r>
      <w:r>
        <w:rPr>
          <w:rFonts w:hint="eastAsia" w:ascii="宋体" w:hAnsi="宋体" w:eastAsia="宋体" w:cs="宋体"/>
          <w:b w:val="0"/>
          <w:color w:val="000000"/>
          <w:sz w:val="24"/>
          <w:szCs w:val="24"/>
          <w:highlight w:val="none"/>
        </w:rPr>
        <w:t xml:space="preserve"> 《中小企业声明函》。</w:t>
      </w:r>
    </w:p>
    <w:p w14:paraId="6B2024AD">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②</w:t>
      </w:r>
      <w:r>
        <w:rPr>
          <w:rFonts w:hint="eastAsia" w:ascii="宋体" w:hAnsi="宋体" w:eastAsia="宋体" w:cs="宋体"/>
          <w:b w:val="0"/>
          <w:color w:val="000000"/>
          <w:sz w:val="24"/>
          <w:szCs w:val="24"/>
          <w:highlight w:val="none"/>
        </w:rPr>
        <w:t xml:space="preserve"> 供应商需在投标文件报价部分中“投标分项报价表”中逐项注明所投产品的生产厂家具体名称并备注是否属于小型、微型企业。</w:t>
      </w:r>
    </w:p>
    <w:p w14:paraId="0D34A46E">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若所投标产品为进口产品的，不适用《政府采购促进中小企业发展暂行办法》。</w:t>
      </w:r>
    </w:p>
    <w:p w14:paraId="30414FBA">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根据中华人民共和国财政部、中华人民共和国民政部、中国残疾人联合会《关于促进残疾人就业政府采购政策的通知》（财库[2017]141号）文件的规定：残疾人福利性单位视同小型、微型企业。</w:t>
      </w:r>
    </w:p>
    <w:p w14:paraId="4CA3F3E5">
      <w:pPr>
        <w:pStyle w:val="37"/>
        <w:keepNext w:val="0"/>
        <w:keepLines w:val="0"/>
        <w:pageBreakBefore w:val="0"/>
        <w:kinsoku/>
        <w:wordWrap/>
        <w:overflowPunct/>
        <w:topLinePunct w:val="0"/>
        <w:autoSpaceDE/>
        <w:autoSpaceDN/>
        <w:bidi w:val="0"/>
        <w:adjustRightInd/>
        <w:snapToGrid/>
        <w:spacing w:beforeAutospacing="0" w:afterAutospacing="0" w:line="360" w:lineRule="exact"/>
        <w:ind w:firstLine="240" w:firstLineChars="100"/>
        <w:jc w:val="both"/>
        <w:rPr>
          <w:rFonts w:hint="eastAsia" w:ascii="宋体" w:hAnsi="宋体" w:eastAsia="宋体" w:cs="宋体"/>
          <w:sz w:val="24"/>
          <w:szCs w:val="24"/>
          <w:lang w:val="en-US" w:eastAsia="zh-CN"/>
        </w:rPr>
        <w:sectPr>
          <w:pgSz w:w="11960" w:h="16880"/>
          <w:pgMar w:top="1440" w:right="1800" w:bottom="1071" w:left="1800" w:header="0" w:footer="0" w:gutter="0"/>
          <w:pgNumType w:fmt="decimal"/>
          <w:cols w:space="720" w:num="1"/>
        </w:sectPr>
      </w:pPr>
      <w:r>
        <w:rPr>
          <w:rFonts w:hint="eastAsia" w:ascii="宋体" w:hAnsi="宋体" w:eastAsia="宋体" w:cs="宋体"/>
          <w:b w:val="0"/>
          <w:color w:val="000000"/>
          <w:sz w:val="24"/>
          <w:szCs w:val="24"/>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16D59FF4">
      <w:pPr>
        <w:pStyle w:val="39"/>
        <w:pageBreakBefore w:val="0"/>
        <w:kinsoku/>
        <w:wordWrap/>
        <w:overflowPunct/>
        <w:topLinePunct w:val="0"/>
        <w:bidi w:val="0"/>
        <w:spacing w:beforeAutospacing="0" w:afterAutospacing="0" w:line="400" w:lineRule="exact"/>
        <w:jc w:val="both"/>
        <w:outlineLvl w:val="0"/>
        <w:rPr>
          <w:rFonts w:hint="eastAsia" w:ascii="宋体" w:hAnsi="宋体" w:eastAsia="宋体" w:cs="宋体"/>
          <w:b/>
          <w:sz w:val="24"/>
          <w:szCs w:val="24"/>
          <w:highlight w:val="none"/>
        </w:rPr>
      </w:pPr>
    </w:p>
    <w:p w14:paraId="64993F33">
      <w:pPr>
        <w:pStyle w:val="22"/>
        <w:pageBreakBefore w:val="0"/>
        <w:kinsoku/>
        <w:wordWrap/>
        <w:overflowPunct/>
        <w:topLinePunct w:val="0"/>
        <w:bidi w:val="0"/>
        <w:spacing w:beforeAutospacing="0" w:after="0" w:afterAutospacing="0" w:line="400" w:lineRule="exact"/>
        <w:jc w:val="center"/>
        <w:rPr>
          <w:rStyle w:val="29"/>
          <w:rFonts w:hint="eastAsia" w:ascii="宋体" w:hAnsi="宋体" w:eastAsia="宋体" w:cs="宋体"/>
          <w:b/>
          <w:bCs/>
          <w:color w:val="auto"/>
          <w:w w:val="90"/>
          <w:sz w:val="36"/>
          <w:szCs w:val="36"/>
          <w:u w:val="none"/>
          <w:lang w:val="en-US" w:eastAsia="zh-CN"/>
        </w:rPr>
      </w:pPr>
      <w:r>
        <w:rPr>
          <w:rStyle w:val="29"/>
          <w:rFonts w:hint="eastAsia" w:ascii="宋体" w:hAnsi="宋体" w:eastAsia="宋体" w:cs="宋体"/>
          <w:b/>
          <w:bCs/>
          <w:color w:val="auto"/>
          <w:w w:val="90"/>
          <w:sz w:val="36"/>
          <w:szCs w:val="36"/>
          <w:u w:val="none"/>
          <w:lang w:val="en-US" w:eastAsia="zh-CN"/>
        </w:rPr>
        <w:t>第七章   投标文件格式</w:t>
      </w:r>
    </w:p>
    <w:p w14:paraId="6DE59F6A">
      <w:pPr>
        <w:pStyle w:val="39"/>
        <w:pageBreakBefore w:val="0"/>
        <w:kinsoku/>
        <w:wordWrap/>
        <w:overflowPunct/>
        <w:topLinePunct w:val="0"/>
        <w:bidi w:val="0"/>
        <w:spacing w:beforeAutospacing="0" w:afterAutospacing="0" w:line="400" w:lineRule="exact"/>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4482465</wp:posOffset>
                </wp:positionH>
                <wp:positionV relativeFrom="paragraph">
                  <wp:posOffset>137160</wp:posOffset>
                </wp:positionV>
                <wp:extent cx="825500" cy="404495"/>
                <wp:effectExtent l="5080" t="4445" r="7620" b="10160"/>
                <wp:wrapNone/>
                <wp:docPr id="6" name="文本框 6"/>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wps:spPr>
                      <wps:txbx>
                        <w:txbxContent>
                          <w:p w14:paraId="36DEFCA9">
                            <w:pPr>
                              <w:jc w:val="center"/>
                              <w:rPr>
                                <w:sz w:val="36"/>
                                <w:szCs w:val="36"/>
                              </w:rPr>
                            </w:pPr>
                            <w:r>
                              <w:rPr>
                                <w:rFonts w:hint="eastAsia"/>
                                <w:sz w:val="36"/>
                                <w:szCs w:val="36"/>
                              </w:rPr>
                              <w:t>正本</w:t>
                            </w:r>
                          </w:p>
                        </w:txbxContent>
                      </wps:txbx>
                      <wps:bodyPr lIns="91439" tIns="45720" rIns="91439" bIns="45720" upright="1"/>
                    </wps:wsp>
                  </a:graphicData>
                </a:graphic>
              </wp:anchor>
            </w:drawing>
          </mc:Choice>
          <mc:Fallback>
            <w:pict>
              <v:shape id="_x0000_s1026" o:spid="_x0000_s1026" o:spt="202" type="#_x0000_t202" style="position:absolute;left:0pt;margin-left:352.95pt;margin-top:10.8pt;height:31.85pt;width:65pt;z-index:251661312;mso-width-relative:page;mso-height-relative:page;" filled="f" stroked="t" coordsize="21600,21600" o:gfxdata="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S6pL1gAAAAkB&#10;AAAPAAAAAAAAAAEAIAAAACIAAABkcnMvZG93bnJldi54bWxQSwECFAAUAAAACACHTuJAMh9XcR0C&#10;AABABAAADgAAAAAAAAABACAAAAAlAQAAZHJzL2Uyb0RvYy54bWxQSwUGAAAAAAYABgBZAQAAtAUA&#10;AAAA&#10;">
                <v:fill on="f" focussize="0,0"/>
                <v:stroke color="#000000" joinstyle="miter"/>
                <v:imagedata o:title=""/>
                <o:lock v:ext="edit" aspectratio="f"/>
                <v:textbox inset="7.19992125984252pt,1.27mm,7.19992125984252pt,1.27mm">
                  <w:txbxContent>
                    <w:p w14:paraId="36DEFCA9">
                      <w:pPr>
                        <w:jc w:val="center"/>
                        <w:rPr>
                          <w:sz w:val="36"/>
                          <w:szCs w:val="36"/>
                        </w:rPr>
                      </w:pPr>
                      <w:r>
                        <w:rPr>
                          <w:rFonts w:hint="eastAsia"/>
                          <w:sz w:val="36"/>
                          <w:szCs w:val="36"/>
                        </w:rPr>
                        <w:t>正本</w:t>
                      </w:r>
                    </w:p>
                  </w:txbxContent>
                </v:textbox>
              </v:shape>
            </w:pict>
          </mc:Fallback>
        </mc:AlternateContent>
      </w:r>
    </w:p>
    <w:p w14:paraId="632D8A19">
      <w:pPr>
        <w:pStyle w:val="39"/>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bdr w:val="single" w:color="auto" w:sz="4" w:space="0"/>
        </w:rPr>
      </w:pPr>
    </w:p>
    <w:p w14:paraId="37AA3B83">
      <w:pPr>
        <w:pStyle w:val="39"/>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p w14:paraId="02F52CF7">
      <w:pPr>
        <w:pageBreakBefore w:val="0"/>
        <w:kinsoku/>
        <w:wordWrap/>
        <w:overflowPunct/>
        <w:topLinePunct w:val="0"/>
        <w:bidi w:val="0"/>
        <w:spacing w:beforeAutospacing="0" w:afterAutospacing="0" w:line="400" w:lineRule="exact"/>
        <w:ind w:right="980"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p w14:paraId="752E8620">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7111993D">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项目编号： </w:t>
      </w:r>
    </w:p>
    <w:p w14:paraId="7603FF66">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71F64695">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312145EF">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7B230387">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5" w:name="_Toc29518"/>
      <w:bookmarkStart w:id="6" w:name="_Toc7996"/>
      <w:bookmarkStart w:id="7" w:name="_Toc11015"/>
      <w:bookmarkStart w:id="8" w:name="_Toc10629"/>
      <w:r>
        <w:rPr>
          <w:rFonts w:hint="eastAsia" w:ascii="宋体" w:hAnsi="宋体" w:eastAsia="宋体" w:cs="宋体"/>
          <w:b/>
          <w:bCs/>
          <w:color w:val="000000"/>
          <w:sz w:val="24"/>
          <w:szCs w:val="24"/>
          <w:highlight w:val="none"/>
        </w:rPr>
        <w:t>投  标  文  件</w:t>
      </w:r>
      <w:bookmarkEnd w:id="5"/>
      <w:bookmarkEnd w:id="6"/>
      <w:bookmarkEnd w:id="7"/>
      <w:bookmarkEnd w:id="8"/>
    </w:p>
    <w:p w14:paraId="04E8738B">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76A5411E">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B7D9A9E">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20AF0E32">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4251EC5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w:t>
      </w:r>
      <w:r>
        <w:rPr>
          <w:rFonts w:hint="eastAsia" w:ascii="宋体" w:hAnsi="宋体" w:eastAsia="宋体" w:cs="宋体"/>
          <w:color w:val="000000"/>
          <w:sz w:val="24"/>
          <w:szCs w:val="24"/>
          <w:highlight w:val="none"/>
          <w:lang w:eastAsia="zh-CN"/>
        </w:rPr>
        <w:t>名称</w:t>
      </w:r>
      <w:r>
        <w:rPr>
          <w:rFonts w:hint="eastAsia" w:ascii="宋体" w:hAnsi="宋体" w:eastAsia="宋体" w:cs="宋体"/>
          <w:color w:val="000000"/>
          <w:sz w:val="24"/>
          <w:szCs w:val="24"/>
          <w:highlight w:val="none"/>
        </w:rPr>
        <w:t>：（盖单位章）</w:t>
      </w:r>
    </w:p>
    <w:p w14:paraId="567B8808">
      <w:pPr>
        <w:pStyle w:val="18"/>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投标人地址：</w:t>
      </w:r>
    </w:p>
    <w:p w14:paraId="46E515D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3F9D4F8A">
      <w:pPr>
        <w:pageBreakBefore w:val="0"/>
        <w:kinsoku/>
        <w:wordWrap/>
        <w:overflowPunct/>
        <w:topLinePunct w:val="0"/>
        <w:bidi w:val="0"/>
        <w:spacing w:beforeAutospacing="0" w:afterAutospacing="0" w:line="400" w:lineRule="exact"/>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法定代表人：（签字或盖章）</w:t>
      </w:r>
    </w:p>
    <w:p w14:paraId="01D25990">
      <w:pPr>
        <w:pStyle w:val="18"/>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授权委托人：</w:t>
      </w:r>
    </w:p>
    <w:p w14:paraId="154664EC">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联系电话：</w:t>
      </w:r>
    </w:p>
    <w:p w14:paraId="1C32D85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0066771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50150A43">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bookmarkStart w:id="9" w:name="_Toc22228"/>
      <w:bookmarkStart w:id="10" w:name="_Toc11239"/>
      <w:bookmarkStart w:id="11" w:name="_Toc7073"/>
      <w:bookmarkStart w:id="12" w:name="_Toc10107"/>
      <w:r>
        <w:rPr>
          <w:rFonts w:hint="eastAsia" w:ascii="宋体" w:hAnsi="宋体" w:eastAsia="宋体" w:cs="宋体"/>
          <w:color w:val="000000"/>
          <w:sz w:val="24"/>
          <w:szCs w:val="24"/>
          <w:highlight w:val="none"/>
        </w:rPr>
        <w:t>年        月        日</w:t>
      </w:r>
      <w:bookmarkEnd w:id="9"/>
      <w:bookmarkEnd w:id="10"/>
      <w:bookmarkEnd w:id="11"/>
      <w:bookmarkEnd w:id="12"/>
    </w:p>
    <w:p w14:paraId="4AB85FF7">
      <w:pPr>
        <w:pStyle w:val="39"/>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2081D4A0">
      <w:pPr>
        <w:pStyle w:val="39"/>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117E1DD9">
      <w:pPr>
        <w:pStyle w:val="39"/>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42F7607B">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5A7B276F">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01D1EE98">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4D7FDD7D">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245FD4F3">
      <w:pPr>
        <w:pStyle w:val="33"/>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16F0AC31">
      <w:pPr>
        <w:pageBreakBefore w:val="0"/>
        <w:kinsoku/>
        <w:wordWrap/>
        <w:overflowPunct/>
        <w:topLinePunct w:val="0"/>
        <w:bidi w:val="0"/>
        <w:spacing w:beforeAutospacing="0" w:afterAutospacing="0" w:line="400" w:lineRule="exact"/>
        <w:jc w:val="both"/>
        <w:rPr>
          <w:rFonts w:hint="eastAsia" w:ascii="宋体" w:hAnsi="宋体" w:eastAsia="宋体" w:cs="宋体"/>
          <w:b/>
          <w:bCs/>
          <w:color w:val="000000"/>
          <w:sz w:val="24"/>
          <w:szCs w:val="24"/>
          <w:highlight w:val="none"/>
        </w:rPr>
      </w:pPr>
    </w:p>
    <w:p w14:paraId="142D878E">
      <w:pPr>
        <w:pageBreakBefore w:val="0"/>
        <w:numPr>
          <w:ilvl w:val="0"/>
          <w:numId w:val="6"/>
        </w:numPr>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13" w:name="_Toc23088"/>
      <w:bookmarkStart w:id="14" w:name="_Toc7184"/>
      <w:r>
        <w:rPr>
          <w:rFonts w:hint="eastAsia" w:ascii="宋体" w:hAnsi="宋体" w:eastAsia="宋体" w:cs="宋体"/>
          <w:b/>
          <w:bCs/>
          <w:color w:val="000000"/>
          <w:sz w:val="24"/>
          <w:szCs w:val="24"/>
          <w:highlight w:val="none"/>
        </w:rPr>
        <w:t xml:space="preserve"> </w:t>
      </w:r>
      <w:bookmarkStart w:id="15" w:name="_Toc2645"/>
      <w:bookmarkStart w:id="16" w:name="_Toc10635"/>
      <w:r>
        <w:rPr>
          <w:rFonts w:hint="eastAsia" w:ascii="宋体" w:hAnsi="宋体" w:eastAsia="宋体" w:cs="宋体"/>
          <w:b/>
          <w:bCs/>
          <w:color w:val="000000"/>
          <w:sz w:val="24"/>
          <w:szCs w:val="24"/>
          <w:highlight w:val="none"/>
        </w:rPr>
        <w:t>经济报价部</w:t>
      </w:r>
      <w:bookmarkEnd w:id="13"/>
      <w:bookmarkEnd w:id="14"/>
      <w:bookmarkEnd w:id="15"/>
      <w:bookmarkEnd w:id="16"/>
      <w:r>
        <w:rPr>
          <w:rFonts w:hint="eastAsia" w:ascii="宋体" w:hAnsi="宋体" w:cs="宋体"/>
          <w:b/>
          <w:bCs/>
          <w:color w:val="000000"/>
          <w:sz w:val="24"/>
          <w:szCs w:val="24"/>
          <w:highlight w:val="none"/>
          <w:lang w:val="en-US" w:eastAsia="zh-CN"/>
        </w:rPr>
        <w:t>分</w:t>
      </w:r>
    </w:p>
    <w:p w14:paraId="41DCC34C">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4B41CE32">
      <w:pPr>
        <w:pageBreakBefore w:val="0"/>
        <w:numPr>
          <w:ilvl w:val="0"/>
          <w:numId w:val="0"/>
        </w:numPr>
        <w:kinsoku/>
        <w:wordWrap/>
        <w:overflowPunct/>
        <w:topLinePunct w:val="0"/>
        <w:bidi w:val="0"/>
        <w:spacing w:beforeAutospacing="0" w:afterAutospacing="0" w:line="400" w:lineRule="exact"/>
        <w:jc w:val="center"/>
        <w:rPr>
          <w:rFonts w:hint="eastAsia" w:ascii="宋体" w:hAnsi="宋体" w:eastAsia="宋体" w:cs="宋体"/>
          <w:sz w:val="24"/>
          <w:szCs w:val="24"/>
        </w:rPr>
      </w:pP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投   标   书</w:t>
      </w:r>
    </w:p>
    <w:p w14:paraId="00BC8AF8">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1581366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54C6C636">
      <w:pPr>
        <w:pStyle w:val="4"/>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013343F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我们收到你们的</w:t>
      </w:r>
      <w:r>
        <w:rPr>
          <w:rFonts w:hint="eastAsia" w:ascii="宋体" w:hAnsi="宋体" w:eastAsia="宋体" w:cs="宋体"/>
          <w:color w:val="000000"/>
          <w:sz w:val="24"/>
          <w:szCs w:val="24"/>
          <w:highlight w:val="none"/>
          <w:u w:val="single"/>
        </w:rPr>
        <w:t xml:space="preserve">     （项目名称）     （项目编号：  ）</w:t>
      </w:r>
      <w:r>
        <w:rPr>
          <w:rFonts w:hint="eastAsia" w:ascii="宋体" w:hAnsi="宋体" w:eastAsia="宋体" w:cs="宋体"/>
          <w:color w:val="000000"/>
          <w:sz w:val="24"/>
          <w:szCs w:val="24"/>
          <w:highlight w:val="none"/>
        </w:rPr>
        <w:t>招标文件，经认真研究，我们决定参加本次招标活动。</w:t>
      </w:r>
    </w:p>
    <w:p w14:paraId="361378D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1、按照招标文件中的一切要求，提供招标相关服务。人民币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rPr>
        <w:t>元（用阿拉伯数字书写），大写：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明细见投标报价表。</w:t>
      </w:r>
    </w:p>
    <w:p w14:paraId="1EB04B7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2、如果我们的投标文件被接受，我们将履行招标文件中规定的每一项义务和要求，按期、按质、按量完成交货。</w:t>
      </w:r>
    </w:p>
    <w:p w14:paraId="3039103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3、我们同意按招标文件的规定，本投标文件的有效期为开标后</w:t>
      </w:r>
      <w:r>
        <w:rPr>
          <w:rFonts w:hint="eastAsia" w:ascii="宋体" w:hAnsi="宋体" w:eastAsia="宋体" w:cs="宋体"/>
          <w:color w:val="000000"/>
          <w:sz w:val="24"/>
          <w:szCs w:val="24"/>
          <w:highlight w:val="none"/>
          <w:u w:val="single"/>
        </w:rPr>
        <w:t>60</w:t>
      </w:r>
      <w:r>
        <w:rPr>
          <w:rFonts w:hint="eastAsia" w:ascii="宋体" w:hAnsi="宋体" w:eastAsia="宋体" w:cs="宋体"/>
          <w:color w:val="000000"/>
          <w:sz w:val="24"/>
          <w:szCs w:val="24"/>
          <w:highlight w:val="none"/>
        </w:rPr>
        <w:t>天。</w:t>
      </w:r>
    </w:p>
    <w:p w14:paraId="4C3AE20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4、我们愿意提供</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在招标文件中要求的所有资料。</w:t>
      </w:r>
    </w:p>
    <w:p w14:paraId="1E8DF44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5、我们认为你们有选择或拒绝任何投标者中标的权力。我们理解，最低报价不是中标的唯一条件。</w:t>
      </w:r>
    </w:p>
    <w:p w14:paraId="623ACCA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6、我们愿按合同法履行自己的全部责任。</w:t>
      </w:r>
    </w:p>
    <w:p w14:paraId="74FAA92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7、我们愿意遵守国家有关规定和招标文件中规定的收费标准，承付中标服务费。</w:t>
      </w:r>
    </w:p>
    <w:p w14:paraId="0C9E3E1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8、该项投标在开标后的全过程中保持有效，不作任何更改和变动。</w:t>
      </w:r>
    </w:p>
    <w:p w14:paraId="7B6DC0A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9、我们同意按招标文件规定，交纳投标保证金。</w:t>
      </w:r>
    </w:p>
    <w:p w14:paraId="36FEDF1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10、其它说明。</w:t>
      </w:r>
    </w:p>
    <w:p w14:paraId="4CB0329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11、所有有关本标书的函电，请按下列地址联系：</w:t>
      </w:r>
    </w:p>
    <w:p w14:paraId="630D24C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6DA4EC6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法定代表人或授权代表人（签字或盖章）：</w:t>
      </w:r>
    </w:p>
    <w:p w14:paraId="44E033C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14:paraId="6105F18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联系人：</w:t>
      </w:r>
    </w:p>
    <w:p w14:paraId="548AA8B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color w:val="000000"/>
          <w:sz w:val="24"/>
          <w:szCs w:val="24"/>
          <w:highlight w:val="none"/>
        </w:rPr>
      </w:pPr>
    </w:p>
    <w:p w14:paraId="39911D9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sz w:val="24"/>
          <w:szCs w:val="24"/>
          <w:lang w:eastAsia="zh-CN"/>
        </w:rPr>
        <w:sectPr>
          <w:headerReference r:id="rId7" w:type="default"/>
          <w:footerReference r:id="rId8" w:type="default"/>
          <w:pgSz w:w="11906" w:h="16838"/>
          <w:pgMar w:top="1440" w:right="1800" w:bottom="1440" w:left="1380" w:header="851" w:footer="992" w:gutter="0"/>
          <w:pgNumType w:fmt="decimal"/>
          <w:cols w:space="720" w:num="1"/>
          <w:docGrid w:type="lines" w:linePitch="312" w:charSpace="0"/>
        </w:sectPr>
      </w:pPr>
      <w:r>
        <w:rPr>
          <w:rFonts w:hint="eastAsia" w:ascii="宋体" w:hAnsi="宋体" w:eastAsia="宋体" w:cs="宋体"/>
          <w:color w:val="000000"/>
          <w:sz w:val="24"/>
          <w:szCs w:val="24"/>
          <w:highlight w:val="none"/>
        </w:rPr>
        <w:t>年  月  日</w:t>
      </w:r>
    </w:p>
    <w:p w14:paraId="155AE8AC">
      <w:pPr>
        <w:pStyle w:val="7"/>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7307E9DA">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 开标一览表</w:t>
      </w:r>
    </w:p>
    <w:p w14:paraId="487962F3">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391FE1BC">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bl>
      <w:tblPr>
        <w:tblStyle w:val="24"/>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705"/>
        <w:gridCol w:w="1674"/>
        <w:gridCol w:w="1017"/>
        <w:gridCol w:w="1093"/>
        <w:gridCol w:w="1053"/>
      </w:tblGrid>
      <w:tr w14:paraId="3356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0" w:type="dxa"/>
            <w:vAlign w:val="center"/>
          </w:tcPr>
          <w:p w14:paraId="506E27D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705" w:type="dxa"/>
            <w:vAlign w:val="center"/>
          </w:tcPr>
          <w:p w14:paraId="3A00235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674" w:type="dxa"/>
            <w:vAlign w:val="center"/>
          </w:tcPr>
          <w:p w14:paraId="6112B74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投标报价（元）</w:t>
            </w:r>
          </w:p>
        </w:tc>
        <w:tc>
          <w:tcPr>
            <w:tcW w:w="1017" w:type="dxa"/>
            <w:vAlign w:val="center"/>
          </w:tcPr>
          <w:p w14:paraId="1067EB2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供货期</w:t>
            </w:r>
          </w:p>
        </w:tc>
        <w:tc>
          <w:tcPr>
            <w:tcW w:w="1093" w:type="dxa"/>
            <w:vAlign w:val="center"/>
          </w:tcPr>
          <w:p w14:paraId="066E639D">
            <w:pPr>
              <w:pageBreakBefore w:val="0"/>
              <w:kinsoku/>
              <w:wordWrap/>
              <w:overflowPunct/>
              <w:topLinePunct w:val="0"/>
              <w:bidi w:val="0"/>
              <w:adjustRightInd w:val="0"/>
              <w:snapToGrid w:val="0"/>
              <w:spacing w:beforeAutospacing="0" w:afterAutospacing="0" w:line="400" w:lineRule="exact"/>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质保期</w:t>
            </w:r>
          </w:p>
        </w:tc>
        <w:tc>
          <w:tcPr>
            <w:tcW w:w="1053" w:type="dxa"/>
            <w:vAlign w:val="center"/>
          </w:tcPr>
          <w:p w14:paraId="3CF11CD2">
            <w:pPr>
              <w:pageBreakBefore w:val="0"/>
              <w:kinsoku/>
              <w:wordWrap/>
              <w:overflowPunct/>
              <w:topLinePunct w:val="0"/>
              <w:bidi w:val="0"/>
              <w:adjustRightInd w:val="0"/>
              <w:snapToGrid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备注</w:t>
            </w:r>
          </w:p>
        </w:tc>
      </w:tr>
      <w:tr w14:paraId="0460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14:paraId="50445BE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705" w:type="dxa"/>
            <w:vAlign w:val="center"/>
          </w:tcPr>
          <w:p w14:paraId="09A9A2B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674" w:type="dxa"/>
            <w:vAlign w:val="center"/>
          </w:tcPr>
          <w:p w14:paraId="18D5D93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14:paraId="56DDCCD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93" w:type="dxa"/>
            <w:vAlign w:val="center"/>
          </w:tcPr>
          <w:p w14:paraId="40994F7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53" w:type="dxa"/>
            <w:vAlign w:val="center"/>
          </w:tcPr>
          <w:p w14:paraId="61D3D8D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375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14:paraId="5A4D0C9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705" w:type="dxa"/>
            <w:vAlign w:val="center"/>
          </w:tcPr>
          <w:p w14:paraId="5E7E3A9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总计：（人民币小写）：</w:t>
            </w:r>
          </w:p>
        </w:tc>
        <w:tc>
          <w:tcPr>
            <w:tcW w:w="4837" w:type="dxa"/>
            <w:gridSpan w:val="4"/>
            <w:vAlign w:val="center"/>
          </w:tcPr>
          <w:p w14:paraId="3E685EAC">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tc>
      </w:tr>
      <w:tr w14:paraId="3B9D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0" w:type="dxa"/>
            <w:vAlign w:val="center"/>
          </w:tcPr>
          <w:p w14:paraId="0DA83C4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705" w:type="dxa"/>
            <w:vAlign w:val="center"/>
          </w:tcPr>
          <w:p w14:paraId="71D58F6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（人民币大写）：</w:t>
            </w:r>
          </w:p>
        </w:tc>
        <w:tc>
          <w:tcPr>
            <w:tcW w:w="4837" w:type="dxa"/>
            <w:gridSpan w:val="4"/>
            <w:vAlign w:val="center"/>
          </w:tcPr>
          <w:p w14:paraId="378FE60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tc>
      </w:tr>
    </w:tbl>
    <w:p w14:paraId="6F459445">
      <w:pPr>
        <w:pStyle w:val="46"/>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color w:val="auto"/>
          <w:sz w:val="24"/>
          <w:szCs w:val="24"/>
          <w:highlight w:val="none"/>
        </w:rPr>
      </w:pPr>
      <w:bookmarkStart w:id="17" w:name="_Toc20945"/>
      <w:r>
        <w:rPr>
          <w:rFonts w:hint="eastAsia" w:ascii="宋体" w:hAnsi="宋体" w:eastAsia="宋体" w:cs="宋体"/>
          <w:color w:val="auto"/>
          <w:sz w:val="24"/>
          <w:szCs w:val="24"/>
          <w:highlight w:val="none"/>
        </w:rPr>
        <w:t>注：</w:t>
      </w:r>
    </w:p>
    <w:p w14:paraId="4B65D629">
      <w:pPr>
        <w:pStyle w:val="46"/>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1、此表</w:t>
      </w:r>
      <w:r>
        <w:rPr>
          <w:rFonts w:hint="eastAsia" w:cs="宋体"/>
          <w:color w:val="auto"/>
          <w:sz w:val="24"/>
          <w:szCs w:val="24"/>
          <w:highlight w:val="none"/>
          <w:lang w:val="en-US" w:eastAsia="zh-CN"/>
        </w:rPr>
        <w:t>须包含在</w:t>
      </w:r>
      <w:r>
        <w:rPr>
          <w:rFonts w:hint="eastAsia" w:ascii="宋体" w:hAnsi="宋体" w:eastAsia="宋体" w:cs="宋体"/>
          <w:color w:val="auto"/>
          <w:sz w:val="24"/>
          <w:szCs w:val="24"/>
          <w:highlight w:val="none"/>
          <w:lang w:eastAsia="zh-CN"/>
        </w:rPr>
        <w:t>投标文件中</w:t>
      </w:r>
      <w:r>
        <w:rPr>
          <w:rFonts w:hint="eastAsia" w:ascii="宋体" w:hAnsi="宋体" w:eastAsia="宋体" w:cs="宋体"/>
          <w:color w:val="auto"/>
          <w:sz w:val="24"/>
          <w:szCs w:val="24"/>
          <w:highlight w:val="none"/>
        </w:rPr>
        <w:t>。</w:t>
      </w:r>
      <w:bookmarkEnd w:id="17"/>
    </w:p>
    <w:p w14:paraId="4740702B">
      <w:pPr>
        <w:pStyle w:val="39"/>
        <w:pageBreakBefore w:val="0"/>
        <w:numPr>
          <w:ilvl w:val="0"/>
          <w:numId w:val="0"/>
        </w:numPr>
        <w:kinsoku/>
        <w:wordWrap/>
        <w:overflowPunct/>
        <w:topLinePunct w:val="0"/>
        <w:bidi w:val="0"/>
        <w:spacing w:beforeAutospacing="0" w:afterAutospacing="0" w:line="400" w:lineRule="exact"/>
        <w:ind w:leftChars="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本表格式</w:t>
      </w:r>
      <w:r>
        <w:rPr>
          <w:rFonts w:hint="eastAsia" w:ascii="宋体" w:hAnsi="宋体" w:eastAsia="宋体" w:cs="宋体"/>
          <w:b/>
          <w:bCs/>
          <w:color w:val="auto"/>
          <w:kern w:val="2"/>
          <w:sz w:val="24"/>
          <w:szCs w:val="24"/>
          <w:highlight w:val="none"/>
          <w:lang w:val="en-US" w:eastAsia="zh-CN"/>
        </w:rPr>
        <w:t>及内容</w:t>
      </w:r>
      <w:r>
        <w:rPr>
          <w:rFonts w:hint="eastAsia" w:ascii="宋体" w:hAnsi="宋体" w:eastAsia="宋体" w:cs="宋体"/>
          <w:b/>
          <w:bCs/>
          <w:color w:val="auto"/>
          <w:kern w:val="2"/>
          <w:sz w:val="24"/>
          <w:szCs w:val="24"/>
          <w:highlight w:val="none"/>
        </w:rPr>
        <w:t>不得更改，投标人只能按要求填报，否则将被视为无效投标。</w:t>
      </w:r>
    </w:p>
    <w:p w14:paraId="37ACE699">
      <w:pPr>
        <w:pageBreakBefore w:val="0"/>
        <w:kinsoku/>
        <w:wordWrap/>
        <w:overflowPunct/>
        <w:topLinePunct w:val="0"/>
        <w:bidi w:val="0"/>
        <w:spacing w:beforeAutospacing="0" w:afterAutospacing="0" w:line="400" w:lineRule="exact"/>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（基准价/投标报价）×价格权值×100</w:t>
      </w:r>
    </w:p>
    <w:p w14:paraId="3533BFE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投标基准价为通过初步审查且价格最</w:t>
      </w:r>
      <w:r>
        <w:rPr>
          <w:rFonts w:hint="eastAsia" w:ascii="宋体" w:hAnsi="宋体" w:eastAsia="宋体" w:cs="宋体"/>
          <w:color w:val="auto"/>
          <w:sz w:val="24"/>
          <w:szCs w:val="24"/>
          <w:lang w:eastAsia="zh-CN"/>
        </w:rPr>
        <w:t>低</w:t>
      </w:r>
      <w:r>
        <w:rPr>
          <w:rFonts w:hint="eastAsia" w:ascii="宋体" w:hAnsi="宋体" w:eastAsia="宋体" w:cs="宋体"/>
          <w:color w:val="auto"/>
          <w:sz w:val="24"/>
          <w:szCs w:val="24"/>
        </w:rPr>
        <w:t>的投标报价，价格权值为</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p>
    <w:p w14:paraId="08AD372B">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报价得分为负数的按零分计</w:t>
      </w:r>
      <w:r>
        <w:rPr>
          <w:rFonts w:hint="eastAsia" w:ascii="宋体" w:hAnsi="宋体" w:eastAsia="宋体" w:cs="宋体"/>
          <w:color w:val="auto"/>
          <w:sz w:val="24"/>
          <w:szCs w:val="24"/>
        </w:rPr>
        <w:t>。</w:t>
      </w:r>
    </w:p>
    <w:p w14:paraId="1CD84D66">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、投标总价应为各分项报价之和，投标文件差异修正准则参见投标报价说明。</w:t>
      </w:r>
    </w:p>
    <w:p w14:paraId="06FD3540">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报价中必须包含前期调研、技术咨询、资料收集、报告编制、协调服务、交通差旅费、文档和图档的打印、装订及寄送费用、成果初审、专家评审（含专家评审费、交通费、餐费、场地费、住宿费等）等所产生的费用、全额含税发票、雇员费用、合同实施过程中的应预见和不可预见费用等完成合同规定责任和义务、达到合同目的的一切费用及企业利润。并应包含应由中标人缴纳的本次招标代理服务费。</w:t>
      </w:r>
    </w:p>
    <w:p w14:paraId="6770CCA7">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、投标人必须自行考虑本项目在实施期间的一切可能产生的费用。在合同执行过程中，招标人将不再另行支付与本项目相关的任何费用（非本项目要求的其它内容除外）。</w:t>
      </w:r>
    </w:p>
    <w:p w14:paraId="05D37C27">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、报价表述限于中文大写或阿拉伯数字小写，均已核定准确无误，若投标报价大小写不一致，以大写金额为准。</w:t>
      </w:r>
    </w:p>
    <w:p w14:paraId="71FE60C4">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、如果我方未中标，贵方没有必要对我方做出任何解释和说明，我方将充分尊重和理解贵方的选择。</w:t>
      </w:r>
    </w:p>
    <w:p w14:paraId="00C61FD1">
      <w:pPr>
        <w:pStyle w:val="39"/>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14:paraId="7679BAC0">
      <w:pPr>
        <w:pageBreakBefore w:val="0"/>
        <w:kinsoku/>
        <w:wordWrap/>
        <w:overflowPunct/>
        <w:topLinePunct w:val="0"/>
        <w:bidi w:val="0"/>
        <w:spacing w:beforeAutospacing="0" w:afterAutospacing="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投标人名称（加盖公章）：</w:t>
      </w:r>
      <w:r>
        <w:rPr>
          <w:rFonts w:hint="eastAsia" w:ascii="宋体" w:hAnsi="宋体" w:eastAsia="宋体" w:cs="宋体"/>
          <w:bCs/>
          <w:color w:val="auto"/>
          <w:sz w:val="24"/>
          <w:szCs w:val="24"/>
          <w:highlight w:val="none"/>
          <w:u w:val="single"/>
        </w:rPr>
        <w:t xml:space="preserve">                               </w:t>
      </w:r>
    </w:p>
    <w:p w14:paraId="7DC14D6B">
      <w:pPr>
        <w:pStyle w:val="46"/>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val="0"/>
          <w:color w:val="auto"/>
          <w:kern w:val="2"/>
          <w:sz w:val="24"/>
          <w:szCs w:val="24"/>
          <w:highlight w:val="none"/>
        </w:rPr>
      </w:pPr>
      <w:bookmarkStart w:id="18" w:name="_Toc19201"/>
      <w:r>
        <w:rPr>
          <w:rFonts w:hint="eastAsia" w:ascii="宋体" w:hAnsi="宋体" w:eastAsia="宋体" w:cs="宋体"/>
          <w:b w:val="0"/>
          <w:color w:val="auto"/>
          <w:sz w:val="24"/>
          <w:szCs w:val="24"/>
          <w:highlight w:val="none"/>
        </w:rPr>
        <w:t>代理（被授权人）签字：</w:t>
      </w:r>
      <w:bookmarkEnd w:id="18"/>
      <w:r>
        <w:rPr>
          <w:rFonts w:hint="eastAsia" w:ascii="宋体" w:hAnsi="宋体" w:eastAsia="宋体" w:cs="宋体"/>
          <w:b w:val="0"/>
          <w:color w:val="auto"/>
          <w:sz w:val="24"/>
          <w:szCs w:val="24"/>
          <w:highlight w:val="none"/>
          <w:u w:val="single"/>
        </w:rPr>
        <w:t xml:space="preserve">                  </w:t>
      </w:r>
    </w:p>
    <w:p w14:paraId="255E64B0">
      <w:pPr>
        <w:pStyle w:val="46"/>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color w:val="000000"/>
          <w:sz w:val="24"/>
          <w:szCs w:val="24"/>
          <w:highlight w:val="none"/>
        </w:rPr>
      </w:pPr>
      <w:bookmarkStart w:id="19" w:name="_Toc10411"/>
      <w:r>
        <w:rPr>
          <w:rFonts w:hint="eastAsia" w:ascii="宋体" w:hAnsi="宋体" w:eastAsia="宋体" w:cs="宋体"/>
          <w:b w:val="0"/>
          <w:color w:val="auto"/>
          <w:spacing w:val="36"/>
          <w:kern w:val="2"/>
          <w:sz w:val="24"/>
          <w:szCs w:val="24"/>
          <w:highlight w:val="none"/>
        </w:rPr>
        <w:t>日期</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月</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日</w:t>
      </w:r>
      <w:bookmarkEnd w:id="19"/>
    </w:p>
    <w:p w14:paraId="342431C7">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6B739AFE">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09EE61AB">
      <w:pPr>
        <w:pStyle w:val="33"/>
        <w:rPr>
          <w:rFonts w:hint="eastAsia" w:ascii="宋体" w:hAnsi="宋体" w:eastAsia="宋体" w:cs="宋体"/>
        </w:rPr>
      </w:pPr>
    </w:p>
    <w:p w14:paraId="738888E7">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3、报价明细表</w:t>
      </w:r>
    </w:p>
    <w:p w14:paraId="57680608">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506D7B3F">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bl>
      <w:tblPr>
        <w:tblStyle w:val="24"/>
        <w:tblW w:w="10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798"/>
        <w:gridCol w:w="896"/>
        <w:gridCol w:w="934"/>
        <w:gridCol w:w="801"/>
        <w:gridCol w:w="1364"/>
        <w:gridCol w:w="1155"/>
        <w:gridCol w:w="2173"/>
        <w:gridCol w:w="963"/>
      </w:tblGrid>
      <w:tr w14:paraId="60D5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06" w:type="dxa"/>
            <w:vAlign w:val="center"/>
          </w:tcPr>
          <w:p w14:paraId="1ED1CD9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798" w:type="dxa"/>
            <w:vAlign w:val="center"/>
          </w:tcPr>
          <w:p w14:paraId="3CF8A3A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896" w:type="dxa"/>
            <w:vAlign w:val="center"/>
          </w:tcPr>
          <w:p w14:paraId="750E2DB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934" w:type="dxa"/>
            <w:vAlign w:val="center"/>
          </w:tcPr>
          <w:p w14:paraId="7257A20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801" w:type="dxa"/>
            <w:vAlign w:val="center"/>
          </w:tcPr>
          <w:p w14:paraId="7A8DCA0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364" w:type="dxa"/>
            <w:vAlign w:val="center"/>
          </w:tcPr>
          <w:p w14:paraId="42DD536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1155" w:type="dxa"/>
            <w:vAlign w:val="center"/>
          </w:tcPr>
          <w:p w14:paraId="233B58AE">
            <w:pPr>
              <w:pageBreakBefore w:val="0"/>
              <w:kinsoku/>
              <w:wordWrap/>
              <w:overflowPunct/>
              <w:topLinePunct w:val="0"/>
              <w:bidi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制造商</w:t>
            </w:r>
          </w:p>
        </w:tc>
        <w:tc>
          <w:tcPr>
            <w:tcW w:w="2173" w:type="dxa"/>
            <w:vAlign w:val="center"/>
          </w:tcPr>
          <w:p w14:paraId="66722077">
            <w:pPr>
              <w:pageBreakBefore w:val="0"/>
              <w:kinsoku/>
              <w:wordWrap/>
              <w:overflowPunct/>
              <w:topLinePunct w:val="0"/>
              <w:bidi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制造商企业类型（大、中、小、微型）</w:t>
            </w:r>
          </w:p>
        </w:tc>
        <w:tc>
          <w:tcPr>
            <w:tcW w:w="963" w:type="dxa"/>
            <w:vAlign w:val="center"/>
          </w:tcPr>
          <w:p w14:paraId="6920244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备注</w:t>
            </w:r>
          </w:p>
        </w:tc>
      </w:tr>
      <w:tr w14:paraId="3996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6" w:type="dxa"/>
            <w:vAlign w:val="center"/>
          </w:tcPr>
          <w:p w14:paraId="7117040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8" w:type="dxa"/>
            <w:vAlign w:val="center"/>
          </w:tcPr>
          <w:p w14:paraId="13EE2D0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96" w:type="dxa"/>
            <w:vAlign w:val="center"/>
          </w:tcPr>
          <w:p w14:paraId="111C3F0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34" w:type="dxa"/>
            <w:vAlign w:val="center"/>
          </w:tcPr>
          <w:p w14:paraId="3F44F1D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01" w:type="dxa"/>
            <w:vAlign w:val="center"/>
          </w:tcPr>
          <w:p w14:paraId="300EEA3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4" w:type="dxa"/>
            <w:vAlign w:val="center"/>
          </w:tcPr>
          <w:p w14:paraId="34BF3A3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55" w:type="dxa"/>
            <w:vAlign w:val="center"/>
          </w:tcPr>
          <w:p w14:paraId="5FA793B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173" w:type="dxa"/>
            <w:vAlign w:val="center"/>
          </w:tcPr>
          <w:p w14:paraId="5126DB0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63" w:type="dxa"/>
            <w:vMerge w:val="restart"/>
            <w:vAlign w:val="center"/>
          </w:tcPr>
          <w:p w14:paraId="38875FB7">
            <w:pPr>
              <w:pageBreakBefore w:val="0"/>
              <w:kinsoku/>
              <w:wordWrap/>
              <w:overflowPunct/>
              <w:topLinePunct w:val="0"/>
              <w:bidi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提供产品的合格检测报告或证书。</w:t>
            </w:r>
          </w:p>
        </w:tc>
      </w:tr>
      <w:tr w14:paraId="2F5D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6" w:type="dxa"/>
            <w:vAlign w:val="center"/>
          </w:tcPr>
          <w:p w14:paraId="3543EF9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8" w:type="dxa"/>
            <w:vAlign w:val="center"/>
          </w:tcPr>
          <w:p w14:paraId="2D0DDC9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96" w:type="dxa"/>
            <w:vAlign w:val="center"/>
          </w:tcPr>
          <w:p w14:paraId="6450BD3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34" w:type="dxa"/>
            <w:vAlign w:val="center"/>
          </w:tcPr>
          <w:p w14:paraId="171C95B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01" w:type="dxa"/>
            <w:vAlign w:val="center"/>
          </w:tcPr>
          <w:p w14:paraId="235C542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4" w:type="dxa"/>
            <w:vAlign w:val="center"/>
          </w:tcPr>
          <w:p w14:paraId="222215B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55" w:type="dxa"/>
            <w:vAlign w:val="center"/>
          </w:tcPr>
          <w:p w14:paraId="4F53C0E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173" w:type="dxa"/>
            <w:vAlign w:val="center"/>
          </w:tcPr>
          <w:p w14:paraId="0D4530B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63" w:type="dxa"/>
            <w:vMerge w:val="continue"/>
            <w:vAlign w:val="center"/>
          </w:tcPr>
          <w:p w14:paraId="16A97A6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242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6" w:type="dxa"/>
            <w:vAlign w:val="center"/>
          </w:tcPr>
          <w:p w14:paraId="6CBA89E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8" w:type="dxa"/>
            <w:vAlign w:val="center"/>
          </w:tcPr>
          <w:p w14:paraId="6CFB200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96" w:type="dxa"/>
            <w:vAlign w:val="center"/>
          </w:tcPr>
          <w:p w14:paraId="155F6EC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34" w:type="dxa"/>
            <w:vAlign w:val="center"/>
          </w:tcPr>
          <w:p w14:paraId="6BAB907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01" w:type="dxa"/>
            <w:vAlign w:val="center"/>
          </w:tcPr>
          <w:p w14:paraId="518DE15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4" w:type="dxa"/>
            <w:vAlign w:val="center"/>
          </w:tcPr>
          <w:p w14:paraId="67AD67A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55" w:type="dxa"/>
            <w:vAlign w:val="center"/>
          </w:tcPr>
          <w:p w14:paraId="3683390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173" w:type="dxa"/>
            <w:vAlign w:val="center"/>
          </w:tcPr>
          <w:p w14:paraId="24A020F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63" w:type="dxa"/>
            <w:vMerge w:val="continue"/>
            <w:vAlign w:val="center"/>
          </w:tcPr>
          <w:p w14:paraId="08251F5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33AC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6" w:type="dxa"/>
            <w:vAlign w:val="center"/>
          </w:tcPr>
          <w:p w14:paraId="602EBBC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8" w:type="dxa"/>
            <w:vAlign w:val="center"/>
          </w:tcPr>
          <w:p w14:paraId="0DF3529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96" w:type="dxa"/>
            <w:vAlign w:val="center"/>
          </w:tcPr>
          <w:p w14:paraId="44B39EF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34" w:type="dxa"/>
            <w:vAlign w:val="center"/>
          </w:tcPr>
          <w:p w14:paraId="49424E8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01" w:type="dxa"/>
            <w:vAlign w:val="center"/>
          </w:tcPr>
          <w:p w14:paraId="1396277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4" w:type="dxa"/>
            <w:vAlign w:val="center"/>
          </w:tcPr>
          <w:p w14:paraId="790F9A0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55" w:type="dxa"/>
            <w:vAlign w:val="center"/>
          </w:tcPr>
          <w:p w14:paraId="03AF91E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173" w:type="dxa"/>
            <w:vAlign w:val="center"/>
          </w:tcPr>
          <w:p w14:paraId="2CA9927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63" w:type="dxa"/>
            <w:vMerge w:val="continue"/>
            <w:vAlign w:val="center"/>
          </w:tcPr>
          <w:p w14:paraId="7F8EE75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C93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6" w:type="dxa"/>
            <w:vAlign w:val="center"/>
          </w:tcPr>
          <w:p w14:paraId="5F88FA4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8" w:type="dxa"/>
            <w:vAlign w:val="center"/>
          </w:tcPr>
          <w:p w14:paraId="47A5BBD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96" w:type="dxa"/>
            <w:vAlign w:val="center"/>
          </w:tcPr>
          <w:p w14:paraId="6D8C88C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34" w:type="dxa"/>
            <w:vAlign w:val="center"/>
          </w:tcPr>
          <w:p w14:paraId="7BED9C8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01" w:type="dxa"/>
            <w:vAlign w:val="center"/>
          </w:tcPr>
          <w:p w14:paraId="283A85B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4" w:type="dxa"/>
            <w:vAlign w:val="center"/>
          </w:tcPr>
          <w:p w14:paraId="7AA994A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55" w:type="dxa"/>
            <w:vAlign w:val="center"/>
          </w:tcPr>
          <w:p w14:paraId="65CBFD5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173" w:type="dxa"/>
            <w:vAlign w:val="center"/>
          </w:tcPr>
          <w:p w14:paraId="08E5365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63" w:type="dxa"/>
            <w:vMerge w:val="continue"/>
            <w:vAlign w:val="center"/>
          </w:tcPr>
          <w:p w14:paraId="52FC191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EA3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6" w:type="dxa"/>
            <w:vAlign w:val="center"/>
          </w:tcPr>
          <w:p w14:paraId="2861C5D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8" w:type="dxa"/>
            <w:vAlign w:val="center"/>
          </w:tcPr>
          <w:p w14:paraId="6FD38CD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96" w:type="dxa"/>
            <w:vAlign w:val="center"/>
          </w:tcPr>
          <w:p w14:paraId="3ABFFEA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34" w:type="dxa"/>
            <w:vAlign w:val="center"/>
          </w:tcPr>
          <w:p w14:paraId="49031FE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01" w:type="dxa"/>
            <w:vAlign w:val="center"/>
          </w:tcPr>
          <w:p w14:paraId="00F965C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4" w:type="dxa"/>
            <w:vAlign w:val="center"/>
          </w:tcPr>
          <w:p w14:paraId="40176F5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55" w:type="dxa"/>
            <w:vAlign w:val="center"/>
          </w:tcPr>
          <w:p w14:paraId="3FBB04C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173" w:type="dxa"/>
            <w:vAlign w:val="center"/>
          </w:tcPr>
          <w:p w14:paraId="776CB8D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63" w:type="dxa"/>
            <w:vMerge w:val="continue"/>
            <w:vAlign w:val="center"/>
          </w:tcPr>
          <w:p w14:paraId="1992222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1BE9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6" w:type="dxa"/>
            <w:vAlign w:val="center"/>
          </w:tcPr>
          <w:p w14:paraId="263573B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8" w:type="dxa"/>
            <w:vAlign w:val="center"/>
          </w:tcPr>
          <w:p w14:paraId="3687569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96" w:type="dxa"/>
            <w:vAlign w:val="center"/>
          </w:tcPr>
          <w:p w14:paraId="431257D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34" w:type="dxa"/>
            <w:vAlign w:val="center"/>
          </w:tcPr>
          <w:p w14:paraId="14DD2CB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01" w:type="dxa"/>
            <w:vAlign w:val="center"/>
          </w:tcPr>
          <w:p w14:paraId="53617D6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4" w:type="dxa"/>
            <w:vAlign w:val="center"/>
          </w:tcPr>
          <w:p w14:paraId="255AA2C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55" w:type="dxa"/>
            <w:vAlign w:val="center"/>
          </w:tcPr>
          <w:p w14:paraId="1B94FB9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173" w:type="dxa"/>
            <w:vAlign w:val="center"/>
          </w:tcPr>
          <w:p w14:paraId="68C7065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63" w:type="dxa"/>
            <w:vMerge w:val="continue"/>
            <w:vAlign w:val="center"/>
          </w:tcPr>
          <w:p w14:paraId="0BDF115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C92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6" w:type="dxa"/>
            <w:vAlign w:val="center"/>
          </w:tcPr>
          <w:p w14:paraId="70FC2D0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8" w:type="dxa"/>
            <w:vAlign w:val="center"/>
          </w:tcPr>
          <w:p w14:paraId="2E227EC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96" w:type="dxa"/>
            <w:vAlign w:val="center"/>
          </w:tcPr>
          <w:p w14:paraId="5E2E73A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34" w:type="dxa"/>
            <w:vAlign w:val="center"/>
          </w:tcPr>
          <w:p w14:paraId="3800231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01" w:type="dxa"/>
            <w:vAlign w:val="center"/>
          </w:tcPr>
          <w:p w14:paraId="0B9B469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4" w:type="dxa"/>
            <w:vAlign w:val="center"/>
          </w:tcPr>
          <w:p w14:paraId="11EEB23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55" w:type="dxa"/>
            <w:vAlign w:val="center"/>
          </w:tcPr>
          <w:p w14:paraId="47B1C2B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173" w:type="dxa"/>
            <w:vAlign w:val="center"/>
          </w:tcPr>
          <w:p w14:paraId="206DB8C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63" w:type="dxa"/>
            <w:vMerge w:val="continue"/>
            <w:vAlign w:val="center"/>
          </w:tcPr>
          <w:p w14:paraId="759E6D0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727E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6" w:type="dxa"/>
            <w:vAlign w:val="center"/>
          </w:tcPr>
          <w:p w14:paraId="1072E4C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8" w:type="dxa"/>
            <w:vAlign w:val="center"/>
          </w:tcPr>
          <w:p w14:paraId="0B0F68C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96" w:type="dxa"/>
            <w:vAlign w:val="center"/>
          </w:tcPr>
          <w:p w14:paraId="78A63BC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34" w:type="dxa"/>
            <w:vAlign w:val="center"/>
          </w:tcPr>
          <w:p w14:paraId="778DA88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01" w:type="dxa"/>
            <w:vAlign w:val="center"/>
          </w:tcPr>
          <w:p w14:paraId="7C1EC45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4" w:type="dxa"/>
            <w:vAlign w:val="center"/>
          </w:tcPr>
          <w:p w14:paraId="001460A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55" w:type="dxa"/>
            <w:vAlign w:val="center"/>
          </w:tcPr>
          <w:p w14:paraId="403A2C6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173" w:type="dxa"/>
            <w:vAlign w:val="center"/>
          </w:tcPr>
          <w:p w14:paraId="486FE27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63" w:type="dxa"/>
            <w:vMerge w:val="continue"/>
            <w:vAlign w:val="center"/>
          </w:tcPr>
          <w:p w14:paraId="17B5788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388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04" w:type="dxa"/>
            <w:gridSpan w:val="2"/>
            <w:vAlign w:val="center"/>
          </w:tcPr>
          <w:p w14:paraId="3D21240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896" w:type="dxa"/>
            <w:vAlign w:val="center"/>
          </w:tcPr>
          <w:p w14:paraId="44F7881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34" w:type="dxa"/>
            <w:vAlign w:val="center"/>
          </w:tcPr>
          <w:p w14:paraId="376F7B9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801" w:type="dxa"/>
            <w:vAlign w:val="center"/>
          </w:tcPr>
          <w:p w14:paraId="412473F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4" w:type="dxa"/>
            <w:vAlign w:val="center"/>
          </w:tcPr>
          <w:p w14:paraId="241DC28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55" w:type="dxa"/>
            <w:vAlign w:val="center"/>
          </w:tcPr>
          <w:p w14:paraId="1D90825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173" w:type="dxa"/>
            <w:vAlign w:val="center"/>
          </w:tcPr>
          <w:p w14:paraId="019EF4D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963" w:type="dxa"/>
            <w:vAlign w:val="center"/>
          </w:tcPr>
          <w:p w14:paraId="606F215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14:paraId="67DC869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注：本表具体内容参照本招标文件“材料要求、规格及需求表”所列全部内容，此表可由投标投标人根据内容自行延长。</w:t>
      </w:r>
    </w:p>
    <w:p w14:paraId="3B0A60AD">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2A1068F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0423FA2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6F47497C">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7F81669C">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63CAFA77">
      <w:pPr>
        <w:pStyle w:val="6"/>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515F14D4">
      <w:pPr>
        <w:pStyle w:val="7"/>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05248F7C">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7089D6E5">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6D10623A">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61A5BC4C">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205CFFCD">
      <w:pPr>
        <w:pStyle w:val="23"/>
        <w:rPr>
          <w:rFonts w:hint="eastAsia" w:ascii="宋体" w:hAnsi="宋体" w:eastAsia="宋体" w:cs="宋体"/>
          <w:b/>
          <w:color w:val="000000"/>
          <w:sz w:val="24"/>
          <w:szCs w:val="24"/>
          <w:highlight w:val="none"/>
        </w:rPr>
      </w:pPr>
    </w:p>
    <w:p w14:paraId="21475945">
      <w:pPr>
        <w:pStyle w:val="23"/>
        <w:rPr>
          <w:rFonts w:hint="eastAsia" w:ascii="宋体" w:hAnsi="宋体" w:eastAsia="宋体" w:cs="宋体"/>
          <w:b/>
          <w:color w:val="000000"/>
          <w:sz w:val="24"/>
          <w:szCs w:val="24"/>
          <w:highlight w:val="none"/>
        </w:rPr>
      </w:pPr>
    </w:p>
    <w:p w14:paraId="578141F7">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6263D8F0">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20" w:name="_Toc13823"/>
      <w:bookmarkStart w:id="21" w:name="_Toc14281"/>
      <w:bookmarkStart w:id="22" w:name="_Toc14389"/>
      <w:bookmarkStart w:id="23" w:name="_Toc31526"/>
      <w:r>
        <w:rPr>
          <w:rFonts w:hint="eastAsia" w:ascii="宋体" w:hAnsi="宋体" w:eastAsia="宋体" w:cs="宋体"/>
          <w:b/>
          <w:bCs/>
          <w:color w:val="000000"/>
          <w:sz w:val="24"/>
          <w:szCs w:val="24"/>
          <w:highlight w:val="none"/>
        </w:rPr>
        <w:t>第二部分  商务部分</w:t>
      </w:r>
      <w:bookmarkEnd w:id="20"/>
      <w:bookmarkEnd w:id="21"/>
      <w:bookmarkEnd w:id="22"/>
      <w:bookmarkEnd w:id="23"/>
    </w:p>
    <w:p w14:paraId="0CEE27C4">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71AB6C01">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5AFA9C04">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1、投标方的资格声明</w:t>
      </w:r>
    </w:p>
    <w:p w14:paraId="3E515894">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7D7D1EDC">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sz w:val="24"/>
          <w:szCs w:val="24"/>
          <w:highlight w:val="none"/>
        </w:rPr>
      </w:pPr>
    </w:p>
    <w:p w14:paraId="750E51D8">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关于贵方年月日发出的</w:t>
      </w:r>
      <w:r>
        <w:rPr>
          <w:rFonts w:hint="eastAsia" w:ascii="宋体" w:hAnsi="宋体" w:eastAsia="宋体" w:cs="宋体"/>
          <w:color w:val="000000"/>
          <w:sz w:val="24"/>
          <w:szCs w:val="24"/>
          <w:highlight w:val="none"/>
          <w:u w:val="single"/>
        </w:rPr>
        <w:t xml:space="preserve">     （项目名称）  （项目编号：  ）</w:t>
      </w:r>
      <w:r>
        <w:rPr>
          <w:rFonts w:hint="eastAsia" w:ascii="宋体" w:hAnsi="宋体" w:eastAsia="宋体" w:cs="宋体"/>
          <w:color w:val="000000"/>
          <w:sz w:val="24"/>
          <w:szCs w:val="24"/>
          <w:highlight w:val="none"/>
        </w:rPr>
        <w:t>项目招标文件，本投标方愿意参加投标，并证明资格文件中和所要求的说明是真实和准确无误的。</w:t>
      </w:r>
    </w:p>
    <w:p w14:paraId="71D6ABFE">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本投标方对可能要求的进一步的资格资料表示理解和同意，并同意按贵方的要求提供任何有关资料。</w:t>
      </w:r>
    </w:p>
    <w:p w14:paraId="4BB95FB4">
      <w:pPr>
        <w:keepNext w:val="0"/>
        <w:keepLines w:val="0"/>
        <w:pageBreakBefore w:val="0"/>
        <w:kinsoku/>
        <w:wordWrap/>
        <w:overflowPunct/>
        <w:topLinePunct w:val="0"/>
        <w:autoSpaceDE/>
        <w:autoSpaceDN/>
        <w:bidi w:val="0"/>
        <w:adjustRightInd/>
        <w:snapToGrid/>
        <w:spacing w:beforeAutospacing="0" w:afterAutospacing="0" w:line="400" w:lineRule="exact"/>
        <w:ind w:firstLine="576"/>
        <w:textAlignment w:val="auto"/>
        <w:rPr>
          <w:rFonts w:hint="eastAsia" w:ascii="宋体" w:hAnsi="宋体" w:eastAsia="宋体" w:cs="宋体"/>
          <w:color w:val="000000"/>
          <w:sz w:val="24"/>
          <w:szCs w:val="24"/>
          <w:highlight w:val="none"/>
        </w:rPr>
      </w:pPr>
    </w:p>
    <w:p w14:paraId="511531BF">
      <w:pPr>
        <w:keepNext w:val="0"/>
        <w:keepLines w:val="0"/>
        <w:pageBreakBefore w:val="0"/>
        <w:kinsoku/>
        <w:wordWrap/>
        <w:overflowPunct/>
        <w:topLinePunct w:val="0"/>
        <w:autoSpaceDE/>
        <w:autoSpaceDN/>
        <w:bidi w:val="0"/>
        <w:adjustRightInd/>
        <w:snapToGrid/>
        <w:spacing w:beforeAutospacing="0" w:afterAutospacing="0" w:line="400" w:lineRule="exact"/>
        <w:ind w:firstLine="576"/>
        <w:textAlignment w:val="auto"/>
        <w:rPr>
          <w:rFonts w:hint="eastAsia" w:ascii="宋体" w:hAnsi="宋体" w:eastAsia="宋体" w:cs="宋体"/>
          <w:color w:val="000000"/>
          <w:sz w:val="24"/>
          <w:szCs w:val="24"/>
          <w:highlight w:val="none"/>
        </w:rPr>
      </w:pPr>
    </w:p>
    <w:p w14:paraId="1D91B9DD">
      <w:pPr>
        <w:keepNext w:val="0"/>
        <w:keepLines w:val="0"/>
        <w:pageBreakBefore w:val="0"/>
        <w:kinsoku/>
        <w:wordWrap/>
        <w:overflowPunct/>
        <w:topLinePunct w:val="0"/>
        <w:autoSpaceDE/>
        <w:autoSpaceDN/>
        <w:bidi w:val="0"/>
        <w:adjustRightInd/>
        <w:snapToGrid/>
        <w:spacing w:beforeAutospacing="0" w:afterAutospacing="0" w:line="400" w:lineRule="exact"/>
        <w:ind w:firstLine="576"/>
        <w:textAlignment w:val="auto"/>
        <w:rPr>
          <w:rFonts w:hint="eastAsia" w:ascii="宋体" w:hAnsi="宋体" w:eastAsia="宋体" w:cs="宋体"/>
          <w:color w:val="000000"/>
          <w:sz w:val="24"/>
          <w:szCs w:val="24"/>
          <w:highlight w:val="none"/>
        </w:rPr>
      </w:pPr>
    </w:p>
    <w:p w14:paraId="71F2EC84">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投标单位名称： （单位公章）</w:t>
      </w:r>
    </w:p>
    <w:p w14:paraId="0F34C748">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22190101">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14:paraId="333C19D3">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p>
    <w:p w14:paraId="4F302B75">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p w14:paraId="1BCED4A0">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44A5A2BB">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0CF6FD60">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6A97D710">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417C4127">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5B3470B7">
      <w:pPr>
        <w:pStyle w:val="6"/>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58C7B427">
      <w:pPr>
        <w:pStyle w:val="7"/>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3A2F5E35">
      <w:pPr>
        <w:rPr>
          <w:rFonts w:hint="eastAsia" w:ascii="宋体" w:hAnsi="宋体" w:eastAsia="宋体" w:cs="宋体"/>
          <w:sz w:val="24"/>
          <w:szCs w:val="24"/>
        </w:rPr>
      </w:pPr>
    </w:p>
    <w:p w14:paraId="75F494D7">
      <w:pPr>
        <w:pStyle w:val="23"/>
        <w:rPr>
          <w:rFonts w:hint="eastAsia" w:ascii="宋体" w:hAnsi="宋体" w:eastAsia="宋体" w:cs="宋体"/>
          <w:sz w:val="24"/>
          <w:szCs w:val="24"/>
        </w:rPr>
      </w:pPr>
    </w:p>
    <w:p w14:paraId="05D67346">
      <w:pPr>
        <w:pStyle w:val="23"/>
        <w:rPr>
          <w:rFonts w:hint="eastAsia" w:ascii="宋体" w:hAnsi="宋体" w:eastAsia="宋体" w:cs="宋体"/>
          <w:sz w:val="24"/>
          <w:szCs w:val="24"/>
        </w:rPr>
      </w:pPr>
    </w:p>
    <w:p w14:paraId="42BF03F3">
      <w:pPr>
        <w:pStyle w:val="23"/>
        <w:rPr>
          <w:rFonts w:hint="eastAsia" w:ascii="宋体" w:hAnsi="宋体" w:eastAsia="宋体" w:cs="宋体"/>
          <w:sz w:val="24"/>
          <w:szCs w:val="24"/>
        </w:rPr>
      </w:pPr>
    </w:p>
    <w:p w14:paraId="75EC1CC6">
      <w:pPr>
        <w:pStyle w:val="23"/>
        <w:rPr>
          <w:rFonts w:hint="eastAsia" w:ascii="宋体" w:hAnsi="宋体" w:eastAsia="宋体" w:cs="宋体"/>
          <w:sz w:val="24"/>
          <w:szCs w:val="24"/>
        </w:rPr>
      </w:pPr>
    </w:p>
    <w:p w14:paraId="09730513">
      <w:pPr>
        <w:pStyle w:val="23"/>
        <w:rPr>
          <w:rFonts w:hint="eastAsia" w:ascii="宋体" w:hAnsi="宋体" w:eastAsia="宋体" w:cs="宋体"/>
          <w:sz w:val="24"/>
          <w:szCs w:val="24"/>
        </w:rPr>
      </w:pPr>
    </w:p>
    <w:p w14:paraId="62915092">
      <w:pPr>
        <w:pStyle w:val="23"/>
        <w:rPr>
          <w:rFonts w:hint="eastAsia" w:ascii="宋体" w:hAnsi="宋体" w:eastAsia="宋体" w:cs="宋体"/>
          <w:sz w:val="24"/>
          <w:szCs w:val="24"/>
        </w:rPr>
      </w:pPr>
    </w:p>
    <w:p w14:paraId="1E645DE4">
      <w:pPr>
        <w:pStyle w:val="23"/>
        <w:rPr>
          <w:rFonts w:hint="eastAsia" w:ascii="宋体" w:hAnsi="宋体" w:eastAsia="宋体" w:cs="宋体"/>
          <w:sz w:val="24"/>
          <w:szCs w:val="24"/>
        </w:rPr>
      </w:pPr>
    </w:p>
    <w:p w14:paraId="20A70AFC">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08138BE7">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14:paraId="4C391C4F">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2、投标单位简介</w:t>
      </w:r>
    </w:p>
    <w:tbl>
      <w:tblPr>
        <w:tblStyle w:val="24"/>
        <w:tblpPr w:leftFromText="180" w:rightFromText="180" w:vertAnchor="text" w:horzAnchor="page" w:tblpX="1135" w:tblpY="566"/>
        <w:tblOverlap w:val="never"/>
        <w:tblW w:w="9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743"/>
        <w:gridCol w:w="718"/>
        <w:gridCol w:w="1408"/>
        <w:gridCol w:w="3084"/>
      </w:tblGrid>
      <w:tr w14:paraId="2156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14:paraId="70AF60A8">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投标人全称</w:t>
            </w:r>
          </w:p>
        </w:tc>
        <w:tc>
          <w:tcPr>
            <w:tcW w:w="2743" w:type="dxa"/>
            <w:vAlign w:val="center"/>
          </w:tcPr>
          <w:p w14:paraId="1E45C602">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Align w:val="center"/>
          </w:tcPr>
          <w:p w14:paraId="1371527C">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企业性质</w:t>
            </w:r>
          </w:p>
        </w:tc>
        <w:tc>
          <w:tcPr>
            <w:tcW w:w="3084" w:type="dxa"/>
            <w:vAlign w:val="center"/>
          </w:tcPr>
          <w:p w14:paraId="1BC1E89D">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17B0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14:paraId="41C0A923">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地址</w:t>
            </w:r>
          </w:p>
        </w:tc>
        <w:tc>
          <w:tcPr>
            <w:tcW w:w="2743" w:type="dxa"/>
            <w:vAlign w:val="center"/>
          </w:tcPr>
          <w:p w14:paraId="183F3EED">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Align w:val="center"/>
          </w:tcPr>
          <w:p w14:paraId="1BEEF58B">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电话/传真</w:t>
            </w:r>
          </w:p>
        </w:tc>
        <w:tc>
          <w:tcPr>
            <w:tcW w:w="3084" w:type="dxa"/>
            <w:vAlign w:val="center"/>
          </w:tcPr>
          <w:p w14:paraId="5DE2835F">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6C89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14:paraId="45F1C297">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成立年月</w:t>
            </w:r>
          </w:p>
        </w:tc>
        <w:tc>
          <w:tcPr>
            <w:tcW w:w="2743" w:type="dxa"/>
            <w:vAlign w:val="center"/>
          </w:tcPr>
          <w:p w14:paraId="36B74AD3">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Merge w:val="restart"/>
            <w:vAlign w:val="center"/>
          </w:tcPr>
          <w:p w14:paraId="71DDAAD0">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经营范围</w:t>
            </w:r>
          </w:p>
        </w:tc>
        <w:tc>
          <w:tcPr>
            <w:tcW w:w="3084" w:type="dxa"/>
            <w:vMerge w:val="restart"/>
            <w:vAlign w:val="center"/>
          </w:tcPr>
          <w:p w14:paraId="709DE95D">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2C31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14:paraId="5325C239">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营业执照号码</w:t>
            </w:r>
          </w:p>
        </w:tc>
        <w:tc>
          <w:tcPr>
            <w:tcW w:w="2743" w:type="dxa"/>
            <w:vAlign w:val="center"/>
          </w:tcPr>
          <w:p w14:paraId="0FCAAE78">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Merge w:val="continue"/>
            <w:vAlign w:val="center"/>
          </w:tcPr>
          <w:p w14:paraId="443D6C3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3084" w:type="dxa"/>
            <w:vMerge w:val="continue"/>
            <w:vAlign w:val="center"/>
          </w:tcPr>
          <w:p w14:paraId="4870ECF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189C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14:paraId="767437FF">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注册资金</w:t>
            </w:r>
          </w:p>
        </w:tc>
        <w:tc>
          <w:tcPr>
            <w:tcW w:w="2743" w:type="dxa"/>
            <w:vAlign w:val="center"/>
          </w:tcPr>
          <w:p w14:paraId="6B029EAB">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Align w:val="center"/>
          </w:tcPr>
          <w:p w14:paraId="1BFA96C6">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职工人数</w:t>
            </w:r>
          </w:p>
        </w:tc>
        <w:tc>
          <w:tcPr>
            <w:tcW w:w="3084" w:type="dxa"/>
            <w:vAlign w:val="center"/>
          </w:tcPr>
          <w:p w14:paraId="5EA231EE">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2C5A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Merge w:val="restart"/>
            <w:vAlign w:val="center"/>
          </w:tcPr>
          <w:p w14:paraId="66E4161A">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公司所获证书</w:t>
            </w:r>
          </w:p>
        </w:tc>
        <w:tc>
          <w:tcPr>
            <w:tcW w:w="2743" w:type="dxa"/>
            <w:vAlign w:val="center"/>
          </w:tcPr>
          <w:p w14:paraId="0CD9EA06">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718" w:type="dxa"/>
            <w:vMerge w:val="restart"/>
            <w:vAlign w:val="center"/>
          </w:tcPr>
          <w:p w14:paraId="455394F8">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其</w:t>
            </w:r>
          </w:p>
          <w:p w14:paraId="7E3ACEA1">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w:t>
            </w:r>
          </w:p>
        </w:tc>
        <w:tc>
          <w:tcPr>
            <w:tcW w:w="1408" w:type="dxa"/>
            <w:vAlign w:val="center"/>
          </w:tcPr>
          <w:p w14:paraId="751CC98F">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管理人员</w:t>
            </w:r>
          </w:p>
        </w:tc>
        <w:tc>
          <w:tcPr>
            <w:tcW w:w="3084" w:type="dxa"/>
            <w:vAlign w:val="center"/>
          </w:tcPr>
          <w:p w14:paraId="18B05E1B">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1CE5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Merge w:val="continue"/>
            <w:vAlign w:val="center"/>
          </w:tcPr>
          <w:p w14:paraId="0BD7CBB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743" w:type="dxa"/>
            <w:vAlign w:val="center"/>
          </w:tcPr>
          <w:p w14:paraId="303EA75F">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718" w:type="dxa"/>
            <w:vMerge w:val="continue"/>
            <w:vAlign w:val="center"/>
          </w:tcPr>
          <w:p w14:paraId="70046E3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408" w:type="dxa"/>
            <w:vAlign w:val="center"/>
          </w:tcPr>
          <w:p w14:paraId="5A43C707">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技术人员</w:t>
            </w:r>
          </w:p>
        </w:tc>
        <w:tc>
          <w:tcPr>
            <w:tcW w:w="3084" w:type="dxa"/>
            <w:vAlign w:val="center"/>
          </w:tcPr>
          <w:p w14:paraId="72BCD8D0">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3F80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Merge w:val="continue"/>
            <w:vAlign w:val="center"/>
          </w:tcPr>
          <w:p w14:paraId="4C73C5D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743" w:type="dxa"/>
            <w:vAlign w:val="center"/>
          </w:tcPr>
          <w:p w14:paraId="38B9CBAD">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718" w:type="dxa"/>
            <w:vMerge w:val="continue"/>
            <w:vAlign w:val="center"/>
          </w:tcPr>
          <w:p w14:paraId="7DA4CB4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408" w:type="dxa"/>
            <w:vAlign w:val="center"/>
          </w:tcPr>
          <w:p w14:paraId="218860D5">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工人</w:t>
            </w:r>
          </w:p>
        </w:tc>
        <w:tc>
          <w:tcPr>
            <w:tcW w:w="3084" w:type="dxa"/>
            <w:vAlign w:val="center"/>
          </w:tcPr>
          <w:p w14:paraId="7584CCBB">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14:paraId="5903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restart"/>
            <w:vAlign w:val="center"/>
          </w:tcPr>
          <w:p w14:paraId="6727758A">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固定资产</w:t>
            </w:r>
          </w:p>
        </w:tc>
        <w:tc>
          <w:tcPr>
            <w:tcW w:w="2743" w:type="dxa"/>
            <w:vAlign w:val="center"/>
          </w:tcPr>
          <w:p w14:paraId="126DB3BC">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原值          万元</w:t>
            </w:r>
          </w:p>
        </w:tc>
        <w:tc>
          <w:tcPr>
            <w:tcW w:w="2126" w:type="dxa"/>
            <w:gridSpan w:val="2"/>
            <w:vMerge w:val="restart"/>
            <w:vAlign w:val="center"/>
          </w:tcPr>
          <w:p w14:paraId="33F56BB8">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流动资金</w:t>
            </w:r>
          </w:p>
        </w:tc>
        <w:tc>
          <w:tcPr>
            <w:tcW w:w="3084" w:type="dxa"/>
            <w:vMerge w:val="restart"/>
            <w:vAlign w:val="center"/>
          </w:tcPr>
          <w:p w14:paraId="09DCAE37">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万元</w:t>
            </w:r>
          </w:p>
        </w:tc>
      </w:tr>
      <w:tr w14:paraId="5345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continue"/>
            <w:vAlign w:val="center"/>
          </w:tcPr>
          <w:p w14:paraId="603EFBC6">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743" w:type="dxa"/>
            <w:vAlign w:val="center"/>
          </w:tcPr>
          <w:p w14:paraId="724FB626">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净值          万元</w:t>
            </w:r>
          </w:p>
        </w:tc>
        <w:tc>
          <w:tcPr>
            <w:tcW w:w="2126" w:type="dxa"/>
            <w:gridSpan w:val="2"/>
            <w:vMerge w:val="continue"/>
            <w:vAlign w:val="center"/>
          </w:tcPr>
          <w:p w14:paraId="5434FB7A">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3084" w:type="dxa"/>
            <w:vMerge w:val="continue"/>
            <w:vAlign w:val="center"/>
          </w:tcPr>
          <w:p w14:paraId="48ED72C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21CC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restart"/>
            <w:tcBorders>
              <w:bottom w:val="single" w:color="auto" w:sz="4" w:space="0"/>
            </w:tcBorders>
            <w:vAlign w:val="center"/>
          </w:tcPr>
          <w:p w14:paraId="13A11C55">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上年度主要经济指标</w:t>
            </w:r>
          </w:p>
        </w:tc>
        <w:tc>
          <w:tcPr>
            <w:tcW w:w="7953" w:type="dxa"/>
            <w:gridSpan w:val="4"/>
            <w:tcBorders>
              <w:bottom w:val="single" w:color="auto" w:sz="4" w:space="0"/>
            </w:tcBorders>
            <w:vAlign w:val="center"/>
          </w:tcPr>
          <w:p w14:paraId="4B11808D">
            <w:pPr>
              <w:pStyle w:val="15"/>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服务总产值                    万元</w:t>
            </w:r>
          </w:p>
        </w:tc>
      </w:tr>
      <w:tr w14:paraId="0371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continue"/>
            <w:vAlign w:val="center"/>
          </w:tcPr>
          <w:p w14:paraId="6149F86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7953" w:type="dxa"/>
            <w:gridSpan w:val="4"/>
            <w:vAlign w:val="center"/>
          </w:tcPr>
          <w:p w14:paraId="58AD6853">
            <w:pPr>
              <w:pStyle w:val="15"/>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实现利润                  万元</w:t>
            </w:r>
          </w:p>
        </w:tc>
      </w:tr>
      <w:tr w14:paraId="702C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2035" w:type="dxa"/>
            <w:vAlign w:val="center"/>
          </w:tcPr>
          <w:p w14:paraId="2ED09D31">
            <w:pPr>
              <w:pStyle w:val="15"/>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企业简介</w:t>
            </w:r>
          </w:p>
        </w:tc>
        <w:tc>
          <w:tcPr>
            <w:tcW w:w="7953" w:type="dxa"/>
            <w:gridSpan w:val="4"/>
            <w:vAlign w:val="center"/>
          </w:tcPr>
          <w:p w14:paraId="39946CB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请在简介中说明但不限于以下内容：</w:t>
            </w:r>
          </w:p>
          <w:p w14:paraId="1854B54E">
            <w:pPr>
              <w:pageBreakBefore w:val="0"/>
              <w:numPr>
                <w:ilvl w:val="0"/>
                <w:numId w:val="7"/>
              </w:numPr>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是否具有健全稳定的组织结构；</w:t>
            </w:r>
          </w:p>
          <w:p w14:paraId="353C5C39">
            <w:pPr>
              <w:pageBreakBefore w:val="0"/>
              <w:numPr>
                <w:ilvl w:val="0"/>
                <w:numId w:val="7"/>
              </w:numPr>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是否已经具备履行合同所需的人力、财力、物力和服务等相关能力；</w:t>
            </w:r>
          </w:p>
          <w:p w14:paraId="30C8B6DC">
            <w:pPr>
              <w:pageBreakBefore w:val="0"/>
              <w:numPr>
                <w:ilvl w:val="0"/>
                <w:numId w:val="7"/>
              </w:numPr>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是否有较完善的质量保证体系和售后服务体系。</w:t>
            </w:r>
          </w:p>
        </w:tc>
      </w:tr>
    </w:tbl>
    <w:p w14:paraId="1DDB2916">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45801D29">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加盖单位公章：                           授权代表人签字：</w:t>
      </w:r>
    </w:p>
    <w:p w14:paraId="1BF53094">
      <w:pPr>
        <w:pageBreakBefore w:val="0"/>
        <w:kinsoku/>
        <w:wordWrap/>
        <w:overflowPunct/>
        <w:topLinePunct w:val="0"/>
        <w:bidi w:val="0"/>
        <w:spacing w:beforeAutospacing="0" w:afterAutospacing="0" w:line="400" w:lineRule="exact"/>
        <w:ind w:firstLine="120" w:firstLineChars="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114B5239">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后附：投标单位相关证件</w:t>
      </w:r>
    </w:p>
    <w:p w14:paraId="051A706D">
      <w:pPr>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color w:val="000000"/>
          <w:sz w:val="24"/>
          <w:szCs w:val="24"/>
          <w:highlight w:val="none"/>
        </w:rPr>
      </w:pPr>
    </w:p>
    <w:p w14:paraId="6C64FAD1">
      <w:pPr>
        <w:pStyle w:val="6"/>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5CAB7E1F">
      <w:pPr>
        <w:pStyle w:val="7"/>
        <w:pageBreakBefore w:val="0"/>
        <w:kinsoku/>
        <w:wordWrap/>
        <w:overflowPunct/>
        <w:topLinePunct w:val="0"/>
        <w:bidi w:val="0"/>
        <w:spacing w:before="0" w:beforeAutospacing="0" w:afterAutospacing="0" w:line="400" w:lineRule="exact"/>
        <w:rPr>
          <w:rFonts w:hint="eastAsia" w:ascii="宋体" w:hAnsi="宋体" w:eastAsia="宋体" w:cs="宋体"/>
          <w:b/>
          <w:color w:val="000000"/>
          <w:sz w:val="24"/>
          <w:szCs w:val="24"/>
          <w:highlight w:val="none"/>
        </w:rPr>
      </w:pPr>
    </w:p>
    <w:p w14:paraId="127416C4">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239993F5">
      <w:pPr>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color w:val="000000"/>
          <w:sz w:val="24"/>
          <w:szCs w:val="24"/>
          <w:highlight w:val="none"/>
        </w:rPr>
      </w:pPr>
    </w:p>
    <w:p w14:paraId="6E3EB024">
      <w:pPr>
        <w:pStyle w:val="13"/>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3、出具法人营业执照函</w:t>
      </w:r>
    </w:p>
    <w:p w14:paraId="0976D3D7">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73C5DE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7F34CE11">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5FF917D">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现附上由（签发机关名称）签发的我方法人营业执照复印件，该执照已经年检，真实有效。</w:t>
      </w:r>
    </w:p>
    <w:p w14:paraId="4B197B7A">
      <w:pPr>
        <w:pageBreakBefore w:val="0"/>
        <w:kinsoku/>
        <w:wordWrap/>
        <w:overflowPunct/>
        <w:topLinePunct w:val="0"/>
        <w:bidi w:val="0"/>
        <w:spacing w:beforeAutospacing="0" w:afterAutospacing="0" w:line="400" w:lineRule="exact"/>
        <w:ind w:firstLine="852"/>
        <w:rPr>
          <w:rFonts w:hint="eastAsia" w:ascii="宋体" w:hAnsi="宋体" w:eastAsia="宋体" w:cs="宋体"/>
          <w:color w:val="000000"/>
          <w:sz w:val="24"/>
          <w:szCs w:val="24"/>
          <w:highlight w:val="none"/>
        </w:rPr>
      </w:pPr>
    </w:p>
    <w:p w14:paraId="6F8A3E7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1ACBF7B6">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投标单位名称： （单位公章）</w:t>
      </w:r>
    </w:p>
    <w:p w14:paraId="1F32210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3F4977FE">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C572958">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338EB73D">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22193FE">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7639F8C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51D5E887">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后附：投标单位营业执照</w:t>
      </w:r>
    </w:p>
    <w:p w14:paraId="498CAC02">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25323A78">
      <w:pPr>
        <w:pStyle w:val="13"/>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4、法定代表人身份证明（法定代表人投标提供）</w:t>
      </w:r>
    </w:p>
    <w:p w14:paraId="35F096BF">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bookmarkStart w:id="24" w:name="_Toc251236133"/>
      <w:r>
        <w:rPr>
          <w:rFonts w:hint="eastAsia" w:ascii="宋体" w:hAnsi="宋体" w:eastAsia="宋体" w:cs="宋体"/>
          <w:color w:val="000000"/>
          <w:sz w:val="24"/>
          <w:szCs w:val="24"/>
          <w:highlight w:val="none"/>
        </w:rPr>
        <w:t>法定代表人证明书</w:t>
      </w:r>
      <w:bookmarkEnd w:id="24"/>
    </w:p>
    <w:p w14:paraId="5B3E678F">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79CF9641">
      <w:pPr>
        <w:pageBreakBefore w:val="0"/>
        <w:tabs>
          <w:tab w:val="left" w:pos="900"/>
        </w:tabs>
        <w:kinsoku/>
        <w:wordWrap/>
        <w:overflowPunct/>
        <w:topLinePunct w:val="0"/>
        <w:bidi w:val="0"/>
        <w:spacing w:beforeAutospacing="0" w:afterAutospacing="0" w:line="400" w:lineRule="exact"/>
        <w:ind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                  ）同志，现任我单位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职务，为法定代表人，特此证明。</w:t>
      </w:r>
    </w:p>
    <w:p w14:paraId="1409328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bl>
      <w:tblPr>
        <w:tblStyle w:val="24"/>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8"/>
        <w:gridCol w:w="3152"/>
      </w:tblGrid>
      <w:tr w14:paraId="7574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14:paraId="4163229E">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营业执照(注册号)： </w:t>
            </w:r>
          </w:p>
        </w:tc>
        <w:tc>
          <w:tcPr>
            <w:tcW w:w="3152" w:type="dxa"/>
          </w:tcPr>
          <w:p w14:paraId="3EA46F1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经济性质：</w:t>
            </w:r>
          </w:p>
        </w:tc>
      </w:tr>
      <w:tr w14:paraId="13BB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14:paraId="4D573DF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r>
      <w:tr w14:paraId="6727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14:paraId="77EE087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法定代表人身份证号：</w:t>
            </w:r>
          </w:p>
        </w:tc>
      </w:tr>
      <w:tr w14:paraId="26A4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14:paraId="71C1F54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法定代表人年龄：</w:t>
            </w:r>
          </w:p>
        </w:tc>
        <w:tc>
          <w:tcPr>
            <w:tcW w:w="3152" w:type="dxa"/>
          </w:tcPr>
          <w:p w14:paraId="4830560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法定代表人性别：</w:t>
            </w:r>
          </w:p>
        </w:tc>
      </w:tr>
    </w:tbl>
    <w:p w14:paraId="4B9B32A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5D5CECA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14:paraId="551D3FA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有效日期：</w:t>
      </w:r>
    </w:p>
    <w:p w14:paraId="615DB78D">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年   月   日</w:t>
      </w:r>
    </w:p>
    <w:p w14:paraId="3CD0E5EC">
      <w:pPr>
        <w:pStyle w:val="33"/>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36822B8D">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bookmarkStart w:id="25" w:name="_Toc50737329"/>
      <w:bookmarkStart w:id="26" w:name="_Toc50737297"/>
      <w:bookmarkStart w:id="27" w:name="_Toc251236134"/>
      <w:bookmarkStart w:id="28" w:name="_Toc50736477"/>
      <w:bookmarkStart w:id="29" w:name="_Toc52165081"/>
    </w:p>
    <w:p w14:paraId="13F56C76">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0C58F1AA">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4F7DF76">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8D9ED4F">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5、</w:t>
      </w:r>
      <w:r>
        <w:rPr>
          <w:rFonts w:hint="eastAsia" w:ascii="宋体" w:hAnsi="宋体" w:eastAsia="宋体" w:cs="宋体"/>
          <w:b/>
          <w:bCs/>
          <w:color w:val="000000"/>
          <w:kern w:val="2"/>
          <w:sz w:val="24"/>
          <w:szCs w:val="24"/>
          <w:highlight w:val="none"/>
        </w:rPr>
        <w:t>法定代表人授权委托书</w:t>
      </w:r>
      <w:bookmarkEnd w:id="25"/>
      <w:bookmarkEnd w:id="26"/>
      <w:bookmarkEnd w:id="27"/>
      <w:bookmarkEnd w:id="28"/>
      <w:bookmarkEnd w:id="29"/>
    </w:p>
    <w:p w14:paraId="3961B914">
      <w:pPr>
        <w:pStyle w:val="3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p>
    <w:tbl>
      <w:tblPr>
        <w:tblStyle w:val="24"/>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781"/>
        <w:gridCol w:w="2385"/>
        <w:gridCol w:w="1215"/>
      </w:tblGrid>
      <w:tr w14:paraId="721B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6C0B1E16">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w:t>
            </w:r>
          </w:p>
        </w:tc>
        <w:tc>
          <w:tcPr>
            <w:tcW w:w="6381" w:type="dxa"/>
            <w:gridSpan w:val="3"/>
            <w:vAlign w:val="center"/>
          </w:tcPr>
          <w:p w14:paraId="4394270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02C7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62B27A43">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6381" w:type="dxa"/>
            <w:gridSpan w:val="3"/>
            <w:vAlign w:val="center"/>
          </w:tcPr>
          <w:p w14:paraId="60511B1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708D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1D66462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2781" w:type="dxa"/>
            <w:vAlign w:val="center"/>
          </w:tcPr>
          <w:p w14:paraId="220AE8BB">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089FE40A">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215" w:type="dxa"/>
            <w:vAlign w:val="center"/>
          </w:tcPr>
          <w:p w14:paraId="63F0B38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4182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0E016CB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法人营业执照注册号</w:t>
            </w:r>
          </w:p>
        </w:tc>
        <w:tc>
          <w:tcPr>
            <w:tcW w:w="2781" w:type="dxa"/>
            <w:vAlign w:val="center"/>
          </w:tcPr>
          <w:p w14:paraId="6FAFF6E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00592DAA">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注册于（国家或地区）</w:t>
            </w:r>
          </w:p>
        </w:tc>
        <w:tc>
          <w:tcPr>
            <w:tcW w:w="1215" w:type="dxa"/>
            <w:vAlign w:val="center"/>
          </w:tcPr>
          <w:p w14:paraId="5BA34A8E">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4CE0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7A94FF73">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w:t>
            </w:r>
          </w:p>
        </w:tc>
        <w:tc>
          <w:tcPr>
            <w:tcW w:w="2781" w:type="dxa"/>
            <w:vAlign w:val="center"/>
          </w:tcPr>
          <w:p w14:paraId="0C50B175">
            <w:pPr>
              <w:pageBreakBefore w:val="0"/>
              <w:kinsoku/>
              <w:wordWrap/>
              <w:overflowPunct/>
              <w:topLinePunct w:val="0"/>
              <w:bidi w:val="0"/>
              <w:spacing w:beforeAutospacing="0" w:afterAutospacing="0" w:line="400" w:lineRule="exact"/>
              <w:ind w:right="105"/>
              <w:rPr>
                <w:rFonts w:hint="eastAsia" w:ascii="宋体" w:hAnsi="宋体" w:eastAsia="宋体" w:cs="宋体"/>
                <w:sz w:val="24"/>
                <w:szCs w:val="24"/>
                <w:highlight w:val="none"/>
              </w:rPr>
            </w:pPr>
          </w:p>
        </w:tc>
        <w:tc>
          <w:tcPr>
            <w:tcW w:w="2385" w:type="dxa"/>
            <w:vAlign w:val="center"/>
          </w:tcPr>
          <w:p w14:paraId="34D5FD4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授权代表人性别</w:t>
            </w:r>
          </w:p>
        </w:tc>
        <w:tc>
          <w:tcPr>
            <w:tcW w:w="1215" w:type="dxa"/>
            <w:vAlign w:val="center"/>
          </w:tcPr>
          <w:p w14:paraId="04841FE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0700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596D754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授权代表人身份证号</w:t>
            </w:r>
          </w:p>
        </w:tc>
        <w:tc>
          <w:tcPr>
            <w:tcW w:w="2781" w:type="dxa"/>
            <w:vAlign w:val="center"/>
          </w:tcPr>
          <w:p w14:paraId="329AE8A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4B5F1B30">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授权代表人职务</w:t>
            </w:r>
          </w:p>
        </w:tc>
        <w:tc>
          <w:tcPr>
            <w:tcW w:w="1215" w:type="dxa"/>
            <w:vAlign w:val="center"/>
          </w:tcPr>
          <w:p w14:paraId="6E328E9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bl>
    <w:p w14:paraId="4660EF0D">
      <w:pPr>
        <w:pageBreakBefore w:val="0"/>
        <w:kinsoku/>
        <w:wordWrap/>
        <w:overflowPunct/>
        <w:topLinePunct w:val="0"/>
        <w:bidi w:val="0"/>
        <w:spacing w:beforeAutospacing="0" w:afterAutospacing="0" w:line="400" w:lineRule="exact"/>
        <w:ind w:left="2" w:firstLine="460" w:firstLineChars="192"/>
        <w:rPr>
          <w:rFonts w:hint="eastAsia" w:ascii="宋体" w:hAnsi="宋体" w:eastAsia="宋体" w:cs="宋体"/>
          <w:color w:val="000000"/>
          <w:sz w:val="24"/>
          <w:szCs w:val="24"/>
          <w:highlight w:val="none"/>
        </w:rPr>
      </w:pPr>
    </w:p>
    <w:p w14:paraId="0827760F">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兹委托（            ）全权代表我企业（公司）参与</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rPr>
        <w:t>）的投标活动及签订合同，作为投标人代表以本公司的名义处理一切与之有关的事宜。（            ）以我企业（公司）名义所为的行为及签署的文件，我企业（公司）均予以认可。有关法律责任均由我企业（公司）承担。特此声明。</w:t>
      </w:r>
    </w:p>
    <w:p w14:paraId="36D1FE98">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有效期：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4AC6EC2">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年   月   日</w:t>
      </w:r>
      <w:r>
        <w:rPr>
          <w:rFonts w:hint="eastAsia" w:ascii="宋体" w:hAnsi="宋体" w:eastAsia="宋体" w:cs="宋体"/>
          <w:sz w:val="24"/>
          <w:szCs w:val="24"/>
          <w:highlight w:val="none"/>
        </w:rPr>
        <w:t>。</w:t>
      </w:r>
    </w:p>
    <w:p w14:paraId="03CBF026">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4AB31E5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14:paraId="493D3FE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2439035</wp:posOffset>
                </wp:positionH>
                <wp:positionV relativeFrom="paragraph">
                  <wp:posOffset>70485</wp:posOffset>
                </wp:positionV>
                <wp:extent cx="3485515" cy="1979295"/>
                <wp:effectExtent l="4445" t="4445" r="15240" b="16510"/>
                <wp:wrapNone/>
                <wp:docPr id="2" name="矩形 2"/>
                <wp:cNvGraphicFramePr/>
                <a:graphic xmlns:a="http://schemas.openxmlformats.org/drawingml/2006/main">
                  <a:graphicData uri="http://schemas.microsoft.com/office/word/2010/wordprocessingShape">
                    <wps:wsp>
                      <wps:cNvSpPr/>
                      <wps:spPr>
                        <a:xfrm>
                          <a:off x="0" y="0"/>
                          <a:ext cx="3485515" cy="1979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664D88">
                            <w:pPr>
                              <w:rPr>
                                <w:rFonts w:eastAsia="黑体"/>
                                <w:b/>
                                <w:sz w:val="30"/>
                              </w:rPr>
                            </w:pPr>
                          </w:p>
                          <w:p w14:paraId="5B64BE77">
                            <w:pPr>
                              <w:rPr>
                                <w:rFonts w:eastAsia="黑体"/>
                                <w:b/>
                                <w:sz w:val="30"/>
                              </w:rPr>
                            </w:pPr>
                          </w:p>
                          <w:p w14:paraId="0E6BA3A0">
                            <w:pPr>
                              <w:jc w:val="center"/>
                              <w:rPr>
                                <w:rFonts w:ascii="宋体"/>
                                <w:b/>
                                <w:bCs/>
                                <w:szCs w:val="21"/>
                              </w:rPr>
                            </w:pPr>
                            <w:r>
                              <w:rPr>
                                <w:rFonts w:hint="eastAsia" w:ascii="宋体"/>
                                <w:b/>
                                <w:color w:val="000000"/>
                              </w:rPr>
                              <w:t>法</w:t>
                            </w:r>
                            <w:r>
                              <w:rPr>
                                <w:rFonts w:hint="eastAsia" w:ascii="宋体"/>
                                <w:b/>
                                <w:color w:val="000000"/>
                                <w:lang w:val="en-US" w:eastAsia="zh-CN"/>
                              </w:rPr>
                              <w:t>定代表</w:t>
                            </w:r>
                            <w:r>
                              <w:rPr>
                                <w:rFonts w:hint="eastAsia" w:ascii="宋体"/>
                                <w:b/>
                                <w:color w:val="000000"/>
                              </w:rPr>
                              <w:t>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wps:txbx>
                      <wps:bodyPr upright="1"/>
                    </wps:wsp>
                  </a:graphicData>
                </a:graphic>
              </wp:anchor>
            </w:drawing>
          </mc:Choice>
          <mc:Fallback>
            <w:pict>
              <v:rect id="_x0000_s1026" o:spid="_x0000_s1026" o:spt="1" style="position:absolute;left:0pt;margin-left:192.05pt;margin-top:5.55pt;height:155.85pt;width:274.45pt;z-index:251660288;mso-width-relative:page;mso-height-relative:page;" fillcolor="#FFFFFF" filled="t" stroked="t" coordsize="21600,21600" o:gfxdata="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Epl51wAAAAoBAAAPAAAAAAAAAAEAIAAAACIAAABkcnMvZG93&#10;bnJldi54bWxQSwECFAAUAAAACACHTuJAElnFIQECAAAqBAAADgAAAAAAAAABACAAAAAmAQAAZHJz&#10;L2Uyb0RvYy54bWxQSwUGAAAAAAYABgBZAQAAmQUAAAAA&#10;">
                <v:fill on="t" focussize="0,0"/>
                <v:stroke color="#000000" joinstyle="miter"/>
                <v:imagedata o:title=""/>
                <o:lock v:ext="edit" aspectratio="f"/>
                <v:textbox>
                  <w:txbxContent>
                    <w:p w14:paraId="73664D88">
                      <w:pPr>
                        <w:rPr>
                          <w:rFonts w:eastAsia="黑体"/>
                          <w:b/>
                          <w:sz w:val="30"/>
                        </w:rPr>
                      </w:pPr>
                    </w:p>
                    <w:p w14:paraId="5B64BE77">
                      <w:pPr>
                        <w:rPr>
                          <w:rFonts w:eastAsia="黑体"/>
                          <w:b/>
                          <w:sz w:val="30"/>
                        </w:rPr>
                      </w:pPr>
                    </w:p>
                    <w:p w14:paraId="0E6BA3A0">
                      <w:pPr>
                        <w:jc w:val="center"/>
                        <w:rPr>
                          <w:rFonts w:ascii="宋体"/>
                          <w:b/>
                          <w:bCs/>
                          <w:szCs w:val="21"/>
                        </w:rPr>
                      </w:pPr>
                      <w:r>
                        <w:rPr>
                          <w:rFonts w:hint="eastAsia" w:ascii="宋体"/>
                          <w:b/>
                          <w:color w:val="000000"/>
                        </w:rPr>
                        <w:t>法</w:t>
                      </w:r>
                      <w:r>
                        <w:rPr>
                          <w:rFonts w:hint="eastAsia" w:ascii="宋体"/>
                          <w:b/>
                          <w:color w:val="000000"/>
                          <w:lang w:val="en-US" w:eastAsia="zh-CN"/>
                        </w:rPr>
                        <w:t>定代表</w:t>
                      </w:r>
                      <w:r>
                        <w:rPr>
                          <w:rFonts w:hint="eastAsia" w:ascii="宋体"/>
                          <w:b/>
                          <w:color w:val="000000"/>
                        </w:rPr>
                        <w:t>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v:textbox>
              </v:rect>
            </w:pict>
          </mc:Fallback>
        </mc:AlternateContent>
      </w:r>
    </w:p>
    <w:p w14:paraId="159C969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r>
        <w:rPr>
          <w:rFonts w:hint="eastAsia" w:ascii="宋体" w:hAnsi="宋体" w:cs="宋体"/>
          <w:sz w:val="24"/>
          <w:szCs w:val="24"/>
          <w:highlight w:val="none"/>
          <w:lang w:val="en-US" w:eastAsia="zh-CN"/>
        </w:rPr>
        <w:t>并</w:t>
      </w:r>
      <w:r>
        <w:rPr>
          <w:rFonts w:hint="eastAsia" w:ascii="宋体" w:hAnsi="宋体" w:eastAsia="宋体" w:cs="宋体"/>
          <w:sz w:val="24"/>
          <w:szCs w:val="24"/>
          <w:highlight w:val="none"/>
        </w:rPr>
        <w:t>盖章：</w:t>
      </w:r>
    </w:p>
    <w:p w14:paraId="02891DA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3F1A854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授权代表人签字或盖章：</w:t>
      </w:r>
    </w:p>
    <w:p w14:paraId="33E02A3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2700A48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51A43E7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7B6EA64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79E657DA">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p>
    <w:p w14:paraId="70E09BA6">
      <w:pPr>
        <w:pageBreakBefore w:val="0"/>
        <w:kinsoku/>
        <w:wordWrap/>
        <w:overflowPunct/>
        <w:topLinePunct w:val="0"/>
        <w:bidi w:val="0"/>
        <w:spacing w:beforeAutospacing="0" w:afterAutospacing="0" w:line="400" w:lineRule="exact"/>
        <w:jc w:val="both"/>
        <w:rPr>
          <w:rFonts w:hint="eastAsia" w:ascii="宋体" w:hAnsi="宋体" w:eastAsia="宋体" w:cs="宋体"/>
          <w:b/>
          <w:sz w:val="24"/>
          <w:szCs w:val="24"/>
          <w:highlight w:val="none"/>
        </w:rPr>
      </w:pPr>
    </w:p>
    <w:p w14:paraId="30153014">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6、</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rPr>
        <w:t>本项目投标截止期前在“信用中国（</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www.creditchina.gov.cn）”“中国政府</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网（www.ccgp.gov.cn）”</w:t>
      </w:r>
      <w:r>
        <w:rPr>
          <w:rFonts w:hint="eastAsia" w:ascii="宋体" w:hAnsi="宋体" w:eastAsia="宋体" w:cs="宋体"/>
          <w:sz w:val="24"/>
          <w:szCs w:val="24"/>
          <w:highlight w:val="none"/>
          <w:lang w:val="en-US" w:eastAsia="zh-CN"/>
        </w:rPr>
        <w:t>国家企业信用信息公示系统（www.gsxt.gov.cn）网络查询截图加盖投标企业公章</w:t>
      </w: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end"/>
      </w:r>
    </w:p>
    <w:p w14:paraId="2151E88C">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lang w:val="en-US" w:eastAsia="zh-CN"/>
        </w:rPr>
      </w:pPr>
    </w:p>
    <w:p w14:paraId="191CD067">
      <w:pPr>
        <w:pStyle w:val="3"/>
        <w:pageBreakBefore w:val="0"/>
        <w:kinsoku/>
        <w:wordWrap/>
        <w:overflowPunct/>
        <w:topLinePunct w:val="0"/>
        <w:bidi w:val="0"/>
        <w:spacing w:before="0" w:beforeAutospacing="0" w:after="0" w:afterAutospacing="0" w:line="400" w:lineRule="exact"/>
        <w:jc w:val="both"/>
        <w:rPr>
          <w:rFonts w:hint="eastAsia" w:ascii="宋体" w:hAnsi="宋体" w:eastAsia="宋体" w:cs="宋体"/>
          <w:color w:val="000000"/>
          <w:sz w:val="24"/>
          <w:szCs w:val="24"/>
          <w:highlight w:val="none"/>
          <w:lang w:val="en-US" w:eastAsia="zh-CN"/>
        </w:rPr>
      </w:pPr>
    </w:p>
    <w:p w14:paraId="6162A008">
      <w:pPr>
        <w:pStyle w:val="3"/>
        <w:pageBreakBefore w:val="0"/>
        <w:kinsoku/>
        <w:wordWrap/>
        <w:overflowPunct/>
        <w:topLinePunct w:val="0"/>
        <w:bidi w:val="0"/>
        <w:spacing w:before="0" w:beforeAutospacing="0" w:after="0" w:afterAutospacing="0" w:line="400" w:lineRule="exact"/>
        <w:jc w:val="both"/>
        <w:rPr>
          <w:rFonts w:hint="eastAsia" w:ascii="宋体" w:hAnsi="宋体" w:eastAsia="宋体" w:cs="宋体"/>
          <w:color w:val="000000"/>
          <w:sz w:val="24"/>
          <w:szCs w:val="24"/>
          <w:highlight w:val="none"/>
          <w:lang w:val="en-US" w:eastAsia="zh-CN"/>
        </w:rPr>
      </w:pPr>
    </w:p>
    <w:p w14:paraId="708EF059">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、近三年的业绩表及相关证明</w:t>
      </w:r>
    </w:p>
    <w:p w14:paraId="251E1BF7">
      <w:pPr>
        <w:pStyle w:val="39"/>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  </w:t>
      </w:r>
    </w:p>
    <w:p w14:paraId="60BD022A">
      <w:pPr>
        <w:pStyle w:val="39"/>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ascii="宋体" w:hAnsi="宋体" w:cs="宋体"/>
          <w:sz w:val="24"/>
          <w:szCs w:val="24"/>
          <w:highlight w:val="none"/>
          <w:lang w:val="en-US" w:eastAsia="zh-CN"/>
        </w:rPr>
        <w:t>编</w:t>
      </w:r>
      <w:r>
        <w:rPr>
          <w:rFonts w:hint="eastAsia" w:ascii="宋体" w:hAnsi="宋体" w:eastAsia="宋体" w:cs="宋体"/>
          <w:sz w:val="24"/>
          <w:szCs w:val="24"/>
          <w:highlight w:val="none"/>
        </w:rPr>
        <w:t xml:space="preserve">号 ：                      </w:t>
      </w:r>
    </w:p>
    <w:tbl>
      <w:tblPr>
        <w:tblStyle w:val="24"/>
        <w:tblW w:w="9476" w:type="dxa"/>
        <w:jc w:val="center"/>
        <w:tblLayout w:type="fixed"/>
        <w:tblCellMar>
          <w:top w:w="0" w:type="dxa"/>
          <w:left w:w="108" w:type="dxa"/>
          <w:bottom w:w="0" w:type="dxa"/>
          <w:right w:w="108" w:type="dxa"/>
        </w:tblCellMar>
      </w:tblPr>
      <w:tblGrid>
        <w:gridCol w:w="873"/>
        <w:gridCol w:w="1456"/>
        <w:gridCol w:w="1719"/>
        <w:gridCol w:w="1712"/>
        <w:gridCol w:w="1858"/>
        <w:gridCol w:w="1858"/>
      </w:tblGrid>
      <w:tr w14:paraId="4F8A22A0">
        <w:tblPrEx>
          <w:tblCellMar>
            <w:top w:w="0" w:type="dxa"/>
            <w:left w:w="108" w:type="dxa"/>
            <w:bottom w:w="0" w:type="dxa"/>
            <w:right w:w="108" w:type="dxa"/>
          </w:tblCellMar>
        </w:tblPrEx>
        <w:trPr>
          <w:trHeight w:val="908"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D64327F">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1456" w:type="dxa"/>
            <w:tcBorders>
              <w:top w:val="single" w:color="auto" w:sz="6" w:space="0"/>
              <w:left w:val="single" w:color="auto" w:sz="6" w:space="0"/>
              <w:bottom w:val="single" w:color="auto" w:sz="6" w:space="0"/>
              <w:right w:val="single" w:color="auto" w:sz="6" w:space="0"/>
            </w:tcBorders>
            <w:vAlign w:val="center"/>
          </w:tcPr>
          <w:p w14:paraId="185220C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719" w:type="dxa"/>
            <w:tcBorders>
              <w:top w:val="single" w:color="auto" w:sz="6" w:space="0"/>
              <w:left w:val="single" w:color="auto" w:sz="6" w:space="0"/>
              <w:bottom w:val="single" w:color="auto" w:sz="6" w:space="0"/>
              <w:right w:val="single" w:color="auto" w:sz="6" w:space="0"/>
            </w:tcBorders>
            <w:vAlign w:val="center"/>
          </w:tcPr>
          <w:p w14:paraId="0424AAD8">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712" w:type="dxa"/>
            <w:tcBorders>
              <w:top w:val="single" w:color="auto" w:sz="6" w:space="0"/>
              <w:left w:val="single" w:color="auto" w:sz="6" w:space="0"/>
              <w:bottom w:val="single" w:color="auto" w:sz="6" w:space="0"/>
              <w:right w:val="single" w:color="auto" w:sz="6" w:space="0"/>
            </w:tcBorders>
            <w:vAlign w:val="center"/>
          </w:tcPr>
          <w:p w14:paraId="43E8BDAB">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858" w:type="dxa"/>
            <w:tcBorders>
              <w:top w:val="single" w:color="auto" w:sz="6" w:space="0"/>
              <w:left w:val="single" w:color="auto" w:sz="6" w:space="0"/>
              <w:bottom w:val="single" w:color="auto" w:sz="6" w:space="0"/>
              <w:right w:val="single" w:color="auto" w:sz="6" w:space="0"/>
            </w:tcBorders>
            <w:vAlign w:val="center"/>
          </w:tcPr>
          <w:p w14:paraId="40B1E94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项目单位联系人及电话</w:t>
            </w:r>
          </w:p>
        </w:tc>
        <w:tc>
          <w:tcPr>
            <w:tcW w:w="1858" w:type="dxa"/>
            <w:tcBorders>
              <w:top w:val="single" w:color="auto" w:sz="6" w:space="0"/>
              <w:left w:val="single" w:color="auto" w:sz="6" w:space="0"/>
              <w:bottom w:val="single" w:color="auto" w:sz="6" w:space="0"/>
              <w:right w:val="single" w:color="auto" w:sz="6" w:space="0"/>
            </w:tcBorders>
            <w:vAlign w:val="center"/>
          </w:tcPr>
          <w:p w14:paraId="50EDBE4E">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r>
      <w:tr w14:paraId="0EEDAF1A">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1D6F4035">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599E5745">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170004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69CD1855">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959E77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701808C">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0C52BA6D">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42324710">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7A178EC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27C782A6">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447C052E">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25CB2F0">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3B985E64">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3B6BB651">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444787A">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4FFB46BD">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6443C924">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2F138D0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3255E6B">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E70C160">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5CFE6C2E">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47E97FAB">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0719FE00">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446494C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6F0BACBB">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C536748">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0BE98F9E">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20884C4B">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F1FF635">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2EAAC25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3586A97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50C7CE4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3314270">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0E8EB5F">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330E0B2B">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3A5B7A3C">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504E3B42">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365FDB01">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181C5C6B">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013C6144">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4BBC739">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62B37C50">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56278845">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5914393C">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E35830A">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4EEB9231">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4C44C23">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4D6FE5CC">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77F5C0A4">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43082C2">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3DDFE9AD">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50E9F067">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6ABB5076">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B786FB7">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5CB92881">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02C55AA6">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5EC18DB4">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77A07F94">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0AA8F4F">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076E796E">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2D3721E">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83AFA78">
            <w:pPr>
              <w:pStyle w:val="41"/>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bl>
    <w:p w14:paraId="0C06878F">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688CF85B">
      <w:pPr>
        <w:pageBreakBefore w:val="0"/>
        <w:kinsoku/>
        <w:wordWrap/>
        <w:overflowPunct/>
        <w:topLinePunct w:val="0"/>
        <w:bidi w:val="0"/>
        <w:spacing w:beforeAutospacing="0" w:afterAutospacing="0" w:line="400" w:lineRule="exact"/>
        <w:rPr>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rPr>
        <w:t>附</w:t>
      </w: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年1月至今（以合同签订时间为准）的类似采购业绩。注：须同时提供中标通知书及合同复印件加盖公章，如未提供视为无效业绩。</w:t>
      </w:r>
    </w:p>
    <w:p w14:paraId="2B28F84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BB2112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w:t>
      </w:r>
      <w:r>
        <w:rPr>
          <w:rFonts w:hint="eastAsia" w:ascii="宋体" w:hAnsi="宋体" w:eastAsia="宋体" w:cs="宋体"/>
          <w:color w:val="000000"/>
          <w:sz w:val="24"/>
          <w:szCs w:val="24"/>
          <w:highlight w:val="none"/>
          <w:u w:val="none"/>
        </w:rPr>
        <w:t>（单位公章）</w:t>
      </w:r>
    </w:p>
    <w:p w14:paraId="56A779FF">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059C45AF">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03C9E8EB">
      <w:pPr>
        <w:pStyle w:val="39"/>
        <w:pageBreakBefore w:val="0"/>
        <w:tabs>
          <w:tab w:val="left" w:pos="540"/>
          <w:tab w:val="left" w:pos="1080"/>
        </w:tabs>
        <w:kinsoku/>
        <w:wordWrap/>
        <w:overflowPunct/>
        <w:topLinePunct w:val="0"/>
        <w:bidi w:val="0"/>
        <w:spacing w:beforeAutospacing="0" w:afterAutospacing="0" w:line="400" w:lineRule="exact"/>
        <w:ind w:firstLine="236" w:firstLineChars="98"/>
        <w:jc w:val="center"/>
        <w:rPr>
          <w:rFonts w:hint="eastAsia" w:ascii="宋体" w:hAnsi="宋体" w:eastAsia="宋体" w:cs="宋体"/>
          <w:b/>
          <w:sz w:val="24"/>
          <w:szCs w:val="24"/>
          <w:highlight w:val="none"/>
        </w:rPr>
        <w:sectPr>
          <w:footerReference r:id="rId10" w:type="first"/>
          <w:footerReference r:id="rId9" w:type="default"/>
          <w:pgSz w:w="11906" w:h="16838"/>
          <w:pgMar w:top="1134" w:right="1814" w:bottom="1134" w:left="1814" w:header="851" w:footer="992" w:gutter="0"/>
          <w:pgNumType w:fmt="decimal"/>
          <w:cols w:space="720" w:num="1"/>
          <w:titlePg/>
          <w:docGrid w:type="lines" w:linePitch="312" w:charSpace="0"/>
        </w:sectPr>
      </w:pPr>
    </w:p>
    <w:p w14:paraId="657887AB">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val="en-US" w:eastAsia="zh-CN"/>
          <w14:textFill>
            <w14:solidFill>
              <w14:schemeClr w14:val="tx1"/>
            </w14:solidFill>
          </w14:textFill>
        </w:rPr>
        <w:t>项目管理机构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；（根据评标办法格式自拟）</w:t>
      </w:r>
    </w:p>
    <w:p w14:paraId="7E4FEC85">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C645C92">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lang w:val="en-US" w:eastAsia="zh-CN"/>
          <w14:textFill>
            <w14:solidFill>
              <w14:schemeClr w14:val="tx1"/>
            </w14:solidFill>
          </w14:textFill>
        </w:rPr>
        <w:t>质保期</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根据评标办法格式自拟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0A66ECA">
      <w:pPr>
        <w:pageBreakBefore w:val="0"/>
        <w:kinsoku/>
        <w:wordWrap/>
        <w:overflowPunct/>
        <w:topLinePunct w:val="0"/>
        <w:bidi w:val="0"/>
        <w:spacing w:beforeAutospacing="0" w:afterAutospacing="0" w:line="400" w:lineRule="exact"/>
        <w:ind w:firstLine="482" w:firstLineChars="200"/>
        <w:jc w:val="both"/>
        <w:rPr>
          <w:rFonts w:hint="eastAsia" w:ascii="宋体" w:hAnsi="宋体" w:eastAsia="宋体" w:cs="宋体"/>
          <w:b/>
          <w:color w:val="000000" w:themeColor="text1"/>
          <w:sz w:val="24"/>
          <w:szCs w:val="24"/>
          <w:highlight w:val="none"/>
          <w14:textFill>
            <w14:solidFill>
              <w14:schemeClr w14:val="tx1"/>
            </w14:solidFill>
          </w14:textFill>
        </w:rPr>
      </w:pPr>
    </w:p>
    <w:p w14:paraId="67D4CF59">
      <w:pPr>
        <w:pageBreakBefore w:val="0"/>
        <w:kinsoku/>
        <w:wordWrap/>
        <w:overflowPunct/>
        <w:topLinePunct w:val="0"/>
        <w:bidi w:val="0"/>
        <w:spacing w:beforeAutospacing="0" w:afterAutospacing="0" w:line="400" w:lineRule="exact"/>
        <w:ind w:firstLine="482" w:firstLineChars="200"/>
        <w:jc w:val="both"/>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、商务条款偏离表</w:t>
      </w:r>
    </w:p>
    <w:p w14:paraId="507A8149">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5213627B">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p>
    <w:p w14:paraId="5E91FAE3">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552"/>
        <w:gridCol w:w="2551"/>
        <w:gridCol w:w="2145"/>
      </w:tblGrid>
      <w:tr w14:paraId="1FA3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14:paraId="0DD2D72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552" w:type="dxa"/>
            <w:vAlign w:val="center"/>
          </w:tcPr>
          <w:p w14:paraId="4A878D5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招标文件的商务条款</w:t>
            </w:r>
          </w:p>
        </w:tc>
        <w:tc>
          <w:tcPr>
            <w:tcW w:w="2551" w:type="dxa"/>
            <w:vAlign w:val="center"/>
          </w:tcPr>
          <w:p w14:paraId="60FC5A0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投标文件的商务条款</w:t>
            </w:r>
          </w:p>
        </w:tc>
        <w:tc>
          <w:tcPr>
            <w:tcW w:w="2145" w:type="dxa"/>
            <w:vAlign w:val="center"/>
          </w:tcPr>
          <w:p w14:paraId="604A45E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14:paraId="1CDC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14:paraId="1A998B3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552" w:type="dxa"/>
            <w:vAlign w:val="center"/>
          </w:tcPr>
          <w:p w14:paraId="0849661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14:paraId="3F2FB2F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14:paraId="72631EB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6417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14:paraId="5F6D100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552" w:type="dxa"/>
            <w:vAlign w:val="center"/>
          </w:tcPr>
          <w:p w14:paraId="346714C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14:paraId="6BED4A63">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14:paraId="463D84D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096C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14:paraId="523856A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552" w:type="dxa"/>
            <w:vAlign w:val="center"/>
          </w:tcPr>
          <w:p w14:paraId="664C5C7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14:paraId="2AC1744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14:paraId="5B0DCA8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58BD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14:paraId="78A9254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552" w:type="dxa"/>
            <w:vAlign w:val="center"/>
          </w:tcPr>
          <w:p w14:paraId="780891C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14:paraId="6AD3BB5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14:paraId="35143A3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bl>
    <w:p w14:paraId="0DDC5AF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14:paraId="534E772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14:paraId="7EBA978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1、本项目商务条款至少包括：</w:t>
      </w:r>
      <w:r>
        <w:rPr>
          <w:rFonts w:hint="eastAsia" w:ascii="宋体" w:hAnsi="宋体" w:eastAsia="宋体" w:cs="宋体"/>
          <w:sz w:val="24"/>
          <w:szCs w:val="24"/>
          <w:highlight w:val="none"/>
          <w:lang w:eastAsia="zh-CN"/>
        </w:rPr>
        <w:t>履约期限</w:t>
      </w:r>
      <w:r>
        <w:rPr>
          <w:rFonts w:hint="eastAsia" w:ascii="宋体" w:hAnsi="宋体" w:eastAsia="宋体" w:cs="宋体"/>
          <w:sz w:val="24"/>
          <w:szCs w:val="24"/>
          <w:highlight w:val="none"/>
        </w:rPr>
        <w:t>、招标内容、投标保证金响应、投标文件有效期等，投标人必须按招标文件给定的条款填写，否则视为不响应招标。</w:t>
      </w:r>
    </w:p>
    <w:p w14:paraId="0E8A99D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2、招标文件条目号指投标须知所对应项目名称。</w:t>
      </w:r>
    </w:p>
    <w:p w14:paraId="26404F32">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14:paraId="5288B204">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投标单位：（单位公章）</w:t>
      </w:r>
    </w:p>
    <w:p w14:paraId="1EC2247C">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法定代表人或授权代表人：（签字或盖章）</w:t>
      </w:r>
    </w:p>
    <w:p w14:paraId="60BCEE15">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14:paraId="07F9D83B">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14:paraId="2551D652">
      <w:pPr>
        <w:pageBreakBefore w:val="0"/>
        <w:kinsoku/>
        <w:wordWrap/>
        <w:overflowPunct/>
        <w:topLinePunct w:val="0"/>
        <w:bidi w:val="0"/>
        <w:adjustRightInd w:val="0"/>
        <w:snapToGrid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2B23E42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4ACA7D90">
      <w:pPr>
        <w:pStyle w:val="33"/>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17E2B3D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1A66B24A">
      <w:pPr>
        <w:pStyle w:val="23"/>
        <w:rPr>
          <w:rFonts w:hint="eastAsia" w:ascii="宋体" w:hAnsi="宋体" w:eastAsia="宋体" w:cs="宋体"/>
          <w:color w:val="000000"/>
          <w:sz w:val="24"/>
          <w:szCs w:val="24"/>
          <w:highlight w:val="none"/>
        </w:rPr>
      </w:pPr>
    </w:p>
    <w:p w14:paraId="7912DCC4">
      <w:pPr>
        <w:pStyle w:val="23"/>
        <w:rPr>
          <w:rFonts w:hint="eastAsia" w:ascii="宋体" w:hAnsi="宋体" w:eastAsia="宋体" w:cs="宋体"/>
          <w:color w:val="000000"/>
          <w:sz w:val="24"/>
          <w:szCs w:val="24"/>
          <w:highlight w:val="none"/>
        </w:rPr>
      </w:pPr>
    </w:p>
    <w:p w14:paraId="6DFFC55D">
      <w:pPr>
        <w:pageBreakBefore w:val="0"/>
        <w:kinsoku/>
        <w:wordWrap/>
        <w:overflowPunct/>
        <w:topLinePunct w:val="0"/>
        <w:autoSpaceDE w:val="0"/>
        <w:autoSpaceDN w:val="0"/>
        <w:bidi w:val="0"/>
        <w:adjustRightInd w:val="0"/>
        <w:spacing w:beforeAutospacing="0" w:afterAutospacing="0" w:line="400" w:lineRule="exact"/>
        <w:ind w:left="220" w:leftChars="105" w:firstLine="361" w:firstLineChars="150"/>
        <w:jc w:val="center"/>
        <w:rPr>
          <w:rFonts w:hint="eastAsia" w:ascii="宋体" w:hAnsi="宋体" w:eastAsia="宋体" w:cs="宋体"/>
          <w:b/>
          <w:color w:val="000000"/>
          <w:kern w:val="0"/>
          <w:sz w:val="24"/>
          <w:szCs w:val="24"/>
          <w:highlight w:val="none"/>
          <w:lang w:val="zh-CN"/>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w:t>
      </w:r>
      <w:r>
        <w:rPr>
          <w:rFonts w:hint="eastAsia" w:ascii="宋体" w:hAnsi="宋体" w:eastAsia="宋体" w:cs="宋体"/>
          <w:b/>
          <w:color w:val="000000"/>
          <w:kern w:val="0"/>
          <w:sz w:val="24"/>
          <w:szCs w:val="24"/>
          <w:highlight w:val="none"/>
          <w:lang w:val="zh-CN"/>
        </w:rPr>
        <w:t>投标单位（投标人）反商业贿赂承诺书</w:t>
      </w:r>
    </w:p>
    <w:p w14:paraId="5B47D700">
      <w:pPr>
        <w:pageBreakBefore w:val="0"/>
        <w:kinsoku/>
        <w:wordWrap/>
        <w:overflowPunct/>
        <w:topLinePunct w:val="0"/>
        <w:autoSpaceDE w:val="0"/>
        <w:autoSpaceDN w:val="0"/>
        <w:bidi w:val="0"/>
        <w:adjustRightInd w:val="0"/>
        <w:spacing w:beforeAutospacing="0" w:afterAutospacing="0" w:line="400" w:lineRule="exact"/>
        <w:ind w:left="220"/>
        <w:jc w:val="left"/>
        <w:rPr>
          <w:rFonts w:hint="eastAsia" w:ascii="宋体" w:hAnsi="宋体" w:eastAsia="宋体" w:cs="宋体"/>
          <w:color w:val="000000"/>
          <w:kern w:val="0"/>
          <w:sz w:val="24"/>
          <w:szCs w:val="24"/>
          <w:highlight w:val="none"/>
          <w:lang w:val="zh-CN"/>
        </w:rPr>
      </w:pPr>
    </w:p>
    <w:p w14:paraId="0E5CE56C">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公司承诺在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招标法》、《反不正当竞争法》的有关规定接受处罚。</w:t>
      </w:r>
    </w:p>
    <w:p w14:paraId="2B0F80D8">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bCs/>
          <w:color w:val="000000"/>
          <w:sz w:val="24"/>
          <w:szCs w:val="24"/>
          <w:highlight w:val="none"/>
          <w:lang w:val="zh-CN"/>
        </w:rPr>
      </w:pPr>
    </w:p>
    <w:p w14:paraId="0DA9BD79">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24EBDBB3">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14:paraId="60F51D82">
      <w:pPr>
        <w:pageBreakBefore w:val="0"/>
        <w:kinsoku/>
        <w:wordWrap/>
        <w:overflowPunct/>
        <w:topLinePunct w:val="0"/>
        <w:bidi w:val="0"/>
        <w:spacing w:beforeAutospacing="0" w:afterAutospacing="0" w:line="400" w:lineRule="exact"/>
        <w:ind w:firstLine="465"/>
        <w:rPr>
          <w:rFonts w:hint="eastAsia" w:ascii="宋体" w:hAnsi="宋体" w:eastAsia="宋体" w:cs="宋体"/>
          <w:color w:val="000000"/>
          <w:sz w:val="24"/>
          <w:szCs w:val="24"/>
          <w:highlight w:val="none"/>
          <w:lang w:val="zh-CN"/>
        </w:rPr>
      </w:pPr>
    </w:p>
    <w:p w14:paraId="6B3E853A">
      <w:pPr>
        <w:pageBreakBefore w:val="0"/>
        <w:kinsoku/>
        <w:wordWrap/>
        <w:overflowPunct/>
        <w:topLinePunct w:val="0"/>
        <w:bidi w:val="0"/>
        <w:spacing w:beforeAutospacing="0" w:afterAutospacing="0" w:line="400" w:lineRule="exact"/>
        <w:ind w:firstLine="465"/>
        <w:rPr>
          <w:rFonts w:hint="eastAsia" w:ascii="宋体" w:hAnsi="宋体" w:eastAsia="宋体" w:cs="宋体"/>
          <w:color w:val="000000"/>
          <w:sz w:val="24"/>
          <w:szCs w:val="24"/>
          <w:highlight w:val="none"/>
          <w:lang w:val="zh-CN"/>
        </w:rPr>
      </w:pPr>
    </w:p>
    <w:p w14:paraId="7EC9AE8C">
      <w:pPr>
        <w:pStyle w:val="33"/>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zh-CN"/>
        </w:rPr>
      </w:pPr>
    </w:p>
    <w:p w14:paraId="5E9FAB58">
      <w:pPr>
        <w:pStyle w:val="33"/>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zh-CN"/>
        </w:rPr>
      </w:pPr>
    </w:p>
    <w:p w14:paraId="4E2DFD48">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7F3CFE43">
      <w:pPr>
        <w:pStyle w:val="6"/>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11DD522F">
      <w:pPr>
        <w:pStyle w:val="22"/>
        <w:pageBreakBefore w:val="0"/>
        <w:kinsoku/>
        <w:wordWrap/>
        <w:overflowPunct/>
        <w:topLinePunct w:val="0"/>
        <w:bidi w:val="0"/>
        <w:spacing w:beforeAutospacing="0" w:after="0" w:afterAutospacing="0" w:line="400" w:lineRule="exact"/>
        <w:rPr>
          <w:rFonts w:hint="eastAsia" w:ascii="宋体" w:hAnsi="宋体" w:eastAsia="宋体" w:cs="宋体"/>
          <w:b/>
          <w:bCs/>
          <w:color w:val="000000"/>
          <w:sz w:val="24"/>
          <w:szCs w:val="24"/>
          <w:highlight w:val="none"/>
        </w:rPr>
      </w:pPr>
    </w:p>
    <w:p w14:paraId="6CEF82A3">
      <w:pPr>
        <w:pStyle w:val="39"/>
        <w:pageBreakBefore w:val="0"/>
        <w:tabs>
          <w:tab w:val="left" w:pos="540"/>
          <w:tab w:val="left" w:pos="1080"/>
        </w:tabs>
        <w:kinsoku/>
        <w:wordWrap/>
        <w:overflowPunct/>
        <w:topLinePunct w:val="0"/>
        <w:bidi w:val="0"/>
        <w:spacing w:beforeAutospacing="0" w:afterAutospacing="0" w:line="400" w:lineRule="exact"/>
        <w:rPr>
          <w:rFonts w:hint="eastAsia" w:ascii="宋体" w:hAnsi="宋体" w:eastAsia="宋体" w:cs="宋体"/>
          <w:b/>
          <w:sz w:val="24"/>
          <w:szCs w:val="24"/>
          <w:highlight w:val="none"/>
        </w:rPr>
        <w:sectPr>
          <w:footerReference r:id="rId12" w:type="first"/>
          <w:footerReference r:id="rId11" w:type="default"/>
          <w:pgSz w:w="11906" w:h="16838"/>
          <w:pgMar w:top="1134" w:right="1814" w:bottom="1134" w:left="1814" w:header="851" w:footer="992" w:gutter="0"/>
          <w:pgNumType w:fmt="decimal"/>
          <w:cols w:space="720" w:num="1"/>
          <w:titlePg/>
          <w:docGrid w:type="lines" w:linePitch="312" w:charSpace="0"/>
        </w:sectPr>
      </w:pPr>
    </w:p>
    <w:p w14:paraId="2C380962">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w:t>
      </w:r>
      <w:r>
        <w:rPr>
          <w:rFonts w:hint="eastAsia" w:ascii="宋体" w:hAnsi="宋体" w:eastAsia="宋体" w:cs="宋体"/>
          <w:b/>
          <w:color w:val="auto"/>
          <w:kern w:val="0"/>
          <w:sz w:val="24"/>
          <w:szCs w:val="24"/>
          <w:highlight w:val="none"/>
        </w:rPr>
        <w:t>投标人企业类型声明函</w:t>
      </w:r>
    </w:p>
    <w:p w14:paraId="1D4D75F7">
      <w:pPr>
        <w:pageBreakBefore w:val="0"/>
        <w:kinsoku/>
        <w:wordWrap/>
        <w:overflowPunct/>
        <w:topLinePunct w:val="0"/>
        <w:bidi w:val="0"/>
        <w:spacing w:beforeAutospacing="0" w:afterAutospacing="0" w:line="400" w:lineRule="exact"/>
        <w:jc w:val="both"/>
        <w:rPr>
          <w:rFonts w:hint="eastAsia" w:ascii="宋体" w:hAnsi="宋体" w:eastAsia="宋体" w:cs="宋体"/>
          <w:bCs w:val="0"/>
          <w:color w:val="000000"/>
          <w:kern w:val="0"/>
          <w:sz w:val="24"/>
          <w:szCs w:val="24"/>
          <w:highlight w:val="none"/>
          <w:lang w:val="zh-CN"/>
        </w:rPr>
      </w:pPr>
      <w:r>
        <w:rPr>
          <w:rFonts w:hint="eastAsia" w:ascii="宋体" w:hAnsi="宋体" w:eastAsia="宋体" w:cs="宋体"/>
          <w:bCs w:val="0"/>
          <w:color w:val="000000"/>
          <w:kern w:val="0"/>
          <w:sz w:val="24"/>
          <w:szCs w:val="24"/>
          <w:highlight w:val="none"/>
        </w:rPr>
        <w:t>1</w:t>
      </w:r>
      <w:r>
        <w:rPr>
          <w:rFonts w:hint="eastAsia" w:ascii="宋体" w:hAnsi="宋体" w:eastAsia="宋体" w:cs="宋体"/>
          <w:bCs w:val="0"/>
          <w:color w:val="000000"/>
          <w:kern w:val="0"/>
          <w:sz w:val="24"/>
          <w:szCs w:val="24"/>
          <w:highlight w:val="none"/>
          <w:lang w:val="en-US" w:eastAsia="zh-CN"/>
        </w:rPr>
        <w:t>2.1</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中小企业声明函</w:t>
      </w:r>
    </w:p>
    <w:p w14:paraId="798C5E10">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中小企业声明函（货物）（实质性条款）</w:t>
      </w:r>
    </w:p>
    <w:p w14:paraId="589C8952">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275" w:right="0"/>
        <w:textAlignment w:val="auto"/>
        <w:rPr>
          <w:rFonts w:hint="eastAsia" w:ascii="宋体" w:hAnsi="宋体" w:eastAsia="宋体" w:cs="宋体"/>
          <w:sz w:val="24"/>
          <w:szCs w:val="24"/>
        </w:rPr>
      </w:pPr>
      <w:r>
        <w:rPr>
          <w:rFonts w:hint="eastAsia" w:ascii="宋体" w:hAnsi="宋体" w:eastAsia="宋体" w:cs="宋体"/>
          <w:sz w:val="24"/>
          <w:szCs w:val="24"/>
        </w:rPr>
        <w:t> </w:t>
      </w:r>
    </w:p>
    <w:p w14:paraId="2702EC5A">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DF2951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w:t>
      </w:r>
      <w:r>
        <w:rPr>
          <w:rFonts w:hint="eastAsia" w:ascii="宋体" w:hAnsi="宋体" w:eastAsia="宋体" w:cs="宋体"/>
          <w:kern w:val="2"/>
          <w:sz w:val="24"/>
          <w:szCs w:val="24"/>
          <w:lang w:val="en-US" w:eastAsia="zh-CN" w:bidi="ar-SA"/>
        </w:rPr>
        <w:t>标的名称），属于</w:t>
      </w:r>
      <w:r>
        <w:rPr>
          <w:rFonts w:hint="eastAsia"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w:t>
      </w:r>
      <w:r>
        <w:rPr>
          <w:rFonts w:hint="eastAsia" w:ascii="宋体" w:hAnsi="宋体" w:eastAsia="宋体" w:cs="宋体"/>
          <w:kern w:val="2"/>
          <w:sz w:val="24"/>
          <w:szCs w:val="24"/>
          <w:lang w:val="en-US" w:eastAsia="zh-CN" w:bidi="ar-SA"/>
        </w:rPr>
        <w:t>采购文件中明确的所属行业）；制造商为</w:t>
      </w:r>
      <w:r>
        <w:rPr>
          <w:rFonts w:hint="eastAsia"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w:t>
      </w:r>
      <w:r>
        <w:rPr>
          <w:rFonts w:hint="eastAsia" w:ascii="宋体" w:hAnsi="宋体" w:eastAsia="宋体" w:cs="宋体"/>
          <w:kern w:val="2"/>
          <w:sz w:val="24"/>
          <w:szCs w:val="24"/>
          <w:lang w:val="en-US" w:eastAsia="zh-CN" w:bidi="ar-SA"/>
        </w:rPr>
        <w:t>企业名称），从业人员</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万元，属于</w:t>
      </w:r>
      <w:r>
        <w:rPr>
          <w:rFonts w:hint="eastAsia"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w:t>
      </w:r>
      <w:r>
        <w:rPr>
          <w:rFonts w:hint="eastAsia" w:ascii="宋体" w:hAnsi="宋体" w:eastAsia="宋体" w:cs="宋体"/>
          <w:kern w:val="2"/>
          <w:sz w:val="24"/>
          <w:szCs w:val="24"/>
          <w:lang w:val="en-US" w:eastAsia="zh-CN" w:bidi="ar-SA"/>
        </w:rPr>
        <w:t>中型企业、小型企业、微型企业）；</w:t>
      </w:r>
    </w:p>
    <w:p w14:paraId="7B0B874B">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w:t>
      </w:r>
      <w:r>
        <w:rPr>
          <w:rFonts w:hint="eastAsia" w:ascii="宋体" w:hAnsi="宋体" w:eastAsia="宋体" w:cs="宋体"/>
          <w:kern w:val="2"/>
          <w:sz w:val="24"/>
          <w:szCs w:val="24"/>
          <w:lang w:val="en-US" w:eastAsia="zh-CN" w:bidi="ar-SA"/>
        </w:rPr>
        <w:t>标的名称），属于</w:t>
      </w:r>
      <w:r>
        <w:rPr>
          <w:rFonts w:hint="eastAsia"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w:t>
      </w:r>
      <w:r>
        <w:rPr>
          <w:rFonts w:hint="eastAsia" w:ascii="宋体" w:hAnsi="宋体" w:eastAsia="宋体" w:cs="宋体"/>
          <w:kern w:val="2"/>
          <w:sz w:val="24"/>
          <w:szCs w:val="24"/>
          <w:lang w:val="en-US" w:eastAsia="zh-CN" w:bidi="ar-SA"/>
        </w:rPr>
        <w:t>采购文件中明确的所属行业）；制造商为</w:t>
      </w:r>
      <w:r>
        <w:rPr>
          <w:rFonts w:hint="eastAsia"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w:t>
      </w:r>
      <w:r>
        <w:rPr>
          <w:rFonts w:hint="eastAsia" w:ascii="宋体" w:hAnsi="宋体" w:eastAsia="宋体" w:cs="宋体"/>
          <w:kern w:val="2"/>
          <w:sz w:val="24"/>
          <w:szCs w:val="24"/>
          <w:lang w:val="en-US" w:eastAsia="zh-CN" w:bidi="ar-SA"/>
        </w:rPr>
        <w:t>企业名称），从业人员</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lang w:val="en-US" w:eastAsia="zh-CN" w:bidi="ar-SA"/>
        </w:rPr>
        <w:t>万元，属于</w:t>
      </w:r>
      <w:r>
        <w:rPr>
          <w:rFonts w:hint="eastAsia"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w:t>
      </w:r>
      <w:r>
        <w:rPr>
          <w:rFonts w:hint="eastAsia" w:ascii="宋体" w:hAnsi="宋体" w:eastAsia="宋体" w:cs="宋体"/>
          <w:kern w:val="2"/>
          <w:sz w:val="24"/>
          <w:szCs w:val="24"/>
          <w:lang w:val="en-US" w:eastAsia="zh-CN" w:bidi="ar-SA"/>
        </w:rPr>
        <w:t>中型企业、小型企业、微型企业）；</w:t>
      </w:r>
    </w:p>
    <w:p w14:paraId="20FDB423">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p w14:paraId="4B751412">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以上企业，不属于大企业的分支机构，不存在控股股东为大企业的情形，也不存在与大企业的负责人为同一人的情形。</w:t>
      </w:r>
    </w:p>
    <w:p w14:paraId="6FAF7FD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本企业对上述声明内容的真实性负责。如有虚假，将依法承担相应责任。</w:t>
      </w:r>
    </w:p>
    <w:p w14:paraId="6A08CFB3">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w:t>
      </w:r>
    </w:p>
    <w:p w14:paraId="3620CE9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4"/>
          <w:szCs w:val="24"/>
          <w:lang w:val="en-US" w:eastAsia="zh-CN" w:bidi="ar-SA"/>
        </w:rPr>
      </w:pPr>
    </w:p>
    <w:p w14:paraId="20619441">
      <w:pPr>
        <w:adjustRightInd w:val="0"/>
        <w:snapToGrid w:val="0"/>
        <w:spacing w:line="360" w:lineRule="auto"/>
        <w:ind w:firstLine="3133" w:firstLineChars="13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 </w:t>
      </w:r>
      <w:r>
        <w:rPr>
          <w:rFonts w:hint="eastAsia" w:ascii="宋体" w:hAnsi="宋体" w:cs="宋体"/>
          <w:sz w:val="24"/>
          <w:szCs w:val="24"/>
          <w:lang w:val="en-US" w:eastAsia="zh-CN"/>
        </w:rPr>
        <w:t>企业名称</w:t>
      </w:r>
      <w:r>
        <w:rPr>
          <w:rFonts w:hint="eastAsia" w:ascii="宋体" w:hAnsi="宋体" w:eastAsia="宋体" w:cs="宋体"/>
          <w:sz w:val="24"/>
          <w:szCs w:val="24"/>
        </w:rPr>
        <w:t>：</w:t>
      </w:r>
      <w:r>
        <w:rPr>
          <w:rFonts w:hint="eastAsia" w:ascii="宋体" w:hAnsi="宋体" w:eastAsia="宋体" w:cs="宋体"/>
          <w:sz w:val="24"/>
          <w:szCs w:val="24"/>
          <w:u w:val="single"/>
        </w:rPr>
        <w:t xml:space="preserve">    （公章）        .</w:t>
      </w:r>
    </w:p>
    <w:p w14:paraId="21FFF789">
      <w:pPr>
        <w:keepNext w:val="0"/>
        <w:keepLines w:val="0"/>
        <w:pageBreakBefore w:val="0"/>
        <w:widowControl/>
        <w:suppressLineNumbers w:val="0"/>
        <w:kinsoku/>
        <w:wordWrap/>
        <w:overflowPunct/>
        <w:topLinePunct w:val="0"/>
        <w:autoSpaceDE/>
        <w:autoSpaceDN/>
        <w:bidi w:val="0"/>
        <w:adjustRightInd/>
        <w:snapToGrid/>
        <w:spacing w:line="460" w:lineRule="exact"/>
        <w:ind w:firstLine="3615" w:firstLineChars="15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 期： </w:t>
      </w:r>
    </w:p>
    <w:p w14:paraId="57A87729">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hint="eastAsia" w:ascii="宋体" w:hAnsi="宋体" w:eastAsia="宋体" w:cs="宋体"/>
          <w:kern w:val="2"/>
          <w:sz w:val="28"/>
          <w:szCs w:val="28"/>
          <w:lang w:val="en-US" w:eastAsia="zh-CN" w:bidi="ar-SA"/>
        </w:rPr>
      </w:pPr>
    </w:p>
    <w:p w14:paraId="59AD479B">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275" w:right="0"/>
        <w:jc w:val="center"/>
        <w:textAlignment w:val="auto"/>
        <w:rPr>
          <w:rFonts w:hint="eastAsia" w:ascii="宋体" w:hAnsi="宋体" w:eastAsia="宋体" w:cs="宋体"/>
          <w:sz w:val="24"/>
          <w:szCs w:val="24"/>
        </w:rPr>
      </w:pPr>
    </w:p>
    <w:p w14:paraId="3C919A1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备注：</w:t>
      </w:r>
    </w:p>
    <w:p w14:paraId="0EA03005">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1.从业人员、营业收入、资产总额填报上一年度数据，无上一年度数据的新成立企业可不填报。</w:t>
      </w:r>
    </w:p>
    <w:p w14:paraId="02B74FC1">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18"/>
          <w:szCs w:val="18"/>
        </w:rPr>
        <w:sectPr>
          <w:footerReference r:id="rId13" w:type="default"/>
          <w:pgSz w:w="11906" w:h="16838"/>
          <w:pgMar w:top="1440" w:right="1080" w:bottom="1440" w:left="1080" w:header="851" w:footer="850" w:gutter="0"/>
          <w:pgNumType w:fmt="decimal"/>
          <w:cols w:space="720" w:num="1"/>
          <w:rtlGutter w:val="0"/>
          <w:docGrid w:type="linesAndChars" w:linePitch="312" w:charSpace="269"/>
        </w:sectPr>
      </w:pPr>
      <w:r>
        <w:rPr>
          <w:rFonts w:hint="eastAsia" w:ascii="宋体" w:hAnsi="宋体" w:eastAsia="宋体" w:cs="宋体"/>
          <w:b/>
          <w:bCs/>
          <w:color w:val="000000"/>
          <w:kern w:val="0"/>
          <w:sz w:val="18"/>
          <w:szCs w:val="18"/>
          <w:lang w:val="en-US" w:eastAsia="zh-CN" w:bidi="ar"/>
        </w:rPr>
        <w:t>2.投标人为中小企业时需提供本声明函，并完整填写从业人员、营业收入、资产总额等内容，否则评审时不能享受相应的</w:t>
      </w:r>
    </w:p>
    <w:p w14:paraId="53D938BA">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5BC186BB">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14D9D3B9">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01D750DF">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12.1.1</w:t>
      </w:r>
      <w:r>
        <w:rPr>
          <w:rFonts w:hint="eastAsia" w:ascii="宋体" w:hAnsi="宋体" w:eastAsia="宋体" w:cs="宋体"/>
          <w:b/>
          <w:color w:val="auto"/>
          <w:kern w:val="0"/>
          <w:sz w:val="24"/>
          <w:szCs w:val="24"/>
          <w:highlight w:val="none"/>
        </w:rPr>
        <w:t>中小企业</w:t>
      </w:r>
      <w:r>
        <w:rPr>
          <w:rFonts w:hint="eastAsia" w:ascii="宋体" w:hAnsi="宋体" w:eastAsia="宋体" w:cs="宋体"/>
          <w:b/>
          <w:color w:val="auto"/>
          <w:kern w:val="0"/>
          <w:sz w:val="24"/>
          <w:szCs w:val="24"/>
          <w:highlight w:val="none"/>
          <w:lang w:eastAsia="zh-CN"/>
        </w:rPr>
        <w:t>服务</w:t>
      </w:r>
      <w:r>
        <w:rPr>
          <w:rFonts w:hint="eastAsia" w:ascii="宋体" w:hAnsi="宋体" w:eastAsia="宋体" w:cs="宋体"/>
          <w:b/>
          <w:color w:val="auto"/>
          <w:kern w:val="0"/>
          <w:sz w:val="24"/>
          <w:szCs w:val="24"/>
          <w:highlight w:val="none"/>
        </w:rPr>
        <w:t>优惠明细表</w:t>
      </w:r>
    </w:p>
    <w:p w14:paraId="38629B4C">
      <w:pPr>
        <w:pageBreakBefore w:val="0"/>
        <w:kinsoku/>
        <w:wordWrap/>
        <w:overflowPunct/>
        <w:topLinePunct w:val="0"/>
        <w:bidi w:val="0"/>
        <w:spacing w:beforeAutospacing="0" w:afterAutospacing="0" w:line="400" w:lineRule="exact"/>
        <w:jc w:val="center"/>
        <w:rPr>
          <w:rFonts w:hint="eastAsia" w:ascii="宋体" w:hAnsi="宋体" w:eastAsia="宋体" w:cs="宋体"/>
          <w:bCs/>
          <w:color w:val="auto"/>
          <w:sz w:val="24"/>
          <w:szCs w:val="24"/>
          <w:highlight w:val="none"/>
        </w:rPr>
      </w:pPr>
      <w:bookmarkStart w:id="30" w:name="_Toc439149569"/>
      <w:r>
        <w:rPr>
          <w:rFonts w:hint="eastAsia" w:ascii="宋体" w:hAnsi="宋体" w:eastAsia="宋体" w:cs="宋体"/>
          <w:bCs/>
          <w:color w:val="auto"/>
          <w:sz w:val="24"/>
          <w:szCs w:val="24"/>
          <w:highlight w:val="none"/>
        </w:rPr>
        <w:t>（若有，请如实填写）</w:t>
      </w:r>
      <w:bookmarkEnd w:id="30"/>
    </w:p>
    <w:p w14:paraId="7C45AD9E">
      <w:pPr>
        <w:pStyle w:val="47"/>
        <w:pageBreakBefore w:val="0"/>
        <w:numPr>
          <w:ilvl w:val="0"/>
          <w:numId w:val="0"/>
        </w:numPr>
        <w:kinsoku/>
        <w:wordWrap/>
        <w:overflowPunct/>
        <w:topLinePunct w:val="0"/>
        <w:bidi w:val="0"/>
        <w:spacing w:beforeAutospacing="0" w:afterAutospacing="0" w:line="400" w:lineRule="exac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报价货币种类：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868"/>
        <w:gridCol w:w="1043"/>
        <w:gridCol w:w="975"/>
        <w:gridCol w:w="1251"/>
        <w:gridCol w:w="1251"/>
        <w:gridCol w:w="1639"/>
      </w:tblGrid>
      <w:tr w14:paraId="6CF6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12" w:type="pct"/>
            <w:noWrap w:val="0"/>
            <w:vAlign w:val="center"/>
          </w:tcPr>
          <w:p w14:paraId="2CB8A01D">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21" w:type="pct"/>
            <w:noWrap w:val="0"/>
            <w:vAlign w:val="center"/>
          </w:tcPr>
          <w:p w14:paraId="59497F1A">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0" w:type="pct"/>
            <w:noWrap w:val="0"/>
            <w:vAlign w:val="center"/>
          </w:tcPr>
          <w:p w14:paraId="6D168777">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3" w:type="pct"/>
            <w:noWrap w:val="0"/>
            <w:vAlign w:val="center"/>
          </w:tcPr>
          <w:p w14:paraId="11A6FF56">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4" w:type="pct"/>
            <w:noWrap w:val="0"/>
            <w:vAlign w:val="center"/>
          </w:tcPr>
          <w:p w14:paraId="7487F3E7">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4" w:type="pct"/>
            <w:noWrap w:val="0"/>
            <w:vAlign w:val="center"/>
          </w:tcPr>
          <w:p w14:paraId="71249BA0">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6" w:type="pct"/>
            <w:noWrap w:val="0"/>
            <w:vAlign w:val="center"/>
          </w:tcPr>
          <w:p w14:paraId="72970FD6">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0C11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12" w:type="pct"/>
            <w:tcBorders>
              <w:bottom w:val="single" w:color="auto" w:sz="6" w:space="0"/>
            </w:tcBorders>
            <w:noWrap w:val="0"/>
            <w:vAlign w:val="center"/>
          </w:tcPr>
          <w:p w14:paraId="6763C256">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标段（包）</w:t>
            </w:r>
          </w:p>
        </w:tc>
        <w:tc>
          <w:tcPr>
            <w:tcW w:w="1021" w:type="pct"/>
            <w:noWrap w:val="0"/>
            <w:vAlign w:val="center"/>
          </w:tcPr>
          <w:p w14:paraId="557930F7">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小型和微型企业产品名称</w:t>
            </w:r>
          </w:p>
        </w:tc>
        <w:tc>
          <w:tcPr>
            <w:tcW w:w="570" w:type="pct"/>
            <w:noWrap w:val="0"/>
            <w:vAlign w:val="center"/>
          </w:tcPr>
          <w:p w14:paraId="2D426A2A">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33" w:type="pct"/>
            <w:noWrap w:val="0"/>
            <w:vAlign w:val="center"/>
          </w:tcPr>
          <w:p w14:paraId="0439D5C1">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c>
          <w:tcPr>
            <w:tcW w:w="684" w:type="pct"/>
            <w:noWrap w:val="0"/>
            <w:vAlign w:val="center"/>
          </w:tcPr>
          <w:p w14:paraId="5EDFD46D">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价格评审扣除金额（元）</w:t>
            </w:r>
          </w:p>
        </w:tc>
        <w:tc>
          <w:tcPr>
            <w:tcW w:w="684" w:type="pct"/>
            <w:noWrap w:val="0"/>
            <w:vAlign w:val="center"/>
          </w:tcPr>
          <w:p w14:paraId="078EBD56">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896" w:type="pct"/>
            <w:noWrap w:val="0"/>
            <w:vAlign w:val="center"/>
          </w:tcPr>
          <w:p w14:paraId="5C0A4BF9">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r>
      <w:tr w14:paraId="34F5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12" w:type="pct"/>
            <w:tcBorders>
              <w:top w:val="single" w:color="auto" w:sz="6" w:space="0"/>
              <w:bottom w:val="single" w:color="auto" w:sz="6" w:space="0"/>
            </w:tcBorders>
            <w:noWrap w:val="0"/>
            <w:vAlign w:val="center"/>
          </w:tcPr>
          <w:p w14:paraId="3F09BD65">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1021" w:type="pct"/>
            <w:noWrap w:val="0"/>
            <w:vAlign w:val="top"/>
          </w:tcPr>
          <w:p w14:paraId="2A0911EB">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70" w:type="pct"/>
            <w:noWrap w:val="0"/>
            <w:vAlign w:val="center"/>
          </w:tcPr>
          <w:p w14:paraId="059E20CF">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33" w:type="pct"/>
            <w:noWrap w:val="0"/>
            <w:vAlign w:val="center"/>
          </w:tcPr>
          <w:p w14:paraId="39F9616A">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14:paraId="7FF14BF3">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14:paraId="4502A8E4">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896" w:type="pct"/>
            <w:noWrap w:val="0"/>
            <w:vAlign w:val="center"/>
          </w:tcPr>
          <w:p w14:paraId="41979503">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r>
      <w:tr w14:paraId="552D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12" w:type="pct"/>
            <w:tcBorders>
              <w:top w:val="single" w:color="auto" w:sz="6" w:space="0"/>
              <w:bottom w:val="single" w:color="auto" w:sz="6" w:space="0"/>
            </w:tcBorders>
            <w:noWrap w:val="0"/>
            <w:vAlign w:val="center"/>
          </w:tcPr>
          <w:p w14:paraId="47DAD6A5">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1021" w:type="pct"/>
            <w:noWrap w:val="0"/>
            <w:vAlign w:val="top"/>
          </w:tcPr>
          <w:p w14:paraId="79415770">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70" w:type="pct"/>
            <w:noWrap w:val="0"/>
            <w:vAlign w:val="center"/>
          </w:tcPr>
          <w:p w14:paraId="5DFC2C91">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33" w:type="pct"/>
            <w:noWrap w:val="0"/>
            <w:vAlign w:val="center"/>
          </w:tcPr>
          <w:p w14:paraId="6B4D9ECE">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14:paraId="7B671733">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14:paraId="6F8A1353">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896" w:type="pct"/>
            <w:noWrap w:val="0"/>
            <w:vAlign w:val="center"/>
          </w:tcPr>
          <w:p w14:paraId="1D9D8369">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r>
      <w:tr w14:paraId="5636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12" w:type="pct"/>
            <w:tcBorders>
              <w:top w:val="single" w:color="auto" w:sz="6" w:space="0"/>
            </w:tcBorders>
            <w:noWrap w:val="0"/>
            <w:vAlign w:val="center"/>
          </w:tcPr>
          <w:p w14:paraId="14F17AFE">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4388" w:type="pct"/>
            <w:gridSpan w:val="6"/>
            <w:noWrap w:val="0"/>
            <w:vAlign w:val="center"/>
          </w:tcPr>
          <w:p w14:paraId="6DF587AD">
            <w:pPr>
              <w:pageBreakBefore w:val="0"/>
              <w:tabs>
                <w:tab w:val="left" w:pos="5355"/>
              </w:tabs>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本标段（包）报价总计：                       （元）</w:t>
            </w:r>
          </w:p>
        </w:tc>
      </w:tr>
      <w:tr w14:paraId="4B8D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pct"/>
            <w:tcBorders>
              <w:top w:val="single" w:color="auto" w:sz="6" w:space="0"/>
            </w:tcBorders>
            <w:noWrap w:val="0"/>
            <w:vAlign w:val="center"/>
          </w:tcPr>
          <w:p w14:paraId="63C0D71B">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4388" w:type="pct"/>
            <w:gridSpan w:val="6"/>
            <w:noWrap w:val="0"/>
            <w:vAlign w:val="center"/>
          </w:tcPr>
          <w:p w14:paraId="5059083E">
            <w:pPr>
              <w:pageBreakBefore w:val="0"/>
              <w:tabs>
                <w:tab w:val="left" w:pos="5355"/>
              </w:tabs>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本标段（包）价格评审扣除金额总计：           （元）</w:t>
            </w:r>
          </w:p>
        </w:tc>
      </w:tr>
    </w:tbl>
    <w:p w14:paraId="6DDA10D2">
      <w:pPr>
        <w:pStyle w:val="47"/>
        <w:pageBreakBefore w:val="0"/>
        <w:numPr>
          <w:ilvl w:val="0"/>
          <w:numId w:val="8"/>
        </w:numPr>
        <w:kinsoku/>
        <w:wordWrap/>
        <w:overflowPunct/>
        <w:topLinePunct w:val="0"/>
        <w:bidi w:val="0"/>
        <w:spacing w:beforeAutospacing="0" w:afterAutospacing="0" w:line="400" w:lineRule="exact"/>
        <w:ind w:left="0" w:firstLine="0"/>
        <w:rPr>
          <w:rFonts w:hint="eastAsia" w:ascii="宋体" w:hAnsi="宋体" w:eastAsia="宋体" w:cs="宋体"/>
          <w:bCs/>
          <w:color w:val="auto"/>
          <w:sz w:val="24"/>
          <w:szCs w:val="24"/>
          <w:highlight w:val="none"/>
        </w:rPr>
      </w:pPr>
    </w:p>
    <w:p w14:paraId="0E6F3603">
      <w:pPr>
        <w:pageBreakBefore w:val="0"/>
        <w:tabs>
          <w:tab w:val="left" w:pos="13000"/>
        </w:tabs>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EC6049">
      <w:pPr>
        <w:pageBreakBefore w:val="0"/>
        <w:kinsoku/>
        <w:wordWrap/>
        <w:overflowPunct/>
        <w:topLinePunct w:val="0"/>
        <w:bidi w:val="0"/>
        <w:spacing w:beforeAutospacing="0" w:afterAutospacing="0"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1、当一个标段（包）内有多个属于小型和微型企业的产品时，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应按序号详细填写。</w:t>
      </w:r>
    </w:p>
    <w:p w14:paraId="60BD897F">
      <w:pPr>
        <w:pageBreakBefore w:val="0"/>
        <w:kinsoku/>
        <w:wordWrap/>
        <w:overflowPunct/>
        <w:topLinePunct w:val="0"/>
        <w:bidi w:val="0"/>
        <w:spacing w:beforeAutospacing="0" w:afterAutospacing="0"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2、栏目5=栏目4×招标文件规定的价格扣除比率的优惠幅度。</w:t>
      </w:r>
    </w:p>
    <w:p w14:paraId="6B70D8DA">
      <w:pPr>
        <w:pageBreakBefore w:val="0"/>
        <w:kinsoku/>
        <w:wordWrap/>
        <w:overflowPunct/>
        <w:topLinePunct w:val="0"/>
        <w:bidi w:val="0"/>
        <w:spacing w:beforeAutospacing="0" w:afterAutospacing="0" w:line="400" w:lineRule="exact"/>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3、若所供应的产品不具备此类评审优惠条件，本“中小价格扣除明细表” 不必填写。</w:t>
      </w:r>
    </w:p>
    <w:p w14:paraId="609D829C">
      <w:pPr>
        <w:pageBreakBefore w:val="0"/>
        <w:kinsoku/>
        <w:wordWrap/>
        <w:overflowPunct/>
        <w:topLinePunct w:val="0"/>
        <w:bidi w:val="0"/>
        <w:spacing w:beforeAutospacing="0" w:afterAutospacing="0" w:line="400" w:lineRule="exact"/>
        <w:ind w:firstLine="600"/>
        <w:rPr>
          <w:rFonts w:hint="eastAsia" w:ascii="宋体" w:hAnsi="宋体" w:eastAsia="宋体" w:cs="宋体"/>
          <w:color w:val="auto"/>
          <w:sz w:val="24"/>
          <w:szCs w:val="24"/>
          <w:highlight w:val="none"/>
        </w:rPr>
      </w:pPr>
    </w:p>
    <w:p w14:paraId="380710A6">
      <w:pPr>
        <w:pageBreakBefore w:val="0"/>
        <w:kinsoku/>
        <w:wordWrap/>
        <w:overflowPunct/>
        <w:topLinePunct w:val="0"/>
        <w:bidi w:val="0"/>
        <w:adjustRightInd w:val="0"/>
        <w:snapToGrid w:val="0"/>
        <w:spacing w:beforeAutospacing="0" w:afterAutospacing="0"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rPr>
        <w:t>（单位公章）</w:t>
      </w:r>
    </w:p>
    <w:p w14:paraId="184FEF88">
      <w:pPr>
        <w:pageBreakBefore w:val="0"/>
        <w:kinsoku/>
        <w:wordWrap/>
        <w:overflowPunct/>
        <w:topLinePunct w:val="0"/>
        <w:bidi w:val="0"/>
        <w:adjustRightInd w:val="0"/>
        <w:snapToGrid w:val="0"/>
        <w:spacing w:beforeAutospacing="0" w:afterAutospacing="0"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或其委托代理人签字：</w:t>
      </w:r>
      <w:r>
        <w:rPr>
          <w:rFonts w:hint="eastAsia" w:ascii="宋体" w:hAnsi="宋体" w:eastAsia="宋体" w:cs="宋体"/>
          <w:color w:val="auto"/>
          <w:sz w:val="24"/>
          <w:szCs w:val="24"/>
          <w:highlight w:val="none"/>
          <w:u w:val="single"/>
        </w:rPr>
        <w:t xml:space="preserve">       </w:t>
      </w:r>
    </w:p>
    <w:p w14:paraId="34E41B77">
      <w:pPr>
        <w:pStyle w:val="23"/>
        <w:pageBreakBefore w:val="0"/>
        <w:kinsoku/>
        <w:wordWrap/>
        <w:overflowPunct/>
        <w:topLinePunct w:val="0"/>
        <w:bidi w:val="0"/>
        <w:spacing w:beforeAutospacing="0" w:after="0" w:afterAutospacing="0" w:line="400" w:lineRule="exact"/>
        <w:ind w:firstLine="480"/>
        <w:jc w:val="righ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B186370">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7EADB88F">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7A0A9E3D">
      <w:pPr>
        <w:pStyle w:val="6"/>
        <w:pageBreakBefore w:val="0"/>
        <w:kinsoku/>
        <w:wordWrap/>
        <w:overflowPunct/>
        <w:topLinePunct w:val="0"/>
        <w:bidi w:val="0"/>
        <w:spacing w:beforeAutospacing="0" w:afterAutospacing="0" w:line="400" w:lineRule="exact"/>
        <w:rPr>
          <w:rFonts w:hint="eastAsia" w:ascii="宋体" w:hAnsi="宋体" w:eastAsia="宋体" w:cs="宋体"/>
          <w:b/>
          <w:color w:val="auto"/>
          <w:kern w:val="0"/>
          <w:sz w:val="24"/>
          <w:szCs w:val="24"/>
          <w:highlight w:val="none"/>
          <w:lang w:val="en-US" w:eastAsia="zh-CN"/>
        </w:rPr>
      </w:pPr>
    </w:p>
    <w:p w14:paraId="110F7D3D">
      <w:pPr>
        <w:pStyle w:val="7"/>
        <w:pageBreakBefore w:val="0"/>
        <w:kinsoku/>
        <w:wordWrap/>
        <w:overflowPunct/>
        <w:topLinePunct w:val="0"/>
        <w:bidi w:val="0"/>
        <w:spacing w:before="0" w:beforeAutospacing="0" w:afterAutospacing="0" w:line="400" w:lineRule="exact"/>
        <w:rPr>
          <w:rFonts w:hint="eastAsia" w:ascii="宋体" w:hAnsi="宋体" w:eastAsia="宋体" w:cs="宋体"/>
          <w:sz w:val="24"/>
          <w:szCs w:val="24"/>
          <w:lang w:val="en-US" w:eastAsia="zh-CN"/>
        </w:rPr>
      </w:pPr>
    </w:p>
    <w:p w14:paraId="181115FA">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24486788">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7BEAA34C">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46BFE23E">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5B3D731F">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12.2</w:t>
      </w:r>
      <w:r>
        <w:rPr>
          <w:rFonts w:hint="eastAsia" w:ascii="宋体" w:hAnsi="宋体" w:eastAsia="宋体" w:cs="宋体"/>
          <w:b/>
          <w:color w:val="auto"/>
          <w:kern w:val="0"/>
          <w:sz w:val="24"/>
          <w:szCs w:val="24"/>
          <w:highlight w:val="none"/>
        </w:rPr>
        <w:t>监狱企业声明函</w:t>
      </w:r>
    </w:p>
    <w:p w14:paraId="298860F1">
      <w:pPr>
        <w:pageBreakBefore w:val="0"/>
        <w:kinsoku/>
        <w:wordWrap/>
        <w:overflowPunct/>
        <w:topLinePunct w:val="0"/>
        <w:bidi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（监狱企业适用）</w:t>
      </w:r>
    </w:p>
    <w:p w14:paraId="49FCC561">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本公司郑重声明，根据《关于政府采购支持监狱企业发展有关问题的通知》（财库[2014]68号）的规定，本公司为监狱企业。</w:t>
      </w:r>
    </w:p>
    <w:p w14:paraId="2EF071C0">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本公司参加______单位的______项目采购活动，采购活动提供本企业（</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填写制造的货物，由本企业承担工程、提供服务）。</w:t>
      </w:r>
    </w:p>
    <w:p w14:paraId="31B840AF">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本条所称货物不包括使用大型企业注册商标的货物和服务。</w:t>
      </w:r>
    </w:p>
    <w:p w14:paraId="11C3444E">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14:paraId="40C8FF41">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p>
    <w:p w14:paraId="042145A8">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企业名称（盖公章）：</w:t>
      </w:r>
    </w:p>
    <w:p w14:paraId="6028FA95">
      <w:pPr>
        <w:pageBreakBefore w:val="0"/>
        <w:kinsoku/>
        <w:wordWrap/>
        <w:overflowPunct/>
        <w:topLinePunct w:val="0"/>
        <w:bidi w:val="0"/>
        <w:spacing w:beforeAutospacing="0" w:afterAutospacing="0" w:line="400" w:lineRule="exact"/>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（负责人）或其授权代表(签字)：</w:t>
      </w:r>
    </w:p>
    <w:p w14:paraId="22DE99CD">
      <w:pPr>
        <w:pageBreakBefore w:val="0"/>
        <w:tabs>
          <w:tab w:val="left" w:pos="2880"/>
        </w:tabs>
        <w:kinsoku/>
        <w:wordWrap/>
        <w:overflowPunct/>
        <w:topLinePunct w:val="0"/>
        <w:bidi w:val="0"/>
        <w:spacing w:beforeAutospacing="0" w:afterAutospacing="0" w:line="40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日期：</w:t>
      </w:r>
    </w:p>
    <w:p w14:paraId="2DAEEFD8">
      <w:pPr>
        <w:pStyle w:val="7"/>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2C57C0F2">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bCs w:val="0"/>
          <w:color w:val="000000"/>
          <w:kern w:val="0"/>
          <w:sz w:val="24"/>
          <w:szCs w:val="24"/>
          <w:highlight w:val="none"/>
          <w:lang w:val="zh-CN"/>
        </w:rPr>
      </w:pPr>
      <w:r>
        <w:rPr>
          <w:rFonts w:hint="eastAsia" w:ascii="宋体" w:hAnsi="宋体" w:eastAsia="宋体" w:cs="宋体"/>
          <w:bCs w:val="0"/>
          <w:color w:val="000000"/>
          <w:kern w:val="0"/>
          <w:sz w:val="24"/>
          <w:szCs w:val="24"/>
          <w:highlight w:val="none"/>
        </w:rPr>
        <w:t>1</w:t>
      </w:r>
      <w:r>
        <w:rPr>
          <w:rFonts w:hint="eastAsia" w:ascii="宋体" w:hAnsi="宋体" w:eastAsia="宋体" w:cs="宋体"/>
          <w:bCs w:val="0"/>
          <w:color w:val="000000"/>
          <w:kern w:val="0"/>
          <w:sz w:val="24"/>
          <w:szCs w:val="24"/>
          <w:highlight w:val="none"/>
          <w:lang w:val="en-US" w:eastAsia="zh-CN"/>
        </w:rPr>
        <w:t>2.3</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残疾人福利性单位声明函</w:t>
      </w:r>
    </w:p>
    <w:p w14:paraId="428ED0B0">
      <w:pPr>
        <w:pStyle w:val="11"/>
        <w:pageBreakBefore w:val="0"/>
        <w:kinsoku/>
        <w:wordWrap/>
        <w:overflowPunct/>
        <w:topLinePunct w:val="0"/>
        <w:bidi w:val="0"/>
        <w:spacing w:beforeAutospacing="0" w:after="0" w:afterAutospacing="0" w:line="400" w:lineRule="exact"/>
        <w:rPr>
          <w:rFonts w:hint="eastAsia" w:ascii="宋体" w:hAnsi="宋体" w:eastAsia="宋体" w:cs="宋体"/>
          <w:color w:val="000000"/>
          <w:sz w:val="24"/>
          <w:szCs w:val="24"/>
          <w:highlight w:val="none"/>
        </w:rPr>
      </w:pPr>
    </w:p>
    <w:p w14:paraId="6BD6CA85">
      <w:pPr>
        <w:pStyle w:val="11"/>
        <w:pageBreakBefore w:val="0"/>
        <w:kinsoku/>
        <w:wordWrap/>
        <w:overflowPunct/>
        <w:topLinePunct w:val="0"/>
        <w:bidi w:val="0"/>
        <w:spacing w:beforeAutospacing="0" w:after="0" w:afterAutospacing="0" w:line="400" w:lineRule="exact"/>
        <w:ind w:left="567" w:right="567" w:firstLine="1512" w:firstLineChars="63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（非残疾人福利性单位投标，不需此件）</w:t>
      </w:r>
    </w:p>
    <w:p w14:paraId="0FAB55EB">
      <w:pPr>
        <w:pStyle w:val="11"/>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本单位郑重声明，根据《财政部 民政部 中国残疾人联合会关于促进残疾人就业政府采购政策的通知》（财库〔2017〕 141 号）的规定，本单位为□符合□不符合（对应勾选）条件的残疾人福利性单位，且本单位参加本项目采购活动由本单位提供服务。 </w:t>
      </w:r>
    </w:p>
    <w:p w14:paraId="6F58D2EC">
      <w:pPr>
        <w:pStyle w:val="11"/>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本单位对上述声明的真实性负责。如有虚假，将依法承担相应责任。 </w:t>
      </w:r>
    </w:p>
    <w:p w14:paraId="128968C4">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p>
    <w:p w14:paraId="4A38E022">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5B14FC14">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14:paraId="1B19E1CD">
      <w:pPr>
        <w:pStyle w:val="11"/>
        <w:pageBreakBefore w:val="0"/>
        <w:tabs>
          <w:tab w:val="left" w:pos="5765"/>
          <w:tab w:val="left" w:pos="8831"/>
          <w:tab w:val="left" w:pos="8927"/>
        </w:tabs>
        <w:kinsoku/>
        <w:wordWrap/>
        <w:overflowPunct/>
        <w:topLinePunct w:val="0"/>
        <w:bidi w:val="0"/>
        <w:spacing w:beforeAutospacing="0" w:after="0" w:afterAutospacing="0" w:line="400" w:lineRule="exact"/>
        <w:ind w:left="4798" w:right="2257" w:hanging="24"/>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ab/>
      </w:r>
      <w:r>
        <w:rPr>
          <w:rFonts w:hint="eastAsia" w:ascii="宋体" w:hAnsi="宋体" w:eastAsia="宋体" w:cs="宋体"/>
          <w:color w:val="000000"/>
          <w:kern w:val="0"/>
          <w:sz w:val="24"/>
          <w:szCs w:val="24"/>
          <w:highlight w:val="none"/>
          <w:lang w:val="zh-CN"/>
        </w:rPr>
        <w:tab/>
      </w:r>
    </w:p>
    <w:p w14:paraId="47DF02EE">
      <w:pPr>
        <w:pStyle w:val="33"/>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rPr>
        <w:t>日</w:t>
      </w:r>
      <w:r>
        <w:rPr>
          <w:rFonts w:hint="eastAsia" w:ascii="宋体" w:hAnsi="宋体" w:eastAsia="宋体" w:cs="宋体"/>
          <w:color w:val="000000"/>
          <w:sz w:val="24"/>
          <w:szCs w:val="24"/>
          <w:highlight w:val="none"/>
          <w:lang w:val="zh-CN"/>
        </w:rPr>
        <w:tab/>
      </w:r>
      <w:r>
        <w:rPr>
          <w:rFonts w:hint="eastAsia" w:ascii="宋体" w:hAnsi="宋体" w:eastAsia="宋体" w:cs="宋体"/>
          <w:color w:val="000000"/>
          <w:sz w:val="24"/>
          <w:szCs w:val="24"/>
          <w:highlight w:val="none"/>
          <w:lang w:val="zh-CN"/>
        </w:rPr>
        <w:t>期：</w:t>
      </w:r>
    </w:p>
    <w:p w14:paraId="0E45C4D1">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31" w:name="_Toc3634"/>
      <w:bookmarkStart w:id="32" w:name="_Toc9299"/>
      <w:bookmarkStart w:id="33" w:name="_Toc17566"/>
      <w:bookmarkStart w:id="34" w:name="_Toc29831"/>
    </w:p>
    <w:p w14:paraId="12387784">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16BDCF35">
      <w:pPr>
        <w:pStyle w:val="23"/>
        <w:rPr>
          <w:rFonts w:hint="eastAsia" w:ascii="宋体" w:hAnsi="宋体" w:eastAsia="宋体" w:cs="宋体"/>
          <w:b/>
          <w:bCs/>
          <w:color w:val="000000"/>
          <w:sz w:val="24"/>
          <w:szCs w:val="24"/>
          <w:highlight w:val="none"/>
        </w:rPr>
      </w:pPr>
    </w:p>
    <w:p w14:paraId="3E24BC5A">
      <w:pPr>
        <w:pStyle w:val="23"/>
        <w:rPr>
          <w:rFonts w:hint="eastAsia" w:ascii="宋体" w:hAnsi="宋体" w:eastAsia="宋体" w:cs="宋体"/>
          <w:b/>
          <w:bCs/>
          <w:color w:val="000000"/>
          <w:sz w:val="24"/>
          <w:szCs w:val="24"/>
          <w:highlight w:val="none"/>
        </w:rPr>
      </w:pPr>
    </w:p>
    <w:p w14:paraId="0DB5744F">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13</w:t>
      </w:r>
      <w:r>
        <w:rPr>
          <w:rFonts w:hint="eastAsia" w:ascii="宋体" w:hAnsi="宋体" w:eastAsia="宋体" w:cs="宋体"/>
          <w:color w:val="000000"/>
          <w:sz w:val="24"/>
          <w:szCs w:val="24"/>
          <w:highlight w:val="none"/>
        </w:rPr>
        <w:t>投标保证金收据影印件</w:t>
      </w:r>
      <w:r>
        <w:rPr>
          <w:rFonts w:hint="eastAsia" w:ascii="宋体" w:hAnsi="宋体" w:eastAsia="宋体" w:cs="宋体"/>
          <w:color w:val="000000"/>
          <w:sz w:val="24"/>
          <w:szCs w:val="24"/>
          <w:highlight w:val="none"/>
          <w:lang w:eastAsia="zh-CN"/>
        </w:rPr>
        <w:t>、开户许可证</w:t>
      </w:r>
      <w:r>
        <w:rPr>
          <w:rFonts w:hint="eastAsia" w:ascii="宋体" w:hAnsi="宋体" w:eastAsia="宋体" w:cs="宋体"/>
          <w:color w:val="000000"/>
          <w:sz w:val="24"/>
          <w:szCs w:val="24"/>
          <w:highlight w:val="none"/>
        </w:rPr>
        <w:t>影印件；</w:t>
      </w:r>
    </w:p>
    <w:p w14:paraId="0443E0F0">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14</w:t>
      </w:r>
      <w:r>
        <w:rPr>
          <w:rFonts w:hint="eastAsia" w:ascii="宋体" w:hAnsi="宋体" w:eastAsia="宋体" w:cs="宋体"/>
          <w:color w:val="000000"/>
          <w:sz w:val="24"/>
          <w:szCs w:val="24"/>
          <w:highlight w:val="none"/>
        </w:rPr>
        <w:t>投标人认为有必要提供的声明及文件资料。</w:t>
      </w:r>
    </w:p>
    <w:p w14:paraId="387AD677">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6D499D30">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39311D10">
      <w:pPr>
        <w:pageBreakBefore w:val="0"/>
        <w:kinsoku/>
        <w:wordWrap/>
        <w:overflowPunct/>
        <w:topLinePunct w:val="0"/>
        <w:bidi w:val="0"/>
        <w:spacing w:beforeAutospacing="0" w:afterAutospacing="0" w:line="400" w:lineRule="exact"/>
        <w:jc w:val="both"/>
        <w:outlineLvl w:val="0"/>
        <w:rPr>
          <w:rFonts w:hint="eastAsia" w:ascii="宋体" w:hAnsi="宋体" w:eastAsia="宋体" w:cs="宋体"/>
          <w:b/>
          <w:bCs/>
          <w:color w:val="000000"/>
          <w:sz w:val="24"/>
          <w:szCs w:val="24"/>
          <w:highlight w:val="none"/>
        </w:rPr>
      </w:pPr>
    </w:p>
    <w:p w14:paraId="002563C8">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第三部分  技术部分</w:t>
      </w:r>
      <w:bookmarkEnd w:id="31"/>
      <w:bookmarkEnd w:id="32"/>
      <w:bookmarkEnd w:id="33"/>
      <w:bookmarkEnd w:id="34"/>
    </w:p>
    <w:p w14:paraId="3A02E765">
      <w:pPr>
        <w:pageBreakBefore w:val="0"/>
        <w:kinsoku/>
        <w:wordWrap/>
        <w:overflowPunct/>
        <w:topLinePunct w:val="0"/>
        <w:bidi w:val="0"/>
        <w:spacing w:beforeAutospacing="0" w:afterAutospacing="0" w:line="400" w:lineRule="exact"/>
        <w:ind w:left="2880" w:hanging="2880"/>
        <w:jc w:val="center"/>
        <w:rPr>
          <w:rFonts w:hint="eastAsia" w:ascii="宋体" w:hAnsi="宋体" w:eastAsia="宋体" w:cs="宋体"/>
          <w:b/>
          <w:color w:val="000000"/>
          <w:sz w:val="24"/>
          <w:szCs w:val="24"/>
          <w:highlight w:val="none"/>
        </w:rPr>
      </w:pPr>
    </w:p>
    <w:p w14:paraId="4B1CEAE6">
      <w:pPr>
        <w:pageBreakBefore w:val="0"/>
        <w:kinsoku/>
        <w:wordWrap/>
        <w:overflowPunct/>
        <w:topLinePunct w:val="0"/>
        <w:bidi w:val="0"/>
        <w:spacing w:beforeAutospacing="0" w:afterAutospacing="0" w:line="400" w:lineRule="exact"/>
        <w:ind w:left="2880" w:hanging="2880"/>
        <w:jc w:val="center"/>
        <w:rPr>
          <w:rFonts w:hint="eastAsia" w:ascii="宋体" w:hAnsi="宋体" w:eastAsia="宋体" w:cs="宋体"/>
          <w:b/>
          <w:color w:val="000000"/>
          <w:sz w:val="24"/>
          <w:szCs w:val="24"/>
          <w:highlight w:val="none"/>
        </w:rPr>
      </w:pPr>
    </w:p>
    <w:p w14:paraId="0C379708">
      <w:pPr>
        <w:pageBreakBefore w:val="0"/>
        <w:kinsoku/>
        <w:wordWrap/>
        <w:overflowPunct/>
        <w:topLinePunct w:val="0"/>
        <w:bidi w:val="0"/>
        <w:spacing w:beforeAutospacing="0" w:afterAutospacing="0" w:line="400" w:lineRule="exact"/>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配备的人员</w:t>
      </w:r>
      <w:r>
        <w:rPr>
          <w:rFonts w:hint="eastAsia" w:ascii="宋体" w:hAnsi="宋体" w:eastAsia="宋体" w:cs="宋体"/>
          <w:b w:val="0"/>
          <w:bCs/>
          <w:sz w:val="24"/>
          <w:szCs w:val="24"/>
          <w:highlight w:val="none"/>
        </w:rPr>
        <w:t>主要成员表</w:t>
      </w:r>
    </w:p>
    <w:tbl>
      <w:tblPr>
        <w:tblStyle w:val="24"/>
        <w:tblpPr w:leftFromText="180" w:rightFromText="180" w:vertAnchor="text" w:horzAnchor="page" w:tblpXSpec="center" w:tblpY="566"/>
        <w:tblOverlap w:val="never"/>
        <w:tblW w:w="7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456"/>
        <w:gridCol w:w="3309"/>
        <w:gridCol w:w="1086"/>
      </w:tblGrid>
      <w:tr w14:paraId="401B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54" w:type="dxa"/>
            <w:vAlign w:val="center"/>
          </w:tcPr>
          <w:p w14:paraId="604FD06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456" w:type="dxa"/>
            <w:vAlign w:val="center"/>
          </w:tcPr>
          <w:p w14:paraId="3BAF40A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3309" w:type="dxa"/>
            <w:vAlign w:val="center"/>
          </w:tcPr>
          <w:p w14:paraId="7175DF5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本项目中拟担任职务</w:t>
            </w:r>
          </w:p>
        </w:tc>
        <w:tc>
          <w:tcPr>
            <w:tcW w:w="1086" w:type="dxa"/>
            <w:vAlign w:val="center"/>
          </w:tcPr>
          <w:p w14:paraId="412B36F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14:paraId="733D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1B5D8E4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vAlign w:val="center"/>
          </w:tcPr>
          <w:p w14:paraId="73166E9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vAlign w:val="center"/>
          </w:tcPr>
          <w:p w14:paraId="24C8260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vAlign w:val="center"/>
          </w:tcPr>
          <w:p w14:paraId="11EF99B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78A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591589A1">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0EF9BB6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317DA1F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515A511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DC1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02C3FF56">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4390E03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1842E85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6E7AFDE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F9F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22630E2A">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3FDD470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56E8D54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02C6C7C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AC6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79BB086E">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5762837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797DD87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1096E38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7F9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56EE9CCC">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4F7B131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66DDEB4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60B336F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5717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02AA84C8">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303C16E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2142194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77A33A4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1028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34D3C1B8">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13877A2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5D607CF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15699D9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906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3DB27DA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771D6A7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26E76B4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1C225E4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BA8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774EB49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5783ED6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0DF48F7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7D7E5D3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7811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7562739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4A3EB2C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34D5440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14:paraId="43A12A0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14:paraId="26390C53">
      <w:pPr>
        <w:pStyle w:val="3"/>
        <w:pageBreakBefore w:val="0"/>
        <w:kinsoku/>
        <w:wordWrap/>
        <w:overflowPunct/>
        <w:topLinePunct w:val="0"/>
        <w:bidi w:val="0"/>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以上人员</w:t>
      </w:r>
      <w:r>
        <w:rPr>
          <w:rFonts w:hint="eastAsia" w:ascii="宋体" w:hAnsi="宋体" w:eastAsia="宋体" w:cs="宋体"/>
          <w:color w:val="auto"/>
          <w:sz w:val="24"/>
          <w:szCs w:val="24"/>
          <w:highlight w:val="none"/>
        </w:rPr>
        <w:t>必须附上有效的身份证正反面扫描件、经社保管理单位盖章确认的近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个月由投标人进行社保缴纳的证明材料。</w:t>
      </w:r>
    </w:p>
    <w:p w14:paraId="4B7E27E4">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60BC70F8">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法定代表人或其委托代理人：（签字或盖章）</w:t>
      </w:r>
    </w:p>
    <w:p w14:paraId="513FA7FB">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lang w:eastAsia="zh-CN"/>
        </w:rPr>
        <w:t>：</w:t>
      </w:r>
    </w:p>
    <w:p w14:paraId="62560C15">
      <w:pPr>
        <w:pStyle w:val="23"/>
        <w:ind w:left="0" w:leftChars="0" w:firstLine="0" w:firstLineChars="0"/>
        <w:rPr>
          <w:rFonts w:hint="eastAsia" w:ascii="宋体" w:hAnsi="宋体" w:eastAsia="宋体" w:cs="宋体"/>
          <w:color w:val="000000"/>
          <w:sz w:val="24"/>
          <w:szCs w:val="24"/>
          <w:highlight w:val="none"/>
          <w:lang w:eastAsia="zh-CN"/>
        </w:rPr>
      </w:pPr>
    </w:p>
    <w:p w14:paraId="39D51F28">
      <w:pPr>
        <w:pStyle w:val="23"/>
        <w:ind w:left="0" w:leftChars="0" w:firstLine="0" w:firstLineChars="0"/>
        <w:rPr>
          <w:rFonts w:hint="eastAsia" w:ascii="宋体" w:hAnsi="宋体" w:eastAsia="宋体" w:cs="宋体"/>
          <w:color w:val="000000"/>
          <w:sz w:val="24"/>
          <w:szCs w:val="24"/>
          <w:highlight w:val="none"/>
          <w:lang w:eastAsia="zh-CN"/>
        </w:rPr>
      </w:pPr>
    </w:p>
    <w:p w14:paraId="43B0CBCB">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2项目实施方案（格式自拟，根据评标办法提供）</w:t>
      </w:r>
    </w:p>
    <w:p w14:paraId="5C200E78">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3供货进度计划及保证（格式自拟，根据评标办法提供）</w:t>
      </w:r>
    </w:p>
    <w:p w14:paraId="63D5C05B">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4售后服务规划方案（格式自拟，根据评标办法提供）</w:t>
      </w:r>
    </w:p>
    <w:p w14:paraId="50A17A2C">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5质量保证能力（格式自拟，根据评标办法提供）</w:t>
      </w:r>
    </w:p>
    <w:p w14:paraId="57EDB71D">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6企业的承诺及优惠条件（格式自拟，根据评标办法提供）</w:t>
      </w:r>
    </w:p>
    <w:p w14:paraId="4221E243">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19D2BD7A">
      <w:pPr>
        <w:pageBreakBefore w:val="0"/>
        <w:kinsoku/>
        <w:wordWrap/>
        <w:overflowPunct/>
        <w:topLinePunct w:val="0"/>
        <w:bidi w:val="0"/>
        <w:spacing w:beforeAutospacing="0" w:afterAutospacing="0" w:line="400" w:lineRule="exact"/>
        <w:ind w:left="2890" w:leftChars="200" w:hanging="2470" w:hangingChars="1025"/>
        <w:jc w:val="left"/>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7</w:t>
      </w:r>
      <w:r>
        <w:rPr>
          <w:rFonts w:hint="eastAsia" w:ascii="宋体" w:hAnsi="宋体" w:eastAsia="宋体" w:cs="宋体"/>
          <w:b/>
          <w:color w:val="000000"/>
          <w:sz w:val="24"/>
          <w:szCs w:val="24"/>
          <w:highlight w:val="none"/>
        </w:rPr>
        <w:t>技术条款偏离表</w:t>
      </w:r>
    </w:p>
    <w:p w14:paraId="0228F6AB">
      <w:pPr>
        <w:pageBreakBefore w:val="0"/>
        <w:kinsoku/>
        <w:wordWrap/>
        <w:overflowPunct/>
        <w:topLinePunct w:val="0"/>
        <w:bidi w:val="0"/>
        <w:spacing w:beforeAutospacing="0" w:afterAutospacing="0" w:line="400" w:lineRule="exact"/>
        <w:ind w:left="2880" w:leftChars="200" w:hanging="2460" w:hangingChars="102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p>
    <w:p w14:paraId="5F66889D">
      <w:pPr>
        <w:pageBreakBefore w:val="0"/>
        <w:kinsoku/>
        <w:wordWrap/>
        <w:overflowPunct/>
        <w:topLinePunct w:val="0"/>
        <w:bidi w:val="0"/>
        <w:spacing w:beforeAutospacing="0" w:afterAutospacing="0" w:line="400" w:lineRule="exact"/>
        <w:ind w:left="2880" w:leftChars="200" w:hanging="2460" w:hangingChars="102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招标编号：</w:t>
      </w:r>
    </w:p>
    <w:p w14:paraId="5050D020">
      <w:pPr>
        <w:pStyle w:val="23"/>
        <w:rPr>
          <w:rFonts w:hint="eastAsia" w:ascii="宋体" w:hAnsi="宋体" w:eastAsia="宋体" w:cs="宋体"/>
          <w:lang w:val="en-US"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93"/>
        <w:gridCol w:w="2227"/>
        <w:gridCol w:w="1600"/>
        <w:gridCol w:w="1134"/>
      </w:tblGrid>
      <w:tr w14:paraId="42AC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14:paraId="0DBF674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093" w:type="dxa"/>
            <w:vAlign w:val="center"/>
          </w:tcPr>
          <w:p w14:paraId="7D85783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招标规格</w:t>
            </w:r>
          </w:p>
        </w:tc>
        <w:tc>
          <w:tcPr>
            <w:tcW w:w="2227" w:type="dxa"/>
            <w:vAlign w:val="center"/>
          </w:tcPr>
          <w:p w14:paraId="731D3B9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投标规格</w:t>
            </w:r>
          </w:p>
        </w:tc>
        <w:tc>
          <w:tcPr>
            <w:tcW w:w="1600" w:type="dxa"/>
            <w:vAlign w:val="center"/>
          </w:tcPr>
          <w:p w14:paraId="3F7F1F2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偏离</w:t>
            </w:r>
          </w:p>
        </w:tc>
        <w:tc>
          <w:tcPr>
            <w:tcW w:w="1134" w:type="dxa"/>
            <w:vAlign w:val="center"/>
          </w:tcPr>
          <w:p w14:paraId="44DFE69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14:paraId="35E0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820" w:type="dxa"/>
            <w:vAlign w:val="center"/>
          </w:tcPr>
          <w:p w14:paraId="3383FA6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093" w:type="dxa"/>
            <w:vAlign w:val="center"/>
          </w:tcPr>
          <w:p w14:paraId="63982DA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2C7CF86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10CC7F4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3208B974">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2A30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0" w:type="dxa"/>
            <w:vAlign w:val="center"/>
          </w:tcPr>
          <w:p w14:paraId="655CE0D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093" w:type="dxa"/>
            <w:vAlign w:val="center"/>
          </w:tcPr>
          <w:p w14:paraId="7D9AB74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1114478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129C3493">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29BFAF0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3798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0" w:type="dxa"/>
            <w:vAlign w:val="center"/>
          </w:tcPr>
          <w:p w14:paraId="6982CA0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093" w:type="dxa"/>
            <w:vAlign w:val="center"/>
          </w:tcPr>
          <w:p w14:paraId="2C1C17B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1D29858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06EA64D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152E407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6F5C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820" w:type="dxa"/>
            <w:vAlign w:val="center"/>
          </w:tcPr>
          <w:p w14:paraId="3A64A40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093" w:type="dxa"/>
            <w:vAlign w:val="center"/>
          </w:tcPr>
          <w:p w14:paraId="7705B59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772496E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4255466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62FFE77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bl>
    <w:p w14:paraId="6667750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11A9F0A">
      <w:pPr>
        <w:pageBreakBefore w:val="0"/>
        <w:kinsoku/>
        <w:wordWrap/>
        <w:overflowPunct/>
        <w:topLinePunct w:val="0"/>
        <w:bidi w:val="0"/>
        <w:spacing w:beforeAutospacing="0" w:afterAutospacing="0" w:line="400" w:lineRule="exact"/>
        <w:ind w:left="525" w:right="292" w:rightChars="139" w:hanging="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注：投标人必须对应招标文件的第</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章“</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需求书”的内容逐条响应。如有缺漏，缺漏项视同不符合招标要求。投标人响应采购需求应具体、明确，含糊不清、不确切或伪造、变造证明材料的，按照不完全响应或者完全不响应处理。构成提供虚假材料的，移送监管部门查处。</w:t>
      </w:r>
    </w:p>
    <w:p w14:paraId="4915E34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46699AFD">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73AB52E8">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7501097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83F523F">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60C9D24F">
      <w:pPr>
        <w:pageBreakBefore w:val="0"/>
        <w:kinsoku/>
        <w:wordWrap/>
        <w:overflowPunct/>
        <w:topLinePunct w:val="0"/>
        <w:bidi w:val="0"/>
        <w:spacing w:beforeAutospacing="0" w:afterAutospacing="0" w:line="400" w:lineRule="exact"/>
        <w:jc w:val="right"/>
        <w:rPr>
          <w:rFonts w:hint="eastAsia" w:ascii="宋体" w:hAnsi="宋体" w:eastAsia="宋体" w:cs="宋体"/>
          <w:sz w:val="24"/>
          <w:szCs w:val="24"/>
        </w:rPr>
      </w:pPr>
      <w:r>
        <w:rPr>
          <w:rFonts w:hint="eastAsia" w:ascii="宋体" w:hAnsi="宋体" w:eastAsia="宋体" w:cs="宋体"/>
          <w:color w:val="000000"/>
          <w:sz w:val="24"/>
          <w:szCs w:val="24"/>
          <w:highlight w:val="none"/>
        </w:rPr>
        <w:t>日期：   年   月   日</w:t>
      </w:r>
    </w:p>
    <w:p w14:paraId="11D9F45C">
      <w:pPr>
        <w:pStyle w:val="6"/>
        <w:rPr>
          <w:rFonts w:hint="eastAsia" w:ascii="宋体" w:hAnsi="宋体" w:eastAsia="宋体" w:cs="宋体"/>
          <w:sz w:val="24"/>
          <w:szCs w:val="24"/>
        </w:rPr>
      </w:pPr>
    </w:p>
    <w:p w14:paraId="6EA6E653">
      <w:pPr>
        <w:pStyle w:val="6"/>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14:paraId="53931553">
      <w:pPr>
        <w:pStyle w:val="6"/>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投标人认为需要提供的其他资料</w:t>
      </w:r>
    </w:p>
    <w:p w14:paraId="0D4ABFB4">
      <w:pPr>
        <w:rPr>
          <w:rFonts w:hint="eastAsia"/>
        </w:rPr>
      </w:pPr>
    </w:p>
    <w:sectPr>
      <w:footerReference r:id="rId14" w:type="default"/>
      <w:pgSz w:w="11906" w:h="16838"/>
      <w:pgMar w:top="1559" w:right="1416" w:bottom="1134" w:left="1560" w:header="851" w:footer="68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E317E7-507D-450D-9358-C1960CBE77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仿宋">
    <w:panose1 w:val="02010609060101010101"/>
    <w:charset w:val="86"/>
    <w:family w:val="auto"/>
    <w:pitch w:val="default"/>
    <w:sig w:usb0="800002BF" w:usb1="38CF7CFA" w:usb2="00000016" w:usb3="00000000" w:csb0="00040001" w:csb1="00000000"/>
    <w:embedRegular r:id="rId2" w:fontKey="{C9D01182-EE71-4A86-8131-1838F4C71A25}"/>
  </w:font>
  <w:font w:name="仿宋_GB2312">
    <w:panose1 w:val="02010609030101010101"/>
    <w:charset w:val="86"/>
    <w:family w:val="modern"/>
    <w:pitch w:val="default"/>
    <w:sig w:usb0="00000001" w:usb1="080E0000" w:usb2="00000000" w:usb3="00000000" w:csb0="00040000" w:csb1="00000000"/>
    <w:embedRegular r:id="rId3" w:fontKey="{AB54528D-7870-4807-8682-0D4CF6AFEE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776BA">
    <w:pPr>
      <w:pStyle w:val="16"/>
      <w:tabs>
        <w:tab w:val="left" w:pos="5201"/>
        <w:tab w:val="clear" w:pos="4153"/>
      </w:tabs>
      <w:ind w:firstLine="3960" w:firstLineChars="2200"/>
      <w:rPr>
        <w:rFonts w:hint="default" w:eastAsia="宋体"/>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BC5B">
    <w:pPr>
      <w:pStyle w:val="16"/>
      <w:jc w:val="center"/>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1B75B">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E31B75B">
                    <w:pPr>
                      <w:pStyle w:val="1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D536">
    <w:pPr>
      <w:pStyle w:val="16"/>
      <w:ind w:right="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7E419">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707E419">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D8FD">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C673C">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6EAFC">
                          <w:pPr>
                            <w:pStyle w:val="1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5E6EAFC">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B378B">
    <w:pPr>
      <w:pStyle w:val="16"/>
    </w:pPr>
    <w:r>
      <w:rPr>
        <w:sz w:val="18"/>
      </w:rPr>
      <mc:AlternateContent>
        <mc:Choice Requires="wps">
          <w:drawing>
            <wp:anchor distT="0" distB="0" distL="114300" distR="114300" simplePos="0" relativeHeight="251660288" behindDoc="0" locked="0" layoutInCell="1" allowOverlap="1">
              <wp:simplePos x="0" y="0"/>
              <wp:positionH relativeFrom="margin">
                <wp:posOffset>2593975</wp:posOffset>
              </wp:positionH>
              <wp:positionV relativeFrom="paragraph">
                <wp:posOffset>-419100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E98BD">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25pt;margin-top:-33pt;height:144pt;width:144pt;mso-position-horizontal-relative:margin;mso-wrap-style:none;z-index:251660288;mso-width-relative:page;mso-height-relative:page;" filled="f" stroked="f" coordsize="21600,21600" o:gfxdata="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4BhWNgAAAALAQAADwAAAAAAAAABACAAAAAiAAAAZHJzL2Rvd25yZXYueG1s&#10;UEsBAhQAFAAAAAgAh07iQGz+8ZExAgAAYwQAAA4AAAAAAAAAAQAgAAAAJwEAAGRycy9lMm9Eb2Mu&#10;eG1sUEsFBgAAAAAGAAYAWQEAAMoFAAAAAA==&#10;">
              <v:fill on="f" focussize="0,0"/>
              <v:stroke on="f" weight="0.5pt"/>
              <v:imagedata o:title=""/>
              <o:lock v:ext="edit" aspectratio="f"/>
              <v:textbox inset="0mm,0mm,0mm,0mm" style="mso-fit-shape-to-text:t;">
                <w:txbxContent>
                  <w:p w14:paraId="20CE98BD">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DEA2">
    <w:pPr>
      <w:pStyle w:val="16"/>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EB8CD">
                          <w:pPr>
                            <w:pStyle w:val="1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6FEB8CD">
                    <w:pPr>
                      <w:pStyle w:val="1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A99E3">
    <w:pPr>
      <w:pStyle w:val="16"/>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FD6DF">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B4FD6DF">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0A9A">
    <w:pPr>
      <w:pStyle w:val="16"/>
      <w:tabs>
        <w:tab w:val="left" w:pos="5201"/>
        <w:tab w:val="clear" w:pos="4153"/>
      </w:tabs>
      <w:ind w:firstLine="3960" w:firstLineChars="2200"/>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25507">
                          <w:pPr>
                            <w:pStyle w:val="1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2A25507">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0D201">
    <w:pPr>
      <w:pStyle w:val="16"/>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BBC4A">
                          <w:pPr>
                            <w:pStyle w:val="1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1CBBC4A">
                    <w:pPr>
                      <w:pStyle w:val="1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38C5">
    <w:pPr>
      <w:pStyle w:val="16"/>
      <w:tabs>
        <w:tab w:val="left" w:pos="5201"/>
        <w:tab w:val="clear" w:pos="4153"/>
      </w:tabs>
      <w:ind w:firstLine="3960" w:firstLineChars="2200"/>
      <w:rPr>
        <w:rFonts w:hint="default"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008EB">
                          <w:pPr>
                            <w:pStyle w:val="1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4008EB">
                    <w:pPr>
                      <w:pStyle w:val="1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A836C">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D9629"/>
    <w:multiLevelType w:val="singleLevel"/>
    <w:tmpl w:val="8D6D9629"/>
    <w:lvl w:ilvl="0" w:tentative="0">
      <w:start w:val="1"/>
      <w:numFmt w:val="decimal"/>
      <w:suff w:val="nothing"/>
      <w:lvlText w:val="%1、"/>
      <w:lvlJc w:val="left"/>
    </w:lvl>
  </w:abstractNum>
  <w:abstractNum w:abstractNumId="1">
    <w:nsid w:val="92674F81"/>
    <w:multiLevelType w:val="singleLevel"/>
    <w:tmpl w:val="92674F81"/>
    <w:lvl w:ilvl="0" w:tentative="0">
      <w:start w:val="2"/>
      <w:numFmt w:val="decimal"/>
      <w:lvlText w:val="%1."/>
      <w:lvlJc w:val="left"/>
      <w:pPr>
        <w:tabs>
          <w:tab w:val="left" w:pos="312"/>
        </w:tabs>
      </w:pPr>
    </w:lvl>
  </w:abstractNum>
  <w:abstractNum w:abstractNumId="2">
    <w:nsid w:val="0000000F"/>
    <w:multiLevelType w:val="multilevel"/>
    <w:tmpl w:val="0000000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FCC1C4A"/>
    <w:multiLevelType w:val="singleLevel"/>
    <w:tmpl w:val="0FCC1C4A"/>
    <w:lvl w:ilvl="0" w:tentative="0">
      <w:start w:val="5"/>
      <w:numFmt w:val="chineseCounting"/>
      <w:suff w:val="space"/>
      <w:lvlText w:val="第%1章"/>
      <w:lvlJc w:val="left"/>
      <w:rPr>
        <w:rFonts w:hint="eastAsia"/>
      </w:rPr>
    </w:lvl>
  </w:abstractNum>
  <w:abstractNum w:abstractNumId="4">
    <w:nsid w:val="2E16D48F"/>
    <w:multiLevelType w:val="singleLevel"/>
    <w:tmpl w:val="2E16D48F"/>
    <w:lvl w:ilvl="0" w:tentative="0">
      <w:start w:val="2"/>
      <w:numFmt w:val="decimal"/>
      <w:suff w:val="nothing"/>
      <w:lvlText w:val="（%1）"/>
      <w:lvlJc w:val="left"/>
    </w:lvl>
  </w:abstractNum>
  <w:abstractNum w:abstractNumId="5">
    <w:nsid w:val="511E2E1F"/>
    <w:multiLevelType w:val="multilevel"/>
    <w:tmpl w:val="511E2E1F"/>
    <w:lvl w:ilvl="0" w:tentative="0">
      <w:start w:val="25"/>
      <w:numFmt w:val="decimal"/>
      <w:lvlText w:val="%1"/>
      <w:lvlJc w:val="left"/>
      <w:pPr>
        <w:tabs>
          <w:tab w:val="left" w:pos="480"/>
        </w:tabs>
        <w:ind w:left="480" w:hanging="480"/>
      </w:pPr>
      <w:rPr>
        <w:rFonts w:hint="default"/>
      </w:rPr>
    </w:lvl>
    <w:lvl w:ilvl="1" w:tentative="0">
      <w:start w:val="6"/>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57A9A282"/>
    <w:multiLevelType w:val="singleLevel"/>
    <w:tmpl w:val="57A9A282"/>
    <w:lvl w:ilvl="0" w:tentative="0">
      <w:start w:val="3"/>
      <w:numFmt w:val="decimal"/>
      <w:suff w:val="nothing"/>
      <w:lvlText w:val="%1、"/>
      <w:lvlJc w:val="left"/>
    </w:lvl>
  </w:abstractNum>
  <w:abstractNum w:abstractNumId="7">
    <w:nsid w:val="5920E9B3"/>
    <w:multiLevelType w:val="singleLevel"/>
    <w:tmpl w:val="5920E9B3"/>
    <w:lvl w:ilvl="0" w:tentative="0">
      <w:start w:val="1"/>
      <w:numFmt w:val="chineseCounting"/>
      <w:suff w:val="space"/>
      <w:lvlText w:val="第%1部分"/>
      <w:lvlJc w:val="left"/>
      <w:rPr>
        <w:rFonts w:hint="eastAsia"/>
      </w:rPr>
    </w:lvl>
  </w:abstractNum>
  <w:num w:numId="1">
    <w:abstractNumId w:val="4"/>
  </w:num>
  <w:num w:numId="2">
    <w:abstractNumId w:val="6"/>
  </w:num>
  <w:num w:numId="3">
    <w:abstractNumId w:val="3"/>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ODczY2Y2ZWYxNzQxN2M3ZjAxYjNhMzI2NDIwOGQifQ=="/>
    <w:docVar w:name="KSO_WPS_MARK_KEY" w:val="1e1a2d9e-4ec6-4b5f-8e44-5e090a195366"/>
  </w:docVars>
  <w:rsids>
    <w:rsidRoot w:val="595C61D5"/>
    <w:rsid w:val="000B44D3"/>
    <w:rsid w:val="000F6A86"/>
    <w:rsid w:val="00101AE9"/>
    <w:rsid w:val="00143372"/>
    <w:rsid w:val="00207A14"/>
    <w:rsid w:val="00264E69"/>
    <w:rsid w:val="002E01C1"/>
    <w:rsid w:val="00443541"/>
    <w:rsid w:val="0047478A"/>
    <w:rsid w:val="004C6C27"/>
    <w:rsid w:val="005D2854"/>
    <w:rsid w:val="00610597"/>
    <w:rsid w:val="00663916"/>
    <w:rsid w:val="0066795B"/>
    <w:rsid w:val="00703122"/>
    <w:rsid w:val="00846033"/>
    <w:rsid w:val="008B7D2A"/>
    <w:rsid w:val="008C6C96"/>
    <w:rsid w:val="00930024"/>
    <w:rsid w:val="009A4CCE"/>
    <w:rsid w:val="009A7605"/>
    <w:rsid w:val="00A364B9"/>
    <w:rsid w:val="00A52A4E"/>
    <w:rsid w:val="00AB7A64"/>
    <w:rsid w:val="00AD7338"/>
    <w:rsid w:val="00AE30B0"/>
    <w:rsid w:val="00B20DF2"/>
    <w:rsid w:val="00BF706B"/>
    <w:rsid w:val="00CD79DA"/>
    <w:rsid w:val="00CF2BFF"/>
    <w:rsid w:val="00D47748"/>
    <w:rsid w:val="00D64AE1"/>
    <w:rsid w:val="00DA1DA8"/>
    <w:rsid w:val="00DE1C00"/>
    <w:rsid w:val="00E100E8"/>
    <w:rsid w:val="00E32D5A"/>
    <w:rsid w:val="00E52F76"/>
    <w:rsid w:val="00EB60B2"/>
    <w:rsid w:val="00EC00DA"/>
    <w:rsid w:val="00F05477"/>
    <w:rsid w:val="00F22F9D"/>
    <w:rsid w:val="0102159D"/>
    <w:rsid w:val="01101675"/>
    <w:rsid w:val="011473B7"/>
    <w:rsid w:val="01176EA7"/>
    <w:rsid w:val="01347A59"/>
    <w:rsid w:val="013730A5"/>
    <w:rsid w:val="01395070"/>
    <w:rsid w:val="013C246A"/>
    <w:rsid w:val="01415CD2"/>
    <w:rsid w:val="014572F8"/>
    <w:rsid w:val="01487061"/>
    <w:rsid w:val="014A102B"/>
    <w:rsid w:val="015123B9"/>
    <w:rsid w:val="01545A05"/>
    <w:rsid w:val="0159126E"/>
    <w:rsid w:val="016054B8"/>
    <w:rsid w:val="016112EA"/>
    <w:rsid w:val="01675739"/>
    <w:rsid w:val="01695955"/>
    <w:rsid w:val="016D4D19"/>
    <w:rsid w:val="01730582"/>
    <w:rsid w:val="01763F6E"/>
    <w:rsid w:val="017E6677"/>
    <w:rsid w:val="01995B0E"/>
    <w:rsid w:val="019D115B"/>
    <w:rsid w:val="01AA357A"/>
    <w:rsid w:val="01AC3A93"/>
    <w:rsid w:val="01B3097E"/>
    <w:rsid w:val="01C54B55"/>
    <w:rsid w:val="01CC2BB3"/>
    <w:rsid w:val="01CD25B7"/>
    <w:rsid w:val="01CD4D28"/>
    <w:rsid w:val="01DF79C5"/>
    <w:rsid w:val="01E557E7"/>
    <w:rsid w:val="01EA636A"/>
    <w:rsid w:val="01F176F8"/>
    <w:rsid w:val="01F66C28"/>
    <w:rsid w:val="01FD3617"/>
    <w:rsid w:val="01FE70DE"/>
    <w:rsid w:val="02035593"/>
    <w:rsid w:val="02105DD0"/>
    <w:rsid w:val="0213766F"/>
    <w:rsid w:val="021A0C65"/>
    <w:rsid w:val="02247ACE"/>
    <w:rsid w:val="022E44A8"/>
    <w:rsid w:val="02315AF4"/>
    <w:rsid w:val="024B505A"/>
    <w:rsid w:val="02514D1B"/>
    <w:rsid w:val="02543B44"/>
    <w:rsid w:val="025D08EA"/>
    <w:rsid w:val="02867E41"/>
    <w:rsid w:val="028A501C"/>
    <w:rsid w:val="028D5673"/>
    <w:rsid w:val="02A06DCA"/>
    <w:rsid w:val="02A1522A"/>
    <w:rsid w:val="02A604E3"/>
    <w:rsid w:val="02B0310F"/>
    <w:rsid w:val="02B53F97"/>
    <w:rsid w:val="02BF068B"/>
    <w:rsid w:val="02BF3353"/>
    <w:rsid w:val="02C00827"/>
    <w:rsid w:val="02C1531D"/>
    <w:rsid w:val="02C31095"/>
    <w:rsid w:val="02D212D8"/>
    <w:rsid w:val="02D36DFE"/>
    <w:rsid w:val="02D432A2"/>
    <w:rsid w:val="02DA4630"/>
    <w:rsid w:val="02EB264D"/>
    <w:rsid w:val="02EB4148"/>
    <w:rsid w:val="02ED7EC0"/>
    <w:rsid w:val="02F91D73"/>
    <w:rsid w:val="02FA11C7"/>
    <w:rsid w:val="03105C95"/>
    <w:rsid w:val="0314369E"/>
    <w:rsid w:val="03247659"/>
    <w:rsid w:val="032A4C70"/>
    <w:rsid w:val="03305FFE"/>
    <w:rsid w:val="03321079"/>
    <w:rsid w:val="03321EFC"/>
    <w:rsid w:val="03324053"/>
    <w:rsid w:val="033B4AE2"/>
    <w:rsid w:val="033B50CF"/>
    <w:rsid w:val="033C54A4"/>
    <w:rsid w:val="033D2D9E"/>
    <w:rsid w:val="03435D32"/>
    <w:rsid w:val="03443858"/>
    <w:rsid w:val="03587717"/>
    <w:rsid w:val="035A09FF"/>
    <w:rsid w:val="035C111E"/>
    <w:rsid w:val="035E2B6B"/>
    <w:rsid w:val="036068E4"/>
    <w:rsid w:val="0365214C"/>
    <w:rsid w:val="036C2D55"/>
    <w:rsid w:val="03710AF1"/>
    <w:rsid w:val="03722553"/>
    <w:rsid w:val="03766107"/>
    <w:rsid w:val="037C7496"/>
    <w:rsid w:val="03907D82"/>
    <w:rsid w:val="03AA7B5F"/>
    <w:rsid w:val="03AB423B"/>
    <w:rsid w:val="03AD5E0D"/>
    <w:rsid w:val="03AE3AF3"/>
    <w:rsid w:val="03B37E16"/>
    <w:rsid w:val="03B629A7"/>
    <w:rsid w:val="03B76654"/>
    <w:rsid w:val="03BE360A"/>
    <w:rsid w:val="03D1333D"/>
    <w:rsid w:val="03E80687"/>
    <w:rsid w:val="03EE0393"/>
    <w:rsid w:val="03F434D0"/>
    <w:rsid w:val="03FD011D"/>
    <w:rsid w:val="03FD2384"/>
    <w:rsid w:val="0405748B"/>
    <w:rsid w:val="0430667E"/>
    <w:rsid w:val="0434636C"/>
    <w:rsid w:val="04390EE3"/>
    <w:rsid w:val="043A35D9"/>
    <w:rsid w:val="043D11AF"/>
    <w:rsid w:val="04471852"/>
    <w:rsid w:val="04483997"/>
    <w:rsid w:val="04510922"/>
    <w:rsid w:val="0452341B"/>
    <w:rsid w:val="045A1585"/>
    <w:rsid w:val="045D2E23"/>
    <w:rsid w:val="04702B56"/>
    <w:rsid w:val="047A39D5"/>
    <w:rsid w:val="047C774D"/>
    <w:rsid w:val="04934A97"/>
    <w:rsid w:val="049525BD"/>
    <w:rsid w:val="049D5915"/>
    <w:rsid w:val="049D615B"/>
    <w:rsid w:val="04B36EE7"/>
    <w:rsid w:val="04B47759"/>
    <w:rsid w:val="04B54A0D"/>
    <w:rsid w:val="04B65370"/>
    <w:rsid w:val="04B9536B"/>
    <w:rsid w:val="04BC5D9C"/>
    <w:rsid w:val="04BE01A4"/>
    <w:rsid w:val="04BF763A"/>
    <w:rsid w:val="04C3017D"/>
    <w:rsid w:val="04C609C8"/>
    <w:rsid w:val="04CE63E3"/>
    <w:rsid w:val="04D37589"/>
    <w:rsid w:val="04D806FC"/>
    <w:rsid w:val="04DC643E"/>
    <w:rsid w:val="04DF1A8A"/>
    <w:rsid w:val="04E90B5B"/>
    <w:rsid w:val="04E96190"/>
    <w:rsid w:val="04EA5EED"/>
    <w:rsid w:val="04F217BD"/>
    <w:rsid w:val="04FF3EDA"/>
    <w:rsid w:val="05030478"/>
    <w:rsid w:val="050C39A8"/>
    <w:rsid w:val="05104339"/>
    <w:rsid w:val="051060E7"/>
    <w:rsid w:val="051A712F"/>
    <w:rsid w:val="0520520E"/>
    <w:rsid w:val="05243941"/>
    <w:rsid w:val="052676B9"/>
    <w:rsid w:val="052F6180"/>
    <w:rsid w:val="053022E6"/>
    <w:rsid w:val="05340028"/>
    <w:rsid w:val="053D2A70"/>
    <w:rsid w:val="053F3C41"/>
    <w:rsid w:val="054162A1"/>
    <w:rsid w:val="054F6C10"/>
    <w:rsid w:val="055C757F"/>
    <w:rsid w:val="056326BB"/>
    <w:rsid w:val="05663F59"/>
    <w:rsid w:val="05696E27"/>
    <w:rsid w:val="056A1C9B"/>
    <w:rsid w:val="056A253B"/>
    <w:rsid w:val="057448C8"/>
    <w:rsid w:val="05822D1E"/>
    <w:rsid w:val="05883220"/>
    <w:rsid w:val="058D14E6"/>
    <w:rsid w:val="058D598A"/>
    <w:rsid w:val="058F525E"/>
    <w:rsid w:val="0599432F"/>
    <w:rsid w:val="059B00A7"/>
    <w:rsid w:val="059C7FFC"/>
    <w:rsid w:val="05AB7BBE"/>
    <w:rsid w:val="05B47256"/>
    <w:rsid w:val="05B80B2E"/>
    <w:rsid w:val="05BE3D95"/>
    <w:rsid w:val="05C1471D"/>
    <w:rsid w:val="05C173E2"/>
    <w:rsid w:val="05C50C80"/>
    <w:rsid w:val="05C759FB"/>
    <w:rsid w:val="05C80770"/>
    <w:rsid w:val="05C84C14"/>
    <w:rsid w:val="05D47115"/>
    <w:rsid w:val="05E41A4E"/>
    <w:rsid w:val="05E93075"/>
    <w:rsid w:val="05F41565"/>
    <w:rsid w:val="05FF0279"/>
    <w:rsid w:val="06120B6F"/>
    <w:rsid w:val="061340E1"/>
    <w:rsid w:val="0616772D"/>
    <w:rsid w:val="06255FDE"/>
    <w:rsid w:val="0633208D"/>
    <w:rsid w:val="063B3638"/>
    <w:rsid w:val="06456265"/>
    <w:rsid w:val="06475B39"/>
    <w:rsid w:val="06484360"/>
    <w:rsid w:val="06497B03"/>
    <w:rsid w:val="065D5399"/>
    <w:rsid w:val="06710E08"/>
    <w:rsid w:val="068505F6"/>
    <w:rsid w:val="069625D8"/>
    <w:rsid w:val="069A3EBB"/>
    <w:rsid w:val="069A65B0"/>
    <w:rsid w:val="069F5975"/>
    <w:rsid w:val="06A64F55"/>
    <w:rsid w:val="06C47189"/>
    <w:rsid w:val="06DE2BA7"/>
    <w:rsid w:val="06DF5865"/>
    <w:rsid w:val="06E31D05"/>
    <w:rsid w:val="06E3363B"/>
    <w:rsid w:val="06E8731C"/>
    <w:rsid w:val="06F23CF7"/>
    <w:rsid w:val="06F9319A"/>
    <w:rsid w:val="06FF745C"/>
    <w:rsid w:val="07007F1F"/>
    <w:rsid w:val="07035F04"/>
    <w:rsid w:val="07050CA4"/>
    <w:rsid w:val="070822A2"/>
    <w:rsid w:val="07091040"/>
    <w:rsid w:val="0709241E"/>
    <w:rsid w:val="07101279"/>
    <w:rsid w:val="07153E89"/>
    <w:rsid w:val="07205EF4"/>
    <w:rsid w:val="07294629"/>
    <w:rsid w:val="073D0CEA"/>
    <w:rsid w:val="073F077E"/>
    <w:rsid w:val="074862E0"/>
    <w:rsid w:val="074E2EF7"/>
    <w:rsid w:val="075049E0"/>
    <w:rsid w:val="07550729"/>
    <w:rsid w:val="0757624F"/>
    <w:rsid w:val="076369A2"/>
    <w:rsid w:val="0764271A"/>
    <w:rsid w:val="076646E5"/>
    <w:rsid w:val="07750484"/>
    <w:rsid w:val="077961C6"/>
    <w:rsid w:val="077C7A64"/>
    <w:rsid w:val="0788465B"/>
    <w:rsid w:val="078A0D82"/>
    <w:rsid w:val="07930A17"/>
    <w:rsid w:val="07966D78"/>
    <w:rsid w:val="079B25E0"/>
    <w:rsid w:val="07A336E6"/>
    <w:rsid w:val="07B23486"/>
    <w:rsid w:val="07BE62CF"/>
    <w:rsid w:val="07C929EB"/>
    <w:rsid w:val="07CB33CC"/>
    <w:rsid w:val="07CB4548"/>
    <w:rsid w:val="07D07A84"/>
    <w:rsid w:val="07D72EEC"/>
    <w:rsid w:val="07DA05C2"/>
    <w:rsid w:val="07DE0F2D"/>
    <w:rsid w:val="07EA2C20"/>
    <w:rsid w:val="07EB460E"/>
    <w:rsid w:val="07EF0236"/>
    <w:rsid w:val="07F817E1"/>
    <w:rsid w:val="07F96F2F"/>
    <w:rsid w:val="07FC2953"/>
    <w:rsid w:val="07FE491D"/>
    <w:rsid w:val="07FF3A37"/>
    <w:rsid w:val="08145EEF"/>
    <w:rsid w:val="081C4DA3"/>
    <w:rsid w:val="081E0B1B"/>
    <w:rsid w:val="08202AE5"/>
    <w:rsid w:val="08202EDD"/>
    <w:rsid w:val="082C66B6"/>
    <w:rsid w:val="083365F4"/>
    <w:rsid w:val="08397703"/>
    <w:rsid w:val="083B16CD"/>
    <w:rsid w:val="08464E5B"/>
    <w:rsid w:val="084731CB"/>
    <w:rsid w:val="0847418A"/>
    <w:rsid w:val="08485B98"/>
    <w:rsid w:val="084E7652"/>
    <w:rsid w:val="08503FBB"/>
    <w:rsid w:val="08511C41"/>
    <w:rsid w:val="085602B5"/>
    <w:rsid w:val="08634780"/>
    <w:rsid w:val="086A485C"/>
    <w:rsid w:val="0878022B"/>
    <w:rsid w:val="08884D84"/>
    <w:rsid w:val="08920B48"/>
    <w:rsid w:val="08964B56"/>
    <w:rsid w:val="08B35707"/>
    <w:rsid w:val="08C276F9"/>
    <w:rsid w:val="08C47915"/>
    <w:rsid w:val="08C571E9"/>
    <w:rsid w:val="08D21C65"/>
    <w:rsid w:val="08D538D0"/>
    <w:rsid w:val="08D86F1C"/>
    <w:rsid w:val="08DA0EE6"/>
    <w:rsid w:val="08E0380F"/>
    <w:rsid w:val="09045F63"/>
    <w:rsid w:val="091B505B"/>
    <w:rsid w:val="09287EA3"/>
    <w:rsid w:val="092959CA"/>
    <w:rsid w:val="09353FB7"/>
    <w:rsid w:val="093700E7"/>
    <w:rsid w:val="094E3039"/>
    <w:rsid w:val="094F0649"/>
    <w:rsid w:val="09581E0B"/>
    <w:rsid w:val="09736C45"/>
    <w:rsid w:val="09774987"/>
    <w:rsid w:val="097A4477"/>
    <w:rsid w:val="097F55EA"/>
    <w:rsid w:val="09806C85"/>
    <w:rsid w:val="09840174"/>
    <w:rsid w:val="098C5F5A"/>
    <w:rsid w:val="098F53C5"/>
    <w:rsid w:val="09947FFE"/>
    <w:rsid w:val="099512B1"/>
    <w:rsid w:val="0995305F"/>
    <w:rsid w:val="09992B4F"/>
    <w:rsid w:val="099B68C7"/>
    <w:rsid w:val="099C43EE"/>
    <w:rsid w:val="09A432A2"/>
    <w:rsid w:val="09A45050"/>
    <w:rsid w:val="09A745DF"/>
    <w:rsid w:val="09AF5ECF"/>
    <w:rsid w:val="09B90AFC"/>
    <w:rsid w:val="09C13E54"/>
    <w:rsid w:val="09C3197A"/>
    <w:rsid w:val="09CF47C3"/>
    <w:rsid w:val="09D26061"/>
    <w:rsid w:val="09D70941"/>
    <w:rsid w:val="09DA2438"/>
    <w:rsid w:val="09E22C94"/>
    <w:rsid w:val="09E9491B"/>
    <w:rsid w:val="09FC4E8C"/>
    <w:rsid w:val="09FD7315"/>
    <w:rsid w:val="09FE227D"/>
    <w:rsid w:val="0A03621B"/>
    <w:rsid w:val="0A083831"/>
    <w:rsid w:val="0A0C1573"/>
    <w:rsid w:val="0A23066B"/>
    <w:rsid w:val="0A272298"/>
    <w:rsid w:val="0A2A7C4B"/>
    <w:rsid w:val="0A2F3E81"/>
    <w:rsid w:val="0A36214C"/>
    <w:rsid w:val="0A3960E0"/>
    <w:rsid w:val="0A424F95"/>
    <w:rsid w:val="0A456833"/>
    <w:rsid w:val="0A48082B"/>
    <w:rsid w:val="0A5627EE"/>
    <w:rsid w:val="0A56558B"/>
    <w:rsid w:val="0A64315D"/>
    <w:rsid w:val="0A740EC6"/>
    <w:rsid w:val="0A764C3F"/>
    <w:rsid w:val="0A783C8C"/>
    <w:rsid w:val="0A7D7D7B"/>
    <w:rsid w:val="0A852F89"/>
    <w:rsid w:val="0A8729A8"/>
    <w:rsid w:val="0A892BC4"/>
    <w:rsid w:val="0A8A5906"/>
    <w:rsid w:val="0A911A78"/>
    <w:rsid w:val="0A960E3D"/>
    <w:rsid w:val="0A981059"/>
    <w:rsid w:val="0AA07F0D"/>
    <w:rsid w:val="0AA3355A"/>
    <w:rsid w:val="0AA417AC"/>
    <w:rsid w:val="0AAC0660"/>
    <w:rsid w:val="0AAC68B2"/>
    <w:rsid w:val="0AB6328D"/>
    <w:rsid w:val="0AC51722"/>
    <w:rsid w:val="0AD11E75"/>
    <w:rsid w:val="0AD62BFC"/>
    <w:rsid w:val="0B11176E"/>
    <w:rsid w:val="0B352404"/>
    <w:rsid w:val="0B3643CE"/>
    <w:rsid w:val="0B3A3EBE"/>
    <w:rsid w:val="0B3F7726"/>
    <w:rsid w:val="0B444D3D"/>
    <w:rsid w:val="0B445C59"/>
    <w:rsid w:val="0B4D3BF1"/>
    <w:rsid w:val="0B522679"/>
    <w:rsid w:val="0B682AB4"/>
    <w:rsid w:val="0B696551"/>
    <w:rsid w:val="0B6E3B68"/>
    <w:rsid w:val="0B703A4D"/>
    <w:rsid w:val="0B756CA4"/>
    <w:rsid w:val="0B7F5D75"/>
    <w:rsid w:val="0B867103"/>
    <w:rsid w:val="0B884C29"/>
    <w:rsid w:val="0B8F6344"/>
    <w:rsid w:val="0B910C45"/>
    <w:rsid w:val="0B941752"/>
    <w:rsid w:val="0B98567B"/>
    <w:rsid w:val="0B993DEF"/>
    <w:rsid w:val="0BA15CEB"/>
    <w:rsid w:val="0BB06CD5"/>
    <w:rsid w:val="0BBD42C7"/>
    <w:rsid w:val="0BBF1D11"/>
    <w:rsid w:val="0BC35C62"/>
    <w:rsid w:val="0BC67500"/>
    <w:rsid w:val="0BCA5242"/>
    <w:rsid w:val="0BCB6217"/>
    <w:rsid w:val="0BD240F7"/>
    <w:rsid w:val="0BF503CF"/>
    <w:rsid w:val="0BF775C9"/>
    <w:rsid w:val="0C022F84"/>
    <w:rsid w:val="0C0A1AE2"/>
    <w:rsid w:val="0C0E42CE"/>
    <w:rsid w:val="0C112E71"/>
    <w:rsid w:val="0C152235"/>
    <w:rsid w:val="0C160487"/>
    <w:rsid w:val="0C233289"/>
    <w:rsid w:val="0C2506CA"/>
    <w:rsid w:val="0C281F69"/>
    <w:rsid w:val="0C2C1FAA"/>
    <w:rsid w:val="0C346B5F"/>
    <w:rsid w:val="0C393981"/>
    <w:rsid w:val="0C3D11EC"/>
    <w:rsid w:val="0C48260B"/>
    <w:rsid w:val="0C4D5E73"/>
    <w:rsid w:val="0C4E3306"/>
    <w:rsid w:val="0C4F5747"/>
    <w:rsid w:val="0C526FE5"/>
    <w:rsid w:val="0C5817A4"/>
    <w:rsid w:val="0C6311F3"/>
    <w:rsid w:val="0C6D3E1F"/>
    <w:rsid w:val="0C7305BB"/>
    <w:rsid w:val="0C7668EB"/>
    <w:rsid w:val="0C78199D"/>
    <w:rsid w:val="0C7B478E"/>
    <w:rsid w:val="0C814A8D"/>
    <w:rsid w:val="0C8A677F"/>
    <w:rsid w:val="0C8D7232"/>
    <w:rsid w:val="0C9670E0"/>
    <w:rsid w:val="0CA10943"/>
    <w:rsid w:val="0CA64379"/>
    <w:rsid w:val="0CAA5073"/>
    <w:rsid w:val="0CAE2E86"/>
    <w:rsid w:val="0CB101B0"/>
    <w:rsid w:val="0CC223BD"/>
    <w:rsid w:val="0CC7352F"/>
    <w:rsid w:val="0CC954FA"/>
    <w:rsid w:val="0CCD28F4"/>
    <w:rsid w:val="0CD45C4C"/>
    <w:rsid w:val="0CFB142B"/>
    <w:rsid w:val="0CFD51A3"/>
    <w:rsid w:val="0D0364DD"/>
    <w:rsid w:val="0D0A3523"/>
    <w:rsid w:val="0D0C4A71"/>
    <w:rsid w:val="0D0E437B"/>
    <w:rsid w:val="0D0E73B0"/>
    <w:rsid w:val="0D0F1F6B"/>
    <w:rsid w:val="0D103128"/>
    <w:rsid w:val="0D1A3FA7"/>
    <w:rsid w:val="0D1A5D55"/>
    <w:rsid w:val="0D3130BF"/>
    <w:rsid w:val="0D3229EB"/>
    <w:rsid w:val="0D35687F"/>
    <w:rsid w:val="0D3C216F"/>
    <w:rsid w:val="0D3D37F2"/>
    <w:rsid w:val="0D3D766C"/>
    <w:rsid w:val="0D3F2EDF"/>
    <w:rsid w:val="0D533015"/>
    <w:rsid w:val="0D7116ED"/>
    <w:rsid w:val="0D755681"/>
    <w:rsid w:val="0D8458C4"/>
    <w:rsid w:val="0D8713A0"/>
    <w:rsid w:val="0D896A37"/>
    <w:rsid w:val="0D8C4B4D"/>
    <w:rsid w:val="0DA10224"/>
    <w:rsid w:val="0DA11FD2"/>
    <w:rsid w:val="0DA442E1"/>
    <w:rsid w:val="0DB742A8"/>
    <w:rsid w:val="0DBF4B4E"/>
    <w:rsid w:val="0DC932D7"/>
    <w:rsid w:val="0DCC3D1A"/>
    <w:rsid w:val="0DCE08EE"/>
    <w:rsid w:val="0DD52A00"/>
    <w:rsid w:val="0DE325EB"/>
    <w:rsid w:val="0DE819AF"/>
    <w:rsid w:val="0DF57B00"/>
    <w:rsid w:val="0DFA0EFB"/>
    <w:rsid w:val="0DFE4D0E"/>
    <w:rsid w:val="0E0D7668"/>
    <w:rsid w:val="0E172295"/>
    <w:rsid w:val="0E210EF6"/>
    <w:rsid w:val="0E285773"/>
    <w:rsid w:val="0E2A646C"/>
    <w:rsid w:val="0E3177FA"/>
    <w:rsid w:val="0E34011B"/>
    <w:rsid w:val="0E3A7AA7"/>
    <w:rsid w:val="0E4868F2"/>
    <w:rsid w:val="0E4A266A"/>
    <w:rsid w:val="0E532E33"/>
    <w:rsid w:val="0E552DBD"/>
    <w:rsid w:val="0E63197E"/>
    <w:rsid w:val="0E653000"/>
    <w:rsid w:val="0E666D78"/>
    <w:rsid w:val="0E6A4ABA"/>
    <w:rsid w:val="0E804F97"/>
    <w:rsid w:val="0E963048"/>
    <w:rsid w:val="0E963B01"/>
    <w:rsid w:val="0EAD49A7"/>
    <w:rsid w:val="0EC25BEB"/>
    <w:rsid w:val="0EC95FCB"/>
    <w:rsid w:val="0ED308B1"/>
    <w:rsid w:val="0EE06B2A"/>
    <w:rsid w:val="0EE26D46"/>
    <w:rsid w:val="0EF62849"/>
    <w:rsid w:val="0EF854C5"/>
    <w:rsid w:val="0EFB6BFB"/>
    <w:rsid w:val="0F077513"/>
    <w:rsid w:val="0F0A004B"/>
    <w:rsid w:val="0F130BF4"/>
    <w:rsid w:val="0F1517CE"/>
    <w:rsid w:val="0F1669F0"/>
    <w:rsid w:val="0F29227F"/>
    <w:rsid w:val="0F3155D8"/>
    <w:rsid w:val="0F336312"/>
    <w:rsid w:val="0F360E40"/>
    <w:rsid w:val="0F4075C9"/>
    <w:rsid w:val="0F4470B9"/>
    <w:rsid w:val="0F461C36"/>
    <w:rsid w:val="0F491AF8"/>
    <w:rsid w:val="0F4B669A"/>
    <w:rsid w:val="0F5337A0"/>
    <w:rsid w:val="0F556ADB"/>
    <w:rsid w:val="0F5816C1"/>
    <w:rsid w:val="0F704352"/>
    <w:rsid w:val="0F706100"/>
    <w:rsid w:val="0F841B59"/>
    <w:rsid w:val="0F841BAC"/>
    <w:rsid w:val="0F8D7A59"/>
    <w:rsid w:val="0F8E47D8"/>
    <w:rsid w:val="0F9A1E23"/>
    <w:rsid w:val="0F9B5E73"/>
    <w:rsid w:val="0FB80A48"/>
    <w:rsid w:val="0FC621C4"/>
    <w:rsid w:val="0FC81CD8"/>
    <w:rsid w:val="0FCA42ED"/>
    <w:rsid w:val="0FD06B9F"/>
    <w:rsid w:val="0FE31D1E"/>
    <w:rsid w:val="0FE4264A"/>
    <w:rsid w:val="0FE64614"/>
    <w:rsid w:val="0FF52AA9"/>
    <w:rsid w:val="0FF56AAC"/>
    <w:rsid w:val="100920B1"/>
    <w:rsid w:val="100E1475"/>
    <w:rsid w:val="1034712E"/>
    <w:rsid w:val="103A0AE7"/>
    <w:rsid w:val="103A3261"/>
    <w:rsid w:val="103C4234"/>
    <w:rsid w:val="104B4477"/>
    <w:rsid w:val="105228C0"/>
    <w:rsid w:val="10523A58"/>
    <w:rsid w:val="10545A22"/>
    <w:rsid w:val="10607B05"/>
    <w:rsid w:val="10616BA3"/>
    <w:rsid w:val="106312F0"/>
    <w:rsid w:val="106D43EE"/>
    <w:rsid w:val="10745648"/>
    <w:rsid w:val="10771710"/>
    <w:rsid w:val="10784C45"/>
    <w:rsid w:val="107E484D"/>
    <w:rsid w:val="10802373"/>
    <w:rsid w:val="10881C14"/>
    <w:rsid w:val="108B0D18"/>
    <w:rsid w:val="108F3EB7"/>
    <w:rsid w:val="10951543"/>
    <w:rsid w:val="10A83678"/>
    <w:rsid w:val="10A971AF"/>
    <w:rsid w:val="10AA3690"/>
    <w:rsid w:val="10BA2700"/>
    <w:rsid w:val="10BC7123"/>
    <w:rsid w:val="10C3199C"/>
    <w:rsid w:val="10CF1430"/>
    <w:rsid w:val="10D66437"/>
    <w:rsid w:val="10DC1574"/>
    <w:rsid w:val="10DD4308"/>
    <w:rsid w:val="10F1501F"/>
    <w:rsid w:val="10F15E25"/>
    <w:rsid w:val="10F7015B"/>
    <w:rsid w:val="10FE598E"/>
    <w:rsid w:val="11034D52"/>
    <w:rsid w:val="110A68BF"/>
    <w:rsid w:val="110E3E23"/>
    <w:rsid w:val="110F7B9B"/>
    <w:rsid w:val="11102EB9"/>
    <w:rsid w:val="11157B28"/>
    <w:rsid w:val="112F21F4"/>
    <w:rsid w:val="11314B42"/>
    <w:rsid w:val="11365128"/>
    <w:rsid w:val="11374628"/>
    <w:rsid w:val="113E3FDC"/>
    <w:rsid w:val="1142587A"/>
    <w:rsid w:val="114C7480"/>
    <w:rsid w:val="11512899"/>
    <w:rsid w:val="1154735C"/>
    <w:rsid w:val="116B3023"/>
    <w:rsid w:val="116F157E"/>
    <w:rsid w:val="116F4196"/>
    <w:rsid w:val="11895257"/>
    <w:rsid w:val="118B7221"/>
    <w:rsid w:val="1194159F"/>
    <w:rsid w:val="1197761E"/>
    <w:rsid w:val="1198193E"/>
    <w:rsid w:val="11997B02"/>
    <w:rsid w:val="11A402E3"/>
    <w:rsid w:val="11A53328"/>
    <w:rsid w:val="11A55E09"/>
    <w:rsid w:val="11A958FA"/>
    <w:rsid w:val="11B30526"/>
    <w:rsid w:val="11B322D4"/>
    <w:rsid w:val="11BD3153"/>
    <w:rsid w:val="11CC3396"/>
    <w:rsid w:val="11D34725"/>
    <w:rsid w:val="11DB182B"/>
    <w:rsid w:val="11DC7A7D"/>
    <w:rsid w:val="11F12DFD"/>
    <w:rsid w:val="11F8418B"/>
    <w:rsid w:val="11FE3E97"/>
    <w:rsid w:val="12002EAA"/>
    <w:rsid w:val="12096398"/>
    <w:rsid w:val="120C7C36"/>
    <w:rsid w:val="121D3BF2"/>
    <w:rsid w:val="12260E20"/>
    <w:rsid w:val="12331667"/>
    <w:rsid w:val="12374CB3"/>
    <w:rsid w:val="123A29F6"/>
    <w:rsid w:val="12463148"/>
    <w:rsid w:val="12491A73"/>
    <w:rsid w:val="125C296C"/>
    <w:rsid w:val="12631F4C"/>
    <w:rsid w:val="126A32DB"/>
    <w:rsid w:val="126B0E01"/>
    <w:rsid w:val="126F08F1"/>
    <w:rsid w:val="127203CB"/>
    <w:rsid w:val="12766290"/>
    <w:rsid w:val="127E4A18"/>
    <w:rsid w:val="12891287"/>
    <w:rsid w:val="128B3251"/>
    <w:rsid w:val="129245E0"/>
    <w:rsid w:val="129640D0"/>
    <w:rsid w:val="12B427A8"/>
    <w:rsid w:val="12B70B53"/>
    <w:rsid w:val="12BB58E4"/>
    <w:rsid w:val="12C35BA0"/>
    <w:rsid w:val="12C37CA8"/>
    <w:rsid w:val="12CD7BDC"/>
    <w:rsid w:val="12CF1390"/>
    <w:rsid w:val="12DE7274"/>
    <w:rsid w:val="12EF70B7"/>
    <w:rsid w:val="13006247"/>
    <w:rsid w:val="13054DB2"/>
    <w:rsid w:val="131274CE"/>
    <w:rsid w:val="13135720"/>
    <w:rsid w:val="13143247"/>
    <w:rsid w:val="13367661"/>
    <w:rsid w:val="133833D9"/>
    <w:rsid w:val="133B4C77"/>
    <w:rsid w:val="133D454B"/>
    <w:rsid w:val="133E2072"/>
    <w:rsid w:val="13500FC7"/>
    <w:rsid w:val="13510A26"/>
    <w:rsid w:val="136844F9"/>
    <w:rsid w:val="136C6BDF"/>
    <w:rsid w:val="137141F5"/>
    <w:rsid w:val="13806FF7"/>
    <w:rsid w:val="1399374C"/>
    <w:rsid w:val="139C59AD"/>
    <w:rsid w:val="13A20852"/>
    <w:rsid w:val="13A91BE1"/>
    <w:rsid w:val="13A97E33"/>
    <w:rsid w:val="13B14F39"/>
    <w:rsid w:val="13B80076"/>
    <w:rsid w:val="13BD2301"/>
    <w:rsid w:val="13C7475D"/>
    <w:rsid w:val="13D41AA3"/>
    <w:rsid w:val="13D824C6"/>
    <w:rsid w:val="13E2362F"/>
    <w:rsid w:val="13EB21F9"/>
    <w:rsid w:val="13F05A62"/>
    <w:rsid w:val="13F306E3"/>
    <w:rsid w:val="13F37300"/>
    <w:rsid w:val="14060AFB"/>
    <w:rsid w:val="14164D9C"/>
    <w:rsid w:val="141B014F"/>
    <w:rsid w:val="142676D5"/>
    <w:rsid w:val="14382F65"/>
    <w:rsid w:val="14385DC3"/>
    <w:rsid w:val="14432035"/>
    <w:rsid w:val="1444313C"/>
    <w:rsid w:val="144638D4"/>
    <w:rsid w:val="145A1E9B"/>
    <w:rsid w:val="145A5736"/>
    <w:rsid w:val="147B3986"/>
    <w:rsid w:val="14903E6E"/>
    <w:rsid w:val="149F2FE4"/>
    <w:rsid w:val="14A34882"/>
    <w:rsid w:val="14A625C4"/>
    <w:rsid w:val="14A66120"/>
    <w:rsid w:val="14A81E98"/>
    <w:rsid w:val="14B06534"/>
    <w:rsid w:val="14B06F9F"/>
    <w:rsid w:val="14B6441E"/>
    <w:rsid w:val="14C0130D"/>
    <w:rsid w:val="14C31152"/>
    <w:rsid w:val="14CD7B51"/>
    <w:rsid w:val="14CE1C73"/>
    <w:rsid w:val="14D233B9"/>
    <w:rsid w:val="14D964F6"/>
    <w:rsid w:val="14EC4CF7"/>
    <w:rsid w:val="14ED3D4F"/>
    <w:rsid w:val="14FE41AE"/>
    <w:rsid w:val="15033573"/>
    <w:rsid w:val="150572EB"/>
    <w:rsid w:val="150A2B53"/>
    <w:rsid w:val="151412DC"/>
    <w:rsid w:val="15180BB5"/>
    <w:rsid w:val="151E6A48"/>
    <w:rsid w:val="15204125"/>
    <w:rsid w:val="15284DA2"/>
    <w:rsid w:val="1528554B"/>
    <w:rsid w:val="152A2598"/>
    <w:rsid w:val="153100E0"/>
    <w:rsid w:val="15312A9E"/>
    <w:rsid w:val="1536087D"/>
    <w:rsid w:val="153D5D57"/>
    <w:rsid w:val="1542618C"/>
    <w:rsid w:val="15521054"/>
    <w:rsid w:val="155E69FB"/>
    <w:rsid w:val="15605210"/>
    <w:rsid w:val="1562473D"/>
    <w:rsid w:val="157B135B"/>
    <w:rsid w:val="157D1119"/>
    <w:rsid w:val="15916DD0"/>
    <w:rsid w:val="15932B49"/>
    <w:rsid w:val="1594066F"/>
    <w:rsid w:val="15997A33"/>
    <w:rsid w:val="159E26D3"/>
    <w:rsid w:val="159F14ED"/>
    <w:rsid w:val="159F4E9C"/>
    <w:rsid w:val="15A5228D"/>
    <w:rsid w:val="15A703A2"/>
    <w:rsid w:val="15A969F7"/>
    <w:rsid w:val="15B84EEB"/>
    <w:rsid w:val="15BC38F3"/>
    <w:rsid w:val="15BD1974"/>
    <w:rsid w:val="15BF2295"/>
    <w:rsid w:val="15C076B6"/>
    <w:rsid w:val="15D60C87"/>
    <w:rsid w:val="15E46F61"/>
    <w:rsid w:val="15F31839"/>
    <w:rsid w:val="15F66C34"/>
    <w:rsid w:val="16136443"/>
    <w:rsid w:val="16161084"/>
    <w:rsid w:val="161F6F3A"/>
    <w:rsid w:val="16210154"/>
    <w:rsid w:val="162163A6"/>
    <w:rsid w:val="162C6AF9"/>
    <w:rsid w:val="1633086D"/>
    <w:rsid w:val="1634734C"/>
    <w:rsid w:val="163C4DDE"/>
    <w:rsid w:val="164476E2"/>
    <w:rsid w:val="1647748F"/>
    <w:rsid w:val="16534086"/>
    <w:rsid w:val="16677B31"/>
    <w:rsid w:val="166B7621"/>
    <w:rsid w:val="166C5148"/>
    <w:rsid w:val="16734728"/>
    <w:rsid w:val="168221DC"/>
    <w:rsid w:val="168340B4"/>
    <w:rsid w:val="1683496B"/>
    <w:rsid w:val="16834DE7"/>
    <w:rsid w:val="16842491"/>
    <w:rsid w:val="168B1A72"/>
    <w:rsid w:val="16911289"/>
    <w:rsid w:val="16976668"/>
    <w:rsid w:val="169C3C7F"/>
    <w:rsid w:val="16A50D85"/>
    <w:rsid w:val="16AD19E8"/>
    <w:rsid w:val="16B94831"/>
    <w:rsid w:val="16C46D32"/>
    <w:rsid w:val="16C943B4"/>
    <w:rsid w:val="16CD5BE6"/>
    <w:rsid w:val="16DA6555"/>
    <w:rsid w:val="16E14194"/>
    <w:rsid w:val="16E80C72"/>
    <w:rsid w:val="16E91643"/>
    <w:rsid w:val="16F2564D"/>
    <w:rsid w:val="16F50155"/>
    <w:rsid w:val="16F615E1"/>
    <w:rsid w:val="17005FBC"/>
    <w:rsid w:val="17057572"/>
    <w:rsid w:val="1707127F"/>
    <w:rsid w:val="170B4961"/>
    <w:rsid w:val="170F4451"/>
    <w:rsid w:val="17167FED"/>
    <w:rsid w:val="17181F24"/>
    <w:rsid w:val="1726179A"/>
    <w:rsid w:val="17377504"/>
    <w:rsid w:val="173C0FBE"/>
    <w:rsid w:val="173C2D6C"/>
    <w:rsid w:val="17400AAE"/>
    <w:rsid w:val="174B0F64"/>
    <w:rsid w:val="174D04CC"/>
    <w:rsid w:val="174F2A9F"/>
    <w:rsid w:val="175956CC"/>
    <w:rsid w:val="175C3583"/>
    <w:rsid w:val="17790F56"/>
    <w:rsid w:val="177B5642"/>
    <w:rsid w:val="178067CB"/>
    <w:rsid w:val="178564C1"/>
    <w:rsid w:val="178C6637"/>
    <w:rsid w:val="17946704"/>
    <w:rsid w:val="17971A5C"/>
    <w:rsid w:val="17996410"/>
    <w:rsid w:val="17B34241"/>
    <w:rsid w:val="17C214C3"/>
    <w:rsid w:val="17C55432"/>
    <w:rsid w:val="17C57205"/>
    <w:rsid w:val="17C7104C"/>
    <w:rsid w:val="17CC4C05"/>
    <w:rsid w:val="17D375A5"/>
    <w:rsid w:val="17E458DD"/>
    <w:rsid w:val="17F453F5"/>
    <w:rsid w:val="17FE0021"/>
    <w:rsid w:val="1807337A"/>
    <w:rsid w:val="18121892"/>
    <w:rsid w:val="18147845"/>
    <w:rsid w:val="18176C7A"/>
    <w:rsid w:val="182A52D9"/>
    <w:rsid w:val="18382622"/>
    <w:rsid w:val="183E4041"/>
    <w:rsid w:val="1844012A"/>
    <w:rsid w:val="184D0082"/>
    <w:rsid w:val="18511AC3"/>
    <w:rsid w:val="18560AD3"/>
    <w:rsid w:val="185F4129"/>
    <w:rsid w:val="18664544"/>
    <w:rsid w:val="18672D11"/>
    <w:rsid w:val="186E164B"/>
    <w:rsid w:val="187138F5"/>
    <w:rsid w:val="187622AE"/>
    <w:rsid w:val="188D06CA"/>
    <w:rsid w:val="188E75F7"/>
    <w:rsid w:val="18920086"/>
    <w:rsid w:val="18953CCD"/>
    <w:rsid w:val="18975246"/>
    <w:rsid w:val="189E7349"/>
    <w:rsid w:val="18A522A1"/>
    <w:rsid w:val="18AD3F21"/>
    <w:rsid w:val="18B0756E"/>
    <w:rsid w:val="18B2778A"/>
    <w:rsid w:val="18B3705E"/>
    <w:rsid w:val="18BD1C8B"/>
    <w:rsid w:val="18C92265"/>
    <w:rsid w:val="18CD6371"/>
    <w:rsid w:val="18D314AE"/>
    <w:rsid w:val="18D3325C"/>
    <w:rsid w:val="18DF1DBE"/>
    <w:rsid w:val="18E611E1"/>
    <w:rsid w:val="18E90CD1"/>
    <w:rsid w:val="18EB2C9C"/>
    <w:rsid w:val="18EC3602"/>
    <w:rsid w:val="18ED2570"/>
    <w:rsid w:val="18F55160"/>
    <w:rsid w:val="19033B41"/>
    <w:rsid w:val="19111EDC"/>
    <w:rsid w:val="19197809"/>
    <w:rsid w:val="191A1185"/>
    <w:rsid w:val="191C7400"/>
    <w:rsid w:val="19202945"/>
    <w:rsid w:val="19265A82"/>
    <w:rsid w:val="192A697E"/>
    <w:rsid w:val="193208CA"/>
    <w:rsid w:val="19373188"/>
    <w:rsid w:val="19466124"/>
    <w:rsid w:val="194C2307"/>
    <w:rsid w:val="19540841"/>
    <w:rsid w:val="19552A86"/>
    <w:rsid w:val="19597C05"/>
    <w:rsid w:val="19670574"/>
    <w:rsid w:val="19687E48"/>
    <w:rsid w:val="19696E0C"/>
    <w:rsid w:val="196C11FD"/>
    <w:rsid w:val="198D78AF"/>
    <w:rsid w:val="19940776"/>
    <w:rsid w:val="1994787E"/>
    <w:rsid w:val="199E1ABC"/>
    <w:rsid w:val="199E7D0E"/>
    <w:rsid w:val="19A20D9A"/>
    <w:rsid w:val="19AC242B"/>
    <w:rsid w:val="19AE61A3"/>
    <w:rsid w:val="19B906A4"/>
    <w:rsid w:val="19BF28B1"/>
    <w:rsid w:val="19C57049"/>
    <w:rsid w:val="19CF7EC7"/>
    <w:rsid w:val="19D43730"/>
    <w:rsid w:val="19E506D6"/>
    <w:rsid w:val="19EA2F53"/>
    <w:rsid w:val="19EC0A79"/>
    <w:rsid w:val="19EC4FBE"/>
    <w:rsid w:val="19F33BB6"/>
    <w:rsid w:val="19F618F8"/>
    <w:rsid w:val="19FA13E8"/>
    <w:rsid w:val="1A192827"/>
    <w:rsid w:val="1A1E49AB"/>
    <w:rsid w:val="1A1F2BFD"/>
    <w:rsid w:val="1A330456"/>
    <w:rsid w:val="1A3366A8"/>
    <w:rsid w:val="1A352D11"/>
    <w:rsid w:val="1A385A6D"/>
    <w:rsid w:val="1A455583"/>
    <w:rsid w:val="1A472154"/>
    <w:rsid w:val="1A4C68B1"/>
    <w:rsid w:val="1A4E5290"/>
    <w:rsid w:val="1A584361"/>
    <w:rsid w:val="1A5944BB"/>
    <w:rsid w:val="1A5B5BFF"/>
    <w:rsid w:val="1A5F2FF9"/>
    <w:rsid w:val="1A642D06"/>
    <w:rsid w:val="1A750A6F"/>
    <w:rsid w:val="1A772A39"/>
    <w:rsid w:val="1A807414"/>
    <w:rsid w:val="1A8769F4"/>
    <w:rsid w:val="1A877E8B"/>
    <w:rsid w:val="1A8B2040"/>
    <w:rsid w:val="1A8D59CC"/>
    <w:rsid w:val="1A913318"/>
    <w:rsid w:val="1A9703C8"/>
    <w:rsid w:val="1A98475D"/>
    <w:rsid w:val="1AB25BC6"/>
    <w:rsid w:val="1AB5530F"/>
    <w:rsid w:val="1AB86BAD"/>
    <w:rsid w:val="1AC13CB4"/>
    <w:rsid w:val="1AC775D5"/>
    <w:rsid w:val="1ACB4722"/>
    <w:rsid w:val="1AD25EC1"/>
    <w:rsid w:val="1AD27C6F"/>
    <w:rsid w:val="1AE45BF4"/>
    <w:rsid w:val="1AE479A2"/>
    <w:rsid w:val="1AE6196C"/>
    <w:rsid w:val="1AEC6857"/>
    <w:rsid w:val="1AEE0821"/>
    <w:rsid w:val="1AF5395E"/>
    <w:rsid w:val="1AF9438C"/>
    <w:rsid w:val="1B010554"/>
    <w:rsid w:val="1B010CBE"/>
    <w:rsid w:val="1B041DF3"/>
    <w:rsid w:val="1B0E67CD"/>
    <w:rsid w:val="1B1A121B"/>
    <w:rsid w:val="1B1D4C62"/>
    <w:rsid w:val="1B274CD4"/>
    <w:rsid w:val="1B2C7D7E"/>
    <w:rsid w:val="1B3B1CB8"/>
    <w:rsid w:val="1B473697"/>
    <w:rsid w:val="1B481CDF"/>
    <w:rsid w:val="1B4A6025"/>
    <w:rsid w:val="1B4E3C41"/>
    <w:rsid w:val="1B593EEC"/>
    <w:rsid w:val="1B5C39DD"/>
    <w:rsid w:val="1B632FBD"/>
    <w:rsid w:val="1B6771DF"/>
    <w:rsid w:val="1B7A20B5"/>
    <w:rsid w:val="1B7D50C4"/>
    <w:rsid w:val="1B7F1479"/>
    <w:rsid w:val="1B862808"/>
    <w:rsid w:val="1B8705E3"/>
    <w:rsid w:val="1B8847D2"/>
    <w:rsid w:val="1B952124"/>
    <w:rsid w:val="1B98062B"/>
    <w:rsid w:val="1BA23AE5"/>
    <w:rsid w:val="1BB235FD"/>
    <w:rsid w:val="1BC3580A"/>
    <w:rsid w:val="1BD01CD5"/>
    <w:rsid w:val="1BD21EF1"/>
    <w:rsid w:val="1BD25A4D"/>
    <w:rsid w:val="1BDB39AC"/>
    <w:rsid w:val="1BDC68CC"/>
    <w:rsid w:val="1BE3760F"/>
    <w:rsid w:val="1BEF2AA3"/>
    <w:rsid w:val="1BF400B9"/>
    <w:rsid w:val="1BF704FB"/>
    <w:rsid w:val="1C03286B"/>
    <w:rsid w:val="1C1222ED"/>
    <w:rsid w:val="1C1D316C"/>
    <w:rsid w:val="1C27118C"/>
    <w:rsid w:val="1C36128C"/>
    <w:rsid w:val="1C387FA6"/>
    <w:rsid w:val="1C3D380E"/>
    <w:rsid w:val="1C3F4D1E"/>
    <w:rsid w:val="1C3F79B0"/>
    <w:rsid w:val="1C444B9D"/>
    <w:rsid w:val="1C47468D"/>
    <w:rsid w:val="1C4C3A51"/>
    <w:rsid w:val="1C4E1E20"/>
    <w:rsid w:val="1C531AF6"/>
    <w:rsid w:val="1C6012AB"/>
    <w:rsid w:val="1C6256C4"/>
    <w:rsid w:val="1C694603"/>
    <w:rsid w:val="1C6A3ED7"/>
    <w:rsid w:val="1C71170A"/>
    <w:rsid w:val="1C766D20"/>
    <w:rsid w:val="1CA74430"/>
    <w:rsid w:val="1CB00AFB"/>
    <w:rsid w:val="1CB477B1"/>
    <w:rsid w:val="1CBA17E0"/>
    <w:rsid w:val="1CCE26B8"/>
    <w:rsid w:val="1CD06430"/>
    <w:rsid w:val="1CD145B6"/>
    <w:rsid w:val="1CDD0537"/>
    <w:rsid w:val="1CEB2DB3"/>
    <w:rsid w:val="1CEF491D"/>
    <w:rsid w:val="1CF33ECD"/>
    <w:rsid w:val="1CF5183B"/>
    <w:rsid w:val="1CF71C0F"/>
    <w:rsid w:val="1CFB2A86"/>
    <w:rsid w:val="1CFB2B21"/>
    <w:rsid w:val="1CFF6D16"/>
    <w:rsid w:val="1D012A8E"/>
    <w:rsid w:val="1D1075D0"/>
    <w:rsid w:val="1D1327C1"/>
    <w:rsid w:val="1D181B85"/>
    <w:rsid w:val="1D1A58FD"/>
    <w:rsid w:val="1D1E7DA2"/>
    <w:rsid w:val="1D264AB0"/>
    <w:rsid w:val="1D2B7B0B"/>
    <w:rsid w:val="1D320E99"/>
    <w:rsid w:val="1D3369BF"/>
    <w:rsid w:val="1D444728"/>
    <w:rsid w:val="1D45701B"/>
    <w:rsid w:val="1D465BD9"/>
    <w:rsid w:val="1D4670C9"/>
    <w:rsid w:val="1D4A4435"/>
    <w:rsid w:val="1D4D4A5F"/>
    <w:rsid w:val="1D4D5CD3"/>
    <w:rsid w:val="1D535A89"/>
    <w:rsid w:val="1D686669"/>
    <w:rsid w:val="1D70551D"/>
    <w:rsid w:val="1D721295"/>
    <w:rsid w:val="1D761712"/>
    <w:rsid w:val="1D7B2840"/>
    <w:rsid w:val="1D813BCE"/>
    <w:rsid w:val="1D880AB9"/>
    <w:rsid w:val="1D8F0099"/>
    <w:rsid w:val="1D942EB9"/>
    <w:rsid w:val="1D94745E"/>
    <w:rsid w:val="1D9751A0"/>
    <w:rsid w:val="1D992CC6"/>
    <w:rsid w:val="1D9A07EC"/>
    <w:rsid w:val="1D9C27B6"/>
    <w:rsid w:val="1D9F5E03"/>
    <w:rsid w:val="1DA027CC"/>
    <w:rsid w:val="1DBB0E8E"/>
    <w:rsid w:val="1DC835AB"/>
    <w:rsid w:val="1DCA3E7C"/>
    <w:rsid w:val="1DCF493A"/>
    <w:rsid w:val="1DD737EE"/>
    <w:rsid w:val="1DE101C9"/>
    <w:rsid w:val="1DE859FC"/>
    <w:rsid w:val="1DEC54EC"/>
    <w:rsid w:val="1DF919B7"/>
    <w:rsid w:val="1DFD22D8"/>
    <w:rsid w:val="1E043717"/>
    <w:rsid w:val="1E0B5930"/>
    <w:rsid w:val="1E2D5F4A"/>
    <w:rsid w:val="1E324D9F"/>
    <w:rsid w:val="1E335A32"/>
    <w:rsid w:val="1E380731"/>
    <w:rsid w:val="1E3B1FCF"/>
    <w:rsid w:val="1E430E84"/>
    <w:rsid w:val="1E434545"/>
    <w:rsid w:val="1E4827C0"/>
    <w:rsid w:val="1E58492F"/>
    <w:rsid w:val="1E594C26"/>
    <w:rsid w:val="1E5E66C1"/>
    <w:rsid w:val="1E5E6DE2"/>
    <w:rsid w:val="1E6559EB"/>
    <w:rsid w:val="1E6908EA"/>
    <w:rsid w:val="1E6D7CAF"/>
    <w:rsid w:val="1E6E4153"/>
    <w:rsid w:val="1E766B63"/>
    <w:rsid w:val="1E7679C4"/>
    <w:rsid w:val="1E7775FF"/>
    <w:rsid w:val="1E7E1ED8"/>
    <w:rsid w:val="1E7E516C"/>
    <w:rsid w:val="1E82232E"/>
    <w:rsid w:val="1E865E2F"/>
    <w:rsid w:val="1E8A6AB3"/>
    <w:rsid w:val="1E984D2C"/>
    <w:rsid w:val="1EA2204E"/>
    <w:rsid w:val="1EAF02C7"/>
    <w:rsid w:val="1EBF675C"/>
    <w:rsid w:val="1EC5773A"/>
    <w:rsid w:val="1ECD294E"/>
    <w:rsid w:val="1ED16490"/>
    <w:rsid w:val="1ED33FB6"/>
    <w:rsid w:val="1EE14611"/>
    <w:rsid w:val="1EE64774"/>
    <w:rsid w:val="1EE7458B"/>
    <w:rsid w:val="1EF13E7C"/>
    <w:rsid w:val="1EF74148"/>
    <w:rsid w:val="1EFA1543"/>
    <w:rsid w:val="1F0028D1"/>
    <w:rsid w:val="1F095B9C"/>
    <w:rsid w:val="1F0B3750"/>
    <w:rsid w:val="1F0C58A4"/>
    <w:rsid w:val="1F0D396C"/>
    <w:rsid w:val="1F170DBA"/>
    <w:rsid w:val="1F264A2D"/>
    <w:rsid w:val="1F394761"/>
    <w:rsid w:val="1F3B0574"/>
    <w:rsid w:val="1F3F33F9"/>
    <w:rsid w:val="1F43738D"/>
    <w:rsid w:val="1F44115B"/>
    <w:rsid w:val="1F52137F"/>
    <w:rsid w:val="1F533349"/>
    <w:rsid w:val="1F5A5233"/>
    <w:rsid w:val="1F642E60"/>
    <w:rsid w:val="1F707A57"/>
    <w:rsid w:val="1F7A6B27"/>
    <w:rsid w:val="1F8009E4"/>
    <w:rsid w:val="1F813A12"/>
    <w:rsid w:val="1F855CC1"/>
    <w:rsid w:val="1F882FF2"/>
    <w:rsid w:val="1F925C1F"/>
    <w:rsid w:val="1F9279CD"/>
    <w:rsid w:val="1F9574BD"/>
    <w:rsid w:val="1F9D4872"/>
    <w:rsid w:val="1FAA285E"/>
    <w:rsid w:val="1FAA740D"/>
    <w:rsid w:val="1FAF67D1"/>
    <w:rsid w:val="1FB5190D"/>
    <w:rsid w:val="1FB75686"/>
    <w:rsid w:val="1FBA5176"/>
    <w:rsid w:val="1FBA6F24"/>
    <w:rsid w:val="1FC71331"/>
    <w:rsid w:val="1FCB1131"/>
    <w:rsid w:val="1FCF29CF"/>
    <w:rsid w:val="1FCF7AFB"/>
    <w:rsid w:val="1FD35663"/>
    <w:rsid w:val="1FD53D5E"/>
    <w:rsid w:val="1FED4E93"/>
    <w:rsid w:val="1FF16DE9"/>
    <w:rsid w:val="1FF5415A"/>
    <w:rsid w:val="1FF9543E"/>
    <w:rsid w:val="20014C4D"/>
    <w:rsid w:val="20052895"/>
    <w:rsid w:val="20054643"/>
    <w:rsid w:val="20062169"/>
    <w:rsid w:val="20143C0A"/>
    <w:rsid w:val="201605FE"/>
    <w:rsid w:val="20210D51"/>
    <w:rsid w:val="20297BF0"/>
    <w:rsid w:val="203978EE"/>
    <w:rsid w:val="203B492A"/>
    <w:rsid w:val="203F19EB"/>
    <w:rsid w:val="205B4263"/>
    <w:rsid w:val="205E1FA5"/>
    <w:rsid w:val="20601879"/>
    <w:rsid w:val="206770AC"/>
    <w:rsid w:val="206F5F60"/>
    <w:rsid w:val="207E43F5"/>
    <w:rsid w:val="208F53EE"/>
    <w:rsid w:val="209239FD"/>
    <w:rsid w:val="20A852BE"/>
    <w:rsid w:val="20AB09C3"/>
    <w:rsid w:val="20AD0837"/>
    <w:rsid w:val="20B13C44"/>
    <w:rsid w:val="20B83463"/>
    <w:rsid w:val="20C43317"/>
    <w:rsid w:val="20D64231"/>
    <w:rsid w:val="20DE6C42"/>
    <w:rsid w:val="20EA3839"/>
    <w:rsid w:val="20F6042F"/>
    <w:rsid w:val="20F85819"/>
    <w:rsid w:val="20FC3C98"/>
    <w:rsid w:val="21022930"/>
    <w:rsid w:val="210B2B03"/>
    <w:rsid w:val="210E39CB"/>
    <w:rsid w:val="210E7527"/>
    <w:rsid w:val="21162880"/>
    <w:rsid w:val="21325751"/>
    <w:rsid w:val="21380A48"/>
    <w:rsid w:val="21394B34"/>
    <w:rsid w:val="213A47C0"/>
    <w:rsid w:val="2149055F"/>
    <w:rsid w:val="21555156"/>
    <w:rsid w:val="215A6137"/>
    <w:rsid w:val="215A6C10"/>
    <w:rsid w:val="216C735A"/>
    <w:rsid w:val="216E6218"/>
    <w:rsid w:val="21751354"/>
    <w:rsid w:val="21793170"/>
    <w:rsid w:val="217C6B87"/>
    <w:rsid w:val="21815F4B"/>
    <w:rsid w:val="2186411B"/>
    <w:rsid w:val="218912A4"/>
    <w:rsid w:val="218D6331"/>
    <w:rsid w:val="21976B47"/>
    <w:rsid w:val="219C14EA"/>
    <w:rsid w:val="219C4B33"/>
    <w:rsid w:val="21A41C3A"/>
    <w:rsid w:val="21AA0945"/>
    <w:rsid w:val="21B46321"/>
    <w:rsid w:val="21BE719F"/>
    <w:rsid w:val="21C81DCC"/>
    <w:rsid w:val="21C85928"/>
    <w:rsid w:val="21CD2F3E"/>
    <w:rsid w:val="21DF2C72"/>
    <w:rsid w:val="21E14C3C"/>
    <w:rsid w:val="21E5472C"/>
    <w:rsid w:val="21EF0395"/>
    <w:rsid w:val="21F726B1"/>
    <w:rsid w:val="220213CB"/>
    <w:rsid w:val="220C0960"/>
    <w:rsid w:val="220D3C83"/>
    <w:rsid w:val="22192627"/>
    <w:rsid w:val="22196184"/>
    <w:rsid w:val="221A1EFC"/>
    <w:rsid w:val="221A77A4"/>
    <w:rsid w:val="221C5C74"/>
    <w:rsid w:val="22244B28"/>
    <w:rsid w:val="222F59A7"/>
    <w:rsid w:val="22315FE8"/>
    <w:rsid w:val="22327245"/>
    <w:rsid w:val="223363F5"/>
    <w:rsid w:val="223963C1"/>
    <w:rsid w:val="22411A5B"/>
    <w:rsid w:val="2241392C"/>
    <w:rsid w:val="224156DA"/>
    <w:rsid w:val="224F6049"/>
    <w:rsid w:val="22543660"/>
    <w:rsid w:val="22550BDA"/>
    <w:rsid w:val="225B2099"/>
    <w:rsid w:val="225D56AD"/>
    <w:rsid w:val="227C0517"/>
    <w:rsid w:val="227F528A"/>
    <w:rsid w:val="22857CBD"/>
    <w:rsid w:val="228F6446"/>
    <w:rsid w:val="22943A5C"/>
    <w:rsid w:val="22966B03"/>
    <w:rsid w:val="229E46AB"/>
    <w:rsid w:val="22AC349C"/>
    <w:rsid w:val="22B12860"/>
    <w:rsid w:val="22B365D8"/>
    <w:rsid w:val="22B5198B"/>
    <w:rsid w:val="22B60126"/>
    <w:rsid w:val="22B67E76"/>
    <w:rsid w:val="22BA0269"/>
    <w:rsid w:val="22BE570A"/>
    <w:rsid w:val="22C11787"/>
    <w:rsid w:val="22C165E8"/>
    <w:rsid w:val="22CD23BA"/>
    <w:rsid w:val="22D76E3C"/>
    <w:rsid w:val="22DE117B"/>
    <w:rsid w:val="22E177D9"/>
    <w:rsid w:val="22E26EBD"/>
    <w:rsid w:val="22ED19A4"/>
    <w:rsid w:val="22F10EAE"/>
    <w:rsid w:val="22F4099F"/>
    <w:rsid w:val="2303281C"/>
    <w:rsid w:val="23043305"/>
    <w:rsid w:val="23045086"/>
    <w:rsid w:val="230B6414"/>
    <w:rsid w:val="230E1A60"/>
    <w:rsid w:val="231177A3"/>
    <w:rsid w:val="23122559"/>
    <w:rsid w:val="2318643B"/>
    <w:rsid w:val="23256DAA"/>
    <w:rsid w:val="23266752"/>
    <w:rsid w:val="23270D74"/>
    <w:rsid w:val="23290736"/>
    <w:rsid w:val="232B62EC"/>
    <w:rsid w:val="232E02C0"/>
    <w:rsid w:val="233A4603"/>
    <w:rsid w:val="23403BE4"/>
    <w:rsid w:val="23466363"/>
    <w:rsid w:val="23476D20"/>
    <w:rsid w:val="234C0665"/>
    <w:rsid w:val="235F406A"/>
    <w:rsid w:val="236B2A0F"/>
    <w:rsid w:val="2371150A"/>
    <w:rsid w:val="237308A7"/>
    <w:rsid w:val="237C4C1C"/>
    <w:rsid w:val="237D2742"/>
    <w:rsid w:val="237D4E22"/>
    <w:rsid w:val="237F295E"/>
    <w:rsid w:val="238C0BD7"/>
    <w:rsid w:val="23922691"/>
    <w:rsid w:val="23A10C3C"/>
    <w:rsid w:val="23A3664D"/>
    <w:rsid w:val="23A46F6A"/>
    <w:rsid w:val="23A63411"/>
    <w:rsid w:val="23AD5CF5"/>
    <w:rsid w:val="23B6137F"/>
    <w:rsid w:val="23BC770E"/>
    <w:rsid w:val="23C14D25"/>
    <w:rsid w:val="23C30DB2"/>
    <w:rsid w:val="23CB3D1D"/>
    <w:rsid w:val="23CB6BBC"/>
    <w:rsid w:val="23CD6900"/>
    <w:rsid w:val="23D21FE8"/>
    <w:rsid w:val="23D34A58"/>
    <w:rsid w:val="23D5432C"/>
    <w:rsid w:val="23DA1943"/>
    <w:rsid w:val="23E17175"/>
    <w:rsid w:val="23E46C65"/>
    <w:rsid w:val="23ED320B"/>
    <w:rsid w:val="23EE53EE"/>
    <w:rsid w:val="23F33908"/>
    <w:rsid w:val="23FB0A5B"/>
    <w:rsid w:val="240510B5"/>
    <w:rsid w:val="240D4F24"/>
    <w:rsid w:val="24103ACD"/>
    <w:rsid w:val="24172B97"/>
    <w:rsid w:val="241C63FF"/>
    <w:rsid w:val="241E3F25"/>
    <w:rsid w:val="241E5CD3"/>
    <w:rsid w:val="24275D38"/>
    <w:rsid w:val="24277FE5"/>
    <w:rsid w:val="24294678"/>
    <w:rsid w:val="24344A48"/>
    <w:rsid w:val="2435126F"/>
    <w:rsid w:val="24455956"/>
    <w:rsid w:val="244F2209"/>
    <w:rsid w:val="24567F54"/>
    <w:rsid w:val="245960DD"/>
    <w:rsid w:val="245D1E94"/>
    <w:rsid w:val="246A53BC"/>
    <w:rsid w:val="247508D3"/>
    <w:rsid w:val="247C1A1B"/>
    <w:rsid w:val="24816262"/>
    <w:rsid w:val="24875A24"/>
    <w:rsid w:val="24885842"/>
    <w:rsid w:val="248E21AF"/>
    <w:rsid w:val="249203D9"/>
    <w:rsid w:val="24970470"/>
    <w:rsid w:val="249D5117"/>
    <w:rsid w:val="249E6E14"/>
    <w:rsid w:val="24A563F4"/>
    <w:rsid w:val="24AC7783"/>
    <w:rsid w:val="24AD2130"/>
    <w:rsid w:val="24B2466D"/>
    <w:rsid w:val="24B86128"/>
    <w:rsid w:val="24B93C4E"/>
    <w:rsid w:val="24BC729A"/>
    <w:rsid w:val="24BD373E"/>
    <w:rsid w:val="24C3687B"/>
    <w:rsid w:val="24C81666"/>
    <w:rsid w:val="24CA19B7"/>
    <w:rsid w:val="24CE259C"/>
    <w:rsid w:val="24D7664B"/>
    <w:rsid w:val="24DE756E"/>
    <w:rsid w:val="24E0567E"/>
    <w:rsid w:val="24EA16DC"/>
    <w:rsid w:val="24EF289D"/>
    <w:rsid w:val="24F44C86"/>
    <w:rsid w:val="24F4656C"/>
    <w:rsid w:val="24F5112A"/>
    <w:rsid w:val="24F53B2C"/>
    <w:rsid w:val="24F56782"/>
    <w:rsid w:val="24FB4266"/>
    <w:rsid w:val="2500362B"/>
    <w:rsid w:val="250273A3"/>
    <w:rsid w:val="2503311B"/>
    <w:rsid w:val="25034EC9"/>
    <w:rsid w:val="25070E5D"/>
    <w:rsid w:val="250D6DDF"/>
    <w:rsid w:val="25137802"/>
    <w:rsid w:val="251D242F"/>
    <w:rsid w:val="25203CCD"/>
    <w:rsid w:val="25237319"/>
    <w:rsid w:val="252E6E8A"/>
    <w:rsid w:val="25315EDA"/>
    <w:rsid w:val="254222EB"/>
    <w:rsid w:val="25444FDC"/>
    <w:rsid w:val="254826D1"/>
    <w:rsid w:val="254C061E"/>
    <w:rsid w:val="25564F1A"/>
    <w:rsid w:val="25585215"/>
    <w:rsid w:val="255D282B"/>
    <w:rsid w:val="256F255E"/>
    <w:rsid w:val="256F7B27"/>
    <w:rsid w:val="257B7155"/>
    <w:rsid w:val="259049AF"/>
    <w:rsid w:val="2591155E"/>
    <w:rsid w:val="259124D5"/>
    <w:rsid w:val="2596422C"/>
    <w:rsid w:val="259A6D17"/>
    <w:rsid w:val="259D60D1"/>
    <w:rsid w:val="25AB17E9"/>
    <w:rsid w:val="25AB7A3A"/>
    <w:rsid w:val="25B368EF"/>
    <w:rsid w:val="25B606E4"/>
    <w:rsid w:val="25B82157"/>
    <w:rsid w:val="25BE76BC"/>
    <w:rsid w:val="25CE197B"/>
    <w:rsid w:val="25D24FC7"/>
    <w:rsid w:val="25D66AED"/>
    <w:rsid w:val="25DC5E46"/>
    <w:rsid w:val="25DD326C"/>
    <w:rsid w:val="25E92311"/>
    <w:rsid w:val="25EA4672"/>
    <w:rsid w:val="25ED0053"/>
    <w:rsid w:val="26021720"/>
    <w:rsid w:val="26040EF9"/>
    <w:rsid w:val="26055EB0"/>
    <w:rsid w:val="2609454D"/>
    <w:rsid w:val="26105AEF"/>
    <w:rsid w:val="26127ABA"/>
    <w:rsid w:val="261C6242"/>
    <w:rsid w:val="2628108B"/>
    <w:rsid w:val="262B46D7"/>
    <w:rsid w:val="262C0346"/>
    <w:rsid w:val="262C38E5"/>
    <w:rsid w:val="26323CB8"/>
    <w:rsid w:val="263537A8"/>
    <w:rsid w:val="263E440B"/>
    <w:rsid w:val="2646191E"/>
    <w:rsid w:val="26486E0F"/>
    <w:rsid w:val="264D1F34"/>
    <w:rsid w:val="2652435A"/>
    <w:rsid w:val="26551754"/>
    <w:rsid w:val="265E685B"/>
    <w:rsid w:val="26661BB3"/>
    <w:rsid w:val="26722306"/>
    <w:rsid w:val="26740622"/>
    <w:rsid w:val="267E514F"/>
    <w:rsid w:val="26837610"/>
    <w:rsid w:val="26862310"/>
    <w:rsid w:val="268907C4"/>
    <w:rsid w:val="26976211"/>
    <w:rsid w:val="26A050C5"/>
    <w:rsid w:val="26B11081"/>
    <w:rsid w:val="26B24DF9"/>
    <w:rsid w:val="26B2663E"/>
    <w:rsid w:val="26B836F3"/>
    <w:rsid w:val="26BB3CAD"/>
    <w:rsid w:val="26C32B62"/>
    <w:rsid w:val="26C568DA"/>
    <w:rsid w:val="26CF1150"/>
    <w:rsid w:val="26D44D6F"/>
    <w:rsid w:val="26D71E4A"/>
    <w:rsid w:val="26E33204"/>
    <w:rsid w:val="26E516C7"/>
    <w:rsid w:val="26E51F33"/>
    <w:rsid w:val="26E86A6C"/>
    <w:rsid w:val="26EE1123"/>
    <w:rsid w:val="26F70A5D"/>
    <w:rsid w:val="26F927DC"/>
    <w:rsid w:val="270C62B7"/>
    <w:rsid w:val="27111B1F"/>
    <w:rsid w:val="27127645"/>
    <w:rsid w:val="271433BD"/>
    <w:rsid w:val="271B474C"/>
    <w:rsid w:val="272560F0"/>
    <w:rsid w:val="27333B64"/>
    <w:rsid w:val="27392E24"/>
    <w:rsid w:val="273D458E"/>
    <w:rsid w:val="27402404"/>
    <w:rsid w:val="27475541"/>
    <w:rsid w:val="275245C2"/>
    <w:rsid w:val="27542B39"/>
    <w:rsid w:val="275639D6"/>
    <w:rsid w:val="275B0FEC"/>
    <w:rsid w:val="275B723E"/>
    <w:rsid w:val="275D6B12"/>
    <w:rsid w:val="27602AA7"/>
    <w:rsid w:val="27606603"/>
    <w:rsid w:val="27637EA1"/>
    <w:rsid w:val="27653C19"/>
    <w:rsid w:val="2768302A"/>
    <w:rsid w:val="276A7481"/>
    <w:rsid w:val="27750300"/>
    <w:rsid w:val="27814EF7"/>
    <w:rsid w:val="278B7B24"/>
    <w:rsid w:val="278C389C"/>
    <w:rsid w:val="27912C60"/>
    <w:rsid w:val="279A1B15"/>
    <w:rsid w:val="27A75FE0"/>
    <w:rsid w:val="27B32BD6"/>
    <w:rsid w:val="27BB697F"/>
    <w:rsid w:val="27C052F3"/>
    <w:rsid w:val="27C6290A"/>
    <w:rsid w:val="27CC38E8"/>
    <w:rsid w:val="27D25752"/>
    <w:rsid w:val="27DA1FA7"/>
    <w:rsid w:val="27DA63B5"/>
    <w:rsid w:val="27DF1C1D"/>
    <w:rsid w:val="27E37B96"/>
    <w:rsid w:val="27F751B9"/>
    <w:rsid w:val="27FD02F5"/>
    <w:rsid w:val="28011B94"/>
    <w:rsid w:val="28021DAF"/>
    <w:rsid w:val="28094EEC"/>
    <w:rsid w:val="281A0EA7"/>
    <w:rsid w:val="281C2391"/>
    <w:rsid w:val="28237D5C"/>
    <w:rsid w:val="282C42AE"/>
    <w:rsid w:val="28377363"/>
    <w:rsid w:val="284063F2"/>
    <w:rsid w:val="284615CB"/>
    <w:rsid w:val="28486918"/>
    <w:rsid w:val="28496145"/>
    <w:rsid w:val="285919D0"/>
    <w:rsid w:val="2869172C"/>
    <w:rsid w:val="286D0FD7"/>
    <w:rsid w:val="28843D57"/>
    <w:rsid w:val="28893937"/>
    <w:rsid w:val="288A1B89"/>
    <w:rsid w:val="288D3427"/>
    <w:rsid w:val="288F719F"/>
    <w:rsid w:val="28A1297A"/>
    <w:rsid w:val="28B74948"/>
    <w:rsid w:val="28C037FD"/>
    <w:rsid w:val="28C332ED"/>
    <w:rsid w:val="28C42EEC"/>
    <w:rsid w:val="28CB3175"/>
    <w:rsid w:val="28CF3A40"/>
    <w:rsid w:val="28D14107"/>
    <w:rsid w:val="28DB23E5"/>
    <w:rsid w:val="28DE3C83"/>
    <w:rsid w:val="28E079FB"/>
    <w:rsid w:val="28E9787B"/>
    <w:rsid w:val="28EC45F2"/>
    <w:rsid w:val="28F337C0"/>
    <w:rsid w:val="28FB1E62"/>
    <w:rsid w:val="290D4568"/>
    <w:rsid w:val="290F6532"/>
    <w:rsid w:val="291E6775"/>
    <w:rsid w:val="292673D8"/>
    <w:rsid w:val="292A6EC8"/>
    <w:rsid w:val="292D69B8"/>
    <w:rsid w:val="293164A9"/>
    <w:rsid w:val="29332221"/>
    <w:rsid w:val="29353D69"/>
    <w:rsid w:val="2936586D"/>
    <w:rsid w:val="29376FA0"/>
    <w:rsid w:val="293B04AE"/>
    <w:rsid w:val="2940493E"/>
    <w:rsid w:val="29452074"/>
    <w:rsid w:val="29487354"/>
    <w:rsid w:val="294C6E3F"/>
    <w:rsid w:val="29522056"/>
    <w:rsid w:val="295E4DC4"/>
    <w:rsid w:val="29693E94"/>
    <w:rsid w:val="296971A8"/>
    <w:rsid w:val="296D6FB3"/>
    <w:rsid w:val="29743325"/>
    <w:rsid w:val="297D16EE"/>
    <w:rsid w:val="297E2D25"/>
    <w:rsid w:val="297E535E"/>
    <w:rsid w:val="29827170"/>
    <w:rsid w:val="29852351"/>
    <w:rsid w:val="299A5F1B"/>
    <w:rsid w:val="299E0A64"/>
    <w:rsid w:val="299F78B6"/>
    <w:rsid w:val="29A85E27"/>
    <w:rsid w:val="29A9551B"/>
    <w:rsid w:val="29B175E9"/>
    <w:rsid w:val="29B82726"/>
    <w:rsid w:val="29C11732"/>
    <w:rsid w:val="29C15A7E"/>
    <w:rsid w:val="29D01312"/>
    <w:rsid w:val="29D86924"/>
    <w:rsid w:val="29D92EB9"/>
    <w:rsid w:val="29E057D9"/>
    <w:rsid w:val="29E249EB"/>
    <w:rsid w:val="29E90B31"/>
    <w:rsid w:val="29E95828"/>
    <w:rsid w:val="29F3375E"/>
    <w:rsid w:val="29F342D4"/>
    <w:rsid w:val="29FA2D3E"/>
    <w:rsid w:val="29FB25D1"/>
    <w:rsid w:val="29FF0355"/>
    <w:rsid w:val="2A0E2346"/>
    <w:rsid w:val="2A1536D4"/>
    <w:rsid w:val="2A157B78"/>
    <w:rsid w:val="2A167548"/>
    <w:rsid w:val="2A1A0CEB"/>
    <w:rsid w:val="2A1F27A5"/>
    <w:rsid w:val="2A32072A"/>
    <w:rsid w:val="2A333AC3"/>
    <w:rsid w:val="2A355B25"/>
    <w:rsid w:val="2A390483"/>
    <w:rsid w:val="2A4B5348"/>
    <w:rsid w:val="2A4C1A18"/>
    <w:rsid w:val="2A585B80"/>
    <w:rsid w:val="2A5A1A2F"/>
    <w:rsid w:val="2A5A558B"/>
    <w:rsid w:val="2A6601A2"/>
    <w:rsid w:val="2A68414C"/>
    <w:rsid w:val="2A691C72"/>
    <w:rsid w:val="2A704DAF"/>
    <w:rsid w:val="2A756869"/>
    <w:rsid w:val="2A760C39"/>
    <w:rsid w:val="2A866380"/>
    <w:rsid w:val="2A895E70"/>
    <w:rsid w:val="2A9036A3"/>
    <w:rsid w:val="2A9419D0"/>
    <w:rsid w:val="2A992557"/>
    <w:rsid w:val="2AA35184"/>
    <w:rsid w:val="2AA416B0"/>
    <w:rsid w:val="2AA44A58"/>
    <w:rsid w:val="2AA809EC"/>
    <w:rsid w:val="2AAA4765"/>
    <w:rsid w:val="2AB36DD8"/>
    <w:rsid w:val="2AB503FD"/>
    <w:rsid w:val="2AC0493A"/>
    <w:rsid w:val="2AC1560A"/>
    <w:rsid w:val="2AC670C5"/>
    <w:rsid w:val="2ADE440E"/>
    <w:rsid w:val="2AE15CAC"/>
    <w:rsid w:val="2AE8528D"/>
    <w:rsid w:val="2AEB08D9"/>
    <w:rsid w:val="2AF046A6"/>
    <w:rsid w:val="2AF14141"/>
    <w:rsid w:val="2AF27EBA"/>
    <w:rsid w:val="2AF459E0"/>
    <w:rsid w:val="2AF608D3"/>
    <w:rsid w:val="2AFA0B1C"/>
    <w:rsid w:val="2AFA1A47"/>
    <w:rsid w:val="2AFB4FC0"/>
    <w:rsid w:val="2AFC4894"/>
    <w:rsid w:val="2B013C59"/>
    <w:rsid w:val="2B053749"/>
    <w:rsid w:val="2B1C6CE5"/>
    <w:rsid w:val="2B204A27"/>
    <w:rsid w:val="2B366200"/>
    <w:rsid w:val="2B514BE0"/>
    <w:rsid w:val="2B517CEA"/>
    <w:rsid w:val="2B660607"/>
    <w:rsid w:val="2B6969E4"/>
    <w:rsid w:val="2B6D2330"/>
    <w:rsid w:val="2B797C93"/>
    <w:rsid w:val="2B8F395A"/>
    <w:rsid w:val="2BA016C4"/>
    <w:rsid w:val="2BA53A40"/>
    <w:rsid w:val="2BB4516F"/>
    <w:rsid w:val="2BBA09D7"/>
    <w:rsid w:val="2BBB4515"/>
    <w:rsid w:val="2BBE1B4A"/>
    <w:rsid w:val="2BC03B14"/>
    <w:rsid w:val="2BC314D4"/>
    <w:rsid w:val="2BC43604"/>
    <w:rsid w:val="2BC7377E"/>
    <w:rsid w:val="2BD650E5"/>
    <w:rsid w:val="2BD82C0B"/>
    <w:rsid w:val="2BDF21EC"/>
    <w:rsid w:val="2BF07F0E"/>
    <w:rsid w:val="2BF14D65"/>
    <w:rsid w:val="2BF37A45"/>
    <w:rsid w:val="2BFC0FF0"/>
    <w:rsid w:val="2BFF463C"/>
    <w:rsid w:val="2C167BD8"/>
    <w:rsid w:val="2C1D2D14"/>
    <w:rsid w:val="2C1E6354"/>
    <w:rsid w:val="2C2422F5"/>
    <w:rsid w:val="2C2D7517"/>
    <w:rsid w:val="2C3A1B18"/>
    <w:rsid w:val="2C3B319A"/>
    <w:rsid w:val="2C4402A1"/>
    <w:rsid w:val="2C4509EF"/>
    <w:rsid w:val="2C4D184B"/>
    <w:rsid w:val="2C55425C"/>
    <w:rsid w:val="2C574478"/>
    <w:rsid w:val="2C5E6435"/>
    <w:rsid w:val="2C6B3A80"/>
    <w:rsid w:val="2C730B86"/>
    <w:rsid w:val="2C7D37B3"/>
    <w:rsid w:val="2C7F39CF"/>
    <w:rsid w:val="2C7F577D"/>
    <w:rsid w:val="2C800539"/>
    <w:rsid w:val="2C81312E"/>
    <w:rsid w:val="2C822369"/>
    <w:rsid w:val="2C8965FC"/>
    <w:rsid w:val="2C8B42D2"/>
    <w:rsid w:val="2CA451E4"/>
    <w:rsid w:val="2CA46F92"/>
    <w:rsid w:val="2CB05936"/>
    <w:rsid w:val="2CBB79FD"/>
    <w:rsid w:val="2CBC42DB"/>
    <w:rsid w:val="2CC338BC"/>
    <w:rsid w:val="2CC777C8"/>
    <w:rsid w:val="2CD226C8"/>
    <w:rsid w:val="2CD930DF"/>
    <w:rsid w:val="2CE451F3"/>
    <w:rsid w:val="2CE8602F"/>
    <w:rsid w:val="2CEB4BC0"/>
    <w:rsid w:val="2CFE2B46"/>
    <w:rsid w:val="2D026A79"/>
    <w:rsid w:val="2D0619FA"/>
    <w:rsid w:val="2D09627B"/>
    <w:rsid w:val="2D0A4C43"/>
    <w:rsid w:val="2D0B5263"/>
    <w:rsid w:val="2D12214D"/>
    <w:rsid w:val="2D12791F"/>
    <w:rsid w:val="2D23435A"/>
    <w:rsid w:val="2D282599"/>
    <w:rsid w:val="2D2D6D36"/>
    <w:rsid w:val="2D355E3C"/>
    <w:rsid w:val="2D3622E0"/>
    <w:rsid w:val="2D5409B8"/>
    <w:rsid w:val="2D5E5392"/>
    <w:rsid w:val="2D67693D"/>
    <w:rsid w:val="2D6904DB"/>
    <w:rsid w:val="2D6D3891"/>
    <w:rsid w:val="2D76092E"/>
    <w:rsid w:val="2D7C3335"/>
    <w:rsid w:val="2D7F58FA"/>
    <w:rsid w:val="2D872B3B"/>
    <w:rsid w:val="2D8748E9"/>
    <w:rsid w:val="2D8C0151"/>
    <w:rsid w:val="2D8F379E"/>
    <w:rsid w:val="2D942742"/>
    <w:rsid w:val="2D960FD0"/>
    <w:rsid w:val="2D9F5AAB"/>
    <w:rsid w:val="2DA059AB"/>
    <w:rsid w:val="2DA6263C"/>
    <w:rsid w:val="2DAD1E76"/>
    <w:rsid w:val="2DC53663"/>
    <w:rsid w:val="2DC71329"/>
    <w:rsid w:val="2DC9254F"/>
    <w:rsid w:val="2DE007D6"/>
    <w:rsid w:val="2DE55A9F"/>
    <w:rsid w:val="2DE735DA"/>
    <w:rsid w:val="2DEA131C"/>
    <w:rsid w:val="2DEA4E78"/>
    <w:rsid w:val="2DF00258"/>
    <w:rsid w:val="2DF002CB"/>
    <w:rsid w:val="2DF87595"/>
    <w:rsid w:val="2DFA7E53"/>
    <w:rsid w:val="2E00644A"/>
    <w:rsid w:val="2E0143CE"/>
    <w:rsid w:val="2E0979F4"/>
    <w:rsid w:val="2E0A551A"/>
    <w:rsid w:val="2E0E0B66"/>
    <w:rsid w:val="2E165C6D"/>
    <w:rsid w:val="2E182EB0"/>
    <w:rsid w:val="2E1B7727"/>
    <w:rsid w:val="2E241400"/>
    <w:rsid w:val="2E385BE3"/>
    <w:rsid w:val="2E3C1B78"/>
    <w:rsid w:val="2E4647A4"/>
    <w:rsid w:val="2E5F13C2"/>
    <w:rsid w:val="2E6E5AA9"/>
    <w:rsid w:val="2E7330BF"/>
    <w:rsid w:val="2E772BB0"/>
    <w:rsid w:val="2E7F7181"/>
    <w:rsid w:val="2E9077CD"/>
    <w:rsid w:val="2E9574DA"/>
    <w:rsid w:val="2EA119DB"/>
    <w:rsid w:val="2EA8720D"/>
    <w:rsid w:val="2EA96AE1"/>
    <w:rsid w:val="2EB8138F"/>
    <w:rsid w:val="2EB97CA5"/>
    <w:rsid w:val="2EC13E2B"/>
    <w:rsid w:val="2EC23C82"/>
    <w:rsid w:val="2EC42B2F"/>
    <w:rsid w:val="2ED022C0"/>
    <w:rsid w:val="2ED26038"/>
    <w:rsid w:val="2ED61D9E"/>
    <w:rsid w:val="2EE67D35"/>
    <w:rsid w:val="2EF35FAE"/>
    <w:rsid w:val="2F0F73DE"/>
    <w:rsid w:val="2F10684B"/>
    <w:rsid w:val="2F106B60"/>
    <w:rsid w:val="2F2D2619"/>
    <w:rsid w:val="2F350375"/>
    <w:rsid w:val="2F3C5BA7"/>
    <w:rsid w:val="2F4175EC"/>
    <w:rsid w:val="2F436268"/>
    <w:rsid w:val="2F4A3E20"/>
    <w:rsid w:val="2F4A686A"/>
    <w:rsid w:val="2F4D7D91"/>
    <w:rsid w:val="2F5922B5"/>
    <w:rsid w:val="2F5A5701"/>
    <w:rsid w:val="2F5C1DA5"/>
    <w:rsid w:val="2F601896"/>
    <w:rsid w:val="2F6D2C60"/>
    <w:rsid w:val="2F733637"/>
    <w:rsid w:val="2F736A5D"/>
    <w:rsid w:val="2F7E2C59"/>
    <w:rsid w:val="2F8135BA"/>
    <w:rsid w:val="2F880DEC"/>
    <w:rsid w:val="2F8A06C1"/>
    <w:rsid w:val="2F8F0EBA"/>
    <w:rsid w:val="2F950E14"/>
    <w:rsid w:val="2F967065"/>
    <w:rsid w:val="2F972DDE"/>
    <w:rsid w:val="2F974B8C"/>
    <w:rsid w:val="2FA04132"/>
    <w:rsid w:val="2FA8323D"/>
    <w:rsid w:val="2FAA48BF"/>
    <w:rsid w:val="2FAD43AF"/>
    <w:rsid w:val="2FB621EB"/>
    <w:rsid w:val="2FBD734D"/>
    <w:rsid w:val="2FC31E25"/>
    <w:rsid w:val="2FC70511"/>
    <w:rsid w:val="2FCB45DC"/>
    <w:rsid w:val="2FCC01AB"/>
    <w:rsid w:val="2FD8767E"/>
    <w:rsid w:val="2FE210F8"/>
    <w:rsid w:val="2FE37DD1"/>
    <w:rsid w:val="2FF10740"/>
    <w:rsid w:val="2FF63FA8"/>
    <w:rsid w:val="30000983"/>
    <w:rsid w:val="3002294D"/>
    <w:rsid w:val="300264A9"/>
    <w:rsid w:val="30050B03"/>
    <w:rsid w:val="300C7328"/>
    <w:rsid w:val="300D3E14"/>
    <w:rsid w:val="300E26F6"/>
    <w:rsid w:val="300F0BC6"/>
    <w:rsid w:val="30185CCC"/>
    <w:rsid w:val="30186CF7"/>
    <w:rsid w:val="30192C80"/>
    <w:rsid w:val="30197C97"/>
    <w:rsid w:val="302E0A63"/>
    <w:rsid w:val="302F3016"/>
    <w:rsid w:val="303D5733"/>
    <w:rsid w:val="30405223"/>
    <w:rsid w:val="30450A8C"/>
    <w:rsid w:val="30470360"/>
    <w:rsid w:val="30477E3E"/>
    <w:rsid w:val="3049057C"/>
    <w:rsid w:val="304A1FE6"/>
    <w:rsid w:val="30542A7D"/>
    <w:rsid w:val="30556F21"/>
    <w:rsid w:val="30560FE3"/>
    <w:rsid w:val="30564A47"/>
    <w:rsid w:val="30586A11"/>
    <w:rsid w:val="305B3E0B"/>
    <w:rsid w:val="30703D5A"/>
    <w:rsid w:val="30734F38"/>
    <w:rsid w:val="307849BD"/>
    <w:rsid w:val="30801AC4"/>
    <w:rsid w:val="308E41E1"/>
    <w:rsid w:val="30915A7F"/>
    <w:rsid w:val="309239D9"/>
    <w:rsid w:val="30980BBB"/>
    <w:rsid w:val="30992B52"/>
    <w:rsid w:val="309E3334"/>
    <w:rsid w:val="30A471F6"/>
    <w:rsid w:val="30AE03DF"/>
    <w:rsid w:val="30B31E99"/>
    <w:rsid w:val="30BA6D84"/>
    <w:rsid w:val="30C23E8A"/>
    <w:rsid w:val="30C850DA"/>
    <w:rsid w:val="30CB4915"/>
    <w:rsid w:val="30D065A7"/>
    <w:rsid w:val="30D140CD"/>
    <w:rsid w:val="30D51E0F"/>
    <w:rsid w:val="30D836AE"/>
    <w:rsid w:val="30DA7426"/>
    <w:rsid w:val="30DC4F4C"/>
    <w:rsid w:val="30E16777"/>
    <w:rsid w:val="30EB518F"/>
    <w:rsid w:val="30F74B66"/>
    <w:rsid w:val="30FD3114"/>
    <w:rsid w:val="30FF50DE"/>
    <w:rsid w:val="310B66D2"/>
    <w:rsid w:val="310D2353"/>
    <w:rsid w:val="310D27F3"/>
    <w:rsid w:val="310E70CF"/>
    <w:rsid w:val="31126BC0"/>
    <w:rsid w:val="31197F4E"/>
    <w:rsid w:val="311D7312"/>
    <w:rsid w:val="312132A7"/>
    <w:rsid w:val="312C26C3"/>
    <w:rsid w:val="312E32CE"/>
    <w:rsid w:val="312F7772"/>
    <w:rsid w:val="31322DBE"/>
    <w:rsid w:val="313B4368"/>
    <w:rsid w:val="313C3C3D"/>
    <w:rsid w:val="31491AE3"/>
    <w:rsid w:val="314D5E4A"/>
    <w:rsid w:val="314D7BF8"/>
    <w:rsid w:val="314F3970"/>
    <w:rsid w:val="31562B39"/>
    <w:rsid w:val="315F792B"/>
    <w:rsid w:val="31724332"/>
    <w:rsid w:val="317653A0"/>
    <w:rsid w:val="317C04DD"/>
    <w:rsid w:val="317E4255"/>
    <w:rsid w:val="31800F82"/>
    <w:rsid w:val="318178A1"/>
    <w:rsid w:val="31857392"/>
    <w:rsid w:val="318A0E4C"/>
    <w:rsid w:val="3196159F"/>
    <w:rsid w:val="319A0622"/>
    <w:rsid w:val="319D3D2B"/>
    <w:rsid w:val="319D4FDD"/>
    <w:rsid w:val="31A51E5A"/>
    <w:rsid w:val="31B5579D"/>
    <w:rsid w:val="31B7169F"/>
    <w:rsid w:val="31C3610C"/>
    <w:rsid w:val="31C61758"/>
    <w:rsid w:val="31E16BB0"/>
    <w:rsid w:val="31E31663"/>
    <w:rsid w:val="31E57E30"/>
    <w:rsid w:val="31FB3DE2"/>
    <w:rsid w:val="320B7BFA"/>
    <w:rsid w:val="320F30FF"/>
    <w:rsid w:val="3210297E"/>
    <w:rsid w:val="32130E41"/>
    <w:rsid w:val="32137850"/>
    <w:rsid w:val="32140715"/>
    <w:rsid w:val="321C73D9"/>
    <w:rsid w:val="321F6E11"/>
    <w:rsid w:val="32270449"/>
    <w:rsid w:val="322F72FD"/>
    <w:rsid w:val="32340DB8"/>
    <w:rsid w:val="32342B66"/>
    <w:rsid w:val="3237618E"/>
    <w:rsid w:val="3238005A"/>
    <w:rsid w:val="32452FC5"/>
    <w:rsid w:val="324C7EAF"/>
    <w:rsid w:val="325029E4"/>
    <w:rsid w:val="325661F4"/>
    <w:rsid w:val="325925CC"/>
    <w:rsid w:val="32622E39"/>
    <w:rsid w:val="32625925"/>
    <w:rsid w:val="3264344B"/>
    <w:rsid w:val="32674CE9"/>
    <w:rsid w:val="326C67A3"/>
    <w:rsid w:val="326D2149"/>
    <w:rsid w:val="326D2429"/>
    <w:rsid w:val="32701DFC"/>
    <w:rsid w:val="32800850"/>
    <w:rsid w:val="328868C2"/>
    <w:rsid w:val="328C4750"/>
    <w:rsid w:val="32903C4D"/>
    <w:rsid w:val="32911317"/>
    <w:rsid w:val="329D070B"/>
    <w:rsid w:val="32A415AE"/>
    <w:rsid w:val="32A43A33"/>
    <w:rsid w:val="32A83BE9"/>
    <w:rsid w:val="32B803DE"/>
    <w:rsid w:val="32BA750F"/>
    <w:rsid w:val="32C24615"/>
    <w:rsid w:val="32C37B36"/>
    <w:rsid w:val="32CD77ED"/>
    <w:rsid w:val="32D305D1"/>
    <w:rsid w:val="32D84C7B"/>
    <w:rsid w:val="32DB1233"/>
    <w:rsid w:val="32DF36FA"/>
    <w:rsid w:val="32EA4C63"/>
    <w:rsid w:val="32EE0F67"/>
    <w:rsid w:val="32F52902"/>
    <w:rsid w:val="32F770E2"/>
    <w:rsid w:val="33010C9A"/>
    <w:rsid w:val="330B1B3D"/>
    <w:rsid w:val="330C763F"/>
    <w:rsid w:val="331F55C4"/>
    <w:rsid w:val="331F7372"/>
    <w:rsid w:val="33226E62"/>
    <w:rsid w:val="33321433"/>
    <w:rsid w:val="33353039"/>
    <w:rsid w:val="33356B95"/>
    <w:rsid w:val="33490893"/>
    <w:rsid w:val="33492641"/>
    <w:rsid w:val="33525999"/>
    <w:rsid w:val="335334BF"/>
    <w:rsid w:val="335D09BB"/>
    <w:rsid w:val="33641229"/>
    <w:rsid w:val="336A2CE3"/>
    <w:rsid w:val="33705E1F"/>
    <w:rsid w:val="33721B98"/>
    <w:rsid w:val="33745910"/>
    <w:rsid w:val="33746DD8"/>
    <w:rsid w:val="338A56D7"/>
    <w:rsid w:val="338D69D1"/>
    <w:rsid w:val="339531E1"/>
    <w:rsid w:val="339A10EE"/>
    <w:rsid w:val="339A3DE9"/>
    <w:rsid w:val="339A5589"/>
    <w:rsid w:val="33AE06F6"/>
    <w:rsid w:val="33AF6948"/>
    <w:rsid w:val="33B158EA"/>
    <w:rsid w:val="33B3712A"/>
    <w:rsid w:val="33C06DA7"/>
    <w:rsid w:val="33C17AF0"/>
    <w:rsid w:val="33C65770"/>
    <w:rsid w:val="33D12D62"/>
    <w:rsid w:val="33D41102"/>
    <w:rsid w:val="33D60378"/>
    <w:rsid w:val="33D939C5"/>
    <w:rsid w:val="33DC5263"/>
    <w:rsid w:val="33F425AD"/>
    <w:rsid w:val="33F7209D"/>
    <w:rsid w:val="33FC5905"/>
    <w:rsid w:val="34050C5E"/>
    <w:rsid w:val="340541A5"/>
    <w:rsid w:val="34125129"/>
    <w:rsid w:val="341D504B"/>
    <w:rsid w:val="342D50F3"/>
    <w:rsid w:val="34311A53"/>
    <w:rsid w:val="343155AF"/>
    <w:rsid w:val="3431735D"/>
    <w:rsid w:val="343D21A6"/>
    <w:rsid w:val="344A1546"/>
    <w:rsid w:val="345707EA"/>
    <w:rsid w:val="346314E0"/>
    <w:rsid w:val="346D47E3"/>
    <w:rsid w:val="346E05B1"/>
    <w:rsid w:val="34705599"/>
    <w:rsid w:val="34732316"/>
    <w:rsid w:val="348C4EDB"/>
    <w:rsid w:val="348F22D5"/>
    <w:rsid w:val="3491604D"/>
    <w:rsid w:val="34947CAF"/>
    <w:rsid w:val="34952040"/>
    <w:rsid w:val="349B102E"/>
    <w:rsid w:val="34A2025B"/>
    <w:rsid w:val="34AA2C62"/>
    <w:rsid w:val="34AB35B3"/>
    <w:rsid w:val="34B306BA"/>
    <w:rsid w:val="34B873A0"/>
    <w:rsid w:val="34BD5094"/>
    <w:rsid w:val="34C06933"/>
    <w:rsid w:val="34C72FF5"/>
    <w:rsid w:val="34CC3529"/>
    <w:rsid w:val="34D36666"/>
    <w:rsid w:val="34DD3449"/>
    <w:rsid w:val="34E40873"/>
    <w:rsid w:val="34E55AC4"/>
    <w:rsid w:val="34FD2CC6"/>
    <w:rsid w:val="350014F0"/>
    <w:rsid w:val="35101668"/>
    <w:rsid w:val="351B602A"/>
    <w:rsid w:val="35223149"/>
    <w:rsid w:val="352E1AEE"/>
    <w:rsid w:val="353F33FD"/>
    <w:rsid w:val="35415CC5"/>
    <w:rsid w:val="35480500"/>
    <w:rsid w:val="354F3660"/>
    <w:rsid w:val="3550415A"/>
    <w:rsid w:val="35507CB7"/>
    <w:rsid w:val="355377A7"/>
    <w:rsid w:val="35577297"/>
    <w:rsid w:val="356D0868"/>
    <w:rsid w:val="3583008C"/>
    <w:rsid w:val="3584486B"/>
    <w:rsid w:val="35847960"/>
    <w:rsid w:val="358636D8"/>
    <w:rsid w:val="358B0CEF"/>
    <w:rsid w:val="35971885"/>
    <w:rsid w:val="35A3072E"/>
    <w:rsid w:val="35A95619"/>
    <w:rsid w:val="35AB1391"/>
    <w:rsid w:val="35B244CD"/>
    <w:rsid w:val="35B75F88"/>
    <w:rsid w:val="35C0308E"/>
    <w:rsid w:val="35C10BB4"/>
    <w:rsid w:val="35C83CF1"/>
    <w:rsid w:val="35DA1B08"/>
    <w:rsid w:val="35DE1766"/>
    <w:rsid w:val="35E166DA"/>
    <w:rsid w:val="35EB5C31"/>
    <w:rsid w:val="35ED71D4"/>
    <w:rsid w:val="36022C46"/>
    <w:rsid w:val="36112D6D"/>
    <w:rsid w:val="361138EA"/>
    <w:rsid w:val="361433DA"/>
    <w:rsid w:val="361C3EBD"/>
    <w:rsid w:val="361D2A33"/>
    <w:rsid w:val="362A0508"/>
    <w:rsid w:val="362A32DD"/>
    <w:rsid w:val="362C24D2"/>
    <w:rsid w:val="36323860"/>
    <w:rsid w:val="363B2715"/>
    <w:rsid w:val="364D2448"/>
    <w:rsid w:val="364F39A5"/>
    <w:rsid w:val="364F61C0"/>
    <w:rsid w:val="36575075"/>
    <w:rsid w:val="36603F29"/>
    <w:rsid w:val="36625EF3"/>
    <w:rsid w:val="366B28CE"/>
    <w:rsid w:val="366D6646"/>
    <w:rsid w:val="366E4D55"/>
    <w:rsid w:val="36711080"/>
    <w:rsid w:val="36746BAD"/>
    <w:rsid w:val="36782CC0"/>
    <w:rsid w:val="367B6FB5"/>
    <w:rsid w:val="367D0F7F"/>
    <w:rsid w:val="367E0853"/>
    <w:rsid w:val="36814A42"/>
    <w:rsid w:val="369B7657"/>
    <w:rsid w:val="369F6D65"/>
    <w:rsid w:val="36AA789A"/>
    <w:rsid w:val="36B51ED3"/>
    <w:rsid w:val="36BB5604"/>
    <w:rsid w:val="36C721FA"/>
    <w:rsid w:val="36D42162"/>
    <w:rsid w:val="36DC1736"/>
    <w:rsid w:val="36DD1A1E"/>
    <w:rsid w:val="36E556BA"/>
    <w:rsid w:val="36F11025"/>
    <w:rsid w:val="36F17277"/>
    <w:rsid w:val="36F24934"/>
    <w:rsid w:val="36F34D9D"/>
    <w:rsid w:val="36F62429"/>
    <w:rsid w:val="36F6663C"/>
    <w:rsid w:val="36F71A7B"/>
    <w:rsid w:val="36FB00F6"/>
    <w:rsid w:val="3718335F"/>
    <w:rsid w:val="371A057C"/>
    <w:rsid w:val="37256F21"/>
    <w:rsid w:val="37274FCF"/>
    <w:rsid w:val="372E5DD5"/>
    <w:rsid w:val="37305FF2"/>
    <w:rsid w:val="37362EDC"/>
    <w:rsid w:val="37397DA9"/>
    <w:rsid w:val="373F6FEF"/>
    <w:rsid w:val="3748158D"/>
    <w:rsid w:val="374C2700"/>
    <w:rsid w:val="37652B59"/>
    <w:rsid w:val="376C4B50"/>
    <w:rsid w:val="376C7D04"/>
    <w:rsid w:val="376E2676"/>
    <w:rsid w:val="37704A11"/>
    <w:rsid w:val="377759CE"/>
    <w:rsid w:val="377834F5"/>
    <w:rsid w:val="37976071"/>
    <w:rsid w:val="379A16BD"/>
    <w:rsid w:val="37BC1633"/>
    <w:rsid w:val="37BC5AD7"/>
    <w:rsid w:val="37BF1F63"/>
    <w:rsid w:val="37BF2ED1"/>
    <w:rsid w:val="37BF7375"/>
    <w:rsid w:val="37CD1A92"/>
    <w:rsid w:val="37D4605F"/>
    <w:rsid w:val="37E1553E"/>
    <w:rsid w:val="37E56DDC"/>
    <w:rsid w:val="37EF5EA7"/>
    <w:rsid w:val="37FA7109"/>
    <w:rsid w:val="3801798E"/>
    <w:rsid w:val="381B0A50"/>
    <w:rsid w:val="381C47C8"/>
    <w:rsid w:val="381C58C4"/>
    <w:rsid w:val="38234433"/>
    <w:rsid w:val="38262F51"/>
    <w:rsid w:val="382A0C93"/>
    <w:rsid w:val="382C29C4"/>
    <w:rsid w:val="38325D99"/>
    <w:rsid w:val="38437481"/>
    <w:rsid w:val="3845656E"/>
    <w:rsid w:val="384C25B1"/>
    <w:rsid w:val="384D672F"/>
    <w:rsid w:val="38576AF0"/>
    <w:rsid w:val="3869495B"/>
    <w:rsid w:val="386F66A6"/>
    <w:rsid w:val="38767A34"/>
    <w:rsid w:val="387C7014"/>
    <w:rsid w:val="388008B3"/>
    <w:rsid w:val="388F0AF6"/>
    <w:rsid w:val="389B22E9"/>
    <w:rsid w:val="38A0605F"/>
    <w:rsid w:val="38A56B9D"/>
    <w:rsid w:val="38A65312"/>
    <w:rsid w:val="38B144A1"/>
    <w:rsid w:val="38B365AD"/>
    <w:rsid w:val="38B44A00"/>
    <w:rsid w:val="38B5603D"/>
    <w:rsid w:val="38BF587F"/>
    <w:rsid w:val="38D56870"/>
    <w:rsid w:val="38D76175"/>
    <w:rsid w:val="38D806EF"/>
    <w:rsid w:val="38DB01DF"/>
    <w:rsid w:val="38E235CB"/>
    <w:rsid w:val="38E726E0"/>
    <w:rsid w:val="38EE7F12"/>
    <w:rsid w:val="38F45B4D"/>
    <w:rsid w:val="38FF3BAA"/>
    <w:rsid w:val="39007C46"/>
    <w:rsid w:val="39045DEA"/>
    <w:rsid w:val="390A4620"/>
    <w:rsid w:val="391159AF"/>
    <w:rsid w:val="3914549F"/>
    <w:rsid w:val="39180127"/>
    <w:rsid w:val="391D07F7"/>
    <w:rsid w:val="391E0899"/>
    <w:rsid w:val="39225E0E"/>
    <w:rsid w:val="3929703F"/>
    <w:rsid w:val="392E0314"/>
    <w:rsid w:val="39355B41"/>
    <w:rsid w:val="393B0C7E"/>
    <w:rsid w:val="39433B79"/>
    <w:rsid w:val="39461AFC"/>
    <w:rsid w:val="3946634B"/>
    <w:rsid w:val="39537D75"/>
    <w:rsid w:val="395F671A"/>
    <w:rsid w:val="39677CC5"/>
    <w:rsid w:val="39691347"/>
    <w:rsid w:val="396D45FF"/>
    <w:rsid w:val="396D5355"/>
    <w:rsid w:val="396F26D5"/>
    <w:rsid w:val="39777F08"/>
    <w:rsid w:val="39785A2E"/>
    <w:rsid w:val="39803209"/>
    <w:rsid w:val="39893797"/>
    <w:rsid w:val="39924D42"/>
    <w:rsid w:val="399B7293"/>
    <w:rsid w:val="399C171C"/>
    <w:rsid w:val="399C6C8E"/>
    <w:rsid w:val="39A22AAB"/>
    <w:rsid w:val="39A82FD8"/>
    <w:rsid w:val="39AA4541"/>
    <w:rsid w:val="39B2676F"/>
    <w:rsid w:val="39B300EB"/>
    <w:rsid w:val="39B36A66"/>
    <w:rsid w:val="39B747A8"/>
    <w:rsid w:val="39C406C0"/>
    <w:rsid w:val="39C649EB"/>
    <w:rsid w:val="39D13674"/>
    <w:rsid w:val="39D8471E"/>
    <w:rsid w:val="39DD3AE3"/>
    <w:rsid w:val="39ED7FCB"/>
    <w:rsid w:val="39FA6443"/>
    <w:rsid w:val="3A2E433E"/>
    <w:rsid w:val="3A304F3B"/>
    <w:rsid w:val="3A3556CD"/>
    <w:rsid w:val="3A3A0F35"/>
    <w:rsid w:val="3A470A04"/>
    <w:rsid w:val="3A4B3142"/>
    <w:rsid w:val="3A4D1D3F"/>
    <w:rsid w:val="3A5169AB"/>
    <w:rsid w:val="3A575643"/>
    <w:rsid w:val="3A5913BB"/>
    <w:rsid w:val="3A6D30B9"/>
    <w:rsid w:val="3A775CE5"/>
    <w:rsid w:val="3A777A93"/>
    <w:rsid w:val="3A797CAF"/>
    <w:rsid w:val="3A80103E"/>
    <w:rsid w:val="3A86417A"/>
    <w:rsid w:val="3A8A77C7"/>
    <w:rsid w:val="3A8F4314"/>
    <w:rsid w:val="3A9643BE"/>
    <w:rsid w:val="3A9B5E78"/>
    <w:rsid w:val="3A9B7C26"/>
    <w:rsid w:val="3A9F5C5A"/>
    <w:rsid w:val="3AA27206"/>
    <w:rsid w:val="3AAC3BE1"/>
    <w:rsid w:val="3AB64A60"/>
    <w:rsid w:val="3ABE3914"/>
    <w:rsid w:val="3AC23405"/>
    <w:rsid w:val="3AEC11B5"/>
    <w:rsid w:val="3AED7D56"/>
    <w:rsid w:val="3AFA0DF0"/>
    <w:rsid w:val="3B0E03F8"/>
    <w:rsid w:val="3B0E5C90"/>
    <w:rsid w:val="3B0F23C2"/>
    <w:rsid w:val="3B105AF9"/>
    <w:rsid w:val="3B2714BA"/>
    <w:rsid w:val="3B284888"/>
    <w:rsid w:val="3B2B6D8A"/>
    <w:rsid w:val="3B334302"/>
    <w:rsid w:val="3B351833"/>
    <w:rsid w:val="3B4E4C98"/>
    <w:rsid w:val="3B5330AD"/>
    <w:rsid w:val="3B556027"/>
    <w:rsid w:val="3B6224F2"/>
    <w:rsid w:val="3B634EC9"/>
    <w:rsid w:val="3B64270E"/>
    <w:rsid w:val="3B651FE2"/>
    <w:rsid w:val="3B837F8F"/>
    <w:rsid w:val="3B847696"/>
    <w:rsid w:val="3B8C57C0"/>
    <w:rsid w:val="3B903503"/>
    <w:rsid w:val="3B9A7EDD"/>
    <w:rsid w:val="3BA90120"/>
    <w:rsid w:val="3BAB6E46"/>
    <w:rsid w:val="3BB52F69"/>
    <w:rsid w:val="3BBC60A6"/>
    <w:rsid w:val="3BBD1E1E"/>
    <w:rsid w:val="3BC34996"/>
    <w:rsid w:val="3BC62A80"/>
    <w:rsid w:val="3BC74A4B"/>
    <w:rsid w:val="3BDC6748"/>
    <w:rsid w:val="3BE473AB"/>
    <w:rsid w:val="3BF21AC7"/>
    <w:rsid w:val="3BFC5EF5"/>
    <w:rsid w:val="3C0D6901"/>
    <w:rsid w:val="3C1E0B0E"/>
    <w:rsid w:val="3C221C81"/>
    <w:rsid w:val="3C291261"/>
    <w:rsid w:val="3C2D0D52"/>
    <w:rsid w:val="3C37397E"/>
    <w:rsid w:val="3C447E49"/>
    <w:rsid w:val="3C574020"/>
    <w:rsid w:val="3C6632BA"/>
    <w:rsid w:val="3C6C3297"/>
    <w:rsid w:val="3C6E4EC6"/>
    <w:rsid w:val="3C700C3E"/>
    <w:rsid w:val="3C700E2B"/>
    <w:rsid w:val="3C7C75E3"/>
    <w:rsid w:val="3C805A5B"/>
    <w:rsid w:val="3C860462"/>
    <w:rsid w:val="3C8D17F0"/>
    <w:rsid w:val="3C8E63DE"/>
    <w:rsid w:val="3C8F5568"/>
    <w:rsid w:val="3C951AAB"/>
    <w:rsid w:val="3C9C7C85"/>
    <w:rsid w:val="3C9D7253"/>
    <w:rsid w:val="3C9E77ED"/>
    <w:rsid w:val="3CA01523"/>
    <w:rsid w:val="3CB26D00"/>
    <w:rsid w:val="3CBE5E4E"/>
    <w:rsid w:val="3CBF5346"/>
    <w:rsid w:val="3CC33464"/>
    <w:rsid w:val="3CC66AB0"/>
    <w:rsid w:val="3CD1792F"/>
    <w:rsid w:val="3CE04016"/>
    <w:rsid w:val="3CF90C34"/>
    <w:rsid w:val="3D0C69C3"/>
    <w:rsid w:val="3D0C7F39"/>
    <w:rsid w:val="3D141F11"/>
    <w:rsid w:val="3D1D0DC6"/>
    <w:rsid w:val="3D1F4B30"/>
    <w:rsid w:val="3D202664"/>
    <w:rsid w:val="3D2F0AF9"/>
    <w:rsid w:val="3D3103CE"/>
    <w:rsid w:val="3D314871"/>
    <w:rsid w:val="3D374762"/>
    <w:rsid w:val="3D385C00"/>
    <w:rsid w:val="3D4F2F4A"/>
    <w:rsid w:val="3D600CB3"/>
    <w:rsid w:val="3D6235D0"/>
    <w:rsid w:val="3D785FFC"/>
    <w:rsid w:val="3D7B5AED"/>
    <w:rsid w:val="3D8031A7"/>
    <w:rsid w:val="3D826E7B"/>
    <w:rsid w:val="3D827DBA"/>
    <w:rsid w:val="3D8A3F82"/>
    <w:rsid w:val="3D8C7CFA"/>
    <w:rsid w:val="3DA768E2"/>
    <w:rsid w:val="3DAD4894"/>
    <w:rsid w:val="3DAE01CF"/>
    <w:rsid w:val="3DB42DAD"/>
    <w:rsid w:val="3DB81B78"/>
    <w:rsid w:val="3DC2196D"/>
    <w:rsid w:val="3DC456E6"/>
    <w:rsid w:val="3DCF37D0"/>
    <w:rsid w:val="3DD92421"/>
    <w:rsid w:val="3DF02037"/>
    <w:rsid w:val="3E06185A"/>
    <w:rsid w:val="3E10092B"/>
    <w:rsid w:val="3E246184"/>
    <w:rsid w:val="3E2B12C1"/>
    <w:rsid w:val="3E385374"/>
    <w:rsid w:val="3E3E013F"/>
    <w:rsid w:val="3E42660A"/>
    <w:rsid w:val="3E43485C"/>
    <w:rsid w:val="3E4B4A47"/>
    <w:rsid w:val="3E55633E"/>
    <w:rsid w:val="3E682515"/>
    <w:rsid w:val="3E691DE9"/>
    <w:rsid w:val="3E742C68"/>
    <w:rsid w:val="3E7762B4"/>
    <w:rsid w:val="3E7C1B1C"/>
    <w:rsid w:val="3EA11583"/>
    <w:rsid w:val="3EA13331"/>
    <w:rsid w:val="3EAB0654"/>
    <w:rsid w:val="3EB70DA6"/>
    <w:rsid w:val="3EB72B54"/>
    <w:rsid w:val="3EBF1A09"/>
    <w:rsid w:val="3EC27CA4"/>
    <w:rsid w:val="3ECA2888"/>
    <w:rsid w:val="3ECD05CA"/>
    <w:rsid w:val="3ECF4342"/>
    <w:rsid w:val="3EDE27D7"/>
    <w:rsid w:val="3EED2ADA"/>
    <w:rsid w:val="3EF06066"/>
    <w:rsid w:val="3EF23B8C"/>
    <w:rsid w:val="3F0264C5"/>
    <w:rsid w:val="3F077381"/>
    <w:rsid w:val="3F0A537A"/>
    <w:rsid w:val="3F12422F"/>
    <w:rsid w:val="3F1261D2"/>
    <w:rsid w:val="3F152DF8"/>
    <w:rsid w:val="3F2350B4"/>
    <w:rsid w:val="3F335631"/>
    <w:rsid w:val="3F3B5533"/>
    <w:rsid w:val="3F5B2825"/>
    <w:rsid w:val="3F5D7BA0"/>
    <w:rsid w:val="3F6031EC"/>
    <w:rsid w:val="3F6902F3"/>
    <w:rsid w:val="3F6E5AF7"/>
    <w:rsid w:val="3F760C61"/>
    <w:rsid w:val="3F7722E4"/>
    <w:rsid w:val="3F7D5B4C"/>
    <w:rsid w:val="3F7E1518"/>
    <w:rsid w:val="3F823162"/>
    <w:rsid w:val="3F846E42"/>
    <w:rsid w:val="3F877201"/>
    <w:rsid w:val="3F9418DA"/>
    <w:rsid w:val="3F9C32DB"/>
    <w:rsid w:val="3FA255B3"/>
    <w:rsid w:val="3FA502BE"/>
    <w:rsid w:val="3FB157F6"/>
    <w:rsid w:val="3FB3156E"/>
    <w:rsid w:val="3FB34C03"/>
    <w:rsid w:val="3FB377C0"/>
    <w:rsid w:val="3FB672B0"/>
    <w:rsid w:val="3FB83028"/>
    <w:rsid w:val="3FB926FD"/>
    <w:rsid w:val="3FB928FC"/>
    <w:rsid w:val="3FB96841"/>
    <w:rsid w:val="3FC25C55"/>
    <w:rsid w:val="3FC46504"/>
    <w:rsid w:val="3FC714BD"/>
    <w:rsid w:val="3FC91A13"/>
    <w:rsid w:val="3FD315CC"/>
    <w:rsid w:val="3FD35C28"/>
    <w:rsid w:val="3FDA2F9E"/>
    <w:rsid w:val="3FDD3F12"/>
    <w:rsid w:val="3FDD65EB"/>
    <w:rsid w:val="3FE21E53"/>
    <w:rsid w:val="3FE91CB2"/>
    <w:rsid w:val="3FEE25A6"/>
    <w:rsid w:val="3FF04570"/>
    <w:rsid w:val="3FF116D3"/>
    <w:rsid w:val="3FF545DE"/>
    <w:rsid w:val="3FFA53EF"/>
    <w:rsid w:val="3FFF2A05"/>
    <w:rsid w:val="400022D9"/>
    <w:rsid w:val="40015B6F"/>
    <w:rsid w:val="401F30A7"/>
    <w:rsid w:val="402229C1"/>
    <w:rsid w:val="40226D9C"/>
    <w:rsid w:val="4024421A"/>
    <w:rsid w:val="402814CD"/>
    <w:rsid w:val="40291830"/>
    <w:rsid w:val="402B1A4C"/>
    <w:rsid w:val="402B55A8"/>
    <w:rsid w:val="402E32EA"/>
    <w:rsid w:val="40316936"/>
    <w:rsid w:val="40356427"/>
    <w:rsid w:val="40363F4D"/>
    <w:rsid w:val="403F2E01"/>
    <w:rsid w:val="404228F2"/>
    <w:rsid w:val="404448BC"/>
    <w:rsid w:val="404550EB"/>
    <w:rsid w:val="404B17A6"/>
    <w:rsid w:val="404C0266"/>
    <w:rsid w:val="405F16F6"/>
    <w:rsid w:val="40640ABA"/>
    <w:rsid w:val="40672358"/>
    <w:rsid w:val="406B16A3"/>
    <w:rsid w:val="406B3BF6"/>
    <w:rsid w:val="406D5BC1"/>
    <w:rsid w:val="40732707"/>
    <w:rsid w:val="40736F4F"/>
    <w:rsid w:val="407D392A"/>
    <w:rsid w:val="40886147"/>
    <w:rsid w:val="408E1DBB"/>
    <w:rsid w:val="408E5B37"/>
    <w:rsid w:val="409D3379"/>
    <w:rsid w:val="40AB40E4"/>
    <w:rsid w:val="40B03CFF"/>
    <w:rsid w:val="40B557B9"/>
    <w:rsid w:val="40C31BDC"/>
    <w:rsid w:val="40C94DC1"/>
    <w:rsid w:val="40D02FFE"/>
    <w:rsid w:val="40D0614F"/>
    <w:rsid w:val="40D75730"/>
    <w:rsid w:val="40E35E83"/>
    <w:rsid w:val="40E3738D"/>
    <w:rsid w:val="40F005A0"/>
    <w:rsid w:val="40F72D63"/>
    <w:rsid w:val="40FF07E3"/>
    <w:rsid w:val="410022CB"/>
    <w:rsid w:val="410764A6"/>
    <w:rsid w:val="410C362B"/>
    <w:rsid w:val="410D2F00"/>
    <w:rsid w:val="410F6C78"/>
    <w:rsid w:val="41175B2C"/>
    <w:rsid w:val="41184B8F"/>
    <w:rsid w:val="411918A4"/>
    <w:rsid w:val="412519EF"/>
    <w:rsid w:val="4135788C"/>
    <w:rsid w:val="413C5593"/>
    <w:rsid w:val="41410DFB"/>
    <w:rsid w:val="414F52C6"/>
    <w:rsid w:val="41504E07"/>
    <w:rsid w:val="41536C1F"/>
    <w:rsid w:val="415B7B1F"/>
    <w:rsid w:val="41614FF9"/>
    <w:rsid w:val="4162149D"/>
    <w:rsid w:val="41662610"/>
    <w:rsid w:val="41717932"/>
    <w:rsid w:val="417752DD"/>
    <w:rsid w:val="417D0085"/>
    <w:rsid w:val="41831414"/>
    <w:rsid w:val="418C02C8"/>
    <w:rsid w:val="418E1F84"/>
    <w:rsid w:val="41952BC8"/>
    <w:rsid w:val="41967399"/>
    <w:rsid w:val="41981547"/>
    <w:rsid w:val="41A03D74"/>
    <w:rsid w:val="41A2189A"/>
    <w:rsid w:val="41A27AEC"/>
    <w:rsid w:val="41B17D2F"/>
    <w:rsid w:val="41B220EF"/>
    <w:rsid w:val="41B4781F"/>
    <w:rsid w:val="41C31810"/>
    <w:rsid w:val="41C51A2C"/>
    <w:rsid w:val="41CF6407"/>
    <w:rsid w:val="41D139B0"/>
    <w:rsid w:val="41D81760"/>
    <w:rsid w:val="41E81277"/>
    <w:rsid w:val="41F06AA9"/>
    <w:rsid w:val="42051E29"/>
    <w:rsid w:val="421121D8"/>
    <w:rsid w:val="42114C71"/>
    <w:rsid w:val="42154762"/>
    <w:rsid w:val="423544BC"/>
    <w:rsid w:val="42380450"/>
    <w:rsid w:val="423A6D24"/>
    <w:rsid w:val="423B584A"/>
    <w:rsid w:val="423C2E55"/>
    <w:rsid w:val="423D7815"/>
    <w:rsid w:val="42421C59"/>
    <w:rsid w:val="424D087B"/>
    <w:rsid w:val="424E48BE"/>
    <w:rsid w:val="4251506E"/>
    <w:rsid w:val="42593669"/>
    <w:rsid w:val="42672AE3"/>
    <w:rsid w:val="426D00FA"/>
    <w:rsid w:val="42723C8F"/>
    <w:rsid w:val="42732AEB"/>
    <w:rsid w:val="427B4245"/>
    <w:rsid w:val="428C42F8"/>
    <w:rsid w:val="428E0070"/>
    <w:rsid w:val="42925DB2"/>
    <w:rsid w:val="429505D5"/>
    <w:rsid w:val="429A6A15"/>
    <w:rsid w:val="429D6505"/>
    <w:rsid w:val="42A11B51"/>
    <w:rsid w:val="42A81866"/>
    <w:rsid w:val="42B13B41"/>
    <w:rsid w:val="42B23D5F"/>
    <w:rsid w:val="42B37AD7"/>
    <w:rsid w:val="42B5384F"/>
    <w:rsid w:val="42B90E50"/>
    <w:rsid w:val="42BB3775"/>
    <w:rsid w:val="42BC4BDD"/>
    <w:rsid w:val="42C972FA"/>
    <w:rsid w:val="42D02437"/>
    <w:rsid w:val="42DA1507"/>
    <w:rsid w:val="42DC527F"/>
    <w:rsid w:val="42DF77E8"/>
    <w:rsid w:val="42E303BC"/>
    <w:rsid w:val="42E61C5A"/>
    <w:rsid w:val="42EB54C2"/>
    <w:rsid w:val="42F0224E"/>
    <w:rsid w:val="42FA5706"/>
    <w:rsid w:val="430345BA"/>
    <w:rsid w:val="43086074"/>
    <w:rsid w:val="43106CD7"/>
    <w:rsid w:val="43166C80"/>
    <w:rsid w:val="431762B8"/>
    <w:rsid w:val="431E7646"/>
    <w:rsid w:val="43212C92"/>
    <w:rsid w:val="432D2F63"/>
    <w:rsid w:val="4335673E"/>
    <w:rsid w:val="43362BE2"/>
    <w:rsid w:val="4339622E"/>
    <w:rsid w:val="433D2560"/>
    <w:rsid w:val="434075BC"/>
    <w:rsid w:val="435B1BF9"/>
    <w:rsid w:val="436112E1"/>
    <w:rsid w:val="43686B13"/>
    <w:rsid w:val="436A6DC0"/>
    <w:rsid w:val="43707776"/>
    <w:rsid w:val="43747266"/>
    <w:rsid w:val="43776D56"/>
    <w:rsid w:val="437E249E"/>
    <w:rsid w:val="43A25593"/>
    <w:rsid w:val="43A833B4"/>
    <w:rsid w:val="43B24E18"/>
    <w:rsid w:val="43B27D8E"/>
    <w:rsid w:val="43B753A5"/>
    <w:rsid w:val="43C27FD1"/>
    <w:rsid w:val="43CC6427"/>
    <w:rsid w:val="43D917BF"/>
    <w:rsid w:val="43E05B41"/>
    <w:rsid w:val="43FA3C0F"/>
    <w:rsid w:val="440D37AC"/>
    <w:rsid w:val="441676D3"/>
    <w:rsid w:val="44185E43"/>
    <w:rsid w:val="441A605F"/>
    <w:rsid w:val="44246EDE"/>
    <w:rsid w:val="442F13DF"/>
    <w:rsid w:val="44307D6F"/>
    <w:rsid w:val="4436276D"/>
    <w:rsid w:val="443749C3"/>
    <w:rsid w:val="443964FB"/>
    <w:rsid w:val="443C4228"/>
    <w:rsid w:val="44421112"/>
    <w:rsid w:val="44443836"/>
    <w:rsid w:val="444A6219"/>
    <w:rsid w:val="44561F95"/>
    <w:rsid w:val="445A35C0"/>
    <w:rsid w:val="446077EA"/>
    <w:rsid w:val="4464552C"/>
    <w:rsid w:val="447119F7"/>
    <w:rsid w:val="447514E8"/>
    <w:rsid w:val="447F5EC2"/>
    <w:rsid w:val="4486788D"/>
    <w:rsid w:val="448E151E"/>
    <w:rsid w:val="44935E12"/>
    <w:rsid w:val="4496320C"/>
    <w:rsid w:val="449851D6"/>
    <w:rsid w:val="44A8366B"/>
    <w:rsid w:val="44AB453E"/>
    <w:rsid w:val="44BC16D2"/>
    <w:rsid w:val="44C22253"/>
    <w:rsid w:val="44C83FBE"/>
    <w:rsid w:val="44CD30D2"/>
    <w:rsid w:val="44E93C84"/>
    <w:rsid w:val="44F20D8A"/>
    <w:rsid w:val="44FA19ED"/>
    <w:rsid w:val="44FC4403"/>
    <w:rsid w:val="44FE1B93"/>
    <w:rsid w:val="450A60D4"/>
    <w:rsid w:val="45107462"/>
    <w:rsid w:val="45190AAC"/>
    <w:rsid w:val="451E392D"/>
    <w:rsid w:val="45244CBC"/>
    <w:rsid w:val="453C2C0A"/>
    <w:rsid w:val="4541586E"/>
    <w:rsid w:val="4557299B"/>
    <w:rsid w:val="4562430E"/>
    <w:rsid w:val="456926CF"/>
    <w:rsid w:val="4575533A"/>
    <w:rsid w:val="457E261E"/>
    <w:rsid w:val="458614D2"/>
    <w:rsid w:val="458D0AB3"/>
    <w:rsid w:val="459C0CF6"/>
    <w:rsid w:val="459E681C"/>
    <w:rsid w:val="45A100BA"/>
    <w:rsid w:val="45AA68E0"/>
    <w:rsid w:val="45AC718B"/>
    <w:rsid w:val="45B013E1"/>
    <w:rsid w:val="45B94000"/>
    <w:rsid w:val="45BE2A1A"/>
    <w:rsid w:val="45BE336B"/>
    <w:rsid w:val="45CC15DB"/>
    <w:rsid w:val="45CF6516"/>
    <w:rsid w:val="45DB537A"/>
    <w:rsid w:val="45E306D3"/>
    <w:rsid w:val="45E32481"/>
    <w:rsid w:val="45E5269D"/>
    <w:rsid w:val="45EF0E26"/>
    <w:rsid w:val="45F460EC"/>
    <w:rsid w:val="45FA6330"/>
    <w:rsid w:val="4609638B"/>
    <w:rsid w:val="46132D66"/>
    <w:rsid w:val="461940F5"/>
    <w:rsid w:val="461B7E6D"/>
    <w:rsid w:val="46203326"/>
    <w:rsid w:val="46220097"/>
    <w:rsid w:val="462E4075"/>
    <w:rsid w:val="46357180"/>
    <w:rsid w:val="463D076A"/>
    <w:rsid w:val="464463B4"/>
    <w:rsid w:val="46490517"/>
    <w:rsid w:val="465D66D7"/>
    <w:rsid w:val="466C06C8"/>
    <w:rsid w:val="46767799"/>
    <w:rsid w:val="467B6B5D"/>
    <w:rsid w:val="467D3FE1"/>
    <w:rsid w:val="467D4684"/>
    <w:rsid w:val="468C2B34"/>
    <w:rsid w:val="468E6891"/>
    <w:rsid w:val="46964E4A"/>
    <w:rsid w:val="46BC1650"/>
    <w:rsid w:val="46C87FF5"/>
    <w:rsid w:val="46D85D5E"/>
    <w:rsid w:val="46E607F0"/>
    <w:rsid w:val="46E62229"/>
    <w:rsid w:val="46EB783F"/>
    <w:rsid w:val="46EE10DD"/>
    <w:rsid w:val="46EF66E2"/>
    <w:rsid w:val="470C786A"/>
    <w:rsid w:val="470E352E"/>
    <w:rsid w:val="471054F8"/>
    <w:rsid w:val="47106542"/>
    <w:rsid w:val="47190850"/>
    <w:rsid w:val="471A0124"/>
    <w:rsid w:val="471B25DC"/>
    <w:rsid w:val="471C35FB"/>
    <w:rsid w:val="471E6E34"/>
    <w:rsid w:val="47243D6E"/>
    <w:rsid w:val="47282841"/>
    <w:rsid w:val="4732546E"/>
    <w:rsid w:val="47330814"/>
    <w:rsid w:val="4734568A"/>
    <w:rsid w:val="473E02B7"/>
    <w:rsid w:val="473F7B8B"/>
    <w:rsid w:val="474156B1"/>
    <w:rsid w:val="47466FB1"/>
    <w:rsid w:val="4748200B"/>
    <w:rsid w:val="47495B1E"/>
    <w:rsid w:val="474D04FA"/>
    <w:rsid w:val="4750714C"/>
    <w:rsid w:val="47523D62"/>
    <w:rsid w:val="47574ED5"/>
    <w:rsid w:val="475C073D"/>
    <w:rsid w:val="4760218C"/>
    <w:rsid w:val="476240E5"/>
    <w:rsid w:val="476615BC"/>
    <w:rsid w:val="4768030F"/>
    <w:rsid w:val="476D1EFD"/>
    <w:rsid w:val="47703B27"/>
    <w:rsid w:val="47721D0E"/>
    <w:rsid w:val="47726A12"/>
    <w:rsid w:val="477409B2"/>
    <w:rsid w:val="477C0DDF"/>
    <w:rsid w:val="477F7D52"/>
    <w:rsid w:val="478963B2"/>
    <w:rsid w:val="47961EA1"/>
    <w:rsid w:val="479A005B"/>
    <w:rsid w:val="479F062A"/>
    <w:rsid w:val="47B42327"/>
    <w:rsid w:val="47B55F78"/>
    <w:rsid w:val="47BD70E3"/>
    <w:rsid w:val="47C95AE7"/>
    <w:rsid w:val="47D66741"/>
    <w:rsid w:val="47DB78B4"/>
    <w:rsid w:val="47E26E94"/>
    <w:rsid w:val="47E349BA"/>
    <w:rsid w:val="47E42A1C"/>
    <w:rsid w:val="47ED5839"/>
    <w:rsid w:val="47F54AA9"/>
    <w:rsid w:val="48000D2C"/>
    <w:rsid w:val="480076EC"/>
    <w:rsid w:val="480A4E65"/>
    <w:rsid w:val="4812529F"/>
    <w:rsid w:val="4814136D"/>
    <w:rsid w:val="48166B3E"/>
    <w:rsid w:val="48201EA6"/>
    <w:rsid w:val="48217291"/>
    <w:rsid w:val="4837077E"/>
    <w:rsid w:val="48382F58"/>
    <w:rsid w:val="483C0579"/>
    <w:rsid w:val="483D40CA"/>
    <w:rsid w:val="483E5766"/>
    <w:rsid w:val="4848139A"/>
    <w:rsid w:val="484935B2"/>
    <w:rsid w:val="484E277B"/>
    <w:rsid w:val="485667D0"/>
    <w:rsid w:val="487E46E3"/>
    <w:rsid w:val="4880045B"/>
    <w:rsid w:val="488B752C"/>
    <w:rsid w:val="48961A2D"/>
    <w:rsid w:val="48971DA8"/>
    <w:rsid w:val="489B7FC9"/>
    <w:rsid w:val="48A00AFD"/>
    <w:rsid w:val="48A44149"/>
    <w:rsid w:val="48A57EC2"/>
    <w:rsid w:val="48A73C3A"/>
    <w:rsid w:val="48AE6D76"/>
    <w:rsid w:val="48B16866"/>
    <w:rsid w:val="48B87BF5"/>
    <w:rsid w:val="48BA34EC"/>
    <w:rsid w:val="48BC5937"/>
    <w:rsid w:val="48BF1616"/>
    <w:rsid w:val="48CB5A3A"/>
    <w:rsid w:val="48D41EFB"/>
    <w:rsid w:val="48E02904"/>
    <w:rsid w:val="48E1539E"/>
    <w:rsid w:val="48E1714C"/>
    <w:rsid w:val="48E42798"/>
    <w:rsid w:val="48E450EF"/>
    <w:rsid w:val="48F13107"/>
    <w:rsid w:val="48FF75D2"/>
    <w:rsid w:val="49061130"/>
    <w:rsid w:val="49064E04"/>
    <w:rsid w:val="49117305"/>
    <w:rsid w:val="49245493"/>
    <w:rsid w:val="49366D6C"/>
    <w:rsid w:val="49396F88"/>
    <w:rsid w:val="493F20C4"/>
    <w:rsid w:val="493F3E72"/>
    <w:rsid w:val="49415F79"/>
    <w:rsid w:val="49437E06"/>
    <w:rsid w:val="49522931"/>
    <w:rsid w:val="495A5150"/>
    <w:rsid w:val="495F2766"/>
    <w:rsid w:val="496D6C31"/>
    <w:rsid w:val="496E58E1"/>
    <w:rsid w:val="496E6505"/>
    <w:rsid w:val="497A75A0"/>
    <w:rsid w:val="498A2208"/>
    <w:rsid w:val="499046CE"/>
    <w:rsid w:val="49940662"/>
    <w:rsid w:val="499441BE"/>
    <w:rsid w:val="499C7517"/>
    <w:rsid w:val="49A41DE2"/>
    <w:rsid w:val="49A87C69"/>
    <w:rsid w:val="49AD523B"/>
    <w:rsid w:val="49B02FC2"/>
    <w:rsid w:val="49BC757A"/>
    <w:rsid w:val="49C8030C"/>
    <w:rsid w:val="49C949C2"/>
    <w:rsid w:val="49CF169A"/>
    <w:rsid w:val="49D24CE6"/>
    <w:rsid w:val="49EB75CB"/>
    <w:rsid w:val="49F25FBF"/>
    <w:rsid w:val="49F27137"/>
    <w:rsid w:val="49F84706"/>
    <w:rsid w:val="49F853E5"/>
    <w:rsid w:val="49F867BB"/>
    <w:rsid w:val="49FE1F7F"/>
    <w:rsid w:val="4A035091"/>
    <w:rsid w:val="4A0A26D2"/>
    <w:rsid w:val="4A0B1FA6"/>
    <w:rsid w:val="4A0D3F70"/>
    <w:rsid w:val="4A0D4DC1"/>
    <w:rsid w:val="4A233794"/>
    <w:rsid w:val="4A235B57"/>
    <w:rsid w:val="4A275032"/>
    <w:rsid w:val="4A3069FB"/>
    <w:rsid w:val="4A315EB1"/>
    <w:rsid w:val="4A3F7829"/>
    <w:rsid w:val="4A462381"/>
    <w:rsid w:val="4A477482"/>
    <w:rsid w:val="4A4A0D21"/>
    <w:rsid w:val="4A5412BD"/>
    <w:rsid w:val="4A5575C5"/>
    <w:rsid w:val="4A563B69"/>
    <w:rsid w:val="4A5723F4"/>
    <w:rsid w:val="4A677B24"/>
    <w:rsid w:val="4A69564B"/>
    <w:rsid w:val="4A6A41AB"/>
    <w:rsid w:val="4A6B36E5"/>
    <w:rsid w:val="4A7D10F6"/>
    <w:rsid w:val="4A872255"/>
    <w:rsid w:val="4A881849"/>
    <w:rsid w:val="4A8F7A4B"/>
    <w:rsid w:val="4A9106FD"/>
    <w:rsid w:val="4AA448D5"/>
    <w:rsid w:val="4AAC2663"/>
    <w:rsid w:val="4AB12CDE"/>
    <w:rsid w:val="4AB777A6"/>
    <w:rsid w:val="4AC10B3A"/>
    <w:rsid w:val="4ACE3700"/>
    <w:rsid w:val="4AEA4DAD"/>
    <w:rsid w:val="4AEF235E"/>
    <w:rsid w:val="4AF04F53"/>
    <w:rsid w:val="4AF3182D"/>
    <w:rsid w:val="4AF41E4B"/>
    <w:rsid w:val="4AF55130"/>
    <w:rsid w:val="4AF64A04"/>
    <w:rsid w:val="4AFA44F5"/>
    <w:rsid w:val="4AFB5026"/>
    <w:rsid w:val="4B005883"/>
    <w:rsid w:val="4B007A08"/>
    <w:rsid w:val="4B101F6A"/>
    <w:rsid w:val="4B137364"/>
    <w:rsid w:val="4B203D52"/>
    <w:rsid w:val="4B2C0426"/>
    <w:rsid w:val="4B3D0885"/>
    <w:rsid w:val="4B3F5EA6"/>
    <w:rsid w:val="4B4B2FA2"/>
    <w:rsid w:val="4B615D22"/>
    <w:rsid w:val="4B6B53F2"/>
    <w:rsid w:val="4B6C1631"/>
    <w:rsid w:val="4B6C4CC7"/>
    <w:rsid w:val="4B7778F3"/>
    <w:rsid w:val="4B7F2C4C"/>
    <w:rsid w:val="4B835429"/>
    <w:rsid w:val="4B871B00"/>
    <w:rsid w:val="4B8B73A0"/>
    <w:rsid w:val="4B8D35BB"/>
    <w:rsid w:val="4B9304A5"/>
    <w:rsid w:val="4B95421D"/>
    <w:rsid w:val="4B971D44"/>
    <w:rsid w:val="4BA04FAA"/>
    <w:rsid w:val="4BA24842"/>
    <w:rsid w:val="4BA6467C"/>
    <w:rsid w:val="4BB24502"/>
    <w:rsid w:val="4BBB7216"/>
    <w:rsid w:val="4BBD1C41"/>
    <w:rsid w:val="4BC66ACD"/>
    <w:rsid w:val="4BD411EA"/>
    <w:rsid w:val="4BD5286C"/>
    <w:rsid w:val="4BD765E4"/>
    <w:rsid w:val="4BEA14D5"/>
    <w:rsid w:val="4BF76C86"/>
    <w:rsid w:val="4C0D64AA"/>
    <w:rsid w:val="4C0F5D7E"/>
    <w:rsid w:val="4C175738"/>
    <w:rsid w:val="4C177328"/>
    <w:rsid w:val="4C2C2DD4"/>
    <w:rsid w:val="4C2F14C2"/>
    <w:rsid w:val="4C371778"/>
    <w:rsid w:val="4C3E48B5"/>
    <w:rsid w:val="4C410725"/>
    <w:rsid w:val="4C4A5008"/>
    <w:rsid w:val="4C547C35"/>
    <w:rsid w:val="4C571903"/>
    <w:rsid w:val="4C575977"/>
    <w:rsid w:val="4C5A5B9B"/>
    <w:rsid w:val="4C5E5BE5"/>
    <w:rsid w:val="4C687B84"/>
    <w:rsid w:val="4C6A38FC"/>
    <w:rsid w:val="4C6F15A1"/>
    <w:rsid w:val="4C793B3F"/>
    <w:rsid w:val="4C7D78BC"/>
    <w:rsid w:val="4C891466"/>
    <w:rsid w:val="4C8B404E"/>
    <w:rsid w:val="4C96024D"/>
    <w:rsid w:val="4C994D97"/>
    <w:rsid w:val="4CAF130F"/>
    <w:rsid w:val="4CB32B59"/>
    <w:rsid w:val="4CB4635D"/>
    <w:rsid w:val="4CC76658"/>
    <w:rsid w:val="4CC90623"/>
    <w:rsid w:val="4CCE5C39"/>
    <w:rsid w:val="4CD945DE"/>
    <w:rsid w:val="4CDE09B1"/>
    <w:rsid w:val="4CE6787B"/>
    <w:rsid w:val="4CEC3D70"/>
    <w:rsid w:val="4CF60CEC"/>
    <w:rsid w:val="4CF80F08"/>
    <w:rsid w:val="4CFA6A2E"/>
    <w:rsid w:val="4CFB4554"/>
    <w:rsid w:val="4D057181"/>
    <w:rsid w:val="4D090A1F"/>
    <w:rsid w:val="4D133278"/>
    <w:rsid w:val="4D151ABA"/>
    <w:rsid w:val="4D1F3437"/>
    <w:rsid w:val="4D2139CF"/>
    <w:rsid w:val="4D2717ED"/>
    <w:rsid w:val="4D2864DA"/>
    <w:rsid w:val="4D2B4473"/>
    <w:rsid w:val="4D2E2B7B"/>
    <w:rsid w:val="4D371A30"/>
    <w:rsid w:val="4D491763"/>
    <w:rsid w:val="4D52686A"/>
    <w:rsid w:val="4D61085B"/>
    <w:rsid w:val="4D64659D"/>
    <w:rsid w:val="4D6C25B0"/>
    <w:rsid w:val="4D782049"/>
    <w:rsid w:val="4D7A36CB"/>
    <w:rsid w:val="4D7D31BB"/>
    <w:rsid w:val="4D7F0CE1"/>
    <w:rsid w:val="4D8712BE"/>
    <w:rsid w:val="4D950505"/>
    <w:rsid w:val="4D9964EA"/>
    <w:rsid w:val="4DAE7818"/>
    <w:rsid w:val="4DB12E65"/>
    <w:rsid w:val="4DC26BB7"/>
    <w:rsid w:val="4DD52FF7"/>
    <w:rsid w:val="4DD94895"/>
    <w:rsid w:val="4DD95D49"/>
    <w:rsid w:val="4DDD3C5A"/>
    <w:rsid w:val="4DE84AD8"/>
    <w:rsid w:val="4DEA6AA2"/>
    <w:rsid w:val="4DF039FC"/>
    <w:rsid w:val="4DFD2317"/>
    <w:rsid w:val="4E067654"/>
    <w:rsid w:val="4E165AE9"/>
    <w:rsid w:val="4E1F4272"/>
    <w:rsid w:val="4E2310FC"/>
    <w:rsid w:val="4E2A0F73"/>
    <w:rsid w:val="4E2E44B5"/>
    <w:rsid w:val="4E320449"/>
    <w:rsid w:val="4E3221F7"/>
    <w:rsid w:val="4E340E42"/>
    <w:rsid w:val="4E43391D"/>
    <w:rsid w:val="4E4837C9"/>
    <w:rsid w:val="4E4A08F5"/>
    <w:rsid w:val="4E4B32B9"/>
    <w:rsid w:val="4E4C2032"/>
    <w:rsid w:val="4E4D0DDF"/>
    <w:rsid w:val="4E4F2DA9"/>
    <w:rsid w:val="4E54216E"/>
    <w:rsid w:val="4E6631BA"/>
    <w:rsid w:val="4E6F6FA8"/>
    <w:rsid w:val="4E766588"/>
    <w:rsid w:val="4E7740AE"/>
    <w:rsid w:val="4E7B3B9E"/>
    <w:rsid w:val="4E7F79AD"/>
    <w:rsid w:val="4E8A2485"/>
    <w:rsid w:val="4E925632"/>
    <w:rsid w:val="4E9904C8"/>
    <w:rsid w:val="4E995C7A"/>
    <w:rsid w:val="4EA03605"/>
    <w:rsid w:val="4EAC3D58"/>
    <w:rsid w:val="4EB8690F"/>
    <w:rsid w:val="4EC15329"/>
    <w:rsid w:val="4ECF5C98"/>
    <w:rsid w:val="4EDE2193"/>
    <w:rsid w:val="4EEC4650"/>
    <w:rsid w:val="4EEF633A"/>
    <w:rsid w:val="4EF37BD9"/>
    <w:rsid w:val="4EF7095A"/>
    <w:rsid w:val="4EF72E6F"/>
    <w:rsid w:val="4EFA0F67"/>
    <w:rsid w:val="4EFB083B"/>
    <w:rsid w:val="4EFC670B"/>
    <w:rsid w:val="4EFF5B7A"/>
    <w:rsid w:val="4F05120B"/>
    <w:rsid w:val="4F0C0C9A"/>
    <w:rsid w:val="4F0C47F7"/>
    <w:rsid w:val="4F165675"/>
    <w:rsid w:val="4F1B22DD"/>
    <w:rsid w:val="4F2064F4"/>
    <w:rsid w:val="4F251D5C"/>
    <w:rsid w:val="4F270144"/>
    <w:rsid w:val="4F3159C1"/>
    <w:rsid w:val="4F474168"/>
    <w:rsid w:val="4F552641"/>
    <w:rsid w:val="4F5C2822"/>
    <w:rsid w:val="4F5D14F6"/>
    <w:rsid w:val="4F602D94"/>
    <w:rsid w:val="4F70158F"/>
    <w:rsid w:val="4F71212E"/>
    <w:rsid w:val="4F7370F3"/>
    <w:rsid w:val="4F764366"/>
    <w:rsid w:val="4F7725B8"/>
    <w:rsid w:val="4F7B197C"/>
    <w:rsid w:val="4F813436"/>
    <w:rsid w:val="4F8366F9"/>
    <w:rsid w:val="4F9254B8"/>
    <w:rsid w:val="4F960564"/>
    <w:rsid w:val="4F9D5CD1"/>
    <w:rsid w:val="4FA345DA"/>
    <w:rsid w:val="4FA67E1D"/>
    <w:rsid w:val="4FAB2261"/>
    <w:rsid w:val="4FAE58AE"/>
    <w:rsid w:val="4FC11A85"/>
    <w:rsid w:val="4FC82E13"/>
    <w:rsid w:val="4FCC3F86"/>
    <w:rsid w:val="4FCD667C"/>
    <w:rsid w:val="4FD86DCF"/>
    <w:rsid w:val="4FDB395E"/>
    <w:rsid w:val="4FE030B4"/>
    <w:rsid w:val="4FE93487"/>
    <w:rsid w:val="4FF85861"/>
    <w:rsid w:val="4FFA682C"/>
    <w:rsid w:val="50034F5C"/>
    <w:rsid w:val="50100316"/>
    <w:rsid w:val="501778F7"/>
    <w:rsid w:val="501F49FD"/>
    <w:rsid w:val="50203765"/>
    <w:rsid w:val="502D0EC8"/>
    <w:rsid w:val="50334A8C"/>
    <w:rsid w:val="503A5994"/>
    <w:rsid w:val="503C110B"/>
    <w:rsid w:val="50493828"/>
    <w:rsid w:val="50502E09"/>
    <w:rsid w:val="505A77E4"/>
    <w:rsid w:val="505C4D2B"/>
    <w:rsid w:val="505F3B57"/>
    <w:rsid w:val="506568B4"/>
    <w:rsid w:val="506955FB"/>
    <w:rsid w:val="5072098C"/>
    <w:rsid w:val="50746AF7"/>
    <w:rsid w:val="508B3E41"/>
    <w:rsid w:val="508D5E0B"/>
    <w:rsid w:val="50942CF5"/>
    <w:rsid w:val="50962F12"/>
    <w:rsid w:val="50B156B3"/>
    <w:rsid w:val="50BD049E"/>
    <w:rsid w:val="50C7131D"/>
    <w:rsid w:val="50E31267"/>
    <w:rsid w:val="50F32112"/>
    <w:rsid w:val="50FE0AB7"/>
    <w:rsid w:val="510B18D7"/>
    <w:rsid w:val="51136310"/>
    <w:rsid w:val="51145BE4"/>
    <w:rsid w:val="5116195C"/>
    <w:rsid w:val="511D718F"/>
    <w:rsid w:val="5126626F"/>
    <w:rsid w:val="512F31EC"/>
    <w:rsid w:val="51344C2F"/>
    <w:rsid w:val="513D4D08"/>
    <w:rsid w:val="513D6D37"/>
    <w:rsid w:val="514209A3"/>
    <w:rsid w:val="51432A9D"/>
    <w:rsid w:val="514708AF"/>
    <w:rsid w:val="514951D3"/>
    <w:rsid w:val="514A7858"/>
    <w:rsid w:val="514C537E"/>
    <w:rsid w:val="51630116"/>
    <w:rsid w:val="51713037"/>
    <w:rsid w:val="517B3EB5"/>
    <w:rsid w:val="518076D6"/>
    <w:rsid w:val="51864D34"/>
    <w:rsid w:val="5186516E"/>
    <w:rsid w:val="5188408A"/>
    <w:rsid w:val="518A7661"/>
    <w:rsid w:val="519136D9"/>
    <w:rsid w:val="519D3E2C"/>
    <w:rsid w:val="51A52CE0"/>
    <w:rsid w:val="51B75533"/>
    <w:rsid w:val="51B90B92"/>
    <w:rsid w:val="51C25640"/>
    <w:rsid w:val="51D6733E"/>
    <w:rsid w:val="51DA0BDC"/>
    <w:rsid w:val="51DC0DF8"/>
    <w:rsid w:val="51F10006"/>
    <w:rsid w:val="51F22C7B"/>
    <w:rsid w:val="51F40FEE"/>
    <w:rsid w:val="51F94B86"/>
    <w:rsid w:val="51FA4931"/>
    <w:rsid w:val="52151743"/>
    <w:rsid w:val="521A36CE"/>
    <w:rsid w:val="52262073"/>
    <w:rsid w:val="52287B99"/>
    <w:rsid w:val="522E0F28"/>
    <w:rsid w:val="5242431B"/>
    <w:rsid w:val="5253098E"/>
    <w:rsid w:val="52556A4B"/>
    <w:rsid w:val="52563347"/>
    <w:rsid w:val="525941F7"/>
    <w:rsid w:val="525A7F6F"/>
    <w:rsid w:val="526606C2"/>
    <w:rsid w:val="527077C5"/>
    <w:rsid w:val="527B7222"/>
    <w:rsid w:val="52955DB2"/>
    <w:rsid w:val="529D37F6"/>
    <w:rsid w:val="52A64F62"/>
    <w:rsid w:val="52AC4521"/>
    <w:rsid w:val="52AF02BB"/>
    <w:rsid w:val="52BB4769"/>
    <w:rsid w:val="52BE405A"/>
    <w:rsid w:val="52CB6E2F"/>
    <w:rsid w:val="52D4387D"/>
    <w:rsid w:val="52EA7884"/>
    <w:rsid w:val="52EF4CC1"/>
    <w:rsid w:val="530028C4"/>
    <w:rsid w:val="530161A8"/>
    <w:rsid w:val="5304379F"/>
    <w:rsid w:val="53081779"/>
    <w:rsid w:val="53095C1D"/>
    <w:rsid w:val="531054A4"/>
    <w:rsid w:val="53165C44"/>
    <w:rsid w:val="533407C0"/>
    <w:rsid w:val="53364538"/>
    <w:rsid w:val="533662E6"/>
    <w:rsid w:val="53472FC7"/>
    <w:rsid w:val="53530C46"/>
    <w:rsid w:val="5355711F"/>
    <w:rsid w:val="53607807"/>
    <w:rsid w:val="53642E53"/>
    <w:rsid w:val="53684FB5"/>
    <w:rsid w:val="536C61AC"/>
    <w:rsid w:val="53755060"/>
    <w:rsid w:val="537D4BBD"/>
    <w:rsid w:val="537F56AD"/>
    <w:rsid w:val="538610B8"/>
    <w:rsid w:val="539B3EAD"/>
    <w:rsid w:val="539D0113"/>
    <w:rsid w:val="539F20DD"/>
    <w:rsid w:val="53A4453C"/>
    <w:rsid w:val="53B13BBE"/>
    <w:rsid w:val="53B92A73"/>
    <w:rsid w:val="53C9715A"/>
    <w:rsid w:val="53CA06C9"/>
    <w:rsid w:val="53D61877"/>
    <w:rsid w:val="53D77AC9"/>
    <w:rsid w:val="53DA3115"/>
    <w:rsid w:val="53E06252"/>
    <w:rsid w:val="53E35FEF"/>
    <w:rsid w:val="53E6108E"/>
    <w:rsid w:val="53E915AA"/>
    <w:rsid w:val="53F266B1"/>
    <w:rsid w:val="540C7047"/>
    <w:rsid w:val="540E7263"/>
    <w:rsid w:val="541008E5"/>
    <w:rsid w:val="541128AF"/>
    <w:rsid w:val="541D4AC7"/>
    <w:rsid w:val="542326EA"/>
    <w:rsid w:val="543E18F6"/>
    <w:rsid w:val="54574766"/>
    <w:rsid w:val="54617393"/>
    <w:rsid w:val="54622C48"/>
    <w:rsid w:val="5463310B"/>
    <w:rsid w:val="54694499"/>
    <w:rsid w:val="546B4FF7"/>
    <w:rsid w:val="546E1AAF"/>
    <w:rsid w:val="547370C6"/>
    <w:rsid w:val="54770964"/>
    <w:rsid w:val="548117E3"/>
    <w:rsid w:val="5486329D"/>
    <w:rsid w:val="548B2661"/>
    <w:rsid w:val="548D462B"/>
    <w:rsid w:val="54905ECA"/>
    <w:rsid w:val="549239F0"/>
    <w:rsid w:val="54A2071D"/>
    <w:rsid w:val="54A84FC1"/>
    <w:rsid w:val="54AA0D3A"/>
    <w:rsid w:val="54AC551B"/>
    <w:rsid w:val="54B25E40"/>
    <w:rsid w:val="54B5148C"/>
    <w:rsid w:val="54B53E12"/>
    <w:rsid w:val="54B73456"/>
    <w:rsid w:val="54B75204"/>
    <w:rsid w:val="54C673AD"/>
    <w:rsid w:val="54CD4A28"/>
    <w:rsid w:val="54D05BB2"/>
    <w:rsid w:val="54D15E48"/>
    <w:rsid w:val="54D20290"/>
    <w:rsid w:val="54D67D81"/>
    <w:rsid w:val="54DA0EF3"/>
    <w:rsid w:val="54E014CF"/>
    <w:rsid w:val="54E87AB4"/>
    <w:rsid w:val="54EB1352"/>
    <w:rsid w:val="54F16968"/>
    <w:rsid w:val="550101AA"/>
    <w:rsid w:val="55061CE8"/>
    <w:rsid w:val="550B5550"/>
    <w:rsid w:val="550F3292"/>
    <w:rsid w:val="55104775"/>
    <w:rsid w:val="55173EF5"/>
    <w:rsid w:val="55213BF1"/>
    <w:rsid w:val="55222FC6"/>
    <w:rsid w:val="552542D2"/>
    <w:rsid w:val="552A3C28"/>
    <w:rsid w:val="552C446C"/>
    <w:rsid w:val="55342CF9"/>
    <w:rsid w:val="553E1482"/>
    <w:rsid w:val="55403826"/>
    <w:rsid w:val="55472A2C"/>
    <w:rsid w:val="55592760"/>
    <w:rsid w:val="555D5DAC"/>
    <w:rsid w:val="55794BB0"/>
    <w:rsid w:val="557F21C6"/>
    <w:rsid w:val="557F3BF8"/>
    <w:rsid w:val="55886BA1"/>
    <w:rsid w:val="5590774E"/>
    <w:rsid w:val="55915A56"/>
    <w:rsid w:val="559A78B2"/>
    <w:rsid w:val="559F602D"/>
    <w:rsid w:val="55A439DB"/>
    <w:rsid w:val="55A51501"/>
    <w:rsid w:val="55AA6B17"/>
    <w:rsid w:val="55B02A26"/>
    <w:rsid w:val="55BD2CEE"/>
    <w:rsid w:val="55C04C68"/>
    <w:rsid w:val="55C328FA"/>
    <w:rsid w:val="55C951EF"/>
    <w:rsid w:val="55CE3D63"/>
    <w:rsid w:val="55D65B5E"/>
    <w:rsid w:val="55DB7EE4"/>
    <w:rsid w:val="55E069DD"/>
    <w:rsid w:val="55EB785C"/>
    <w:rsid w:val="55EE6D06"/>
    <w:rsid w:val="55F007CD"/>
    <w:rsid w:val="55F10BEA"/>
    <w:rsid w:val="55F83D27"/>
    <w:rsid w:val="56026953"/>
    <w:rsid w:val="56150435"/>
    <w:rsid w:val="563325B0"/>
    <w:rsid w:val="563B652C"/>
    <w:rsid w:val="56447AD9"/>
    <w:rsid w:val="565F7902"/>
    <w:rsid w:val="56642D65"/>
    <w:rsid w:val="56644961"/>
    <w:rsid w:val="56676C0A"/>
    <w:rsid w:val="56691886"/>
    <w:rsid w:val="566B44F9"/>
    <w:rsid w:val="566B4549"/>
    <w:rsid w:val="566C29CD"/>
    <w:rsid w:val="5684380C"/>
    <w:rsid w:val="5687524E"/>
    <w:rsid w:val="56905D0D"/>
    <w:rsid w:val="56921A85"/>
    <w:rsid w:val="56927CD7"/>
    <w:rsid w:val="569A6B8C"/>
    <w:rsid w:val="56AE4E93"/>
    <w:rsid w:val="56BA722E"/>
    <w:rsid w:val="56BD76C2"/>
    <w:rsid w:val="56C3222C"/>
    <w:rsid w:val="56C82147"/>
    <w:rsid w:val="56C87B9D"/>
    <w:rsid w:val="56CA1A9C"/>
    <w:rsid w:val="56E04EE6"/>
    <w:rsid w:val="56E878F7"/>
    <w:rsid w:val="56EE0C86"/>
    <w:rsid w:val="56F55A83"/>
    <w:rsid w:val="56F664B8"/>
    <w:rsid w:val="56FE536D"/>
    <w:rsid w:val="57122BC6"/>
    <w:rsid w:val="5712700E"/>
    <w:rsid w:val="571719F0"/>
    <w:rsid w:val="571903F8"/>
    <w:rsid w:val="571A43BF"/>
    <w:rsid w:val="571B00C0"/>
    <w:rsid w:val="572121A9"/>
    <w:rsid w:val="57246ADE"/>
    <w:rsid w:val="57276214"/>
    <w:rsid w:val="57390153"/>
    <w:rsid w:val="573A3ECB"/>
    <w:rsid w:val="573E39BB"/>
    <w:rsid w:val="574A6804"/>
    <w:rsid w:val="574B60D8"/>
    <w:rsid w:val="574D1E50"/>
    <w:rsid w:val="574E3CA7"/>
    <w:rsid w:val="57600894"/>
    <w:rsid w:val="576158FB"/>
    <w:rsid w:val="57711082"/>
    <w:rsid w:val="57770C7B"/>
    <w:rsid w:val="5778511F"/>
    <w:rsid w:val="577B4C0F"/>
    <w:rsid w:val="57833AC4"/>
    <w:rsid w:val="5789732C"/>
    <w:rsid w:val="578A6C00"/>
    <w:rsid w:val="578F2469"/>
    <w:rsid w:val="57925AB5"/>
    <w:rsid w:val="579C48DF"/>
    <w:rsid w:val="57C41BF1"/>
    <w:rsid w:val="57C87729"/>
    <w:rsid w:val="57C9597B"/>
    <w:rsid w:val="57CF18D5"/>
    <w:rsid w:val="57CF2661"/>
    <w:rsid w:val="57D701C8"/>
    <w:rsid w:val="57D727E0"/>
    <w:rsid w:val="57E00F16"/>
    <w:rsid w:val="57E06B2A"/>
    <w:rsid w:val="57E207EA"/>
    <w:rsid w:val="57EA3B43"/>
    <w:rsid w:val="57F4051E"/>
    <w:rsid w:val="57F549C2"/>
    <w:rsid w:val="57FD3FEF"/>
    <w:rsid w:val="57FD73D2"/>
    <w:rsid w:val="580503C9"/>
    <w:rsid w:val="58085453"/>
    <w:rsid w:val="580C3AB9"/>
    <w:rsid w:val="581110D0"/>
    <w:rsid w:val="5814296E"/>
    <w:rsid w:val="5816571C"/>
    <w:rsid w:val="581D5B34"/>
    <w:rsid w:val="581F685D"/>
    <w:rsid w:val="582726A1"/>
    <w:rsid w:val="58280A33"/>
    <w:rsid w:val="582901C7"/>
    <w:rsid w:val="582B03E3"/>
    <w:rsid w:val="583114F6"/>
    <w:rsid w:val="58360B36"/>
    <w:rsid w:val="583B7EFB"/>
    <w:rsid w:val="583F5C3D"/>
    <w:rsid w:val="58453825"/>
    <w:rsid w:val="584E53FC"/>
    <w:rsid w:val="58501BF8"/>
    <w:rsid w:val="585C56FA"/>
    <w:rsid w:val="5866141B"/>
    <w:rsid w:val="5872595D"/>
    <w:rsid w:val="587A0A23"/>
    <w:rsid w:val="587A6C75"/>
    <w:rsid w:val="587F428B"/>
    <w:rsid w:val="588673C8"/>
    <w:rsid w:val="588D77A9"/>
    <w:rsid w:val="58B51F64"/>
    <w:rsid w:val="58C13E3C"/>
    <w:rsid w:val="58C16652"/>
    <w:rsid w:val="58C25C9E"/>
    <w:rsid w:val="58C817A8"/>
    <w:rsid w:val="58CD4FF7"/>
    <w:rsid w:val="58D520FD"/>
    <w:rsid w:val="58DC7930"/>
    <w:rsid w:val="58DE5456"/>
    <w:rsid w:val="58DF2F7C"/>
    <w:rsid w:val="58DF4D2A"/>
    <w:rsid w:val="58EB36CF"/>
    <w:rsid w:val="58EF1411"/>
    <w:rsid w:val="58F06F08"/>
    <w:rsid w:val="58F248FC"/>
    <w:rsid w:val="58FA1B64"/>
    <w:rsid w:val="590E560F"/>
    <w:rsid w:val="59103135"/>
    <w:rsid w:val="591470C9"/>
    <w:rsid w:val="59301A29"/>
    <w:rsid w:val="59372DB8"/>
    <w:rsid w:val="593908DE"/>
    <w:rsid w:val="593B4656"/>
    <w:rsid w:val="593C03CE"/>
    <w:rsid w:val="593E6B46"/>
    <w:rsid w:val="59407EBE"/>
    <w:rsid w:val="594403F1"/>
    <w:rsid w:val="595B6AA6"/>
    <w:rsid w:val="595C61D5"/>
    <w:rsid w:val="59617E35"/>
    <w:rsid w:val="596A4F3B"/>
    <w:rsid w:val="59741916"/>
    <w:rsid w:val="59851D75"/>
    <w:rsid w:val="59871EFA"/>
    <w:rsid w:val="59926240"/>
    <w:rsid w:val="59961079"/>
    <w:rsid w:val="5996337C"/>
    <w:rsid w:val="599E2E37"/>
    <w:rsid w:val="59AA358A"/>
    <w:rsid w:val="59AB3E45"/>
    <w:rsid w:val="59B61F2F"/>
    <w:rsid w:val="59C05885"/>
    <w:rsid w:val="59C3464B"/>
    <w:rsid w:val="59C570FE"/>
    <w:rsid w:val="59D95C1D"/>
    <w:rsid w:val="59F34F31"/>
    <w:rsid w:val="59F70802"/>
    <w:rsid w:val="5A026F22"/>
    <w:rsid w:val="5A096502"/>
    <w:rsid w:val="5A1A6CEB"/>
    <w:rsid w:val="5A2413B5"/>
    <w:rsid w:val="5A274BDA"/>
    <w:rsid w:val="5A2C3F9F"/>
    <w:rsid w:val="5A2E7D17"/>
    <w:rsid w:val="5A4237C2"/>
    <w:rsid w:val="5A47527D"/>
    <w:rsid w:val="5A481A6A"/>
    <w:rsid w:val="5A48336E"/>
    <w:rsid w:val="5A49486C"/>
    <w:rsid w:val="5A494B51"/>
    <w:rsid w:val="5A504131"/>
    <w:rsid w:val="5A530D01"/>
    <w:rsid w:val="5A5359CF"/>
    <w:rsid w:val="5A537A69"/>
    <w:rsid w:val="5A551247"/>
    <w:rsid w:val="5A6000EC"/>
    <w:rsid w:val="5A6951F3"/>
    <w:rsid w:val="5A7140A7"/>
    <w:rsid w:val="5A7616BE"/>
    <w:rsid w:val="5A7A7400"/>
    <w:rsid w:val="5A851901"/>
    <w:rsid w:val="5A905CD7"/>
    <w:rsid w:val="5A936E30"/>
    <w:rsid w:val="5A953685"/>
    <w:rsid w:val="5A963B0E"/>
    <w:rsid w:val="5A9B1124"/>
    <w:rsid w:val="5A9D5BC5"/>
    <w:rsid w:val="5AAB441A"/>
    <w:rsid w:val="5AB02E22"/>
    <w:rsid w:val="5AB32912"/>
    <w:rsid w:val="5ABA133E"/>
    <w:rsid w:val="5ABD72ED"/>
    <w:rsid w:val="5AC24903"/>
    <w:rsid w:val="5AC73CC7"/>
    <w:rsid w:val="5ACD77B4"/>
    <w:rsid w:val="5AD308BE"/>
    <w:rsid w:val="5ADE798F"/>
    <w:rsid w:val="5AE0597A"/>
    <w:rsid w:val="5AEB3E5A"/>
    <w:rsid w:val="5AF8090C"/>
    <w:rsid w:val="5B070568"/>
    <w:rsid w:val="5B092B25"/>
    <w:rsid w:val="5B0A0784"/>
    <w:rsid w:val="5B0B0058"/>
    <w:rsid w:val="5B101B12"/>
    <w:rsid w:val="5B1213E7"/>
    <w:rsid w:val="5B127639"/>
    <w:rsid w:val="5B13515F"/>
    <w:rsid w:val="5B24736C"/>
    <w:rsid w:val="5B3475AF"/>
    <w:rsid w:val="5B362ED0"/>
    <w:rsid w:val="5B3B6725"/>
    <w:rsid w:val="5B3B7914"/>
    <w:rsid w:val="5B4041A6"/>
    <w:rsid w:val="5B4672E2"/>
    <w:rsid w:val="5B48305A"/>
    <w:rsid w:val="5B5163B3"/>
    <w:rsid w:val="5B524ABC"/>
    <w:rsid w:val="5B5556B2"/>
    <w:rsid w:val="5B573E29"/>
    <w:rsid w:val="5B5E63DA"/>
    <w:rsid w:val="5B6360E6"/>
    <w:rsid w:val="5B641919"/>
    <w:rsid w:val="5B6F4A8B"/>
    <w:rsid w:val="5B721A6C"/>
    <w:rsid w:val="5B742D84"/>
    <w:rsid w:val="5B7A55BF"/>
    <w:rsid w:val="5B871DD5"/>
    <w:rsid w:val="5B8723C2"/>
    <w:rsid w:val="5B904A5E"/>
    <w:rsid w:val="5B9444F1"/>
    <w:rsid w:val="5B9462A0"/>
    <w:rsid w:val="5B9700F5"/>
    <w:rsid w:val="5B995664"/>
    <w:rsid w:val="5B9E0ECC"/>
    <w:rsid w:val="5BA74225"/>
    <w:rsid w:val="5BA87F9D"/>
    <w:rsid w:val="5BAA161F"/>
    <w:rsid w:val="5BB97AB4"/>
    <w:rsid w:val="5BBA54B2"/>
    <w:rsid w:val="5BC36B85"/>
    <w:rsid w:val="5BC37254"/>
    <w:rsid w:val="5BC528FD"/>
    <w:rsid w:val="5BC86642"/>
    <w:rsid w:val="5BC97600"/>
    <w:rsid w:val="5BCA2690"/>
    <w:rsid w:val="5BD65D53"/>
    <w:rsid w:val="5BE67F37"/>
    <w:rsid w:val="5BF54390"/>
    <w:rsid w:val="5BF705DC"/>
    <w:rsid w:val="5BFD2097"/>
    <w:rsid w:val="5C073CD7"/>
    <w:rsid w:val="5C163158"/>
    <w:rsid w:val="5C2D3FFE"/>
    <w:rsid w:val="5C2F421A"/>
    <w:rsid w:val="5C341831"/>
    <w:rsid w:val="5C361105"/>
    <w:rsid w:val="5C3B671B"/>
    <w:rsid w:val="5C442095"/>
    <w:rsid w:val="5C45759A"/>
    <w:rsid w:val="5C4A4BB0"/>
    <w:rsid w:val="5C4E7CAF"/>
    <w:rsid w:val="5C5A1CE2"/>
    <w:rsid w:val="5C5A21B6"/>
    <w:rsid w:val="5C602626"/>
    <w:rsid w:val="5C675762"/>
    <w:rsid w:val="5C6921D2"/>
    <w:rsid w:val="5C69772C"/>
    <w:rsid w:val="5C73663A"/>
    <w:rsid w:val="5C7834CB"/>
    <w:rsid w:val="5C7B2FBB"/>
    <w:rsid w:val="5C8207EE"/>
    <w:rsid w:val="5C82259C"/>
    <w:rsid w:val="5C855BE8"/>
    <w:rsid w:val="5C8E2CEF"/>
    <w:rsid w:val="5C952E62"/>
    <w:rsid w:val="5C98591B"/>
    <w:rsid w:val="5CA249EC"/>
    <w:rsid w:val="5CA40764"/>
    <w:rsid w:val="5CAB38A1"/>
    <w:rsid w:val="5CAE75C8"/>
    <w:rsid w:val="5CBC3D00"/>
    <w:rsid w:val="5CBD40C9"/>
    <w:rsid w:val="5CC901CB"/>
    <w:rsid w:val="5CD5091E"/>
    <w:rsid w:val="5CD673D2"/>
    <w:rsid w:val="5CDA23D8"/>
    <w:rsid w:val="5CDC7EFE"/>
    <w:rsid w:val="5CE0011E"/>
    <w:rsid w:val="5CE172C2"/>
    <w:rsid w:val="5CE442E2"/>
    <w:rsid w:val="5CE70651"/>
    <w:rsid w:val="5CED5FBE"/>
    <w:rsid w:val="5CF54B1C"/>
    <w:rsid w:val="5CF8460C"/>
    <w:rsid w:val="5D0631CD"/>
    <w:rsid w:val="5D080CF3"/>
    <w:rsid w:val="5D0B1753"/>
    <w:rsid w:val="5D177188"/>
    <w:rsid w:val="5D237AA4"/>
    <w:rsid w:val="5D353C21"/>
    <w:rsid w:val="5D3F5F0C"/>
    <w:rsid w:val="5D4C0510"/>
    <w:rsid w:val="5D4F2D8B"/>
    <w:rsid w:val="5D584DCA"/>
    <w:rsid w:val="5D59154F"/>
    <w:rsid w:val="5D5977A1"/>
    <w:rsid w:val="5D5E32AB"/>
    <w:rsid w:val="5D63417B"/>
    <w:rsid w:val="5D656145"/>
    <w:rsid w:val="5D6A654E"/>
    <w:rsid w:val="5D6F2B20"/>
    <w:rsid w:val="5D740137"/>
    <w:rsid w:val="5D7719D5"/>
    <w:rsid w:val="5D7A14C5"/>
    <w:rsid w:val="5D7A3273"/>
    <w:rsid w:val="5D7C34A4"/>
    <w:rsid w:val="5D8D11F8"/>
    <w:rsid w:val="5D942587"/>
    <w:rsid w:val="5D9F2CDA"/>
    <w:rsid w:val="5DA768D4"/>
    <w:rsid w:val="5DA87DE0"/>
    <w:rsid w:val="5DAA3B58"/>
    <w:rsid w:val="5DAA7FFC"/>
    <w:rsid w:val="5DB06C95"/>
    <w:rsid w:val="5DB25F7C"/>
    <w:rsid w:val="5DC32E6C"/>
    <w:rsid w:val="5DCD5A99"/>
    <w:rsid w:val="5DD706C5"/>
    <w:rsid w:val="5DDC09E9"/>
    <w:rsid w:val="5DE828D3"/>
    <w:rsid w:val="5DF72B16"/>
    <w:rsid w:val="5DF94AE0"/>
    <w:rsid w:val="5E000678"/>
    <w:rsid w:val="5E0A0A9B"/>
    <w:rsid w:val="5E0F7E5F"/>
    <w:rsid w:val="5E1611EE"/>
    <w:rsid w:val="5E2002BE"/>
    <w:rsid w:val="5E27164D"/>
    <w:rsid w:val="5E2A3E5C"/>
    <w:rsid w:val="5E2C27BF"/>
    <w:rsid w:val="5E2D4789"/>
    <w:rsid w:val="5E323B4E"/>
    <w:rsid w:val="5E4C4C10"/>
    <w:rsid w:val="5E4E4E2C"/>
    <w:rsid w:val="5E5134BA"/>
    <w:rsid w:val="5E785A05"/>
    <w:rsid w:val="5E7B54F5"/>
    <w:rsid w:val="5E7B72A3"/>
    <w:rsid w:val="5E820631"/>
    <w:rsid w:val="5E8545C5"/>
    <w:rsid w:val="5E8E1557"/>
    <w:rsid w:val="5E9B7945"/>
    <w:rsid w:val="5EA22A81"/>
    <w:rsid w:val="5EA40C24"/>
    <w:rsid w:val="5EA52572"/>
    <w:rsid w:val="5EA762EA"/>
    <w:rsid w:val="5EA92062"/>
    <w:rsid w:val="5EAA1E65"/>
    <w:rsid w:val="5EB033F0"/>
    <w:rsid w:val="5EB67C4E"/>
    <w:rsid w:val="5EBE2F3E"/>
    <w:rsid w:val="5EBF2243"/>
    <w:rsid w:val="5EC24ED2"/>
    <w:rsid w:val="5ECE1AC8"/>
    <w:rsid w:val="5ED327B2"/>
    <w:rsid w:val="5EDF5A84"/>
    <w:rsid w:val="5EE477F0"/>
    <w:rsid w:val="5EE47F1F"/>
    <w:rsid w:val="5EEE5CC7"/>
    <w:rsid w:val="5EF01A3F"/>
    <w:rsid w:val="5EF86B45"/>
    <w:rsid w:val="5EFC6636"/>
    <w:rsid w:val="5F0279C4"/>
    <w:rsid w:val="5F0F6EA7"/>
    <w:rsid w:val="5F13572D"/>
    <w:rsid w:val="5F1F2324"/>
    <w:rsid w:val="5F2636B2"/>
    <w:rsid w:val="5F2B0D56"/>
    <w:rsid w:val="5F2D2C93"/>
    <w:rsid w:val="5F2E3272"/>
    <w:rsid w:val="5F3439F6"/>
    <w:rsid w:val="5F38005A"/>
    <w:rsid w:val="5F4D50E3"/>
    <w:rsid w:val="5F610B8F"/>
    <w:rsid w:val="5F675A73"/>
    <w:rsid w:val="5F7234C0"/>
    <w:rsid w:val="5F7A57AC"/>
    <w:rsid w:val="5F7E34EF"/>
    <w:rsid w:val="5F8264B2"/>
    <w:rsid w:val="5F85487D"/>
    <w:rsid w:val="5F8E3006"/>
    <w:rsid w:val="5F91655E"/>
    <w:rsid w:val="5F944E8A"/>
    <w:rsid w:val="5F996788"/>
    <w:rsid w:val="5FB32A6C"/>
    <w:rsid w:val="5FB76A00"/>
    <w:rsid w:val="5FB82B4E"/>
    <w:rsid w:val="5FC8476A"/>
    <w:rsid w:val="5FD2383A"/>
    <w:rsid w:val="5FE1243E"/>
    <w:rsid w:val="5FE33352"/>
    <w:rsid w:val="5FEA46E0"/>
    <w:rsid w:val="5FED5F7E"/>
    <w:rsid w:val="5FEF1CF6"/>
    <w:rsid w:val="5FFC4413"/>
    <w:rsid w:val="5FFE018B"/>
    <w:rsid w:val="60082DB8"/>
    <w:rsid w:val="600F4147"/>
    <w:rsid w:val="60193217"/>
    <w:rsid w:val="601C4AB5"/>
    <w:rsid w:val="601C6864"/>
    <w:rsid w:val="6026216E"/>
    <w:rsid w:val="603851FF"/>
    <w:rsid w:val="603B14CB"/>
    <w:rsid w:val="604A1623"/>
    <w:rsid w:val="604F4E8B"/>
    <w:rsid w:val="60504B25"/>
    <w:rsid w:val="6062071A"/>
    <w:rsid w:val="606A75CF"/>
    <w:rsid w:val="606C29C6"/>
    <w:rsid w:val="606F6C09"/>
    <w:rsid w:val="607B17DC"/>
    <w:rsid w:val="607E12CC"/>
    <w:rsid w:val="60822B6A"/>
    <w:rsid w:val="608551C4"/>
    <w:rsid w:val="608763D3"/>
    <w:rsid w:val="608F7035"/>
    <w:rsid w:val="60936B26"/>
    <w:rsid w:val="60A56859"/>
    <w:rsid w:val="60BB7E2A"/>
    <w:rsid w:val="60D333C6"/>
    <w:rsid w:val="60DF0DF4"/>
    <w:rsid w:val="60E0467B"/>
    <w:rsid w:val="60E05AE3"/>
    <w:rsid w:val="60E905BC"/>
    <w:rsid w:val="60EA6962"/>
    <w:rsid w:val="60EC4488"/>
    <w:rsid w:val="60EE0200"/>
    <w:rsid w:val="60F11A9E"/>
    <w:rsid w:val="60F46B68"/>
    <w:rsid w:val="60FB407F"/>
    <w:rsid w:val="60FD0443"/>
    <w:rsid w:val="61047A23"/>
    <w:rsid w:val="61082B97"/>
    <w:rsid w:val="6109503A"/>
    <w:rsid w:val="610F5B9A"/>
    <w:rsid w:val="61161505"/>
    <w:rsid w:val="611F6F3D"/>
    <w:rsid w:val="612400C6"/>
    <w:rsid w:val="61291238"/>
    <w:rsid w:val="61314591"/>
    <w:rsid w:val="61467F1B"/>
    <w:rsid w:val="614D20BD"/>
    <w:rsid w:val="61504A17"/>
    <w:rsid w:val="61555EEF"/>
    <w:rsid w:val="6162299C"/>
    <w:rsid w:val="61652290"/>
    <w:rsid w:val="616975DA"/>
    <w:rsid w:val="616B1343"/>
    <w:rsid w:val="616B35FF"/>
    <w:rsid w:val="616C020C"/>
    <w:rsid w:val="616C5544"/>
    <w:rsid w:val="616D55C9"/>
    <w:rsid w:val="617050B9"/>
    <w:rsid w:val="617A1A94"/>
    <w:rsid w:val="617C3A5E"/>
    <w:rsid w:val="61811074"/>
    <w:rsid w:val="61941B7F"/>
    <w:rsid w:val="61945FD9"/>
    <w:rsid w:val="61AB4343"/>
    <w:rsid w:val="61AD1E69"/>
    <w:rsid w:val="61B3163D"/>
    <w:rsid w:val="61BD0EFD"/>
    <w:rsid w:val="61C251E9"/>
    <w:rsid w:val="61D373F6"/>
    <w:rsid w:val="61D70C94"/>
    <w:rsid w:val="61D820E5"/>
    <w:rsid w:val="61D90EB0"/>
    <w:rsid w:val="61D967BF"/>
    <w:rsid w:val="61DC44FC"/>
    <w:rsid w:val="61DC6B3A"/>
    <w:rsid w:val="61EB473F"/>
    <w:rsid w:val="61ED495B"/>
    <w:rsid w:val="620C3A89"/>
    <w:rsid w:val="62122F41"/>
    <w:rsid w:val="621F43E9"/>
    <w:rsid w:val="62214605"/>
    <w:rsid w:val="62225D4A"/>
    <w:rsid w:val="622C5484"/>
    <w:rsid w:val="624A6784"/>
    <w:rsid w:val="624F1172"/>
    <w:rsid w:val="62514EEA"/>
    <w:rsid w:val="62516C98"/>
    <w:rsid w:val="62540537"/>
    <w:rsid w:val="625948C9"/>
    <w:rsid w:val="62595B4D"/>
    <w:rsid w:val="625D128F"/>
    <w:rsid w:val="62675548"/>
    <w:rsid w:val="62704A45"/>
    <w:rsid w:val="62713A30"/>
    <w:rsid w:val="627604AD"/>
    <w:rsid w:val="627A5473"/>
    <w:rsid w:val="627B1F67"/>
    <w:rsid w:val="6280132C"/>
    <w:rsid w:val="628249B5"/>
    <w:rsid w:val="62867444"/>
    <w:rsid w:val="628C2B36"/>
    <w:rsid w:val="629152E7"/>
    <w:rsid w:val="62A0377C"/>
    <w:rsid w:val="62AD7C47"/>
    <w:rsid w:val="62BF00A6"/>
    <w:rsid w:val="62C0797A"/>
    <w:rsid w:val="62C20707"/>
    <w:rsid w:val="62C84A81"/>
    <w:rsid w:val="62C864AE"/>
    <w:rsid w:val="62CF7BBD"/>
    <w:rsid w:val="62D03B5C"/>
    <w:rsid w:val="62D90A3C"/>
    <w:rsid w:val="62DE6052"/>
    <w:rsid w:val="62EA2C49"/>
    <w:rsid w:val="62EC076F"/>
    <w:rsid w:val="62EE3482"/>
    <w:rsid w:val="62F83658"/>
    <w:rsid w:val="63276DF7"/>
    <w:rsid w:val="632B666D"/>
    <w:rsid w:val="632F68AE"/>
    <w:rsid w:val="63340A18"/>
    <w:rsid w:val="63350368"/>
    <w:rsid w:val="63381C06"/>
    <w:rsid w:val="63416D0D"/>
    <w:rsid w:val="6345292E"/>
    <w:rsid w:val="63475D14"/>
    <w:rsid w:val="63494739"/>
    <w:rsid w:val="634A36E8"/>
    <w:rsid w:val="635065E6"/>
    <w:rsid w:val="635C1273"/>
    <w:rsid w:val="635D2D54"/>
    <w:rsid w:val="636A0DA9"/>
    <w:rsid w:val="636B30BC"/>
    <w:rsid w:val="63732C3E"/>
    <w:rsid w:val="638915D0"/>
    <w:rsid w:val="63A04620"/>
    <w:rsid w:val="63A66B70"/>
    <w:rsid w:val="63A710E9"/>
    <w:rsid w:val="63C93736"/>
    <w:rsid w:val="63D731CD"/>
    <w:rsid w:val="63DC07E4"/>
    <w:rsid w:val="63DE1377"/>
    <w:rsid w:val="63E31B72"/>
    <w:rsid w:val="63EC49B5"/>
    <w:rsid w:val="63F91396"/>
    <w:rsid w:val="63FA3360"/>
    <w:rsid w:val="640A365A"/>
    <w:rsid w:val="640C3047"/>
    <w:rsid w:val="640F1388"/>
    <w:rsid w:val="64281C7B"/>
    <w:rsid w:val="64340620"/>
    <w:rsid w:val="645B2050"/>
    <w:rsid w:val="645B3DFE"/>
    <w:rsid w:val="64760C38"/>
    <w:rsid w:val="647D62A4"/>
    <w:rsid w:val="6481138B"/>
    <w:rsid w:val="649B244D"/>
    <w:rsid w:val="64A01811"/>
    <w:rsid w:val="64A82DBC"/>
    <w:rsid w:val="64AD03D2"/>
    <w:rsid w:val="64B17EC2"/>
    <w:rsid w:val="64B4350F"/>
    <w:rsid w:val="64B92B61"/>
    <w:rsid w:val="64BB7692"/>
    <w:rsid w:val="64BD0615"/>
    <w:rsid w:val="64CA4AE0"/>
    <w:rsid w:val="64CD2361"/>
    <w:rsid w:val="64CE0433"/>
    <w:rsid w:val="64D21BE7"/>
    <w:rsid w:val="64D91F3D"/>
    <w:rsid w:val="64DE058B"/>
    <w:rsid w:val="64F14A15"/>
    <w:rsid w:val="64FE021F"/>
    <w:rsid w:val="65006754"/>
    <w:rsid w:val="650730DA"/>
    <w:rsid w:val="650A312E"/>
    <w:rsid w:val="650F4BE9"/>
    <w:rsid w:val="651450B4"/>
    <w:rsid w:val="65187685"/>
    <w:rsid w:val="651B2EA1"/>
    <w:rsid w:val="65270184"/>
    <w:rsid w:val="652A557F"/>
    <w:rsid w:val="652C12F7"/>
    <w:rsid w:val="6535464F"/>
    <w:rsid w:val="653A7E8C"/>
    <w:rsid w:val="65441099"/>
    <w:rsid w:val="654416A1"/>
    <w:rsid w:val="655D5954"/>
    <w:rsid w:val="655F548E"/>
    <w:rsid w:val="656211BC"/>
    <w:rsid w:val="656A52FB"/>
    <w:rsid w:val="656C3548"/>
    <w:rsid w:val="65700669"/>
    <w:rsid w:val="65735178"/>
    <w:rsid w:val="657A4758"/>
    <w:rsid w:val="65801AEA"/>
    <w:rsid w:val="65847385"/>
    <w:rsid w:val="65896749"/>
    <w:rsid w:val="65931376"/>
    <w:rsid w:val="65956E9C"/>
    <w:rsid w:val="65973961"/>
    <w:rsid w:val="65A10768"/>
    <w:rsid w:val="65AE5912"/>
    <w:rsid w:val="65C504AF"/>
    <w:rsid w:val="65C77271"/>
    <w:rsid w:val="65CB4FB4"/>
    <w:rsid w:val="65CE6852"/>
    <w:rsid w:val="65D21007"/>
    <w:rsid w:val="65D521FE"/>
    <w:rsid w:val="65D75478"/>
    <w:rsid w:val="65D8322D"/>
    <w:rsid w:val="65ED7C94"/>
    <w:rsid w:val="65EE0CA2"/>
    <w:rsid w:val="65F04A1A"/>
    <w:rsid w:val="65F22540"/>
    <w:rsid w:val="65FE7137"/>
    <w:rsid w:val="66042274"/>
    <w:rsid w:val="66067D9A"/>
    <w:rsid w:val="66101A71"/>
    <w:rsid w:val="6612673F"/>
    <w:rsid w:val="66196DE7"/>
    <w:rsid w:val="663469D1"/>
    <w:rsid w:val="66377F53"/>
    <w:rsid w:val="66417024"/>
    <w:rsid w:val="664B39FF"/>
    <w:rsid w:val="665135D2"/>
    <w:rsid w:val="665A00E6"/>
    <w:rsid w:val="666130C7"/>
    <w:rsid w:val="666351EC"/>
    <w:rsid w:val="666845B1"/>
    <w:rsid w:val="666A0329"/>
    <w:rsid w:val="666B30FC"/>
    <w:rsid w:val="666D7E19"/>
    <w:rsid w:val="66737BEF"/>
    <w:rsid w:val="66740704"/>
    <w:rsid w:val="667565E0"/>
    <w:rsid w:val="66794A10"/>
    <w:rsid w:val="667A42E4"/>
    <w:rsid w:val="667E3DD4"/>
    <w:rsid w:val="667F14F6"/>
    <w:rsid w:val="667F664F"/>
    <w:rsid w:val="66882EA5"/>
    <w:rsid w:val="668B64F1"/>
    <w:rsid w:val="668C531E"/>
    <w:rsid w:val="669406BC"/>
    <w:rsid w:val="66973195"/>
    <w:rsid w:val="669A294B"/>
    <w:rsid w:val="669D36E5"/>
    <w:rsid w:val="66A51361"/>
    <w:rsid w:val="66A650D9"/>
    <w:rsid w:val="66A870A3"/>
    <w:rsid w:val="66AB0941"/>
    <w:rsid w:val="66B94E0C"/>
    <w:rsid w:val="66BB1946"/>
    <w:rsid w:val="66C17142"/>
    <w:rsid w:val="66C2220F"/>
    <w:rsid w:val="66D02156"/>
    <w:rsid w:val="66D6776C"/>
    <w:rsid w:val="66D81AB8"/>
    <w:rsid w:val="66EC0EE7"/>
    <w:rsid w:val="66EE7AE8"/>
    <w:rsid w:val="66F44096"/>
    <w:rsid w:val="6707201B"/>
    <w:rsid w:val="670A1B0C"/>
    <w:rsid w:val="670A38BA"/>
    <w:rsid w:val="672030DD"/>
    <w:rsid w:val="672E57FA"/>
    <w:rsid w:val="672F1572"/>
    <w:rsid w:val="67317098"/>
    <w:rsid w:val="67375BBB"/>
    <w:rsid w:val="67397CFB"/>
    <w:rsid w:val="67452B44"/>
    <w:rsid w:val="674672FC"/>
    <w:rsid w:val="67494A46"/>
    <w:rsid w:val="674D0433"/>
    <w:rsid w:val="674D780B"/>
    <w:rsid w:val="675114E9"/>
    <w:rsid w:val="67580AC9"/>
    <w:rsid w:val="675E59B4"/>
    <w:rsid w:val="67650AF0"/>
    <w:rsid w:val="676F7BC1"/>
    <w:rsid w:val="67782D7F"/>
    <w:rsid w:val="6784541A"/>
    <w:rsid w:val="67876CB8"/>
    <w:rsid w:val="678E5BEE"/>
    <w:rsid w:val="679118E5"/>
    <w:rsid w:val="67987117"/>
    <w:rsid w:val="67A755AC"/>
    <w:rsid w:val="67B51A77"/>
    <w:rsid w:val="67B72BA3"/>
    <w:rsid w:val="67B80E5B"/>
    <w:rsid w:val="67B81568"/>
    <w:rsid w:val="67BB77DC"/>
    <w:rsid w:val="67BF6452"/>
    <w:rsid w:val="67C1041C"/>
    <w:rsid w:val="67C41CBB"/>
    <w:rsid w:val="67C65A33"/>
    <w:rsid w:val="67E20393"/>
    <w:rsid w:val="67EB086B"/>
    <w:rsid w:val="67EE6D37"/>
    <w:rsid w:val="67F105D6"/>
    <w:rsid w:val="67F51E74"/>
    <w:rsid w:val="680227E3"/>
    <w:rsid w:val="68071BA7"/>
    <w:rsid w:val="68077DF9"/>
    <w:rsid w:val="680D7083"/>
    <w:rsid w:val="6827383A"/>
    <w:rsid w:val="68327203"/>
    <w:rsid w:val="683F63B3"/>
    <w:rsid w:val="68464DC5"/>
    <w:rsid w:val="6852376A"/>
    <w:rsid w:val="685968A7"/>
    <w:rsid w:val="685A1F5A"/>
    <w:rsid w:val="685D3089"/>
    <w:rsid w:val="68623877"/>
    <w:rsid w:val="686314D3"/>
    <w:rsid w:val="6868570A"/>
    <w:rsid w:val="68692862"/>
    <w:rsid w:val="68703BF0"/>
    <w:rsid w:val="68745341"/>
    <w:rsid w:val="68757459"/>
    <w:rsid w:val="68763722"/>
    <w:rsid w:val="687E455F"/>
    <w:rsid w:val="688D31C4"/>
    <w:rsid w:val="68906740"/>
    <w:rsid w:val="68916F6D"/>
    <w:rsid w:val="68975621"/>
    <w:rsid w:val="689773CF"/>
    <w:rsid w:val="68C301C4"/>
    <w:rsid w:val="68CC52CB"/>
    <w:rsid w:val="68CF048B"/>
    <w:rsid w:val="68D0643D"/>
    <w:rsid w:val="68D4417F"/>
    <w:rsid w:val="68D91796"/>
    <w:rsid w:val="68E02B24"/>
    <w:rsid w:val="68E162F6"/>
    <w:rsid w:val="68E6198D"/>
    <w:rsid w:val="68EA5751"/>
    <w:rsid w:val="68F6059A"/>
    <w:rsid w:val="68F640F6"/>
    <w:rsid w:val="68F95994"/>
    <w:rsid w:val="6900258E"/>
    <w:rsid w:val="690031C6"/>
    <w:rsid w:val="69026F3E"/>
    <w:rsid w:val="69076303"/>
    <w:rsid w:val="690E2DE0"/>
    <w:rsid w:val="6911701E"/>
    <w:rsid w:val="69117181"/>
    <w:rsid w:val="69224EEB"/>
    <w:rsid w:val="692D19E3"/>
    <w:rsid w:val="692D1AE1"/>
    <w:rsid w:val="693B41FE"/>
    <w:rsid w:val="694857F0"/>
    <w:rsid w:val="694D5CE0"/>
    <w:rsid w:val="695D5F23"/>
    <w:rsid w:val="696A0640"/>
    <w:rsid w:val="696A6892"/>
    <w:rsid w:val="696B6C9C"/>
    <w:rsid w:val="696F20FA"/>
    <w:rsid w:val="696F3EA8"/>
    <w:rsid w:val="696F5C56"/>
    <w:rsid w:val="697257F6"/>
    <w:rsid w:val="69733998"/>
    <w:rsid w:val="69802EAF"/>
    <w:rsid w:val="69804C34"/>
    <w:rsid w:val="69823BDB"/>
    <w:rsid w:val="69847593"/>
    <w:rsid w:val="699833FF"/>
    <w:rsid w:val="69A43B52"/>
    <w:rsid w:val="69A449B2"/>
    <w:rsid w:val="69A65340"/>
    <w:rsid w:val="69BA3375"/>
    <w:rsid w:val="69BB0E9B"/>
    <w:rsid w:val="69C02956"/>
    <w:rsid w:val="69C42446"/>
    <w:rsid w:val="69CB1149"/>
    <w:rsid w:val="69CB37D4"/>
    <w:rsid w:val="69D106BF"/>
    <w:rsid w:val="69D361E5"/>
    <w:rsid w:val="69DB153D"/>
    <w:rsid w:val="69E23671"/>
    <w:rsid w:val="69E71F70"/>
    <w:rsid w:val="69E9725A"/>
    <w:rsid w:val="69F04FE9"/>
    <w:rsid w:val="6A0445F0"/>
    <w:rsid w:val="6A0C7949"/>
    <w:rsid w:val="6A1832F0"/>
    <w:rsid w:val="6A334ED5"/>
    <w:rsid w:val="6A3950E6"/>
    <w:rsid w:val="6A3A2708"/>
    <w:rsid w:val="6A3C022E"/>
    <w:rsid w:val="6A4814BC"/>
    <w:rsid w:val="6A4B66C3"/>
    <w:rsid w:val="6A4C5F97"/>
    <w:rsid w:val="6A5A06B4"/>
    <w:rsid w:val="6A5D139E"/>
    <w:rsid w:val="6A6255CE"/>
    <w:rsid w:val="6A6257BB"/>
    <w:rsid w:val="6A633A0D"/>
    <w:rsid w:val="6A6432E1"/>
    <w:rsid w:val="6A6B28C1"/>
    <w:rsid w:val="6A6B466F"/>
    <w:rsid w:val="6A6E4160"/>
    <w:rsid w:val="6A707ED8"/>
    <w:rsid w:val="6A731776"/>
    <w:rsid w:val="6A7B6335"/>
    <w:rsid w:val="6A7F636D"/>
    <w:rsid w:val="6A815C41"/>
    <w:rsid w:val="6A830498"/>
    <w:rsid w:val="6A8614A9"/>
    <w:rsid w:val="6A863F6D"/>
    <w:rsid w:val="6A8B4D12"/>
    <w:rsid w:val="6A8D4668"/>
    <w:rsid w:val="6A9736B6"/>
    <w:rsid w:val="6A99742E"/>
    <w:rsid w:val="6AAD2EDA"/>
    <w:rsid w:val="6ABF5A82"/>
    <w:rsid w:val="6AC65D4A"/>
    <w:rsid w:val="6AC736B6"/>
    <w:rsid w:val="6ACB7804"/>
    <w:rsid w:val="6AD246EE"/>
    <w:rsid w:val="6AD70591"/>
    <w:rsid w:val="6ADC556D"/>
    <w:rsid w:val="6ADF2E8D"/>
    <w:rsid w:val="6AE461D0"/>
    <w:rsid w:val="6AE54422"/>
    <w:rsid w:val="6AF262EA"/>
    <w:rsid w:val="6AFB3C45"/>
    <w:rsid w:val="6B007E4F"/>
    <w:rsid w:val="6B0D1BCA"/>
    <w:rsid w:val="6B17268F"/>
    <w:rsid w:val="6B182A49"/>
    <w:rsid w:val="6B1B2E01"/>
    <w:rsid w:val="6B207688"/>
    <w:rsid w:val="6B2129A4"/>
    <w:rsid w:val="6B252A70"/>
    <w:rsid w:val="6B286A04"/>
    <w:rsid w:val="6B2A713F"/>
    <w:rsid w:val="6B2D401B"/>
    <w:rsid w:val="6B2D47E7"/>
    <w:rsid w:val="6B340F05"/>
    <w:rsid w:val="6B362ECF"/>
    <w:rsid w:val="6B3929BF"/>
    <w:rsid w:val="6B3D5CD6"/>
    <w:rsid w:val="6B3E7FD6"/>
    <w:rsid w:val="6B4207CF"/>
    <w:rsid w:val="6B451364"/>
    <w:rsid w:val="6B4B3B36"/>
    <w:rsid w:val="6B4B624F"/>
    <w:rsid w:val="6B5275DD"/>
    <w:rsid w:val="6B596466"/>
    <w:rsid w:val="6B60619E"/>
    <w:rsid w:val="6B633598"/>
    <w:rsid w:val="6B6932A5"/>
    <w:rsid w:val="6B6939B1"/>
    <w:rsid w:val="6B6F018F"/>
    <w:rsid w:val="6B6F1F3D"/>
    <w:rsid w:val="6B736C50"/>
    <w:rsid w:val="6B7834E8"/>
    <w:rsid w:val="6B7C465A"/>
    <w:rsid w:val="6B7E6624"/>
    <w:rsid w:val="6B8359E9"/>
    <w:rsid w:val="6B844E8A"/>
    <w:rsid w:val="6B8F438D"/>
    <w:rsid w:val="6B96571C"/>
    <w:rsid w:val="6BA442DD"/>
    <w:rsid w:val="6BA77929"/>
    <w:rsid w:val="6BB12556"/>
    <w:rsid w:val="6BC4672D"/>
    <w:rsid w:val="6BC54253"/>
    <w:rsid w:val="6BCA046F"/>
    <w:rsid w:val="6BCA186A"/>
    <w:rsid w:val="6BCC3834"/>
    <w:rsid w:val="6BDF6A14"/>
    <w:rsid w:val="6BEC5C84"/>
    <w:rsid w:val="6BED6C25"/>
    <w:rsid w:val="6BF15048"/>
    <w:rsid w:val="6BF16DF6"/>
    <w:rsid w:val="6BFD669F"/>
    <w:rsid w:val="6C022DB1"/>
    <w:rsid w:val="6C07486C"/>
    <w:rsid w:val="6C14738D"/>
    <w:rsid w:val="6C152AE5"/>
    <w:rsid w:val="6C184383"/>
    <w:rsid w:val="6C225202"/>
    <w:rsid w:val="6C2F0D7C"/>
    <w:rsid w:val="6C360CAD"/>
    <w:rsid w:val="6C383D9C"/>
    <w:rsid w:val="6C436BF6"/>
    <w:rsid w:val="6C4C04D0"/>
    <w:rsid w:val="6C4E4249"/>
    <w:rsid w:val="6C52747B"/>
    <w:rsid w:val="6C581E94"/>
    <w:rsid w:val="6C591D36"/>
    <w:rsid w:val="6C5D448C"/>
    <w:rsid w:val="6C5F6456"/>
    <w:rsid w:val="6C6406FB"/>
    <w:rsid w:val="6C6E6DCF"/>
    <w:rsid w:val="6C727F37"/>
    <w:rsid w:val="6C7F4402"/>
    <w:rsid w:val="6C850101"/>
    <w:rsid w:val="6C8C37A3"/>
    <w:rsid w:val="6C8D4D71"/>
    <w:rsid w:val="6C9003BD"/>
    <w:rsid w:val="6C9C6D62"/>
    <w:rsid w:val="6CA420BB"/>
    <w:rsid w:val="6CAB51F7"/>
    <w:rsid w:val="6CAD0F6F"/>
    <w:rsid w:val="6CB06CB1"/>
    <w:rsid w:val="6CB369C5"/>
    <w:rsid w:val="6CBF5146"/>
    <w:rsid w:val="6CC87B57"/>
    <w:rsid w:val="6CC96BA0"/>
    <w:rsid w:val="6CE03ECA"/>
    <w:rsid w:val="6CEB1A97"/>
    <w:rsid w:val="6D090170"/>
    <w:rsid w:val="6D093028"/>
    <w:rsid w:val="6D147240"/>
    <w:rsid w:val="6D2154B9"/>
    <w:rsid w:val="6D275520"/>
    <w:rsid w:val="6D401DE3"/>
    <w:rsid w:val="6D486EEA"/>
    <w:rsid w:val="6D4C69DA"/>
    <w:rsid w:val="6D4D49CF"/>
    <w:rsid w:val="6D4F2C2D"/>
    <w:rsid w:val="6D51792F"/>
    <w:rsid w:val="6D550B29"/>
    <w:rsid w:val="6D5835D1"/>
    <w:rsid w:val="6D5C4743"/>
    <w:rsid w:val="6D621D77"/>
    <w:rsid w:val="6D627B71"/>
    <w:rsid w:val="6D6D4BA2"/>
    <w:rsid w:val="6D736D4F"/>
    <w:rsid w:val="6D7D3037"/>
    <w:rsid w:val="6D904A91"/>
    <w:rsid w:val="6DA22A9E"/>
    <w:rsid w:val="6DA94EBA"/>
    <w:rsid w:val="6DB3116B"/>
    <w:rsid w:val="6DB9605E"/>
    <w:rsid w:val="6DC04CD2"/>
    <w:rsid w:val="6DD469CF"/>
    <w:rsid w:val="6DE00E8F"/>
    <w:rsid w:val="6DE309C1"/>
    <w:rsid w:val="6DE5356E"/>
    <w:rsid w:val="6DE85FD7"/>
    <w:rsid w:val="6DEE5CE3"/>
    <w:rsid w:val="6DEF7365"/>
    <w:rsid w:val="6DFC7823"/>
    <w:rsid w:val="6E027099"/>
    <w:rsid w:val="6E0C0963"/>
    <w:rsid w:val="6E1D0376"/>
    <w:rsid w:val="6E1E0411"/>
    <w:rsid w:val="6E2371FE"/>
    <w:rsid w:val="6E31378E"/>
    <w:rsid w:val="6E34121C"/>
    <w:rsid w:val="6E3F209B"/>
    <w:rsid w:val="6E510020"/>
    <w:rsid w:val="6E5F098F"/>
    <w:rsid w:val="6E711527"/>
    <w:rsid w:val="6E71421E"/>
    <w:rsid w:val="6E7B50E1"/>
    <w:rsid w:val="6E7B6E4B"/>
    <w:rsid w:val="6E8421A4"/>
    <w:rsid w:val="6E85656F"/>
    <w:rsid w:val="6E8E6B7E"/>
    <w:rsid w:val="6E9543B1"/>
    <w:rsid w:val="6E9817AB"/>
    <w:rsid w:val="6E9D2C3A"/>
    <w:rsid w:val="6EA2087C"/>
    <w:rsid w:val="6EA939B8"/>
    <w:rsid w:val="6EB1286D"/>
    <w:rsid w:val="6EB14DA4"/>
    <w:rsid w:val="6EBE15CC"/>
    <w:rsid w:val="6EC627BC"/>
    <w:rsid w:val="6ECD58F9"/>
    <w:rsid w:val="6ED44ED9"/>
    <w:rsid w:val="6EE3511C"/>
    <w:rsid w:val="6EE36372"/>
    <w:rsid w:val="6EE635D2"/>
    <w:rsid w:val="6EE82732"/>
    <w:rsid w:val="6EED3736"/>
    <w:rsid w:val="6F086931"/>
    <w:rsid w:val="6F0A08FB"/>
    <w:rsid w:val="6F190B3E"/>
    <w:rsid w:val="6F1E2564"/>
    <w:rsid w:val="6F202238"/>
    <w:rsid w:val="6F2B0871"/>
    <w:rsid w:val="6F2F210F"/>
    <w:rsid w:val="6F3670AA"/>
    <w:rsid w:val="6F3B3C0A"/>
    <w:rsid w:val="6F433254"/>
    <w:rsid w:val="6F433E0D"/>
    <w:rsid w:val="6F441EB0"/>
    <w:rsid w:val="6F571666"/>
    <w:rsid w:val="6F630F46"/>
    <w:rsid w:val="6F653D83"/>
    <w:rsid w:val="6F6618A9"/>
    <w:rsid w:val="6F6D294A"/>
    <w:rsid w:val="6F7C4FD9"/>
    <w:rsid w:val="6F7C731F"/>
    <w:rsid w:val="6F7F4719"/>
    <w:rsid w:val="6F8561D3"/>
    <w:rsid w:val="6FA10B33"/>
    <w:rsid w:val="6FA973ED"/>
    <w:rsid w:val="6FAC7C04"/>
    <w:rsid w:val="6FB62CF7"/>
    <w:rsid w:val="6FC00FB9"/>
    <w:rsid w:val="6FC116B3"/>
    <w:rsid w:val="6FCD7766"/>
    <w:rsid w:val="6FCE468D"/>
    <w:rsid w:val="6FD131C7"/>
    <w:rsid w:val="6FE9572B"/>
    <w:rsid w:val="6FE95CEE"/>
    <w:rsid w:val="6FEF189F"/>
    <w:rsid w:val="6FEF4FD6"/>
    <w:rsid w:val="6FF36ACE"/>
    <w:rsid w:val="6FF46EB5"/>
    <w:rsid w:val="6FF60E7F"/>
    <w:rsid w:val="6FF670D1"/>
    <w:rsid w:val="6FFD3FBC"/>
    <w:rsid w:val="6FFF2BCE"/>
    <w:rsid w:val="70001540"/>
    <w:rsid w:val="70030FCD"/>
    <w:rsid w:val="70057314"/>
    <w:rsid w:val="70253512"/>
    <w:rsid w:val="70333E81"/>
    <w:rsid w:val="70384FF4"/>
    <w:rsid w:val="7040644A"/>
    <w:rsid w:val="704414CA"/>
    <w:rsid w:val="704D1660"/>
    <w:rsid w:val="70510B30"/>
    <w:rsid w:val="70531E2E"/>
    <w:rsid w:val="705838E8"/>
    <w:rsid w:val="705F07D2"/>
    <w:rsid w:val="705F4C76"/>
    <w:rsid w:val="706D25DF"/>
    <w:rsid w:val="70710506"/>
    <w:rsid w:val="7078380A"/>
    <w:rsid w:val="70785D38"/>
    <w:rsid w:val="70814BED"/>
    <w:rsid w:val="70862203"/>
    <w:rsid w:val="70893AA1"/>
    <w:rsid w:val="708B7819"/>
    <w:rsid w:val="709A7A5C"/>
    <w:rsid w:val="70B86135"/>
    <w:rsid w:val="70BC5C25"/>
    <w:rsid w:val="70BD199D"/>
    <w:rsid w:val="70C30D5D"/>
    <w:rsid w:val="70CE6331"/>
    <w:rsid w:val="70D016D0"/>
    <w:rsid w:val="70D72A5F"/>
    <w:rsid w:val="70DA60AB"/>
    <w:rsid w:val="70DE203F"/>
    <w:rsid w:val="70E909E4"/>
    <w:rsid w:val="70EE7DA8"/>
    <w:rsid w:val="70F51137"/>
    <w:rsid w:val="70FC4273"/>
    <w:rsid w:val="71021EA5"/>
    <w:rsid w:val="710424CA"/>
    <w:rsid w:val="71075032"/>
    <w:rsid w:val="71155335"/>
    <w:rsid w:val="712E63F7"/>
    <w:rsid w:val="7130216F"/>
    <w:rsid w:val="71342BCF"/>
    <w:rsid w:val="7135696F"/>
    <w:rsid w:val="71364BC1"/>
    <w:rsid w:val="71387735"/>
    <w:rsid w:val="713C0B14"/>
    <w:rsid w:val="713C4FB8"/>
    <w:rsid w:val="71445C1A"/>
    <w:rsid w:val="714479C8"/>
    <w:rsid w:val="71453E6C"/>
    <w:rsid w:val="714A1482"/>
    <w:rsid w:val="714E3B41"/>
    <w:rsid w:val="71502A8E"/>
    <w:rsid w:val="7150636D"/>
    <w:rsid w:val="71566079"/>
    <w:rsid w:val="716D5171"/>
    <w:rsid w:val="71736911"/>
    <w:rsid w:val="71777D9E"/>
    <w:rsid w:val="717C6975"/>
    <w:rsid w:val="717C7162"/>
    <w:rsid w:val="717E2EDA"/>
    <w:rsid w:val="71851522"/>
    <w:rsid w:val="71881FAB"/>
    <w:rsid w:val="718B3849"/>
    <w:rsid w:val="71943A03"/>
    <w:rsid w:val="71A072F4"/>
    <w:rsid w:val="71A62431"/>
    <w:rsid w:val="71A87217"/>
    <w:rsid w:val="71A87F57"/>
    <w:rsid w:val="71AA0173"/>
    <w:rsid w:val="71AA1F21"/>
    <w:rsid w:val="71B20DD6"/>
    <w:rsid w:val="71E05943"/>
    <w:rsid w:val="71E35433"/>
    <w:rsid w:val="71EF3DD8"/>
    <w:rsid w:val="71F17B50"/>
    <w:rsid w:val="71F96A05"/>
    <w:rsid w:val="71FE04BF"/>
    <w:rsid w:val="72030D2C"/>
    <w:rsid w:val="72062ED0"/>
    <w:rsid w:val="721639E4"/>
    <w:rsid w:val="721B4BCD"/>
    <w:rsid w:val="72324E14"/>
    <w:rsid w:val="7238752D"/>
    <w:rsid w:val="72414425"/>
    <w:rsid w:val="72423634"/>
    <w:rsid w:val="72440DCF"/>
    <w:rsid w:val="724E4FA2"/>
    <w:rsid w:val="72646574"/>
    <w:rsid w:val="726B5CF3"/>
    <w:rsid w:val="72732BC1"/>
    <w:rsid w:val="727F0AC4"/>
    <w:rsid w:val="728409C4"/>
    <w:rsid w:val="72874010"/>
    <w:rsid w:val="72A050D2"/>
    <w:rsid w:val="72AB5F51"/>
    <w:rsid w:val="72B1108D"/>
    <w:rsid w:val="72BB015E"/>
    <w:rsid w:val="72C60FDD"/>
    <w:rsid w:val="72E044D5"/>
    <w:rsid w:val="72E256EB"/>
    <w:rsid w:val="72F53670"/>
    <w:rsid w:val="73013DC3"/>
    <w:rsid w:val="7308172E"/>
    <w:rsid w:val="7309711B"/>
    <w:rsid w:val="731F25E1"/>
    <w:rsid w:val="73217FC1"/>
    <w:rsid w:val="732C709D"/>
    <w:rsid w:val="73301B0B"/>
    <w:rsid w:val="733221CE"/>
    <w:rsid w:val="733273CD"/>
    <w:rsid w:val="733A1083"/>
    <w:rsid w:val="733F2B3D"/>
    <w:rsid w:val="734704D0"/>
    <w:rsid w:val="7348187C"/>
    <w:rsid w:val="734E6429"/>
    <w:rsid w:val="73576F3C"/>
    <w:rsid w:val="7371736D"/>
    <w:rsid w:val="7375135A"/>
    <w:rsid w:val="737970D6"/>
    <w:rsid w:val="73816CB2"/>
    <w:rsid w:val="73843981"/>
    <w:rsid w:val="738549F4"/>
    <w:rsid w:val="73912EBD"/>
    <w:rsid w:val="73B01AE0"/>
    <w:rsid w:val="73BB6668"/>
    <w:rsid w:val="73C31078"/>
    <w:rsid w:val="73C372CA"/>
    <w:rsid w:val="73C848E1"/>
    <w:rsid w:val="73C92407"/>
    <w:rsid w:val="73D6524F"/>
    <w:rsid w:val="73DC213A"/>
    <w:rsid w:val="73EA0CFB"/>
    <w:rsid w:val="73EB3463"/>
    <w:rsid w:val="73F57D09"/>
    <w:rsid w:val="74024296"/>
    <w:rsid w:val="74026044"/>
    <w:rsid w:val="74070859"/>
    <w:rsid w:val="740C16A3"/>
    <w:rsid w:val="740C6EC3"/>
    <w:rsid w:val="740D49E9"/>
    <w:rsid w:val="740F250F"/>
    <w:rsid w:val="741144D9"/>
    <w:rsid w:val="74145D78"/>
    <w:rsid w:val="742A7ABE"/>
    <w:rsid w:val="74312486"/>
    <w:rsid w:val="743273F9"/>
    <w:rsid w:val="74343D24"/>
    <w:rsid w:val="74343F5B"/>
    <w:rsid w:val="74373814"/>
    <w:rsid w:val="74381A66"/>
    <w:rsid w:val="7439421E"/>
    <w:rsid w:val="744321B9"/>
    <w:rsid w:val="74435076"/>
    <w:rsid w:val="744D4DE6"/>
    <w:rsid w:val="744D7589"/>
    <w:rsid w:val="745240E9"/>
    <w:rsid w:val="7460720F"/>
    <w:rsid w:val="74620891"/>
    <w:rsid w:val="746E5488"/>
    <w:rsid w:val="746F2FAE"/>
    <w:rsid w:val="74715F31"/>
    <w:rsid w:val="747405C4"/>
    <w:rsid w:val="74756912"/>
    <w:rsid w:val="7476258E"/>
    <w:rsid w:val="74822CE1"/>
    <w:rsid w:val="74836A59"/>
    <w:rsid w:val="749649DF"/>
    <w:rsid w:val="7496678D"/>
    <w:rsid w:val="749B262E"/>
    <w:rsid w:val="749C274C"/>
    <w:rsid w:val="74A1611F"/>
    <w:rsid w:val="74A419DE"/>
    <w:rsid w:val="74AE3AD6"/>
    <w:rsid w:val="74B9247B"/>
    <w:rsid w:val="74BA24CB"/>
    <w:rsid w:val="74C10F48"/>
    <w:rsid w:val="74CF1C9F"/>
    <w:rsid w:val="74D13C69"/>
    <w:rsid w:val="74D3353D"/>
    <w:rsid w:val="74D47BEE"/>
    <w:rsid w:val="74D9476A"/>
    <w:rsid w:val="74D97F76"/>
    <w:rsid w:val="74DA0D6F"/>
    <w:rsid w:val="74DB0C04"/>
    <w:rsid w:val="74E7348C"/>
    <w:rsid w:val="74EE1529"/>
    <w:rsid w:val="74EE6765"/>
    <w:rsid w:val="74F17E67"/>
    <w:rsid w:val="74F57957"/>
    <w:rsid w:val="74F8738F"/>
    <w:rsid w:val="75023E22"/>
    <w:rsid w:val="751678CE"/>
    <w:rsid w:val="7518696C"/>
    <w:rsid w:val="751D21C1"/>
    <w:rsid w:val="75204A12"/>
    <w:rsid w:val="75220020"/>
    <w:rsid w:val="75247492"/>
    <w:rsid w:val="752913AF"/>
    <w:rsid w:val="752B5127"/>
    <w:rsid w:val="7533222E"/>
    <w:rsid w:val="75373520"/>
    <w:rsid w:val="753C7334"/>
    <w:rsid w:val="753F0BD2"/>
    <w:rsid w:val="754C32EF"/>
    <w:rsid w:val="755102BF"/>
    <w:rsid w:val="75510906"/>
    <w:rsid w:val="75524DAA"/>
    <w:rsid w:val="75530DE9"/>
    <w:rsid w:val="75565720"/>
    <w:rsid w:val="755C3532"/>
    <w:rsid w:val="75630D65"/>
    <w:rsid w:val="7573644F"/>
    <w:rsid w:val="75750A98"/>
    <w:rsid w:val="757F36C5"/>
    <w:rsid w:val="7584645D"/>
    <w:rsid w:val="75886994"/>
    <w:rsid w:val="7592164A"/>
    <w:rsid w:val="759F5B15"/>
    <w:rsid w:val="75A1363B"/>
    <w:rsid w:val="75A153E9"/>
    <w:rsid w:val="75A21FAA"/>
    <w:rsid w:val="75A373B3"/>
    <w:rsid w:val="75AC5C2D"/>
    <w:rsid w:val="75B90985"/>
    <w:rsid w:val="75D73EB2"/>
    <w:rsid w:val="75D831EF"/>
    <w:rsid w:val="75E672A0"/>
    <w:rsid w:val="75EB2B08"/>
    <w:rsid w:val="75F45E61"/>
    <w:rsid w:val="75FF0A4C"/>
    <w:rsid w:val="760065B4"/>
    <w:rsid w:val="7616632D"/>
    <w:rsid w:val="76261D92"/>
    <w:rsid w:val="76286F0E"/>
    <w:rsid w:val="76317141"/>
    <w:rsid w:val="76344645"/>
    <w:rsid w:val="76426A7A"/>
    <w:rsid w:val="76432944"/>
    <w:rsid w:val="764A5A81"/>
    <w:rsid w:val="764B35A7"/>
    <w:rsid w:val="76515061"/>
    <w:rsid w:val="76592168"/>
    <w:rsid w:val="766052A4"/>
    <w:rsid w:val="766823AB"/>
    <w:rsid w:val="766905FD"/>
    <w:rsid w:val="76733229"/>
    <w:rsid w:val="767936DC"/>
    <w:rsid w:val="767E397C"/>
    <w:rsid w:val="768216BE"/>
    <w:rsid w:val="76856AB9"/>
    <w:rsid w:val="76903228"/>
    <w:rsid w:val="76A038F3"/>
    <w:rsid w:val="76A70143"/>
    <w:rsid w:val="76A80185"/>
    <w:rsid w:val="76B37ACA"/>
    <w:rsid w:val="76B850E0"/>
    <w:rsid w:val="76CC46E8"/>
    <w:rsid w:val="76CF41D8"/>
    <w:rsid w:val="76CF5F86"/>
    <w:rsid w:val="76D13197"/>
    <w:rsid w:val="76D33CC8"/>
    <w:rsid w:val="76D35A76"/>
    <w:rsid w:val="76DC7C2A"/>
    <w:rsid w:val="76DE1E2F"/>
    <w:rsid w:val="76E2215D"/>
    <w:rsid w:val="76E45ED5"/>
    <w:rsid w:val="76F45266"/>
    <w:rsid w:val="76F75961"/>
    <w:rsid w:val="76FB4FCD"/>
    <w:rsid w:val="76FB6D7B"/>
    <w:rsid w:val="76FF6781"/>
    <w:rsid w:val="77020109"/>
    <w:rsid w:val="770519A8"/>
    <w:rsid w:val="7713759A"/>
    <w:rsid w:val="771A18F7"/>
    <w:rsid w:val="771C566F"/>
    <w:rsid w:val="771D4F43"/>
    <w:rsid w:val="772C33D8"/>
    <w:rsid w:val="77476464"/>
    <w:rsid w:val="774E15A1"/>
    <w:rsid w:val="775070C7"/>
    <w:rsid w:val="77513928"/>
    <w:rsid w:val="77573E97"/>
    <w:rsid w:val="775766A7"/>
    <w:rsid w:val="77594B42"/>
    <w:rsid w:val="776072D9"/>
    <w:rsid w:val="77626DFA"/>
    <w:rsid w:val="77640268"/>
    <w:rsid w:val="77664B3C"/>
    <w:rsid w:val="77692D92"/>
    <w:rsid w:val="77731007"/>
    <w:rsid w:val="778154D2"/>
    <w:rsid w:val="778E5E41"/>
    <w:rsid w:val="779D6084"/>
    <w:rsid w:val="77A45665"/>
    <w:rsid w:val="77B5517C"/>
    <w:rsid w:val="77BC29AE"/>
    <w:rsid w:val="77BE0D98"/>
    <w:rsid w:val="77C16217"/>
    <w:rsid w:val="77C41863"/>
    <w:rsid w:val="77C47AB5"/>
    <w:rsid w:val="77C53C34"/>
    <w:rsid w:val="77C914B3"/>
    <w:rsid w:val="77CB499F"/>
    <w:rsid w:val="77CE623E"/>
    <w:rsid w:val="77E53282"/>
    <w:rsid w:val="77E617D9"/>
    <w:rsid w:val="77E65C7D"/>
    <w:rsid w:val="77E81875"/>
    <w:rsid w:val="77F01BC2"/>
    <w:rsid w:val="77F15368"/>
    <w:rsid w:val="77F42148"/>
    <w:rsid w:val="77F42D3A"/>
    <w:rsid w:val="78016613"/>
    <w:rsid w:val="780240D6"/>
    <w:rsid w:val="780305DD"/>
    <w:rsid w:val="780600CD"/>
    <w:rsid w:val="780A371A"/>
    <w:rsid w:val="780B3511"/>
    <w:rsid w:val="781F604F"/>
    <w:rsid w:val="782C7B34"/>
    <w:rsid w:val="782D3BB4"/>
    <w:rsid w:val="7840713B"/>
    <w:rsid w:val="78424C0F"/>
    <w:rsid w:val="784529A4"/>
    <w:rsid w:val="784B4D6A"/>
    <w:rsid w:val="78673398"/>
    <w:rsid w:val="7872306D"/>
    <w:rsid w:val="78827754"/>
    <w:rsid w:val="78866ABF"/>
    <w:rsid w:val="78874D6A"/>
    <w:rsid w:val="788D434B"/>
    <w:rsid w:val="788F1E71"/>
    <w:rsid w:val="78982F01"/>
    <w:rsid w:val="789D4B82"/>
    <w:rsid w:val="78A0407E"/>
    <w:rsid w:val="78A21BA4"/>
    <w:rsid w:val="78AD1B9D"/>
    <w:rsid w:val="78AF42C1"/>
    <w:rsid w:val="78B35B5F"/>
    <w:rsid w:val="78B611AB"/>
    <w:rsid w:val="78BB1DEB"/>
    <w:rsid w:val="78BC253A"/>
    <w:rsid w:val="78BD078C"/>
    <w:rsid w:val="78C0027C"/>
    <w:rsid w:val="78CC4217"/>
    <w:rsid w:val="78CE505B"/>
    <w:rsid w:val="78CF4963"/>
    <w:rsid w:val="78D00040"/>
    <w:rsid w:val="78D13EDD"/>
    <w:rsid w:val="78D21D5D"/>
    <w:rsid w:val="78DB6E64"/>
    <w:rsid w:val="78DD0E2E"/>
    <w:rsid w:val="78E24696"/>
    <w:rsid w:val="78E73A5B"/>
    <w:rsid w:val="78F3044A"/>
    <w:rsid w:val="78F320B8"/>
    <w:rsid w:val="78F32400"/>
    <w:rsid w:val="79030169"/>
    <w:rsid w:val="79102FB2"/>
    <w:rsid w:val="79167E9C"/>
    <w:rsid w:val="79273E57"/>
    <w:rsid w:val="792A1B99"/>
    <w:rsid w:val="792D07D9"/>
    <w:rsid w:val="792F40B6"/>
    <w:rsid w:val="793547C6"/>
    <w:rsid w:val="79393B8B"/>
    <w:rsid w:val="793A6280"/>
    <w:rsid w:val="7947274B"/>
    <w:rsid w:val="794B223C"/>
    <w:rsid w:val="794B3FEA"/>
    <w:rsid w:val="794E7636"/>
    <w:rsid w:val="794F33AE"/>
    <w:rsid w:val="79507FD7"/>
    <w:rsid w:val="795135CA"/>
    <w:rsid w:val="79554E68"/>
    <w:rsid w:val="795F5CE7"/>
    <w:rsid w:val="796B643A"/>
    <w:rsid w:val="796C3F60"/>
    <w:rsid w:val="79751047"/>
    <w:rsid w:val="797D43BF"/>
    <w:rsid w:val="79825532"/>
    <w:rsid w:val="79863274"/>
    <w:rsid w:val="79877573"/>
    <w:rsid w:val="798D1689"/>
    <w:rsid w:val="799B0E3E"/>
    <w:rsid w:val="799D05BD"/>
    <w:rsid w:val="79A35019"/>
    <w:rsid w:val="79A951B4"/>
    <w:rsid w:val="79BC0A44"/>
    <w:rsid w:val="79C76AF4"/>
    <w:rsid w:val="79C8563A"/>
    <w:rsid w:val="79CE4C1B"/>
    <w:rsid w:val="79D97847"/>
    <w:rsid w:val="79E9735F"/>
    <w:rsid w:val="79F91C98"/>
    <w:rsid w:val="7A0423EA"/>
    <w:rsid w:val="7A0C674C"/>
    <w:rsid w:val="7A0E5017"/>
    <w:rsid w:val="7A0E52C9"/>
    <w:rsid w:val="7A13262E"/>
    <w:rsid w:val="7A15284A"/>
    <w:rsid w:val="7A17211E"/>
    <w:rsid w:val="7A262361"/>
    <w:rsid w:val="7A287E87"/>
    <w:rsid w:val="7A2F56B9"/>
    <w:rsid w:val="7A342319"/>
    <w:rsid w:val="7A390725"/>
    <w:rsid w:val="7A391673"/>
    <w:rsid w:val="7A480258"/>
    <w:rsid w:val="7A495A8F"/>
    <w:rsid w:val="7A523AF4"/>
    <w:rsid w:val="7A536490"/>
    <w:rsid w:val="7A5C5D83"/>
    <w:rsid w:val="7A5E7D4D"/>
    <w:rsid w:val="7A645345"/>
    <w:rsid w:val="7A65732D"/>
    <w:rsid w:val="7A6F1F5A"/>
    <w:rsid w:val="7A725D8C"/>
    <w:rsid w:val="7A745707"/>
    <w:rsid w:val="7A7F636A"/>
    <w:rsid w:val="7A7F77A4"/>
    <w:rsid w:val="7A8E3857"/>
    <w:rsid w:val="7A911ED0"/>
    <w:rsid w:val="7A922676"/>
    <w:rsid w:val="7A97500D"/>
    <w:rsid w:val="7AA01904"/>
    <w:rsid w:val="7AA15E8B"/>
    <w:rsid w:val="7AAC2004"/>
    <w:rsid w:val="7AB1578A"/>
    <w:rsid w:val="7AB42531"/>
    <w:rsid w:val="7AB4796D"/>
    <w:rsid w:val="7AB94F83"/>
    <w:rsid w:val="7AC878BC"/>
    <w:rsid w:val="7AD46E57"/>
    <w:rsid w:val="7ADE297D"/>
    <w:rsid w:val="7AEA5A84"/>
    <w:rsid w:val="7AF91823"/>
    <w:rsid w:val="7B000E04"/>
    <w:rsid w:val="7B00296F"/>
    <w:rsid w:val="7B022DCE"/>
    <w:rsid w:val="7B036659"/>
    <w:rsid w:val="7B193C74"/>
    <w:rsid w:val="7B2014A6"/>
    <w:rsid w:val="7B203504"/>
    <w:rsid w:val="7B2B439A"/>
    <w:rsid w:val="7B2C4929"/>
    <w:rsid w:val="7B2D5625"/>
    <w:rsid w:val="7B2F5245"/>
    <w:rsid w:val="7B322A32"/>
    <w:rsid w:val="7B354F51"/>
    <w:rsid w:val="7B364826"/>
    <w:rsid w:val="7B39121D"/>
    <w:rsid w:val="7B3B1E3C"/>
    <w:rsid w:val="7B446F42"/>
    <w:rsid w:val="7B4A207F"/>
    <w:rsid w:val="7B4A7231"/>
    <w:rsid w:val="7B4E49E1"/>
    <w:rsid w:val="7B5F1FCE"/>
    <w:rsid w:val="7B62386D"/>
    <w:rsid w:val="7B643141"/>
    <w:rsid w:val="7B851426"/>
    <w:rsid w:val="7B857D92"/>
    <w:rsid w:val="7B9003DA"/>
    <w:rsid w:val="7BA36C72"/>
    <w:rsid w:val="7BA619AB"/>
    <w:rsid w:val="7BAB6FC2"/>
    <w:rsid w:val="7BB2194B"/>
    <w:rsid w:val="7BBD6CF5"/>
    <w:rsid w:val="7BD302C6"/>
    <w:rsid w:val="7BD44756"/>
    <w:rsid w:val="7BD659DE"/>
    <w:rsid w:val="7BE2675B"/>
    <w:rsid w:val="7BE44282"/>
    <w:rsid w:val="7BEB3862"/>
    <w:rsid w:val="7BFA7117"/>
    <w:rsid w:val="7C0A75AC"/>
    <w:rsid w:val="7C11382C"/>
    <w:rsid w:val="7C272C0F"/>
    <w:rsid w:val="7C27396F"/>
    <w:rsid w:val="7C3074C7"/>
    <w:rsid w:val="7C3245B2"/>
    <w:rsid w:val="7C3C5E6C"/>
    <w:rsid w:val="7C4371FA"/>
    <w:rsid w:val="7C46731F"/>
    <w:rsid w:val="7C4B60AF"/>
    <w:rsid w:val="7C572CA5"/>
    <w:rsid w:val="7C5A4544"/>
    <w:rsid w:val="7C5C069A"/>
    <w:rsid w:val="7C606BB1"/>
    <w:rsid w:val="7C7478B9"/>
    <w:rsid w:val="7C7B27EB"/>
    <w:rsid w:val="7C7C095E"/>
    <w:rsid w:val="7C7D2C09"/>
    <w:rsid w:val="7C8A4E29"/>
    <w:rsid w:val="7C90740D"/>
    <w:rsid w:val="7C921F30"/>
    <w:rsid w:val="7C9C690A"/>
    <w:rsid w:val="7C9E6B26"/>
    <w:rsid w:val="7CA7686B"/>
    <w:rsid w:val="7CA81753"/>
    <w:rsid w:val="7CAA075C"/>
    <w:rsid w:val="7CAA1027"/>
    <w:rsid w:val="7CAB734F"/>
    <w:rsid w:val="7CB2612E"/>
    <w:rsid w:val="7CB77E6C"/>
    <w:rsid w:val="7CBC6FAC"/>
    <w:rsid w:val="7CC06A9D"/>
    <w:rsid w:val="7CC876FF"/>
    <w:rsid w:val="7CD048AA"/>
    <w:rsid w:val="7CD21CA4"/>
    <w:rsid w:val="7CDC24E4"/>
    <w:rsid w:val="7CDD764F"/>
    <w:rsid w:val="7CE06CB7"/>
    <w:rsid w:val="7CE539D6"/>
    <w:rsid w:val="7CE7227B"/>
    <w:rsid w:val="7CE80291"/>
    <w:rsid w:val="7CE86FC3"/>
    <w:rsid w:val="7CEC7892"/>
    <w:rsid w:val="7CF130FA"/>
    <w:rsid w:val="7CF9764F"/>
    <w:rsid w:val="7CFC55FB"/>
    <w:rsid w:val="7D00333D"/>
    <w:rsid w:val="7D0821F2"/>
    <w:rsid w:val="7D0C78CE"/>
    <w:rsid w:val="7D124E1E"/>
    <w:rsid w:val="7D133070"/>
    <w:rsid w:val="7D16490F"/>
    <w:rsid w:val="7D1A2FE3"/>
    <w:rsid w:val="7D1B1F25"/>
    <w:rsid w:val="7D1B3CD3"/>
    <w:rsid w:val="7D2A2168"/>
    <w:rsid w:val="7D2A660C"/>
    <w:rsid w:val="7D350383"/>
    <w:rsid w:val="7D3749D8"/>
    <w:rsid w:val="7D376E3C"/>
    <w:rsid w:val="7D440FC1"/>
    <w:rsid w:val="7D496A92"/>
    <w:rsid w:val="7D523A71"/>
    <w:rsid w:val="7D562F5D"/>
    <w:rsid w:val="7D6156B9"/>
    <w:rsid w:val="7D711B45"/>
    <w:rsid w:val="7D80622C"/>
    <w:rsid w:val="7D847ACA"/>
    <w:rsid w:val="7D913F95"/>
    <w:rsid w:val="7D955719"/>
    <w:rsid w:val="7D985324"/>
    <w:rsid w:val="7D9A72EE"/>
    <w:rsid w:val="7D9B3066"/>
    <w:rsid w:val="7DA500D2"/>
    <w:rsid w:val="7DAC7021"/>
    <w:rsid w:val="7DBB7264"/>
    <w:rsid w:val="7DBF4FA6"/>
    <w:rsid w:val="7DC425BD"/>
    <w:rsid w:val="7DE93DD1"/>
    <w:rsid w:val="7DF369FE"/>
    <w:rsid w:val="7DF54524"/>
    <w:rsid w:val="7E02533C"/>
    <w:rsid w:val="7E040C0B"/>
    <w:rsid w:val="7E1C3341"/>
    <w:rsid w:val="7E4365D3"/>
    <w:rsid w:val="7E4577B8"/>
    <w:rsid w:val="7E4B4A8C"/>
    <w:rsid w:val="7E5435C9"/>
    <w:rsid w:val="7E5861CC"/>
    <w:rsid w:val="7E68119A"/>
    <w:rsid w:val="7E885804"/>
    <w:rsid w:val="7E8A55B4"/>
    <w:rsid w:val="7E90249F"/>
    <w:rsid w:val="7E906943"/>
    <w:rsid w:val="7E96574B"/>
    <w:rsid w:val="7E9E5A62"/>
    <w:rsid w:val="7EA1645A"/>
    <w:rsid w:val="7EAA7A04"/>
    <w:rsid w:val="7EAD4DFF"/>
    <w:rsid w:val="7EB02B41"/>
    <w:rsid w:val="7EB919F5"/>
    <w:rsid w:val="7EBD1E63"/>
    <w:rsid w:val="7ECA3C03"/>
    <w:rsid w:val="7ED0563F"/>
    <w:rsid w:val="7ED72A0A"/>
    <w:rsid w:val="7EEA60E2"/>
    <w:rsid w:val="7EF84FD8"/>
    <w:rsid w:val="7F0F1615"/>
    <w:rsid w:val="7F1430D0"/>
    <w:rsid w:val="7F2063D5"/>
    <w:rsid w:val="7F280929"/>
    <w:rsid w:val="7F402117"/>
    <w:rsid w:val="7F480FCB"/>
    <w:rsid w:val="7F4C0ABC"/>
    <w:rsid w:val="7F5636E8"/>
    <w:rsid w:val="7F5931D8"/>
    <w:rsid w:val="7F5D5059"/>
    <w:rsid w:val="7F5D547A"/>
    <w:rsid w:val="7F635CDA"/>
    <w:rsid w:val="7F6776A3"/>
    <w:rsid w:val="7F680E86"/>
    <w:rsid w:val="7F6851CA"/>
    <w:rsid w:val="7F6A0F42"/>
    <w:rsid w:val="7F6F373A"/>
    <w:rsid w:val="7F71229F"/>
    <w:rsid w:val="7F7818B1"/>
    <w:rsid w:val="7F7F2D5D"/>
    <w:rsid w:val="7F800765"/>
    <w:rsid w:val="7F840255"/>
    <w:rsid w:val="7F875650"/>
    <w:rsid w:val="7F8A5140"/>
    <w:rsid w:val="7F8F791E"/>
    <w:rsid w:val="7F914720"/>
    <w:rsid w:val="7F930498"/>
    <w:rsid w:val="7F976128"/>
    <w:rsid w:val="7F9D1317"/>
    <w:rsid w:val="7FA501CC"/>
    <w:rsid w:val="7FA94E28"/>
    <w:rsid w:val="7FB977D3"/>
    <w:rsid w:val="7FC05006"/>
    <w:rsid w:val="7FC801F6"/>
    <w:rsid w:val="7FCB5E84"/>
    <w:rsid w:val="7FDD5BB8"/>
    <w:rsid w:val="7FDF723A"/>
    <w:rsid w:val="7FEA5BDF"/>
    <w:rsid w:val="7FF627D5"/>
    <w:rsid w:val="7FF64583"/>
    <w:rsid w:val="7FFD18D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tabs>
        <w:tab w:val="left" w:pos="1080"/>
      </w:tabs>
      <w:spacing w:before="260" w:after="260" w:line="416" w:lineRule="auto"/>
      <w:outlineLvl w:val="1"/>
    </w:pPr>
    <w:rPr>
      <w:rFonts w:ascii="Arial Black" w:hAnsi="Arial Black" w:eastAsia="黑体"/>
      <w:b/>
      <w:bCs/>
      <w:sz w:val="32"/>
      <w:szCs w:val="32"/>
    </w:rPr>
  </w:style>
  <w:style w:type="paragraph" w:styleId="4">
    <w:name w:val="heading 3"/>
    <w:basedOn w:val="1"/>
    <w:next w:val="1"/>
    <w:autoRedefine/>
    <w:qFormat/>
    <w:uiPriority w:val="0"/>
    <w:pPr>
      <w:keepNext/>
      <w:keepLines/>
      <w:tabs>
        <w:tab w:val="left" w:pos="720"/>
      </w:tabs>
      <w:spacing w:line="360" w:lineRule="auto"/>
      <w:ind w:left="720" w:hanging="432"/>
      <w:outlineLvl w:val="2"/>
    </w:pPr>
    <w:rPr>
      <w:b/>
      <w:bCs/>
      <w:sz w:val="24"/>
      <w:szCs w:val="32"/>
    </w:rPr>
  </w:style>
  <w:style w:type="paragraph" w:styleId="5">
    <w:name w:val="heading 4"/>
    <w:basedOn w:val="1"/>
    <w:next w:val="6"/>
    <w:autoRedefine/>
    <w:qFormat/>
    <w:uiPriority w:val="0"/>
    <w:pPr>
      <w:keepNext/>
      <w:keepLines/>
      <w:ind w:firstLine="420" w:firstLineChars="150"/>
      <w:outlineLvl w:val="3"/>
    </w:pPr>
    <w:rPr>
      <w:rFonts w:ascii="Arial" w:hAnsi="Arial" w:cs="Arial"/>
      <w:b/>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style>
  <w:style w:type="paragraph" w:styleId="7">
    <w:name w:val="toa heading"/>
    <w:basedOn w:val="1"/>
    <w:next w:val="1"/>
    <w:autoRedefine/>
    <w:qFormat/>
    <w:uiPriority w:val="0"/>
    <w:pPr>
      <w:spacing w:before="120"/>
    </w:pPr>
    <w:rPr>
      <w:rFonts w:ascii="Cambria" w:hAnsi="Cambria" w:cs="Times New Roman"/>
      <w:sz w:val="24"/>
      <w:szCs w:val="24"/>
    </w:rPr>
  </w:style>
  <w:style w:type="paragraph" w:styleId="8">
    <w:name w:val="annotation text"/>
    <w:basedOn w:val="1"/>
    <w:autoRedefine/>
    <w:semiHidden/>
    <w:qFormat/>
    <w:uiPriority w:val="0"/>
    <w:pPr>
      <w:jc w:val="left"/>
    </w:pPr>
  </w:style>
  <w:style w:type="paragraph" w:styleId="9">
    <w:name w:val="index 6"/>
    <w:basedOn w:val="1"/>
    <w:next w:val="1"/>
    <w:qFormat/>
    <w:uiPriority w:val="99"/>
    <w:pPr>
      <w:ind w:left="2100"/>
    </w:pPr>
  </w:style>
  <w:style w:type="paragraph" w:styleId="10">
    <w:name w:val="Body Text 3"/>
    <w:basedOn w:val="1"/>
    <w:autoRedefine/>
    <w:qFormat/>
    <w:uiPriority w:val="99"/>
    <w:pPr>
      <w:spacing w:after="120"/>
    </w:pPr>
    <w:rPr>
      <w:sz w:val="16"/>
      <w:szCs w:val="16"/>
    </w:rPr>
  </w:style>
  <w:style w:type="paragraph" w:styleId="11">
    <w:name w:val="Body Text"/>
    <w:basedOn w:val="1"/>
    <w:next w:val="12"/>
    <w:autoRedefine/>
    <w:qFormat/>
    <w:uiPriority w:val="0"/>
    <w:pPr>
      <w:spacing w:after="120"/>
    </w:pPr>
  </w:style>
  <w:style w:type="paragraph" w:styleId="12">
    <w:name w:val="toc 2"/>
    <w:basedOn w:val="1"/>
    <w:next w:val="1"/>
    <w:autoRedefine/>
    <w:qFormat/>
    <w:uiPriority w:val="39"/>
    <w:pPr>
      <w:ind w:left="420" w:leftChars="200"/>
    </w:pPr>
    <w:rPr>
      <w:rFonts w:cs="Angsana New"/>
      <w:lang w:bidi="th-TH"/>
    </w:rPr>
  </w:style>
  <w:style w:type="paragraph" w:styleId="13">
    <w:name w:val="Body Text Indent"/>
    <w:basedOn w:val="1"/>
    <w:autoRedefine/>
    <w:qFormat/>
    <w:uiPriority w:val="0"/>
    <w:pPr>
      <w:spacing w:line="360" w:lineRule="auto"/>
      <w:ind w:firstLine="560" w:firstLineChars="200"/>
    </w:pPr>
    <w:rPr>
      <w:sz w:val="28"/>
    </w:rPr>
  </w:style>
  <w:style w:type="paragraph" w:styleId="14">
    <w:name w:val="HTML Address"/>
    <w:basedOn w:val="1"/>
    <w:next w:val="11"/>
    <w:autoRedefine/>
    <w:unhideWhenUsed/>
    <w:qFormat/>
    <w:uiPriority w:val="99"/>
    <w:pPr>
      <w:topLinePunct/>
    </w:pPr>
  </w:style>
  <w:style w:type="paragraph" w:styleId="15">
    <w:name w:val="Plain Text"/>
    <w:basedOn w:val="1"/>
    <w:autoRedefine/>
    <w:qFormat/>
    <w:uiPriority w:val="0"/>
    <w:rPr>
      <w:rFonts w:ascii="宋体" w:hAnsi="Courier New"/>
    </w:rPr>
  </w:style>
  <w:style w:type="paragraph" w:styleId="16">
    <w:name w:val="footer"/>
    <w:basedOn w:val="1"/>
    <w:autoRedefine/>
    <w:qFormat/>
    <w:uiPriority w:val="99"/>
    <w:pPr>
      <w:tabs>
        <w:tab w:val="center" w:pos="4153"/>
        <w:tab w:val="right" w:pos="8306"/>
      </w:tabs>
      <w:snapToGrid w:val="0"/>
      <w:jc w:val="left"/>
    </w:pPr>
    <w:rPr>
      <w:sz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autoRedefine/>
    <w:qFormat/>
    <w:uiPriority w:val="0"/>
  </w:style>
  <w:style w:type="paragraph" w:styleId="19">
    <w:name w:val="footnote text"/>
    <w:basedOn w:val="1"/>
    <w:next w:val="11"/>
    <w:autoRedefine/>
    <w:qFormat/>
    <w:uiPriority w:val="0"/>
    <w:pPr>
      <w:adjustRightInd w:val="0"/>
      <w:snapToGrid w:val="0"/>
      <w:spacing w:line="312" w:lineRule="atLeast"/>
      <w:jc w:val="left"/>
      <w:textAlignment w:val="baseline"/>
    </w:pPr>
    <w:rPr>
      <w:rFonts w:eastAsia="仿宋"/>
      <w:kern w:val="0"/>
      <w:sz w:val="18"/>
      <w:szCs w:val="18"/>
    </w:rPr>
  </w:style>
  <w:style w:type="paragraph" w:styleId="20">
    <w:name w:val="Body Text 2"/>
    <w:basedOn w:val="1"/>
    <w:autoRedefine/>
    <w:unhideWhenUsed/>
    <w:qFormat/>
    <w:uiPriority w:val="99"/>
    <w:pPr>
      <w:spacing w:line="360" w:lineRule="auto"/>
      <w:ind w:firstLine="0" w:firstLineChars="0"/>
    </w:p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22">
    <w:name w:val="Body Text First Indent"/>
    <w:basedOn w:val="11"/>
    <w:next w:val="1"/>
    <w:autoRedefine/>
    <w:qFormat/>
    <w:uiPriority w:val="0"/>
    <w:pPr>
      <w:widowControl/>
      <w:ind w:firstLine="420"/>
      <w:jc w:val="left"/>
    </w:pPr>
    <w:rPr>
      <w:kern w:val="0"/>
      <w:sz w:val="20"/>
    </w:rPr>
  </w:style>
  <w:style w:type="paragraph" w:styleId="23">
    <w:name w:val="Body Text First Indent 2"/>
    <w:basedOn w:val="13"/>
    <w:autoRedefine/>
    <w:unhideWhenUsed/>
    <w:qFormat/>
    <w:uiPriority w:val="0"/>
    <w:pPr>
      <w:spacing w:after="120" w:line="240" w:lineRule="auto"/>
      <w:ind w:left="420" w:leftChars="200" w:firstLine="420"/>
    </w:pPr>
    <w:rPr>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Hyperlink"/>
    <w:basedOn w:val="26"/>
    <w:autoRedefine/>
    <w:qFormat/>
    <w:uiPriority w:val="0"/>
    <w:rPr>
      <w:color w:val="0000FF"/>
      <w:u w:val="single"/>
    </w:rPr>
  </w:style>
  <w:style w:type="character" w:styleId="30">
    <w:name w:val="HTML Sample"/>
    <w:basedOn w:val="26"/>
    <w:autoRedefine/>
    <w:qFormat/>
    <w:uiPriority w:val="0"/>
    <w:rPr>
      <w:rFonts w:ascii="Courier New" w:hAnsi="Courier New"/>
    </w:rPr>
  </w:style>
  <w:style w:type="paragraph" w:customStyle="1" w:styleId="31">
    <w:name w:val="BodyText1I2"/>
    <w:basedOn w:val="32"/>
    <w:next w:val="32"/>
    <w:qFormat/>
    <w:uiPriority w:val="0"/>
    <w:pPr>
      <w:ind w:firstLine="420" w:firstLineChars="200"/>
    </w:pPr>
    <w:rPr>
      <w:szCs w:val="24"/>
    </w:rPr>
  </w:style>
  <w:style w:type="paragraph" w:customStyle="1" w:styleId="32">
    <w:name w:val="BodyTextIndent"/>
    <w:basedOn w:val="1"/>
    <w:qFormat/>
    <w:uiPriority w:val="0"/>
    <w:pPr>
      <w:spacing w:after="120"/>
      <w:ind w:left="420" w:leftChars="200"/>
    </w:pPr>
    <w:rPr>
      <w:szCs w:val="22"/>
    </w:rPr>
  </w:style>
  <w:style w:type="paragraph" w:customStyle="1" w:styleId="33">
    <w:name w:val="正文1"/>
    <w:autoRedefine/>
    <w:qFormat/>
    <w:uiPriority w:val="0"/>
    <w:pPr>
      <w:widowControl w:val="0"/>
      <w:adjustRightInd w:val="0"/>
      <w:spacing w:line="360" w:lineRule="atLeast"/>
      <w:textAlignment w:val="baseline"/>
    </w:pPr>
    <w:rPr>
      <w:rFonts w:hint="eastAsia" w:ascii="宋体" w:hAnsi="Times New Roman" w:eastAsia="宋体" w:cs="Times New Roman"/>
      <w:sz w:val="34"/>
      <w:lang w:val="en-US" w:eastAsia="zh-CN" w:bidi="ar-SA"/>
    </w:rPr>
  </w:style>
  <w:style w:type="paragraph" w:customStyle="1" w:styleId="34">
    <w:name w:val="Default"/>
    <w:autoRedefine/>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35">
    <w:name w:val="Char1"/>
    <w:basedOn w:val="1"/>
    <w:autoRedefine/>
    <w:qFormat/>
    <w:uiPriority w:val="0"/>
    <w:rPr>
      <w:szCs w:val="21"/>
    </w:rPr>
  </w:style>
  <w:style w:type="paragraph" w:styleId="36">
    <w:name w:val="List Paragraph"/>
    <w:basedOn w:val="1"/>
    <w:autoRedefine/>
    <w:qFormat/>
    <w:uiPriority w:val="99"/>
    <w:pPr>
      <w:ind w:firstLine="420" w:firstLineChars="200"/>
    </w:pPr>
  </w:style>
  <w:style w:type="paragraph" w:customStyle="1" w:styleId="37">
    <w:name w:val="标书正文"/>
    <w:basedOn w:val="1"/>
    <w:autoRedefine/>
    <w:qFormat/>
    <w:uiPriority w:val="0"/>
    <w:pPr>
      <w:spacing w:line="560" w:lineRule="exact"/>
      <w:ind w:firstLine="723" w:firstLineChars="200"/>
      <w:jc w:val="center"/>
    </w:pPr>
    <w:rPr>
      <w:rFonts w:ascii="仿宋_GB2312" w:eastAsia="仿宋_GB2312"/>
      <w:b/>
      <w:sz w:val="36"/>
      <w:szCs w:val="24"/>
    </w:rPr>
  </w:style>
  <w:style w:type="paragraph" w:customStyle="1" w:styleId="38">
    <w:name w:val="_Style 7"/>
    <w:basedOn w:val="1"/>
    <w:autoRedefine/>
    <w:qFormat/>
    <w:uiPriority w:val="0"/>
    <w:pPr>
      <w:tabs>
        <w:tab w:val="left" w:pos="360"/>
      </w:tabs>
      <w:ind w:firstLine="420" w:firstLineChars="150"/>
    </w:pPr>
    <w:rPr>
      <w:rFonts w:ascii="Arial" w:hAnsi="Arial" w:cs="Arial"/>
      <w:sz w:val="20"/>
    </w:rPr>
  </w:style>
  <w:style w:type="paragraph" w:customStyle="1" w:styleId="39">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40">
    <w:name w:val="font21"/>
    <w:basedOn w:val="26"/>
    <w:autoRedefine/>
    <w:qFormat/>
    <w:uiPriority w:val="0"/>
    <w:rPr>
      <w:rFonts w:hint="eastAsia" w:ascii="宋体" w:hAnsi="宋体" w:eastAsia="宋体" w:cs="宋体"/>
      <w:color w:val="000000"/>
      <w:sz w:val="20"/>
      <w:szCs w:val="20"/>
      <w:u w:val="none"/>
      <w:vertAlign w:val="superscript"/>
    </w:rPr>
  </w:style>
  <w:style w:type="paragraph" w:customStyle="1" w:styleId="41">
    <w:name w:val="Default Text"/>
    <w:basedOn w:val="4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正文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44">
    <w:name w:val="font61"/>
    <w:basedOn w:val="26"/>
    <w:autoRedefine/>
    <w:qFormat/>
    <w:uiPriority w:val="0"/>
    <w:rPr>
      <w:rFonts w:hint="eastAsia" w:ascii="宋体" w:hAnsi="宋体" w:eastAsia="宋体" w:cs="宋体"/>
      <w:color w:val="000000"/>
      <w:sz w:val="20"/>
      <w:szCs w:val="20"/>
      <w:u w:val="none"/>
    </w:rPr>
  </w:style>
  <w:style w:type="paragraph" w:customStyle="1" w:styleId="4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47">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character" w:customStyle="1" w:styleId="48">
    <w:name w:val="font01"/>
    <w:basedOn w:val="26"/>
    <w:autoRedefine/>
    <w:qFormat/>
    <w:uiPriority w:val="0"/>
    <w:rPr>
      <w:rFonts w:hint="eastAsia" w:ascii="宋体" w:hAnsi="宋体" w:eastAsia="宋体" w:cs="宋体"/>
      <w:color w:val="000000"/>
      <w:sz w:val="20"/>
      <w:szCs w:val="20"/>
      <w:u w:val="none"/>
    </w:rPr>
  </w:style>
  <w:style w:type="character" w:customStyle="1" w:styleId="49">
    <w:name w:val="font11"/>
    <w:basedOn w:val="26"/>
    <w:autoRedefine/>
    <w:qFormat/>
    <w:uiPriority w:val="0"/>
    <w:rPr>
      <w:rFonts w:hint="eastAsia" w:ascii="宋体" w:hAnsi="宋体" w:eastAsia="宋体" w:cs="宋体"/>
      <w:color w:val="000000"/>
      <w:sz w:val="20"/>
      <w:szCs w:val="20"/>
      <w:u w:val="none"/>
    </w:rPr>
  </w:style>
  <w:style w:type="character" w:customStyle="1" w:styleId="50">
    <w:name w:val="font81"/>
    <w:basedOn w:val="26"/>
    <w:autoRedefine/>
    <w:qFormat/>
    <w:uiPriority w:val="0"/>
    <w:rPr>
      <w:rFonts w:ascii="Calibri" w:hAnsi="Calibri" w:cs="Calibri"/>
      <w:color w:val="000000"/>
      <w:sz w:val="20"/>
      <w:szCs w:val="20"/>
      <w:u w:val="none"/>
    </w:rPr>
  </w:style>
  <w:style w:type="table" w:customStyle="1" w:styleId="51">
    <w:name w:val="网格型1"/>
    <w:basedOn w:val="24"/>
    <w:autoRedefine/>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2">
    <w:name w:val="font91"/>
    <w:basedOn w:val="26"/>
    <w:autoRedefine/>
    <w:qFormat/>
    <w:uiPriority w:val="0"/>
    <w:rPr>
      <w:rFonts w:hint="eastAsia" w:ascii="宋体" w:hAnsi="宋体" w:eastAsia="宋体" w:cs="宋体"/>
      <w:color w:val="000000"/>
      <w:sz w:val="20"/>
      <w:szCs w:val="20"/>
      <w:u w:val="none"/>
    </w:rPr>
  </w:style>
  <w:style w:type="character" w:customStyle="1" w:styleId="53">
    <w:name w:val="font41"/>
    <w:basedOn w:val="26"/>
    <w:autoRedefine/>
    <w:qFormat/>
    <w:uiPriority w:val="0"/>
    <w:rPr>
      <w:rFonts w:hint="eastAsia" w:ascii="宋体" w:hAnsi="宋体" w:eastAsia="宋体" w:cs="宋体"/>
      <w:color w:val="000000"/>
      <w:sz w:val="22"/>
      <w:szCs w:val="22"/>
      <w:u w:val="none"/>
    </w:rPr>
  </w:style>
  <w:style w:type="character" w:customStyle="1" w:styleId="54">
    <w:name w:val="font101"/>
    <w:basedOn w:val="26"/>
    <w:autoRedefine/>
    <w:qFormat/>
    <w:uiPriority w:val="0"/>
    <w:rPr>
      <w:rFonts w:hint="default" w:ascii="Calibri" w:hAnsi="Calibri" w:cs="Calibri"/>
      <w:color w:val="000000"/>
      <w:sz w:val="22"/>
      <w:szCs w:val="22"/>
      <w:u w:val="none"/>
    </w:rPr>
  </w:style>
  <w:style w:type="character" w:customStyle="1" w:styleId="55">
    <w:name w:val="font51"/>
    <w:basedOn w:val="26"/>
    <w:autoRedefine/>
    <w:qFormat/>
    <w:uiPriority w:val="0"/>
    <w:rPr>
      <w:rFonts w:hint="eastAsia" w:ascii="宋体" w:hAnsi="宋体" w:eastAsia="宋体" w:cs="宋体"/>
      <w:color w:val="000000"/>
      <w:sz w:val="22"/>
      <w:szCs w:val="22"/>
      <w:u w:val="none"/>
    </w:rPr>
  </w:style>
  <w:style w:type="character" w:customStyle="1" w:styleId="56">
    <w:name w:val="font71"/>
    <w:basedOn w:val="26"/>
    <w:autoRedefine/>
    <w:qFormat/>
    <w:uiPriority w:val="0"/>
    <w:rPr>
      <w:rFonts w:hint="eastAsia" w:ascii="宋体" w:hAnsi="宋体" w:eastAsia="宋体" w:cs="宋体"/>
      <w:color w:val="000000"/>
      <w:sz w:val="20"/>
      <w:szCs w:val="20"/>
      <w:u w:val="none"/>
    </w:rPr>
  </w:style>
  <w:style w:type="character" w:customStyle="1" w:styleId="57">
    <w:name w:val="NormalCharacter"/>
    <w:autoRedefine/>
    <w:qFormat/>
    <w:uiPriority w:val="0"/>
    <w:rPr>
      <w:kern w:val="2"/>
      <w:sz w:val="21"/>
      <w:szCs w:val="24"/>
      <w:lang w:val="en-US" w:eastAsia="zh-CN" w:bidi="ar-SA"/>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Table Text"/>
    <w:basedOn w:val="1"/>
    <w:autoRedefine/>
    <w:semiHidden/>
    <w:qFormat/>
    <w:uiPriority w:val="0"/>
    <w:rPr>
      <w:rFonts w:ascii="Arial" w:hAnsi="Arial" w:eastAsia="Arial" w:cs="Arial"/>
      <w:sz w:val="21"/>
      <w:szCs w:val="21"/>
      <w:lang w:val="en-US" w:eastAsia="en-US" w:bidi="ar-SA"/>
    </w:rPr>
  </w:style>
  <w:style w:type="paragraph" w:customStyle="1" w:styleId="60">
    <w:name w:val="_Style 2"/>
    <w:basedOn w:val="1"/>
    <w:autoRedefine/>
    <w:qFormat/>
    <w:uiPriority w:val="0"/>
    <w:pPr>
      <w:ind w:firstLine="420" w:firstLineChars="200"/>
    </w:pPr>
    <w:rPr>
      <w:szCs w:val="24"/>
    </w:rPr>
  </w:style>
  <w:style w:type="paragraph" w:customStyle="1" w:styleId="61">
    <w:name w:val="Table Paragraph"/>
    <w:basedOn w:val="1"/>
    <w:autoRedefine/>
    <w:qFormat/>
    <w:uiPriority w:val="1"/>
    <w:pPr>
      <w:jc w:val="left"/>
    </w:pPr>
    <w:rPr>
      <w:rFonts w:ascii="宋体" w:hAnsi="宋体" w:cs="宋体"/>
      <w:kern w:val="0"/>
      <w:sz w:val="22"/>
      <w:szCs w:val="22"/>
      <w:lang w:eastAsia="en-US"/>
    </w:rPr>
  </w:style>
  <w:style w:type="paragraph" w:customStyle="1" w:styleId="62">
    <w:name w:val="?????????????????¡ì?????????????????????????¡ì?????????????????????????¡§????????????????????????¡ì??????????????????????¡ì????????????????????????¡ì????????o????????????????????¡§????????????????????????¡ì??????????????????????¡ì????????"/>
    <w:basedOn w:val="1"/>
    <w:autoRedefine/>
    <w:qFormat/>
    <w:uiPriority w:val="0"/>
    <w:pPr>
      <w:jc w:val="left"/>
    </w:pPr>
    <w:rPr>
      <w:rFonts w:ascii="Times New Roman" w:hAnsi="Times New Roman"/>
      <w:sz w:val="24"/>
    </w:rPr>
  </w:style>
  <w:style w:type="paragraph" w:customStyle="1" w:styleId="63">
    <w:name w:val="Normal"/>
    <w:autoRedefine/>
    <w:qFormat/>
    <w:uiPriority w:val="0"/>
    <w:rPr>
      <w:rFonts w:ascii="Times New Roman" w:hAnsi="Times New Roman" w:eastAsia="Times New Roman" w:cs="Times New Roman"/>
      <w:sz w:val="24"/>
      <w:szCs w:val="24"/>
      <w:lang w:bidi="ar-SA"/>
    </w:rPr>
  </w:style>
  <w:style w:type="character" w:customStyle="1" w:styleId="64">
    <w:name w:val="font31"/>
    <w:basedOn w:val="26"/>
    <w:autoRedefine/>
    <w:qFormat/>
    <w:uiPriority w:val="0"/>
    <w:rPr>
      <w:rFonts w:hint="eastAsia" w:ascii="宋体" w:hAnsi="宋体" w:eastAsia="宋体" w:cs="宋体"/>
      <w:color w:val="FF0000"/>
      <w:sz w:val="18"/>
      <w:szCs w:val="18"/>
      <w:u w:val="none"/>
    </w:rPr>
  </w:style>
  <w:style w:type="paragraph" w:customStyle="1" w:styleId="65">
    <w:name w:val="样式 样式 样式 左侧:  2 字符1 + 首行缩进:  2 字符1 + 首行缩进:  2 字符"/>
    <w:basedOn w:val="1"/>
    <w:autoRedefine/>
    <w:qFormat/>
    <w:uiPriority w:val="0"/>
    <w:pPr>
      <w:widowControl/>
      <w:adjustRightInd w:val="0"/>
      <w:spacing w:before="60" w:after="120" w:line="440" w:lineRule="atLeast"/>
      <w:ind w:firstLine="480"/>
    </w:pPr>
    <w:rPr>
      <w:sz w:val="24"/>
    </w:rPr>
  </w:style>
  <w:style w:type="paragraph" w:customStyle="1" w:styleId="66">
    <w:name w:val="[基本段落]"/>
    <w:basedOn w:val="1"/>
    <w:autoRedefine/>
    <w:qFormat/>
    <w:uiPriority w:val="99"/>
    <w:pPr>
      <w:autoSpaceDE w:val="0"/>
      <w:autoSpaceDN w:val="0"/>
      <w:adjustRightInd w:val="0"/>
      <w:spacing w:line="288" w:lineRule="auto"/>
    </w:pPr>
    <w:rPr>
      <w:rFonts w:ascii="宋体" w:cs="宋体"/>
      <w:color w:val="000000"/>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9348</Words>
  <Characters>10323</Characters>
  <Lines>0</Lines>
  <Paragraphs>0</Paragraphs>
  <TotalTime>1</TotalTime>
  <ScaleCrop>false</ScaleCrop>
  <LinksUpToDate>false</LinksUpToDate>
  <CharactersWithSpaces>10446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2021-09-17T03:33:00Z</dcterms:created>
  <dc:creator>86180</dc:creator>
  <cp:lastModifiedBy>Administrator</cp:lastModifiedBy>
  <cp:lastPrinted>2022-04-22T09:50:00Z</cp:lastPrinted>
  <dcterms:modified xsi:type="dcterms:W3CDTF">2025-06-25T04:55:54Z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377610E83FD843BD934E3D422B66F8CB_13</vt:lpwstr>
  </property>
  <property fmtid="{D5CDD505-2E9C-101B-9397-08002B2CF9AE}" pid="4" name="commondata">
    <vt:lpwstr>eyJoZGlkIjoiY2VmODU3YmViNzMyMjk1MDIwNjZmNWIwNzc2NzgwZTQifQ==</vt:lpwstr>
  </property>
  <property fmtid="{D5CDD505-2E9C-101B-9397-08002B2CF9AE}" pid="5" name="KSOTemplateDocerSaveRecord">
    <vt:lpwstr>eyJoZGlkIjoiN2E2NWY1ZDc1MjE2MzNiMmU2ZmIzYTMxZTliY2ZiNmUiLCJ1c2VySWQiOiIxNTQ4NTc1Mzk2In0=</vt:lpwstr>
  </property>
</Properties>
</file>